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广州市净水有限公司2023年老旧起重设备、空压机采购更换项目</w:t>
      </w:r>
    </w:p>
    <w:p>
      <w:pPr>
        <w:pStyle w:val="2"/>
        <w:rPr>
          <w:rFonts w:hint="eastAsia"/>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4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2"/>
        </w:numPr>
        <w:tabs>
          <w:tab w:val="right" w:pos="8844"/>
        </w:tabs>
        <w:rPr>
          <w:color w:val="auto"/>
          <w:highlight w:val="none"/>
        </w:rPr>
      </w:pPr>
      <w:r>
        <w:rPr>
          <w:rFonts w:hint="eastAsia"/>
          <w:color w:val="auto"/>
          <w:highlight w:val="none"/>
          <w:lang w:val="en-US" w:eastAsia="zh-CN"/>
        </w:rPr>
        <w:t>供应商须知</w:t>
      </w:r>
    </w:p>
    <w:p>
      <w:pPr>
        <w:pStyle w:val="21"/>
        <w:numPr>
          <w:ilvl w:val="0"/>
          <w:numId w:val="2"/>
        </w:numPr>
        <w:tabs>
          <w:tab w:val="right" w:pos="8844"/>
        </w:tabs>
        <w:rPr>
          <w:color w:val="auto"/>
          <w:highlight w:val="none"/>
        </w:rPr>
      </w:pPr>
      <w:r>
        <w:rPr>
          <w:rFonts w:hint="eastAsia"/>
          <w:color w:val="auto"/>
          <w:highlight w:val="none"/>
          <w:lang w:val="en-US" w:eastAsia="zh-CN"/>
        </w:rPr>
        <w:t>采购方法</w:t>
      </w:r>
    </w:p>
    <w:p>
      <w:pPr>
        <w:pStyle w:val="21"/>
        <w:numPr>
          <w:ilvl w:val="0"/>
          <w:numId w:val="2"/>
        </w:numPr>
        <w:tabs>
          <w:tab w:val="right" w:pos="8844"/>
        </w:tabs>
        <w:rPr>
          <w:color w:val="auto"/>
          <w:highlight w:val="none"/>
        </w:rPr>
      </w:pPr>
      <w:r>
        <w:rPr>
          <w:rFonts w:hint="eastAsia"/>
          <w:color w:val="auto"/>
          <w:highlight w:val="none"/>
          <w:lang w:val="en-US" w:eastAsia="zh-CN"/>
        </w:rPr>
        <w:t>评审方法</w:t>
      </w:r>
    </w:p>
    <w:p>
      <w:pPr>
        <w:pStyle w:val="21"/>
        <w:numPr>
          <w:ilvl w:val="0"/>
          <w:numId w:val="2"/>
        </w:numPr>
        <w:tabs>
          <w:tab w:val="right" w:pos="8844"/>
        </w:tabs>
        <w:rPr>
          <w:color w:val="auto"/>
          <w:highlight w:val="none"/>
        </w:rPr>
      </w:pPr>
      <w:r>
        <w:rPr>
          <w:rFonts w:hint="eastAsia"/>
          <w:color w:val="auto"/>
          <w:highlight w:val="none"/>
          <w:lang w:val="en-US" w:eastAsia="zh-CN"/>
        </w:rPr>
        <w:t>采购需求</w:t>
      </w:r>
    </w:p>
    <w:p>
      <w:pPr>
        <w:pStyle w:val="21"/>
        <w:numPr>
          <w:ilvl w:val="0"/>
          <w:numId w:val="2"/>
        </w:numPr>
        <w:tabs>
          <w:tab w:val="right" w:pos="8844"/>
        </w:tabs>
        <w:rPr>
          <w:color w:val="auto"/>
          <w:highlight w:val="none"/>
        </w:rPr>
      </w:pPr>
      <w:r>
        <w:rPr>
          <w:rFonts w:hint="eastAsia"/>
          <w:color w:val="auto"/>
          <w:highlight w:val="none"/>
        </w:rPr>
        <w:t>合同草案</w:t>
      </w:r>
    </w:p>
    <w:p>
      <w:pPr>
        <w:pStyle w:val="21"/>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3"/>
        <w:rPr>
          <w:rFonts w:hint="eastAsia"/>
          <w:color w:val="auto"/>
          <w:highlight w:val="none"/>
        </w:rPr>
      </w:pPr>
      <w:bookmarkStart w:id="4" w:name="_Toc31938"/>
      <w:bookmarkStart w:id="5" w:name="_Toc17801"/>
      <w:bookmarkStart w:id="6" w:name="_Toc7519"/>
      <w:bookmarkStart w:id="7" w:name="_Toc19609"/>
      <w:bookmarkStart w:id="8" w:name="_Toc4275"/>
      <w:bookmarkStart w:id="9" w:name="_Toc11322"/>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28575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2.25pt;height:0pt;width:75.5pt;z-index:251672576;mso-width-relative:page;mso-height-relative:page;" filled="f" stroked="t" coordsize="21600,21600" o:gfxdata="UEsDBAoAAAAAAIdO4kAAAAAAAAAAAAAAAAAEAAAAZHJzL1BLAwQUAAAACACHTuJAyi+V8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V8NQAAAAHAQAADwAAAAAAAAABACAAAAAiAAAAZHJzL2Rvd25yZXYueG1sUEsBAhQAFAAA&#10;AAgAh07iQBHsQT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2364740</wp:posOffset>
                </wp:positionH>
                <wp:positionV relativeFrom="paragraph">
                  <wp:posOffset>554990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2pt;margin-top:43.7pt;height:0pt;width:75.5pt;z-index:251673600;mso-width-relative:page;mso-height-relative:page;" filled="f" stroked="t" coordsize="21600,21600" o:gfxdata="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V8b9N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广州市净水有限公司2023年老旧起重设备、空压机采购更换项目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邀请</w:t>
      </w:r>
      <w:r>
        <w:rPr>
          <w:rFonts w:hint="eastAsia" w:ascii="仿宋_GB2312" w:eastAsia="仿宋_GB2312"/>
          <w:sz w:val="28"/>
          <w:szCs w:val="28"/>
          <w:highlight w:val="none"/>
          <w:u w:val="single"/>
          <w:lang w:val="en-US" w:eastAsia="zh-CN"/>
        </w:rPr>
        <w:t>询比</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w:t>
      </w:r>
      <w:r>
        <w:rPr>
          <w:rFonts w:hint="eastAsia" w:ascii="仿宋_GB2312" w:eastAsia="仿宋_GB2312"/>
          <w:sz w:val="28"/>
          <w:szCs w:val="28"/>
          <w:highlight w:val="none"/>
          <w:u w:val="single"/>
          <w:lang w:val="en-US" w:eastAsia="zh-CN"/>
        </w:rPr>
        <w:t>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广州市净水有限公司2023年老旧起重设备、空压机采购更换项目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XJ-20231018-1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668497.5</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各分公司</w:t>
      </w:r>
      <w:r>
        <w:rPr>
          <w:rFonts w:hint="eastAsia" w:ascii="仿宋_GB2312" w:eastAsia="仿宋_GB2312"/>
          <w:color w:val="auto"/>
          <w:sz w:val="28"/>
          <w:szCs w:val="28"/>
          <w:highlight w:val="none"/>
          <w:u w:val="single"/>
        </w:rPr>
        <w:t>起重设备、空压机</w:t>
      </w:r>
      <w:r>
        <w:rPr>
          <w:rFonts w:hint="eastAsia" w:ascii="仿宋_GB2312" w:eastAsia="仿宋_GB2312"/>
          <w:color w:val="auto"/>
          <w:sz w:val="28"/>
          <w:szCs w:val="28"/>
          <w:highlight w:val="none"/>
          <w:u w:val="single"/>
          <w:lang w:val="en-US" w:eastAsia="zh-CN"/>
        </w:rPr>
        <w:t xml:space="preserve">采购（见下表）  </w:t>
      </w:r>
      <w:r>
        <w:rPr>
          <w:rFonts w:hint="eastAsia" w:ascii="仿宋_GB2312" w:eastAsia="仿宋_GB2312"/>
          <w:color w:val="auto"/>
          <w:sz w:val="28"/>
          <w:szCs w:val="28"/>
          <w:highlight w:val="none"/>
          <w:u w:val="single"/>
        </w:rPr>
        <w:t xml:space="preserve">          </w:t>
      </w:r>
    </w:p>
    <w:tbl>
      <w:tblPr>
        <w:tblStyle w:val="2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345" w:type="dxa"/>
            <w:noWrap w:val="0"/>
            <w:vAlign w:val="center"/>
          </w:tcPr>
          <w:p>
            <w:pPr>
              <w:jc w:val="center"/>
              <w:rPr>
                <w:rFonts w:hint="eastAsia" w:eastAsiaTheme="minorEastAsia"/>
                <w:highlight w:val="none"/>
                <w:lang w:val="en-US" w:eastAsia="zh-CN"/>
              </w:rPr>
            </w:pPr>
            <w:r>
              <w:rPr>
                <w:rFonts w:hint="eastAsia"/>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88479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234000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vMerge w:val="restart"/>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77634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46171.8</w:t>
            </w:r>
          </w:p>
        </w:tc>
      </w:tr>
    </w:tbl>
    <w:p>
      <w:pPr>
        <w:pStyle w:val="37"/>
        <w:ind w:firstLine="0" w:firstLineChars="0"/>
        <w:rPr>
          <w:rFonts w:hint="eastAsia"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见下表      </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rFonts w:hint="eastAsia" w:eastAsiaTheme="minorEastAsia"/>
                <w:highlight w:val="none"/>
                <w:lang w:val="en-US" w:eastAsia="zh-CN"/>
              </w:rPr>
            </w:pPr>
            <w:r>
              <w:rPr>
                <w:rFonts w:hint="eastAsia"/>
                <w:highlight w:val="none"/>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rFonts w:hint="default" w:eastAsiaTheme="minorEastAsia"/>
                <w:highlight w:val="none"/>
                <w:lang w:val="en-US" w:eastAsia="zh-CN"/>
              </w:rPr>
            </w:pPr>
            <w:r>
              <w:rPr>
                <w:rFonts w:hint="eastAsia"/>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default"/>
                <w:highlight w:val="none"/>
                <w:lang w:val="en-US" w:eastAsia="zh-CN"/>
              </w:rPr>
            </w:pPr>
            <w:r>
              <w:rPr>
                <w:rFonts w:hint="eastAsia"/>
                <w:highlight w:val="none"/>
                <w:lang w:val="en-US" w:eastAsia="zh-CN"/>
              </w:rPr>
              <w:t>60</w:t>
            </w:r>
          </w:p>
        </w:tc>
      </w:tr>
    </w:tbl>
    <w:p>
      <w:pPr>
        <w:pStyle w:val="25"/>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广州市净水有限公司猎德、大坦沙、龙归、京溪分公司  </w:t>
      </w:r>
    </w:p>
    <w:p>
      <w:pPr>
        <w:pStyle w:val="25"/>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、设备合格证、出厂检验报告并于送货之日移交广州市净水有限公司对应分公司。所供货物必须为全新产品，中选单位禁止向</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人提供二手产品、拆机件、翻新件。</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一项报价清单设备之一的供货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5"/>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递交响应文件</w:t>
      </w:r>
      <w:r>
        <w:rPr>
          <w:rFonts w:hint="eastAsia" w:ascii="仿宋_GB2312" w:eastAsia="仿宋_GB2312"/>
          <w:color w:val="auto"/>
          <w:sz w:val="28"/>
          <w:szCs w:val="28"/>
          <w:highlight w:val="none"/>
          <w:u w:val="single"/>
        </w:rPr>
        <w:t>时须提供拟供货设备型号的产品技术文件(内容应包括但不限于生产厂家、产品基本信息、技术性能参数、产品实物外观图片)。交货时，必须提供</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 w:eastAsia="仿宋_GB2312" w:cs="仿宋_GB2312"/>
          <w:color w:val="000000" w:themeColor="text1"/>
          <w:sz w:val="28"/>
          <w:szCs w:val="28"/>
          <w:highlight w:val="none"/>
          <w:lang w:val="zh-CN"/>
          <w14:textFill>
            <w14:solidFill>
              <w14:schemeClr w14:val="tx1"/>
            </w14:solidFill>
          </w14:textFill>
        </w:rPr>
        <w:t>授权委托人须通过“广州净水公司”微信公众号当天（提前）预约，填写访客预约信息。</w:t>
      </w:r>
    </w:p>
    <w:p>
      <w:pPr>
        <w:pStyle w:val="25"/>
        <w:keepNext w:val="0"/>
        <w:keepLines w:val="0"/>
        <w:pageBreakBefore w:val="0"/>
        <w:kinsoku/>
        <w:wordWrap/>
        <w:overflowPunct/>
        <w:topLinePunct w:val="0"/>
        <w:autoSpaceDE/>
        <w:autoSpaceDN/>
        <w:bidi w:val="0"/>
        <w:spacing w:line="400" w:lineRule="exact"/>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踏勘现场联系人：唐军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00" w:beforeAutospacing="0" w:after="0" w:afterAutospacing="0" w:line="400" w:lineRule="exact"/>
        <w:ind w:left="0" w:right="1336"/>
        <w:jc w:val="left"/>
        <w:rPr>
          <w:rFonts w:hint="eastAsia" w:ascii="宋体" w:hAnsi="宋体" w:eastAsia="宋体" w:cs="宋体"/>
          <w:sz w:val="24"/>
          <w:szCs w:val="24"/>
          <w:highlight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宋体" w:hAnsi="宋体" w:eastAsia="宋体" w:cs="宋体"/>
          <w:kern w:val="0"/>
          <w:sz w:val="24"/>
          <w:szCs w:val="24"/>
          <w:highlight w:val="none"/>
          <w:lang w:val="en-US" w:eastAsia="zh-CN" w:bidi="ar"/>
        </w:rPr>
        <w:t>15626206169</w:t>
      </w:r>
    </w:p>
    <w:p>
      <w:pPr>
        <w:pStyle w:val="25"/>
        <w:keepNext w:val="0"/>
        <w:keepLines w:val="0"/>
        <w:pageBreakBefore w:val="0"/>
        <w:kinsoku/>
        <w:wordWrap/>
        <w:overflowPunct/>
        <w:topLinePunct w:val="0"/>
        <w:autoSpaceDE/>
        <w:autoSpaceDN/>
        <w:bidi w:val="0"/>
        <w:adjustRightInd w:val="0"/>
        <w:snapToGrid w:val="0"/>
        <w:spacing w:line="400" w:lineRule="exact"/>
        <w:ind w:firstLine="0" w:firstLineChars="0"/>
        <w:rPr>
          <w:rFonts w:hint="eastAsia" w:ascii="仿宋_GB2312" w:eastAsia="仿宋_GB2312" w:hAnsiTheme="minorHAnsi"/>
          <w:color w:val="auto"/>
          <w:sz w:val="28"/>
          <w:szCs w:val="28"/>
          <w:highlight w:val="none"/>
          <w:u w:val="none"/>
        </w:rPr>
      </w:pPr>
    </w:p>
    <w:p>
      <w:pPr>
        <w:keepNext w:val="0"/>
        <w:keepLines w:val="0"/>
        <w:pageBreakBefore w:val="0"/>
        <w:kinsoku/>
        <w:wordWrap/>
        <w:overflowPunct/>
        <w:topLinePunct w:val="0"/>
        <w:autoSpaceDE/>
        <w:autoSpaceDN/>
        <w:bidi w:val="0"/>
        <w:adjustRightInd w:val="0"/>
        <w:snapToGrid w:val="0"/>
        <w:spacing w:line="4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 xml:space="preserve">年 </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u w:val="single"/>
        </w:rPr>
        <w:t> </w:t>
      </w:r>
      <w:r>
        <w:rPr>
          <w:rFonts w:hint="eastAsia" w:ascii="仿宋_GB2312" w:eastAsia="仿宋_GB2312"/>
          <w:sz w:val="28"/>
          <w:szCs w:val="28"/>
          <w:highlight w:val="none"/>
        </w:rPr>
        <w:t>月 </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749"/>
      <w:bookmarkStart w:id="15" w:name="_Toc32588"/>
      <w:bookmarkStart w:id="16" w:name="_Toc7340"/>
      <w:bookmarkStart w:id="17" w:name="_Toc9448"/>
      <w:bookmarkStart w:id="18" w:name="_Toc25603"/>
      <w:bookmarkStart w:id="19" w:name="_Toc16705"/>
      <w:bookmarkStart w:id="20" w:name="_Toc16557"/>
      <w:bookmarkStart w:id="21" w:name="_Toc19295"/>
      <w:bookmarkStart w:id="22" w:name="_Toc2324"/>
      <w:bookmarkStart w:id="23" w:name="_Toc2331"/>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5648;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numPr>
          <w:ilvl w:val="0"/>
          <w:numId w:val="4"/>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rFonts w:ascii="仿宋_GB2312" w:eastAsia="仿宋_GB2312" w:hAnsiTheme="majorEastAsia"/>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6"/>
        <w:rPr>
          <w:color w:val="auto"/>
          <w:highlight w:val="none"/>
        </w:rPr>
      </w:pPr>
    </w:p>
    <w:p>
      <w:pPr>
        <w:pStyle w:val="4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37"/>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6"/>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759"/>
      <w:bookmarkStart w:id="35" w:name="_Toc23581"/>
      <w:bookmarkStart w:id="36" w:name="_Toc3156"/>
      <w:bookmarkStart w:id="37" w:name="_Toc14552"/>
      <w:bookmarkStart w:id="38" w:name="_Toc7118"/>
      <w:bookmarkStart w:id="39" w:name="_Toc10930"/>
      <w:bookmarkStart w:id="40" w:name="_Toc4952"/>
      <w:bookmarkStart w:id="41" w:name="_Toc19050"/>
      <w:bookmarkStart w:id="42" w:name="_Toc14870"/>
      <w:bookmarkStart w:id="43" w:name="_Toc7437"/>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6"/>
        <w:rPr>
          <w:color w:val="auto"/>
          <w:highlight w:val="none"/>
        </w:rPr>
      </w:pPr>
    </w:p>
    <w:p>
      <w:pPr>
        <w:pStyle w:val="3"/>
        <w:rPr>
          <w:color w:val="auto"/>
          <w:highlight w:val="none"/>
        </w:rPr>
      </w:pPr>
      <w:bookmarkStart w:id="45" w:name="_Toc22212"/>
      <w:bookmarkStart w:id="46" w:name="_Toc30530"/>
      <w:bookmarkStart w:id="47" w:name="_Toc6308"/>
      <w:bookmarkStart w:id="48" w:name="_Toc13898"/>
      <w:bookmarkStart w:id="49" w:name="_Toc32607"/>
      <w:bookmarkStart w:id="50" w:name="_Toc29345"/>
      <w:bookmarkStart w:id="51" w:name="_Toc88209941"/>
      <w:bookmarkStart w:id="52" w:name="_Toc21840"/>
      <w:bookmarkStart w:id="53" w:name="_Toc29484"/>
      <w:bookmarkStart w:id="54" w:name="_Toc12177"/>
      <w:bookmarkStart w:id="55" w:name="_Toc21079"/>
      <w:bookmarkStart w:id="56" w:name="_Toc7831"/>
      <w:bookmarkStart w:id="57" w:name="_Toc8761637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6672;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5"/>
        <w:ind w:firstLine="320" w:firstLineChars="10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 xml:space="preserve">项目一 </w:t>
      </w:r>
      <w:r>
        <w:rPr>
          <w:rFonts w:hint="eastAsia" w:cs="宋体"/>
          <w:b/>
          <w:bCs/>
          <w:i w:val="0"/>
          <w:iCs w:val="0"/>
          <w:color w:val="000000"/>
          <w:kern w:val="0"/>
          <w:sz w:val="32"/>
          <w:szCs w:val="32"/>
          <w:highlight w:val="none"/>
          <w:u w:val="none"/>
          <w:lang w:val="en-US" w:eastAsia="zh-CN" w:bidi="ar"/>
        </w:rPr>
        <w:t>猎德分公司隔膜式气压罐</w:t>
      </w:r>
    </w:p>
    <w:p>
      <w:pPr>
        <w:pStyle w:val="25"/>
        <w:ind w:firstLine="280" w:firstLineChars="100"/>
        <w:rPr>
          <w:rFonts w:hint="eastAsia" w:cs="宋体"/>
          <w:b/>
          <w:bCs/>
          <w:sz w:val="28"/>
          <w:szCs w:val="28"/>
          <w:highlight w:val="none"/>
          <w:u w:val="none"/>
          <w:lang w:val="en-US" w:eastAsia="zh-CN"/>
        </w:rPr>
      </w:pPr>
    </w:p>
    <w:p>
      <w:pPr>
        <w:pStyle w:val="14"/>
        <w:numPr>
          <w:ilvl w:val="0"/>
          <w:numId w:val="5"/>
        </w:numPr>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2个隔膜式气压罐。</w:t>
      </w:r>
    </w:p>
    <w:p>
      <w:pPr>
        <w:pStyle w:val="2"/>
        <w:rPr>
          <w:rFonts w:hint="eastAsia"/>
          <w:highlight w:val="none"/>
          <w:lang w:val="zh-CN" w:eastAsia="zh-CN"/>
        </w:rPr>
      </w:pPr>
    </w:p>
    <w:p>
      <w:pPr>
        <w:pStyle w:val="14"/>
        <w:numPr>
          <w:ilvl w:val="0"/>
          <w:numId w:val="6"/>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keepNext w:val="0"/>
        <w:keepLines w:val="0"/>
        <w:widowControl/>
        <w:numPr>
          <w:ilvl w:val="0"/>
          <w:numId w:val="7"/>
        </w:numPr>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技术参数：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563"/>
        <w:gridCol w:w="2965"/>
        <w:gridCol w:w="99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rPr>
            </w:pPr>
            <w:r>
              <w:rPr>
                <w:rFonts w:hint="eastAsia"/>
                <w:highlight w:val="none"/>
              </w:rPr>
              <w:t>序号</w:t>
            </w:r>
          </w:p>
        </w:tc>
        <w:tc>
          <w:tcPr>
            <w:tcW w:w="2563" w:type="dxa"/>
            <w:vAlign w:val="center"/>
          </w:tcPr>
          <w:p>
            <w:pPr>
              <w:jc w:val="center"/>
              <w:rPr>
                <w:highlight w:val="none"/>
              </w:rPr>
            </w:pPr>
            <w:r>
              <w:rPr>
                <w:rFonts w:hint="eastAsia"/>
                <w:highlight w:val="none"/>
              </w:rPr>
              <w:t>名称</w:t>
            </w:r>
          </w:p>
        </w:tc>
        <w:tc>
          <w:tcPr>
            <w:tcW w:w="2965" w:type="dxa"/>
            <w:vAlign w:val="center"/>
          </w:tcPr>
          <w:p>
            <w:pPr>
              <w:jc w:val="center"/>
              <w:rPr>
                <w:highlight w:val="none"/>
              </w:rPr>
            </w:pPr>
            <w:r>
              <w:rPr>
                <w:rFonts w:hint="eastAsia"/>
                <w:highlight w:val="none"/>
              </w:rPr>
              <w:t>规格</w:t>
            </w:r>
          </w:p>
        </w:tc>
        <w:tc>
          <w:tcPr>
            <w:tcW w:w="992" w:type="dxa"/>
            <w:vAlign w:val="center"/>
          </w:tcPr>
          <w:p>
            <w:pPr>
              <w:jc w:val="center"/>
              <w:rPr>
                <w:highlight w:val="none"/>
              </w:rPr>
            </w:pPr>
            <w:r>
              <w:rPr>
                <w:rFonts w:hint="eastAsia"/>
                <w:highlight w:val="none"/>
              </w:rPr>
              <w:t>单位</w:t>
            </w:r>
          </w:p>
        </w:tc>
        <w:tc>
          <w:tcPr>
            <w:tcW w:w="947" w:type="dxa"/>
            <w:vAlign w:val="center"/>
          </w:tcPr>
          <w:p>
            <w:pPr>
              <w:jc w:val="center"/>
              <w:rPr>
                <w:highlight w:val="none"/>
              </w:rPr>
            </w:pPr>
            <w:r>
              <w:rPr>
                <w:rFonts w:hint="eastAsia"/>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rPr>
            </w:pPr>
            <w:r>
              <w:rPr>
                <w:rFonts w:hint="eastAsia"/>
                <w:highlight w:val="none"/>
              </w:rPr>
              <w:t>1</w:t>
            </w:r>
          </w:p>
        </w:tc>
        <w:tc>
          <w:tcPr>
            <w:tcW w:w="2563" w:type="dxa"/>
            <w:vAlign w:val="center"/>
          </w:tcPr>
          <w:p>
            <w:pPr>
              <w:jc w:val="center"/>
              <w:rPr>
                <w:highlight w:val="none"/>
              </w:rPr>
            </w:pPr>
            <w:r>
              <w:rPr>
                <w:rFonts w:hint="eastAsia"/>
                <w:highlight w:val="none"/>
              </w:rPr>
              <w:t>隔膜式气压罐</w:t>
            </w:r>
          </w:p>
        </w:tc>
        <w:tc>
          <w:tcPr>
            <w:tcW w:w="2965" w:type="dxa"/>
            <w:vAlign w:val="center"/>
          </w:tcPr>
          <w:p>
            <w:pPr>
              <w:rPr>
                <w:rFonts w:hint="eastAsia" w:ascii="宋体" w:hAnsi="宋体" w:eastAsia="宋体" w:cs="宋体"/>
                <w:highlight w:val="none"/>
                <w:lang w:eastAsia="zh-CN"/>
              </w:rPr>
            </w:pPr>
            <w:r>
              <w:rPr>
                <w:rFonts w:hint="eastAsia" w:ascii="宋体" w:hAnsi="宋体" w:eastAsia="宋体" w:cs="宋体"/>
                <w:highlight w:val="none"/>
                <w:lang w:eastAsia="zh-CN"/>
              </w:rPr>
              <w:t>钢质外壳；</w:t>
            </w:r>
          </w:p>
          <w:p>
            <w:pPr>
              <w:rPr>
                <w:rFonts w:hint="eastAsia" w:ascii="宋体" w:hAnsi="宋体" w:eastAsia="宋体" w:cs="宋体"/>
                <w:highlight w:val="none"/>
                <w:lang w:eastAsia="zh-CN"/>
              </w:rPr>
            </w:pPr>
            <w:r>
              <w:rPr>
                <w:rFonts w:hint="eastAsia" w:ascii="宋体" w:hAnsi="宋体" w:eastAsia="宋体" w:cs="宋体"/>
                <w:highlight w:val="none"/>
                <w:lang w:eastAsia="zh-CN"/>
              </w:rPr>
              <w:t>橡胶隔膜内胆；</w:t>
            </w:r>
          </w:p>
          <w:p>
            <w:pPr>
              <w:pStyle w:val="2"/>
              <w:rPr>
                <w:rFonts w:hint="eastAsia" w:ascii="宋体" w:hAnsi="宋体" w:eastAsia="宋体" w:cs="宋体"/>
                <w:highlight w:val="none"/>
              </w:rPr>
            </w:pPr>
            <w:r>
              <w:rPr>
                <w:rFonts w:hint="eastAsia" w:ascii="宋体" w:hAnsi="宋体" w:eastAsia="宋体" w:cs="宋体"/>
                <w:highlight w:val="none"/>
              </w:rPr>
              <w:t>压力容器类别：I；</w:t>
            </w:r>
          </w:p>
          <w:p>
            <w:pPr>
              <w:rPr>
                <w:rFonts w:hint="eastAsia" w:ascii="宋体" w:hAnsi="宋体" w:eastAsia="宋体" w:cs="宋体"/>
                <w:highlight w:val="none"/>
                <w:lang w:eastAsia="zh-CN"/>
              </w:rPr>
            </w:pPr>
            <w:r>
              <w:rPr>
                <w:rFonts w:hint="eastAsia" w:ascii="宋体" w:hAnsi="宋体" w:eastAsia="宋体" w:cs="宋体"/>
                <w:highlight w:val="none"/>
                <w:lang w:eastAsia="zh-CN"/>
              </w:rPr>
              <w:t>设计压力：≥1MPa；</w:t>
            </w:r>
          </w:p>
          <w:p>
            <w:pPr>
              <w:rPr>
                <w:highlight w:val="none"/>
                <w:lang w:eastAsia="zh-CN"/>
              </w:rPr>
            </w:pPr>
            <w:r>
              <w:rPr>
                <w:rFonts w:hint="eastAsia" w:ascii="宋体" w:hAnsi="宋体" w:eastAsia="宋体" w:cs="宋体"/>
                <w:highlight w:val="none"/>
                <w:lang w:eastAsia="zh-CN"/>
              </w:rPr>
              <w:t>耐压试验压力：≥1.25MPa；最高允许工作压力：0.8 MPa；容积≥4.6m</w:t>
            </w:r>
            <w:r>
              <w:rPr>
                <w:rFonts w:hint="eastAsia" w:ascii="宋体" w:hAnsi="宋体" w:eastAsia="宋体" w:cs="宋体"/>
                <w:highlight w:val="none"/>
                <w:vertAlign w:val="superscript"/>
                <w:lang w:eastAsia="zh-CN"/>
              </w:rPr>
              <w:t>3</w:t>
            </w:r>
            <w:r>
              <w:rPr>
                <w:rFonts w:hint="eastAsia" w:ascii="宋体" w:hAnsi="宋体" w:eastAsia="宋体" w:cs="宋体"/>
                <w:highlight w:val="none"/>
                <w:lang w:eastAsia="zh-CN"/>
              </w:rPr>
              <w:t>。</w:t>
            </w:r>
          </w:p>
        </w:tc>
        <w:tc>
          <w:tcPr>
            <w:tcW w:w="992" w:type="dxa"/>
            <w:vAlign w:val="center"/>
          </w:tcPr>
          <w:p>
            <w:pPr>
              <w:jc w:val="center"/>
              <w:rPr>
                <w:highlight w:val="none"/>
              </w:rPr>
            </w:pPr>
            <w:r>
              <w:rPr>
                <w:rFonts w:hint="eastAsia"/>
                <w:highlight w:val="none"/>
              </w:rPr>
              <w:t>个</w:t>
            </w:r>
          </w:p>
        </w:tc>
        <w:tc>
          <w:tcPr>
            <w:tcW w:w="947" w:type="dxa"/>
            <w:vAlign w:val="center"/>
          </w:tcPr>
          <w:p>
            <w:pPr>
              <w:jc w:val="center"/>
              <w:rPr>
                <w:highlight w:val="none"/>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lang w:eastAsia="zh-CN"/>
              </w:rPr>
            </w:pPr>
            <w:r>
              <w:rPr>
                <w:rFonts w:hint="eastAsia"/>
                <w:highlight w:val="none"/>
                <w:lang w:eastAsia="zh-CN"/>
              </w:rPr>
              <w:t>2</w:t>
            </w:r>
          </w:p>
        </w:tc>
        <w:tc>
          <w:tcPr>
            <w:tcW w:w="2563" w:type="dxa"/>
            <w:vAlign w:val="center"/>
          </w:tcPr>
          <w:p>
            <w:pPr>
              <w:jc w:val="center"/>
              <w:rPr>
                <w:highlight w:val="none"/>
              </w:rPr>
            </w:pPr>
            <w:r>
              <w:rPr>
                <w:rFonts w:hint="eastAsia"/>
                <w:highlight w:val="none"/>
              </w:rPr>
              <w:t>配套阀门及管道</w:t>
            </w:r>
          </w:p>
        </w:tc>
        <w:tc>
          <w:tcPr>
            <w:tcW w:w="2965" w:type="dxa"/>
            <w:vAlign w:val="center"/>
          </w:tcPr>
          <w:p>
            <w:pPr>
              <w:jc w:val="center"/>
              <w:rPr>
                <w:sz w:val="28"/>
                <w:highlight w:val="none"/>
                <w:lang w:eastAsia="zh-CN"/>
              </w:rPr>
            </w:pPr>
            <w:r>
              <w:rPr>
                <w:rFonts w:hint="eastAsia"/>
                <w:highlight w:val="none"/>
                <w:lang w:eastAsia="zh-CN"/>
              </w:rPr>
              <w:t>与所供隔膜式气压罐和现场使用匹配</w:t>
            </w:r>
          </w:p>
        </w:tc>
        <w:tc>
          <w:tcPr>
            <w:tcW w:w="992" w:type="dxa"/>
            <w:vAlign w:val="center"/>
          </w:tcPr>
          <w:p>
            <w:pPr>
              <w:jc w:val="center"/>
              <w:rPr>
                <w:highlight w:val="none"/>
              </w:rPr>
            </w:pPr>
            <w:r>
              <w:rPr>
                <w:rFonts w:hint="eastAsia"/>
                <w:highlight w:val="none"/>
              </w:rPr>
              <w:t>套</w:t>
            </w:r>
          </w:p>
        </w:tc>
        <w:tc>
          <w:tcPr>
            <w:tcW w:w="947" w:type="dxa"/>
            <w:vAlign w:val="center"/>
          </w:tcPr>
          <w:p>
            <w:pPr>
              <w:jc w:val="center"/>
              <w:rPr>
                <w:highlight w:val="none"/>
                <w:lang w:eastAsia="zh-CN"/>
              </w:rPr>
            </w:pPr>
            <w:r>
              <w:rPr>
                <w:rFonts w:hint="eastAsia"/>
                <w:highlight w:val="none"/>
                <w:lang w:eastAsia="zh-CN"/>
              </w:rPr>
              <w:t>2</w:t>
            </w:r>
          </w:p>
        </w:tc>
      </w:tr>
    </w:tbl>
    <w:p>
      <w:pPr>
        <w:pStyle w:val="7"/>
        <w:rPr>
          <w:rFonts w:hint="eastAsia"/>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隔膜式气压罐采用钢质外壳，内胆为橡胶隔膜，压力容器类别：I。设计压力：1MPa，耐压试验压力：1.25MPa，最高允许工作压力：0.8 MPa，容积4.6m</w:t>
      </w:r>
      <w:r>
        <w:rPr>
          <w:rFonts w:hint="eastAsia" w:ascii="仿宋" w:hAnsi="仿宋" w:eastAsia="仿宋" w:cs="仿宋"/>
          <w:sz w:val="28"/>
          <w:szCs w:val="28"/>
          <w:highlight w:val="none"/>
          <w:vertAlign w:val="superscript"/>
        </w:rPr>
        <w:t>3</w:t>
      </w:r>
      <w:r>
        <w:rPr>
          <w:rFonts w:hint="eastAsia" w:ascii="仿宋" w:hAnsi="仿宋" w:eastAsia="仿宋" w:cs="仿宋"/>
          <w:sz w:val="28"/>
          <w:szCs w:val="28"/>
          <w:highlight w:val="none"/>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配备机械式压力表及压力传感器，或是电接点压力表，并配有智能控制面板，面板可查看隔膜式气压罐状态。</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需对原有旧隔膜式气压罐及旧管道阀门进行拆除。</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所供隔膜式气压罐间的管道及阀门管径无要求，接入原管道段的中水管为DN200。</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ascii="仿宋_GB2312" w:hAnsi="Calibri"/>
          <w:sz w:val="32"/>
          <w:szCs w:val="32"/>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val="en-US" w:eastAsia="zh-CN"/>
        </w:rPr>
        <w:t>选</w:t>
      </w:r>
      <w:r>
        <w:rPr>
          <w:rFonts w:hint="eastAsia" w:ascii="仿宋" w:hAnsi="仿宋" w:eastAsia="仿宋" w:cs="仿宋"/>
          <w:sz w:val="28"/>
          <w:szCs w:val="28"/>
          <w:highlight w:val="none"/>
        </w:rPr>
        <w:t>单位需办理隔膜式气压罐特种设备委托具有资质的第三方进行检定，并向管理所告知备案。</w:t>
      </w:r>
    </w:p>
    <w:p>
      <w:pPr>
        <w:pStyle w:val="25"/>
        <w:ind w:left="0" w:leftChars="0" w:firstLine="0" w:firstLineChars="0"/>
        <w:rPr>
          <w:rFonts w:hint="eastAsia" w:ascii="仿宋_GB2312" w:eastAsia="仿宋_GB2312"/>
          <w:color w:val="auto"/>
          <w:sz w:val="28"/>
          <w:szCs w:val="28"/>
          <w:highlight w:val="none"/>
        </w:rPr>
      </w:pPr>
    </w:p>
    <w:p>
      <w:pPr>
        <w:spacing w:line="360" w:lineRule="auto"/>
        <w:rPr>
          <w:rFonts w:hint="eastAsia" w:ascii="仿宋" w:hAnsi="仿宋" w:eastAsia="仿宋" w:cs="仿宋"/>
          <w:b/>
          <w:sz w:val="28"/>
          <w:szCs w:val="28"/>
          <w:highlight w:val="none"/>
          <w:lang w:eastAsia="zh-CN"/>
        </w:rPr>
      </w:pPr>
      <w:r>
        <w:rPr>
          <w:rFonts w:hint="eastAsia" w:ascii="仿宋_GB2312" w:eastAsia="仿宋_GB2312"/>
          <w:b/>
          <w:bCs/>
          <w:color w:val="auto"/>
          <w:sz w:val="28"/>
          <w:szCs w:val="28"/>
          <w:highlight w:val="none"/>
        </w:rPr>
        <w:t>三、</w:t>
      </w:r>
      <w:r>
        <w:rPr>
          <w:rFonts w:hint="eastAsia" w:ascii="仿宋" w:hAnsi="仿宋" w:eastAsia="仿宋" w:cs="仿宋"/>
          <w:b/>
          <w:sz w:val="28"/>
          <w:szCs w:val="28"/>
          <w:highlight w:val="none"/>
          <w:lang w:eastAsia="zh-CN"/>
        </w:rPr>
        <w:t>施工安全标准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1.基本个人防护</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(1)安全帽要求:在有效期内并贴有安全帽合格证</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)五点式安全带要求: 安全带需符合GB6095规定要求并配有说明书。</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)安全绳要求:安全绳需符合GB24543规定要求</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2.施工临时用电</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电缆敷设要求:采用绝缘架空材料或电缆三角支架。根据现场电缆长度配置，临时用电线路架空高度不低于 2.5米，道路不低于5米。</w:t>
      </w:r>
    </w:p>
    <w:p>
      <w:pPr>
        <w:pStyle w:val="25"/>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标准: 电箱要离地 1.5 米防雨金属箱体，控制电箱要求一机一闸一漏，满足轴流式通风机、水泵及其他用电设备功率，选用动作电流不大于 30毫安，动作时间不大于 0.1秒的漏电开关。</w:t>
      </w:r>
    </w:p>
    <w:p>
      <w:pPr>
        <w:pStyle w:val="2"/>
        <w:numPr>
          <w:ilvl w:val="0"/>
          <w:numId w:val="0"/>
        </w:num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费用说明</w:t>
      </w:r>
    </w:p>
    <w:p>
      <w:pPr>
        <w:pStyle w:val="25"/>
        <w:ind w:firstLine="560" w:firstLineChars="200"/>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eastAsia="zh-CN"/>
        </w:rPr>
        <w:t>2台原有隔膜式储压罐拆除、安装新隔膜式储压罐、储压罐相连管道阀门拆装调试及特种设备管理所办理告知备案，采用包工、包料、包机械、包安装、包工期、包质量、包安全、包文明施工；综合单价包干。</w:t>
      </w:r>
    </w:p>
    <w:p>
      <w:pPr>
        <w:pStyle w:val="25"/>
        <w:ind w:firstLine="0"/>
        <w:rPr>
          <w:rFonts w:hint="eastAsia" w:cs="宋体"/>
          <w:b/>
          <w:bCs/>
          <w:sz w:val="32"/>
          <w:szCs w:val="32"/>
          <w:highlight w:val="none"/>
          <w:lang w:val="en-US" w:eastAsia="zh-CN"/>
        </w:rPr>
      </w:pPr>
    </w:p>
    <w:p>
      <w:pPr>
        <w:pStyle w:val="25"/>
        <w:ind w:firstLine="0" w:firstLineChars="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项目二 猎德分公司起重设备</w:t>
      </w:r>
    </w:p>
    <w:p>
      <w:pPr>
        <w:pStyle w:val="25"/>
        <w:ind w:firstLine="0" w:firstLineChars="0"/>
        <w:rPr>
          <w:rFonts w:hint="eastAsia" w:ascii="宋体" w:eastAsia="等线" w:cs="宋体"/>
          <w:b/>
          <w:bCs/>
          <w:color w:val="000000"/>
          <w:sz w:val="28"/>
          <w:szCs w:val="28"/>
          <w:highlight w:val="none"/>
          <w:u w:val="none"/>
          <w:lang w:val="en-US" w:eastAsia="zh-CN"/>
        </w:rPr>
      </w:pPr>
    </w:p>
    <w:p>
      <w:pPr>
        <w:pStyle w:val="14"/>
        <w:numPr>
          <w:ilvl w:val="0"/>
          <w:numId w:val="0"/>
        </w:numPr>
        <w:adjustRightInd w:val="0"/>
        <w:snapToGrid w:val="0"/>
        <w:spacing w:line="300" w:lineRule="auto"/>
        <w:ind w:leftChars="0"/>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en-US" w:eastAsia="zh-CN"/>
        </w:rPr>
        <w:t>一、</w:t>
      </w: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2台起重机为5T电动单梁桥式起重机，一期生化池的4台起重机为2T电动单梁起重机，费用包含原起重设备拆除，新起重设备（同级别）安装、调试及检验，使新起重设备达到使用要求。</w:t>
      </w:r>
    </w:p>
    <w:p>
      <w:pPr>
        <w:pStyle w:val="14"/>
        <w:numPr>
          <w:ilvl w:val="0"/>
          <w:numId w:val="0"/>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val="zh-CN"/>
        </w:rPr>
        <w:t>项目技术要求</w:t>
      </w:r>
    </w:p>
    <w:p>
      <w:pPr>
        <w:autoSpaceDE/>
        <w:autoSpaceDN/>
        <w:spacing w:line="360" w:lineRule="auto"/>
        <w:ind w:firstLine="560" w:firstLineChars="200"/>
        <w:rPr>
          <w:rFonts w:ascii="仿宋_GB2312" w:hAnsi="仿宋" w:eastAsia="仿宋_GB2312" w:cs="宋体"/>
          <w:sz w:val="32"/>
          <w:szCs w:val="32"/>
          <w:highlight w:val="none"/>
          <w:lang w:eastAsia="zh-CN"/>
        </w:rPr>
      </w:pPr>
      <w:r>
        <w:rPr>
          <w:rFonts w:hint="eastAsia" w:ascii="仿宋_GB2312" w:hAnsi="仿宋_GB2312" w:eastAsia="仿宋_GB2312" w:cs="仿宋_GB2312"/>
          <w:b w:val="0"/>
          <w:bCs/>
          <w:color w:val="000000"/>
          <w:sz w:val="28"/>
          <w:szCs w:val="28"/>
          <w:highlight w:val="none"/>
          <w:lang w:val="en-US" w:eastAsia="zh-CN"/>
        </w:rPr>
        <w:t>1.</w:t>
      </w:r>
      <w:r>
        <w:rPr>
          <w:rFonts w:hint="eastAsia" w:ascii="仿宋_GB2312" w:hAnsi="仿宋" w:eastAsia="仿宋_GB2312" w:cs="宋体"/>
          <w:sz w:val="28"/>
          <w:szCs w:val="28"/>
          <w:highlight w:val="none"/>
          <w:lang w:eastAsia="zh-CN"/>
        </w:rPr>
        <w:t>目前在用的主要设备如下：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设备名称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w:t>
            </w:r>
            <w:r>
              <w:rPr>
                <w:rFonts w:hint="eastAsia"/>
                <w:highlight w:val="none"/>
                <w:vertAlign w:val="baseline"/>
                <w:lang w:val="en-US" w:eastAsia="zh-CN"/>
              </w:rPr>
              <w:t>桥式</w:t>
            </w:r>
            <w:r>
              <w:rPr>
                <w:rFonts w:hint="eastAsia"/>
                <w:highlight w:val="none"/>
                <w:vertAlign w:val="baseline"/>
                <w:lang w:eastAsia="zh-CN"/>
              </w:rPr>
              <w:t>起重机</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规格型号或</w:t>
            </w:r>
            <w:r>
              <w:rPr>
                <w:rFonts w:hint="eastAsia"/>
                <w:highlight w:val="none"/>
                <w:vertAlign w:val="baseline"/>
                <w:lang w:eastAsia="zh-CN"/>
              </w:rPr>
              <w:t>参数</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LD-5T-18M-6.5M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CD-2T-9M-6.5M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数量（台）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2</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投产时间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厂家</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安装地点</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一二三期提升泵房粗格栅间/细格栅间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一期生化池池面（1A/1B/2A/2B）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eastAsia"/>
                <w:highlight w:val="none"/>
                <w:vertAlign w:val="baseline"/>
                <w:lang w:eastAsia="zh-CN"/>
              </w:rPr>
            </w:pPr>
            <w:r>
              <w:rPr>
                <w:rFonts w:hint="eastAsia"/>
                <w:highlight w:val="none"/>
                <w:vertAlign w:val="baseline"/>
                <w:lang w:val="en-US" w:eastAsia="zh-CN"/>
              </w:rPr>
              <w:t>额定起升载荷</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5T</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跨度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起升高度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18m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9m</w:t>
            </w:r>
          </w:p>
        </w:tc>
      </w:tr>
    </w:tbl>
    <w:p>
      <w:pPr>
        <w:pStyle w:val="14"/>
        <w:numPr>
          <w:ilvl w:val="0"/>
          <w:numId w:val="0"/>
        </w:numPr>
        <w:adjustRightInd w:val="0"/>
        <w:snapToGrid w:val="0"/>
        <w:spacing w:line="300" w:lineRule="auto"/>
        <w:rPr>
          <w:rFonts w:hint="default" w:ascii="仿宋_GB2312" w:hAnsi="仿宋_GB2312" w:eastAsia="仿宋_GB2312" w:cs="仿宋_GB2312"/>
          <w:b w:val="0"/>
          <w:bCs/>
          <w:color w:val="000000"/>
          <w:sz w:val="28"/>
          <w:szCs w:val="28"/>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b w:val="0"/>
          <w:bCs/>
          <w:color w:val="000000"/>
          <w:sz w:val="28"/>
          <w:szCs w:val="28"/>
          <w:highlight w:val="none"/>
          <w:lang w:val="en-US" w:eastAsia="zh-CN"/>
        </w:rPr>
      </w:pPr>
    </w:p>
    <w:p>
      <w:pPr>
        <w:spacing w:line="360" w:lineRule="auto"/>
        <w:rPr>
          <w:rFonts w:hint="default" w:eastAsia="宋体"/>
          <w:b/>
          <w:bCs w:val="0"/>
          <w:sz w:val="24"/>
          <w:szCs w:val="24"/>
          <w:highlight w:val="none"/>
          <w:lang w:val="en-US" w:eastAsia="zh-CN"/>
        </w:rPr>
      </w:pPr>
      <w:r>
        <w:rPr>
          <w:rFonts w:hint="eastAsia" w:ascii="仿宋_GB2312" w:hAnsi="仿宋_GB2312" w:eastAsia="仿宋_GB2312" w:cs="仿宋_GB2312"/>
          <w:b w:val="0"/>
          <w:bCs/>
          <w:color w:val="000000"/>
          <w:kern w:val="2"/>
          <w:sz w:val="28"/>
          <w:szCs w:val="28"/>
          <w:highlight w:val="none"/>
          <w:lang w:val="en-US" w:eastAsia="zh-CN" w:bidi="ar-SA"/>
        </w:rPr>
        <w:t>2.项目要求</w:t>
      </w:r>
    </w:p>
    <w:p>
      <w:pPr>
        <w:autoSpaceDE/>
        <w:autoSpaceDN/>
        <w:spacing w:line="360" w:lineRule="auto"/>
        <w:ind w:firstLine="560" w:firstLineChars="200"/>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本项目施工前需提供设备样本、选型说明等技术文件，交业主单位选型小组进行评审，按评审后进行安装施工。</w:t>
      </w:r>
    </w:p>
    <w:p>
      <w:pPr>
        <w:autoSpaceDE/>
        <w:autoSpaceDN/>
        <w:spacing w:line="360" w:lineRule="auto"/>
        <w:ind w:firstLine="560" w:firstLineChars="200"/>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设备需满足图纸、规范要求及使用要求，其使用效果应达到设计和生产使用功能并与厂区整体工艺系统相匹配。具体需求如下文所述，未尽事宜以设计图纸为准。</w:t>
      </w:r>
    </w:p>
    <w:p>
      <w:pPr>
        <w:pStyle w:val="2"/>
        <w:rPr>
          <w:highlight w:val="none"/>
          <w:lang w:eastAsia="zh-CN"/>
        </w:rPr>
      </w:pPr>
      <w:r>
        <w:rPr>
          <w:rFonts w:ascii="仿宋_GB2312" w:hAnsi="仿宋" w:eastAsia="仿宋_GB2312" w:cs="宋体"/>
          <w:sz w:val="32"/>
          <w:szCs w:val="32"/>
          <w:highlight w:val="none"/>
          <w:lang w:eastAsia="zh-CN"/>
        </w:rPr>
        <w:drawing>
          <wp:inline distT="0" distB="0" distL="114300" distR="114300">
            <wp:extent cx="4664710" cy="5450840"/>
            <wp:effectExtent l="0" t="0" r="254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664710" cy="5450840"/>
                    </a:xfrm>
                    <a:prstGeom prst="rect">
                      <a:avLst/>
                    </a:prstGeom>
                    <a:noFill/>
                    <a:ln>
                      <a:noFill/>
                    </a:ln>
                  </pic:spPr>
                </pic:pic>
              </a:graphicData>
            </a:graphic>
          </wp:inline>
        </w:drawing>
      </w:r>
    </w:p>
    <w:p>
      <w:pPr>
        <w:pStyle w:val="2"/>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（一）技术要求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1、执行标准</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起重机设计规范（GB/T 3811）</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电动单梁起重机（JB</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1306-2008）</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起重机试验规范和程序（GB/T 5905）</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起重机械安全规程（GB/T 6067）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涂覆涂料前钢材表面处理（GB/T 8923）</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起重机电控设备（JB/T 4315）</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标牌</w:t>
      </w:r>
      <w:r>
        <w:rPr>
          <w:rFonts w:hint="eastAsia" w:ascii="仿宋_GB2312" w:hAnsi="仿宋_GB2312" w:eastAsia="仿宋_GB2312" w:cs="仿宋_GB2312"/>
          <w:sz w:val="28"/>
          <w:szCs w:val="28"/>
          <w:highlight w:val="none"/>
          <w:lang w:eastAsia="zh-CN"/>
        </w:rPr>
        <w:t>（GB/T 13306）</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起重机械无线遥控装置（JB/T 8437）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钢丝绳电动葫芦（JB/T 9008.1）</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起重机无损检测（JB/T 10559）</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起重机械超载保护装置安全技术规范（GB 12602）</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起重机械试验规范和程序（GB 5905）</w:t>
      </w:r>
    </w:p>
    <w:p>
      <w:pPr>
        <w:numPr>
          <w:ilvl w:val="0"/>
          <w:numId w:val="8"/>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电动单梁起重机</w:t>
      </w:r>
      <w:r>
        <w:rPr>
          <w:rFonts w:hint="eastAsia" w:ascii="仿宋_GB2312" w:hAnsi="仿宋_GB2312" w:eastAsia="仿宋_GB2312" w:cs="仿宋_GB2312"/>
          <w:sz w:val="28"/>
          <w:szCs w:val="28"/>
          <w:highlight w:val="none"/>
          <w:lang w:val="en-US" w:eastAsia="zh-CN"/>
        </w:rPr>
        <w:t>的型式、基本参数、技术要求、试验方法、检验规则及标志、包装、运输等内容须满足JB/T 1306—2008规范中的要求。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供货设备的制造商具有完善的质量保证体系，必须通过ISO9000系列质量标准体系认证，且在有效期内。同时具备《中华人民共和国特种设备制造许可证(起重机械)》，获准从事招标要求规格型号的起重机械的制造、安装、改造、维修资格。</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（3）所有设备均应由通过ISO9000系列标准认证的制造厂商来提供。它们应适用于设计的最大工作条件要求，所有零部件的设计应按照现行国家标准或不低于此的标准执行，其在材料极限强度的基础上考虑不小于 5 的安全系数，并保证在最恶劣的环境中使用寿命最长。设备主体和采用的驱动机构必须是由同一制造商提供的最终产品，且在三年内没有运行不良记录，整机设计使用寿命应不小于 20 年。大修周期不少于 5 年。</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所有同型号的设备及其部件均能互换。更新部分的机械配件应是精确的并符合规定公差，根据制造商图纸制作的替换件可容易地安装。承包商须充分考虑设备安装现场的实际环境、土建施工条件和运行轨道的实际尺寸，以便保证轨道铺设正确。</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bidi="ar-SA"/>
        </w:rPr>
        <w:t>（5）起重设备及其所带电动葫</w:t>
      </w:r>
      <w:r>
        <w:rPr>
          <w:rFonts w:hint="eastAsia" w:ascii="仿宋_GB2312" w:hAnsi="仿宋_GB2312" w:eastAsia="仿宋_GB2312" w:cs="仿宋_GB2312"/>
          <w:sz w:val="28"/>
          <w:szCs w:val="28"/>
          <w:highlight w:val="none"/>
          <w:lang w:val="en-US" w:eastAsia="zh-CN"/>
        </w:rPr>
        <w:t>芦和运行小车等装置应易于移位，并能进行提升或下降被起吊物。</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（6）供应商对上述所列起重机的设计、制作、检验和验收应满足有关规范、标准的要求，起重机各部件选用优质钢材制造，保证安全、可靠运行。</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（7）供应商应满足设计要求，如果供应商在详细设计时需要变更数据，应及时提交买方，协商一致方可变更。</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（8）起重机的大车、小车、主钩的行驶速度均为变速可调，调节方式应在响应文件中</w:t>
      </w:r>
      <w:r>
        <w:rPr>
          <w:rFonts w:hint="eastAsia" w:ascii="仿宋_GB2312" w:hAnsi="仿宋_GB2312" w:eastAsia="仿宋_GB2312" w:cs="仿宋_GB2312"/>
          <w:sz w:val="28"/>
          <w:szCs w:val="28"/>
          <w:highlight w:val="none"/>
          <w:lang w:val="en-US" w:eastAsia="zh-CN"/>
        </w:rPr>
        <w:t>给予详细说明</w:t>
      </w:r>
      <w:r>
        <w:rPr>
          <w:rFonts w:hint="eastAsia" w:ascii="仿宋_GB2312" w:hAnsi="仿宋_GB2312" w:eastAsia="仿宋_GB2312" w:cs="仿宋_GB2312"/>
          <w:sz w:val="28"/>
          <w:szCs w:val="28"/>
          <w:highlight w:val="none"/>
          <w:lang w:val="en-US" w:eastAsia="zh-CN"/>
        </w:rPr>
        <w:t>。</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（9）主钩的提升速度应有微调特性，在任何载荷下升降平稳、就位准确。供应商在响应文件中要对起重机的大车、小车、主钩和副钩的调节速度范围</w:t>
      </w:r>
      <w:r>
        <w:rPr>
          <w:rFonts w:hint="eastAsia" w:ascii="仿宋_GB2312" w:hAnsi="仿宋_GB2312" w:eastAsia="仿宋_GB2312" w:cs="仿宋_GB2312"/>
          <w:sz w:val="28"/>
          <w:szCs w:val="28"/>
          <w:highlight w:val="none"/>
          <w:lang w:val="en-US" w:eastAsia="zh-CN"/>
        </w:rPr>
        <w:t>作详细说明</w:t>
      </w:r>
      <w:r>
        <w:rPr>
          <w:rFonts w:hint="eastAsia" w:ascii="仿宋_GB2312" w:hAnsi="仿宋_GB2312" w:eastAsia="仿宋_GB2312" w:cs="仿宋_GB2312"/>
          <w:sz w:val="28"/>
          <w:szCs w:val="28"/>
          <w:highlight w:val="none"/>
          <w:lang w:val="en-US" w:eastAsia="zh-CN"/>
        </w:rPr>
        <w:t>。</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（10）起重机运行噪音低于80dB (A)。</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（11）起重机的大小车运行机构的设计应允许在空载全速运行时，在断掉电源的情况下与缓冲器碰撞。</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（12）大车、小车和起升机构应有可靠的制动系统及终点行程限位装置和缓冲装置。滑轮组的水平与垂直应严格控制在范围内，不允许发生“啃轨”现象。</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（13）吊钩应采用优质碳素钢锻制，并提供材料理化分析、制造检验报告每个吊钩设防止钢丝绳脱落的安全装置。</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（14）起升机构上升极限设两道保护装置，缓冲器采用聚氨酷材料。起重机在制动闸失灵时，吊件应在控制速度下落，起升机构采用液压推杆制动器，每个制动器的安全系数不低于1.25倍。</w:t>
      </w:r>
    </w:p>
    <w:p>
      <w:pPr>
        <w:pStyle w:val="25"/>
        <w:ind w:left="0" w:leftChars="0"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bidi="ar-SA"/>
        </w:rPr>
        <w:t>（15）所有传动部件应有可靠的润滑。</w:t>
      </w:r>
    </w:p>
    <w:p>
      <w:pPr>
        <w:pStyle w:val="25"/>
        <w:ind w:left="0" w:leftChars="0" w:firstLine="0" w:firstLineChars="0"/>
        <w:rPr>
          <w:rFonts w:hint="eastAsia" w:ascii="仿宋_GB2312" w:hAnsi="仿宋_GB2312" w:eastAsia="仿宋_GB2312" w:cs="仿宋_GB2312"/>
          <w:sz w:val="28"/>
          <w:szCs w:val="28"/>
          <w:highlight w:val="none"/>
        </w:rPr>
      </w:pPr>
    </w:p>
    <w:p>
      <w:pPr>
        <w:autoSpaceDE/>
        <w:autoSpaceDN/>
        <w:spacing w:line="36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（二）</w:t>
      </w:r>
      <w:r>
        <w:rPr>
          <w:rFonts w:hint="eastAsia" w:ascii="仿宋_GB2312" w:hAnsi="仿宋_GB2312" w:eastAsia="仿宋_GB2312" w:cs="仿宋_GB2312"/>
          <w:b/>
          <w:bCs/>
          <w:sz w:val="28"/>
          <w:szCs w:val="28"/>
          <w:highlight w:val="none"/>
          <w:lang w:val="en-US" w:eastAsia="zh-CN"/>
        </w:rPr>
        <w:t>施工</w:t>
      </w:r>
      <w:r>
        <w:rPr>
          <w:rFonts w:hint="eastAsia" w:ascii="仿宋_GB2312" w:hAnsi="仿宋_GB2312" w:eastAsia="仿宋_GB2312" w:cs="仿宋_GB2312"/>
          <w:b/>
          <w:bCs/>
          <w:sz w:val="28"/>
          <w:szCs w:val="28"/>
          <w:highlight w:val="none"/>
          <w:lang w:eastAsia="zh-CN"/>
        </w:rPr>
        <w:t>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1、设备安装要求</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施工前需根据现场情况及设计要求核对安装数据，所有更换的设备需依照构筑物的结构尺寸进行加工定制，不得因设备尺寸有差异而对原有构筑物进行改造；</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施工包括将成套旧起重设备及轨道进行拆除及安装，如需对构筑物、设备等进行拆卸，安装完后须恢复原样</w:t>
      </w:r>
      <w:r>
        <w:rPr>
          <w:rFonts w:hint="eastAsia" w:ascii="仿宋_GB2312" w:hAnsi="仿宋_GB2312" w:eastAsia="仿宋_GB2312" w:cs="仿宋_GB2312"/>
          <w:sz w:val="28"/>
          <w:szCs w:val="28"/>
          <w:highlight w:val="none"/>
          <w:lang w:eastAsia="zh-CN"/>
        </w:rPr>
        <w:t>；</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安装单位必须持有相应的资质证书；安装人员须持证上岗；安装人员必须经过专业培训,熟练掌握起重设备的安装方法；</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安装完成后按标准进行无载试运行。需要技术人员现场指导调试，确保各项功能正常。试运行通过后,方可投入使用。</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2、工期</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项目工期</w:t>
      </w:r>
      <w:r>
        <w:rPr>
          <w:rFonts w:hint="eastAsia" w:ascii="仿宋_GB2312" w:hAnsi="仿宋_GB2312" w:eastAsia="仿宋_GB2312" w:cs="仿宋_GB2312"/>
          <w:sz w:val="28"/>
          <w:szCs w:val="28"/>
          <w:highlight w:val="none"/>
          <w:lang w:val="en-US" w:eastAsia="zh-CN"/>
        </w:rPr>
        <w:t>60</w:t>
      </w:r>
      <w:r>
        <w:rPr>
          <w:rFonts w:hint="eastAsia" w:ascii="仿宋_GB2312" w:hAnsi="仿宋_GB2312" w:eastAsia="仿宋_GB2312" w:cs="仿宋_GB2312"/>
          <w:sz w:val="28"/>
          <w:szCs w:val="28"/>
          <w:highlight w:val="none"/>
          <w:lang w:eastAsia="zh-CN"/>
        </w:rPr>
        <w:t>天（</w:t>
      </w:r>
      <w:r>
        <w:rPr>
          <w:rFonts w:hint="eastAsia" w:ascii="仿宋_GB2312" w:hAnsi="仿宋_GB2312" w:eastAsia="仿宋_GB2312" w:cs="仿宋_GB2312"/>
          <w:sz w:val="28"/>
          <w:szCs w:val="28"/>
          <w:highlight w:val="none"/>
          <w:lang w:val="en-US" w:eastAsia="zh-CN"/>
        </w:rPr>
        <w:t>含货期</w:t>
      </w:r>
      <w:r>
        <w:rPr>
          <w:rFonts w:hint="eastAsia" w:ascii="仿宋_GB2312" w:hAnsi="仿宋_GB2312" w:eastAsia="仿宋_GB2312" w:cs="仿宋_GB2312"/>
          <w:sz w:val="28"/>
          <w:szCs w:val="28"/>
          <w:highlight w:val="none"/>
          <w:lang w:eastAsia="zh-CN"/>
        </w:rPr>
        <w:t>）；</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合同签订后7天内按净水公司要求提交安全备案资料及其他进场所需资料。</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3、施工技术要求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项目施工计划需配合各生产线的调配计划，不影响厂区</w:t>
      </w:r>
      <w:r>
        <w:rPr>
          <w:rFonts w:hint="eastAsia" w:ascii="仿宋_GB2312" w:hAnsi="仿宋_GB2312" w:eastAsia="仿宋_GB2312" w:cs="仿宋_GB2312"/>
          <w:sz w:val="28"/>
          <w:szCs w:val="28"/>
          <w:highlight w:val="none"/>
          <w:lang w:val="en-US" w:eastAsia="zh-CN"/>
        </w:rPr>
        <w:t>其他设备的正常运行</w:t>
      </w:r>
      <w:r>
        <w:rPr>
          <w:rFonts w:hint="eastAsia" w:ascii="仿宋_GB2312" w:hAnsi="仿宋_GB2312" w:eastAsia="仿宋_GB2312" w:cs="仿宋_GB2312"/>
          <w:sz w:val="28"/>
          <w:szCs w:val="28"/>
          <w:highlight w:val="none"/>
          <w:lang w:eastAsia="zh-CN"/>
        </w:rPr>
        <w:t>；</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人员、设备、物资配备应满足施工需要和安全规定，施工期间应严格遵守业主单位的安全要求；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施工人员应建立作业标准，明确施工工艺，严格按照施工组织设计和施工进度进行施工；</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设备安装完成后，需按业主要求将</w:t>
      </w:r>
      <w:r>
        <w:rPr>
          <w:rFonts w:hint="eastAsia" w:ascii="仿宋_GB2312" w:hAnsi="仿宋_GB2312" w:eastAsia="仿宋_GB2312" w:cs="仿宋_GB2312"/>
          <w:sz w:val="28"/>
          <w:szCs w:val="28"/>
          <w:highlight w:val="none"/>
          <w:lang w:val="en-US" w:eastAsia="zh-CN"/>
        </w:rPr>
        <w:t>泵房、</w:t>
      </w:r>
      <w:r>
        <w:rPr>
          <w:rFonts w:hint="eastAsia" w:ascii="仿宋_GB2312" w:hAnsi="仿宋_GB2312" w:eastAsia="仿宋_GB2312" w:cs="仿宋_GB2312"/>
          <w:sz w:val="28"/>
          <w:szCs w:val="28"/>
          <w:highlight w:val="none"/>
          <w:lang w:eastAsia="zh-CN"/>
        </w:rPr>
        <w:t>池体各配套设施及周边环境恢复原状。</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br w:type="page"/>
      </w:r>
    </w:p>
    <w:p>
      <w:pPr>
        <w:autoSpaceDE/>
        <w:autoSpaceDN/>
        <w:spacing w:line="360" w:lineRule="auto"/>
        <w:rPr>
          <w:rFonts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（三）</w:t>
      </w:r>
      <w:r>
        <w:rPr>
          <w:rFonts w:hint="eastAsia" w:ascii="仿宋_GB2312" w:hAnsi="仿宋_GB2312" w:cs="仿宋_GB2312"/>
          <w:b/>
          <w:bCs/>
          <w:sz w:val="32"/>
          <w:szCs w:val="32"/>
          <w:highlight w:val="none"/>
          <w:lang w:val="en-US" w:eastAsia="zh-CN"/>
        </w:rPr>
        <w:t>起重</w:t>
      </w:r>
      <w:r>
        <w:rPr>
          <w:rFonts w:hint="eastAsia" w:ascii="仿宋_GB2312" w:hAnsi="仿宋_GB2312" w:cs="仿宋_GB2312"/>
          <w:b/>
          <w:bCs/>
          <w:sz w:val="32"/>
          <w:szCs w:val="32"/>
          <w:highlight w:val="none"/>
          <w:lang w:eastAsia="zh-CN"/>
        </w:rPr>
        <w:t>设备规格清单</w:t>
      </w:r>
    </w:p>
    <w:tbl>
      <w:tblPr>
        <w:tblStyle w:val="26"/>
        <w:tblW w:w="4998" w:type="pct"/>
        <w:tblInd w:w="0" w:type="dxa"/>
        <w:tblLayout w:type="fixed"/>
        <w:tblCellMar>
          <w:top w:w="0" w:type="dxa"/>
          <w:left w:w="108" w:type="dxa"/>
          <w:bottom w:w="0" w:type="dxa"/>
          <w:right w:w="108" w:type="dxa"/>
        </w:tblCellMar>
      </w:tblPr>
      <w:tblGrid>
        <w:gridCol w:w="877"/>
        <w:gridCol w:w="1568"/>
        <w:gridCol w:w="6273"/>
      </w:tblGrid>
      <w:tr>
        <w:tblPrEx>
          <w:tblCellMar>
            <w:top w:w="0" w:type="dxa"/>
            <w:left w:w="108" w:type="dxa"/>
            <w:bottom w:w="0" w:type="dxa"/>
            <w:right w:w="108" w:type="dxa"/>
          </w:tblCellMar>
        </w:tblPrEx>
        <w:trPr>
          <w:trHeight w:val="482" w:hRule="atLeast"/>
          <w:tblHeader/>
        </w:trPr>
        <w:tc>
          <w:tcPr>
            <w:tcW w:w="50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序号</w:t>
            </w:r>
          </w:p>
        </w:tc>
        <w:tc>
          <w:tcPr>
            <w:tcW w:w="8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项目名称</w:t>
            </w:r>
          </w:p>
        </w:tc>
        <w:tc>
          <w:tcPr>
            <w:tcW w:w="35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规格要求</w:t>
            </w:r>
          </w:p>
        </w:tc>
      </w:tr>
      <w:tr>
        <w:tblPrEx>
          <w:tblCellMar>
            <w:top w:w="0" w:type="dxa"/>
            <w:left w:w="108" w:type="dxa"/>
            <w:bottom w:w="0" w:type="dxa"/>
            <w:right w:w="108" w:type="dxa"/>
          </w:tblCellMar>
        </w:tblPrEx>
        <w:trPr>
          <w:trHeight w:val="576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电动单梁桥式起重机型式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根据一二三期提升泵房粗格栅间及细格栅间的室内空间情况，起升机构的位置及运行方式可从以下3种方式中进行选用，具体</w:t>
            </w:r>
            <w:r>
              <w:rPr>
                <w:rFonts w:hint="eastAsia" w:ascii="仿宋_GB2312" w:hAnsi="仿宋" w:eastAsia="仿宋_GB2312" w:cs="宋体"/>
                <w:sz w:val="28"/>
                <w:szCs w:val="28"/>
                <w:highlight w:val="none"/>
                <w:lang w:eastAsia="zh-CN"/>
              </w:rPr>
              <w:t>选型交业主单位选型小组进行评审，按评审后进行安装施工</w:t>
            </w:r>
            <w:r>
              <w:rPr>
                <w:rFonts w:hint="eastAsia" w:ascii="仿宋_GB2312" w:hAnsi="仿宋" w:eastAsia="仿宋_GB2312" w:cs="宋体"/>
                <w:sz w:val="28"/>
                <w:szCs w:val="28"/>
                <w:highlight w:val="none"/>
                <w:lang w:val="en-US" w:eastAsia="zh-CN"/>
              </w:rPr>
              <w:t>:</w:t>
            </w:r>
          </w:p>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a)电动葫芦小车在主梁下翼缘运行，配用标准建筑高度小车的起重机如图1所示：</w:t>
            </w:r>
          </w:p>
          <w:p>
            <w:pPr>
              <w:pStyle w:val="25"/>
              <w:ind w:left="0" w:leftChars="0" w:firstLine="0" w:firstLineChars="0"/>
              <w:rPr>
                <w:rFonts w:hint="default"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47135" cy="1661160"/>
                  <wp:effectExtent l="0" t="0" r="571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747135" cy="1661160"/>
                          </a:xfrm>
                          <a:prstGeom prst="rect">
                            <a:avLst/>
                          </a:prstGeom>
                          <a:noFill/>
                          <a:ln>
                            <a:noFill/>
                          </a:ln>
                        </pic:spPr>
                      </pic:pic>
                    </a:graphicData>
                  </a:graphic>
                </wp:inline>
              </w:drawing>
            </w:r>
          </w:p>
          <w:p>
            <w:pPr>
              <w:pStyle w:val="25"/>
              <w:ind w:left="0" w:leftChars="0" w:firstLine="560" w:firstLineChars="20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rPr>
              <w:t>b)</w:t>
            </w:r>
            <w:r>
              <w:rPr>
                <w:rFonts w:hint="default" w:ascii="仿宋_GB2312" w:hAnsi="仿宋" w:eastAsia="仿宋_GB2312" w:cs="宋体"/>
                <w:sz w:val="28"/>
                <w:szCs w:val="28"/>
                <w:highlight w:val="none"/>
                <w:lang w:val="en-US" w:eastAsia="zh-CN" w:bidi="ar-SA"/>
              </w:rPr>
              <w:t>配用低建筑高度小车的起重机如图2所示</w:t>
            </w:r>
            <w:r>
              <w:rPr>
                <w:rFonts w:hint="eastAsia" w:ascii="仿宋_GB2312" w:hAnsi="仿宋" w:eastAsia="仿宋_GB2312" w:cs="宋体"/>
                <w:sz w:val="28"/>
                <w:szCs w:val="28"/>
                <w:highlight w:val="none"/>
                <w:lang w:val="en-US" w:eastAsia="zh-CN" w:bidi="ar-SA"/>
              </w:rPr>
              <w:t>：</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50310" cy="16275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750310" cy="1627505"/>
                          </a:xfrm>
                          <a:prstGeom prst="rect">
                            <a:avLst/>
                          </a:prstGeom>
                          <a:noFill/>
                          <a:ln>
                            <a:noFill/>
                          </a:ln>
                        </pic:spPr>
                      </pic:pic>
                    </a:graphicData>
                  </a:graphic>
                </wp:inline>
              </w:drawing>
            </w:r>
          </w:p>
          <w:p>
            <w:pPr>
              <w:pStyle w:val="25"/>
              <w:ind w:left="0" w:leftChars="0" w:firstLine="0" w:firstLineChars="0"/>
              <w:rPr>
                <w:rFonts w:hint="default"/>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502" w:type="pct"/>
            <w:vMerge w:val="restart"/>
            <w:tcBorders>
              <w:top w:val="single" w:color="000000" w:sz="4" w:space="0"/>
              <w:left w:val="single" w:color="000000" w:sz="8"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电动单梁桥式起重机LD-5T-18M-6.5M基本参数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整机工作级别：A5；</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额定起升载荷≥5t；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3、跨度：6.5m；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4、起升电动机参数：9.1kw/380V/3相/50Hz；</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5、运行电动机参数：</w:t>
            </w:r>
            <w:r>
              <w:rPr>
                <w:rFonts w:hint="eastAsia" w:ascii="仿宋_GB2312" w:hAnsi="仿宋" w:eastAsia="仿宋_GB2312" w:cs="宋体"/>
                <w:sz w:val="28"/>
                <w:szCs w:val="28"/>
                <w:highlight w:val="none"/>
                <w:lang w:val="en-US" w:eastAsia="zh-CN"/>
              </w:rPr>
              <w:t>1Kw</w:t>
            </w:r>
            <w:r>
              <w:rPr>
                <w:rFonts w:hint="eastAsia" w:ascii="仿宋_GB2312" w:hAnsi="仿宋" w:eastAsia="仿宋_GB2312" w:cs="宋体"/>
                <w:sz w:val="28"/>
                <w:szCs w:val="28"/>
                <w:highlight w:val="none"/>
                <w:lang w:val="en-US" w:eastAsia="zh-CN"/>
              </w:rPr>
              <w:t>/380V/3相/50Hz；</w:t>
            </w:r>
          </w:p>
          <w:p>
            <w:pPr>
              <w:autoSpaceDE/>
              <w:autoSpaceDN/>
              <w:spacing w:line="360" w:lineRule="auto"/>
              <w:rPr>
                <w:rFonts w:hint="default"/>
                <w:sz w:val="20"/>
                <w:szCs w:val="21"/>
                <w:highlight w:val="none"/>
                <w:lang w:val="en-US" w:eastAsia="zh-CN"/>
              </w:rPr>
            </w:pPr>
            <w:r>
              <w:rPr>
                <w:rFonts w:hint="eastAsia" w:ascii="仿宋_GB2312" w:hAnsi="仿宋" w:eastAsia="仿宋_GB2312" w:cs="宋体"/>
                <w:sz w:val="28"/>
                <w:szCs w:val="28"/>
                <w:highlight w:val="none"/>
                <w:lang w:val="en-US" w:eastAsia="zh-CN"/>
              </w:rPr>
              <w:t>6、单侧轨道长度≥50.2m；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7、起升高度≥18m；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8、起升速度：8.0m/min；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9、大车（横移）运行速度20.0m/min，小车（纵移）运行速度20.0m/min；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10、安全尺寸应符合上方间隙C</w:t>
            </w:r>
            <w:r>
              <w:rPr>
                <w:rFonts w:hint="eastAsia" w:ascii="仿宋_GB2312" w:hAnsi="仿宋" w:eastAsia="仿宋_GB2312" w:cs="宋体"/>
                <w:sz w:val="28"/>
                <w:szCs w:val="28"/>
                <w:highlight w:val="none"/>
                <w:vertAlign w:val="subscript"/>
                <w:lang w:val="en-US" w:eastAsia="zh-CN"/>
              </w:rPr>
              <w:t>h</w:t>
            </w:r>
            <w:r>
              <w:rPr>
                <w:rFonts w:hint="eastAsia" w:ascii="仿宋_GB2312" w:hAnsi="仿宋" w:eastAsia="仿宋_GB2312" w:cs="宋体"/>
                <w:sz w:val="28"/>
                <w:szCs w:val="28"/>
                <w:highlight w:val="none"/>
                <w:lang w:val="en-US" w:eastAsia="zh-CN"/>
              </w:rPr>
              <w:t>≥200mm，侧方间隙C</w:t>
            </w:r>
            <w:r>
              <w:rPr>
                <w:rFonts w:hint="eastAsia" w:ascii="仿宋_GB2312" w:hAnsi="仿宋" w:eastAsia="仿宋_GB2312" w:cs="宋体"/>
                <w:sz w:val="28"/>
                <w:szCs w:val="28"/>
                <w:highlight w:val="none"/>
                <w:vertAlign w:val="subscript"/>
                <w:lang w:val="en-US" w:eastAsia="zh-CN"/>
              </w:rPr>
              <w:t>b</w:t>
            </w:r>
            <w:r>
              <w:rPr>
                <w:rFonts w:hint="eastAsia" w:ascii="仿宋_GB2312" w:hAnsi="仿宋" w:eastAsia="仿宋_GB2312" w:cs="宋体"/>
                <w:sz w:val="28"/>
                <w:szCs w:val="28"/>
                <w:highlight w:val="none"/>
                <w:lang w:val="en-US" w:eastAsia="zh-CN"/>
              </w:rPr>
              <w:t>≥100mm；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11、电源为三相交流，额定频率为50Hz，额定电压为380V；</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12、吊钩距离提升泵房地面的绝对高度需≥9.4m；</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13、电动机保护等级：IP 55；</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r>
              <w:rPr>
                <w:rFonts w:hint="eastAsia" w:ascii="仿宋_GB2312" w:hAnsi="仿宋" w:eastAsia="仿宋_GB2312" w:cs="宋体"/>
                <w:sz w:val="28"/>
                <w:szCs w:val="28"/>
                <w:highlight w:val="none"/>
                <w:lang w:eastAsia="zh-CN"/>
              </w:rPr>
              <w:t>满足图纸和规范的要求及使用要求。</w:t>
            </w:r>
          </w:p>
        </w:tc>
      </w:tr>
      <w:tr>
        <w:tblPrEx>
          <w:tblCellMar>
            <w:top w:w="0" w:type="dxa"/>
            <w:left w:w="108" w:type="dxa"/>
            <w:bottom w:w="0" w:type="dxa"/>
            <w:right w:w="108" w:type="dxa"/>
          </w:tblCellMar>
        </w:tblPrEx>
        <w:trPr>
          <w:trHeight w:val="90" w:hRule="atLeast"/>
        </w:trPr>
        <w:tc>
          <w:tcPr>
            <w:tcW w:w="502" w:type="pct"/>
            <w:vMerge w:val="continue"/>
            <w:tcBorders>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eastAsia="zh-CN"/>
              </w:rPr>
            </w:pP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电动单梁起重机CD-2T-9M-6.5M基本参数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1、额定起升载荷≥2t；</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2、跨度：6.5m；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3、起升高度≥9m；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4、起升速度：8.0m/min；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5、运行速度：20.0m/min；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6、起升电动机参数：3kw/380V/3相/50Hz；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7、运行电动机参数：0.2kw/380V/3相/50Hz；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8、满足图纸和规范的要求及使用要求。</w:t>
            </w:r>
          </w:p>
        </w:tc>
      </w:tr>
      <w:tr>
        <w:tblPrEx>
          <w:tblCellMar>
            <w:top w:w="0" w:type="dxa"/>
            <w:left w:w="108" w:type="dxa"/>
            <w:bottom w:w="0" w:type="dxa"/>
            <w:right w:w="108" w:type="dxa"/>
          </w:tblCellMar>
        </w:tblPrEx>
        <w:trPr>
          <w:trHeight w:val="129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操纵方式须包括地面有线操纵和无线遥控操纵。</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轨道</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设备轨道为热轧工字钢轨道，其应能承受起重设备起吊达到额定起重量的重物时所产生的各种应力，其安全系数应符合国家有关规范，轨道的两端应设有车档、缓冲器和限位装置，车档由型钢制作，并被牢固的焊接在轨道的端头。</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1、起重机的轨道跨度允许偏差: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(1)当S≤10m时,ΔS=+3mm；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(2)当S&gt;10m时,ΔS=+[3+0.25(S-10)]最大不超过+15mm；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2、轨道顶面对其设计位置的纵向倾斜度不应大于1/1000、每2m测一点，全行程内高低差不应大于10mm。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3、同一截面内两平行轨道的标高相对差不应大于10mm。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4、轨道顶面基准点的标高相对与设计标高的允许偏差为:±10mm。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5、轨道接头应符合下列要求: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焊接时焊条应符合母材的要求, 接头顶面及侧面焊缝应打磨平整光滑。</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鱼尾板联接时, 轨道接头高低差及侧向错位不应大于1mm，间隙不应大于2mm。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6、轨道上的车档宜在吊装起重机前装好，同一跨端两条轨道上的车档与起重机两边的缓冲器均应接触。</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桥架</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1、桥架主要由钢板和型钢焊接及冷作加工而成，包括大梁和端梁，两侧端梁上安装有行走机构。</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2、大梁的下部为起升机构(即电动葫芦)的行走轨道，起重设备的铭牌及标示牌等也均牢固地安装在大梁上，标示牌应醒目地标明设备的额定起重能力。</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3、在起吊额定荷载条件下，大梁的最大允许挠度不应超过 1/700 的跨度。</w:t>
            </w:r>
          </w:p>
        </w:tc>
      </w:tr>
      <w:tr>
        <w:tblPrEx>
          <w:tblCellMar>
            <w:top w:w="0" w:type="dxa"/>
            <w:left w:w="108" w:type="dxa"/>
            <w:bottom w:w="0" w:type="dxa"/>
            <w:right w:w="108" w:type="dxa"/>
          </w:tblCellMar>
        </w:tblPrEx>
        <w:trPr>
          <w:trHeight w:val="5192"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行走机构由驱动电机、减速器、车轮及车轮轴等组成。采用分别驱动方式，行走机构的电机、制动器及减速器等应结合成一整体，并安装在起重机的端梁上，行走机构电机的防护等级为IP56，工作电源为AC380V/3 相/50Hz，可以连续负载运行。</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滑轮应有防止钢丝绳跳出轮槽的装置。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起升、运行、旋转机构都必须装设制动器。</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电动葫芦</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1、控制板悬挂高度为起吊处高出平台1m，控制板上应有电源开(关)、提升、下降和左右行走按钮。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2、每台葫芦及吊钩的容量应满足最重及最深被吊物的安装及卸除，并考虑在水压差的条件下，插板与框架间的摩擦阻力，葫芦的起吊量由相应的插板提升力和其他被吊物来定。</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3、电动葫芦工作电源为 AC380V/3相/50Hz，其防护等级为IP65，绝缘等级 F，电动葫芦至少应配置以下装置: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a）限荷装置，以防止破坏性超载。</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b）能自动工作的制动器，以保证突然停电时，被起吊物不会落下，制动器应有足够的能力以承受葫芦的额定重量。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c)能控制起吊重物上下升降的装置，以及配有可调节的上、下限位开关。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d)锁紧装置，以保证葫芦在起吊重物时与工字钢梁形成一个既结实又稳定的结构。</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供电与控制信号传递装置</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气设备必须保证传动性能和控制性能准确可靠，在紧急情况下，能切断电源，安全停车。起重设备的供电与控制信号传递装置应采用封闭安全型滑触装置，所供电源为AC380V/3相/50Hz。该装置的绝缘护套材料应为优质 PVC 塑料，电介质强度达 180kw/cm，该装置的接电装置应为双绝缘集电器，相地线应按有关标准分色，用手握持该装置的安全程度至少应达到IP23 标准。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电机容量按标准配置。抱闸采用电动方式。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吊车大车、小车、升降、开闭电动机的启动及速度控制采用电阻控制方式，开闭与升降电动机等的动作配合应符合要求。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控制柜、照明等全部电气设备防护等级不得低于IP54。起重机设带有声光报警的主钩上升极限位置限制器，主提升机构反接制动限制器。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电动机防护等级 IP54，绝缘等级为F级，防护等级见数据表。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小车及照明等的输配电缆采用户外重型耐腐蚀橡套软电缆。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电动机每个运行部分都有速度控制器，并有防逆转保护装置。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起重机应有以下保护：短路保护、接地保护、过电流保护、失压保护、零位保护、上升限位保护、紧急断电保护。</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接地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所有电动起重设备均应按国家有关标准可靠接地并进行测试</w:t>
            </w:r>
          </w:p>
        </w:tc>
      </w:tr>
      <w:tr>
        <w:tblPrEx>
          <w:tblCellMar>
            <w:top w:w="0" w:type="dxa"/>
            <w:left w:w="108" w:type="dxa"/>
            <w:bottom w:w="0" w:type="dxa"/>
            <w:right w:w="108" w:type="dxa"/>
          </w:tblCellMar>
        </w:tblPrEx>
        <w:trPr>
          <w:trHeight w:val="15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焊接</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焊缝外观质量要求:焊缝外部检查不应有目测可见的裂纹，孔穴、固体类夹渣、未熔合和未焊透等缺陷。</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对接焊缝无损检测要求:主梁受拉区对接焊缝应进行无损检测，射线检测不应低于GB/T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3323中规定的II级，超声波检测不应低于JB/T 10559中的1级要求</w:t>
            </w:r>
          </w:p>
        </w:tc>
      </w:tr>
      <w:tr>
        <w:tblPrEx>
          <w:tblCellMar>
            <w:top w:w="0" w:type="dxa"/>
            <w:left w:w="108" w:type="dxa"/>
            <w:bottom w:w="0" w:type="dxa"/>
            <w:right w:w="108" w:type="dxa"/>
          </w:tblCellMar>
        </w:tblPrEx>
        <w:trPr>
          <w:trHeight w:val="13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钢材预处理和涂装</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起重机金属结构用钢材应进行表面除锈处理重要构件的除锈质量应达到GB</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8923中的Sa2</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1/2级或St3级，其他构件应达到Sa2级或St2级。</w:t>
            </w:r>
          </w:p>
          <w:p>
            <w:pPr>
              <w:numPr>
                <w:ilvl w:val="0"/>
                <w:numId w:val="0"/>
              </w:numPr>
              <w:autoSpaceDE/>
              <w:autoSpaceDN/>
              <w:spacing w:line="360" w:lineRule="auto"/>
              <w:rPr>
                <w:sz w:val="20"/>
                <w:szCs w:val="21"/>
                <w:highlight w:val="none"/>
                <w:lang w:eastAsia="zh-CN"/>
              </w:rPr>
            </w:pPr>
            <w:r>
              <w:rPr>
                <w:rFonts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起重机在出厂前应进行表面处理并涂装。机构部分，其</w:t>
            </w:r>
            <w:r>
              <w:rPr>
                <w:rFonts w:hint="eastAsia" w:ascii="仿宋_GB2312" w:hAnsi="仿宋" w:eastAsia="仿宋_GB2312" w:cs="宋体"/>
                <w:sz w:val="28"/>
                <w:szCs w:val="28"/>
                <w:highlight w:val="none"/>
                <w:lang w:val="en-US" w:eastAsia="zh-CN"/>
              </w:rPr>
              <w:t>干燥</w:t>
            </w:r>
            <w:r>
              <w:rPr>
                <w:rFonts w:hint="eastAsia" w:ascii="仿宋_GB2312" w:hAnsi="仿宋" w:eastAsia="仿宋_GB2312" w:cs="宋体"/>
                <w:sz w:val="28"/>
                <w:szCs w:val="28"/>
                <w:highlight w:val="none"/>
                <w:lang w:eastAsia="zh-CN"/>
              </w:rPr>
              <w:t>后涂层厚度不小于50um；金属结构部分，油漆漆膜厚度每层为25um~35um，总厚度为75um~105um。不涂装的外露面应采取防锈措施。涂层的漆膜附着力应符合GB/T 9286中规定的I级质量要求。</w:t>
            </w:r>
          </w:p>
        </w:tc>
      </w:tr>
      <w:tr>
        <w:tblPrEx>
          <w:tblCellMar>
            <w:top w:w="0" w:type="dxa"/>
            <w:left w:w="108" w:type="dxa"/>
            <w:bottom w:w="0" w:type="dxa"/>
            <w:right w:w="108" w:type="dxa"/>
          </w:tblCellMar>
        </w:tblPrEx>
        <w:trPr>
          <w:trHeight w:val="1461"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试验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起重机试验应遵循GB/T 5905规定的规范和程序。</w:t>
            </w:r>
          </w:p>
        </w:tc>
      </w:tr>
      <w:tr>
        <w:tblPrEx>
          <w:tblCellMar>
            <w:top w:w="0" w:type="dxa"/>
            <w:left w:w="108" w:type="dxa"/>
            <w:bottom w:w="0" w:type="dxa"/>
            <w:right w:w="108" w:type="dxa"/>
          </w:tblCellMar>
        </w:tblPrEx>
        <w:trPr>
          <w:trHeight w:val="1489"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检验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检验须遵循JB/T 1306-2008规定的规范和程序，必须附有产品合格证明书。</w:t>
            </w:r>
          </w:p>
        </w:tc>
      </w:tr>
      <w:tr>
        <w:tblPrEx>
          <w:tblCellMar>
            <w:top w:w="0" w:type="dxa"/>
            <w:left w:w="108" w:type="dxa"/>
            <w:bottom w:w="0" w:type="dxa"/>
            <w:right w:w="108" w:type="dxa"/>
          </w:tblCellMar>
        </w:tblPrEx>
        <w:trPr>
          <w:trHeight w:val="60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标志</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在起重机主梁跨中位置，应设置醒目的起重量吨位牌，在吨位牌上应标出额定起升载荷。</w:t>
            </w:r>
          </w:p>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每台起重机应在明显的位置上装设标牌，其要求应符合GB/T 13306的规定。标牌上一般应标明下列内容:</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a)制造厂厂名；</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b)产名</w:t>
            </w:r>
            <w:r>
              <w:rPr>
                <w:rFonts w:hint="eastAsia" w:ascii="仿宋_GB2312" w:hAnsi="仿宋" w:eastAsia="仿宋_GB2312" w:cs="宋体"/>
                <w:sz w:val="28"/>
                <w:szCs w:val="28"/>
                <w:highlight w:val="none"/>
                <w:lang w:val="en-US" w:eastAsia="zh-CN"/>
              </w:rPr>
              <w:t>名称；</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c)产品型号；</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出厂日期</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e</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出厂编号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f</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g</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跨度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h</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起升高度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i</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工作速度;</w:t>
            </w:r>
          </w:p>
          <w:p>
            <w:pPr>
              <w:autoSpaceDE/>
              <w:autoSpaceDN/>
              <w:spacing w:line="360" w:lineRule="auto"/>
              <w:rPr>
                <w:rFonts w:hint="eastAsia"/>
                <w:sz w:val="20"/>
                <w:szCs w:val="21"/>
                <w:highlight w:val="none"/>
                <w:lang w:val="en-US" w:eastAsia="zh-CN"/>
              </w:rPr>
            </w:pPr>
            <w:r>
              <w:rPr>
                <w:rFonts w:hint="eastAsia" w:ascii="仿宋_GB2312" w:hAnsi="仿宋" w:eastAsia="仿宋_GB2312" w:cs="宋体"/>
                <w:sz w:val="28"/>
                <w:szCs w:val="28"/>
                <w:highlight w:val="none"/>
                <w:lang w:val="en-US" w:eastAsia="zh-CN"/>
              </w:rPr>
              <w:t>j</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工作级别;</w:t>
            </w:r>
          </w:p>
          <w:p>
            <w:pPr>
              <w:autoSpaceDE/>
              <w:autoSpaceDN/>
              <w:spacing w:line="360" w:lineRule="auto"/>
              <w:rPr>
                <w:sz w:val="20"/>
                <w:szCs w:val="21"/>
                <w:highlight w:val="none"/>
                <w:lang w:eastAsia="zh-CN"/>
              </w:rPr>
            </w:pPr>
            <w:r>
              <w:rPr>
                <w:rFonts w:hint="eastAsia" w:ascii="仿宋_GB2312" w:hAnsi="仿宋" w:eastAsia="仿宋_GB2312" w:cs="宋体"/>
                <w:sz w:val="28"/>
                <w:szCs w:val="28"/>
                <w:highlight w:val="none"/>
                <w:lang w:val="en-US" w:eastAsia="zh-CN"/>
              </w:rPr>
              <w:t>k)商标及其他。</w:t>
            </w:r>
          </w:p>
        </w:tc>
      </w:tr>
      <w:tr>
        <w:tblPrEx>
          <w:tblCellMar>
            <w:top w:w="0" w:type="dxa"/>
            <w:left w:w="108" w:type="dxa"/>
            <w:bottom w:w="0" w:type="dxa"/>
            <w:right w:w="108" w:type="dxa"/>
          </w:tblCellMar>
        </w:tblPrEx>
        <w:trPr>
          <w:trHeight w:val="618" w:hRule="atLeast"/>
        </w:trPr>
        <w:tc>
          <w:tcPr>
            <w:tcW w:w="500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b/>
                <w:bCs/>
                <w:sz w:val="28"/>
                <w:szCs w:val="28"/>
                <w:highlight w:val="none"/>
                <w:lang w:eastAsia="zh-CN"/>
              </w:rPr>
            </w:pPr>
            <w:r>
              <w:rPr>
                <w:rFonts w:hint="eastAsia" w:ascii="仿宋_GB2312" w:hAnsi="仿宋" w:eastAsia="仿宋_GB2312" w:cs="宋体"/>
                <w:b/>
                <w:bCs/>
                <w:sz w:val="28"/>
                <w:szCs w:val="28"/>
                <w:highlight w:val="none"/>
                <w:lang w:eastAsia="zh-CN"/>
              </w:rPr>
              <w:t>其他</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防腐蚀</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设备及各零部件的全部材料应适用于污水或水面上的腐蚀性气体。</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设备中的各部件应进行合理的防腐处理，并且保证正常使用年限不得低于15年，具体作法由供货商确定，</w:t>
            </w:r>
            <w:r>
              <w:rPr>
                <w:rFonts w:hint="eastAsia" w:ascii="仿宋_GB2312" w:hAnsi="仿宋" w:eastAsia="仿宋_GB2312" w:cs="宋体"/>
                <w:sz w:val="28"/>
                <w:szCs w:val="28"/>
                <w:highlight w:val="none"/>
                <w:lang w:val="en-US" w:eastAsia="zh-CN"/>
              </w:rPr>
              <w:t>响应文件</w:t>
            </w:r>
            <w:r>
              <w:rPr>
                <w:rFonts w:hint="eastAsia" w:ascii="仿宋_GB2312" w:hAnsi="仿宋" w:eastAsia="仿宋_GB2312" w:cs="宋体"/>
                <w:sz w:val="28"/>
                <w:szCs w:val="28"/>
                <w:highlight w:val="none"/>
                <w:lang w:eastAsia="zh-CN"/>
              </w:rPr>
              <w:t>中</w:t>
            </w:r>
            <w:r>
              <w:rPr>
                <w:rFonts w:hint="eastAsia" w:ascii="仿宋_GB2312" w:hAnsi="仿宋" w:eastAsia="仿宋_GB2312" w:cs="宋体"/>
                <w:sz w:val="28"/>
                <w:szCs w:val="28"/>
                <w:highlight w:val="none"/>
                <w:lang w:eastAsia="zh-CN"/>
              </w:rPr>
              <w:t>应予说明</w:t>
            </w:r>
            <w:r>
              <w:rPr>
                <w:rFonts w:hint="eastAsia" w:ascii="仿宋_GB2312" w:hAnsi="仿宋" w:eastAsia="仿宋_GB2312" w:cs="宋体"/>
                <w:sz w:val="28"/>
                <w:szCs w:val="28"/>
                <w:highlight w:val="none"/>
                <w:lang w:val="en-US" w:eastAsia="zh-CN"/>
              </w:rPr>
              <w:t>防腐的做法，加盖单位公章</w:t>
            </w:r>
            <w:r>
              <w:rPr>
                <w:rFonts w:hint="eastAsia" w:ascii="仿宋_GB2312" w:hAnsi="仿宋" w:eastAsia="仿宋_GB2312" w:cs="宋体"/>
                <w:sz w:val="28"/>
                <w:szCs w:val="28"/>
                <w:highlight w:val="none"/>
                <w:lang w:eastAsia="zh-CN"/>
              </w:rPr>
              <w:t>。</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设备检测</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每台设备须经检查试验合格，并附产品合格证和使用维护说明书方可出厂。</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出厂前检验应包括：外观检测、可靠性的检测、其他项目的检测。</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在全部设备安装完毕，</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应进行现场测试，测试内容及测试结果应满足标书的各项技术要求，并得到</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方工程师认可。测试记录交予</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如测试结果不符合要求，</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应负责更换。现场测量工具由</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自备。</w:t>
            </w:r>
          </w:p>
        </w:tc>
      </w:tr>
      <w:tr>
        <w:tblPrEx>
          <w:tblCellMar>
            <w:top w:w="0" w:type="dxa"/>
            <w:left w:w="108" w:type="dxa"/>
            <w:bottom w:w="0" w:type="dxa"/>
            <w:right w:w="108" w:type="dxa"/>
          </w:tblCellMar>
        </w:tblPrEx>
        <w:trPr>
          <w:trHeight w:val="243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设备制造商</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设备应选用技术先进的知名品牌，</w:t>
            </w:r>
            <w:r>
              <w:rPr>
                <w:rFonts w:hint="eastAsia" w:ascii="仿宋_GB2312" w:hAnsi="仿宋" w:eastAsia="仿宋_GB2312" w:cs="宋体"/>
                <w:sz w:val="28"/>
                <w:szCs w:val="28"/>
                <w:highlight w:val="none"/>
                <w:lang w:val="en-US" w:eastAsia="zh-CN"/>
              </w:rPr>
              <w:t>参照徐工、三一重工、</w:t>
            </w:r>
            <w:r>
              <w:rPr>
                <w:rFonts w:hint="eastAsia" w:ascii="仿宋_GB2312" w:hAnsi="仿宋" w:eastAsia="仿宋_GB2312" w:cs="宋体"/>
                <w:sz w:val="28"/>
                <w:szCs w:val="28"/>
                <w:highlight w:val="none"/>
                <w:lang w:val="en-US" w:eastAsia="zh-CN"/>
              </w:rPr>
              <w:t>广起</w:t>
            </w:r>
            <w:r>
              <w:rPr>
                <w:rFonts w:hint="eastAsia" w:ascii="仿宋_GB2312" w:hAnsi="仿宋" w:eastAsia="仿宋_GB2312" w:cs="宋体"/>
                <w:sz w:val="28"/>
                <w:szCs w:val="28"/>
                <w:highlight w:val="none"/>
                <w:lang w:eastAsia="zh-CN"/>
              </w:rPr>
              <w:t>或相当于同档次及以上知名品牌的产品。</w:t>
            </w:r>
          </w:p>
        </w:tc>
      </w:tr>
      <w:tr>
        <w:tblPrEx>
          <w:tblCellMar>
            <w:top w:w="0" w:type="dxa"/>
            <w:left w:w="108" w:type="dxa"/>
            <w:bottom w:w="0" w:type="dxa"/>
            <w:right w:w="108" w:type="dxa"/>
          </w:tblCellMar>
        </w:tblPrEx>
        <w:trPr>
          <w:trHeight w:val="312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资料提交</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供货商</w:t>
            </w:r>
            <w:r>
              <w:rPr>
                <w:rFonts w:hint="eastAsia" w:ascii="仿宋_GB2312" w:hAnsi="仿宋" w:eastAsia="仿宋_GB2312" w:cs="宋体"/>
                <w:sz w:val="28"/>
                <w:szCs w:val="28"/>
                <w:highlight w:val="none"/>
                <w:lang w:val="en-US" w:eastAsia="zh-CN" w:bidi="ar-SA"/>
              </w:rPr>
              <w:t>供货时</w:t>
            </w:r>
            <w:r>
              <w:rPr>
                <w:rFonts w:hint="eastAsia" w:ascii="仿宋_GB2312" w:hAnsi="仿宋" w:eastAsia="仿宋_GB2312" w:cs="宋体"/>
                <w:sz w:val="28"/>
                <w:szCs w:val="28"/>
                <w:highlight w:val="none"/>
                <w:lang w:val="en-US" w:eastAsia="zh-CN" w:bidi="ar-SA"/>
              </w:rPr>
              <w:t>应提交</w:t>
            </w:r>
            <w:r>
              <w:rPr>
                <w:rFonts w:hint="eastAsia" w:ascii="仿宋_GB2312" w:hAnsi="仿宋" w:eastAsia="仿宋_GB2312" w:cs="宋体"/>
                <w:sz w:val="28"/>
                <w:szCs w:val="28"/>
                <w:highlight w:val="none"/>
                <w:lang w:val="en-US" w:eastAsia="zh-CN" w:bidi="ar-SA"/>
              </w:rPr>
              <w:t>下列资料但不限于以下内容：</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1、产品使用维护说明书；</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2、产品合格证明书；</w:t>
            </w:r>
          </w:p>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3、监督检验报告、特种设备使用标志；</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4、装箱单；</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5、备件目录：需定期更换及储备的备品备件和专用工具的详细清单，包括名称、规格、数量、更换年限等。（可编制在使用维护说明书中）；</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6、详细尺寸设计图纸（包括但不限于设备图纸、电气原理图、安装接线图）；</w:t>
            </w:r>
          </w:p>
          <w:p>
            <w:pPr>
              <w:pStyle w:val="25"/>
              <w:ind w:left="0" w:leftChars="0" w:firstLine="0" w:firstLineChars="0"/>
              <w:rPr>
                <w:sz w:val="22"/>
                <w:szCs w:val="22"/>
                <w:highlight w:val="none"/>
                <w:lang w:eastAsia="zh-CN"/>
              </w:rPr>
            </w:pPr>
            <w:r>
              <w:rPr>
                <w:rFonts w:hint="eastAsia" w:ascii="仿宋_GB2312" w:hAnsi="仿宋" w:eastAsia="仿宋_GB2312" w:cs="宋体"/>
                <w:sz w:val="28"/>
                <w:szCs w:val="28"/>
                <w:highlight w:val="none"/>
                <w:lang w:val="en-US" w:eastAsia="zh-CN" w:bidi="ar-SA"/>
              </w:rPr>
              <w:t>7、出厂技术文件。</w:t>
            </w:r>
          </w:p>
        </w:tc>
      </w:tr>
    </w:tbl>
    <w:p>
      <w:pPr>
        <w:pStyle w:val="25"/>
        <w:ind w:firstLine="0"/>
        <w:jc w:val="left"/>
        <w:rPr>
          <w:rFonts w:hint="eastAsia" w:cs="宋体"/>
          <w:b/>
          <w:bCs/>
          <w:sz w:val="32"/>
          <w:szCs w:val="32"/>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项目三 猎德</w:t>
      </w:r>
      <w:r>
        <w:rPr>
          <w:rFonts w:hint="eastAsia" w:ascii="宋体" w:hAnsi="宋体" w:eastAsia="等线" w:cs="宋体"/>
          <w:b/>
          <w:bCs/>
          <w:sz w:val="32"/>
          <w:szCs w:val="32"/>
          <w:highlight w:val="none"/>
          <w:lang w:val="en-US" w:eastAsia="zh-CN"/>
        </w:rPr>
        <w:t>分公司空气压缩机</w:t>
      </w:r>
    </w:p>
    <w:p>
      <w:pPr>
        <w:pStyle w:val="24"/>
        <w:numPr>
          <w:ilvl w:val="0"/>
          <w:numId w:val="0"/>
        </w:numPr>
        <w:rPr>
          <w:rFonts w:hint="eastAsia"/>
          <w:highlight w:val="none"/>
          <w:lang w:val="en-US" w:eastAsia="zh-CN"/>
        </w:rPr>
      </w:pPr>
    </w:p>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猎德分公司本次计划采购一台空气压缩机。</w:t>
      </w:r>
    </w:p>
    <w:p>
      <w:pPr>
        <w:pStyle w:val="24"/>
        <w:numPr>
          <w:ilvl w:val="0"/>
          <w:numId w:val="0"/>
        </w:numPr>
        <w:rPr>
          <w:rFonts w:hint="eastAsia"/>
          <w:highlight w:val="none"/>
        </w:rPr>
      </w:pPr>
    </w:p>
    <w:p>
      <w:pPr>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val="zh-CN"/>
        </w:rPr>
        <w:t>供货范围：</w:t>
      </w:r>
    </w:p>
    <w:p>
      <w:pPr>
        <w:ind w:firstLine="560" w:firstLineChars="200"/>
        <w:rPr>
          <w:rFonts w:ascii="仿宋_GB2312" w:hAnsi="仿宋_GB2312" w:eastAsia="仿宋_GB2312" w:cs="仿宋_GB2312"/>
          <w:sz w:val="28"/>
          <w:szCs w:val="28"/>
          <w:highlight w:val="none"/>
          <w:lang w:val="zh-CN"/>
        </w:rPr>
      </w:pPr>
      <w:r>
        <w:rPr>
          <w:rFonts w:ascii="仿宋_GB2312" w:hAnsi="仿宋_GB2312" w:eastAsia="仿宋_GB2312" w:cs="仿宋_GB2312"/>
          <w:sz w:val="28"/>
          <w:szCs w:val="28"/>
          <w:highlight w:val="none"/>
          <w:lang w:val="zh-CN"/>
        </w:rPr>
        <w:t>总则：标准化的外观、运行、维修、备品备件以及制造商服务，所提供的设备必须是一个制造商的最终产品。每台</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应成套地配备安全、有效及可靠运行所需的附件，</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主要包括，但不限于：</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★装配完整的全新、未经使用的</w:t>
      </w:r>
      <w:r>
        <w:rPr>
          <w:rFonts w:hint="eastAsia" w:ascii="仿宋_GB2312" w:hAnsi="仿宋_GB2312" w:eastAsia="仿宋_GB2312" w:cs="仿宋_GB2312"/>
          <w:sz w:val="28"/>
          <w:szCs w:val="28"/>
          <w:highlight w:val="none"/>
          <w:lang w:val="en-US" w:eastAsia="zh-CN"/>
        </w:rPr>
        <w:t>空气压缩机</w:t>
      </w:r>
      <w:r>
        <w:rPr>
          <w:rFonts w:hint="eastAsia" w:ascii="仿宋_GB2312" w:hAnsi="仿宋_GB2312" w:eastAsia="仿宋_GB2312" w:cs="仿宋_GB2312"/>
          <w:sz w:val="28"/>
          <w:szCs w:val="28"/>
          <w:highlight w:val="none"/>
          <w:lang w:val="zh-CN"/>
        </w:rPr>
        <w:t>；</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空气压缩机可移动式</w:t>
      </w:r>
      <w:r>
        <w:rPr>
          <w:rFonts w:hint="eastAsia" w:ascii="仿宋_GB2312" w:hAnsi="仿宋_GB2312" w:eastAsia="仿宋_GB2312" w:cs="仿宋_GB2312"/>
          <w:sz w:val="28"/>
          <w:szCs w:val="28"/>
          <w:highlight w:val="none"/>
          <w:lang w:val="zh-CN"/>
        </w:rPr>
        <w:t>；</w:t>
      </w:r>
    </w:p>
    <w:p>
      <w:pPr>
        <w:spacing w:line="360" w:lineRule="auto"/>
        <w:rPr>
          <w:rFonts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三、</w:t>
      </w:r>
      <w:r>
        <w:rPr>
          <w:rFonts w:hint="eastAsia" w:ascii="仿宋_GB2312" w:hAnsi="仿宋_GB2312" w:eastAsia="仿宋_GB2312" w:cs="仿宋_GB2312"/>
          <w:kern w:val="2"/>
          <w:sz w:val="28"/>
          <w:szCs w:val="28"/>
          <w:highlight w:val="none"/>
          <w:lang w:val="zh-CN" w:eastAsia="zh-CN" w:bidi="ar-SA"/>
        </w:rPr>
        <w:t>技术参数</w:t>
      </w:r>
    </w:p>
    <w:p>
      <w:pPr>
        <w:spacing w:line="360" w:lineRule="auto"/>
        <w:ind w:firstLine="480" w:firstLineChars="200"/>
        <w:jc w:val="center"/>
        <w:rPr>
          <w:rFonts w:ascii="仿宋_GB2312" w:hAnsi="仿宋_GB2312" w:eastAsia="仿宋_GB2312" w:cs="仿宋_GB2312"/>
          <w:b/>
          <w:bCs/>
          <w:kern w:val="2"/>
          <w:sz w:val="24"/>
          <w:szCs w:val="24"/>
          <w:highlight w:val="none"/>
          <w:lang w:val="zh-CN" w:eastAsia="zh-CN" w:bidi="ar-SA"/>
        </w:rPr>
      </w:pPr>
      <w:r>
        <w:rPr>
          <w:rFonts w:hint="eastAsia" w:ascii="仿宋_GB2312" w:hAnsi="仿宋_GB2312" w:eastAsia="仿宋_GB2312" w:cs="仿宋_GB2312"/>
          <w:b/>
          <w:bCs/>
          <w:kern w:val="2"/>
          <w:sz w:val="24"/>
          <w:szCs w:val="24"/>
          <w:highlight w:val="none"/>
          <w:lang w:val="en-US" w:eastAsia="zh-CN" w:bidi="ar-SA"/>
        </w:rPr>
        <w:t>表1 空气压缩机</w:t>
      </w:r>
      <w:r>
        <w:rPr>
          <w:rFonts w:hint="eastAsia" w:ascii="仿宋_GB2312" w:hAnsi="仿宋_GB2312" w:eastAsia="仿宋_GB2312" w:cs="仿宋_GB2312"/>
          <w:b/>
          <w:bCs/>
          <w:kern w:val="2"/>
          <w:sz w:val="24"/>
          <w:szCs w:val="24"/>
          <w:highlight w:val="none"/>
          <w:lang w:val="zh-CN" w:eastAsia="zh-CN" w:bidi="ar-SA"/>
        </w:rPr>
        <w:t>性能参数</w:t>
      </w:r>
      <w:r>
        <w:rPr>
          <w:rFonts w:ascii="仿宋_GB2312" w:hAnsi="仿宋_GB2312" w:eastAsia="仿宋_GB2312" w:cs="仿宋_GB2312"/>
          <w:b/>
          <w:bCs/>
          <w:kern w:val="2"/>
          <w:sz w:val="24"/>
          <w:szCs w:val="24"/>
          <w:highlight w:val="none"/>
          <w:lang w:val="zh-CN" w:eastAsia="zh-CN" w:bidi="ar-SA"/>
        </w:rPr>
        <w:t>表</w:t>
      </w:r>
    </w:p>
    <w:tbl>
      <w:tblPr>
        <w:tblStyle w:val="26"/>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4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名称</w:t>
            </w:r>
          </w:p>
        </w:tc>
        <w:tc>
          <w:tcPr>
            <w:tcW w:w="4335"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空气压缩机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数量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型式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活塞</w:t>
            </w:r>
            <w:r>
              <w:rPr>
                <w:rFonts w:ascii="仿宋_GB2312" w:hAnsi="仿宋_GB2312" w:eastAsia="仿宋_GB2312" w:cs="仿宋_GB2312"/>
                <w:color w:val="auto"/>
                <w:kern w:val="2"/>
                <w:sz w:val="28"/>
                <w:szCs w:val="28"/>
                <w:highlight w:val="none"/>
                <w:lang w:val="zh-CN" w:eastAsia="zh-CN" w:bidi="ar-SA"/>
              </w:rPr>
              <w:t>式</w:t>
            </w:r>
            <w:r>
              <w:rPr>
                <w:rFonts w:hint="eastAsia" w:ascii="仿宋_GB2312" w:hAnsi="仿宋_GB2312" w:eastAsia="仿宋_GB2312" w:cs="仿宋_GB2312"/>
                <w:color w:val="auto"/>
                <w:kern w:val="2"/>
                <w:sz w:val="28"/>
                <w:szCs w:val="28"/>
                <w:highlight w:val="none"/>
                <w:lang w:val="en-US" w:eastAsia="zh-CN" w:bidi="ar-SA"/>
              </w:rPr>
              <w:t>/螺杆式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公称容积流量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1.4m</w:t>
            </w:r>
            <w:r>
              <w:rPr>
                <w:rFonts w:hint="eastAsia" w:ascii="仿宋_GB2312" w:hAnsi="仿宋_GB2312" w:eastAsia="仿宋_GB2312" w:cs="仿宋_GB2312"/>
                <w:color w:val="auto"/>
                <w:kern w:val="2"/>
                <w:sz w:val="28"/>
                <w:szCs w:val="28"/>
                <w:highlight w:val="none"/>
                <w:vertAlign w:val="superscript"/>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电机功率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11kW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★额定</w:t>
            </w:r>
            <w:r>
              <w:rPr>
                <w:rFonts w:hint="eastAsia" w:ascii="仿宋_GB2312" w:hAnsi="仿宋_GB2312" w:eastAsia="仿宋_GB2312" w:cs="仿宋_GB2312"/>
                <w:color w:val="auto"/>
                <w:kern w:val="2"/>
                <w:sz w:val="28"/>
                <w:szCs w:val="28"/>
                <w:highlight w:val="none"/>
                <w:lang w:val="en-US" w:eastAsia="zh-CN" w:bidi="ar-SA"/>
              </w:rPr>
              <w:t>排气压力</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电机</w:t>
            </w:r>
            <w:r>
              <w:rPr>
                <w:rFonts w:hint="eastAsia" w:ascii="仿宋_GB2312" w:hAnsi="仿宋_GB2312" w:eastAsia="仿宋_GB2312" w:cs="仿宋_GB2312"/>
                <w:color w:val="auto"/>
                <w:kern w:val="2"/>
                <w:sz w:val="28"/>
                <w:szCs w:val="28"/>
                <w:highlight w:val="none"/>
                <w:lang w:val="en-US" w:eastAsia="zh-CN" w:bidi="ar-SA"/>
              </w:rPr>
              <w:t>频</w:t>
            </w:r>
            <w:r>
              <w:rPr>
                <w:rFonts w:hint="eastAsia" w:ascii="仿宋_GB2312" w:hAnsi="仿宋_GB2312" w:eastAsia="仿宋_GB2312" w:cs="仿宋_GB2312"/>
                <w:color w:val="auto"/>
                <w:kern w:val="2"/>
                <w:sz w:val="28"/>
                <w:szCs w:val="28"/>
                <w:highlight w:val="none"/>
                <w:lang w:val="zh-CN" w:eastAsia="zh-CN" w:bidi="ar-SA"/>
              </w:rPr>
              <w:t>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防护等级</w:t>
            </w:r>
          </w:p>
        </w:tc>
        <w:tc>
          <w:tcPr>
            <w:tcW w:w="4335" w:type="dxa"/>
            <w:noWrap w:val="0"/>
            <w:vAlign w:val="center"/>
          </w:tcPr>
          <w:p>
            <w:pPr>
              <w:spacing w:line="360" w:lineRule="auto"/>
              <w:ind w:firstLine="560"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IP</w:t>
            </w:r>
            <w:r>
              <w:rPr>
                <w:rFonts w:hint="eastAsia" w:ascii="仿宋_GB2312" w:hAnsi="仿宋_GB2312" w:eastAsia="仿宋_GB2312" w:cs="仿宋_GB2312"/>
                <w:kern w:val="2"/>
                <w:sz w:val="28"/>
                <w:szCs w:val="28"/>
                <w:highlight w:val="none"/>
                <w:lang w:val="en-US" w:eastAsia="zh-CN" w:bidi="ar-SA"/>
              </w:rPr>
              <w:t>44</w:t>
            </w:r>
          </w:p>
        </w:tc>
      </w:tr>
    </w:tbl>
    <w:p>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4、设备性能</w:t>
      </w:r>
    </w:p>
    <w:p>
      <w:pPr>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设备中的各部件应进行合理的防腐处理，至少保用</w:t>
      </w: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kern w:val="2"/>
          <w:sz w:val="28"/>
          <w:szCs w:val="28"/>
          <w:highlight w:val="none"/>
          <w:lang w:val="zh-CN" w:eastAsia="zh-CN" w:bidi="ar-SA"/>
        </w:rPr>
        <w:t>0年，</w:t>
      </w:r>
      <w:r>
        <w:rPr>
          <w:rFonts w:hint="eastAsia" w:ascii="仿宋_GB2312" w:hAnsi="仿宋_GB2312" w:eastAsia="仿宋_GB2312" w:cs="仿宋_GB2312"/>
          <w:kern w:val="2"/>
          <w:sz w:val="28"/>
          <w:szCs w:val="28"/>
          <w:highlight w:val="none"/>
          <w:lang w:val="en-US" w:eastAsia="zh-CN" w:bidi="ar-SA"/>
        </w:rPr>
        <w:t>响应文件</w:t>
      </w:r>
      <w:r>
        <w:rPr>
          <w:rFonts w:hint="eastAsia" w:ascii="仿宋_GB2312" w:hAnsi="仿宋_GB2312" w:eastAsia="仿宋_GB2312" w:cs="仿宋_GB2312"/>
          <w:kern w:val="2"/>
          <w:sz w:val="28"/>
          <w:szCs w:val="28"/>
          <w:highlight w:val="none"/>
          <w:lang w:val="zh-CN" w:eastAsia="zh-CN" w:bidi="ar-SA"/>
        </w:rPr>
        <w:t>中</w:t>
      </w:r>
      <w:r>
        <w:rPr>
          <w:rFonts w:hint="eastAsia" w:ascii="仿宋_GB2312" w:hAnsi="仿宋_GB2312" w:eastAsia="仿宋_GB2312" w:cs="仿宋_GB2312"/>
          <w:kern w:val="2"/>
          <w:sz w:val="28"/>
          <w:szCs w:val="28"/>
          <w:highlight w:val="none"/>
          <w:lang w:val="zh-CN" w:eastAsia="zh-CN" w:bidi="ar-SA"/>
        </w:rPr>
        <w:t>应予说明</w:t>
      </w:r>
      <w:r>
        <w:rPr>
          <w:rFonts w:hint="eastAsia" w:ascii="仿宋_GB2312" w:hAnsi="仿宋_GB2312" w:eastAsia="仿宋_GB2312" w:cs="仿宋_GB2312"/>
          <w:kern w:val="2"/>
          <w:sz w:val="28"/>
          <w:szCs w:val="28"/>
          <w:highlight w:val="none"/>
          <w:lang w:val="en-US" w:eastAsia="zh-CN" w:bidi="ar-SA"/>
        </w:rPr>
        <w:t>防腐的做法，加盖单位公章</w:t>
      </w:r>
      <w:r>
        <w:rPr>
          <w:rFonts w:hint="eastAsia" w:ascii="仿宋_GB2312" w:hAnsi="仿宋_GB2312" w:eastAsia="仿宋_GB2312" w:cs="仿宋_GB2312"/>
          <w:kern w:val="2"/>
          <w:sz w:val="28"/>
          <w:szCs w:val="28"/>
          <w:highlight w:val="none"/>
          <w:lang w:val="zh-CN" w:eastAsia="zh-CN" w:bidi="ar-SA"/>
        </w:rPr>
        <w:t>。</w:t>
      </w:r>
    </w:p>
    <w:p>
      <w:pPr>
        <w:pStyle w:val="24"/>
        <w:ind w:left="0" w:leftChars="0" w:firstLine="0" w:firstLineChars="0"/>
        <w:rPr>
          <w:rFonts w:hint="eastAsia" w:ascii="宋体" w:hAnsi="宋体" w:eastAsia="宋体" w:cs="宋体"/>
          <w:bCs/>
          <w:sz w:val="24"/>
          <w:szCs w:val="24"/>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项目四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起重设备</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大坦沙分公司本次计划采购3台起重设备，费用包含3台旧设备拆卸、安装设试、起重机运输费及委托检验费。</w:t>
      </w:r>
    </w:p>
    <w:p>
      <w:pPr>
        <w:pStyle w:val="24"/>
        <w:ind w:left="0" w:leftChars="0" w:firstLine="0" w:firstLineChars="0"/>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6"/>
        <w:gridCol w:w="1136"/>
        <w:gridCol w:w="852"/>
        <w:gridCol w:w="1463"/>
        <w:gridCol w:w="957"/>
        <w:gridCol w:w="957"/>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设备型号</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额定载荷/起升高度</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起升速度/电机功率</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小车速度/电机功率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2T/5m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3/0.4kw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0.4kw</w:t>
            </w:r>
          </w:p>
        </w:tc>
      </w:tr>
    </w:tbl>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p>
    <w:tbl>
      <w:tblPr>
        <w:tblStyle w:val="27"/>
        <w:tblpPr w:leftFromText="180" w:rightFromText="180" w:vertAnchor="text" w:horzAnchor="page" w:tblpX="1637" w:tblpY="297"/>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安装要求及内容：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94" w:type="dxa"/>
            <w:gridSpan w:val="2"/>
          </w:tcPr>
          <w:p>
            <w:pPr>
              <w:pStyle w:val="25"/>
              <w:ind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（1）起重机安装调试（含设备的运输、吊装等，安装包括控制装置、保护装置、主机等）</w:t>
            </w:r>
          </w:p>
          <w:p>
            <w:pPr>
              <w:pStyle w:val="25"/>
              <w:ind w:left="0" w:leftChars="0"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2</w:t>
            </w: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操作方式：地操加无线遥控</w:t>
            </w:r>
          </w:p>
          <w:p>
            <w:pPr>
              <w:pStyle w:val="25"/>
              <w:ind w:firstLine="210" w:firstLineChars="100"/>
              <w:rPr>
                <w:rFonts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3</w:t>
            </w:r>
            <w:r>
              <w:rPr>
                <w:rFonts w:hint="eastAsia" w:asciiTheme="minorHAnsi" w:hAnsiTheme="minorHAnsi" w:eastAsiaTheme="minorEastAsia" w:cstheme="minorBidi"/>
                <w:color w:val="auto"/>
                <w:kern w:val="2"/>
                <w:sz w:val="21"/>
                <w:szCs w:val="22"/>
                <w:highlight w:val="none"/>
              </w:rPr>
              <w:t>）施工过程的脚手架搭建费用，人员安全劳保费用，或其他措施费用由报价人自行承担，但一切施工安全措施要求及施工方式应听从询价人安排。</w:t>
            </w:r>
          </w:p>
          <w:p>
            <w:pPr>
              <w:pStyle w:val="25"/>
              <w:ind w:firstLine="210" w:firstLineChars="100"/>
              <w:rPr>
                <w:rFonts w:hint="default" w:eastAsia="宋体" w:cs="宋体"/>
                <w:highlight w:val="none"/>
                <w:lang w:val="en-US"/>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4</w:t>
            </w:r>
            <w:r>
              <w:rPr>
                <w:rFonts w:hint="eastAsia" w:asciiTheme="minorHAnsi" w:hAnsiTheme="minorHAnsi" w:eastAsiaTheme="minorEastAsia" w:cstheme="minorBidi"/>
                <w:color w:val="auto"/>
                <w:kern w:val="2"/>
                <w:sz w:val="21"/>
                <w:szCs w:val="22"/>
                <w:highlight w:val="none"/>
              </w:rPr>
              <w:t>）安装后设备交收前，报价人需做好设备使用安全告知，报价人</w:t>
            </w:r>
            <w:r>
              <w:rPr>
                <w:rFonts w:hint="eastAsia" w:asciiTheme="minorHAnsi" w:hAnsiTheme="minorHAnsi" w:eastAsiaTheme="minorEastAsia" w:cstheme="minorBidi"/>
                <w:color w:val="auto"/>
                <w:kern w:val="2"/>
                <w:sz w:val="21"/>
                <w:szCs w:val="22"/>
                <w:highlight w:val="none"/>
                <w:lang w:val="en-US" w:eastAsia="zh-CN"/>
              </w:rPr>
              <w:t>需根据</w:t>
            </w:r>
            <w:r>
              <w:rPr>
                <w:rFonts w:hint="eastAsia" w:eastAsia="宋体" w:cs="宋体"/>
                <w:color w:val="auto"/>
                <w:kern w:val="2"/>
                <w:sz w:val="28"/>
                <w:szCs w:val="28"/>
                <w:highlight w:val="none"/>
                <w:lang w:val="en-US" w:eastAsia="zh-CN" w:bidi="ar-SA"/>
              </w:rPr>
              <w:t>《</w:t>
            </w:r>
            <w:r>
              <w:rPr>
                <w:rFonts w:hint="eastAsia" w:asciiTheme="minorHAnsi" w:hAnsiTheme="minorHAnsi" w:eastAsiaTheme="minorEastAsia" w:cstheme="minorBidi"/>
                <w:color w:val="auto"/>
                <w:kern w:val="2"/>
                <w:sz w:val="21"/>
                <w:szCs w:val="22"/>
                <w:highlight w:val="none"/>
                <w:lang w:val="en-US" w:eastAsia="zh-CN"/>
              </w:rPr>
              <w:t>TSG Q7015-2016 起重机械定期检验规则》对新安装设备进行委托检验，并提供检验报告。检验费用及检验全流程由报价人负责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设备设计及安装验收标准：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标准名称</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《起重机设计规范》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3811-2008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《起重机械安全规程》</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6067-2015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《钢丝绳电动葫芦》</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JB/T9008.1～2-2014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《起重机械试验规范和程序》</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5905-2011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《桥式和门式起重机制造及轨道安装公差》</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GB/T10183.1-2018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《优质碳素结构钢》</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GB/T699-2015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《起重机电控设备》</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 4315-1997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《电气装置安装工程施工及验收规范》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50169-2016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《机械电气设备》通用技术条件</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GB/T5226.1-2019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《金属材料融焊质量要求》</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GB/T12467.1-2009</w:t>
            </w:r>
          </w:p>
        </w:tc>
      </w:tr>
    </w:tbl>
    <w:p>
      <w:pPr>
        <w:pStyle w:val="2"/>
        <w:rPr>
          <w:rFonts w:hint="eastAsia"/>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w:t>
      </w:r>
      <w:r>
        <w:rPr>
          <w:rFonts w:hint="eastAsia" w:ascii="宋体" w:hAnsi="宋体" w:eastAsia="宋体" w:cs="宋体"/>
          <w:sz w:val="24"/>
          <w:szCs w:val="24"/>
          <w:highlight w:val="none"/>
        </w:rPr>
        <w:t>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项目五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pStyle w:val="24"/>
        <w:ind w:left="0" w:leftChars="0" w:firstLine="560" w:firstLineChars="200"/>
        <w:rPr>
          <w:rFonts w:hint="eastAsia" w:ascii="宋体" w:hAnsi="宋体" w:eastAsia="宋体" w:cs="宋体"/>
          <w:bCs/>
          <w:sz w:val="24"/>
          <w:szCs w:val="24"/>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大坦沙分公司本次计划采购1台空气压缩机。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设备名称</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无油空气压缩机（附属安全附件）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排气量</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0.32m</w:t>
            </w:r>
            <w:r>
              <w:rPr>
                <w:rFonts w:hint="eastAsia" w:ascii="仿宋_GB2312" w:hAnsi="仿宋_GB2312" w:eastAsia="仿宋_GB2312" w:cs="仿宋_GB2312"/>
                <w:sz w:val="24"/>
                <w:szCs w:val="24"/>
                <w:highlight w:val="none"/>
                <w:vertAlign w:val="superscript"/>
                <w:lang w:val="en-US" w:eastAsia="zh-CN"/>
              </w:rPr>
              <w:t>3</w:t>
            </w:r>
            <w:r>
              <w:rPr>
                <w:rFonts w:hint="eastAsia" w:ascii="仿宋_GB2312" w:hAnsi="仿宋_GB2312" w:eastAsia="仿宋_GB2312" w:cs="仿宋_GB2312"/>
                <w:sz w:val="24"/>
                <w:szCs w:val="24"/>
                <w:highlight w:val="none"/>
                <w:vertAlign w:val="baseline"/>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排气压力</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工作介质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容积</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额定温度</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额定功率</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额定电压</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电机转速</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2800r/min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备注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安全附件需在检验校准有效期内</w:t>
            </w:r>
          </w:p>
        </w:tc>
      </w:tr>
    </w:tbl>
    <w:p>
      <w:pPr>
        <w:pStyle w:val="2"/>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w:t>
      </w:r>
      <w:r>
        <w:rPr>
          <w:rFonts w:hint="eastAsia" w:ascii="宋体" w:hAnsi="宋体" w:eastAsia="宋体" w:cs="宋体"/>
          <w:sz w:val="24"/>
          <w:szCs w:val="24"/>
          <w:highlight w:val="none"/>
        </w:rPr>
        <w:t>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项目六 龙归</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pStyle w:val="14"/>
        <w:numPr>
          <w:ilvl w:val="0"/>
          <w:numId w:val="0"/>
        </w:numPr>
        <w:adjustRightInd w:val="0"/>
        <w:snapToGrid w:val="0"/>
        <w:spacing w:line="520" w:lineRule="exact"/>
        <w:ind w:left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default"/>
          <w:color w:val="auto"/>
          <w:kern w:val="0"/>
          <w:sz w:val="28"/>
          <w:szCs w:val="28"/>
          <w:highlight w:val="none"/>
          <w:u w:val="none"/>
          <w:lang w:val="en-US"/>
        </w:rPr>
      </w:pPr>
      <w:r>
        <w:rPr>
          <w:rFonts w:hint="eastAsia"/>
          <w:color w:val="auto"/>
          <w:kern w:val="0"/>
          <w:sz w:val="28"/>
          <w:szCs w:val="28"/>
          <w:highlight w:val="none"/>
          <w:u w:val="none"/>
          <w:lang w:val="en-US" w:eastAsia="zh-CN"/>
        </w:rPr>
        <w:t>现</w:t>
      </w:r>
      <w:r>
        <w:rPr>
          <w:rFonts w:hint="default" w:asciiTheme="minorHAnsi" w:hAnsiTheme="minorHAnsi"/>
          <w:color w:val="auto"/>
          <w:kern w:val="0"/>
          <w:sz w:val="28"/>
          <w:szCs w:val="28"/>
          <w:highlight w:val="none"/>
          <w:u w:val="none"/>
          <w:lang w:val="en-US" w:eastAsia="zh-CN"/>
        </w:rPr>
        <w:t>需</w:t>
      </w:r>
      <w:r>
        <w:rPr>
          <w:rFonts w:hint="eastAsia" w:asciiTheme="minorHAnsi" w:hAnsiTheme="minorHAnsi" w:eastAsiaTheme="minorEastAsia" w:cstheme="minorBidi"/>
          <w:color w:val="auto"/>
          <w:kern w:val="0"/>
          <w:sz w:val="28"/>
          <w:szCs w:val="28"/>
          <w:highlight w:val="none"/>
          <w:u w:val="none"/>
          <w:lang w:val="en-US" w:eastAsia="zh-CN"/>
        </w:rPr>
        <w:t>采购</w:t>
      </w:r>
      <w:r>
        <w:rPr>
          <w:rFonts w:hint="eastAsia" w:cstheme="minorBidi"/>
          <w:color w:val="auto"/>
          <w:kern w:val="0"/>
          <w:sz w:val="28"/>
          <w:szCs w:val="28"/>
          <w:highlight w:val="none"/>
          <w:u w:val="none"/>
          <w:lang w:val="en-US" w:eastAsia="zh-CN"/>
        </w:rPr>
        <w:t>采购2台空气压缩机，一套成品干燥器，一个储压罐。包含原设备拆除及新设备安装。</w:t>
      </w:r>
    </w:p>
    <w:p>
      <w:pPr>
        <w:pStyle w:val="24"/>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6"/>
        <w:tblW w:w="10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1855"/>
        <w:gridCol w:w="2656"/>
        <w:gridCol w:w="1375"/>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color w:val="auto"/>
                <w:kern w:val="0"/>
                <w:sz w:val="20"/>
                <w:szCs w:val="20"/>
                <w:highlight w:val="none"/>
                <w:u w:val="none"/>
                <w:lang w:val="en-US" w:eastAsia="zh-CN" w:bidi="ar"/>
              </w:rPr>
              <w:t>货物名称</w:t>
            </w:r>
          </w:p>
        </w:tc>
        <w:tc>
          <w:tcPr>
            <w:tcW w:w="265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型号，技术参数</w:t>
            </w:r>
          </w:p>
        </w:tc>
        <w:tc>
          <w:tcPr>
            <w:tcW w:w="137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数量</w:t>
            </w:r>
          </w:p>
        </w:tc>
        <w:tc>
          <w:tcPr>
            <w:tcW w:w="217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新宋体" w:hAnsi="新宋体" w:eastAsia="新宋体" w:cs="新宋体"/>
                <w:szCs w:val="24"/>
                <w:highlight w:val="none"/>
                <w:lang w:eastAsia="zh-CN"/>
              </w:rPr>
              <w:t>空压机</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GX7P-7.5，P=7.5kw Q=19.6L/S</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2</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default" w:cstheme="minorBidi"/>
                <w:kern w:val="2"/>
                <w:sz w:val="21"/>
                <w:szCs w:val="22"/>
                <w:highlight w:val="none"/>
                <w:lang w:val="en-US" w:eastAsia="zh-CN" w:bidi="ar-SA"/>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成套干燥器</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FXe5，P=0.47kw</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贮压罐</w:t>
            </w:r>
          </w:p>
        </w:tc>
        <w:tc>
          <w:tcPr>
            <w:tcW w:w="26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sz w:val="22"/>
                <w:szCs w:val="22"/>
                <w:highlight w:val="none"/>
                <w:u w:val="none"/>
                <w:lang w:val="en-US" w:eastAsia="zh-CN"/>
              </w:rPr>
              <w:t>V=1.0m</w:t>
            </w:r>
            <w:r>
              <w:rPr>
                <w:rFonts w:hint="eastAsia" w:ascii="宋体" w:hAnsi="宋体" w:eastAsia="宋体" w:cs="宋体"/>
                <w:i w:val="0"/>
                <w:color w:val="auto"/>
                <w:sz w:val="22"/>
                <w:szCs w:val="22"/>
                <w:highlight w:val="none"/>
                <w:u w:val="none"/>
                <w:vertAlign w:val="superscript"/>
                <w:lang w:val="en-US" w:eastAsia="zh-CN"/>
              </w:rPr>
              <w:t>3</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bl>
    <w:p>
      <w:pPr>
        <w:pStyle w:val="2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注：现用品牌：阿特拉斯·科普柯，</w:t>
      </w:r>
      <w:r>
        <w:rPr>
          <w:rFonts w:hint="eastAsia" w:ascii="仿宋_GB2312" w:hAnsi="宋体" w:eastAsia="仿宋_GB2312" w:cs="Times New Roman"/>
          <w:color w:val="auto"/>
          <w:sz w:val="28"/>
          <w:szCs w:val="28"/>
          <w:highlight w:val="none"/>
          <w:lang w:val="en-US" w:eastAsia="zh-CN"/>
        </w:rPr>
        <w:t>更换同型号或适配原系统的一套空气压缩成套设备。</w:t>
      </w: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项目七 京溪</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储气罐装置</w:t>
      </w:r>
    </w:p>
    <w:p>
      <w:pPr>
        <w:pStyle w:val="14"/>
        <w:numPr>
          <w:ilvl w:val="0"/>
          <w:numId w:val="0"/>
        </w:numPr>
        <w:adjustRightInd w:val="0"/>
        <w:snapToGrid w:val="0"/>
        <w:spacing w:line="300" w:lineRule="auto"/>
        <w:ind w:leftChars="0"/>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en-US" w:eastAsia="zh-CN"/>
        </w:rPr>
        <w:t>一、</w:t>
      </w:r>
      <w:r>
        <w:rPr>
          <w:rFonts w:hint="eastAsia" w:ascii="仿宋_GB2312" w:eastAsia="仿宋_GB2312" w:cs="仿宋_GB2312"/>
          <w:b/>
          <w:color w:val="000000"/>
          <w:sz w:val="28"/>
          <w:szCs w:val="28"/>
          <w:highlight w:val="none"/>
          <w:lang w:val="zh-CN"/>
        </w:rPr>
        <w:t>项目情况介绍</w:t>
      </w:r>
    </w:p>
    <w:p>
      <w:pPr>
        <w:pStyle w:val="25"/>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采购两台</w:t>
      </w:r>
      <w:r>
        <w:rPr>
          <w:rFonts w:hint="eastAsia" w:ascii="仿宋" w:hAnsi="仿宋" w:eastAsia="仿宋" w:cs="仿宋"/>
          <w:color w:val="000000" w:themeColor="text1"/>
          <w:sz w:val="28"/>
          <w:szCs w:val="28"/>
          <w:highlight w:val="none"/>
          <w:lang w:val="en-US" w:eastAsia="zh-CN"/>
          <w14:textFill>
            <w14:solidFill>
              <w14:schemeClr w14:val="tx1"/>
            </w14:solidFill>
          </w14:textFill>
        </w:rPr>
        <w:t>储气罐装置。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cs="宋体"/>
          <w:b/>
          <w:bCs/>
          <w:sz w:val="24"/>
          <w:szCs w:val="24"/>
          <w:highlight w:val="none"/>
          <w:lang w:val="en-US" w:eastAsia="zh-CN"/>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1.采购两台技术参数V=2.5m3　0.8MPa且适配京溪分公司现场使用的储气罐（包括安全附件，安全附件供货时</w:t>
      </w:r>
      <w:r>
        <w:rPr>
          <w:rFonts w:hint="eastAsia" w:ascii="仿宋" w:hAnsi="仿宋" w:eastAsia="仿宋" w:cs="仿宋"/>
          <w:color w:val="000000" w:themeColor="text1"/>
          <w:sz w:val="28"/>
          <w:szCs w:val="28"/>
          <w:highlight w:val="none"/>
          <w:lang w:val="en-US" w:eastAsia="zh-CN"/>
          <w14:textFill>
            <w14:solidFill>
              <w14:schemeClr w14:val="tx1"/>
            </w14:solidFill>
          </w14:textFill>
        </w:rPr>
        <w:t>需提供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检测报告）。</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拆除两台旧的储气罐，安装两台新的储气罐并保证适配现场正常使用。需确保分公司储气罐处于24小时持续运行、不停产的状态下，进行本次储气罐装置改造项目采用逐台改造（即1台更换，另外1台正常运行，逐台轮换改造）。</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3.负责2台压力容器告知、报装、约检、检验、使用登记办理、竣工资料出具。</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sz w:val="28"/>
          <w:szCs w:val="28"/>
          <w:highlight w:val="none"/>
        </w:rPr>
        <w:t>拟派的</w:t>
      </w:r>
      <w:r>
        <w:rPr>
          <w:rFonts w:hint="eastAsia" w:ascii="仿宋" w:hAnsi="仿宋" w:eastAsia="仿宋" w:cs="仿宋"/>
          <w:sz w:val="28"/>
          <w:szCs w:val="28"/>
          <w:highlight w:val="none"/>
          <w:lang w:val="en-US" w:eastAsia="zh-CN"/>
        </w:rPr>
        <w:t>安装</w:t>
      </w:r>
      <w:r>
        <w:rPr>
          <w:rFonts w:hint="eastAsia" w:ascii="仿宋" w:hAnsi="仿宋" w:eastAsia="仿宋" w:cs="仿宋"/>
          <w:sz w:val="28"/>
          <w:szCs w:val="28"/>
          <w:highlight w:val="none"/>
        </w:rPr>
        <w:t>人员</w:t>
      </w:r>
      <w:r>
        <w:rPr>
          <w:rFonts w:hint="eastAsia" w:ascii="仿宋" w:hAnsi="仿宋" w:eastAsia="仿宋" w:cs="仿宋"/>
          <w:sz w:val="28"/>
          <w:szCs w:val="28"/>
          <w:highlight w:val="none"/>
        </w:rPr>
        <w:t>须具备</w:t>
      </w:r>
      <w:r>
        <w:rPr>
          <w:rFonts w:hint="eastAsia" w:ascii="仿宋" w:hAnsi="仿宋" w:eastAsia="仿宋" w:cs="仿宋"/>
          <w:sz w:val="28"/>
          <w:szCs w:val="28"/>
          <w:highlight w:val="none"/>
          <w:lang w:val="en-US" w:eastAsia="zh-CN"/>
        </w:rPr>
        <w:t>压力容器相关的</w:t>
      </w:r>
      <w:r>
        <w:rPr>
          <w:rFonts w:hint="eastAsia" w:ascii="仿宋" w:hAnsi="仿宋" w:eastAsia="仿宋" w:cs="仿宋"/>
          <w:sz w:val="28"/>
          <w:szCs w:val="28"/>
          <w:highlight w:val="none"/>
        </w:rPr>
        <w:t>特种设备操作证书</w:t>
      </w:r>
      <w:r>
        <w:rPr>
          <w:rFonts w:hint="eastAsia" w:ascii="仿宋" w:hAnsi="仿宋" w:eastAsia="仿宋" w:cs="仿宋"/>
          <w:sz w:val="28"/>
          <w:szCs w:val="28"/>
          <w:highlight w:val="none"/>
          <w:lang w:eastAsia="zh-CN"/>
        </w:rPr>
        <w:t>。</w:t>
      </w: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3"/>
        <w:rPr>
          <w:rFonts w:hint="eastAsia"/>
          <w:color w:val="auto"/>
          <w:highlight w:val="none"/>
          <w:lang w:val="en-US" w:eastAsia="zh-CN"/>
        </w:rPr>
      </w:pPr>
      <w:bookmarkStart w:id="61" w:name="_Toc537"/>
      <w:bookmarkStart w:id="62" w:name="_Toc1284"/>
      <w:bookmarkStart w:id="63" w:name="_Toc1496"/>
      <w:bookmarkStart w:id="64" w:name="_Toc25925"/>
      <w:bookmarkStart w:id="65" w:name="_Toc29835"/>
      <w:bookmarkStart w:id="66" w:name="_Toc15570"/>
      <w:bookmarkStart w:id="67" w:name="_Toc23353"/>
      <w:bookmarkStart w:id="68" w:name="_Toc12135"/>
      <w:bookmarkStart w:id="69" w:name="_Toc4680"/>
      <w:bookmarkStart w:id="70" w:name="_Toc23330"/>
      <w:bookmarkStart w:id="71" w:name="_Toc18538"/>
    </w:p>
    <w:p>
      <w:pPr>
        <w:pStyle w:val="3"/>
        <w:rPr>
          <w:rFonts w:hint="eastAsia"/>
          <w:color w:val="auto"/>
          <w:highlight w:val="none"/>
          <w:lang w:val="en-US" w:eastAsia="zh-CN"/>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2322195</wp:posOffset>
                </wp:positionH>
                <wp:positionV relativeFrom="paragraph">
                  <wp:posOffset>521970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85pt;margin-top:41.1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Qfomu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H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H6Jrv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2301240</wp:posOffset>
                </wp:positionH>
                <wp:positionV relativeFrom="paragraph">
                  <wp:posOffset>32385</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2pt;margin-top:2.5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B7vIf8Q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S2zREPAmiI37iaedhhuYuZ7aKPNf2LCDkXW41lWdUhM0OGLxXK5IHRx76oe&#10;8kLE9Ep5y7LRcEwRdNenjXeO7s7HWVEV9q8xUWVKvE/IRY1jQ4afLwgcaBZbmgEybSA+6LqSi95o&#10;ea2NyRkYu93GRLaHPA/ly/wI96+wXGQL2I9xxTVOSq9AvnSSpWMgoRw9EJ5bsEpyZhS9p2wRINQJ&#10;tLkkkkobRx1kiUdRs7Xz8li0Lud096XH05zm4fpzX7If3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B7vIf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6"/>
        <w:rPr>
          <w:color w:val="auto"/>
          <w:highlight w:val="none"/>
        </w:rPr>
      </w:pPr>
    </w:p>
    <w:p>
      <w:pPr>
        <w:pStyle w:val="3"/>
        <w:rPr>
          <w:color w:val="auto"/>
          <w:highlight w:val="none"/>
        </w:rPr>
      </w:pPr>
      <w:bookmarkStart w:id="72" w:name="_Toc1375"/>
      <w:bookmarkStart w:id="73" w:name="_Toc8183"/>
      <w:bookmarkStart w:id="74" w:name="_Toc19686"/>
      <w:bookmarkStart w:id="75" w:name="_Toc13309"/>
      <w:bookmarkStart w:id="76" w:name="_Toc87616386"/>
      <w:bookmarkStart w:id="77" w:name="_Toc12980"/>
      <w:bookmarkStart w:id="78" w:name="_Toc22797"/>
      <w:bookmarkStart w:id="79" w:name="_Toc323"/>
      <w:bookmarkStart w:id="80" w:name="_Toc12968"/>
      <w:bookmarkStart w:id="81" w:name="_Toc19088"/>
      <w:bookmarkStart w:id="82" w:name="_Toc12721"/>
      <w:bookmarkStart w:id="83" w:name="_Toc22501"/>
      <w:bookmarkStart w:id="84" w:name="_Toc88209949"/>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10"/>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项目名称：广州市净水有限公司2023年老旧起重设备、空压机采购更换项目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2023</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rFonts w:ascii="宋体" w:hAnsi="宋体"/>
          <w:color w:val="auto"/>
          <w:highlight w:val="none"/>
        </w:rPr>
      </w:pPr>
      <w:r>
        <w:rPr>
          <w:rFonts w:hint="eastAsia"/>
          <w:color w:val="auto"/>
          <w:sz w:val="30"/>
          <w:highlight w:val="none"/>
        </w:rPr>
        <w:t>签约地点：广州市</w:t>
      </w:r>
    </w:p>
    <w:p>
      <w:pPr>
        <w:rPr>
          <w:color w:val="auto"/>
          <w:highlight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 xml:space="preserve"> 广州市净水有限公司2023年老旧起重设备、空压机采购更换项目 </w:t>
      </w:r>
      <w:r>
        <w:rPr>
          <w:rFonts w:hint="eastAsia" w:ascii="宋体" w:hAnsi="宋体" w:cs="宋体"/>
          <w:color w:val="auto"/>
          <w:sz w:val="24"/>
          <w:szCs w:val="24"/>
          <w:highlight w:val="none"/>
        </w:rPr>
        <w:t>采购和相应技术服务事宜，遵循平等、自愿、公平和诚实信用的原则，双方协商一致，订立本合同。</w:t>
      </w:r>
      <w:bookmarkStart w:id="85" w:name="_Toc520190026"/>
      <w:bookmarkStart w:id="86" w:name="_Toc1018"/>
      <w:bookmarkStart w:id="87" w:name="_Toc183666513"/>
      <w:bookmarkStart w:id="88" w:name="_Toc518992986"/>
      <w:bookmarkStart w:id="89" w:name="_Toc474245210"/>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单价（元）</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bl>
    <w:p>
      <w:pPr>
        <w:pStyle w:val="25"/>
        <w:rPr>
          <w:rFonts w:hint="eastAsia" w:ascii="宋体" w:hAnsi="宋体" w:cs="宋体"/>
          <w:color w:val="auto"/>
          <w:kern w:val="0"/>
          <w:sz w:val="24"/>
          <w:szCs w:val="24"/>
          <w:highlight w:val="none"/>
          <w:lang w:val="zh-CN"/>
        </w:rPr>
      </w:pPr>
    </w:p>
    <w:p>
      <w:pPr>
        <w:spacing w:after="120" w:afterLines="50" w:line="360" w:lineRule="auto"/>
        <w:ind w:firstLine="480" w:firstLineChars="200"/>
        <w:rPr>
          <w:rFonts w:ascii="宋体" w:hAnsi="宋体" w:cs="宋体"/>
          <w:color w:val="auto"/>
          <w:kern w:val="0"/>
          <w:sz w:val="24"/>
          <w:szCs w:val="24"/>
          <w:highlight w:val="none"/>
          <w:lang w:val="zh-CN"/>
        </w:rPr>
      </w:pPr>
      <w:bookmarkStart w:id="90" w:name="_Toc17140"/>
      <w:bookmarkStart w:id="91" w:name="_Toc520190027"/>
      <w:bookmarkStart w:id="92" w:name="_Toc474245211"/>
      <w:bookmarkStart w:id="93" w:name="_Toc518992987"/>
      <w:r>
        <w:rPr>
          <w:rFonts w:hint="eastAsia" w:ascii="宋体" w:hAnsi="宋体" w:cs="宋体"/>
          <w:color w:val="auto"/>
          <w:kern w:val="0"/>
          <w:sz w:val="24"/>
          <w:szCs w:val="24"/>
          <w:highlight w:val="none"/>
          <w:lang w:val="zh-CN"/>
        </w:rPr>
        <w:t>其他技术需求见附件（如需）。</w:t>
      </w:r>
      <w:bookmarkEnd w:id="90"/>
      <w:bookmarkStart w:id="94" w:name="_Toc107447235"/>
      <w:bookmarkStart w:id="95" w:name="_Toc26357"/>
      <w:bookmarkStart w:id="96" w:name="_Toc183666514"/>
      <w:bookmarkStart w:id="97"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w:t>
      </w:r>
      <w:r>
        <w:rPr>
          <w:rFonts w:hint="eastAsia" w:ascii="宋体" w:hAnsi="宋体" w:cs="宋体"/>
          <w:color w:val="auto"/>
          <w:sz w:val="24"/>
          <w:szCs w:val="24"/>
          <w:highlight w:val="none"/>
          <w:lang w:val="en-US" w:eastAsia="zh-CN"/>
        </w:rPr>
        <w:t>见下表，起始时间为自合同签订日起</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rFonts w:hint="eastAsia" w:eastAsiaTheme="minorEastAsia"/>
                <w:highlight w:val="none"/>
                <w:lang w:val="en-US" w:eastAsia="zh-CN"/>
              </w:rPr>
            </w:pPr>
            <w:r>
              <w:rPr>
                <w:rFonts w:hint="eastAsia"/>
                <w:highlight w:val="none"/>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rFonts w:hint="default" w:eastAsiaTheme="minorEastAsia"/>
                <w:highlight w:val="none"/>
                <w:lang w:val="en-US" w:eastAsia="zh-CN"/>
              </w:rPr>
            </w:pPr>
            <w:r>
              <w:rPr>
                <w:rFonts w:hint="eastAsia"/>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default"/>
                <w:highlight w:val="none"/>
                <w:lang w:val="en-US" w:eastAsia="zh-CN"/>
              </w:rPr>
            </w:pPr>
            <w:r>
              <w:rPr>
                <w:rFonts w:hint="eastAsia"/>
                <w:highlight w:val="none"/>
                <w:lang w:val="en-US" w:eastAsia="zh-CN"/>
              </w:rPr>
              <w:t>60</w:t>
            </w:r>
          </w:p>
        </w:tc>
      </w:tr>
    </w:tbl>
    <w:p>
      <w:pPr>
        <w:pStyle w:val="24"/>
        <w:rPr>
          <w:rFonts w:hint="eastAsia"/>
          <w:highlight w:val="none"/>
        </w:rPr>
      </w:pP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 xml:space="preserve"> 广州市净水有限公司</w:t>
      </w:r>
      <w:r>
        <w:rPr>
          <w:rFonts w:hint="eastAsia" w:ascii="宋体" w:hAnsi="宋体" w:cs="宋体"/>
          <w:bCs/>
          <w:color w:val="auto"/>
          <w:sz w:val="24"/>
          <w:szCs w:val="24"/>
          <w:highlight w:val="none"/>
          <w:u w:val="single"/>
          <w:lang w:val="en-US" w:eastAsia="zh-CN"/>
        </w:rPr>
        <w:t>猎德、</w:t>
      </w:r>
      <w:r>
        <w:rPr>
          <w:rFonts w:hint="eastAsia" w:ascii="宋体" w:hAnsi="宋体" w:cs="宋体"/>
          <w:bCs/>
          <w:color w:val="auto"/>
          <w:sz w:val="24"/>
          <w:szCs w:val="24"/>
          <w:highlight w:val="none"/>
          <w:u w:val="single"/>
          <w:lang w:eastAsia="zh-CN"/>
        </w:rPr>
        <w:t>大坦沙、</w:t>
      </w:r>
      <w:r>
        <w:rPr>
          <w:rFonts w:hint="eastAsia" w:ascii="宋体" w:hAnsi="宋体" w:cs="宋体"/>
          <w:bCs/>
          <w:color w:val="auto"/>
          <w:sz w:val="24"/>
          <w:szCs w:val="24"/>
          <w:highlight w:val="none"/>
          <w:u w:val="single"/>
          <w:lang w:val="en-US" w:eastAsia="zh-CN"/>
        </w:rPr>
        <w:t>龙归、京溪</w:t>
      </w:r>
      <w:r>
        <w:rPr>
          <w:rFonts w:hint="eastAsia" w:ascii="宋体" w:hAnsi="宋体" w:cs="宋体"/>
          <w:bCs/>
          <w:color w:val="auto"/>
          <w:sz w:val="24"/>
          <w:szCs w:val="24"/>
          <w:highlight w:val="none"/>
          <w:u w:val="single"/>
          <w:lang w:eastAsia="zh-CN"/>
        </w:rPr>
        <w:t>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 xml:space="preserve"> </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）、装卸、验收、技术服务（包括技术资料）、质保期保修、税费、保险费、</w:t>
      </w:r>
      <w:r>
        <w:rPr>
          <w:rFonts w:hint="eastAsia" w:ascii="宋体" w:hAnsi="宋体" w:cs="宋体"/>
          <w:color w:val="auto"/>
          <w:kern w:val="0"/>
          <w:sz w:val="24"/>
          <w:szCs w:val="24"/>
          <w:highlight w:val="none"/>
          <w:u w:val="single"/>
          <w:lang w:val="en-US" w:eastAsia="zh-CN"/>
        </w:rPr>
        <w:t>旧设备拆除、新设备安装调试</w:t>
      </w:r>
      <w:r>
        <w:rPr>
          <w:rFonts w:hint="eastAsia" w:ascii="宋体" w:hAnsi="宋体" w:cs="宋体"/>
          <w:color w:val="auto"/>
          <w:kern w:val="0"/>
          <w:sz w:val="24"/>
          <w:szCs w:val="24"/>
          <w:highlight w:val="none"/>
          <w:u w:val="single"/>
          <w:lang w:val="zh-CN"/>
        </w:rPr>
        <w:t>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8" w:name="_Toc520190029"/>
      <w:bookmarkStart w:id="99" w:name="_Toc474245213"/>
      <w:bookmarkStart w:id="100" w:name="_Toc518992989"/>
      <w:bookmarkStart w:id="101" w:name="_Toc107447236"/>
      <w:bookmarkStart w:id="102"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103" w:name="_Toc183666516"/>
      <w:bookmarkStart w:id="104"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提交履约担保</w:t>
      </w:r>
      <w:r>
        <w:rPr>
          <w:rFonts w:hint="eastAsia" w:ascii="宋体" w:hAnsi="宋体" w:cs="宋体"/>
          <w:bCs/>
          <w:color w:val="auto"/>
          <w:sz w:val="24"/>
          <w:szCs w:val="24"/>
          <w:highlight w:val="none"/>
          <w:lang w:val="en-US" w:eastAsia="zh-CN"/>
        </w:rPr>
        <w:t>及</w:t>
      </w:r>
      <w:r>
        <w:rPr>
          <w:rFonts w:hint="eastAsia" w:ascii="宋体" w:hAnsi="宋体" w:cs="宋体"/>
          <w:bCs/>
          <w:color w:val="000000"/>
          <w:sz w:val="24"/>
          <w:szCs w:val="24"/>
          <w:highlight w:val="none"/>
          <w:lang w:val="en-US" w:eastAsia="zh-CN"/>
        </w:rPr>
        <w:t>对应预付款金额的预付款担保</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djustRightInd w:val="0"/>
        <w:snapToGrid w:val="0"/>
        <w:spacing w:line="460" w:lineRule="exact"/>
        <w:ind w:firstLine="360" w:firstLineChars="15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50</w:t>
      </w:r>
      <w:r>
        <w:rPr>
          <w:rFonts w:ascii="宋体" w:hAnsi="宋体" w:cs="宋体"/>
          <w:color w:val="auto"/>
          <w:sz w:val="24"/>
          <w:szCs w:val="24"/>
          <w:highlight w:val="none"/>
        </w:rPr>
        <w:t>%</w:t>
      </w:r>
      <w:r>
        <w:rPr>
          <w:rFonts w:hint="eastAsia" w:ascii="宋体" w:hAnsi="宋体" w:cs="宋体"/>
          <w:color w:val="auto"/>
          <w:sz w:val="24"/>
          <w:szCs w:val="24"/>
          <w:highlight w:val="none"/>
        </w:rPr>
        <w:t>（含预付款）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设备安装完毕后，</w:t>
      </w:r>
      <w:r>
        <w:rPr>
          <w:rFonts w:hint="eastAsia" w:ascii="宋体" w:hAnsi="宋体" w:cs="宋体"/>
          <w:color w:val="auto"/>
          <w:sz w:val="24"/>
          <w:szCs w:val="24"/>
          <w:highlight w:val="none"/>
        </w:rPr>
        <w:t>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rPr>
        <w:t>（含预付款）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w:t>
      </w:r>
      <w:r>
        <w:rPr>
          <w:rFonts w:hint="eastAsia" w:ascii="宋体" w:hAnsi="宋体" w:cs="宋体"/>
          <w:color w:val="auto"/>
          <w:sz w:val="24"/>
          <w:szCs w:val="24"/>
          <w:highlight w:val="none"/>
          <w:lang w:val="en-US" w:eastAsia="zh-CN"/>
        </w:rPr>
        <w:t>剩余金额</w:t>
      </w:r>
      <w:r>
        <w:rPr>
          <w:rFonts w:hint="eastAsia" w:ascii="宋体" w:hAnsi="宋体" w:cs="宋体"/>
          <w:color w:val="auto"/>
          <w:sz w:val="24"/>
          <w:szCs w:val="24"/>
          <w:highlight w:val="none"/>
        </w:rPr>
        <w:t>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5.2.2</w:t>
      </w:r>
      <w:r>
        <w:rPr>
          <w:rFonts w:hint="eastAsia" w:ascii="宋体" w:hAnsi="宋体" w:eastAsia="宋体" w:cs="宋体"/>
          <w:color w:val="auto"/>
          <w:sz w:val="24"/>
          <w:szCs w:val="24"/>
          <w:highlight w:val="none"/>
        </w:rPr>
        <w:t>质保期按合同第</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条规定执行，质保期满且乙方不存在违约情形，乙方提交请款资料，甲方审核无误后在</w:t>
      </w:r>
      <w:r>
        <w:rPr>
          <w:rFonts w:hint="eastAsia" w:ascii="宋体" w:hAnsi="宋体" w:eastAsia="宋体" w:cs="宋体"/>
          <w:color w:val="auto"/>
          <w:sz w:val="24"/>
          <w:szCs w:val="24"/>
          <w:highlight w:val="none"/>
          <w:u w:val="single"/>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甲方下属分公司</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设备的</w:t>
      </w:r>
      <w:r>
        <w:rPr>
          <w:rFonts w:hint="eastAsia" w:ascii="宋体" w:hAnsi="宋体" w:eastAsia="宋体" w:cs="宋体"/>
          <w:color w:val="auto"/>
          <w:sz w:val="24"/>
          <w:szCs w:val="24"/>
          <w:highlight w:val="none"/>
        </w:rPr>
        <w:t>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sz w:val="24"/>
          <w:szCs w:val="24"/>
          <w:highlight w:val="none"/>
          <w:lang w:val="en-US" w:eastAsia="zh-CN"/>
        </w:rPr>
        <w:t>5.4</w:t>
      </w:r>
      <w:r>
        <w:rPr>
          <w:rFonts w:ascii="宋体" w:hAnsi="宋体" w:eastAsia="宋体" w:cs="宋体"/>
          <w:sz w:val="24"/>
          <w:szCs w:val="24"/>
          <w:highlight w:val="none"/>
        </w:rPr>
        <w:t>预付款担保</w:t>
      </w:r>
      <w:r>
        <w:rPr>
          <w:rFonts w:ascii="宋体" w:hAnsi="宋体" w:eastAsia="宋体" w:cs="宋体"/>
          <w:sz w:val="24"/>
          <w:szCs w:val="24"/>
          <w:highlight w:val="none"/>
        </w:rPr>
        <w:br w:type="textWrapping"/>
      </w:r>
      <w:r>
        <w:rPr>
          <w:rFonts w:ascii="宋体" w:hAnsi="宋体" w:eastAsia="宋体" w:cs="宋体"/>
          <w:sz w:val="24"/>
          <w:szCs w:val="24"/>
          <w:highlight w:val="none"/>
        </w:rPr>
        <w:t>（1）预付款担保的担保金额应与预付款金额相同。预付款从应支付给乙方的进度款中扣回。</w:t>
      </w:r>
      <w:r>
        <w:rPr>
          <w:rFonts w:ascii="宋体" w:hAnsi="宋体" w:eastAsia="宋体" w:cs="宋体"/>
          <w:sz w:val="24"/>
          <w:szCs w:val="24"/>
          <w:highlight w:val="none"/>
        </w:rPr>
        <w:br w:type="textWrapping"/>
      </w:r>
      <w:r>
        <w:rPr>
          <w:rFonts w:ascii="宋体" w:hAnsi="宋体" w:eastAsia="宋体" w:cs="宋体"/>
          <w:sz w:val="24"/>
          <w:szCs w:val="24"/>
          <w:highlight w:val="none"/>
        </w:rPr>
        <w:t>（2）预付款担保应在预付款扣清后14天内退还给乙方。甲方不承担乙方与预付款担保有关的任何利息或其他类似的费用或收益。</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3"/>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3"/>
        <w:spacing w:before="0" w:beforeAutospacing="0" w:after="0" w:afterAutospacing="0" w:line="360" w:lineRule="auto"/>
        <w:ind w:firstLine="480"/>
        <w:rPr>
          <w:rFonts w:cs="宋体"/>
          <w:highlight w:val="none"/>
        </w:rPr>
      </w:pPr>
      <w:r>
        <w:rPr>
          <w:rFonts w:hint="eastAsia" w:cs="宋体"/>
          <w:highlight w:val="none"/>
        </w:rPr>
        <w:t>1、符合甲方要求（详见附件</w:t>
      </w:r>
      <w:r>
        <w:rPr>
          <w:rFonts w:hint="eastAsia" w:cs="宋体"/>
          <w:highlight w:val="none"/>
          <w:lang w:eastAsia="zh-CN"/>
        </w:rPr>
        <w:t>5</w:t>
      </w:r>
      <w:r>
        <w:rPr>
          <w:rFonts w:hint="eastAsia" w:cs="宋体"/>
          <w:highlight w:val="none"/>
        </w:rPr>
        <w:t>保函格式）的银行独立保函，</w:t>
      </w:r>
    </w:p>
    <w:p>
      <w:pPr>
        <w:pStyle w:val="23"/>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3"/>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pStyle w:val="25"/>
        <w:rPr>
          <w:rFonts w:hint="default" w:eastAsia="宋体"/>
          <w:highlight w:val="none"/>
          <w:lang w:val="en-US" w:eastAsia="zh-CN"/>
        </w:rPr>
      </w:pP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rPr>
      </w:pPr>
      <w:bookmarkStart w:id="105" w:name="_Toc518992990"/>
      <w:bookmarkStart w:id="106" w:name="_Toc474245215"/>
      <w:bookmarkStart w:id="107" w:name="_Toc520190030"/>
      <w:bookmarkStart w:id="108" w:name="_Toc183666534"/>
      <w:bookmarkStart w:id="109"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6851"/>
      <w:bookmarkStart w:id="111" w:name="_Toc107447244"/>
      <w:r>
        <w:rPr>
          <w:rFonts w:hint="eastAsia" w:ascii="宋体" w:hAnsi="宋体" w:cs="宋体"/>
          <w:bCs/>
          <w:color w:val="auto"/>
          <w:sz w:val="24"/>
          <w:szCs w:val="24"/>
          <w:highlight w:val="none"/>
        </w:rPr>
        <w:t>标志</w:t>
      </w:r>
    </w:p>
    <w:bookmarkEnd w:id="110"/>
    <w:bookmarkEnd w:id="11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2" w:name="_Toc9269"/>
      <w:bookmarkStart w:id="113" w:name="_Toc520190032"/>
      <w:bookmarkStart w:id="114" w:name="_Toc183666521"/>
      <w:bookmarkStart w:id="115" w:name="_Toc518992992"/>
      <w:bookmarkStart w:id="116" w:name="_Toc306350457"/>
      <w:bookmarkStart w:id="117" w:name="_Toc474245218"/>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18" w:name="_Toc183666522"/>
      <w:bookmarkStart w:id="119" w:name="_Toc18496"/>
      <w:bookmarkStart w:id="120"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21" w:name="_Toc474245220"/>
      <w:bookmarkStart w:id="122" w:name="_Toc520190034"/>
      <w:bookmarkStart w:id="123" w:name="_Toc518992994"/>
      <w:bookmarkStart w:id="124" w:name="_Toc4682"/>
      <w:bookmarkStart w:id="125" w:name="_Toc306350459"/>
      <w:bookmarkStart w:id="126"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24"/>
      <w:bookmarkEnd w:id="125"/>
      <w:bookmarkEnd w:id="126"/>
      <w:bookmarkStart w:id="127" w:name="_Toc27734"/>
      <w:bookmarkStart w:id="128" w:name="_Toc306350464"/>
      <w:bookmarkStart w:id="129" w:name="_Toc183666528"/>
      <w:bookmarkStart w:id="130" w:name="_Toc107446857"/>
      <w:bookmarkStart w:id="131" w:name="_Toc518992997"/>
      <w:bookmarkStart w:id="132" w:name="_Toc520190037"/>
      <w:bookmarkStart w:id="133" w:name="_Toc107447250"/>
      <w:bookmarkStart w:id="134" w:name="_Toc474245223"/>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rPr>
      </w:pPr>
      <w:bookmarkStart w:id="135" w:name="_Toc306350465"/>
      <w:bookmarkStart w:id="136" w:name="_Toc183666529"/>
      <w:bookmarkStart w:id="137"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138" w:name="_Toc518992998"/>
      <w:bookmarkStart w:id="139" w:name="_Toc520190038"/>
      <w:bookmarkStart w:id="140" w:name="_Toc107447254"/>
      <w:bookmarkStart w:id="141" w:name="_Toc118086592"/>
      <w:bookmarkStart w:id="142" w:name="_Toc107446861"/>
      <w:bookmarkStart w:id="143" w:name="_Toc474245224"/>
      <w:bookmarkStart w:id="144" w:name="_Toc107447253"/>
      <w:bookmarkStart w:id="145" w:name="_Toc107446860"/>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left="1197" w:leftChars="57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000000"/>
          <w:sz w:val="24"/>
          <w:szCs w:val="24"/>
          <w:highlight w:val="none"/>
        </w:rPr>
        <w:t>履约保函（模板）</w:t>
      </w:r>
    </w:p>
    <w:p>
      <w:pPr>
        <w:spacing w:line="360" w:lineRule="auto"/>
        <w:ind w:left="1197" w:leftChars="570" w:firstLine="0" w:firstLineChars="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6.预付款保函</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7.报价清单（详见响应文件报价清单）</w:t>
      </w:r>
    </w:p>
    <w:p>
      <w:pPr>
        <w:spacing w:line="360" w:lineRule="auto"/>
        <w:ind w:firstLine="0" w:firstLineChars="0"/>
        <w:rPr>
          <w:rFonts w:hint="default" w:ascii="宋体" w:hAnsi="宋体" w:eastAsia="宋体" w:cs="宋体"/>
          <w:b w:val="0"/>
          <w:bCs w:val="0"/>
          <w:color w:val="auto"/>
          <w:kern w:val="0"/>
          <w:sz w:val="24"/>
          <w:szCs w:val="24"/>
          <w:highlight w:val="none"/>
          <w:lang w:val="en-US" w:eastAsia="zh-CN"/>
        </w:rPr>
      </w:pPr>
    </w:p>
    <w:tbl>
      <w:tblPr>
        <w:tblStyle w:val="2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jc w:val="left"/>
        <w:rPr>
          <w:rFonts w:hint="eastAsia" w:ascii="宋体" w:hAnsi="宋体" w:cs="宋体"/>
          <w:color w:val="000000"/>
          <w:szCs w:val="21"/>
          <w:highlight w:val="none"/>
          <w:lang w:eastAsia="zh-CN"/>
        </w:rPr>
      </w:pPr>
    </w:p>
    <w:p>
      <w:pPr>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lang w:eastAsia="zh-CN"/>
        </w:rPr>
        <w:t>附件</w:t>
      </w:r>
      <w:r>
        <w:rPr>
          <w:rFonts w:hint="eastAsia" w:ascii="宋体" w:hAnsi="宋体" w:cs="宋体"/>
          <w:color w:val="000000"/>
          <w:szCs w:val="21"/>
          <w:highlight w:val="none"/>
          <w:lang w:val="en-US" w:eastAsia="zh-CN"/>
        </w:rPr>
        <w:t>5：</w:t>
      </w:r>
      <w:r>
        <w:rPr>
          <w:rFonts w:hint="eastAsia" w:ascii="宋体" w:hAnsi="宋体" w:cs="宋体"/>
          <w:b/>
          <w:bCs/>
          <w:color w:val="000000"/>
          <w:szCs w:val="21"/>
          <w:highlight w:val="none"/>
        </w:rPr>
        <w:t>履约保函（模板）</w:t>
      </w:r>
    </w:p>
    <w:p>
      <w:pPr>
        <w:jc w:val="center"/>
        <w:rPr>
          <w:rFonts w:ascii="宋体" w:hAnsi="宋体" w:cs="宋体"/>
          <w:b/>
          <w:color w:val="000000"/>
          <w:szCs w:val="21"/>
          <w:highlight w:val="none"/>
        </w:rPr>
      </w:pPr>
      <w:r>
        <w:rPr>
          <w:rFonts w:hint="eastAsia" w:ascii="宋体" w:hAnsi="宋体" w:cs="宋体"/>
          <w:b/>
          <w:color w:val="000000"/>
          <w:szCs w:val="21"/>
          <w:highlight w:val="none"/>
        </w:rPr>
        <w:t>履约保函（模板）</w:t>
      </w:r>
    </w:p>
    <w:p>
      <w:pPr>
        <w:rPr>
          <w:rFonts w:ascii="宋体" w:hAnsi="宋体" w:cs="宋体"/>
          <w:color w:val="000000"/>
          <w:szCs w:val="21"/>
          <w:highlight w:val="none"/>
        </w:rPr>
      </w:pPr>
    </w:p>
    <w:p>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（受益人）</w:t>
      </w:r>
    </w:p>
    <w:p>
      <w:pPr>
        <w:pStyle w:val="2"/>
        <w:rPr>
          <w:rFonts w:hint="eastAsia"/>
          <w:highlight w:val="none"/>
          <w:lang w:eastAsia="zh-CN"/>
        </w:rPr>
      </w:pPr>
    </w:p>
    <w:p>
      <w:pPr>
        <w:ind w:firstLine="42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（以下简称“委托人”）与贵方于</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签订了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szCs w:val="21"/>
          <w:highlight w:val="none"/>
        </w:rPr>
      </w:pPr>
      <w:r>
        <w:rPr>
          <w:rFonts w:hint="eastAsia" w:ascii="宋体" w:hAnsi="宋体" w:cs="宋体"/>
          <w:color w:val="000000"/>
          <w:szCs w:val="21"/>
          <w:highlight w:val="none"/>
        </w:rPr>
        <w:t>一、我行保证在收到贵单位于保函有效期内送达的依本保函约定的索赔申请后，在个</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工作日内无条件和不可改变地向贵单位支付最高金额不超过人民币元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）的履约保证金，并放弃向你方提出任何异议和追索的权利。</w:t>
      </w:r>
    </w:p>
    <w:p>
      <w:pPr>
        <w:ind w:firstLine="420"/>
        <w:rPr>
          <w:rFonts w:ascii="宋体" w:hAnsi="宋体" w:cs="宋体"/>
          <w:color w:val="000000"/>
          <w:szCs w:val="21"/>
          <w:highlight w:val="none"/>
        </w:rPr>
      </w:pPr>
      <w:r>
        <w:rPr>
          <w:rFonts w:hint="eastAsia" w:ascii="宋体" w:hAnsi="宋体" w:cs="宋体"/>
          <w:color w:val="000000"/>
          <w:szCs w:val="21"/>
          <w:highlight w:val="none"/>
        </w:rPr>
        <w:t>二、贵单位的索赔申请应符合下述条件：</w:t>
      </w:r>
    </w:p>
    <w:p>
      <w:pPr>
        <w:ind w:firstLine="420"/>
        <w:rPr>
          <w:rFonts w:ascii="宋体" w:hAnsi="宋体" w:cs="宋体"/>
          <w:color w:val="000000"/>
          <w:szCs w:val="21"/>
          <w:highlight w:val="none"/>
        </w:rPr>
      </w:pPr>
      <w:r>
        <w:rPr>
          <w:rFonts w:hint="eastAsia" w:ascii="宋体" w:hAnsi="宋体" w:cs="宋体"/>
          <w:color w:val="000000"/>
          <w:szCs w:val="21"/>
          <w:highlight w:val="none"/>
        </w:rPr>
        <w:t>（一）贵单位法定代表人或其授权代表签字并加盖单位公章；</w:t>
      </w:r>
    </w:p>
    <w:p>
      <w:pPr>
        <w:ind w:firstLine="420"/>
        <w:rPr>
          <w:rFonts w:ascii="宋体" w:hAnsi="宋体" w:cs="宋体"/>
          <w:color w:val="000000"/>
          <w:szCs w:val="21"/>
          <w:highlight w:val="none"/>
        </w:rPr>
      </w:pPr>
      <w:r>
        <w:rPr>
          <w:rFonts w:hint="eastAsia" w:ascii="宋体" w:hAnsi="宋体" w:cs="宋体"/>
          <w:color w:val="000000"/>
          <w:szCs w:val="21"/>
          <w:highlight w:val="none"/>
        </w:rPr>
        <w:t>（二）在保函有效期内送达我行；</w:t>
      </w:r>
    </w:p>
    <w:p>
      <w:pPr>
        <w:ind w:firstLine="420"/>
        <w:rPr>
          <w:rFonts w:ascii="宋体" w:hAnsi="宋体" w:cs="宋体"/>
          <w:color w:val="000000"/>
          <w:szCs w:val="21"/>
          <w:highlight w:val="none"/>
        </w:rPr>
      </w:pPr>
      <w:r>
        <w:rPr>
          <w:rFonts w:hint="eastAsia" w:ascii="宋体" w:hAnsi="宋体" w:cs="宋体"/>
          <w:color w:val="000000"/>
          <w:szCs w:val="21"/>
          <w:highlight w:val="none"/>
        </w:rPr>
        <w:t>（三）明确的索赔金额（不得超过本保函第一条所列之限额）。</w:t>
      </w:r>
    </w:p>
    <w:p>
      <w:pPr>
        <w:ind w:firstLine="420"/>
        <w:rPr>
          <w:rFonts w:ascii="宋体" w:hAnsi="宋体" w:cs="宋体"/>
          <w:color w:val="000000"/>
          <w:szCs w:val="21"/>
          <w:highlight w:val="none"/>
        </w:rPr>
      </w:pPr>
      <w:r>
        <w:rPr>
          <w:rFonts w:hint="eastAsia" w:ascii="宋体" w:hAnsi="宋体" w:cs="宋体"/>
          <w:color w:val="000000"/>
          <w:szCs w:val="21"/>
          <w:highlight w:val="none"/>
        </w:rPr>
        <w:t>三、本保函自签发之日起生效，有效期至</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。本保函于下述任一事项发生之时立即失效，我行在本保函项下的保证义务即刻解除：</w:t>
      </w:r>
    </w:p>
    <w:p>
      <w:pPr>
        <w:ind w:firstLine="420"/>
        <w:rPr>
          <w:rFonts w:ascii="宋体" w:hAnsi="宋体" w:cs="宋体"/>
          <w:color w:val="000000"/>
          <w:szCs w:val="21"/>
          <w:highlight w:val="none"/>
        </w:rPr>
      </w:pPr>
      <w:r>
        <w:rPr>
          <w:rFonts w:hint="eastAsia" w:ascii="宋体" w:hAnsi="宋体" w:cs="宋体"/>
          <w:color w:val="000000"/>
          <w:szCs w:val="21"/>
          <w:highlight w:val="none"/>
        </w:rPr>
        <w:t>（一）本保函有效期限届满；</w:t>
      </w:r>
    </w:p>
    <w:p>
      <w:pPr>
        <w:ind w:firstLine="420"/>
        <w:rPr>
          <w:rFonts w:ascii="宋体" w:hAnsi="宋体" w:cs="宋体"/>
          <w:color w:val="000000"/>
          <w:szCs w:val="21"/>
          <w:highlight w:val="none"/>
        </w:rPr>
      </w:pPr>
      <w:r>
        <w:rPr>
          <w:rFonts w:hint="eastAsia" w:ascii="宋体" w:hAnsi="宋体" w:cs="宋体"/>
          <w:color w:val="000000"/>
          <w:szCs w:val="21"/>
          <w:highlight w:val="none"/>
        </w:rPr>
        <w:t>（二）我行保证的义务履行完毕。</w:t>
      </w:r>
    </w:p>
    <w:p>
      <w:pPr>
        <w:ind w:firstLine="420"/>
        <w:rPr>
          <w:rFonts w:ascii="宋体" w:hAnsi="宋体" w:cs="宋体"/>
          <w:color w:val="000000"/>
          <w:szCs w:val="21"/>
          <w:highlight w:val="none"/>
        </w:rPr>
      </w:pPr>
      <w:r>
        <w:rPr>
          <w:rFonts w:hint="eastAsia" w:ascii="宋体" w:hAnsi="宋体" w:cs="宋体"/>
          <w:color w:val="000000"/>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szCs w:val="21"/>
          <w:highlight w:val="none"/>
        </w:rPr>
      </w:pPr>
      <w:r>
        <w:rPr>
          <w:rFonts w:hint="eastAsia" w:ascii="宋体" w:hAnsi="宋体" w:cs="宋体"/>
          <w:color w:val="000000"/>
          <w:szCs w:val="21"/>
          <w:highlight w:val="none"/>
        </w:rPr>
        <w:t>五、我行向你方支付索赔金额后，本保函担保金额即按贵方通知的索赔金额予以递减。</w:t>
      </w:r>
    </w:p>
    <w:p>
      <w:pPr>
        <w:ind w:firstLine="420"/>
        <w:rPr>
          <w:rFonts w:ascii="宋体" w:hAnsi="宋体" w:cs="宋体"/>
          <w:color w:val="000000"/>
          <w:szCs w:val="21"/>
          <w:highlight w:val="none"/>
        </w:rPr>
      </w:pPr>
      <w:r>
        <w:rPr>
          <w:rFonts w:hint="eastAsia" w:ascii="宋体" w:hAnsi="宋体" w:cs="宋体"/>
          <w:color w:val="000000"/>
          <w:szCs w:val="21"/>
          <w:highlight w:val="none"/>
        </w:rPr>
        <w:t>六、保函失效后请将保函退回我行注销，无论正本最终退回与否，不影响本保函依上述约定自动失效。</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w:t>
      </w:r>
    </w:p>
    <w:p>
      <w:pPr>
        <w:ind w:firstLine="420"/>
        <w:rPr>
          <w:rFonts w:ascii="宋体" w:hAnsi="宋体" w:cs="宋体"/>
          <w:color w:val="000000"/>
          <w:szCs w:val="21"/>
          <w:highlight w:val="none"/>
        </w:rPr>
      </w:pP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落款</w:t>
      </w:r>
    </w:p>
    <w:p>
      <w:pPr>
        <w:ind w:firstLine="420"/>
        <w:rPr>
          <w:rFonts w:ascii="宋体" w:hAnsi="宋体" w:cs="宋体"/>
          <w:color w:val="000000"/>
          <w:szCs w:val="21"/>
          <w:highlight w:val="none"/>
        </w:rPr>
      </w:pPr>
    </w:p>
    <w:p>
      <w:pPr>
        <w:ind w:firstLine="645"/>
        <w:rPr>
          <w:rFonts w:ascii="宋体" w:hAnsi="宋体" w:cs="宋体"/>
          <w:color w:val="000000"/>
          <w:szCs w:val="21"/>
          <w:highlight w:val="none"/>
        </w:rPr>
      </w:pPr>
      <w:r>
        <w:rPr>
          <w:rFonts w:hint="eastAsia" w:ascii="宋体" w:hAnsi="宋体" w:cs="宋体"/>
          <w:color w:val="000000"/>
          <w:szCs w:val="21"/>
          <w:highlight w:val="none"/>
        </w:rPr>
        <w:t>保函说明：</w:t>
      </w:r>
    </w:p>
    <w:p>
      <w:pPr>
        <w:ind w:firstLine="645"/>
        <w:rPr>
          <w:rFonts w:ascii="宋体" w:hAnsi="宋体" w:cs="宋体"/>
          <w:color w:val="000000"/>
          <w:szCs w:val="21"/>
          <w:highlight w:val="none"/>
        </w:rPr>
      </w:pPr>
      <w:r>
        <w:rPr>
          <w:rFonts w:hint="eastAsia" w:ascii="宋体" w:hAnsi="宋体" w:cs="宋体"/>
          <w:color w:val="000000"/>
          <w:szCs w:val="21"/>
          <w:highlight w:val="none"/>
        </w:rPr>
        <w:t>保函不得有下列或类似含义的表述：</w:t>
      </w:r>
    </w:p>
    <w:p>
      <w:pPr>
        <w:ind w:firstLine="645"/>
        <w:rPr>
          <w:rFonts w:ascii="宋体" w:hAnsi="宋体" w:cs="宋体"/>
          <w:color w:val="000000"/>
          <w:szCs w:val="21"/>
          <w:highlight w:val="none"/>
        </w:rPr>
      </w:pPr>
      <w:r>
        <w:rPr>
          <w:rFonts w:hint="eastAsia" w:ascii="宋体" w:hAnsi="宋体" w:cs="宋体"/>
          <w:color w:val="000000"/>
          <w:szCs w:val="21"/>
          <w:highlight w:val="none"/>
        </w:rPr>
        <w:t>1.银行承担的为连带责任保证、一般保证。</w:t>
      </w:r>
    </w:p>
    <w:p>
      <w:pPr>
        <w:ind w:firstLine="645"/>
        <w:rPr>
          <w:rFonts w:ascii="宋体" w:hAnsi="宋体" w:cs="宋体"/>
          <w:color w:val="000000"/>
          <w:szCs w:val="21"/>
          <w:highlight w:val="none"/>
        </w:rPr>
      </w:pPr>
      <w:r>
        <w:rPr>
          <w:rFonts w:hint="eastAsia" w:ascii="宋体" w:hAnsi="宋体" w:cs="宋体"/>
          <w:color w:val="000000"/>
          <w:szCs w:val="21"/>
          <w:highlight w:val="none"/>
        </w:rPr>
        <w:t>2.未经银行书面同意，受益人与申请人修改合同或其项下附件时，银行的保证义务解除。</w:t>
      </w:r>
    </w:p>
    <w:p>
      <w:pPr>
        <w:ind w:firstLine="645"/>
        <w:rPr>
          <w:rFonts w:ascii="宋体" w:hAnsi="宋体" w:cs="宋体"/>
          <w:color w:val="000000"/>
          <w:szCs w:val="21"/>
          <w:highlight w:val="none"/>
        </w:rPr>
      </w:pPr>
      <w:r>
        <w:rPr>
          <w:rFonts w:hint="eastAsia" w:ascii="宋体" w:hAnsi="宋体" w:cs="宋体"/>
          <w:color w:val="000000"/>
          <w:szCs w:val="21"/>
          <w:highlight w:val="none"/>
        </w:rPr>
        <w:t>3.合同撤销或无效的，保函失效。</w:t>
      </w:r>
    </w:p>
    <w:p>
      <w:pPr>
        <w:ind w:firstLine="645"/>
        <w:rPr>
          <w:rFonts w:ascii="宋体" w:hAnsi="宋体" w:cs="宋体"/>
          <w:color w:val="000000"/>
          <w:szCs w:val="21"/>
          <w:highlight w:val="none"/>
        </w:rPr>
      </w:pPr>
      <w:r>
        <w:rPr>
          <w:rFonts w:hint="eastAsia" w:ascii="宋体" w:hAnsi="宋体" w:cs="宋体"/>
          <w:color w:val="000000"/>
          <w:szCs w:val="21"/>
          <w:highlight w:val="none"/>
        </w:rPr>
        <w:t>4.申请人对受益人的抗辩，银行有权向受益人主张。</w:t>
      </w:r>
    </w:p>
    <w:p>
      <w:pPr>
        <w:ind w:firstLine="645"/>
        <w:rPr>
          <w:rFonts w:hint="eastAsia" w:ascii="宋体" w:hAnsi="宋体" w:cs="宋体"/>
          <w:color w:val="000000"/>
          <w:szCs w:val="21"/>
          <w:highlight w:val="none"/>
        </w:rPr>
      </w:pPr>
      <w:r>
        <w:rPr>
          <w:rFonts w:hint="eastAsia" w:ascii="宋体" w:hAnsi="宋体" w:cs="宋体"/>
          <w:color w:val="000000"/>
          <w:szCs w:val="21"/>
          <w:highlight w:val="none"/>
        </w:rPr>
        <w:t>5.受益人请求付款的请款单据包含法院裁判文书、仲裁裁决、第三方单位出具的鉴定书等申请人违约的证明材料。</w:t>
      </w:r>
    </w:p>
    <w:p>
      <w:pPr>
        <w:jc w:val="center"/>
        <w:rPr>
          <w:rFonts w:hint="eastAsia" w:ascii="黑体" w:hAnsi="黑体" w:eastAsia="黑体"/>
          <w:sz w:val="36"/>
          <w:szCs w:val="36"/>
          <w:highlight w:val="none"/>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lang w:eastAsia="zh-CN"/>
        </w:rPr>
        <w:t>附件</w:t>
      </w:r>
      <w:r>
        <w:rPr>
          <w:rFonts w:hint="eastAsia" w:ascii="宋体" w:hAnsi="宋体" w:cs="宋体"/>
          <w:color w:val="000000"/>
          <w:szCs w:val="21"/>
          <w:highlight w:val="none"/>
          <w:lang w:val="en-US" w:eastAsia="zh-CN"/>
        </w:rPr>
        <w:t>6：预付款保函</w:t>
      </w:r>
      <w:r>
        <w:rPr>
          <w:rFonts w:hint="eastAsia" w:ascii="宋体" w:hAnsi="宋体" w:cs="宋体"/>
          <w:b/>
          <w:bCs/>
          <w:color w:val="000000"/>
          <w:szCs w:val="21"/>
          <w:highlight w:val="none"/>
        </w:rPr>
        <w:t>（模板）</w:t>
      </w:r>
    </w:p>
    <w:p>
      <w:pPr>
        <w:jc w:val="left"/>
        <w:rPr>
          <w:rFonts w:hint="eastAsia" w:ascii="黑体" w:hAnsi="黑体" w:eastAsia="黑体"/>
          <w:sz w:val="36"/>
          <w:szCs w:val="36"/>
          <w:highlight w:val="none"/>
        </w:rPr>
      </w:pPr>
    </w:p>
    <w:p>
      <w:pPr>
        <w:jc w:val="center"/>
        <w:rPr>
          <w:rFonts w:hint="eastAsia" w:ascii="黑体" w:hAnsi="黑体" w:eastAsia="黑体"/>
          <w:sz w:val="36"/>
          <w:szCs w:val="36"/>
          <w:highlight w:val="none"/>
        </w:rPr>
      </w:pPr>
      <w:r>
        <w:rPr>
          <w:rFonts w:hint="eastAsia" w:ascii="黑体" w:hAnsi="黑体" w:eastAsia="黑体"/>
          <w:sz w:val="36"/>
          <w:szCs w:val="36"/>
          <w:highlight w:val="none"/>
        </w:rPr>
        <w:t>预付款保函模板</w:t>
      </w:r>
    </w:p>
    <w:p>
      <w:pPr>
        <w:rPr>
          <w:highlight w:val="none"/>
        </w:rPr>
      </w:pPr>
    </w:p>
    <w:p>
      <w:pPr>
        <w:rPr>
          <w:rFonts w:hint="eastAsia" w:ascii="仿宋" w:hAnsi="仿宋" w:eastAsia="仿宋"/>
          <w:sz w:val="28"/>
          <w:szCs w:val="28"/>
          <w:highlight w:val="none"/>
        </w:rPr>
      </w:pPr>
      <w:r>
        <w:rPr>
          <w:rFonts w:hint="eastAsia" w:ascii="仿宋" w:hAnsi="仿宋" w:eastAsia="仿宋"/>
          <w:sz w:val="28"/>
          <w:szCs w:val="28"/>
          <w:highlight w:val="none"/>
        </w:rPr>
        <w:t>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（受益人）</w:t>
      </w:r>
    </w:p>
    <w:p>
      <w:pPr>
        <w:rPr>
          <w:rFonts w:ascii="仿宋" w:hAnsi="仿宋" w:eastAsia="仿宋"/>
          <w:sz w:val="28"/>
          <w:szCs w:val="28"/>
          <w:highlight w:val="none"/>
        </w:rPr>
      </w:pPr>
    </w:p>
    <w:p>
      <w:pPr>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鉴于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（以下简称“委托人”）与你方于</w:t>
      </w:r>
      <w:r>
        <w:rPr>
          <w:rFonts w:hint="eastAsia" w:ascii="仿宋" w:hAnsi="仿宋" w:eastAsia="仿宋"/>
          <w:sz w:val="28"/>
          <w:szCs w:val="28"/>
          <w:highlight w:val="none"/>
          <w:u w:val="single"/>
        </w:rPr>
        <w:t xml:space="preserve">   年  月  日</w:t>
      </w:r>
      <w:r>
        <w:rPr>
          <w:rFonts w:hint="eastAsia" w:ascii="仿宋" w:hAnsi="仿宋" w:eastAsia="仿宋"/>
          <w:sz w:val="28"/>
          <w:szCs w:val="28"/>
          <w:highlight w:val="none"/>
        </w:rPr>
        <w:t>签订了</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（以下简称“合同”），你方将按上述基础交易合同约定向委托人支付预付款人民币</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）。我行接受委托人的申请，特此开立以你方为受益人的最高金额为人民币</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）（以下称“保函金额”）的保函。</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一、本保函为不可撤销、见索即付的独立保函。</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日内，以上述保函金额为限向你方支付相应款项。</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（二）索赔通知书应由你方法定代表人签字并加盖公章；</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（三）索赔通知书必须于本保函有效期截止日前送达我行。</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本保函金额将随我行已向你方支付的金额而自动作相应递减。</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四、本保函未经我行书面同意不得转让。</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五、本保函自签发之日起生效，有效期至           止。在上述期限内若累计赔偿额达到前述保函金额，本保函提前失效。本保函到期后，无论保函原件是否退回我行，皆告失效。</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snapToGrid/>
        <w:spacing w:beforeLines="-2147483648" w:afterLines="-2147483648" w:line="360" w:lineRule="auto"/>
        <w:jc w:val="left"/>
        <w:rPr>
          <w:rFonts w:hint="eastAsia" w:ascii="宋体" w:hAnsi="宋体" w:cs="宋体" w:eastAsiaTheme="minorEastAsia"/>
          <w:color w:val="000000"/>
          <w:sz w:val="21"/>
          <w:szCs w:val="21"/>
          <w:highlight w:val="none"/>
        </w:rPr>
      </w:pPr>
      <w:r>
        <w:rPr>
          <w:rFonts w:hint="eastAsia" w:ascii="宋体" w:hAnsi="宋体" w:cs="宋体"/>
          <w:color w:val="000000"/>
          <w:sz w:val="21"/>
          <w:szCs w:val="21"/>
          <w:highlight w:val="none"/>
          <w:lang w:val="en-US" w:eastAsia="zh-CN"/>
        </w:rPr>
        <w:t>7.报价清单</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单价（元）</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bl>
    <w:p>
      <w:pPr>
        <w:pStyle w:val="3"/>
        <w:jc w:val="both"/>
        <w:rPr>
          <w:rFonts w:hint="eastAsia"/>
          <w:color w:val="auto"/>
          <w:highlight w:val="none"/>
        </w:rPr>
      </w:pPr>
      <w:bookmarkStart w:id="146" w:name="_Toc5129"/>
      <w:bookmarkStart w:id="147" w:name="_Toc28358"/>
      <w:bookmarkStart w:id="148" w:name="_Toc23515"/>
      <w:bookmarkStart w:id="149" w:name="_Toc8147"/>
      <w:bookmarkStart w:id="150" w:name="_Toc1563"/>
      <w:bookmarkStart w:id="151" w:name="_Toc30824"/>
      <w:bookmarkStart w:id="152" w:name="_Toc12169"/>
      <w:bookmarkStart w:id="153" w:name="_Toc21847"/>
      <w:bookmarkStart w:id="154" w:name="_Toc3723"/>
      <w:bookmarkStart w:id="155" w:name="_Toc16552"/>
      <w:bookmarkStart w:id="156" w:name="_Toc6230"/>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2329815</wp:posOffset>
                </wp:positionH>
                <wp:positionV relativeFrom="paragraph">
                  <wp:posOffset>545465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42.9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2317115</wp:posOffset>
                </wp:positionH>
                <wp:positionV relativeFrom="paragraph">
                  <wp:posOffset>48260</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45pt;margin-top:3.8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e38fX8QEAAOQ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46"/>
        <w:rPr>
          <w:color w:val="auto"/>
          <w:highlight w:val="none"/>
        </w:rPr>
      </w:pPr>
    </w:p>
    <w:p>
      <w:pPr>
        <w:pStyle w:val="3"/>
        <w:rPr>
          <w:color w:val="auto"/>
          <w:highlight w:val="none"/>
        </w:rPr>
      </w:pPr>
      <w:bookmarkStart w:id="157" w:name="_Toc17119"/>
      <w:bookmarkStart w:id="158" w:name="_Toc88209951"/>
      <w:bookmarkStart w:id="159" w:name="_Toc12769"/>
      <w:bookmarkStart w:id="160" w:name="_Toc22764"/>
      <w:bookmarkStart w:id="161" w:name="_Toc5342"/>
      <w:bookmarkStart w:id="162" w:name="_Toc31564"/>
      <w:bookmarkStart w:id="163" w:name="_Toc12610"/>
      <w:bookmarkStart w:id="164" w:name="_Toc21675"/>
      <w:bookmarkStart w:id="165" w:name="_Toc10840"/>
      <w:bookmarkStart w:id="166" w:name="_Toc24490"/>
      <w:bookmarkStart w:id="167" w:name="_Toc87616388"/>
      <w:bookmarkStart w:id="168" w:name="_Toc30157"/>
      <w:bookmarkStart w:id="169" w:name="_Toc24815"/>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76" w:name="_Toc88209957"/>
      <w:bookmarkStart w:id="177" w:name="_Toc28619645"/>
      <w:bookmarkStart w:id="178" w:name="_Toc12665"/>
      <w:bookmarkStart w:id="179" w:name="_Toc6313"/>
      <w:bookmarkStart w:id="180" w:name="_Toc87616394"/>
    </w:p>
    <w:p>
      <w:pPr>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1" w:name="_Toc22527"/>
      <w:bookmarkStart w:id="182" w:name="_Toc88209958"/>
      <w:bookmarkStart w:id="183" w:name="_Toc87616395"/>
      <w:bookmarkStart w:id="184" w:name="_Toc29833"/>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pageBreakBefore w:val="0"/>
        <w:widowControl/>
        <w:kinsoku/>
        <w:wordWrap/>
        <w:overflowPunct/>
        <w:topLinePunct w:val="0"/>
        <w:bidi w:val="0"/>
        <w:adjustRightInd w:val="0"/>
        <w:snapToGrid w:val="0"/>
        <w:spacing w:beforeLines="50" w:afterLines="50" w:line="560" w:lineRule="exact"/>
        <w:jc w:val="center"/>
        <w:textAlignment w:val="auto"/>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8"/>
        <w:keepNext w:val="0"/>
        <w:keepLines w:val="0"/>
        <w:pageBreakBefore w:val="0"/>
        <w:widowControl w:val="0"/>
        <w:kinsoku/>
        <w:wordWrap/>
        <w:overflowPunct/>
        <w:topLinePunct w:val="0"/>
        <w:autoSpaceDE w:val="0"/>
        <w:autoSpaceDN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w:t>
            </w:r>
            <w:r>
              <w:rPr>
                <w:rFonts w:hint="eastAsia" w:ascii="宋体" w:hAnsi="宋体" w:cs="Times New Roman"/>
                <w:color w:val="auto"/>
                <w:sz w:val="24"/>
                <w:szCs w:val="24"/>
                <w:highlight w:val="none"/>
                <w:lang w:val="en-US" w:eastAsia="zh-CN"/>
              </w:rPr>
              <w:t>当月往前近三个月，当月可计</w:t>
            </w:r>
            <w:r>
              <w:rPr>
                <w:rFonts w:hint="eastAsia" w:ascii="宋体" w:hAnsi="宋体" w:cs="Times New Roman"/>
                <w:color w:val="auto"/>
                <w:sz w:val="24"/>
                <w:szCs w:val="24"/>
                <w:highlight w:val="none"/>
                <w:lang w:eastAsia="zh-CN"/>
              </w:rPr>
              <w:t>），（以加盖社会保险基金管理中心印章的《缴费历史明细表》或《社会保险参保人员证明》为准，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086"/>
      <w:bookmarkStart w:id="186" w:name="_Toc19830"/>
      <w:bookmarkStart w:id="187" w:name="_Toc87616400"/>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广州市净水有限公司2023年老旧起重设备、空压机采购更换项目（项目编号：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5"/>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pStyle w:val="5"/>
        <w:numPr>
          <w:ilvl w:val="0"/>
          <w:numId w:val="13"/>
        </w:numPr>
        <w:rPr>
          <w:rFonts w:hint="eastAsia" w:asciiTheme="minorEastAsia" w:hAnsiTheme="minorEastAsia" w:eastAsiaTheme="minorEastAsia"/>
          <w:color w:val="auto"/>
          <w:sz w:val="28"/>
          <w:szCs w:val="28"/>
          <w:highlight w:val="none"/>
        </w:rPr>
      </w:pPr>
      <w:bookmarkStart w:id="190" w:name="_Toc32430"/>
      <w:bookmarkStart w:id="191" w:name="_Toc19423"/>
      <w:r>
        <w:rPr>
          <w:rFonts w:hint="eastAsia" w:asciiTheme="minorEastAsia" w:hAnsiTheme="minorEastAsia" w:eastAsiaTheme="minorEastAsia"/>
          <w:color w:val="auto"/>
          <w:sz w:val="28"/>
          <w:szCs w:val="28"/>
          <w:highlight w:val="none"/>
        </w:rPr>
        <w:t>报价表</w:t>
      </w:r>
      <w:bookmarkEnd w:id="190"/>
      <w:bookmarkEnd w:id="191"/>
    </w:p>
    <w:tbl>
      <w:tblPr>
        <w:tblStyle w:val="26"/>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单价（元）</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总价（元）</w:t>
            </w:r>
          </w:p>
        </w:tc>
        <w:tc>
          <w:tcPr>
            <w:tcW w:w="1118" w:type="dxa"/>
            <w:noWrap w:val="0"/>
            <w:vAlign w:val="center"/>
          </w:tcPr>
          <w:p>
            <w:pPr>
              <w:jc w:val="center"/>
              <w:rPr>
                <w:rFonts w:hint="default"/>
                <w:highlight w:val="none"/>
                <w:lang w:val="en-US" w:eastAsia="zh-CN"/>
              </w:rPr>
            </w:pPr>
            <w:r>
              <w:rPr>
                <w:rFonts w:hint="eastAsia"/>
                <w:highlight w:val="none"/>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85" w:type="dxa"/>
            <w:gridSpan w:val="8"/>
            <w:noWrap w:val="0"/>
            <w:vAlign w:val="center"/>
          </w:tcPr>
          <w:p>
            <w:pPr>
              <w:jc w:val="center"/>
              <w:rPr>
                <w:rFonts w:hint="default"/>
                <w:highlight w:val="none"/>
                <w:lang w:val="en-US" w:eastAsia="zh-CN"/>
              </w:rPr>
            </w:pPr>
            <w:r>
              <w:rPr>
                <w:rFonts w:hint="eastAsia"/>
                <w:highlight w:val="none"/>
                <w:lang w:val="en-US" w:eastAsia="zh-CN"/>
              </w:rPr>
              <w:t>合计：   元（含税： %）</w:t>
            </w:r>
          </w:p>
        </w:tc>
      </w:tr>
    </w:tbl>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numPr>
          <w:ilvl w:val="-1"/>
          <w:numId w:val="0"/>
        </w:numPr>
        <w:rPr>
          <w:rFonts w:hint="eastAsia" w:asciiTheme="minorEastAsia" w:hAnsiTheme="minorEastAsia" w:eastAsiaTheme="minorEastAsia"/>
          <w:color w:val="auto"/>
          <w:sz w:val="28"/>
          <w:szCs w:val="28"/>
          <w:highlight w:val="none"/>
        </w:rPr>
      </w:pPr>
    </w:p>
    <w:p>
      <w:pPr>
        <w:pStyle w:val="5"/>
        <w:rPr>
          <w:rFonts w:asciiTheme="majorEastAsia" w:hAnsiTheme="majorEastAsia" w:eastAsiaTheme="majorEastAsia"/>
          <w:color w:val="auto"/>
          <w:sz w:val="28"/>
          <w:szCs w:val="28"/>
          <w:highlight w:val="none"/>
        </w:rPr>
      </w:pPr>
      <w:bookmarkStart w:id="192" w:name="_Toc87616402"/>
      <w:bookmarkStart w:id="193" w:name="_Toc88209965"/>
      <w:bookmarkStart w:id="194" w:name="_Toc16386"/>
      <w:bookmarkStart w:id="19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1）项目二猎德分公司起重设备：起重机的大车、小车、主钩的行驶速度均为变速可调，调节方式详细说明，加盖单位公章。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2）项目二猎德分公司起重设备：主钩的提升速度应有微调特性，在任何载荷下升降平稳、就位准确。起重机的大车、小车、主钩和副钩的调节速度范围详细说明，加盖单位公章。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3）项目二猎德分公司起重设备：各部件应进行合理的防腐处理，并且保证正常使用年限不得低于15年，具体作法由报价单位确定，提交说明防腐的做法，加盖单位公章。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4）项目三猎德分公司空气压缩机：设备中的各部件应进行合理的防腐处理，至少保用10年，提交说明防腐的做法，加盖单位公章。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5）项目四大坦沙分公司起重设备：报价的产品参数与采购文件所描述的设备参数必须完全一致（提供产品参数响应承诺函，格式自拟），同时提供产品选型参数书或产品说明书，以上资料加盖单位公章。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6）项目五大坦沙分公司空气压缩机：报价的产品参数与采购文件所描述的设备参数必须完全一致（提供产品参数响应承诺函，格式自拟），同时提供产品选型参数书或产品说明书，以上资料加盖单位公章。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color w:val="auto"/>
          <w:sz w:val="28"/>
          <w:szCs w:val="28"/>
          <w:highlight w:val="none"/>
          <w:u w:val="single"/>
          <w:lang w:val="en-US" w:eastAsia="zh-CN"/>
        </w:rPr>
      </w:pP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提供拟供货设备型号的产品技术文件(包括但不限于生产厂家、产品基本信息、技术性能参数、产品实物外观图片)</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加盖单位公章。</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9"/>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6D8C0"/>
    <w:multiLevelType w:val="singleLevel"/>
    <w:tmpl w:val="B116D8C0"/>
    <w:lvl w:ilvl="0" w:tentative="0">
      <w:start w:val="1"/>
      <w:numFmt w:val="decimal"/>
      <w:suff w:val="nothing"/>
      <w:lvlText w:val="(%1)"/>
      <w:lvlJc w:val="left"/>
      <w:pPr>
        <w:ind w:left="0" w:firstLine="0"/>
      </w:pPr>
      <w:rPr>
        <w:rFonts w:hint="default"/>
      </w:rPr>
    </w:lvl>
  </w:abstractNum>
  <w:abstractNum w:abstractNumId="1">
    <w:nsid w:val="B495A629"/>
    <w:multiLevelType w:val="singleLevel"/>
    <w:tmpl w:val="B495A629"/>
    <w:lvl w:ilvl="0" w:tentative="0">
      <w:start w:val="1"/>
      <w:numFmt w:val="decimal"/>
      <w:suff w:val="nothing"/>
      <w:lvlText w:val="%1、"/>
      <w:lvlJc w:val="left"/>
    </w:lvl>
  </w:abstractNum>
  <w:abstractNum w:abstractNumId="2">
    <w:nsid w:val="BD153325"/>
    <w:multiLevelType w:val="singleLevel"/>
    <w:tmpl w:val="BD153325"/>
    <w:lvl w:ilvl="0" w:tentative="0">
      <w:start w:val="2"/>
      <w:numFmt w:val="decimal"/>
      <w:suff w:val="nothing"/>
      <w:lvlText w:val="%1、"/>
      <w:lvlJc w:val="left"/>
    </w:lvl>
  </w:abstractNum>
  <w:abstractNum w:abstractNumId="3">
    <w:nsid w:val="C5E21EF5"/>
    <w:multiLevelType w:val="singleLevel"/>
    <w:tmpl w:val="C5E21EF5"/>
    <w:lvl w:ilvl="0" w:tentative="0">
      <w:start w:val="5"/>
      <w:numFmt w:val="decimal"/>
      <w:lvlText w:val="%1."/>
      <w:lvlJc w:val="left"/>
      <w:pPr>
        <w:tabs>
          <w:tab w:val="left" w:pos="312"/>
        </w:tabs>
      </w:pPr>
    </w:lvl>
  </w:abstractNum>
  <w:abstractNum w:abstractNumId="4">
    <w:nsid w:val="C7580857"/>
    <w:multiLevelType w:val="singleLevel"/>
    <w:tmpl w:val="C7580857"/>
    <w:lvl w:ilvl="0" w:tentative="0">
      <w:start w:val="1"/>
      <w:numFmt w:val="decimal"/>
      <w:suff w:val="nothing"/>
      <w:lvlText w:val="(%1)"/>
      <w:lvlJc w:val="left"/>
      <w:pPr>
        <w:ind w:left="0" w:firstLine="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F0E5462A"/>
    <w:multiLevelType w:val="singleLevel"/>
    <w:tmpl w:val="F0E5462A"/>
    <w:lvl w:ilvl="0" w:tentative="0">
      <w:start w:val="1"/>
      <w:numFmt w:val="decimal"/>
      <w:suff w:val="nothing"/>
      <w:lvlText w:val="%1、"/>
      <w:lvlJc w:val="left"/>
    </w:lvl>
  </w:abstractNum>
  <w:abstractNum w:abstractNumId="7">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3B714BAF"/>
    <w:multiLevelType w:val="singleLevel"/>
    <w:tmpl w:val="3B714BAF"/>
    <w:lvl w:ilvl="0" w:tentative="0">
      <w:start w:val="1"/>
      <w:numFmt w:val="decimal"/>
      <w:suff w:val="nothing"/>
      <w:lvlText w:val="(%1)"/>
      <w:lvlJc w:val="left"/>
      <w:pPr>
        <w:ind w:left="0" w:firstLine="0"/>
      </w:pPr>
      <w:rPr>
        <w:rFonts w:hint="default"/>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46076B9"/>
    <w:multiLevelType w:val="singleLevel"/>
    <w:tmpl w:val="546076B9"/>
    <w:lvl w:ilvl="0" w:tentative="0">
      <w:start w:val="2"/>
      <w:numFmt w:val="chineseCounting"/>
      <w:suff w:val="nothing"/>
      <w:lvlText w:val="%1、"/>
      <w:lvlJc w:val="left"/>
    </w:lvl>
  </w:abstractNum>
  <w:abstractNum w:abstractNumId="1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5D32C3"/>
    <w:multiLevelType w:val="singleLevel"/>
    <w:tmpl w:val="705D32C3"/>
    <w:lvl w:ilvl="0" w:tentative="0">
      <w:start w:val="5"/>
      <w:numFmt w:val="decimal"/>
      <w:lvlText w:val="%1."/>
      <w:lvlJc w:val="left"/>
      <w:pPr>
        <w:tabs>
          <w:tab w:val="left" w:pos="312"/>
        </w:tabs>
      </w:pPr>
    </w:lvl>
  </w:abstractNum>
  <w:num w:numId="1">
    <w:abstractNumId w:val="7"/>
  </w:num>
  <w:num w:numId="2">
    <w:abstractNumId w:val="5"/>
  </w:num>
  <w:num w:numId="3">
    <w:abstractNumId w:val="12"/>
  </w:num>
  <w:num w:numId="4">
    <w:abstractNumId w:val="9"/>
  </w:num>
  <w:num w:numId="5">
    <w:abstractNumId w:val="11"/>
  </w:num>
  <w:num w:numId="6">
    <w:abstractNumId w:val="10"/>
  </w:num>
  <w:num w:numId="7">
    <w:abstractNumId w:val="1"/>
  </w:num>
  <w:num w:numId="8">
    <w:abstractNumId w:val="2"/>
  </w:num>
  <w:num w:numId="9">
    <w:abstractNumId w:val="0"/>
  </w:num>
  <w:num w:numId="10">
    <w:abstractNumId w:val="8"/>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875EE2"/>
    <w:rsid w:val="01BB0F13"/>
    <w:rsid w:val="02090C75"/>
    <w:rsid w:val="020C0F34"/>
    <w:rsid w:val="02A23A3C"/>
    <w:rsid w:val="02FB196F"/>
    <w:rsid w:val="035D130A"/>
    <w:rsid w:val="039110A9"/>
    <w:rsid w:val="03AC246A"/>
    <w:rsid w:val="03AE6061"/>
    <w:rsid w:val="03B23056"/>
    <w:rsid w:val="03DA023E"/>
    <w:rsid w:val="03DC3EBA"/>
    <w:rsid w:val="03F9794D"/>
    <w:rsid w:val="04354D8F"/>
    <w:rsid w:val="046A2461"/>
    <w:rsid w:val="051C2970"/>
    <w:rsid w:val="058607FF"/>
    <w:rsid w:val="058D22A7"/>
    <w:rsid w:val="05B87577"/>
    <w:rsid w:val="05D450D4"/>
    <w:rsid w:val="060C3611"/>
    <w:rsid w:val="06C354AE"/>
    <w:rsid w:val="06C64829"/>
    <w:rsid w:val="070E7B6E"/>
    <w:rsid w:val="071D62B7"/>
    <w:rsid w:val="077D16D2"/>
    <w:rsid w:val="07FB307F"/>
    <w:rsid w:val="082A69F3"/>
    <w:rsid w:val="08675FC8"/>
    <w:rsid w:val="08C54DAD"/>
    <w:rsid w:val="094D08B2"/>
    <w:rsid w:val="09B713FD"/>
    <w:rsid w:val="09EF6ACC"/>
    <w:rsid w:val="0A2B06B3"/>
    <w:rsid w:val="0A315056"/>
    <w:rsid w:val="0A694621"/>
    <w:rsid w:val="0AA213B4"/>
    <w:rsid w:val="0AF61C7E"/>
    <w:rsid w:val="0AFB45AD"/>
    <w:rsid w:val="0B351E9B"/>
    <w:rsid w:val="0B4C50D3"/>
    <w:rsid w:val="0B806B92"/>
    <w:rsid w:val="0B827E94"/>
    <w:rsid w:val="0B842F76"/>
    <w:rsid w:val="0BD070E1"/>
    <w:rsid w:val="0BD65B6B"/>
    <w:rsid w:val="0C2361E7"/>
    <w:rsid w:val="0C247926"/>
    <w:rsid w:val="0C3923C8"/>
    <w:rsid w:val="0C460641"/>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1703D2"/>
    <w:rsid w:val="112B101A"/>
    <w:rsid w:val="119B53FC"/>
    <w:rsid w:val="1215733B"/>
    <w:rsid w:val="121D05B4"/>
    <w:rsid w:val="12424CDC"/>
    <w:rsid w:val="124E2F69"/>
    <w:rsid w:val="129A2738"/>
    <w:rsid w:val="12B56BF1"/>
    <w:rsid w:val="12CB1A89"/>
    <w:rsid w:val="131840FB"/>
    <w:rsid w:val="132132BB"/>
    <w:rsid w:val="13467417"/>
    <w:rsid w:val="136E76CF"/>
    <w:rsid w:val="145F08C6"/>
    <w:rsid w:val="14C30A80"/>
    <w:rsid w:val="14E43F59"/>
    <w:rsid w:val="15776308"/>
    <w:rsid w:val="15BC6B3C"/>
    <w:rsid w:val="15F54445"/>
    <w:rsid w:val="16154FF1"/>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5B5543"/>
    <w:rsid w:val="19A53EA8"/>
    <w:rsid w:val="19B64DBC"/>
    <w:rsid w:val="19EC6A4A"/>
    <w:rsid w:val="1A373ACF"/>
    <w:rsid w:val="1A7B10BA"/>
    <w:rsid w:val="1A895341"/>
    <w:rsid w:val="1B0D071F"/>
    <w:rsid w:val="1B4568CE"/>
    <w:rsid w:val="1B7161CF"/>
    <w:rsid w:val="1B9015B7"/>
    <w:rsid w:val="1B950DA6"/>
    <w:rsid w:val="1BF54245"/>
    <w:rsid w:val="1C2815E0"/>
    <w:rsid w:val="1C2972B9"/>
    <w:rsid w:val="1D0E6976"/>
    <w:rsid w:val="1D5A79EE"/>
    <w:rsid w:val="1D5D57EA"/>
    <w:rsid w:val="1E0E2CD0"/>
    <w:rsid w:val="1E795C5B"/>
    <w:rsid w:val="1E831280"/>
    <w:rsid w:val="1EBC4704"/>
    <w:rsid w:val="1EE805AC"/>
    <w:rsid w:val="1F172EB5"/>
    <w:rsid w:val="1F22070B"/>
    <w:rsid w:val="1F94592D"/>
    <w:rsid w:val="1FB860DE"/>
    <w:rsid w:val="203C5A02"/>
    <w:rsid w:val="209D4C94"/>
    <w:rsid w:val="20B44FCD"/>
    <w:rsid w:val="20E84705"/>
    <w:rsid w:val="2113448C"/>
    <w:rsid w:val="218400BA"/>
    <w:rsid w:val="21AB1E2F"/>
    <w:rsid w:val="21CB7360"/>
    <w:rsid w:val="21D40498"/>
    <w:rsid w:val="22493963"/>
    <w:rsid w:val="224B4D70"/>
    <w:rsid w:val="22767047"/>
    <w:rsid w:val="2369138D"/>
    <w:rsid w:val="23A05588"/>
    <w:rsid w:val="240476A1"/>
    <w:rsid w:val="24B51FC6"/>
    <w:rsid w:val="250F0880"/>
    <w:rsid w:val="25365778"/>
    <w:rsid w:val="25431AEB"/>
    <w:rsid w:val="25792AF0"/>
    <w:rsid w:val="25BE3BFB"/>
    <w:rsid w:val="25BF43FD"/>
    <w:rsid w:val="25F86BCD"/>
    <w:rsid w:val="2605748B"/>
    <w:rsid w:val="26396D26"/>
    <w:rsid w:val="264544A6"/>
    <w:rsid w:val="267702FB"/>
    <w:rsid w:val="269E416A"/>
    <w:rsid w:val="26C11C6B"/>
    <w:rsid w:val="272100D3"/>
    <w:rsid w:val="2729330D"/>
    <w:rsid w:val="272C72FC"/>
    <w:rsid w:val="275131CB"/>
    <w:rsid w:val="27680BB0"/>
    <w:rsid w:val="278F6521"/>
    <w:rsid w:val="27EB149D"/>
    <w:rsid w:val="27FD3E52"/>
    <w:rsid w:val="28114F69"/>
    <w:rsid w:val="281F0AB3"/>
    <w:rsid w:val="287A1946"/>
    <w:rsid w:val="28920692"/>
    <w:rsid w:val="28E11370"/>
    <w:rsid w:val="28F039B6"/>
    <w:rsid w:val="291C1B6E"/>
    <w:rsid w:val="293715E5"/>
    <w:rsid w:val="294A756A"/>
    <w:rsid w:val="29781BF8"/>
    <w:rsid w:val="297939E2"/>
    <w:rsid w:val="29C33ED0"/>
    <w:rsid w:val="29D5322D"/>
    <w:rsid w:val="2A025DD9"/>
    <w:rsid w:val="2A2619CB"/>
    <w:rsid w:val="2A7317D3"/>
    <w:rsid w:val="2A7C2231"/>
    <w:rsid w:val="2A920E4F"/>
    <w:rsid w:val="2ABB753D"/>
    <w:rsid w:val="2AFE6EC4"/>
    <w:rsid w:val="2B32576E"/>
    <w:rsid w:val="2B474224"/>
    <w:rsid w:val="2B7A49FA"/>
    <w:rsid w:val="2BC52ED8"/>
    <w:rsid w:val="2C3E3F82"/>
    <w:rsid w:val="2C615D26"/>
    <w:rsid w:val="2C75296F"/>
    <w:rsid w:val="2CB679ED"/>
    <w:rsid w:val="2CE83C37"/>
    <w:rsid w:val="2D0C3E6E"/>
    <w:rsid w:val="2D173C07"/>
    <w:rsid w:val="2D424A86"/>
    <w:rsid w:val="2D4B565F"/>
    <w:rsid w:val="2D9214E0"/>
    <w:rsid w:val="2DAA05D8"/>
    <w:rsid w:val="2DDA66B7"/>
    <w:rsid w:val="2E264990"/>
    <w:rsid w:val="2E6F2D11"/>
    <w:rsid w:val="2E7B52DB"/>
    <w:rsid w:val="2E840E29"/>
    <w:rsid w:val="2ED60115"/>
    <w:rsid w:val="2F324CFE"/>
    <w:rsid w:val="2FBA09F1"/>
    <w:rsid w:val="2FEA7774"/>
    <w:rsid w:val="2FEF2ACF"/>
    <w:rsid w:val="2FF93D20"/>
    <w:rsid w:val="30243F57"/>
    <w:rsid w:val="30540211"/>
    <w:rsid w:val="307D396C"/>
    <w:rsid w:val="30E45100"/>
    <w:rsid w:val="30F027A5"/>
    <w:rsid w:val="31112A0D"/>
    <w:rsid w:val="3118711F"/>
    <w:rsid w:val="311F4B20"/>
    <w:rsid w:val="312D7741"/>
    <w:rsid w:val="316F137F"/>
    <w:rsid w:val="31DF525F"/>
    <w:rsid w:val="31EC162B"/>
    <w:rsid w:val="32324C2E"/>
    <w:rsid w:val="327171DF"/>
    <w:rsid w:val="335913DD"/>
    <w:rsid w:val="33865643"/>
    <w:rsid w:val="3391569E"/>
    <w:rsid w:val="34096400"/>
    <w:rsid w:val="341E3434"/>
    <w:rsid w:val="34BB4442"/>
    <w:rsid w:val="3584136B"/>
    <w:rsid w:val="35B178E1"/>
    <w:rsid w:val="35CC4499"/>
    <w:rsid w:val="35FF5AA4"/>
    <w:rsid w:val="360B7EBA"/>
    <w:rsid w:val="36416867"/>
    <w:rsid w:val="364E5B92"/>
    <w:rsid w:val="367D5DD4"/>
    <w:rsid w:val="369C32FD"/>
    <w:rsid w:val="37666E72"/>
    <w:rsid w:val="37E8067A"/>
    <w:rsid w:val="38081EA3"/>
    <w:rsid w:val="38167A04"/>
    <w:rsid w:val="381C3783"/>
    <w:rsid w:val="38F43564"/>
    <w:rsid w:val="38F97936"/>
    <w:rsid w:val="394B167A"/>
    <w:rsid w:val="39DA2868"/>
    <w:rsid w:val="3A055F4B"/>
    <w:rsid w:val="3A3D3F2A"/>
    <w:rsid w:val="3A450793"/>
    <w:rsid w:val="3A4E4336"/>
    <w:rsid w:val="3A6007FE"/>
    <w:rsid w:val="3A802587"/>
    <w:rsid w:val="3A852164"/>
    <w:rsid w:val="3AC56A51"/>
    <w:rsid w:val="3AE26A56"/>
    <w:rsid w:val="3AF93D6C"/>
    <w:rsid w:val="3AFD06C8"/>
    <w:rsid w:val="3B477B26"/>
    <w:rsid w:val="3B4F1262"/>
    <w:rsid w:val="3B7C2CE4"/>
    <w:rsid w:val="3BAF716B"/>
    <w:rsid w:val="3BC431AC"/>
    <w:rsid w:val="3C0B5355"/>
    <w:rsid w:val="3CD4176B"/>
    <w:rsid w:val="3D1F44D9"/>
    <w:rsid w:val="3D5C38CD"/>
    <w:rsid w:val="3E23065E"/>
    <w:rsid w:val="3E5070F1"/>
    <w:rsid w:val="3E6932E4"/>
    <w:rsid w:val="3EA177D5"/>
    <w:rsid w:val="3EC370CB"/>
    <w:rsid w:val="3F6C3589"/>
    <w:rsid w:val="3F785AE2"/>
    <w:rsid w:val="3F850180"/>
    <w:rsid w:val="3F9004D6"/>
    <w:rsid w:val="3FEE7CFA"/>
    <w:rsid w:val="400E4D5E"/>
    <w:rsid w:val="404604EA"/>
    <w:rsid w:val="40DA759B"/>
    <w:rsid w:val="40E1138C"/>
    <w:rsid w:val="40FC27EE"/>
    <w:rsid w:val="413814BA"/>
    <w:rsid w:val="41583745"/>
    <w:rsid w:val="41872511"/>
    <w:rsid w:val="41D61543"/>
    <w:rsid w:val="41DF1251"/>
    <w:rsid w:val="42054B0B"/>
    <w:rsid w:val="424236D9"/>
    <w:rsid w:val="42466655"/>
    <w:rsid w:val="42C82F57"/>
    <w:rsid w:val="435707E5"/>
    <w:rsid w:val="43C76AF7"/>
    <w:rsid w:val="43E97E4A"/>
    <w:rsid w:val="440D4B90"/>
    <w:rsid w:val="442A4DEB"/>
    <w:rsid w:val="4456696C"/>
    <w:rsid w:val="446828F0"/>
    <w:rsid w:val="45093E85"/>
    <w:rsid w:val="4511585F"/>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6463E1"/>
    <w:rsid w:val="500E56F4"/>
    <w:rsid w:val="50540C73"/>
    <w:rsid w:val="505465F1"/>
    <w:rsid w:val="50752AF8"/>
    <w:rsid w:val="50FD6AED"/>
    <w:rsid w:val="513C6A7B"/>
    <w:rsid w:val="517300C9"/>
    <w:rsid w:val="51733009"/>
    <w:rsid w:val="51D85544"/>
    <w:rsid w:val="52EC6EC2"/>
    <w:rsid w:val="532D486F"/>
    <w:rsid w:val="5333545B"/>
    <w:rsid w:val="538D0E89"/>
    <w:rsid w:val="53B316E5"/>
    <w:rsid w:val="53F0286C"/>
    <w:rsid w:val="54246B91"/>
    <w:rsid w:val="5450213C"/>
    <w:rsid w:val="546711F3"/>
    <w:rsid w:val="546C3825"/>
    <w:rsid w:val="54D24048"/>
    <w:rsid w:val="54D64CD5"/>
    <w:rsid w:val="5532287C"/>
    <w:rsid w:val="554C0043"/>
    <w:rsid w:val="55887D69"/>
    <w:rsid w:val="55EE5D11"/>
    <w:rsid w:val="561A0928"/>
    <w:rsid w:val="56423872"/>
    <w:rsid w:val="569E06BC"/>
    <w:rsid w:val="56B279F0"/>
    <w:rsid w:val="56F20F86"/>
    <w:rsid w:val="579C082A"/>
    <w:rsid w:val="579C22C4"/>
    <w:rsid w:val="579D710E"/>
    <w:rsid w:val="57BB21AE"/>
    <w:rsid w:val="581F22F6"/>
    <w:rsid w:val="582233EF"/>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9220DF"/>
    <w:rsid w:val="5CB57866"/>
    <w:rsid w:val="5D4A15F3"/>
    <w:rsid w:val="5D69542A"/>
    <w:rsid w:val="5D783B72"/>
    <w:rsid w:val="5DC6140F"/>
    <w:rsid w:val="5E0930EF"/>
    <w:rsid w:val="5E3D4D53"/>
    <w:rsid w:val="5E4717E6"/>
    <w:rsid w:val="5E55774C"/>
    <w:rsid w:val="5E8A70FF"/>
    <w:rsid w:val="5F5A6ED0"/>
    <w:rsid w:val="5FAE5456"/>
    <w:rsid w:val="60045F96"/>
    <w:rsid w:val="60104DDC"/>
    <w:rsid w:val="605C0804"/>
    <w:rsid w:val="60885CA7"/>
    <w:rsid w:val="60913E6F"/>
    <w:rsid w:val="614561F1"/>
    <w:rsid w:val="61733C3E"/>
    <w:rsid w:val="6189617B"/>
    <w:rsid w:val="61B52BB6"/>
    <w:rsid w:val="61B749C2"/>
    <w:rsid w:val="62280D20"/>
    <w:rsid w:val="62B4786E"/>
    <w:rsid w:val="62CA2457"/>
    <w:rsid w:val="638240A1"/>
    <w:rsid w:val="63833423"/>
    <w:rsid w:val="63A5257B"/>
    <w:rsid w:val="63BD3DCC"/>
    <w:rsid w:val="63C61741"/>
    <w:rsid w:val="64560967"/>
    <w:rsid w:val="65373884"/>
    <w:rsid w:val="656B1D10"/>
    <w:rsid w:val="65B841F9"/>
    <w:rsid w:val="66022B28"/>
    <w:rsid w:val="664A38E2"/>
    <w:rsid w:val="66581E87"/>
    <w:rsid w:val="66766EBB"/>
    <w:rsid w:val="66FA11D5"/>
    <w:rsid w:val="674302C7"/>
    <w:rsid w:val="675863D3"/>
    <w:rsid w:val="67CB09D8"/>
    <w:rsid w:val="67EE3B0F"/>
    <w:rsid w:val="680A5986"/>
    <w:rsid w:val="680D5F4B"/>
    <w:rsid w:val="68113F51"/>
    <w:rsid w:val="687F1E31"/>
    <w:rsid w:val="68E94770"/>
    <w:rsid w:val="68EC1CEF"/>
    <w:rsid w:val="68F949C9"/>
    <w:rsid w:val="695A4290"/>
    <w:rsid w:val="696F3649"/>
    <w:rsid w:val="69D840BA"/>
    <w:rsid w:val="6A334932"/>
    <w:rsid w:val="6A3353FF"/>
    <w:rsid w:val="6A5D63E6"/>
    <w:rsid w:val="6A5F24D1"/>
    <w:rsid w:val="6ACA70C4"/>
    <w:rsid w:val="6AE347EB"/>
    <w:rsid w:val="6B330365"/>
    <w:rsid w:val="6B434AF0"/>
    <w:rsid w:val="6B57675A"/>
    <w:rsid w:val="6B694852"/>
    <w:rsid w:val="6B87098A"/>
    <w:rsid w:val="6BAE1CA9"/>
    <w:rsid w:val="6BDD7B4D"/>
    <w:rsid w:val="6BFA56EA"/>
    <w:rsid w:val="6CA4708D"/>
    <w:rsid w:val="6D187EA7"/>
    <w:rsid w:val="6DBA41A4"/>
    <w:rsid w:val="6DD13CE2"/>
    <w:rsid w:val="6EBC0B3A"/>
    <w:rsid w:val="6EF51C7D"/>
    <w:rsid w:val="6F8363E5"/>
    <w:rsid w:val="6F841DCF"/>
    <w:rsid w:val="6FA33C6A"/>
    <w:rsid w:val="6FA80CCD"/>
    <w:rsid w:val="6FAC3CC5"/>
    <w:rsid w:val="6FC746F5"/>
    <w:rsid w:val="6FE33EF5"/>
    <w:rsid w:val="70317AC6"/>
    <w:rsid w:val="70343755"/>
    <w:rsid w:val="704B26F7"/>
    <w:rsid w:val="70697B21"/>
    <w:rsid w:val="70863262"/>
    <w:rsid w:val="70A76ED3"/>
    <w:rsid w:val="70AA54D6"/>
    <w:rsid w:val="70B24803"/>
    <w:rsid w:val="71860B17"/>
    <w:rsid w:val="71E57B43"/>
    <w:rsid w:val="71E835C4"/>
    <w:rsid w:val="723B27CC"/>
    <w:rsid w:val="72687227"/>
    <w:rsid w:val="72A03FD9"/>
    <w:rsid w:val="73406CFF"/>
    <w:rsid w:val="7383028C"/>
    <w:rsid w:val="73A25E44"/>
    <w:rsid w:val="74035919"/>
    <w:rsid w:val="741F68CF"/>
    <w:rsid w:val="74780E44"/>
    <w:rsid w:val="748A06C6"/>
    <w:rsid w:val="75252DF3"/>
    <w:rsid w:val="75621536"/>
    <w:rsid w:val="75BF3154"/>
    <w:rsid w:val="764A07CF"/>
    <w:rsid w:val="764F6B3D"/>
    <w:rsid w:val="76CD2B7B"/>
    <w:rsid w:val="76D80645"/>
    <w:rsid w:val="76E03371"/>
    <w:rsid w:val="76E248D5"/>
    <w:rsid w:val="771211AA"/>
    <w:rsid w:val="776E1AAE"/>
    <w:rsid w:val="77736C04"/>
    <w:rsid w:val="780E5898"/>
    <w:rsid w:val="782642CC"/>
    <w:rsid w:val="78324A1E"/>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E326141"/>
    <w:rsid w:val="7E394207"/>
    <w:rsid w:val="7E4007A2"/>
    <w:rsid w:val="7E791CAD"/>
    <w:rsid w:val="7E8D5A75"/>
    <w:rsid w:val="7EA50DFB"/>
    <w:rsid w:val="7EC86878"/>
    <w:rsid w:val="7EE12CFA"/>
    <w:rsid w:val="7F16390D"/>
    <w:rsid w:val="7F2E45E0"/>
    <w:rsid w:val="7F752917"/>
    <w:rsid w:val="7F7F67CC"/>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5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5"/>
    <w:semiHidden/>
    <w:unhideWhenUsed/>
    <w:qFormat/>
    <w:uiPriority w:val="99"/>
    <w:rPr>
      <w:sz w:val="18"/>
      <w:szCs w:val="18"/>
    </w:rPr>
  </w:style>
  <w:style w:type="paragraph" w:styleId="19">
    <w:name w:val="footer"/>
    <w:basedOn w:val="1"/>
    <w:link w:val="39"/>
    <w:unhideWhenUsed/>
    <w:qFormat/>
    <w:uiPriority w:val="99"/>
    <w:pPr>
      <w:tabs>
        <w:tab w:val="center" w:pos="4153"/>
        <w:tab w:val="right" w:pos="8306"/>
      </w:tabs>
      <w:snapToGrid w:val="0"/>
      <w:jc w:val="left"/>
    </w:pPr>
    <w:rPr>
      <w:sz w:val="18"/>
      <w:szCs w:val="18"/>
    </w:rPr>
  </w:style>
  <w:style w:type="paragraph" w:styleId="20">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w:basedOn w:val="10"/>
    <w:unhideWhenUsed/>
    <w:qFormat/>
    <w:uiPriority w:val="99"/>
    <w:pPr>
      <w:widowControl w:val="0"/>
      <w:spacing w:after="120" w:line="240" w:lineRule="auto"/>
      <w:ind w:firstLine="420"/>
    </w:pPr>
    <w:rPr>
      <w:kern w:val="2"/>
      <w:sz w:val="21"/>
    </w:rPr>
  </w:style>
  <w:style w:type="paragraph" w:styleId="25">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semiHidden/>
    <w:unhideWhenUsed/>
    <w:qFormat/>
    <w:uiPriority w:val="99"/>
    <w:rPr>
      <w:color w:val="2490F8"/>
      <w:u w:val="none"/>
    </w:rPr>
  </w:style>
  <w:style w:type="character" w:styleId="32">
    <w:name w:val="HTML Definition"/>
    <w:basedOn w:val="28"/>
    <w:semiHidden/>
    <w:unhideWhenUsed/>
    <w:qFormat/>
    <w:uiPriority w:val="99"/>
  </w:style>
  <w:style w:type="character" w:styleId="33">
    <w:name w:val="HTML Variable"/>
    <w:basedOn w:val="28"/>
    <w:semiHidden/>
    <w:unhideWhenUsed/>
    <w:qFormat/>
    <w:uiPriority w:val="99"/>
  </w:style>
  <w:style w:type="character" w:styleId="34">
    <w:name w:val="Hyperlink"/>
    <w:basedOn w:val="28"/>
    <w:unhideWhenUsed/>
    <w:qFormat/>
    <w:uiPriority w:val="99"/>
    <w:rPr>
      <w:color w:val="0000FF" w:themeColor="hyperlink"/>
      <w:u w:val="single"/>
      <w14:textFill>
        <w14:solidFill>
          <w14:schemeClr w14:val="hlink"/>
        </w14:solidFill>
      </w14:textFill>
    </w:rPr>
  </w:style>
  <w:style w:type="character" w:styleId="35">
    <w:name w:val="HTML Code"/>
    <w:basedOn w:val="28"/>
    <w:semiHidden/>
    <w:unhideWhenUsed/>
    <w:qFormat/>
    <w:uiPriority w:val="99"/>
    <w:rPr>
      <w:rFonts w:ascii="Courier New" w:hAnsi="Courier New"/>
      <w:sz w:val="20"/>
    </w:rPr>
  </w:style>
  <w:style w:type="character" w:styleId="36">
    <w:name w:val="HTML Cite"/>
    <w:basedOn w:val="28"/>
    <w:semiHidden/>
    <w:unhideWhenUsed/>
    <w:qFormat/>
    <w:uiPriority w:val="99"/>
  </w:style>
  <w:style w:type="paragraph" w:customStyle="1" w:styleId="37">
    <w:name w:val="样式 正文文字 + 首行缩进:  2 字符2"/>
    <w:basedOn w:val="1"/>
    <w:qFormat/>
    <w:uiPriority w:val="0"/>
    <w:pPr>
      <w:spacing w:line="480" w:lineRule="atLeast"/>
      <w:ind w:firstLine="560" w:firstLineChars="200"/>
    </w:pPr>
    <w:rPr>
      <w:rFonts w:cs="宋体"/>
      <w:szCs w:val="20"/>
    </w:rPr>
  </w:style>
  <w:style w:type="character" w:customStyle="1" w:styleId="38">
    <w:name w:val="页眉 Char"/>
    <w:basedOn w:val="28"/>
    <w:link w:val="20"/>
    <w:semiHidden/>
    <w:qFormat/>
    <w:uiPriority w:val="99"/>
    <w:rPr>
      <w:sz w:val="18"/>
      <w:szCs w:val="18"/>
    </w:rPr>
  </w:style>
  <w:style w:type="character" w:customStyle="1" w:styleId="39">
    <w:name w:val="页脚 Char"/>
    <w:basedOn w:val="28"/>
    <w:link w:val="19"/>
    <w:qFormat/>
    <w:uiPriority w:val="99"/>
    <w:rPr>
      <w:sz w:val="18"/>
      <w:szCs w:val="18"/>
    </w:rPr>
  </w:style>
  <w:style w:type="character" w:customStyle="1" w:styleId="40">
    <w:name w:val="标题 1 Char"/>
    <w:basedOn w:val="28"/>
    <w:link w:val="3"/>
    <w:qFormat/>
    <w:uiPriority w:val="9"/>
    <w:rPr>
      <w:rFonts w:eastAsia="方正小标宋简体"/>
      <w:bCs/>
      <w:kern w:val="44"/>
      <w:sz w:val="44"/>
      <w:szCs w:val="44"/>
    </w:rPr>
  </w:style>
  <w:style w:type="character" w:customStyle="1" w:styleId="41">
    <w:name w:val="标题 2 Char"/>
    <w:basedOn w:val="28"/>
    <w:link w:val="4"/>
    <w:qFormat/>
    <w:uiPriority w:val="9"/>
    <w:rPr>
      <w:rFonts w:eastAsia="方正小标宋简体" w:asciiTheme="majorHAnsi" w:hAnsiTheme="majorHAnsi" w:cstheme="majorBidi"/>
      <w:bCs/>
      <w:sz w:val="36"/>
      <w:szCs w:val="32"/>
    </w:rPr>
  </w:style>
  <w:style w:type="character" w:customStyle="1" w:styleId="42">
    <w:name w:val="标题 3 Char"/>
    <w:basedOn w:val="28"/>
    <w:link w:val="5"/>
    <w:qFormat/>
    <w:uiPriority w:val="9"/>
    <w:rPr>
      <w:rFonts w:ascii="Calibri" w:hAnsi="Calibri" w:eastAsia="宋体" w:cs="Times New Roman"/>
      <w:b/>
      <w:bCs/>
      <w:sz w:val="32"/>
      <w:szCs w:val="32"/>
    </w:rPr>
  </w:style>
  <w:style w:type="paragraph" w:styleId="43">
    <w:name w:val="List Paragraph"/>
    <w:basedOn w:val="1"/>
    <w:link w:val="51"/>
    <w:qFormat/>
    <w:uiPriority w:val="34"/>
    <w:pPr>
      <w:ind w:firstLine="420" w:firstLineChars="200"/>
    </w:pPr>
  </w:style>
  <w:style w:type="paragraph" w:customStyle="1" w:styleId="4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8"/>
    <w:link w:val="18"/>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5"/>
    <w:next w:val="15"/>
    <w:qFormat/>
    <w:uiPriority w:val="0"/>
    <w:pPr>
      <w:spacing w:after="373"/>
    </w:pPr>
    <w:rPr>
      <w:color w:val="auto"/>
    </w:rPr>
  </w:style>
  <w:style w:type="paragraph" w:customStyle="1" w:styleId="48">
    <w:name w:val="CM91"/>
    <w:basedOn w:val="15"/>
    <w:next w:val="15"/>
    <w:qFormat/>
    <w:uiPriority w:val="0"/>
    <w:pPr>
      <w:spacing w:after="160"/>
    </w:pPr>
    <w:rPr>
      <w:color w:val="auto"/>
    </w:rPr>
  </w:style>
  <w:style w:type="character" w:customStyle="1" w:styleId="49">
    <w:name w:val="正文文本 3 Char"/>
    <w:link w:val="9"/>
    <w:qFormat/>
    <w:uiPriority w:val="99"/>
    <w:rPr>
      <w:sz w:val="16"/>
      <w:szCs w:val="16"/>
    </w:rPr>
  </w:style>
  <w:style w:type="character" w:customStyle="1" w:styleId="50">
    <w:name w:val="正文文本 3 Char1"/>
    <w:basedOn w:val="28"/>
    <w:link w:val="9"/>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4"/>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9">
    <w:name w:val="font21"/>
    <w:basedOn w:val="28"/>
    <w:qFormat/>
    <w:uiPriority w:val="0"/>
    <w:rPr>
      <w:rFonts w:hint="eastAsia" w:ascii="宋体" w:hAnsi="宋体" w:eastAsia="宋体" w:cs="宋体"/>
      <w:b/>
      <w:bCs/>
      <w:color w:val="000000"/>
      <w:sz w:val="22"/>
      <w:szCs w:val="22"/>
      <w:u w:val="none"/>
    </w:rPr>
  </w:style>
  <w:style w:type="character" w:customStyle="1" w:styleId="60">
    <w:name w:val="font31"/>
    <w:basedOn w:val="28"/>
    <w:qFormat/>
    <w:uiPriority w:val="0"/>
    <w:rPr>
      <w:rFonts w:hint="eastAsia" w:ascii="宋体" w:hAnsi="宋体" w:eastAsia="宋体" w:cs="宋体"/>
      <w:b/>
      <w:color w:val="000000"/>
      <w:sz w:val="22"/>
      <w:szCs w:val="22"/>
      <w:u w:val="none"/>
    </w:rPr>
  </w:style>
  <w:style w:type="character" w:customStyle="1" w:styleId="61">
    <w:name w:val="font11"/>
    <w:basedOn w:val="28"/>
    <w:qFormat/>
    <w:uiPriority w:val="0"/>
    <w:rPr>
      <w:rFonts w:hint="default" w:ascii="Wingdings 2" w:hAnsi="Wingdings 2" w:eastAsia="Wingdings 2" w:cs="Wingdings 2"/>
      <w:color w:val="000000"/>
      <w:sz w:val="24"/>
      <w:szCs w:val="24"/>
      <w:u w:val="none"/>
    </w:rPr>
  </w:style>
  <w:style w:type="character" w:customStyle="1" w:styleId="62">
    <w:name w:val="pagechatarealistclose_box"/>
    <w:basedOn w:val="28"/>
    <w:qFormat/>
    <w:uiPriority w:val="0"/>
  </w:style>
  <w:style w:type="character" w:customStyle="1" w:styleId="63">
    <w:name w:val="pagechatarealistclose_box1"/>
    <w:basedOn w:val="28"/>
    <w:qFormat/>
    <w:uiPriority w:val="0"/>
  </w:style>
  <w:style w:type="character" w:customStyle="1" w:styleId="64">
    <w:name w:val="cdropright"/>
    <w:basedOn w:val="28"/>
    <w:qFormat/>
    <w:uiPriority w:val="0"/>
  </w:style>
  <w:style w:type="character" w:customStyle="1" w:styleId="65">
    <w:name w:val="button4"/>
    <w:basedOn w:val="28"/>
    <w:qFormat/>
    <w:uiPriority w:val="0"/>
  </w:style>
  <w:style w:type="character" w:customStyle="1" w:styleId="66">
    <w:name w:val="associateddata"/>
    <w:basedOn w:val="28"/>
    <w:qFormat/>
    <w:uiPriority w:val="0"/>
    <w:rPr>
      <w:shd w:val="clear" w:fill="50A6F9"/>
    </w:rPr>
  </w:style>
  <w:style w:type="character" w:customStyle="1" w:styleId="67">
    <w:name w:val="choosename"/>
    <w:basedOn w:val="28"/>
    <w:qFormat/>
    <w:uiPriority w:val="0"/>
  </w:style>
  <w:style w:type="character" w:customStyle="1" w:styleId="68">
    <w:name w:val="drapbtn"/>
    <w:basedOn w:val="28"/>
    <w:qFormat/>
    <w:uiPriority w:val="0"/>
  </w:style>
  <w:style w:type="character" w:customStyle="1" w:styleId="69">
    <w:name w:val="ico1654"/>
    <w:basedOn w:val="28"/>
    <w:qFormat/>
    <w:uiPriority w:val="0"/>
  </w:style>
  <w:style w:type="character" w:customStyle="1" w:styleId="70">
    <w:name w:val="ico1655"/>
    <w:basedOn w:val="28"/>
    <w:qFormat/>
    <w:uiPriority w:val="0"/>
  </w:style>
  <w:style w:type="character" w:customStyle="1" w:styleId="71">
    <w:name w:val="active"/>
    <w:basedOn w:val="28"/>
    <w:qFormat/>
    <w:uiPriority w:val="0"/>
    <w:rPr>
      <w:color w:val="00FF00"/>
      <w:shd w:val="clear" w:fill="111111"/>
    </w:rPr>
  </w:style>
  <w:style w:type="character" w:customStyle="1" w:styleId="72">
    <w:name w:val="iconline2"/>
    <w:basedOn w:val="28"/>
    <w:qFormat/>
    <w:uiPriority w:val="0"/>
  </w:style>
  <w:style w:type="character" w:customStyle="1" w:styleId="73">
    <w:name w:val="w32"/>
    <w:basedOn w:val="28"/>
    <w:qFormat/>
    <w:uiPriority w:val="0"/>
  </w:style>
  <w:style w:type="character" w:customStyle="1" w:styleId="74">
    <w:name w:val="icontext1"/>
    <w:basedOn w:val="28"/>
    <w:qFormat/>
    <w:uiPriority w:val="0"/>
  </w:style>
  <w:style w:type="character" w:customStyle="1" w:styleId="75">
    <w:name w:val="icontext11"/>
    <w:basedOn w:val="28"/>
    <w:qFormat/>
    <w:uiPriority w:val="0"/>
  </w:style>
  <w:style w:type="character" w:customStyle="1" w:styleId="76">
    <w:name w:val="icontext12"/>
    <w:basedOn w:val="28"/>
    <w:qFormat/>
    <w:uiPriority w:val="0"/>
  </w:style>
  <w:style w:type="character" w:customStyle="1" w:styleId="77">
    <w:name w:val="icontext2"/>
    <w:basedOn w:val="28"/>
    <w:qFormat/>
    <w:uiPriority w:val="0"/>
  </w:style>
  <w:style w:type="character" w:customStyle="1" w:styleId="78">
    <w:name w:val="icontext3"/>
    <w:basedOn w:val="28"/>
    <w:qFormat/>
    <w:uiPriority w:val="0"/>
  </w:style>
  <w:style w:type="character" w:customStyle="1" w:styleId="79">
    <w:name w:val="hilite6"/>
    <w:basedOn w:val="28"/>
    <w:qFormat/>
    <w:uiPriority w:val="0"/>
    <w:rPr>
      <w:color w:val="FFFFFF"/>
      <w:shd w:val="clear" w:fill="666666"/>
    </w:rPr>
  </w:style>
  <w:style w:type="character" w:customStyle="1" w:styleId="80">
    <w:name w:val="time4"/>
    <w:basedOn w:val="28"/>
    <w:qFormat/>
    <w:uiPriority w:val="0"/>
    <w:rPr>
      <w:color w:val="999999"/>
      <w:sz w:val="18"/>
      <w:szCs w:val="18"/>
    </w:rPr>
  </w:style>
  <w:style w:type="character" w:customStyle="1" w:styleId="81">
    <w:name w:val="layui-layer-tabnow"/>
    <w:basedOn w:val="28"/>
    <w:qFormat/>
    <w:uiPriority w:val="0"/>
    <w:rPr>
      <w:bdr w:val="single" w:color="CCCCCC" w:sz="6" w:space="0"/>
      <w:shd w:val="clear" w:fill="FFFFFF"/>
    </w:rPr>
  </w:style>
  <w:style w:type="character" w:customStyle="1" w:styleId="82">
    <w:name w:val="after"/>
    <w:basedOn w:val="28"/>
    <w:qFormat/>
    <w:uiPriority w:val="0"/>
    <w:rPr>
      <w:sz w:val="0"/>
      <w:szCs w:val="0"/>
    </w:rPr>
  </w:style>
  <w:style w:type="character" w:customStyle="1" w:styleId="83">
    <w:name w:val="cy"/>
    <w:basedOn w:val="28"/>
    <w:qFormat/>
    <w:uiPriority w:val="0"/>
  </w:style>
  <w:style w:type="character" w:customStyle="1" w:styleId="84">
    <w:name w:val="first-child"/>
    <w:basedOn w:val="28"/>
    <w:qFormat/>
    <w:uiPriority w:val="0"/>
  </w:style>
  <w:style w:type="character" w:customStyle="1" w:styleId="85">
    <w:name w:val="tmpztreemove_arrow"/>
    <w:basedOn w:val="28"/>
    <w:qFormat/>
    <w:uiPriority w:val="0"/>
  </w:style>
  <w:style w:type="character" w:customStyle="1" w:styleId="86">
    <w:name w:val="cdropleft"/>
    <w:basedOn w:val="28"/>
    <w:qFormat/>
    <w:uiPriority w:val="0"/>
  </w:style>
  <w:style w:type="paragraph" w:customStyle="1" w:styleId="8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27918</Words>
  <Characters>31942</Characters>
  <Lines>300</Lines>
  <Paragraphs>84</Paragraphs>
  <TotalTime>25</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2023-02-28T09:55:00Z</cp:lastPrinted>
  <dcterms:modified xsi:type="dcterms:W3CDTF">2023-10-18T08:07:25Z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87DED2A05FD64D61A82C2C297995B49C</vt:lpwstr>
  </property>
</Properties>
</file>