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w:t>
      </w:r>
      <w:r>
        <w:rPr>
          <w:rFonts w:hint="default" w:ascii="方正小标宋简体" w:eastAsia="方正小标宋简体"/>
          <w:color w:val="auto"/>
          <w:sz w:val="52"/>
          <w:szCs w:val="52"/>
          <w:highlight w:val="none"/>
          <w:u w:val="none"/>
          <w:lang w:val="en-US" w:eastAsia="zh-CN"/>
        </w:rPr>
        <w:t>大观分公司2023年一期外部污泥接收装置改造项目</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pStyle w:val="2"/>
        <w:rPr>
          <w:rFonts w:hint="eastAsia"/>
          <w:color w:val="auto"/>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4275"/>
      <w:bookmarkStart w:id="5" w:name="_Toc1669"/>
      <w:bookmarkStart w:id="6" w:name="_Toc7519"/>
      <w:bookmarkStart w:id="7" w:name="_Toc31938"/>
      <w:bookmarkStart w:id="8" w:name="_Toc11322"/>
      <w:bookmarkStart w:id="9" w:name="_Toc17801"/>
      <w:bookmarkStart w:id="10" w:name="_Toc19609"/>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626110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49.3pt;height:0pt;width:75.5pt;z-index:251675648;mso-width-relative:page;mso-height-relative:page;" filled="f" stroked="t" coordsize="21600,21600" o:gfxdata="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n5Aq1gAAAAkBAAAPAAAAAAAAAAEAIAAAACIAAABkcnMvZG93bnJldi54bWxQSwECFAAU&#10;AAAACACHTuJApL3+h/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2336165</wp:posOffset>
                </wp:positionH>
                <wp:positionV relativeFrom="paragraph">
                  <wp:posOffset>6985</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3.95pt;margin-top:0.55pt;height:0pt;width:75.5pt;z-index:251674624;mso-width-relative:page;mso-height-relative:page;" filled="f" stroked="t" coordsize="21600,21600" o:gfxdata="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NToI3UAAAABwEAAA8AAAAAAAAAAQAgAAAAIgAAAGRycy9kb3ducmV2LnhtbFBLAQIUABQA&#10;AAAIAIdO4kDR+D1o9AEAAOQDAAAOAAAAAAAAAAEAIAAAACM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广州市净水有限公司大观分公司2023年一期外部污泥接收装置改造项目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广州市净水有限公司大观分公司2023年一期外部污泥接收装置改造项目</w:t>
      </w:r>
    </w:p>
    <w:p>
      <w:pPr>
        <w:adjustRightInd w:val="0"/>
        <w:snapToGrid w:val="0"/>
        <w:spacing w:line="600" w:lineRule="exact"/>
        <w:jc w:val="left"/>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XJ-20230913-1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 xml:space="preserve">   918311.19   </w:t>
      </w:r>
    </w:p>
    <w:tbl>
      <w:tblPr>
        <w:tblStyle w:val="24"/>
        <w:tblW w:w="114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bidi="ar"/>
              </w:rPr>
              <w:t>广州市净水有限公司大观分公司2023年一期外部污泥接收装置改造项目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918311.19</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842487.33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12483.13</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74712.27</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和暂列金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pacing w:line="600" w:lineRule="exact"/>
        <w:jc w:val="left"/>
        <w:rPr>
          <w:rFonts w:hint="eastAsia"/>
          <w:color w:val="auto"/>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bookmarkStart w:id="137" w:name="_GoBack"/>
      <w:bookmarkEnd w:id="137"/>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2"/>
                <w:highlight w:val="none"/>
                <w:u w:val="none"/>
                <w:lang w:bidi="ar"/>
              </w:rPr>
              <w:t>广州市净水有限公司大观分公司2023年一期外部污泥接收装置改造项目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kern w:val="0"/>
                <w:sz w:val="22"/>
                <w:szCs w:val="22"/>
                <w:highlight w:val="none"/>
                <w:u w:val="none"/>
                <w:lang w:val="en-US" w:eastAsia="zh-CN" w:bidi="ar"/>
              </w:rPr>
              <w:t>为进一步降低公司污泥运输及污泥处理成本，更好地提高大观分公司的污泥产能利用，通过干化车间原有设备开放富余产能，接收无干化设施的京溪厂或其他厂应急污泥，提升公司污泥应急处置能力。本项目计划进行</w:t>
            </w:r>
            <w:r>
              <w:rPr>
                <w:rFonts w:hint="eastAsia" w:ascii="宋体" w:hAnsi="宋体" w:eastAsia="宋体" w:cs="宋体"/>
                <w:color w:val="auto"/>
                <w:kern w:val="0"/>
                <w:sz w:val="22"/>
                <w:highlight w:val="none"/>
                <w:u w:val="none"/>
                <w:lang w:bidi="ar"/>
              </w:rPr>
              <w:t>外部污泥接收装置改造</w:t>
            </w:r>
            <w:r>
              <w:rPr>
                <w:rFonts w:hint="eastAsia" w:ascii="宋体" w:hAnsi="宋体" w:eastAsia="宋体" w:cs="宋体"/>
                <w:color w:val="auto"/>
                <w:kern w:val="0"/>
                <w:sz w:val="22"/>
                <w:highlight w:val="none"/>
                <w:u w:val="none"/>
                <w:lang w:eastAsia="zh-CN" w:bidi="ar"/>
              </w:rPr>
              <w:t>。</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5"/>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大观分公司2023年一期外部污泥接收装置改造项目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到货后15个自然日内完成接收装置施工及调试。</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规范要求。</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机电工程施工总承包三级（或以上级别）</w:t>
      </w:r>
      <w:r>
        <w:rPr>
          <w:rFonts w:hint="eastAsia" w:ascii="仿宋_GB2312" w:eastAsia="仿宋_GB2312"/>
          <w:color w:val="auto"/>
          <w:sz w:val="28"/>
          <w:szCs w:val="28"/>
          <w:highlight w:val="none"/>
          <w:u w:val="none"/>
          <w:lang w:val="en-US" w:eastAsia="zh-CN"/>
        </w:rPr>
        <w:t>或建筑机电安装工程三级（或以上级别）</w:t>
      </w:r>
      <w:r>
        <w:rPr>
          <w:rFonts w:hint="eastAsia" w:ascii="仿宋_GB2312" w:eastAsia="仿宋_GB2312"/>
          <w:color w:val="auto"/>
          <w:sz w:val="28"/>
          <w:szCs w:val="28"/>
          <w:highlight w:val="none"/>
          <w:u w:val="none"/>
        </w:rPr>
        <w:t>资质；同时具有建设主管部门颁发且在有效期内的《安全生产许可证》资质</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eastAsia="zh-CN"/>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2020年1月1日至今，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一项污泥相关设备安装（或改造）</w:t>
      </w:r>
      <w:r>
        <w:rPr>
          <w:rFonts w:hint="eastAsia" w:ascii="仿宋_GB2312" w:eastAsia="仿宋_GB2312"/>
          <w:color w:val="auto"/>
          <w:sz w:val="28"/>
          <w:szCs w:val="28"/>
          <w:highlight w:val="none"/>
          <w:u w:val="none"/>
        </w:rPr>
        <w:t>项目的业绩（提供合同复印件证明，包括但不限于项目名称、金额及实施内容、合同盖章、签订日期，加盖单位公章）</w:t>
      </w:r>
    </w:p>
    <w:p>
      <w:pPr>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项目负责人应当具备机电安装工程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br w:type="textWrapping"/>
      </w: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5</w:t>
      </w:r>
      <w:r>
        <w:rPr>
          <w:rFonts w:hint="eastAsia" w:ascii="仿宋_GB2312" w:eastAsia="仿宋_GB2312"/>
          <w:color w:val="auto"/>
          <w:sz w:val="28"/>
          <w:szCs w:val="28"/>
          <w:highlight w:val="none"/>
          <w:u w:val="none"/>
        </w:rPr>
        <w:t>）其他要求：专职安全人员要求：须具有安全生产考核合格证（C类）（或能够提供广东省建筑施工企业管理人员安全生产考核信息系统安全生产管理人员证书信息的网页截图）；</w:t>
      </w:r>
      <w:r>
        <w:rPr>
          <w:rFonts w:hint="eastAsia" w:ascii="仿宋" w:hAnsi="仿宋" w:eastAsia="仿宋" w:cs="仿宋"/>
          <w:color w:val="auto"/>
          <w:sz w:val="28"/>
          <w:szCs w:val="28"/>
          <w:highlight w:val="none"/>
          <w:u w:val="none"/>
          <w:lang w:val="en-US" w:eastAsia="zh-CN"/>
        </w:rPr>
        <w:t>项目负责人与专职安全员不得为同一人。</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240" w:lineRule="auto"/>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（11）其他禁止情形：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default" w:ascii="仿宋_GB2312" w:hAnsi="仿宋" w:eastAsia="仿宋_GB2312" w:cs="仿宋_GB2312"/>
          <w:color w:val="auto"/>
          <w:sz w:val="28"/>
          <w:szCs w:val="28"/>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w:t>
      </w:r>
      <w:r>
        <w:rPr>
          <w:rFonts w:hint="default" w:ascii="仿宋_GB2312" w:hAnsi="仿宋" w:eastAsia="仿宋_GB2312" w:cs="仿宋_GB2312"/>
          <w:color w:val="auto"/>
          <w:sz w:val="28"/>
          <w:szCs w:val="28"/>
          <w:highlight w:val="none"/>
          <w:lang w:val="en-US" w:eastAsia="zh-CN"/>
        </w:rPr>
        <w:t>可</w:t>
      </w:r>
      <w:r>
        <w:rPr>
          <w:rFonts w:hint="default" w:ascii="仿宋_GB2312" w:hAnsi="仿宋" w:eastAsia="仿宋_GB2312" w:cs="仿宋_GB2312"/>
          <w:color w:val="auto"/>
          <w:sz w:val="28"/>
          <w:szCs w:val="28"/>
          <w:highlight w:val="none"/>
          <w:lang w:val="en-US"/>
        </w:rPr>
        <w:t>自行</w:t>
      </w:r>
      <w:r>
        <w:rPr>
          <w:rFonts w:hint="default" w:ascii="仿宋_GB2312" w:hAnsi="仿宋" w:eastAsia="仿宋_GB2312" w:cs="仿宋_GB2312"/>
          <w:color w:val="auto"/>
          <w:sz w:val="28"/>
          <w:szCs w:val="28"/>
          <w:highlight w:val="none"/>
          <w:lang w:val="en-US" w:eastAsia="zh-CN"/>
        </w:rPr>
        <w:t>选择是否</w:t>
      </w:r>
      <w:r>
        <w:rPr>
          <w:rFonts w:hint="eastAsia" w:ascii="仿宋_GB2312" w:hAnsi="仿宋" w:eastAsia="仿宋_GB2312" w:cs="仿宋_GB2312"/>
          <w:color w:val="auto"/>
          <w:sz w:val="28"/>
          <w:szCs w:val="28"/>
          <w:highlight w:val="none"/>
          <w:lang w:val="en-US" w:eastAsia="zh-CN"/>
        </w:rPr>
        <w:t>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踏勘人员须为供应商职工，提供人社局3个月社保证明。</w:t>
      </w:r>
    </w:p>
    <w:p>
      <w:pPr>
        <w:pStyle w:val="23"/>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踏勘现场联系人：阮工</w:t>
      </w:r>
    </w:p>
    <w:p>
      <w:pPr>
        <w:pStyle w:val="23"/>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踏勘现场联系人联系方式：13726881936</w:t>
      </w:r>
    </w:p>
    <w:p>
      <w:pPr>
        <w:pStyle w:val="23"/>
        <w:adjustRightInd w:val="0"/>
        <w:snapToGrid w:val="0"/>
        <w:spacing w:line="360" w:lineRule="auto"/>
        <w:ind w:firstLine="0"/>
        <w:jc w:val="left"/>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踏勘（答疑会）</w:t>
      </w:r>
      <w:r>
        <w:rPr>
          <w:rFonts w:hint="eastAsia" w:ascii="仿宋_GB2312" w:eastAsia="仿宋_GB2312" w:hAnsiTheme="minorHAnsi" w:cstheme="minorBidi"/>
          <w:color w:val="auto"/>
          <w:kern w:val="2"/>
          <w:sz w:val="28"/>
          <w:szCs w:val="28"/>
          <w:highlight w:val="none"/>
          <w:lang w:val="en-US" w:eastAsia="zh-CN"/>
        </w:rPr>
        <w:t>集合</w:t>
      </w:r>
      <w:r>
        <w:rPr>
          <w:rFonts w:hint="eastAsia" w:ascii="仿宋_GB2312" w:eastAsia="仿宋_GB2312" w:hAnsiTheme="minorHAnsi" w:cstheme="minorBidi"/>
          <w:color w:val="auto"/>
          <w:kern w:val="2"/>
          <w:sz w:val="28"/>
          <w:szCs w:val="28"/>
          <w:highlight w:val="none"/>
        </w:rPr>
        <w:t>时间：</w:t>
      </w:r>
      <w:r>
        <w:rPr>
          <w:rFonts w:hint="eastAsia" w:ascii="仿宋_GB2312" w:eastAsia="仿宋_GB2312" w:hAnsiTheme="minorHAnsi" w:cstheme="minorBidi"/>
          <w:color w:val="auto"/>
          <w:kern w:val="2"/>
          <w:sz w:val="28"/>
          <w:szCs w:val="28"/>
          <w:highlight w:val="none"/>
          <w:lang w:val="en-US" w:eastAsia="zh-CN"/>
        </w:rPr>
        <w:t>2023年9月15日</w:t>
      </w:r>
      <w:r>
        <w:rPr>
          <w:rFonts w:hint="eastAsia" w:ascii="仿宋_GB2312" w:eastAsia="仿宋_GB2312" w:hAnsiTheme="minorHAnsi" w:cstheme="minorBidi"/>
          <w:color w:val="auto"/>
          <w:kern w:val="2"/>
          <w:sz w:val="28"/>
          <w:szCs w:val="28"/>
          <w:highlight w:val="none"/>
          <w:u w:val="none"/>
          <w:lang w:val="en-US" w:eastAsia="zh-CN"/>
        </w:rPr>
        <w:t>9时00分至9时30分</w:t>
      </w:r>
      <w:r>
        <w:rPr>
          <w:rFonts w:hint="eastAsia" w:ascii="仿宋_GB2312" w:eastAsia="仿宋_GB2312" w:hAnsiTheme="minorHAnsi" w:cstheme="minorBidi"/>
          <w:color w:val="auto"/>
          <w:kern w:val="2"/>
          <w:sz w:val="28"/>
          <w:szCs w:val="28"/>
          <w:highlight w:val="none"/>
          <w:u w:val="none"/>
        </w:rPr>
        <w:t xml:space="preserve">                </w:t>
      </w:r>
      <w:r>
        <w:rPr>
          <w:rFonts w:hint="eastAsia" w:ascii="仿宋_GB2312" w:eastAsia="仿宋_GB2312" w:hAnsiTheme="minorHAnsi" w:cstheme="minorBidi"/>
          <w:color w:val="auto"/>
          <w:kern w:val="2"/>
          <w:sz w:val="28"/>
          <w:szCs w:val="28"/>
          <w:highlight w:val="none"/>
        </w:rPr>
        <w:t xml:space="preserve">   </w:t>
      </w:r>
    </w:p>
    <w:p>
      <w:pPr>
        <w:pStyle w:val="23"/>
        <w:spacing w:line="360" w:lineRule="auto"/>
        <w:ind w:firstLine="0"/>
        <w:jc w:val="left"/>
        <w:rPr>
          <w:rFonts w:hint="eastAsia" w:ascii="仿宋_GB2312" w:eastAsia="仿宋_GB2312" w:hAnsiTheme="minorHAnsi" w:cstheme="minorBidi"/>
          <w:color w:val="auto"/>
          <w:kern w:val="2"/>
          <w:sz w:val="28"/>
          <w:szCs w:val="28"/>
          <w:highlight w:val="none"/>
          <w:u w:val="none"/>
        </w:rPr>
      </w:pPr>
      <w:r>
        <w:rPr>
          <w:rFonts w:hint="eastAsia" w:ascii="仿宋_GB2312" w:eastAsia="仿宋_GB2312" w:hAnsiTheme="minorHAnsi" w:cstheme="minorBidi"/>
          <w:color w:val="auto"/>
          <w:kern w:val="2"/>
          <w:sz w:val="28"/>
          <w:szCs w:val="28"/>
          <w:highlight w:val="none"/>
        </w:rPr>
        <w:t>踏勘集中地点：</w:t>
      </w:r>
      <w:r>
        <w:rPr>
          <w:rFonts w:hint="eastAsia" w:ascii="仿宋_GB2312" w:eastAsia="仿宋_GB2312" w:hAnsiTheme="minorHAnsi" w:cstheme="minorBidi"/>
          <w:color w:val="auto"/>
          <w:kern w:val="2"/>
          <w:sz w:val="28"/>
          <w:szCs w:val="28"/>
          <w:highlight w:val="none"/>
          <w:lang w:val="en-US" w:eastAsia="zh-CN"/>
        </w:rPr>
        <w:t>广州市净水有限公司</w:t>
      </w:r>
      <w:r>
        <w:rPr>
          <w:rFonts w:hint="eastAsia" w:ascii="仿宋_GB2312" w:eastAsia="仿宋_GB2312" w:hAnsiTheme="minorHAnsi" w:cstheme="minorBidi"/>
          <w:color w:val="auto"/>
          <w:kern w:val="2"/>
          <w:sz w:val="28"/>
          <w:szCs w:val="28"/>
          <w:highlight w:val="none"/>
          <w:u w:val="none"/>
          <w:lang w:val="en-US" w:eastAsia="zh-CN"/>
        </w:rPr>
        <w:t>大观分公司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9 </w:t>
      </w:r>
      <w:r>
        <w:rPr>
          <w:rFonts w:hint="eastAsia" w:ascii="仿宋_GB2312" w:eastAsia="仿宋_GB2312"/>
          <w:color w:val="auto"/>
          <w:sz w:val="28"/>
          <w:szCs w:val="28"/>
          <w:highlight w:val="none"/>
        </w:rPr>
        <w:t> 月</w:t>
      </w:r>
      <w:r>
        <w:rPr>
          <w:rFonts w:hint="eastAsia" w:ascii="仿宋_GB2312" w:eastAsia="仿宋_GB2312"/>
          <w:color w:val="auto"/>
          <w:sz w:val="28"/>
          <w:szCs w:val="28"/>
          <w:highlight w:val="none"/>
          <w:u w:val="single"/>
          <w:lang w:val="en-US" w:eastAsia="zh-CN"/>
        </w:rPr>
        <w:t xml:space="preserve"> 19 </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360" w:lineRule="auto"/>
        <w:jc w:val="left"/>
        <w:rPr>
          <w:rFonts w:hint="eastAsia" w:ascii="仿宋_GB2312" w:eastAsia="仿宋_GB2312"/>
          <w:color w:val="auto"/>
          <w:sz w:val="28"/>
          <w:szCs w:val="28"/>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林工 </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3"/>
        <w:rPr>
          <w:rFonts w:hint="eastAsia"/>
          <w:color w:val="auto"/>
          <w:highlight w:val="none"/>
        </w:rPr>
      </w:pPr>
      <w:bookmarkStart w:id="13" w:name="_Toc10891"/>
    </w:p>
    <w:p>
      <w:pPr>
        <w:pStyle w:val="3"/>
        <w:rPr>
          <w:rFonts w:hint="eastAsia"/>
          <w:color w:val="auto"/>
          <w:highlight w:val="none"/>
        </w:rPr>
      </w:pPr>
      <w:bookmarkStart w:id="14" w:name="_Toc32588"/>
      <w:bookmarkStart w:id="15" w:name="_Toc25603"/>
      <w:bookmarkStart w:id="16" w:name="_Toc16705"/>
      <w:bookmarkStart w:id="17" w:name="_Toc2324"/>
      <w:bookmarkStart w:id="18" w:name="_Toc7340"/>
      <w:bookmarkStart w:id="19" w:name="_Toc16557"/>
      <w:bookmarkStart w:id="20" w:name="_Toc9448"/>
      <w:bookmarkStart w:id="21" w:name="_Toc19295"/>
      <w:bookmarkStart w:id="22" w:name="_Toc2331"/>
      <w:bookmarkStart w:id="23" w:name="_Toc23749"/>
    </w:p>
    <w:p>
      <w:pPr>
        <w:rPr>
          <w:rFonts w:hint="eastAsia"/>
          <w:color w:val="auto"/>
          <w:highlight w:val="none"/>
        </w:rPr>
      </w:pPr>
    </w:p>
    <w:p>
      <w:pPr>
        <w:rPr>
          <w:rFonts w:hint="eastAsia"/>
          <w:color w:val="auto"/>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052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6950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ti3rWAAAACQEAAA8AAAAAAAAAAQAgAAAAIgAAAGRycy9kb3ducmV2LnhtbFBLAQIU&#10;ABQAAAAIAIdO4kAoNlcK9QEAAOQDAAAOAAAAAAAAAAEAIAAAACUBAABkcnMvZTJvRG9jLnhtbFBL&#10;BQYAAAAABgAGAFkBAACM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pStyle w:val="2"/>
        <w:rPr>
          <w:color w:val="auto"/>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723"/>
        <w:gridCol w:w="1201"/>
        <w:gridCol w:w="1955"/>
        <w:gridCol w:w="1648"/>
        <w:gridCol w:w="6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67"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72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201"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55"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4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8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8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6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adjustRightInd w:val="0"/>
        <w:snapToGrid w:val="0"/>
        <w:spacing w:line="600" w:lineRule="exact"/>
        <w:jc w:val="left"/>
        <w:rPr>
          <w:rFonts w:ascii="方正小标宋简体" w:eastAsia="方正小标宋简体" w:hAnsiTheme="majorEastAsia"/>
          <w:color w:val="auto"/>
          <w:sz w:val="32"/>
          <w:szCs w:val="32"/>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项目名称：</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住所地：</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邮编：</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法定代表人：</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异议人授权代表：</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性别：</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住址：</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提起异议事项的基本事实：</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相关请求及主张：</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有效线索和相关证明材料：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异议提起人与项目有利害关系的证明材料（见说明）：</w:t>
      </w: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说明：</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3.为证明与异议项目有利害关系，投标人以外的其他异议提起人应当提供相应证明材料：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（1）属潜在投标人的，提交符合法定有关资格要求的证明文件；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（2）属特定分包人或者供应商的，提交证明其与该项目投标人绑定投标的附条件生效协议以及能证明其能履行该协议项下的合同义务的能力的证明文件。</w:t>
      </w:r>
      <w:r>
        <w:rPr>
          <w:rFonts w:hint="eastAsia" w:ascii="仿宋_GB2312" w:eastAsia="仿宋_GB2312" w:hAnsiTheme="majorEastAsia"/>
          <w:color w:val="auto"/>
          <w:sz w:val="28"/>
          <w:szCs w:val="28"/>
          <w:highlight w:val="none"/>
        </w:rPr>
        <w:tab/>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（3）可证明与异议项目有利害关系的其他证明文件。</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color w:val="auto"/>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p>
    <w:p>
      <w:pPr>
        <w:pStyle w:val="4"/>
        <w:rPr>
          <w:rFonts w:hint="eastAsia" w:asciiTheme="minorHAnsi" w:hAnsiTheme="minorHAnsi" w:cstheme="minorBidi"/>
          <w:color w:val="auto"/>
          <w:kern w:val="44"/>
          <w:sz w:val="44"/>
          <w:szCs w:val="44"/>
          <w:highlight w:val="none"/>
        </w:rPr>
      </w:pPr>
    </w:p>
    <w:p>
      <w:pPr>
        <w:pStyle w:val="4"/>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2332990</wp:posOffset>
                </wp:positionH>
                <wp:positionV relativeFrom="paragraph">
                  <wp:posOffset>42545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7pt;margin-top:3.35pt;height:0pt;width:75.5pt;z-index:251659264;mso-width-relative:page;mso-height-relative:page;" filled="f" stroked="t" coordsize="21600,21600" o:gfxdata="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hMouNUAAAAHAQAADwAAAAAAAAABACAAAAAiAAAAZHJzL2Rvd25yZXYueG1sUEsBAhQAFAAA&#10;AAgAh07iQB5dg7zyAQAA4wMAAA4AAAAAAAAAAQAgAAAAJA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7303"/>
      <w:bookmarkStart w:id="29" w:name="_Toc87616371"/>
      <w:bookmarkStart w:id="30" w:name="_Toc88209934"/>
      <w:bookmarkStart w:id="31" w:name="_Toc7040"/>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4"/>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4870"/>
      <w:bookmarkStart w:id="35" w:name="_Toc19050"/>
      <w:bookmarkStart w:id="36" w:name="_Toc4952"/>
      <w:bookmarkStart w:id="37" w:name="_Toc19759"/>
      <w:bookmarkStart w:id="38" w:name="_Toc7118"/>
      <w:bookmarkStart w:id="39" w:name="_Toc23581"/>
      <w:bookmarkStart w:id="40" w:name="_Toc14552"/>
      <w:bookmarkStart w:id="41" w:name="_Toc20594"/>
      <w:bookmarkStart w:id="42" w:name="_Toc3156"/>
      <w:bookmarkStart w:id="43" w:name="_Toc7437"/>
      <w:bookmarkStart w:id="44" w:name="_Toc10930"/>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6308"/>
      <w:bookmarkStart w:id="46" w:name="_Toc87616378"/>
      <w:bookmarkStart w:id="47" w:name="_Toc7831"/>
      <w:bookmarkStart w:id="48" w:name="_Toc21840"/>
      <w:bookmarkStart w:id="49" w:name="_Toc32607"/>
      <w:bookmarkStart w:id="50" w:name="_Toc13898"/>
      <w:bookmarkStart w:id="51" w:name="_Toc30530"/>
      <w:bookmarkStart w:id="52" w:name="_Toc22212"/>
      <w:bookmarkStart w:id="53" w:name="_Toc21079"/>
      <w:bookmarkStart w:id="54" w:name="_Toc29345"/>
      <w:bookmarkStart w:id="55" w:name="_Toc88209941"/>
      <w:bookmarkStart w:id="56" w:name="_Toc29484"/>
      <w:bookmarkStart w:id="57" w:name="_Toc12177"/>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2355850</wp:posOffset>
                </wp:positionH>
                <wp:positionV relativeFrom="paragraph">
                  <wp:posOffset>34290</wp:posOffset>
                </wp:positionV>
                <wp:extent cx="958850" cy="0"/>
                <wp:effectExtent l="0" t="4445" r="0" b="5080"/>
                <wp:wrapNone/>
                <wp:docPr id="5" name="直接箭头连接符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5.5pt;margin-top:2.7pt;height:0pt;width:75.5pt;z-index:251671552;mso-width-relative:page;mso-height-relative:page;" filled="f" stroked="t" coordsize="21600,21600" o:gfxdata="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Dm1QAAAAcBAAAPAAAAAAAAAAEAIAAAACIAAABkcnMvZG93bnJldi54bWxQ&#10;SwECFAAUAAAACACHTuJA94okpPoBAADrAwAADgAAAAAAAAABACAAAAAkAQAAZHJzL2Uyb0RvYy54&#10;bWxQSwUGAAAAAAYABgBZAQAAk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540385</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4.9pt;margin-top:42.55pt;height:0pt;width:75.5pt;z-index:251672576;mso-width-relative:page;mso-height-relative:page;" filled="f" stroked="t" coordsize="21600,21600" o:gfxdata="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Iqh6jWAAAACQEAAA8AAAAAAAAAAQAgAAAAIgAAAGRycy9kb3ducmV2Lnht&#10;bFBLAQIUABQAAAAIAIdO4kA3XvFj+wEAAOsDAAAOAAAAAAAAAAEAIAAAACUBAABkcnMvZTJvRG9j&#10;LnhtbFBLBQYAAAAABgAGAFkBAACS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rPr>
          <w:rFonts w:hint="eastAsia"/>
          <w:color w:val="auto"/>
          <w:szCs w:val="44"/>
          <w:highlight w:val="none"/>
        </w:rPr>
      </w:pPr>
      <w:bookmarkStart w:id="60" w:name="_Toc88209947"/>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23"/>
        <w:spacing w:line="360" w:lineRule="auto"/>
        <w:ind w:firstLine="562" w:firstLineChars="200"/>
        <w:rPr>
          <w:rFonts w:hint="eastAsia" w:ascii="仿宋" w:hAnsi="仿宋" w:eastAsia="仿宋" w:cs="仿宋_GB2312"/>
          <w:b/>
          <w:bCs/>
          <w:color w:val="auto"/>
          <w:kern w:val="0"/>
          <w:sz w:val="28"/>
          <w:szCs w:val="28"/>
          <w:highlight w:val="none"/>
          <w:lang w:val="en-US" w:eastAsia="zh-CN"/>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大观分公司2023年一期外部污泥接收装置改造项目</w:t>
      </w:r>
    </w:p>
    <w:p>
      <w:pPr>
        <w:pStyle w:val="23"/>
        <w:numPr>
          <w:ilvl w:val="-1"/>
          <w:numId w:val="0"/>
        </w:numPr>
        <w:ind w:firstLine="560" w:firstLineChars="200"/>
        <w:rPr>
          <w:rFonts w:hint="eastAsia" w:ascii="仿宋" w:hAnsi="仿宋" w:eastAsia="仿宋" w:cs="仿宋"/>
          <w:b w:val="0"/>
          <w:color w:val="auto"/>
          <w:kern w:val="2"/>
          <w:sz w:val="28"/>
          <w:szCs w:val="28"/>
          <w:highlight w:val="none"/>
          <w:lang w:val="en-US" w:eastAsia="zh-CN"/>
        </w:rPr>
      </w:pPr>
      <w:r>
        <w:rPr>
          <w:rFonts w:hint="eastAsia" w:ascii="仿宋" w:hAnsi="仿宋" w:eastAsia="仿宋" w:cs="仿宋"/>
          <w:b w:val="0"/>
          <w:color w:val="auto"/>
          <w:kern w:val="2"/>
          <w:sz w:val="28"/>
          <w:szCs w:val="28"/>
          <w:highlight w:val="none"/>
          <w:lang w:val="en-US" w:eastAsia="zh-CN"/>
        </w:rPr>
        <w:t>为进一步降低公司污泥运输及污泥处理成本，更好地提高大观分公司的污泥产能利用，通过干化车间原有设备开放富余产能，接收无干化设施的京溪厂或其他厂应急污泥，提升公司污泥应急处置能力。本项目计划进行外部污泥接收装置改造。</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本项目主要实施内容为（详见下示意图）：</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1.土方开挖；</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2.焊接池体结构和输送管道；</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3.设备安装；</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4.系统调试。</w:t>
      </w:r>
    </w:p>
    <w:p>
      <w:pPr>
        <w:pStyle w:val="23"/>
        <w:numPr>
          <w:ilvl w:val="-1"/>
          <w:numId w:val="0"/>
        </w:numPr>
        <w:rPr>
          <w:rFonts w:hint="eastAsia" w:ascii="仿宋" w:hAnsi="仿宋" w:eastAsia="等线" w:cs="仿宋"/>
          <w:color w:val="auto"/>
          <w:kern w:val="2"/>
          <w:sz w:val="28"/>
          <w:szCs w:val="28"/>
          <w:highlight w:val="none"/>
          <w:lang w:val="en-US" w:eastAsia="zh-CN"/>
        </w:rPr>
      </w:pPr>
      <w:r>
        <w:rPr>
          <w:rFonts w:hint="eastAsia" w:eastAsia="宋体"/>
          <w:color w:val="auto"/>
          <w:lang w:eastAsia="zh-CN"/>
        </w:rPr>
        <w:drawing>
          <wp:inline distT="0" distB="0" distL="114300" distR="114300">
            <wp:extent cx="5689600" cy="1377315"/>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10"/>
                    <a:stretch>
                      <a:fillRect/>
                    </a:stretch>
                  </pic:blipFill>
                  <pic:spPr>
                    <a:xfrm>
                      <a:off x="0" y="0"/>
                      <a:ext cx="5689600" cy="1377315"/>
                    </a:xfrm>
                    <a:prstGeom prst="rect">
                      <a:avLst/>
                    </a:prstGeom>
                    <a:noFill/>
                    <a:ln>
                      <a:noFill/>
                    </a:ln>
                  </pic:spPr>
                </pic:pic>
              </a:graphicData>
            </a:graphic>
          </wp:inline>
        </w:drawing>
      </w:r>
      <w:r>
        <w:rPr>
          <w:color w:val="auto"/>
        </w:rPr>
        <w:drawing>
          <wp:inline distT="0" distB="0" distL="114300" distR="114300">
            <wp:extent cx="5265420" cy="2765425"/>
            <wp:effectExtent l="0" t="0" r="1143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5420" cy="2765425"/>
                    </a:xfrm>
                    <a:prstGeom prst="rect">
                      <a:avLst/>
                    </a:prstGeom>
                    <a:noFill/>
                    <a:ln>
                      <a:noFill/>
                    </a:ln>
                  </pic:spPr>
                </pic:pic>
              </a:graphicData>
            </a:graphic>
          </wp:inline>
        </w:drawing>
      </w:r>
      <w:r>
        <w:rPr>
          <w:color w:val="auto"/>
        </w:rPr>
        <w:drawing>
          <wp:inline distT="0" distB="0" distL="114300" distR="114300">
            <wp:extent cx="5268595" cy="3950335"/>
            <wp:effectExtent l="0" t="0" r="8255"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68595" cy="3950335"/>
                    </a:xfrm>
                    <a:prstGeom prst="rect">
                      <a:avLst/>
                    </a:prstGeom>
                    <a:noFill/>
                    <a:ln>
                      <a:noFill/>
                    </a:ln>
                  </pic:spPr>
                </pic:pic>
              </a:graphicData>
            </a:graphic>
          </wp:inline>
        </w:drawing>
      </w:r>
      <w:r>
        <w:rPr>
          <w:color w:val="auto"/>
        </w:rPr>
        <w:drawing>
          <wp:inline distT="0" distB="0" distL="114300" distR="114300">
            <wp:extent cx="5261610" cy="3945890"/>
            <wp:effectExtent l="0" t="0" r="15240"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61610" cy="3945890"/>
                    </a:xfrm>
                    <a:prstGeom prst="rect">
                      <a:avLst/>
                    </a:prstGeom>
                    <a:noFill/>
                    <a:ln>
                      <a:noFill/>
                    </a:ln>
                  </pic:spPr>
                </pic:pic>
              </a:graphicData>
            </a:graphic>
          </wp:inline>
        </w:drawing>
      </w:r>
      <w:r>
        <w:rPr>
          <w:rFonts w:hint="eastAsia" w:ascii="仿宋" w:hAnsi="仿宋" w:eastAsia="等线" w:cs="仿宋"/>
          <w:color w:val="auto"/>
          <w:kern w:val="2"/>
          <w:sz w:val="28"/>
          <w:szCs w:val="28"/>
          <w:highlight w:val="none"/>
          <w:lang w:val="en-US" w:eastAsia="zh-CN"/>
        </w:rPr>
        <w:drawing>
          <wp:inline distT="0" distB="0" distL="114300" distR="114300">
            <wp:extent cx="5613400" cy="2839085"/>
            <wp:effectExtent l="0" t="0" r="6350" b="18415"/>
            <wp:docPr id="10" name="图片 10" descr="9ff4092d842dc14076cea62bf8d0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ff4092d842dc14076cea62bf8d09e9"/>
                    <pic:cNvPicPr>
                      <a:picLocks noChangeAspect="1"/>
                    </pic:cNvPicPr>
                  </pic:nvPicPr>
                  <pic:blipFill>
                    <a:blip r:embed="rId14"/>
                    <a:stretch>
                      <a:fillRect/>
                    </a:stretch>
                  </pic:blipFill>
                  <pic:spPr>
                    <a:xfrm>
                      <a:off x="0" y="0"/>
                      <a:ext cx="5613400" cy="2839085"/>
                    </a:xfrm>
                    <a:prstGeom prst="rect">
                      <a:avLst/>
                    </a:prstGeom>
                  </pic:spPr>
                </pic:pic>
              </a:graphicData>
            </a:graphic>
          </wp:inline>
        </w:drawing>
      </w:r>
    </w:p>
    <w:p>
      <w:pPr>
        <w:pStyle w:val="23"/>
        <w:numPr>
          <w:ilvl w:val="-1"/>
          <w:numId w:val="0"/>
        </w:numPr>
        <w:rPr>
          <w:rFonts w:hint="eastAsia" w:ascii="仿宋" w:hAnsi="仿宋" w:eastAsia="等线" w:cs="仿宋"/>
          <w:color w:val="auto"/>
          <w:kern w:val="2"/>
          <w:sz w:val="28"/>
          <w:szCs w:val="28"/>
          <w:highlight w:val="none"/>
          <w:lang w:val="en-US" w:eastAsia="zh-CN"/>
        </w:rPr>
      </w:pPr>
      <w:r>
        <w:rPr>
          <w:rFonts w:hint="eastAsia" w:ascii="仿宋" w:hAnsi="仿宋" w:eastAsia="等线" w:cs="仿宋"/>
          <w:color w:val="auto"/>
          <w:kern w:val="2"/>
          <w:sz w:val="28"/>
          <w:szCs w:val="28"/>
          <w:highlight w:val="none"/>
          <w:lang w:val="en-US" w:eastAsia="zh-CN"/>
        </w:rPr>
        <w:drawing>
          <wp:inline distT="0" distB="0" distL="114300" distR="114300">
            <wp:extent cx="5608955" cy="4204970"/>
            <wp:effectExtent l="0" t="0" r="10795" b="5080"/>
            <wp:docPr id="11" name="图片 11" descr="87840e0c667fb4a2c4c97e88b1a7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7840e0c667fb4a2c4c97e88b1a75ce"/>
                    <pic:cNvPicPr>
                      <a:picLocks noChangeAspect="1"/>
                    </pic:cNvPicPr>
                  </pic:nvPicPr>
                  <pic:blipFill>
                    <a:blip r:embed="rId15"/>
                    <a:stretch>
                      <a:fillRect/>
                    </a:stretch>
                  </pic:blipFill>
                  <pic:spPr>
                    <a:xfrm>
                      <a:off x="0" y="0"/>
                      <a:ext cx="5608955" cy="4204970"/>
                    </a:xfrm>
                    <a:prstGeom prst="rect">
                      <a:avLst/>
                    </a:prstGeom>
                  </pic:spPr>
                </pic:pic>
              </a:graphicData>
            </a:graphic>
          </wp:inline>
        </w:drawing>
      </w:r>
    </w:p>
    <w:p>
      <w:pPr>
        <w:adjustRightInd w:val="0"/>
        <w:snapToGrid w:val="0"/>
        <w:spacing w:line="360" w:lineRule="auto"/>
        <w:jc w:val="left"/>
        <w:rPr>
          <w:rFonts w:hint="eastAsia" w:ascii="仿宋_GB2312" w:hAnsi="仿宋_GB2312" w:eastAsia="仿宋_GB2312" w:cs="仿宋_GB2312"/>
          <w:b/>
          <w:color w:val="auto"/>
          <w:sz w:val="28"/>
          <w:szCs w:val="28"/>
          <w:highlight w:val="none"/>
        </w:rPr>
      </w:pPr>
    </w:p>
    <w:p>
      <w:pPr>
        <w:adjustRightInd w:val="0"/>
        <w:snapToGrid w:val="0"/>
        <w:spacing w:line="360" w:lineRule="auto"/>
        <w:jc w:val="left"/>
        <w:rPr>
          <w:rFonts w:hint="eastAsia" w:ascii="仿宋_GB2312" w:hAnsi="仿宋_GB2312" w:eastAsia="仿宋_GB2312" w:cs="仿宋_GB2312"/>
          <w:b/>
          <w:color w:val="auto"/>
          <w:sz w:val="28"/>
          <w:szCs w:val="28"/>
          <w:highlight w:val="none"/>
        </w:rPr>
      </w:pP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1.采购需求：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根据项目内容、需求及主要技术参数，出具现场施工图，且必须包括污泥搅拌装置，污泥泵核心设备的安装尺寸外形图，标准不低于主要技术参数。图纸应在作为响应文件附件提交。</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（6）主要技术参数：</w:t>
      </w:r>
    </w:p>
    <w:p>
      <w:pPr>
        <w:spacing w:beforeLines="0" w:afterLines="0"/>
        <w:ind w:firstLine="562" w:firstLineChars="200"/>
        <w:jc w:val="left"/>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en-US" w:eastAsia="zh-CN"/>
        </w:rPr>
        <w:t>污泥接收装置池体及</w:t>
      </w:r>
      <w:r>
        <w:rPr>
          <w:rFonts w:hint="eastAsia" w:ascii="仿宋" w:hAnsi="仿宋" w:eastAsia="仿宋" w:cs="仿宋"/>
          <w:b/>
          <w:bCs/>
          <w:color w:val="auto"/>
          <w:sz w:val="28"/>
          <w:szCs w:val="28"/>
          <w:highlight w:val="none"/>
          <w:lang w:val="zh-CN" w:eastAsia="zh-CN"/>
        </w:rPr>
        <w:t>搅拌机技术参数</w:t>
      </w:r>
      <w:r>
        <w:rPr>
          <w:rFonts w:hint="eastAsia" w:ascii="仿宋" w:hAnsi="仿宋" w:eastAsia="仿宋" w:cs="仿宋"/>
          <w:b/>
          <w:bCs/>
          <w:color w:val="auto"/>
          <w:sz w:val="28"/>
          <w:szCs w:val="28"/>
          <w:highlight w:val="none"/>
          <w:lang w:val="en-US" w:eastAsia="zh-CN"/>
        </w:rPr>
        <w:t>说明</w:t>
      </w:r>
      <w:r>
        <w:rPr>
          <w:rFonts w:hint="eastAsia" w:ascii="仿宋" w:hAnsi="仿宋" w:eastAsia="仿宋" w:cs="仿宋"/>
          <w:b/>
          <w:bCs/>
          <w:color w:val="auto"/>
          <w:sz w:val="28"/>
          <w:szCs w:val="28"/>
          <w:highlight w:val="none"/>
          <w:lang w:val="zh-CN" w:eastAsia="zh-CN"/>
        </w:rPr>
        <w:t>：</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池体尺寸：8m×8m×1.5(H)m；</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国产优质减速机功率：7.5KW（变频）</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转速：31rpm</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桨叶形式：折桨式桨叶，单层；</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桨叶旋转直径：2200mm；</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6</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桨叶旋转方向从上向下看为顺时针，左旋2台，逆时针，右旋2台，水流向下；</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7</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水上机座、联轴器：材质碳钢防腐，</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水下搅拌轴、桨叶:不锈钢304，螺栓紧固件不锈钢304。</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8</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箱体基础8500×8500，均布荷载约170t</w:t>
      </w:r>
    </w:p>
    <w:p>
      <w:pPr>
        <w:spacing w:line="360" w:lineRule="auto"/>
        <w:ind w:firstLine="562" w:firstLineChars="20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污泥接收装置</w:t>
      </w:r>
      <w:r>
        <w:rPr>
          <w:rFonts w:hint="eastAsia" w:ascii="仿宋" w:hAnsi="仿宋" w:eastAsia="仿宋" w:cs="仿宋"/>
          <w:b/>
          <w:bCs/>
          <w:color w:val="auto"/>
          <w:sz w:val="28"/>
          <w:szCs w:val="28"/>
          <w:highlight w:val="none"/>
          <w:lang w:val="zh-CN"/>
        </w:rPr>
        <w:t>钢构池体说明：</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1.箱体底板厚10mm，侧板厚8mm，顶板为10#槽钢，带盖板玻璃钢格板（H=38mm）。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2.箱体侧板加强角钢L80×80×8，间隔800mm，侧板顶部折边宽100mm。箱体顶部槽钢间隔约880mm。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3.搅拌机工作桥：主梁槽钢22#，次梁为10#槽钢，走道板为6mm厚花纹板。中间设22#槽钢支墩，桥面宽1200mm，活载350kg/m。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4.箱体材质：碳钢Q235B。</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5.焊接要求：箱体侧板、侧板与底板为双面满焊，焊缝高度不少于板厚，焊接强度不低于母材。接水部分焊缝要做防渗漏检验，耐压水深2m。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6.箱体防腐要求：</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池底板接基础面涂环氧煤沥青漆防腐一遍。施工前清理打磨干净表面。</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箱体接水面采用涂环氧煤沥青漆防腐一遍。施工前清理打磨干净表面。</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钢结构水池非接水面采用聚氨酯面漆防腐，施工前清理打磨干净表面。颜色：灰色。</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7、基础承重要求：2000kg/m2。</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基础平面8.5×8.5m要求平整度±7mm，工作面找平，2平方米内落差≤3mm。</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580"/>
        <w:gridCol w:w="98"/>
        <w:gridCol w:w="1530"/>
        <w:gridCol w:w="989"/>
        <w:gridCol w:w="1293"/>
        <w:gridCol w:w="81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lang w:val="en-US" w:eastAsia="zh-CN"/>
              </w:rPr>
              <w:t>污泥接收装置池体设备及钢结构工程量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序号</w:t>
            </w:r>
          </w:p>
        </w:tc>
        <w:tc>
          <w:tcPr>
            <w:tcW w:w="2580"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型号</w:t>
            </w:r>
          </w:p>
        </w:tc>
        <w:tc>
          <w:tcPr>
            <w:tcW w:w="1628" w:type="dxa"/>
            <w:gridSpan w:val="2"/>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名称</w:t>
            </w:r>
          </w:p>
        </w:tc>
        <w:tc>
          <w:tcPr>
            <w:tcW w:w="989"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数量</w:t>
            </w:r>
          </w:p>
        </w:tc>
        <w:tc>
          <w:tcPr>
            <w:tcW w:w="1293"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材料</w:t>
            </w:r>
          </w:p>
        </w:tc>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单位</w:t>
            </w:r>
          </w:p>
        </w:tc>
        <w:tc>
          <w:tcPr>
            <w:tcW w:w="942"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种类HRB400/直径14mm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钢筋</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1.032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吨</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运距1km内、厂内提供堆放场地</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挖基坑土方</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C20</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混凝土</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6.4</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C30</w:t>
            </w:r>
          </w:p>
        </w:tc>
        <w:tc>
          <w:tcPr>
            <w:tcW w:w="162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混凝土</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12.8</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功率7.5kw</w:t>
            </w:r>
          </w:p>
        </w:tc>
        <w:tc>
          <w:tcPr>
            <w:tcW w:w="162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搅拌器</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组合</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w:t>
            </w:r>
          </w:p>
        </w:tc>
        <w:tc>
          <w:tcPr>
            <w:tcW w:w="2580"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lang w:val="zh-CN" w:eastAsia="zh-CN"/>
              </w:rPr>
              <w:t>8m×8m×1.5(H)m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污泥接收装置池体</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碳钢防腐</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400mm*600mm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雨水篦子</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铸铁</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功率15kw、流量120m³/h、扬程20m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自吸泵排泥泵</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碳钢</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台</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一控五、含变频器</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电控箱</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组合材质</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雨水管DN400</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雨水管迁移</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11</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50*50*5</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镀锌角钢</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Kg</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PVC线管、管径50mm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线管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lang w:val="en-US" w:eastAsia="zh-CN"/>
              </w:rPr>
              <w:t>污泥接收装置至脱水机房调质池输送管道及电气工程量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序号</w:t>
            </w:r>
          </w:p>
        </w:tc>
        <w:tc>
          <w:tcPr>
            <w:tcW w:w="2678" w:type="dxa"/>
            <w:gridSpan w:val="2"/>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型号</w:t>
            </w:r>
          </w:p>
        </w:tc>
        <w:tc>
          <w:tcPr>
            <w:tcW w:w="1530"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名称</w:t>
            </w:r>
          </w:p>
        </w:tc>
        <w:tc>
          <w:tcPr>
            <w:tcW w:w="989"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数量</w:t>
            </w:r>
          </w:p>
        </w:tc>
        <w:tc>
          <w:tcPr>
            <w:tcW w:w="1293"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材料</w:t>
            </w:r>
          </w:p>
        </w:tc>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单位</w:t>
            </w:r>
          </w:p>
        </w:tc>
        <w:tc>
          <w:tcPr>
            <w:tcW w:w="942"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Merge w:val="restart"/>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壁厚4mm，防腐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三通</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法兰</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120</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块</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台</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孔径150mm</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墙体钻孔</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ZC-YJV3*50+2*25㎡</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主电缆</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脱水机房至污泥干化</w:t>
            </w:r>
            <w:r>
              <w:rPr>
                <w:rFonts w:hint="eastAsia" w:ascii="仿宋" w:hAnsi="仿宋" w:eastAsia="仿宋" w:cs="仿宋"/>
                <w:color w:val="auto"/>
                <w:sz w:val="28"/>
                <w:szCs w:val="28"/>
                <w:highlight w:val="none"/>
                <w:lang w:val="en-US" w:eastAsia="zh-CN"/>
              </w:rPr>
              <w:t>输送管道及电气</w:t>
            </w:r>
            <w:r>
              <w:rPr>
                <w:rFonts w:hint="eastAsia" w:ascii="仿宋" w:hAnsi="仿宋" w:eastAsia="仿宋" w:cs="仿宋"/>
                <w:color w:val="auto"/>
                <w:sz w:val="28"/>
                <w:szCs w:val="28"/>
                <w:highlight w:val="none"/>
                <w:vertAlign w:val="baseline"/>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序号</w:t>
            </w:r>
          </w:p>
        </w:tc>
        <w:tc>
          <w:tcPr>
            <w:tcW w:w="2678" w:type="dxa"/>
            <w:gridSpan w:val="2"/>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型号</w:t>
            </w:r>
          </w:p>
        </w:tc>
        <w:tc>
          <w:tcPr>
            <w:tcW w:w="1530"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名称</w:t>
            </w:r>
          </w:p>
        </w:tc>
        <w:tc>
          <w:tcPr>
            <w:tcW w:w="989"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数量</w:t>
            </w:r>
          </w:p>
        </w:tc>
        <w:tc>
          <w:tcPr>
            <w:tcW w:w="1293"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材料</w:t>
            </w:r>
          </w:p>
        </w:tc>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单位</w:t>
            </w:r>
          </w:p>
        </w:tc>
        <w:tc>
          <w:tcPr>
            <w:tcW w:w="942"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1</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止回阀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2</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3</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4</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三通</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90度弯头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法兰</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法兰</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壁厚4mm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壁厚6mm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11</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孔径250mm</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墙体钻孔</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ZC-YJV4*10㎡</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转子泵、自吸泵电缆</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13</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功率：18.5kw、流量：120m³/h，含控制电箱</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转子泵</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台</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14</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PVC32mm</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线管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15</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软接</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ZC-YJV4*6㎡</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搅拌器电缆</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bl>
    <w:p>
      <w:pPr>
        <w:pStyle w:val="14"/>
        <w:ind w:firstLine="560" w:firstLineChars="200"/>
        <w:rPr>
          <w:rFonts w:hint="eastAsia" w:ascii="仿宋_GB2312" w:hAnsi="仿宋_GB2312" w:eastAsia="仿宋_GB2312" w:cs="仿宋_GB2312"/>
          <w:bCs/>
          <w:color w:val="auto"/>
          <w:sz w:val="28"/>
          <w:szCs w:val="28"/>
          <w:lang w:val="en-US" w:eastAsia="zh-CN"/>
        </w:rPr>
      </w:pPr>
    </w:p>
    <w:p>
      <w:pPr>
        <w:pStyle w:val="14"/>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上述表格中</w:t>
      </w:r>
      <w:r>
        <w:rPr>
          <w:rFonts w:hint="eastAsia" w:ascii="仿宋_GB2312" w:hAnsi="仿宋_GB2312" w:eastAsia="仿宋_GB2312" w:cs="仿宋_GB2312"/>
          <w:bCs/>
          <w:color w:val="auto"/>
          <w:sz w:val="28"/>
          <w:szCs w:val="28"/>
        </w:rPr>
        <w:t>如有出现的</w:t>
      </w:r>
      <w:r>
        <w:rPr>
          <w:rFonts w:hint="eastAsia" w:ascii="仿宋_GB2312" w:hAnsi="仿宋_GB2312" w:eastAsia="仿宋_GB2312" w:cs="仿宋_GB2312"/>
          <w:bCs/>
          <w:color w:val="auto"/>
          <w:sz w:val="28"/>
          <w:szCs w:val="28"/>
          <w:lang w:val="en-US" w:eastAsia="zh-CN"/>
        </w:rPr>
        <w:t>型号</w:t>
      </w:r>
      <w:r>
        <w:rPr>
          <w:rFonts w:hint="eastAsia" w:ascii="仿宋_GB2312" w:hAnsi="仿宋_GB2312" w:eastAsia="仿宋_GB2312" w:cs="仿宋_GB2312"/>
          <w:bCs/>
          <w:color w:val="auto"/>
          <w:sz w:val="28"/>
          <w:szCs w:val="28"/>
        </w:rPr>
        <w:t>规格等，仅为方便描述参考，不具有任何指定性及唯一性，报价人原则上应</w:t>
      </w:r>
      <w:r>
        <w:rPr>
          <w:rFonts w:hint="eastAsia" w:ascii="仿宋_GB2312" w:hAnsi="仿宋_GB2312" w:eastAsia="仿宋_GB2312" w:cs="仿宋_GB2312"/>
          <w:bCs/>
          <w:color w:val="auto"/>
          <w:sz w:val="28"/>
          <w:szCs w:val="28"/>
          <w:lang w:val="en-US" w:eastAsia="zh-CN"/>
        </w:rPr>
        <w:t>根据项目需求和可用性</w:t>
      </w:r>
      <w:r>
        <w:rPr>
          <w:rFonts w:hint="eastAsia" w:ascii="仿宋_GB2312" w:hAnsi="仿宋_GB2312" w:eastAsia="仿宋_GB2312" w:cs="仿宋_GB2312"/>
          <w:bCs/>
          <w:color w:val="auto"/>
          <w:sz w:val="28"/>
          <w:szCs w:val="28"/>
        </w:rPr>
        <w:t>提供须完全符合技术参数或不低于该</w:t>
      </w:r>
      <w:r>
        <w:rPr>
          <w:rFonts w:hint="eastAsia" w:ascii="仿宋_GB2312" w:hAnsi="仿宋_GB2312" w:eastAsia="仿宋_GB2312" w:cs="仿宋_GB2312"/>
          <w:bCs/>
          <w:color w:val="auto"/>
          <w:sz w:val="28"/>
          <w:szCs w:val="28"/>
          <w:lang w:val="en-US" w:eastAsia="zh-CN"/>
        </w:rPr>
        <w:t>参数</w:t>
      </w:r>
      <w:r>
        <w:rPr>
          <w:rFonts w:hint="eastAsia" w:ascii="仿宋_GB2312" w:hAnsi="仿宋_GB2312" w:eastAsia="仿宋_GB2312" w:cs="仿宋_GB2312"/>
          <w:bCs/>
          <w:color w:val="auto"/>
          <w:sz w:val="28"/>
          <w:szCs w:val="28"/>
        </w:rPr>
        <w:t>的产品。</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lang w:val="en-US" w:eastAsia="zh-CN"/>
        </w:rPr>
        <w:t>2.项目其它要求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1.主要材料使用要求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采购货物必须是全新、质量合格的产品。</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2.项目特殊要求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（1）为方便厂区设备管理，本项目所有主材需与目前厂区现有的设备设施匹配。</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w:t>
      </w:r>
      <w:r>
        <w:rPr>
          <w:rFonts w:hint="eastAsia" w:ascii="仿宋_GB2312" w:eastAsia="仿宋_GB2312" w:cs="宋体"/>
          <w:bCs/>
          <w:color w:val="auto"/>
          <w:kern w:val="0"/>
          <w:sz w:val="28"/>
          <w:szCs w:val="28"/>
          <w:highlight w:val="none"/>
          <w:lang w:val="en-US" w:eastAsia="zh-CN"/>
        </w:rPr>
        <w:t>2</w:t>
      </w:r>
      <w:r>
        <w:rPr>
          <w:rFonts w:hint="eastAsia" w:ascii="仿宋_GB2312" w:hAnsi="宋体" w:eastAsia="仿宋_GB2312" w:cs="宋体"/>
          <w:bCs/>
          <w:color w:val="auto"/>
          <w:kern w:val="0"/>
          <w:sz w:val="28"/>
          <w:szCs w:val="28"/>
          <w:highlight w:val="none"/>
        </w:rPr>
        <w:t>）施工期间遇到任何问题，承包单位应积极、及时反映反馈至承办单位。双方协商解决。承包单位禁止盲目施工，禁止擅自触碰甚至改动厂区内设备设施。一经发现，承包单位必须按原样恢复，产生任何费用全部由承包单位承担，若因此影响对厂区正常运营，本公司保留追究承包单位的赔偿及法律责任。</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3.技术资料要求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本项目开展期间，承包方必须整理好本项目的所有的技术资料，不限于项目施工图、竣工图、设备技术说明书等。项目竣工后，承包方将所有关于本项目的技术资料整理好并交至项目承办单位。</w:t>
      </w: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5"/>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390"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大观分公司2023年一期外部污泥接收装置改造项目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390"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到货后15个自然日内完成接收装置施工及调试。</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3"/>
        <w:rPr>
          <w:rFonts w:hint="eastAsia"/>
          <w:color w:val="auto"/>
          <w:highlight w:val="none"/>
        </w:rPr>
      </w:pPr>
    </w:p>
    <w:bookmarkEnd w:id="60"/>
    <w:p>
      <w:pPr>
        <w:pStyle w:val="3"/>
        <w:jc w:val="both"/>
        <w:rPr>
          <w:rFonts w:hint="eastAsia"/>
          <w:color w:val="auto"/>
          <w:highlight w:val="none"/>
        </w:rPr>
      </w:pPr>
      <w:bookmarkStart w:id="62" w:name="_Toc537"/>
      <w:bookmarkStart w:id="63" w:name="_Toc12135"/>
      <w:bookmarkStart w:id="64" w:name="_Toc23330"/>
      <w:bookmarkStart w:id="65" w:name="_Toc29835"/>
      <w:bookmarkStart w:id="66" w:name="_Toc23353"/>
      <w:bookmarkStart w:id="67" w:name="_Toc4680"/>
      <w:bookmarkStart w:id="68" w:name="_Toc18538"/>
      <w:bookmarkStart w:id="69" w:name="_Toc1496"/>
      <w:bookmarkStart w:id="70" w:name="_Toc25925"/>
      <w:bookmarkStart w:id="71" w:name="_Toc15570"/>
      <w:bookmarkStart w:id="72" w:name="_Toc1284"/>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472440</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3.1pt;margin-top:37.2pt;height:0pt;width:75.5pt;z-index:251664384;mso-width-relative:page;mso-height-relative:page;" filled="f" stroked="t" coordsize="21600,21600" o:gfxdata="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9IozB5Zu&#10;/Oenb78+fr7/8uP++1d2nSXqAy4ocu228bTDsI2Z76GJNv+JCTsUWY9nWdUhMUGH17P5fEaCiwdX&#10;9ZgXIqZXyluWjZpjiqDbLq29c3R3Pk6KqrB/jYkqU+JDQi5qHOsz/HRG4ECz2NAMkGkD8UHXllz0&#10;RstbbUzOwNju1iayPeR5KF/mR7h/heUiG8BuiCuuYVI6BfKlkywdAwnl6IHw3IJVkjOj6D1liwBh&#10;kUCbSyKptHHUQZZ4EDVbOy+PRetyTndfejzNaR6uP/cl+/Ft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aLk9cAAAAJAQAADwAAAAAAAAABACAAAAAiAAAAZHJzL2Rvd25yZXYueG1sUEsBAhQA&#10;FAAAAAgAh07iQI6X6ebzAQAA4w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60960</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4.8pt;height:0pt;width:75.5pt;z-index:251663360;mso-width-relative:page;mso-height-relative:page;" filled="f" stroked="t" coordsize="21600,21600" o:gfxdata="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wC3OtUAAAAHAQAADwAAAAAAAAABACAAAAAiAAAAZHJzL2Rvd25yZXYueG1sUEsBAhQAFAAA&#10;AAgAh07iQDK09i/yAQAA4wMAAA4AAAAAAAAAAQAgAAAAJA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19686"/>
      <w:bookmarkStart w:id="74" w:name="_Toc13309"/>
      <w:bookmarkStart w:id="75" w:name="_Toc1375"/>
      <w:bookmarkStart w:id="76" w:name="_Toc12721"/>
      <w:bookmarkStart w:id="77" w:name="_Toc8183"/>
      <w:bookmarkStart w:id="78" w:name="_Toc12968"/>
      <w:bookmarkStart w:id="79" w:name="_Toc19088"/>
      <w:bookmarkStart w:id="80" w:name="_Toc87616386"/>
      <w:bookmarkStart w:id="81" w:name="_Toc12980"/>
      <w:bookmarkStart w:id="82" w:name="_Toc22501"/>
      <w:bookmarkStart w:id="83" w:name="_Toc22797"/>
      <w:bookmarkStart w:id="84" w:name="_Toc323"/>
      <w:bookmarkStart w:id="85" w:name="_Toc88209949"/>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广州市净水有限公司大观分公司2023年一期外部污泥接收装置改造项目</w:t>
      </w:r>
    </w:p>
    <w:p>
      <w:pPr>
        <w:pStyle w:val="48"/>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6" w:name="合同"/>
      <w:bookmarkEnd w:id="86"/>
    </w:p>
    <w:p>
      <w:pPr>
        <w:pStyle w:val="23"/>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6"/>
        <w:rPr>
          <w:rFonts w:hint="eastAsia" w:ascii="宋体" w:hAnsi="宋体" w:cs="宋体"/>
          <w:b/>
          <w:color w:val="auto"/>
          <w:sz w:val="30"/>
          <w:highlight w:val="none"/>
        </w:rPr>
      </w:pPr>
    </w:p>
    <w:p>
      <w:pPr>
        <w:pStyle w:val="6"/>
        <w:ind w:left="0" w:leftChars="0" w:firstLine="0" w:firstLineChars="0"/>
        <w:rPr>
          <w:rFonts w:hint="eastAsia" w:ascii="宋体" w:hAnsi="宋体" w:cs="宋体"/>
          <w:b/>
          <w:color w:val="auto"/>
          <w:sz w:val="30"/>
          <w:highlight w:val="none"/>
          <w:lang w:val="zh-CN"/>
        </w:rPr>
      </w:pPr>
    </w:p>
    <w:p>
      <w:pPr>
        <w:pStyle w:val="6"/>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hint="eastAsia" w:ascii="宋体" w:hAnsi="宋体" w:cs="宋体"/>
          <w:color w:val="auto"/>
          <w:sz w:val="24"/>
          <w:highlight w:val="non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广州市净水有限公司大观分公司2023年一期外部污泥接收装置改造项目</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s="宋体"/>
          <w:color w:val="auto"/>
          <w:sz w:val="24"/>
          <w:highlight w:val="none"/>
          <w:u w:val="single"/>
          <w:lang w:eastAsia="zh-CN"/>
        </w:rPr>
        <w:t>广州市净水有限公司大观分公司2023年一期外部污泥接收装置改造项目</w:t>
      </w:r>
    </w:p>
    <w:p>
      <w:pPr>
        <w:spacing w:line="500" w:lineRule="exact"/>
        <w:ind w:firstLine="480" w:firstLineChars="200"/>
        <w:outlineLvl w:val="1"/>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大观分公司</w:t>
      </w:r>
      <w:r>
        <w:rPr>
          <w:rFonts w:hint="eastAsia" w:ascii="宋体" w:hAnsi="宋体" w:cs="宋体"/>
          <w:color w:val="auto"/>
          <w:sz w:val="24"/>
          <w:highlight w:val="none"/>
          <w:u w:val="single"/>
        </w:rPr>
        <w:t xml:space="preserve"> 。</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2.3项目承包范围：包括提供所有需要的材料、机械、人工、设施、完成合同约定的工作和服务。按照甲方审核同意的方案、图纸所包括的实施范围和内容进行施工并在质量保修期内承担项目质量保修责任。</w:t>
      </w:r>
    </w:p>
    <w:p>
      <w:pPr>
        <w:pStyle w:val="2"/>
        <w:rPr>
          <w:color w:val="auto"/>
          <w:highlight w:val="none"/>
        </w:rPr>
      </w:pPr>
    </w:p>
    <w:p>
      <w:pPr>
        <w:pStyle w:val="2"/>
        <w:rPr>
          <w:color w:val="auto"/>
          <w:highlight w:val="none"/>
        </w:rPr>
      </w:pPr>
    </w:p>
    <w:p>
      <w:pPr>
        <w:pStyle w:val="2"/>
        <w:rPr>
          <w:color w:val="auto"/>
          <w:highlight w:val="none"/>
        </w:rPr>
      </w:pP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u w:val="none"/>
                <w:lang w:bidi="ar"/>
              </w:rPr>
              <w:t>大观分公司2023年一期外部污泥接收装置改造项目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u w:val="none"/>
                <w:lang w:val="en-US" w:eastAsia="zh-CN" w:bidi="ar"/>
              </w:rPr>
              <w:t>为进一步降低公司污泥运输及污泥处理成本，更好地提高大观分公司的污泥产能利用，通过干化车间原有设备开放富余产能，接收无干化设施的京溪厂或其他厂应急污泥，提升公司污泥应急处置能力。本项目计划进行</w:t>
            </w:r>
            <w:r>
              <w:rPr>
                <w:rFonts w:hint="eastAsia" w:ascii="宋体" w:hAnsi="宋体" w:eastAsia="宋体" w:cs="宋体"/>
                <w:color w:val="auto"/>
                <w:kern w:val="0"/>
                <w:sz w:val="22"/>
                <w:highlight w:val="none"/>
                <w:u w:val="none"/>
                <w:lang w:bidi="ar"/>
              </w:rPr>
              <w:t>外部污泥接收装置改造</w:t>
            </w:r>
            <w:r>
              <w:rPr>
                <w:rFonts w:hint="eastAsia" w:ascii="宋体" w:hAnsi="宋体" w:eastAsia="宋体" w:cs="宋体"/>
                <w:color w:val="auto"/>
                <w:kern w:val="0"/>
                <w:sz w:val="22"/>
                <w:highlight w:val="none"/>
                <w:u w:val="none"/>
                <w:lang w:eastAsia="zh-CN" w:bidi="ar"/>
              </w:rPr>
              <w:t>。</w:t>
            </w:r>
          </w:p>
        </w:tc>
      </w:tr>
    </w:tbl>
    <w:p>
      <w:pPr>
        <w:pStyle w:val="9"/>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w:t>
      </w:r>
      <w:r>
        <w:rPr>
          <w:rFonts w:hint="eastAsia" w:ascii="宋体" w:hAnsi="宋体" w:cs="宋体"/>
          <w:color w:val="auto"/>
          <w:sz w:val="24"/>
          <w:highlight w:val="none"/>
          <w:lang w:val="en-US" w:eastAsia="zh-CN"/>
        </w:rPr>
        <w:t>按实结算</w:t>
      </w:r>
      <w:r>
        <w:rPr>
          <w:rFonts w:hint="eastAsia" w:ascii="宋体" w:hAnsi="宋体" w:cs="宋体"/>
          <w:color w:val="auto"/>
          <w:sz w:val="24"/>
          <w:highlight w:val="none"/>
        </w:rPr>
        <w:t>。（单价包干要求附工程量报价/工程预算书）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4"/>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color w:val="auto"/>
                <w:kern w:val="0"/>
                <w:sz w:val="24"/>
                <w:szCs w:val="24"/>
                <w:highlight w:val="none"/>
                <w:u w:val="none"/>
                <w:lang w:bidi="ar"/>
              </w:rPr>
              <w:t>大观分公司2023年一期外部污泥接收装置改造项目</w:t>
            </w:r>
          </w:p>
        </w:tc>
        <w:tc>
          <w:tcPr>
            <w:tcW w:w="3025" w:type="dxa"/>
            <w:vAlign w:val="center"/>
          </w:tcPr>
          <w:p>
            <w:pPr>
              <w:keepNext w:val="0"/>
              <w:keepLines w:val="0"/>
              <w:widowControl/>
              <w:suppressLineNumbers w:val="0"/>
              <w:jc w:val="center"/>
              <w:textAlignment w:val="center"/>
              <w:rPr>
                <w:rFonts w:hint="default" w:ascii="宋体" w:hAnsi="宋体" w:eastAsia="宋体" w:cs="宋体"/>
                <w:b/>
                <w:bCs/>
                <w:color w:val="auto"/>
                <w:sz w:val="24"/>
                <w:highlight w:val="none"/>
                <w:u w:val="none"/>
                <w:vertAlign w:val="baseli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3026" w:type="dxa"/>
            <w:vAlign w:val="center"/>
          </w:tcPr>
          <w:p>
            <w:pPr>
              <w:spacing w:line="500" w:lineRule="exact"/>
              <w:jc w:val="center"/>
              <w:rPr>
                <w:rFonts w:hint="default" w:ascii="宋体" w:hAnsi="宋体" w:eastAsia="宋体" w:cs="宋体"/>
                <w:b/>
                <w:bCs/>
                <w:color w:val="auto"/>
                <w:sz w:val="24"/>
                <w:highlight w:val="none"/>
                <w:u w:val="none"/>
                <w:vertAlign w:val="baseline"/>
                <w:lang w:val="en-US"/>
              </w:rPr>
            </w:pPr>
          </w:p>
        </w:tc>
      </w:tr>
    </w:tbl>
    <w:p>
      <w:pPr>
        <w:spacing w:line="50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宋体" w:hAnsi="宋体" w:cs="宋体"/>
          <w:b/>
          <w:bCs/>
          <w:color w:val="auto"/>
          <w:sz w:val="24"/>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hint="eastAsia"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日，具体日期以甲方发出的开工报告/通知为准。乙方不能按时开工，应当于开工报告/通知载明的开工日期</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w:t>
      </w:r>
    </w:p>
    <w:p>
      <w:pPr>
        <w:widowControl/>
        <w:spacing w:line="500" w:lineRule="exact"/>
        <w:ind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20</w:t>
      </w:r>
      <w:r>
        <w:rPr>
          <w:rFonts w:hint="eastAsia" w:asciiTheme="minorEastAsia" w:hAnsiTheme="minorEastAsia" w:cstheme="minorEastAsia"/>
          <w:color w:val="auto"/>
          <w:sz w:val="24"/>
          <w:szCs w:val="24"/>
          <w:highlight w:val="none"/>
          <w:u w:val="single"/>
          <w:lang w:val="en-US" w:eastAsia="zh-CN"/>
        </w:rPr>
        <w:t>个自然日</w:t>
      </w:r>
      <w:r>
        <w:rPr>
          <w:rFonts w:hint="eastAsia" w:ascii="宋体" w:hAnsi="宋体" w:cs="宋体"/>
          <w:b/>
          <w:bCs/>
          <w:color w:val="auto"/>
          <w:sz w:val="24"/>
          <w:highlight w:val="none"/>
        </w:rPr>
        <w:t>。</w:t>
      </w:r>
    </w:p>
    <w:p>
      <w:pPr>
        <w:widowControl/>
        <w:numPr>
          <w:ilvl w:val="0"/>
          <w:numId w:val="5"/>
        </w:numPr>
        <w:spacing w:line="500" w:lineRule="exact"/>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设备及材料交货期为5个自然日，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cs="宋体" w:eastAsiaTheme="minorEastAsia"/>
          <w:color w:val="auto"/>
          <w:sz w:val="24"/>
          <w:szCs w:val="22"/>
          <w:highlight w:val="none"/>
          <w:u w:val="none"/>
          <w:vertAlign w:val="baseline"/>
          <w:lang w:val="en-US" w:eastAsia="zh-CN" w:bidi="ar"/>
        </w:rPr>
        <w:t>合同签订后5个自然日内运送</w:t>
      </w:r>
      <w:r>
        <w:rPr>
          <w:rFonts w:hint="eastAsia" w:ascii="宋体" w:hAnsi="宋体" w:cs="宋体"/>
          <w:color w:val="auto"/>
          <w:sz w:val="24"/>
          <w:szCs w:val="22"/>
          <w:highlight w:val="none"/>
          <w:u w:val="none"/>
          <w:vertAlign w:val="baseline"/>
          <w:lang w:val="en-US" w:eastAsia="zh-CN" w:bidi="ar"/>
        </w:rPr>
        <w:t>设备及材料</w:t>
      </w:r>
      <w:r>
        <w:rPr>
          <w:rFonts w:hint="eastAsia" w:ascii="宋体" w:hAnsi="宋体" w:cs="宋体" w:eastAsiaTheme="minorEastAsia"/>
          <w:color w:val="auto"/>
          <w:sz w:val="24"/>
          <w:szCs w:val="22"/>
          <w:highlight w:val="none"/>
          <w:u w:val="none"/>
          <w:vertAlign w:val="baseline"/>
          <w:lang w:val="en-US" w:eastAsia="zh-CN" w:bidi="ar"/>
        </w:rPr>
        <w:t>到大观分公司现场，</w:t>
      </w:r>
      <w:r>
        <w:rPr>
          <w:rFonts w:hint="eastAsia" w:ascii="宋体" w:hAnsi="宋体" w:cs="宋体"/>
          <w:color w:val="auto"/>
          <w:sz w:val="24"/>
          <w:highlight w:val="none"/>
        </w:rPr>
        <w:t>乙方未能按合同</w:t>
      </w:r>
      <w:r>
        <w:rPr>
          <w:rFonts w:hint="eastAsia" w:ascii="宋体" w:hAnsi="宋体" w:cs="宋体"/>
          <w:color w:val="auto"/>
          <w:sz w:val="24"/>
          <w:highlight w:val="none"/>
          <w:lang w:val="en-US" w:eastAsia="zh-CN"/>
        </w:rPr>
        <w:t>交货期提供货物，</w:t>
      </w:r>
      <w:r>
        <w:rPr>
          <w:rFonts w:hint="eastAsia" w:ascii="宋体" w:hAnsi="宋体" w:cs="宋体"/>
          <w:color w:val="auto"/>
          <w:sz w:val="24"/>
          <w:highlight w:val="none"/>
        </w:rPr>
        <w:t>每逾期一天，甲方有权要求乙方按合同暂定总价的</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%支付违约金，逾期达到</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none"/>
        </w:rPr>
        <w:t>合同暂定总价的20%</w:t>
      </w:r>
      <w:r>
        <w:rPr>
          <w:rFonts w:hint="eastAsia" w:ascii="宋体" w:hAnsi="宋体" w:cs="宋体"/>
          <w:color w:val="auto"/>
          <w:sz w:val="24"/>
          <w:highlight w:val="none"/>
        </w:rPr>
        <w:t>作为违约金</w:t>
      </w:r>
      <w:r>
        <w:rPr>
          <w:rFonts w:hint="eastAsia" w:ascii="宋体" w:hAnsi="宋体" w:cs="宋体"/>
          <w:color w:val="auto"/>
          <w:sz w:val="24"/>
          <w:highlight w:val="none"/>
          <w:lang w:eastAsia="zh-CN"/>
        </w:rPr>
        <w:t>；</w:t>
      </w:r>
    </w:p>
    <w:p>
      <w:pPr>
        <w:widowControl/>
        <w:numPr>
          <w:ilvl w:val="0"/>
          <w:numId w:val="5"/>
        </w:num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施工期为15个自然日，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eastAsia="宋体" w:cs="宋体"/>
          <w:color w:val="auto"/>
          <w:sz w:val="22"/>
          <w:szCs w:val="20"/>
          <w:highlight w:val="none"/>
          <w:u w:val="none"/>
          <w:vertAlign w:val="baseline"/>
          <w:lang w:val="en-US" w:eastAsia="zh-CN" w:bidi="ar"/>
        </w:rPr>
        <w:t>到货后15个自然日内完成污泥接收装置施工</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tbl>
      <w:tblPr>
        <w:tblStyle w:val="25"/>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大观分公司2023年一期外部污泥接收装置改造项目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到货后15个自然日内完成接收装置施工及调试。</w:t>
            </w:r>
          </w:p>
        </w:tc>
      </w:tr>
    </w:tbl>
    <w:p>
      <w:pPr>
        <w:pStyle w:val="9"/>
        <w:rPr>
          <w:rFonts w:ascii="宋体" w:hAnsi="宋体" w:cs="宋体"/>
          <w:color w:val="auto"/>
          <w:sz w:val="24"/>
          <w:highlight w:val="none"/>
        </w:rPr>
      </w:pPr>
    </w:p>
    <w:p>
      <w:pPr>
        <w:pStyle w:val="6"/>
        <w:ind w:firstLine="0"/>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w:t>
      </w:r>
      <w:r>
        <w:rPr>
          <w:rFonts w:hint="eastAsia" w:hAnsi="宋体" w:cs="宋体"/>
          <w:color w:val="auto"/>
          <w:spacing w:val="-8"/>
          <w:sz w:val="24"/>
          <w:szCs w:val="24"/>
          <w:highlight w:val="none"/>
          <w:lang w:val="en-US" w:eastAsia="zh-CN"/>
        </w:rPr>
        <w:t>5</w:t>
      </w:r>
      <w:r>
        <w:rPr>
          <w:rFonts w:hint="eastAsia" w:hAnsi="宋体" w:cs="宋体"/>
          <w:color w:val="auto"/>
          <w:spacing w:val="-8"/>
          <w:sz w:val="24"/>
          <w:szCs w:val="24"/>
          <w:highlight w:val="none"/>
        </w:rPr>
        <w:t>中的相关人员，</w:t>
      </w:r>
      <w:r>
        <w:rPr>
          <w:rFonts w:hint="eastAsia" w:hAnsi="宋体" w:cs="宋体"/>
          <w:color w:val="auto"/>
          <w:spacing w:val="-8"/>
          <w:sz w:val="24"/>
          <w:szCs w:val="24"/>
          <w:highlight w:val="none"/>
          <w:lang w:val="en-US" w:eastAsia="zh-CN"/>
        </w:rPr>
        <w:t>人员名单应与乙方在响应文件中所载明的人员一致，</w:t>
      </w:r>
      <w:r>
        <w:rPr>
          <w:rFonts w:hint="eastAsia" w:hAnsi="宋体" w:cs="宋体"/>
          <w:color w:val="auto"/>
          <w:spacing w:val="-8"/>
          <w:sz w:val="24"/>
          <w:szCs w:val="24"/>
          <w:highlight w:val="none"/>
        </w:rPr>
        <w:t>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在合同有效期内，乙方自愿接受甲方按《营运项目承包单位日常履约考评参照表（安全）》和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营运项目承包单位综合履约考评表（安全）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处理，具体处理标准详见附件6附件7。</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8"/>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pStyle w:val="23"/>
        <w:rPr>
          <w:color w:val="auto"/>
          <w:highlight w:val="none"/>
        </w:rPr>
      </w:pP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项目验收合格后，由乙方提交申请支付资料</w:t>
      </w:r>
      <w:r>
        <w:rPr>
          <w:rFonts w:hint="eastAsia" w:hAnsi="宋体" w:cs="宋体"/>
          <w:color w:val="auto"/>
          <w:sz w:val="24"/>
          <w:szCs w:val="24"/>
          <w:highlight w:val="none"/>
          <w:lang w:val="en-US" w:eastAsia="zh-CN"/>
        </w:rPr>
        <w:t>后</w:t>
      </w:r>
      <w:r>
        <w:rPr>
          <w:rFonts w:hint="eastAsia" w:hAnsi="宋体" w:cs="宋体"/>
          <w:color w:val="auto"/>
          <w:sz w:val="24"/>
          <w:szCs w:val="24"/>
          <w:highlight w:val="none"/>
        </w:rPr>
        <w:t>，甲方支付至</w:t>
      </w:r>
      <w:r>
        <w:rPr>
          <w:rFonts w:hint="eastAsia" w:hAnsi="宋体" w:cs="宋体"/>
          <w:color w:val="auto"/>
          <w:sz w:val="24"/>
          <w:szCs w:val="24"/>
          <w:highlight w:val="none"/>
          <w:lang w:val="en-US" w:eastAsia="zh-CN"/>
        </w:rPr>
        <w:t>项目</w:t>
      </w:r>
      <w:r>
        <w:rPr>
          <w:rFonts w:hint="eastAsia" w:hAnsi="宋体" w:cs="宋体"/>
          <w:color w:val="auto"/>
          <w:sz w:val="24"/>
          <w:szCs w:val="24"/>
          <w:highlight w:val="non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合格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lang w:val="en-US" w:eastAsia="zh-CN"/>
        </w:rPr>
        <w:t>后</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w:t>
      </w:r>
      <w:r>
        <w:rPr>
          <w:rFonts w:hint="eastAsia" w:ascii="宋体" w:hAnsi="宋体" w:cs="宋体"/>
          <w:color w:val="auto"/>
          <w:sz w:val="24"/>
          <w:highlight w:val="none"/>
          <w:lang w:val="en-US" w:eastAsia="zh-CN"/>
        </w:rPr>
        <w:t>审定</w:t>
      </w:r>
      <w:r>
        <w:rPr>
          <w:rFonts w:hint="eastAsia" w:ascii="宋体" w:hAnsi="宋体" w:cs="宋体"/>
          <w:color w:val="auto"/>
          <w:sz w:val="24"/>
          <w:highlight w:val="none"/>
        </w:rPr>
        <w:t>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int="eastAsia" w:hAnsi="宋体" w:cs="宋体"/>
          <w:color w:val="auto"/>
          <w:sz w:val="24"/>
          <w:highlight w:val="none"/>
          <w:lang w:val="en-US" w:eastAsia="zh-CN"/>
        </w:rPr>
        <w:t>后</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w:t>
      </w:r>
      <w:r>
        <w:rPr>
          <w:rFonts w:hint="eastAsia" w:hAnsi="宋体" w:cs="宋体"/>
          <w:color w:val="auto"/>
          <w:sz w:val="24"/>
          <w:highlight w:val="none"/>
          <w:lang w:val="en-US" w:eastAsia="zh-CN"/>
        </w:rPr>
        <w:t>审定</w:t>
      </w:r>
      <w:r>
        <w:rPr>
          <w:rFonts w:hint="eastAsia" w:hAnsi="宋体" w:cs="宋体"/>
          <w:color w:val="auto"/>
          <w:sz w:val="24"/>
          <w:highlight w:val="none"/>
        </w:rPr>
        <w:t>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大观分公司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hAnsi="宋体" w:cs="宋体"/>
          <w:b/>
          <w:bCs/>
          <w:color w:val="auto"/>
          <w:sz w:val="24"/>
          <w:highlight w:val="none"/>
        </w:rPr>
      </w:pP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color w:val="auto"/>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大观分公司 。</w:t>
      </w:r>
    </w:p>
    <w:p>
      <w:pPr>
        <w:numPr>
          <w:ilvl w:val="0"/>
          <w:numId w:val="6"/>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lang w:val="en-US" w:eastAsia="zh-CN"/>
        </w:rPr>
        <w:t>且不得低于法定保修期限</w:t>
      </w:r>
      <w:r>
        <w:rPr>
          <w:rFonts w:hint="eastAsia" w:ascii="宋体" w:hAnsi="宋体" w:cs="宋体"/>
          <w:color w:val="auto"/>
          <w:kern w:val="0"/>
          <w:sz w:val="24"/>
          <w:highlight w:val="none"/>
          <w:lang w:val="zh-CN"/>
        </w:rPr>
        <w:t>。</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w:t>
      </w:r>
      <w:r>
        <w:rPr>
          <w:rFonts w:hint="eastAsia" w:ascii="宋体" w:hAnsi="宋体" w:cs="宋体"/>
          <w:bCs/>
          <w:color w:val="auto"/>
          <w:sz w:val="24"/>
          <w:highlight w:val="none"/>
          <w:u w:val="single"/>
          <w:lang w:val="en-US" w:eastAsia="zh-CN"/>
        </w:rPr>
        <w:t>1</w:t>
      </w:r>
      <w:r>
        <w:rPr>
          <w:rFonts w:hint="eastAsia" w:ascii="宋体" w:hAnsi="宋体" w:cs="宋体"/>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第</w:t>
      </w: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8"/>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rPr>
          <w:rFonts w:hint="eastAsia" w:ascii="宋体" w:hAnsi="宋体" w:cs="宋体"/>
          <w:color w:val="auto"/>
          <w:sz w:val="24"/>
          <w:szCs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7.营运项目承包单位综合履约考评表（安全）</w:t>
      </w:r>
    </w:p>
    <w:p>
      <w:pPr>
        <w:pStyle w:val="48"/>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阮俊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020-38890283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pStyle w:val="23"/>
        <w:rPr>
          <w:rFonts w:hint="eastAsia"/>
          <w:color w:val="auto"/>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宋体" w:hAnsi="宋体" w:cs="宋体"/>
          <w:b/>
          <w:color w:val="auto"/>
          <w:szCs w:val="21"/>
          <w:highlight w:val="none"/>
        </w:rPr>
        <w:t>附件4：</w:t>
      </w:r>
      <w:r>
        <w:rPr>
          <w:rFonts w:hint="eastAsia" w:ascii="宋体" w:hAnsi="宋体" w:cs="宋体"/>
          <w:b/>
          <w:color w:val="auto"/>
          <w:szCs w:val="21"/>
          <w:highlight w:val="none"/>
          <w:lang w:val="en-US" w:eastAsia="zh-CN"/>
        </w:rPr>
        <w:t>工程量清单报价</w:t>
      </w:r>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bCs/>
          <w:color w:val="auto"/>
          <w:szCs w:val="21"/>
          <w:highlight w:val="none"/>
        </w:rPr>
        <w:t>项目投入人员架构表/应急救援物资清单</w:t>
      </w:r>
    </w:p>
    <w:p>
      <w:pPr>
        <w:spacing w:line="360" w:lineRule="auto"/>
        <w:rPr>
          <w:rFonts w:ascii="宋体" w:hAnsi="宋体" w:cs="宋体"/>
          <w:b/>
          <w:bCs/>
          <w:color w:val="auto"/>
          <w:szCs w:val="21"/>
          <w:highlight w:val="none"/>
        </w:rPr>
      </w:pP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9"/>
        <w:rPr>
          <w:rFonts w:hint="eastAsia" w:ascii="宋体" w:hAnsi="宋体" w:cs="宋体"/>
          <w:b/>
          <w:bCs/>
          <w:color w:val="auto"/>
          <w:szCs w:val="21"/>
          <w:highlight w:val="none"/>
        </w:rPr>
      </w:pPr>
    </w:p>
    <w:p>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contextualSpacing/>
        <w:jc w:val="left"/>
        <w:rPr>
          <w:rFonts w:ascii="宋体" w:hAnsi="宋体" w:cs="仿宋_GB2312"/>
          <w:color w:val="auto"/>
          <w:sz w:val="24"/>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w:t>
      </w:r>
      <w:r>
        <w:rPr>
          <w:rFonts w:hint="eastAsia" w:ascii="宋体" w:hAnsi="宋体" w:cs="宋体"/>
          <w:b/>
          <w:bCs/>
          <w:color w:val="auto"/>
          <w:sz w:val="21"/>
          <w:szCs w:val="21"/>
          <w:highlight w:val="none"/>
        </w:rPr>
        <w:t>营运项目承包单位日常履约考评参照表（安全）</w:t>
      </w:r>
    </w:p>
    <w:tbl>
      <w:tblPr>
        <w:tblStyle w:val="24"/>
        <w:tblpPr w:leftFromText="180" w:rightFromText="180" w:vertAnchor="text" w:horzAnchor="page" w:tblpX="1799" w:tblpY="825"/>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p>
        </w:tc>
      </w:tr>
    </w:tbl>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1"/>
          <w:szCs w:val="21"/>
          <w:highlight w:val="none"/>
        </w:rPr>
      </w:pPr>
      <w:r>
        <w:rPr>
          <w:rFonts w:hint="eastAsia"/>
          <w:b/>
          <w:bCs/>
          <w:color w:val="auto"/>
          <w:sz w:val="21"/>
          <w:szCs w:val="21"/>
          <w:highlight w:val="none"/>
          <w:lang w:val="en-US" w:eastAsia="zh-CN"/>
        </w:rPr>
        <w:t>附件7</w:t>
      </w:r>
      <w:r>
        <w:rPr>
          <w:rFonts w:hint="eastAsia" w:ascii="宋体" w:hAnsi="宋体" w:cs="宋体"/>
          <w:b/>
          <w:bCs/>
          <w:color w:val="auto"/>
          <w:sz w:val="21"/>
          <w:szCs w:val="21"/>
          <w:highlight w:val="none"/>
        </w:rPr>
        <w:t>营运项目承包单位综合履约考评表（安全）</w:t>
      </w:r>
    </w:p>
    <w:p>
      <w:pPr>
        <w:pStyle w:val="23"/>
        <w:ind w:left="0" w:leftChars="0" w:firstLine="0" w:firstLineChars="0"/>
        <w:rPr>
          <w:rFonts w:ascii="宋体" w:hAnsi="宋体" w:cs="宋体"/>
          <w:b/>
          <w:bCs/>
          <w:color w:val="auto"/>
          <w:sz w:val="24"/>
          <w:szCs w:val="24"/>
          <w:highlight w:val="none"/>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pStyle w:val="23"/>
        <w:rPr>
          <w:rFonts w:ascii="仿宋_GB2312" w:eastAsia="仿宋_GB2312"/>
          <w:color w:val="auto"/>
          <w:sz w:val="28"/>
          <w:szCs w:val="28"/>
          <w:highlight w:val="none"/>
        </w:rPr>
      </w:pPr>
    </w:p>
    <w:p>
      <w:pPr>
        <w:pStyle w:val="3"/>
        <w:rPr>
          <w:color w:val="auto"/>
          <w:highlight w:val="none"/>
        </w:rPr>
      </w:pPr>
      <w:bookmarkStart w:id="87" w:name="_Toc16552"/>
      <w:bookmarkStart w:id="88" w:name="_Toc1563"/>
      <w:bookmarkStart w:id="89" w:name="_Toc30824"/>
      <w:bookmarkStart w:id="90" w:name="_Toc21847"/>
      <w:bookmarkStart w:id="91" w:name="_Toc3723"/>
      <w:bookmarkStart w:id="92" w:name="_Toc23515"/>
      <w:bookmarkStart w:id="93" w:name="_Toc5129"/>
      <w:bookmarkStart w:id="94" w:name="_Toc8147"/>
      <w:bookmarkStart w:id="95" w:name="_Toc12169"/>
      <w:bookmarkStart w:id="96" w:name="_Toc6230"/>
      <w:bookmarkStart w:id="97" w:name="_Toc28358"/>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2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6432;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2Arv68wEAAOQ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s+p747sNTx&#10;n5++/fr4+e7Lj7vvX9lsljUaAtbkunE38bTDcBMz4UMbbf4TFXYouh7PuqpDYoIOXyyWywUpLu6v&#10;qoe4EDG9Ut6ybDQcUwTd9WnjnaPm+TgrssL+NSbKTIH3ATmpcWzI8PMFgQMNY0tDQKYNRAhdV2LR&#10;Gy2vtTE5AmO325jI9pAHonyZH+H+5ZaTbAH70a9cjaPSK5AvnWTpGEgpRy+E5xKskpwZRQ8qWwQI&#10;dQJtLvGk1MZRBVniUdRs7bw8Fq3LOTW/1Hga1Dxdf+5L9MP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DYCu/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2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5408;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sGFr/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7"/>
        <w:rPr>
          <w:color w:val="auto"/>
          <w:highlight w:val="none"/>
        </w:rPr>
      </w:pPr>
    </w:p>
    <w:p>
      <w:pPr>
        <w:pStyle w:val="3"/>
        <w:rPr>
          <w:color w:val="auto"/>
          <w:highlight w:val="none"/>
        </w:rPr>
      </w:pPr>
      <w:bookmarkStart w:id="98" w:name="_Toc24815"/>
      <w:bookmarkStart w:id="99" w:name="_Toc24490"/>
      <w:bookmarkStart w:id="100" w:name="_Toc22764"/>
      <w:bookmarkStart w:id="101" w:name="_Toc31564"/>
      <w:bookmarkStart w:id="102" w:name="_Toc12610"/>
      <w:bookmarkStart w:id="103" w:name="_Toc30157"/>
      <w:bookmarkStart w:id="104" w:name="_Toc88209951"/>
      <w:bookmarkStart w:id="105" w:name="_Toc17119"/>
      <w:bookmarkStart w:id="106" w:name="_Toc12769"/>
      <w:bookmarkStart w:id="107" w:name="_Toc5342"/>
      <w:bookmarkStart w:id="108" w:name="_Toc10840"/>
      <w:bookmarkStart w:id="109" w:name="_Toc87616388"/>
      <w:bookmarkStart w:id="110" w:name="_Toc21675"/>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7616389"/>
      <w:bookmarkStart w:id="112" w:name="_Toc88209952"/>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8209953"/>
      <w:bookmarkStart w:id="114" w:name="_Toc87616390"/>
      <w:r>
        <w:rPr>
          <w:rFonts w:hint="eastAsia" w:ascii="仿宋_GB2312" w:eastAsia="仿宋_GB2312"/>
          <w:color w:val="auto"/>
          <w:sz w:val="28"/>
          <w:szCs w:val="28"/>
          <w:highlight w:val="none"/>
        </w:rPr>
        <w:t>2.法定代表人证明或授权委托书</w:t>
      </w:r>
      <w:bookmarkEnd w:id="113"/>
      <w:bookmarkEnd w:id="114"/>
      <w:bookmarkStart w:id="115" w:name="_Toc87616393"/>
      <w:bookmarkStart w:id="116"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7" w:name="_Toc12665"/>
      <w:bookmarkStart w:id="118" w:name="_Toc87616394"/>
      <w:bookmarkStart w:id="119" w:name="_Toc88209957"/>
      <w:bookmarkStart w:id="120" w:name="_Toc6313"/>
      <w:bookmarkStart w:id="121" w:name="_Toc28619645"/>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
        <w:rPr>
          <w:color w:val="auto"/>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imes New Roman"/>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adjustRightInd/>
        <w:snapToGrid/>
        <w:spacing w:line="360" w:lineRule="auto"/>
        <w:ind w:left="0" w:firstLine="560" w:firstLineChars="200"/>
        <w:jc w:val="left"/>
        <w:rPr>
          <w:rFonts w:ascii="仿宋_GB2312" w:eastAsia="仿宋_GB2312" w:hAnsiTheme="minorEastAsia"/>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2" w:name="_Toc88209958"/>
      <w:bookmarkStart w:id="123" w:name="_Toc87616395"/>
      <w:bookmarkStart w:id="124" w:name="_Toc22527"/>
      <w:bookmarkStart w:id="125" w:name="_Toc29833"/>
    </w:p>
    <w:p>
      <w:pPr>
        <w:pStyle w:val="2"/>
        <w:rPr>
          <w:rFonts w:hint="eastAsia" w:ascii="仿宋_GB2312" w:eastAsia="仿宋_GB2312" w:hAnsiTheme="minorEastAsia"/>
          <w:color w:val="auto"/>
          <w:sz w:val="28"/>
          <w:szCs w:val="28"/>
          <w:highlight w:val="none"/>
        </w:rPr>
      </w:pP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K0Rcjp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vYMfs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88209963"/>
      <w:bookmarkStart w:id="127" w:name="_Toc8086"/>
      <w:bookmarkStart w:id="128" w:name="_Toc19830"/>
      <w:bookmarkStart w:id="129"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rPr>
        <w:t xml:space="preserve">广州市净水有限公司大观分公司2023年一期外部污泥接收装置改造项目（项目编号：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（1）与本项目其他供应商的单位负责人为同一人。</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（2）与本项目其他供应商存在控股或管理关系。</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（5）进入清算程序，或被宣告破产，或其他丧失履约能力情形的。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（6）近三年内因发生质量或安全生产事故等受到行政处罚且在处罚期内的。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（7）被最高人民法院在“信用中国”网站（www.creditchina.gov.cn）或各级信用信息共享平台中列入失信被执行人名单。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（8）被“全国企业信用信息公示系统”（网址：http://www.gsxt.gov.cn/）</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列入经营异常名录和严重违法企业名单。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（9）被“信用广州”网站纳入失信被执行人名单（失信黑名单）。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（10）其他违法违纪行为，经审查认为不宜被邀请参加采购活动的。</w:t>
      </w:r>
    </w:p>
    <w:p>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（11）其他禁止情形：</w:t>
      </w:r>
      <w:r>
        <w:rPr>
          <w:rFonts w:hint="eastAsia" w:ascii="宋体" w:hAnsi="宋体" w:eastAsia="宋体" w:cs="宋体"/>
          <w:b/>
          <w:color w:val="auto"/>
          <w:sz w:val="24"/>
          <w:szCs w:val="24"/>
          <w:highlight w:val="none"/>
        </w:rPr>
        <w:t xml:space="preserve">                   </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color w:val="auto"/>
          <w:highlight w:val="none"/>
          <w:lang w:eastAsia="zh-CN"/>
        </w:rPr>
      </w:pPr>
    </w:p>
    <w:p>
      <w:pPr>
        <w:pStyle w:val="23"/>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31" w:name="_Toc19423"/>
      <w:bookmarkStart w:id="132"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1"/>
      <w:bookmarkEnd w:id="132"/>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8"/>
              <w:jc w:val="center"/>
              <w:rPr>
                <w:rFonts w:hint="eastAsia" w:ascii="宋体" w:hAnsi="宋体" w:eastAsia="宋体" w:cs="宋体"/>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986"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49"/>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工程量清单</w:t>
      </w:r>
    </w:p>
    <w:tbl>
      <w:tblPr>
        <w:tblStyle w:val="24"/>
        <w:tblpPr w:leftFromText="180" w:rightFromText="180" w:vertAnchor="text" w:horzAnchor="page" w:tblpX="1200" w:tblpY="740"/>
        <w:tblOverlap w:val="never"/>
        <w:tblW w:w="10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2441"/>
        <w:gridCol w:w="3152"/>
        <w:gridCol w:w="1248"/>
        <w:gridCol w:w="375"/>
        <w:gridCol w:w="222"/>
        <w:gridCol w:w="1296"/>
        <w:gridCol w:w="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24"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建设项目投标报价汇总表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732"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工程名称：大观分公司2023年一期外部污泥接收装置改造项目</w:t>
            </w:r>
          </w:p>
        </w:tc>
        <w:tc>
          <w:tcPr>
            <w:tcW w:w="222" w:type="dxa"/>
            <w:tcBorders>
              <w:top w:val="nil"/>
              <w:left w:val="nil"/>
              <w:bottom w:val="nil"/>
              <w:right w:val="nil"/>
            </w:tcBorders>
            <w:shd w:val="clear" w:color="FFFFFF" w:fill="FFFFFF"/>
            <w:vAlign w:val="bottom"/>
          </w:tcPr>
          <w:p>
            <w:pPr>
              <w:jc w:val="center"/>
              <w:rPr>
                <w:rFonts w:hint="eastAsia" w:ascii="宋体" w:hAnsi="宋体" w:eastAsia="宋体" w:cs="宋体"/>
                <w:i w:val="0"/>
                <w:iCs w:val="0"/>
                <w:color w:val="auto"/>
                <w:sz w:val="20"/>
                <w:szCs w:val="20"/>
                <w:u w:val="none"/>
              </w:rPr>
            </w:pPr>
          </w:p>
        </w:tc>
        <w:tc>
          <w:tcPr>
            <w:tcW w:w="217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44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单项工程名称</w:t>
            </w:r>
          </w:p>
        </w:tc>
        <w:tc>
          <w:tcPr>
            <w:tcW w:w="315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401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5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44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315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4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大观分公司2023年一期外部污泥接收装置改造项目</w:t>
            </w:r>
          </w:p>
        </w:tc>
        <w:tc>
          <w:tcPr>
            <w:tcW w:w="3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12483.13</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24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w:t>
            </w:r>
          </w:p>
        </w:tc>
        <w:tc>
          <w:tcPr>
            <w:tcW w:w="3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10759.35</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4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w:t>
            </w:r>
          </w:p>
        </w:tc>
        <w:tc>
          <w:tcPr>
            <w:tcW w:w="3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1723.78</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57"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315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24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893"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7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732"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注：本表适用于工程项目招标控制价或投标报价的汇总。</w:t>
            </w:r>
          </w:p>
        </w:tc>
        <w:tc>
          <w:tcPr>
            <w:tcW w:w="222"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2170" w:type="dxa"/>
            <w:gridSpan w:val="2"/>
            <w:tcBorders>
              <w:top w:val="nil"/>
              <w:left w:val="nil"/>
              <w:bottom w:val="nil"/>
              <w:right w:val="nil"/>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tbl>
      <w:tblPr>
        <w:tblStyle w:val="24"/>
        <w:tblW w:w="82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0"/>
        <w:gridCol w:w="2895"/>
        <w:gridCol w:w="1935"/>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30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93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95"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4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8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19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99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10759.35</w:t>
            </w: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71133.82</w:t>
            </w: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6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19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00" w:type="dxa"/>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2"/>
        <w:rPr>
          <w:color w:val="auto"/>
          <w:highlight w:val="none"/>
        </w:rPr>
      </w:pPr>
      <w:bookmarkStart w:id="133" w:name="_Toc6058"/>
      <w:bookmarkStart w:id="134" w:name="_Toc88209965"/>
      <w:bookmarkStart w:id="135" w:name="_Toc16386"/>
      <w:bookmarkStart w:id="136" w:name="_Toc87616402"/>
    </w:p>
    <w:p>
      <w:pPr>
        <w:pStyle w:val="2"/>
        <w:rPr>
          <w:color w:val="auto"/>
          <w:highlight w:val="none"/>
        </w:rPr>
      </w:pPr>
    </w:p>
    <w:tbl>
      <w:tblPr>
        <w:tblStyle w:val="24"/>
        <w:tblW w:w="10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7"/>
        <w:gridCol w:w="18"/>
        <w:gridCol w:w="210"/>
        <w:gridCol w:w="158"/>
        <w:gridCol w:w="1192"/>
        <w:gridCol w:w="99"/>
        <w:gridCol w:w="126"/>
        <w:gridCol w:w="803"/>
        <w:gridCol w:w="847"/>
        <w:gridCol w:w="361"/>
        <w:gridCol w:w="322"/>
        <w:gridCol w:w="252"/>
        <w:gridCol w:w="11"/>
        <w:gridCol w:w="49"/>
        <w:gridCol w:w="280"/>
        <w:gridCol w:w="171"/>
        <w:gridCol w:w="143"/>
        <w:gridCol w:w="167"/>
        <w:gridCol w:w="683"/>
        <w:gridCol w:w="39"/>
        <w:gridCol w:w="117"/>
        <w:gridCol w:w="25"/>
        <w:gridCol w:w="10"/>
        <w:gridCol w:w="64"/>
        <w:gridCol w:w="48"/>
        <w:gridCol w:w="629"/>
        <w:gridCol w:w="174"/>
        <w:gridCol w:w="175"/>
        <w:gridCol w:w="111"/>
        <w:gridCol w:w="990"/>
        <w:gridCol w:w="428"/>
        <w:gridCol w:w="64"/>
        <w:gridCol w:w="193"/>
        <w:gridCol w:w="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10005" w:type="dxa"/>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75" w:type="dxa"/>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807" w:type="dxa"/>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3" w:type="dxa"/>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677"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771" w:type="dxa"/>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594"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031"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3145" w:type="dxa"/>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78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771" w:type="dxa"/>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1"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0" w:type="dxa"/>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0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771" w:type="dxa"/>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1"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0" w:type="dxa"/>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污泥搅拌系统</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1.材质、类型:池体材质：碳钢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池顶盖板：玻璃钢+槽钢骨架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爬梯、池顶护栏：碳钢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2.型号、规格:池型尺寸：8×8×1.5(H)m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介质：将含水率80%的污泥加水通过搅拌器搅拌稀释成含水率97%的泥水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3.具体按图纸实施</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污泥搅拌机</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1.类型:污泥搅拌机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2.材质:工作桥：碳钢防腐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水上部分：组合材质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水下部分：不锈钢304</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3.规格、型号:单格池：4×8×1.5(H)m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水深：1.3m（暂定）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单层桨叶，折桨式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桨叶直径：2200mm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电机功率：7.5KW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转速：39rpm</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现场控制柜</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1.名称:现场控制柜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2.型号:一控五：控制4台污泥搅拌机+1台自吸泵</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自吸污泥泵</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1.名称:离心泵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2.规格:转速：1450rpm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流量：120m3/h</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扬程：20m                功率：15KW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3.材质:碳钢</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转子泵</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1.名称:转子泵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2.规格:功率：18.5kw、流量：120m3/h</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主电缆</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1.名称:主电缆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2.规格:ZC-YJV-3*50+2*25</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1.名称:自吸污泥泵电缆+转子泵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2.规格:ZC-YJV-4*10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1.名称:搅拌器电缆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2.规格:ZC-YJV-4*6</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PVC线管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1.名称:PVC线管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4.配置形式:埋地</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PVC线管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1.名称:PVC线管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3.规格:32mm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4.配置形式:埋地</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90度弯头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软接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法兰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1.型号、规格:DN125</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管架制作安装</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1.材质:镀锌角钢50*50*5</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kg</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90°弯头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法兰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1.型号、规格:DN200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三通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90°弯头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法兰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1.型号、规格:DN150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止回阀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4.用途:做补水管用</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90°弯头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三通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雨水管迁移</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1.材质、规格:DN400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雨水篦子</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1.雨水篦子及圈口材质、型号、规格:铸铁水篦子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2.规格:400*600mm</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单价措施合计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60" w:type="dxa"/>
            <w:gridSpan w:val="2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0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005" w:type="dxa"/>
            <w:gridSpan w:val="3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175" w:type="dxa"/>
            <w:gridSpan w:val="12"/>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u w:val="none"/>
              </w:rPr>
            </w:pPr>
          </w:p>
        </w:tc>
        <w:tc>
          <w:tcPr>
            <w:tcW w:w="1807" w:type="dxa"/>
            <w:gridSpan w:val="1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u w:val="single"/>
              </w:rPr>
            </w:pPr>
          </w:p>
        </w:tc>
        <w:tc>
          <w:tcPr>
            <w:tcW w:w="3023" w:type="dxa"/>
            <w:gridSpan w:val="9"/>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795" w:hRule="atLeast"/>
        </w:trPr>
        <w:tc>
          <w:tcPr>
            <w:tcW w:w="9489" w:type="dxa"/>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570" w:hRule="atLeast"/>
        </w:trPr>
        <w:tc>
          <w:tcPr>
            <w:tcW w:w="492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756"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810" w:type="dxa"/>
            <w:gridSpan w:val="1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825" w:hRule="atLeast"/>
        </w:trPr>
        <w:tc>
          <w:tcPr>
            <w:tcW w:w="805"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78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946"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1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938"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137"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141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59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3"/>
          <w:wAfter w:w="516" w:type="dxa"/>
          <w:trHeight w:val="57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57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261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82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3"/>
          <w:wAfter w:w="516" w:type="dxa"/>
          <w:trHeight w:val="235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360" w:hRule="atLeast"/>
        </w:trPr>
        <w:tc>
          <w:tcPr>
            <w:tcW w:w="5186" w:type="dxa"/>
            <w:gridSpan w:val="1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810"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360" w:hRule="atLeast"/>
        </w:trPr>
        <w:tc>
          <w:tcPr>
            <w:tcW w:w="4923"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4566" w:type="dxa"/>
            <w:gridSpan w:val="2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795" w:hRule="atLeast"/>
        </w:trPr>
        <w:tc>
          <w:tcPr>
            <w:tcW w:w="9746" w:type="dxa"/>
            <w:gridSpan w:val="3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570" w:hRule="atLeast"/>
        </w:trPr>
        <w:tc>
          <w:tcPr>
            <w:tcW w:w="4601"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2117"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8" w:type="dxa"/>
            <w:gridSpan w:val="1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59" w:type="dxa"/>
          <w:trHeight w:val="375" w:hRule="atLeast"/>
        </w:trPr>
        <w:tc>
          <w:tcPr>
            <w:tcW w:w="1173" w:type="dxa"/>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220"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293"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925" w:type="dxa"/>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2135" w:type="dxa"/>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71133.82</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259" w:type="dxa"/>
          <w:trHeight w:val="360" w:hRule="atLeast"/>
        </w:trPr>
        <w:tc>
          <w:tcPr>
            <w:tcW w:w="3393"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293" w:type="dxa"/>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9" w:type="dxa"/>
          <w:trHeight w:val="360" w:hRule="atLeast"/>
        </w:trPr>
        <w:tc>
          <w:tcPr>
            <w:tcW w:w="9746" w:type="dxa"/>
            <w:gridSpan w:val="33"/>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2"/>
          <w:wAfter w:w="452" w:type="dxa"/>
          <w:trHeight w:val="795" w:hRule="atLeast"/>
        </w:trPr>
        <w:tc>
          <w:tcPr>
            <w:tcW w:w="9553" w:type="dxa"/>
            <w:gridSpan w:val="3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2"/>
          <w:wAfter w:w="452" w:type="dxa"/>
          <w:trHeight w:val="570" w:hRule="atLeast"/>
        </w:trPr>
        <w:tc>
          <w:tcPr>
            <w:tcW w:w="5515"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355"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683" w:type="dxa"/>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2"/>
          <w:wAfter w:w="452" w:type="dxa"/>
          <w:trHeight w:val="570" w:hRule="atLeast"/>
        </w:trPr>
        <w:tc>
          <w:tcPr>
            <w:tcW w:w="1015" w:type="dxa"/>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3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3150" w:type="dxa"/>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2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95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768" w:type="dxa"/>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52" w:type="dxa"/>
          <w:trHeight w:val="570" w:hRule="atLeast"/>
        </w:trPr>
        <w:tc>
          <w:tcPr>
            <w:tcW w:w="101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315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2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5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68"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52" w:type="dxa"/>
          <w:trHeight w:val="360" w:hRule="atLeast"/>
        </w:trPr>
        <w:tc>
          <w:tcPr>
            <w:tcW w:w="7785" w:type="dxa"/>
            <w:gridSpan w:val="2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768" w:type="dxa"/>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2"/>
          <w:wAfter w:w="452" w:type="dxa"/>
          <w:trHeight w:val="360" w:hRule="atLeast"/>
        </w:trPr>
        <w:tc>
          <w:tcPr>
            <w:tcW w:w="5515" w:type="dxa"/>
            <w:gridSpan w:val="1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4038" w:type="dxa"/>
            <w:gridSpan w:val="1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bl>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tbl>
      <w:tblPr>
        <w:tblStyle w:val="24"/>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8"/>
        <w:gridCol w:w="2652"/>
        <w:gridCol w:w="1976"/>
        <w:gridCol w:w="909"/>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7013"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2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978"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4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6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88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211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1723.78</w:t>
            </w: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3578.45</w:t>
            </w: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88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13" w:type="dxa"/>
            <w:gridSpan w:val="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2"/>
        <w:rPr>
          <w:color w:val="auto"/>
          <w:highlight w:val="none"/>
        </w:rPr>
      </w:pPr>
    </w:p>
    <w:p>
      <w:pPr>
        <w:pStyle w:val="2"/>
        <w:ind w:firstLine="0" w:firstLineChars="0"/>
        <w:rPr>
          <w:color w:val="auto"/>
          <w:highlight w:val="none"/>
        </w:rPr>
      </w:pPr>
    </w:p>
    <w:p>
      <w:pPr>
        <w:pStyle w:val="2"/>
        <w:rPr>
          <w:color w:val="auto"/>
          <w:highlight w:val="none"/>
        </w:rPr>
      </w:pPr>
    </w:p>
    <w:p>
      <w:pPr>
        <w:jc w:val="right"/>
        <w:rPr>
          <w:color w:val="auto"/>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
        <w:jc w:val="right"/>
        <w:rPr>
          <w:rFonts w:hint="eastAsia" w:eastAsiaTheme="majorEastAsia"/>
          <w:color w:val="auto"/>
          <w:highlight w:val="none"/>
          <w:lang w:val="en-US" w:eastAsia="zh-CN"/>
        </w:rPr>
      </w:pPr>
      <w:r>
        <w:rPr>
          <w:rFonts w:hint="eastAsia" w:ascii="宋体" w:hAnsi="宋体" w:eastAsia="宋体" w:cs="宋体"/>
          <w:color w:val="auto"/>
          <w:kern w:val="2"/>
          <w:sz w:val="24"/>
          <w:szCs w:val="24"/>
          <w:highlight w:val="none"/>
          <w:lang w:val="en-GB"/>
        </w:rPr>
        <w:t>年  月  日</w:t>
      </w:r>
    </w:p>
    <w:tbl>
      <w:tblPr>
        <w:tblStyle w:val="24"/>
        <w:tblW w:w="9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8"/>
        <w:gridCol w:w="17"/>
        <w:gridCol w:w="1545"/>
        <w:gridCol w:w="118"/>
        <w:gridCol w:w="1632"/>
        <w:gridCol w:w="675"/>
        <w:gridCol w:w="198"/>
        <w:gridCol w:w="595"/>
        <w:gridCol w:w="62"/>
        <w:gridCol w:w="683"/>
        <w:gridCol w:w="149"/>
        <w:gridCol w:w="138"/>
        <w:gridCol w:w="122"/>
        <w:gridCol w:w="877"/>
        <w:gridCol w:w="103"/>
        <w:gridCol w:w="1103"/>
        <w:gridCol w:w="212"/>
        <w:gridCol w:w="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750" w:type="dxa"/>
            <w:gridSpan w:val="1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7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749"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8"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680"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50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59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032"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315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50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2"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50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2"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挖基坑土方</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1.废弃料品种:土方,人工配合装运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2.运距:厂内提供堆场，运距暂定1km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搅拌池垫层</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1.混凝土种类:普通混凝土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搅拌池基础</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1.混凝土种类:普通混凝土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15.632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1.钢筋种类、规格:钢筋种类：HRB400、规格：∅14</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2.518</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池面楼板钻孔</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1.打洞部位材质:混凝土板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2.洞尺寸:孔洞直径150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墙体钻孔</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1.打洞部位材质:砖墙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2.洞尺寸:孔洞直径250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基础模板</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单价措施合计</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702" w:type="dxa"/>
            <w:gridSpan w:val="1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0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750" w:type="dxa"/>
            <w:gridSpan w:val="18"/>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795" w:hRule="atLeast"/>
        </w:trPr>
        <w:tc>
          <w:tcPr>
            <w:tcW w:w="9017" w:type="dxa"/>
            <w:gridSpan w:val="1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40"/>
                <w:szCs w:val="40"/>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570" w:hRule="atLeast"/>
        </w:trPr>
        <w:tc>
          <w:tcPr>
            <w:tcW w:w="4775"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53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704" w:type="dxa"/>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825" w:hRule="atLeast"/>
        </w:trPr>
        <w:tc>
          <w:tcPr>
            <w:tcW w:w="805"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7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5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137"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1418" w:type="dxa"/>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159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235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82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261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82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33" w:type="dxa"/>
          <w:trHeight w:val="360" w:hRule="atLeast"/>
        </w:trPr>
        <w:tc>
          <w:tcPr>
            <w:tcW w:w="477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855"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33" w:type="dxa"/>
          <w:trHeight w:val="360" w:hRule="atLeast"/>
        </w:trPr>
        <w:tc>
          <w:tcPr>
            <w:tcW w:w="4775"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4242"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bookmarkEnd w:id="133"/>
      <w:bookmarkEnd w:id="134"/>
      <w:bookmarkEnd w:id="135"/>
      <w:bookmarkEnd w:id="136"/>
    </w:tbl>
    <w:p>
      <w:pPr>
        <w:pStyle w:val="2"/>
        <w:rPr>
          <w:rFonts w:hint="eastAsia" w:ascii="仿宋_GB2312" w:eastAsia="仿宋_GB2312" w:hAnsiTheme="minorEastAsia"/>
          <w:color w:val="auto"/>
          <w:sz w:val="28"/>
          <w:szCs w:val="28"/>
          <w:highlight w:val="none"/>
        </w:rPr>
      </w:pPr>
    </w:p>
    <w:p>
      <w:pPr>
        <w:pStyle w:val="2"/>
        <w:rPr>
          <w:rFonts w:hint="eastAsia" w:ascii="仿宋_GB2312" w:eastAsia="仿宋_GB2312" w:hAnsiTheme="minorEastAsia"/>
          <w:color w:val="auto"/>
          <w:sz w:val="28"/>
          <w:szCs w:val="28"/>
          <w:highlight w:val="none"/>
        </w:rPr>
      </w:pPr>
    </w:p>
    <w:tbl>
      <w:tblPr>
        <w:tblStyle w:val="24"/>
        <w:tblW w:w="100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5"/>
        <w:gridCol w:w="157"/>
        <w:gridCol w:w="1313"/>
        <w:gridCol w:w="769"/>
        <w:gridCol w:w="1206"/>
        <w:gridCol w:w="1084"/>
        <w:gridCol w:w="91"/>
        <w:gridCol w:w="940"/>
        <w:gridCol w:w="365"/>
        <w:gridCol w:w="35"/>
        <w:gridCol w:w="492"/>
        <w:gridCol w:w="768"/>
        <w:gridCol w:w="1365"/>
        <w:gridCol w:w="4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795" w:hRule="atLeast"/>
        </w:trPr>
        <w:tc>
          <w:tcPr>
            <w:tcW w:w="9600" w:type="dxa"/>
            <w:gridSpan w:val="1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570" w:hRule="atLeast"/>
        </w:trPr>
        <w:tc>
          <w:tcPr>
            <w:tcW w:w="446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21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5"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75" w:hRule="atLeast"/>
        </w:trPr>
        <w:tc>
          <w:tcPr>
            <w:tcW w:w="1172"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2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923"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2133"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3578.45</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3254"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2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9600" w:type="dxa"/>
            <w:gridSpan w:val="13"/>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003" w:type="dxa"/>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635"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34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8"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3150"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129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76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315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9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6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235" w:type="dxa"/>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76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35"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4368"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bl>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5"/>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p>
    <w:p>
      <w:pPr>
        <w:adjustRightInd w:val="0"/>
        <w:snapToGrid w:val="0"/>
        <w:spacing w:line="600" w:lineRule="exact"/>
        <w:ind w:firstLine="570"/>
        <w:rPr>
          <w:rFonts w:hint="eastAsia"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pStyle w:val="2"/>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05566"/>
    <w:multiLevelType w:val="singleLevel"/>
    <w:tmpl w:val="9FE05566"/>
    <w:lvl w:ilvl="0" w:tentative="0">
      <w:start w:val="1"/>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xNTYxNDViMWM4NWFjZDI0NjdiNTU5YjExNDIwYTIifQ=="/>
  </w:docVars>
  <w:rsids>
    <w:rsidRoot w:val="00172A27"/>
    <w:rsid w:val="003D60BA"/>
    <w:rsid w:val="00411689"/>
    <w:rsid w:val="005D618A"/>
    <w:rsid w:val="00911ECD"/>
    <w:rsid w:val="00A042E0"/>
    <w:rsid w:val="00B26BB1"/>
    <w:rsid w:val="00B26E21"/>
    <w:rsid w:val="00F83B64"/>
    <w:rsid w:val="013E3461"/>
    <w:rsid w:val="01BB0F13"/>
    <w:rsid w:val="01C67921"/>
    <w:rsid w:val="02090C75"/>
    <w:rsid w:val="02480AA9"/>
    <w:rsid w:val="02A23A3C"/>
    <w:rsid w:val="035D130A"/>
    <w:rsid w:val="039110A9"/>
    <w:rsid w:val="03AC246A"/>
    <w:rsid w:val="03AE6061"/>
    <w:rsid w:val="03B23056"/>
    <w:rsid w:val="03DA023E"/>
    <w:rsid w:val="03DC3EBA"/>
    <w:rsid w:val="03E2248B"/>
    <w:rsid w:val="03F9794D"/>
    <w:rsid w:val="04180706"/>
    <w:rsid w:val="046A2461"/>
    <w:rsid w:val="04B27A00"/>
    <w:rsid w:val="04C609C8"/>
    <w:rsid w:val="051C2970"/>
    <w:rsid w:val="060C3611"/>
    <w:rsid w:val="063F6E8E"/>
    <w:rsid w:val="06C64829"/>
    <w:rsid w:val="06E31D05"/>
    <w:rsid w:val="070E7B6E"/>
    <w:rsid w:val="07140111"/>
    <w:rsid w:val="071D62B7"/>
    <w:rsid w:val="077D16D2"/>
    <w:rsid w:val="07886DF0"/>
    <w:rsid w:val="082A69F3"/>
    <w:rsid w:val="08675FC8"/>
    <w:rsid w:val="09B713FD"/>
    <w:rsid w:val="09EF6ACC"/>
    <w:rsid w:val="0A315056"/>
    <w:rsid w:val="0AA213B4"/>
    <w:rsid w:val="0AF61C7E"/>
    <w:rsid w:val="0AFB45AD"/>
    <w:rsid w:val="0B351E9B"/>
    <w:rsid w:val="0B4C50D3"/>
    <w:rsid w:val="0B5A3FFB"/>
    <w:rsid w:val="0B806B92"/>
    <w:rsid w:val="0B827E94"/>
    <w:rsid w:val="0B842F76"/>
    <w:rsid w:val="0BB52891"/>
    <w:rsid w:val="0BD070E1"/>
    <w:rsid w:val="0BE45BD8"/>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2EA7F78"/>
    <w:rsid w:val="131840FB"/>
    <w:rsid w:val="13467417"/>
    <w:rsid w:val="136E76CF"/>
    <w:rsid w:val="140354CF"/>
    <w:rsid w:val="145E0C1D"/>
    <w:rsid w:val="145F08C6"/>
    <w:rsid w:val="14816E9C"/>
    <w:rsid w:val="14E43F59"/>
    <w:rsid w:val="153E27FD"/>
    <w:rsid w:val="15776308"/>
    <w:rsid w:val="15BC6B3C"/>
    <w:rsid w:val="16360A7B"/>
    <w:rsid w:val="164D40B0"/>
    <w:rsid w:val="16881115"/>
    <w:rsid w:val="1694429A"/>
    <w:rsid w:val="17234274"/>
    <w:rsid w:val="17635326"/>
    <w:rsid w:val="17B803EA"/>
    <w:rsid w:val="1815096B"/>
    <w:rsid w:val="18236EFD"/>
    <w:rsid w:val="189D5B1F"/>
    <w:rsid w:val="18A34CD0"/>
    <w:rsid w:val="18D01777"/>
    <w:rsid w:val="19A53EA8"/>
    <w:rsid w:val="19B64DBC"/>
    <w:rsid w:val="19EC6A4A"/>
    <w:rsid w:val="1A373ACF"/>
    <w:rsid w:val="1A7B10BA"/>
    <w:rsid w:val="1A895341"/>
    <w:rsid w:val="1A92628B"/>
    <w:rsid w:val="1AC413A0"/>
    <w:rsid w:val="1B0D071F"/>
    <w:rsid w:val="1B4568CE"/>
    <w:rsid w:val="1B9015B7"/>
    <w:rsid w:val="1B950DA6"/>
    <w:rsid w:val="1BF54245"/>
    <w:rsid w:val="1C173D4D"/>
    <w:rsid w:val="1CA92C52"/>
    <w:rsid w:val="1D0E6976"/>
    <w:rsid w:val="1D5A79EE"/>
    <w:rsid w:val="1E0E2CD0"/>
    <w:rsid w:val="1E143924"/>
    <w:rsid w:val="1E831280"/>
    <w:rsid w:val="1EBC4704"/>
    <w:rsid w:val="1EDC4D22"/>
    <w:rsid w:val="1F172EB5"/>
    <w:rsid w:val="1F94592D"/>
    <w:rsid w:val="1FB860DE"/>
    <w:rsid w:val="1FF943B5"/>
    <w:rsid w:val="203C5A02"/>
    <w:rsid w:val="209D4C94"/>
    <w:rsid w:val="20B44FCD"/>
    <w:rsid w:val="20E84705"/>
    <w:rsid w:val="218400BA"/>
    <w:rsid w:val="21AB1E2F"/>
    <w:rsid w:val="21CA090E"/>
    <w:rsid w:val="21D40498"/>
    <w:rsid w:val="21DD1CA9"/>
    <w:rsid w:val="22767047"/>
    <w:rsid w:val="22A23F3E"/>
    <w:rsid w:val="23A05588"/>
    <w:rsid w:val="23DA1E46"/>
    <w:rsid w:val="240476A1"/>
    <w:rsid w:val="25431AEB"/>
    <w:rsid w:val="257A1ED1"/>
    <w:rsid w:val="25BE3BFB"/>
    <w:rsid w:val="25BF43FD"/>
    <w:rsid w:val="25F86BCD"/>
    <w:rsid w:val="2605748B"/>
    <w:rsid w:val="26396D26"/>
    <w:rsid w:val="264544A6"/>
    <w:rsid w:val="267702FB"/>
    <w:rsid w:val="269E416A"/>
    <w:rsid w:val="26C11C6B"/>
    <w:rsid w:val="26CA1946"/>
    <w:rsid w:val="272100D3"/>
    <w:rsid w:val="272C72FC"/>
    <w:rsid w:val="275131CB"/>
    <w:rsid w:val="275E777C"/>
    <w:rsid w:val="27787DF0"/>
    <w:rsid w:val="278F6521"/>
    <w:rsid w:val="27EB149D"/>
    <w:rsid w:val="27FD3E52"/>
    <w:rsid w:val="28E11370"/>
    <w:rsid w:val="293B7327"/>
    <w:rsid w:val="294A756A"/>
    <w:rsid w:val="29781BF8"/>
    <w:rsid w:val="29C33ED0"/>
    <w:rsid w:val="29D5322D"/>
    <w:rsid w:val="2A025DD9"/>
    <w:rsid w:val="2A2619CB"/>
    <w:rsid w:val="2A7C2231"/>
    <w:rsid w:val="2A920E4F"/>
    <w:rsid w:val="2ABB753D"/>
    <w:rsid w:val="2AFE6EC4"/>
    <w:rsid w:val="2B7A49FA"/>
    <w:rsid w:val="2C615D26"/>
    <w:rsid w:val="2CB679ED"/>
    <w:rsid w:val="2CDE24A4"/>
    <w:rsid w:val="2D173C07"/>
    <w:rsid w:val="2D424A86"/>
    <w:rsid w:val="2DDA66B7"/>
    <w:rsid w:val="2E1918A5"/>
    <w:rsid w:val="2E1B14D5"/>
    <w:rsid w:val="2E6F2D11"/>
    <w:rsid w:val="2E7B52DB"/>
    <w:rsid w:val="2ED60115"/>
    <w:rsid w:val="2F324CFE"/>
    <w:rsid w:val="2F3960B7"/>
    <w:rsid w:val="2F48220F"/>
    <w:rsid w:val="2FBA09F1"/>
    <w:rsid w:val="2FEF2ACF"/>
    <w:rsid w:val="2FF93D20"/>
    <w:rsid w:val="30540211"/>
    <w:rsid w:val="30E45100"/>
    <w:rsid w:val="310E1024"/>
    <w:rsid w:val="31112A0D"/>
    <w:rsid w:val="311F4B20"/>
    <w:rsid w:val="312D7741"/>
    <w:rsid w:val="316F137F"/>
    <w:rsid w:val="31DF525F"/>
    <w:rsid w:val="31EC162B"/>
    <w:rsid w:val="32324C2E"/>
    <w:rsid w:val="327171DF"/>
    <w:rsid w:val="330D1A18"/>
    <w:rsid w:val="3391569E"/>
    <w:rsid w:val="341E3434"/>
    <w:rsid w:val="34735BC7"/>
    <w:rsid w:val="34BB4442"/>
    <w:rsid w:val="35291F42"/>
    <w:rsid w:val="3584136B"/>
    <w:rsid w:val="35FF5AA4"/>
    <w:rsid w:val="360B7EBA"/>
    <w:rsid w:val="36416867"/>
    <w:rsid w:val="367D5DD4"/>
    <w:rsid w:val="368A1390"/>
    <w:rsid w:val="369C32FD"/>
    <w:rsid w:val="37666E72"/>
    <w:rsid w:val="37FA3D04"/>
    <w:rsid w:val="38081EA3"/>
    <w:rsid w:val="38167A04"/>
    <w:rsid w:val="381C3783"/>
    <w:rsid w:val="38B36EDA"/>
    <w:rsid w:val="394B167A"/>
    <w:rsid w:val="395D5749"/>
    <w:rsid w:val="39DA2868"/>
    <w:rsid w:val="3A055F4B"/>
    <w:rsid w:val="3A2970A3"/>
    <w:rsid w:val="3A4E4336"/>
    <w:rsid w:val="3A6007FE"/>
    <w:rsid w:val="3A802587"/>
    <w:rsid w:val="3A852164"/>
    <w:rsid w:val="3A894963"/>
    <w:rsid w:val="3AF93D6C"/>
    <w:rsid w:val="3AFD06C8"/>
    <w:rsid w:val="3B7C2CE4"/>
    <w:rsid w:val="3BAF716B"/>
    <w:rsid w:val="3C0B5355"/>
    <w:rsid w:val="3CD4176B"/>
    <w:rsid w:val="3D1F44D9"/>
    <w:rsid w:val="3D5C38CD"/>
    <w:rsid w:val="3DC92CFC"/>
    <w:rsid w:val="3E5070F1"/>
    <w:rsid w:val="3E7B7724"/>
    <w:rsid w:val="3EC370CB"/>
    <w:rsid w:val="3F6C3589"/>
    <w:rsid w:val="3F850180"/>
    <w:rsid w:val="3F9004D6"/>
    <w:rsid w:val="3FEE7CFA"/>
    <w:rsid w:val="400622DD"/>
    <w:rsid w:val="400E4D5E"/>
    <w:rsid w:val="40E1138C"/>
    <w:rsid w:val="413814BA"/>
    <w:rsid w:val="41872511"/>
    <w:rsid w:val="41DF1251"/>
    <w:rsid w:val="424236D9"/>
    <w:rsid w:val="42466655"/>
    <w:rsid w:val="427E6067"/>
    <w:rsid w:val="42C82F57"/>
    <w:rsid w:val="435707E5"/>
    <w:rsid w:val="438D180E"/>
    <w:rsid w:val="43AE2CD7"/>
    <w:rsid w:val="43C76AF7"/>
    <w:rsid w:val="43E97E4A"/>
    <w:rsid w:val="444A6F72"/>
    <w:rsid w:val="446828F0"/>
    <w:rsid w:val="45093E85"/>
    <w:rsid w:val="451C1003"/>
    <w:rsid w:val="45C13B4D"/>
    <w:rsid w:val="46054BCA"/>
    <w:rsid w:val="464C6AFC"/>
    <w:rsid w:val="464F10CD"/>
    <w:rsid w:val="468B0091"/>
    <w:rsid w:val="46A107C3"/>
    <w:rsid w:val="46B15CE2"/>
    <w:rsid w:val="46BE113D"/>
    <w:rsid w:val="46E44B13"/>
    <w:rsid w:val="4703508A"/>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7F3979"/>
    <w:rsid w:val="4ADA1F63"/>
    <w:rsid w:val="4AE23D89"/>
    <w:rsid w:val="4B2038D0"/>
    <w:rsid w:val="4B21175C"/>
    <w:rsid w:val="4B296E7D"/>
    <w:rsid w:val="4B79394E"/>
    <w:rsid w:val="4B877F28"/>
    <w:rsid w:val="4BB5666E"/>
    <w:rsid w:val="4BDE1449"/>
    <w:rsid w:val="4D916BA6"/>
    <w:rsid w:val="4D9D377E"/>
    <w:rsid w:val="4DC44169"/>
    <w:rsid w:val="4DE24E21"/>
    <w:rsid w:val="4E1B19A3"/>
    <w:rsid w:val="4E48787F"/>
    <w:rsid w:val="4EF0709E"/>
    <w:rsid w:val="4F0469A4"/>
    <w:rsid w:val="500E56F4"/>
    <w:rsid w:val="50540C73"/>
    <w:rsid w:val="50752AF8"/>
    <w:rsid w:val="510D474B"/>
    <w:rsid w:val="513C6A7B"/>
    <w:rsid w:val="51886ED6"/>
    <w:rsid w:val="51D458BD"/>
    <w:rsid w:val="51D756CF"/>
    <w:rsid w:val="51DA5080"/>
    <w:rsid w:val="51DE4937"/>
    <w:rsid w:val="522956BF"/>
    <w:rsid w:val="52690DDA"/>
    <w:rsid w:val="52EC6EC2"/>
    <w:rsid w:val="532D486F"/>
    <w:rsid w:val="5333545B"/>
    <w:rsid w:val="538D0E89"/>
    <w:rsid w:val="5450213C"/>
    <w:rsid w:val="54556C40"/>
    <w:rsid w:val="54D24048"/>
    <w:rsid w:val="54D64CD5"/>
    <w:rsid w:val="55177DCA"/>
    <w:rsid w:val="5532287C"/>
    <w:rsid w:val="55887D69"/>
    <w:rsid w:val="561A0928"/>
    <w:rsid w:val="56423872"/>
    <w:rsid w:val="566D249F"/>
    <w:rsid w:val="568C2DF1"/>
    <w:rsid w:val="569E06BC"/>
    <w:rsid w:val="56B279F0"/>
    <w:rsid w:val="56F20F86"/>
    <w:rsid w:val="579D710E"/>
    <w:rsid w:val="581F22F6"/>
    <w:rsid w:val="586E1E17"/>
    <w:rsid w:val="58862C35"/>
    <w:rsid w:val="58C14957"/>
    <w:rsid w:val="58CC23D2"/>
    <w:rsid w:val="58E66050"/>
    <w:rsid w:val="59FA18CA"/>
    <w:rsid w:val="59FC7994"/>
    <w:rsid w:val="5AE83A50"/>
    <w:rsid w:val="5B186BCB"/>
    <w:rsid w:val="5B353193"/>
    <w:rsid w:val="5BA209E6"/>
    <w:rsid w:val="5BAB2917"/>
    <w:rsid w:val="5BFC33FA"/>
    <w:rsid w:val="5C3107A4"/>
    <w:rsid w:val="5C3B1B93"/>
    <w:rsid w:val="5C9220DF"/>
    <w:rsid w:val="5CAB5C1D"/>
    <w:rsid w:val="5CDB4A84"/>
    <w:rsid w:val="5D0E4DFF"/>
    <w:rsid w:val="5D4A15F3"/>
    <w:rsid w:val="5D69542A"/>
    <w:rsid w:val="5D783B72"/>
    <w:rsid w:val="5E0930EF"/>
    <w:rsid w:val="5E1F2629"/>
    <w:rsid w:val="5E3D4D53"/>
    <w:rsid w:val="5E4717E6"/>
    <w:rsid w:val="5E55774C"/>
    <w:rsid w:val="5E8A70FF"/>
    <w:rsid w:val="5EAE689B"/>
    <w:rsid w:val="5EEE3F19"/>
    <w:rsid w:val="60045F96"/>
    <w:rsid w:val="60104DDC"/>
    <w:rsid w:val="603A4978"/>
    <w:rsid w:val="605C0804"/>
    <w:rsid w:val="60913E6F"/>
    <w:rsid w:val="615960D0"/>
    <w:rsid w:val="61733C3E"/>
    <w:rsid w:val="6189617B"/>
    <w:rsid w:val="61B52BB6"/>
    <w:rsid w:val="61B749C2"/>
    <w:rsid w:val="62280D20"/>
    <w:rsid w:val="62CA2457"/>
    <w:rsid w:val="638240A1"/>
    <w:rsid w:val="63833423"/>
    <w:rsid w:val="63A5257B"/>
    <w:rsid w:val="63BD3DCC"/>
    <w:rsid w:val="63C61741"/>
    <w:rsid w:val="63FC2B8B"/>
    <w:rsid w:val="64560967"/>
    <w:rsid w:val="656B1D10"/>
    <w:rsid w:val="65B841F9"/>
    <w:rsid w:val="66022B28"/>
    <w:rsid w:val="664A38E2"/>
    <w:rsid w:val="66581E87"/>
    <w:rsid w:val="66FA11D5"/>
    <w:rsid w:val="674302C7"/>
    <w:rsid w:val="67CB09D8"/>
    <w:rsid w:val="67EE3B0F"/>
    <w:rsid w:val="680A5986"/>
    <w:rsid w:val="680D4239"/>
    <w:rsid w:val="680D5F4B"/>
    <w:rsid w:val="68113F51"/>
    <w:rsid w:val="68A613C0"/>
    <w:rsid w:val="68E94770"/>
    <w:rsid w:val="68F949C9"/>
    <w:rsid w:val="695A4290"/>
    <w:rsid w:val="69F10D61"/>
    <w:rsid w:val="6A334932"/>
    <w:rsid w:val="6A3353FF"/>
    <w:rsid w:val="6A5D63E6"/>
    <w:rsid w:val="6A5F24D1"/>
    <w:rsid w:val="6ACA70C4"/>
    <w:rsid w:val="6AE347EB"/>
    <w:rsid w:val="6B330365"/>
    <w:rsid w:val="6B434AF0"/>
    <w:rsid w:val="6B57675A"/>
    <w:rsid w:val="6B87098A"/>
    <w:rsid w:val="6BBD7C07"/>
    <w:rsid w:val="6BDD7B4D"/>
    <w:rsid w:val="6D6830E8"/>
    <w:rsid w:val="6EBC0B3A"/>
    <w:rsid w:val="6EC15AE8"/>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7B1762"/>
    <w:rsid w:val="76CD2B7B"/>
    <w:rsid w:val="76D80645"/>
    <w:rsid w:val="76E03371"/>
    <w:rsid w:val="771211AA"/>
    <w:rsid w:val="780E5898"/>
    <w:rsid w:val="782642CC"/>
    <w:rsid w:val="7894095E"/>
    <w:rsid w:val="78964555"/>
    <w:rsid w:val="789B61D9"/>
    <w:rsid w:val="78CF4963"/>
    <w:rsid w:val="78FC0BE5"/>
    <w:rsid w:val="79000679"/>
    <w:rsid w:val="79197217"/>
    <w:rsid w:val="791C0FE5"/>
    <w:rsid w:val="791D1444"/>
    <w:rsid w:val="79A416F0"/>
    <w:rsid w:val="79B03EB6"/>
    <w:rsid w:val="79B61437"/>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4D4C17"/>
    <w:rsid w:val="7D945420"/>
    <w:rsid w:val="7E394207"/>
    <w:rsid w:val="7E4007A2"/>
    <w:rsid w:val="7E791CAD"/>
    <w:rsid w:val="7EA50DFB"/>
    <w:rsid w:val="7EC86878"/>
    <w:rsid w:val="7F0864D9"/>
    <w:rsid w:val="7F1255AA"/>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正文文字 + 首行缩进:  2 字符2"/>
    <w:basedOn w:val="1"/>
    <w:qFormat/>
    <w:uiPriority w:val="0"/>
    <w:pPr>
      <w:spacing w:line="480" w:lineRule="atLeast"/>
      <w:ind w:firstLine="560" w:firstLineChars="200"/>
    </w:pPr>
    <w:rPr>
      <w:rFonts w:cs="宋体"/>
      <w:szCs w:val="20"/>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6"/>
    <w:semiHidden/>
    <w:unhideWhenUsed/>
    <w:qFormat/>
    <w:uiPriority w:val="99"/>
    <w:rPr>
      <w:sz w:val="18"/>
      <w:szCs w:val="18"/>
    </w:rPr>
  </w:style>
  <w:style w:type="paragraph" w:styleId="18">
    <w:name w:val="footer"/>
    <w:basedOn w:val="1"/>
    <w:link w:val="30"/>
    <w:unhideWhenUsed/>
    <w:qFormat/>
    <w:uiPriority w:val="99"/>
    <w:pPr>
      <w:tabs>
        <w:tab w:val="center" w:pos="4153"/>
        <w:tab w:val="right" w:pos="8306"/>
      </w:tabs>
      <w:snapToGrid w:val="0"/>
      <w:jc w:val="left"/>
    </w:pPr>
    <w:rPr>
      <w:sz w:val="18"/>
      <w:szCs w:val="18"/>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8"/>
    <w:qFormat/>
    <w:uiPriority w:val="99"/>
    <w:rPr>
      <w:sz w:val="18"/>
      <w:szCs w:val="18"/>
    </w:rPr>
  </w:style>
  <w:style w:type="character" w:customStyle="1" w:styleId="31">
    <w:name w:val="标题 1 Char"/>
    <w:basedOn w:val="26"/>
    <w:link w:val="3"/>
    <w:qFormat/>
    <w:uiPriority w:val="9"/>
    <w:rPr>
      <w:rFonts w:eastAsia="方正小标宋简体"/>
      <w:bCs/>
      <w:kern w:val="44"/>
      <w:sz w:val="44"/>
      <w:szCs w:val="44"/>
    </w:rPr>
  </w:style>
  <w:style w:type="character" w:customStyle="1" w:styleId="32">
    <w:name w:val="标题 2 Char"/>
    <w:basedOn w:val="26"/>
    <w:link w:val="4"/>
    <w:qFormat/>
    <w:uiPriority w:val="9"/>
    <w:rPr>
      <w:rFonts w:eastAsia="方正小标宋简体" w:asciiTheme="majorHAnsi" w:hAnsiTheme="majorHAnsi" w:cstheme="majorBidi"/>
      <w:bCs/>
      <w:sz w:val="36"/>
      <w:szCs w:val="32"/>
    </w:rPr>
  </w:style>
  <w:style w:type="character" w:customStyle="1" w:styleId="33">
    <w:name w:val="标题 3 Char"/>
    <w:basedOn w:val="26"/>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7"/>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6"/>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6"/>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2">
    <w:name w:val="_Style 1"/>
    <w:basedOn w:val="1"/>
    <w:qFormat/>
    <w:uiPriority w:val="0"/>
    <w:pPr>
      <w:ind w:firstLine="20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29957</Words>
  <Characters>31970</Characters>
  <Lines>300</Lines>
  <Paragraphs>84</Paragraphs>
  <TotalTime>3</TotalTime>
  <ScaleCrop>false</ScaleCrop>
  <LinksUpToDate>false</LinksUpToDate>
  <CharactersWithSpaces>34233</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2023-09-12T07:03:00Z</cp:lastPrinted>
  <dcterms:modified xsi:type="dcterms:W3CDTF">2023-09-13T06:58:59Z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A04066097A9541B1A1DA2DDF320F94CD</vt:lpwstr>
  </property>
</Properties>
</file>