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广州市净水有限公司沥滘分公司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2023年便携式和固定式气体检测仪</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年度检修维保项目</w:t>
      </w:r>
    </w:p>
    <w:p>
      <w:pPr>
        <w:pStyle w:val="21"/>
        <w:rPr>
          <w:rFonts w:hint="default"/>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1"/>
        <w:ind w:firstLine="0"/>
        <w:rPr>
          <w:rFonts w:ascii="仿宋_GB2312" w:eastAsia="仿宋_GB2312"/>
          <w:color w:val="auto"/>
          <w:sz w:val="32"/>
          <w:szCs w:val="32"/>
          <w:highlight w:val="none"/>
        </w:rPr>
      </w:pPr>
    </w:p>
    <w:p>
      <w:pPr>
        <w:pStyle w:val="21"/>
        <w:rPr>
          <w:rFonts w:ascii="仿宋_GB2312" w:eastAsia="仿宋_GB2312"/>
          <w:color w:val="auto"/>
          <w:sz w:val="32"/>
          <w:szCs w:val="32"/>
          <w:highlight w:val="none"/>
        </w:rPr>
      </w:pPr>
    </w:p>
    <w:p>
      <w:pPr>
        <w:pStyle w:val="21"/>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1"/>
        <w:rPr>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18145"/>
      <w:bookmarkStart w:id="1" w:name="_Toc26148"/>
    </w:p>
    <w:p>
      <w:pPr>
        <w:rPr>
          <w:rFonts w:hint="eastAsia"/>
          <w:color w:val="auto"/>
          <w:highlight w:val="none"/>
        </w:rPr>
      </w:pPr>
    </w:p>
    <w:p>
      <w:pPr>
        <w:pStyle w:val="3"/>
        <w:rPr>
          <w:rFonts w:hint="eastAsia"/>
          <w:color w:val="auto"/>
          <w:highlight w:val="none"/>
        </w:rPr>
      </w:pPr>
      <w:bookmarkStart w:id="2" w:name="_Toc17696"/>
      <w:bookmarkStart w:id="3" w:name="_Toc1711"/>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9609"/>
      <w:bookmarkStart w:id="5" w:name="_Toc4275"/>
      <w:bookmarkStart w:id="6" w:name="_Toc7519"/>
      <w:bookmarkStart w:id="7" w:name="_Toc1669"/>
      <w:bookmarkStart w:id="8" w:name="_Toc11322"/>
      <w:bookmarkStart w:id="9" w:name="_Toc31938"/>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w:pict>
          <v:shape id="_x0000_s2065" o:spid="_x0000_s2065" o:spt="32" type="#_x0000_t32" style="position:absolute;left:0pt;margin-left:183.3pt;margin-top:39.7pt;height:0pt;width:75.5pt;z-index:251671552;mso-width-relative:page;mso-height-relative:page;" o:connectortype="straight" filled="f" coordsize="21600,21600">
            <v:path arrowok="t"/>
            <v:fill on="f" focussize="0,0"/>
            <v:stroke/>
            <v:imagedata o:title=""/>
            <o:lock v:ext="edit"/>
          </v:shape>
        </w:pict>
      </w:r>
      <w:r>
        <w:rPr>
          <w:color w:val="auto"/>
          <w:highlight w:val="none"/>
        </w:rPr>
        <w:pict>
          <v:shape id="_x0000_s2064" o:spid="_x0000_s2064" o:spt="32" type="#_x0000_t32" style="position:absolute;left:0pt;margin-left:184.9pt;margin-top:8.5pt;height:0pt;width:75.5pt;z-index:251670528;mso-width-relative:page;mso-height-relative:page;" o:connectortype="straight" filled="f" coordsize="21600,21600">
            <v:path arrowok="t"/>
            <v:fill on="f" focussize="0,0"/>
            <v:stroke/>
            <v:imagedata o:title=""/>
            <o:lock v:ext="edit"/>
          </v:shape>
        </w:pic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bookmarkStart w:id="166" w:name="_GoBack"/>
      <w:r>
        <w:rPr>
          <w:rFonts w:hint="eastAsia" w:ascii="仿宋_GB2312" w:eastAsia="仿宋_GB2312"/>
          <w:color w:val="auto"/>
          <w:sz w:val="28"/>
          <w:szCs w:val="28"/>
          <w:highlight w:val="none"/>
          <w:u w:val="single"/>
          <w:lang w:val="en-US" w:eastAsia="zh-CN"/>
        </w:rPr>
        <w:t>广州市净水有限公司沥滘分公司2023年便携式和固定式气体检测仪年度检修维保项目</w:t>
      </w:r>
      <w:bookmarkEnd w:id="166"/>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参加本</w:t>
      </w:r>
      <w:r>
        <w:rPr>
          <w:rFonts w:hint="eastAsia" w:ascii="仿宋_GB2312" w:eastAsia="仿宋_GB2312"/>
          <w:sz w:val="28"/>
          <w:szCs w:val="28"/>
          <w:highlight w:val="none"/>
        </w:rPr>
        <w:sym w:font="Wingdings 2" w:char="00A3"/>
      </w:r>
      <w:r>
        <w:rPr>
          <w:rFonts w:hint="eastAsia" w:ascii="仿宋_GB2312" w:eastAsia="仿宋_GB2312"/>
          <w:sz w:val="28"/>
          <w:szCs w:val="28"/>
          <w:highlight w:val="none"/>
        </w:rPr>
        <w:t xml:space="preserve">施工  □货物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邀请</w:t>
      </w:r>
      <w:r>
        <w:rPr>
          <w:rFonts w:hint="eastAsia" w:ascii="仿宋_GB2312" w:eastAsia="仿宋_GB2312"/>
          <w:sz w:val="28"/>
          <w:szCs w:val="28"/>
          <w:highlight w:val="none"/>
          <w:u w:val="single"/>
        </w:rPr>
        <w:t>询比</w:t>
      </w:r>
      <w:r>
        <w:rPr>
          <w:rFonts w:hint="eastAsia" w:ascii="仿宋_GB2312" w:eastAsia="仿宋_GB2312"/>
          <w:sz w:val="28"/>
          <w:szCs w:val="28"/>
          <w:highlight w:val="none"/>
          <w:u w:val="single"/>
          <w:lang w:val="en-US" w:eastAsia="zh-CN"/>
        </w:rPr>
        <w:t xml:space="preserve">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公开询比</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广州市净水有限公司沥滘分公司2023年便携式和固定式气体检测仪年度检修维保项目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XJ-20230906-3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含税价 230240元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2"/>
        <w:tblW w:w="6369" w:type="pct"/>
        <w:tblInd w:w="-1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1"/>
        <w:gridCol w:w="3337"/>
        <w:gridCol w:w="2844"/>
        <w:gridCol w:w="1079"/>
        <w:gridCol w:w="927"/>
        <w:gridCol w:w="2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61" w:type="pct"/>
            <w:tcBorders>
              <w:top w:val="single" w:color="000000" w:sz="8"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76" w:type="pc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维保内容</w:t>
            </w:r>
          </w:p>
        </w:tc>
        <w:tc>
          <w:tcPr>
            <w:tcW w:w="1258"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规格型号</w:t>
            </w:r>
          </w:p>
        </w:tc>
        <w:tc>
          <w:tcPr>
            <w:tcW w:w="477"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0" w:type="pct"/>
            <w:tcBorders>
              <w:top w:val="single" w:color="000000" w:sz="8"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116" w:type="pct"/>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261" w:type="pct"/>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1476" w:type="pc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检查标定</w:t>
            </w:r>
          </w:p>
        </w:tc>
        <w:tc>
          <w:tcPr>
            <w:tcW w:w="1258"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便携式气体检测仪</w:t>
            </w:r>
          </w:p>
        </w:tc>
        <w:tc>
          <w:tcPr>
            <w:tcW w:w="477" w:type="pc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34</w:t>
            </w:r>
          </w:p>
        </w:tc>
        <w:tc>
          <w:tcPr>
            <w:tcW w:w="1116"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r>
              <w:rPr>
                <w:rFonts w:hint="eastAsia" w:ascii="宋体" w:hAnsi="宋体" w:eastAsia="宋体" w:cs="宋体"/>
                <w:b w:val="0"/>
                <w:bCs/>
                <w:i w:val="0"/>
                <w:color w:val="auto"/>
                <w:sz w:val="24"/>
                <w:szCs w:val="24"/>
                <w:u w:val="none"/>
                <w:lang w:val="en-US" w:eastAsia="zh-CN"/>
              </w:rPr>
              <w:t>邮寄检修，按实结算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1" w:hRule="atLeast"/>
        </w:trPr>
        <w:tc>
          <w:tcPr>
            <w:tcW w:w="261" w:type="pct"/>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1476" w:type="pc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检查标定</w:t>
            </w:r>
          </w:p>
        </w:tc>
        <w:tc>
          <w:tcPr>
            <w:tcW w:w="1258"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固定式气体检测仪</w:t>
            </w:r>
          </w:p>
        </w:tc>
        <w:tc>
          <w:tcPr>
            <w:tcW w:w="477" w:type="pc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套</w:t>
            </w:r>
          </w:p>
        </w:tc>
        <w:tc>
          <w:tcPr>
            <w:tcW w:w="410"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34</w:t>
            </w:r>
          </w:p>
        </w:tc>
        <w:tc>
          <w:tcPr>
            <w:tcW w:w="1116"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r>
              <w:rPr>
                <w:rFonts w:hint="eastAsia" w:ascii="宋体" w:hAnsi="宋体" w:eastAsia="宋体" w:cs="宋体"/>
                <w:b w:val="0"/>
                <w:bCs/>
                <w:i w:val="0"/>
                <w:color w:val="auto"/>
                <w:sz w:val="24"/>
                <w:szCs w:val="24"/>
                <w:u w:val="none"/>
                <w:lang w:val="en-US" w:eastAsia="zh-CN"/>
              </w:rPr>
              <w:t>现场检修，按实结算，共136个检测仪与35台控制器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5"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便携式气体检测仪主板</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维修或更换损坏便携式气体检测仪传感器主板</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更换损坏、严重老化的便携式气体检测仪电池模组</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10</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便携式气体检测仪采样泵</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便携式气体检测仪采样泵</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8"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更换损坏、严重老化的便携式气体检测仪一氧化碳传感器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FF0000"/>
                <w:sz w:val="24"/>
                <w:szCs w:val="24"/>
                <w:u w:val="none"/>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3"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1"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2"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7"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1"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2"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MIC-500S-CH4-A、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MOT200-CH4、GT-GST003M、AEC2336</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GTD-3000Tx-CH4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4"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MIC-500S-CO-A、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MOT200-CO</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MIC-500S-H2S-A、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MOT200-H2S</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GTD-3000Tx-H2S</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更换损坏、严重老化的固定式气体检测仪氨气传感器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MOT200-NH3</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更换损坏、严重老化的固定式气体检测仪氨气传感器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GTD-3000Tx-NH3</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5"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GTD-3000Tx-O2</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bl>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自合同签订之日起至2023年12月31日</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lang w:val="en-US" w:eastAsia="zh-CN"/>
        </w:rPr>
        <w:t>广州市净水有限公司沥滘分公司（广州市海珠区南洲路1375号）</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报价</w:t>
      </w:r>
      <w:r>
        <w:rPr>
          <w:rFonts w:hint="eastAsia" w:ascii="仿宋_GB2312" w:eastAsia="仿宋_GB2312"/>
          <w:color w:val="auto"/>
          <w:sz w:val="28"/>
          <w:szCs w:val="28"/>
          <w:highlight w:val="none"/>
          <w:u w:val="single"/>
          <w:lang w:val="en-US" w:eastAsia="zh-CN"/>
        </w:rPr>
        <w:t>单位</w:t>
      </w:r>
      <w:r>
        <w:rPr>
          <w:rFonts w:hint="eastAsia" w:ascii="仿宋_GB2312" w:eastAsia="仿宋_GB2312"/>
          <w:color w:val="auto"/>
          <w:sz w:val="28"/>
          <w:szCs w:val="28"/>
          <w:highlight w:val="none"/>
          <w:u w:val="single"/>
        </w:rPr>
        <w:t>必须严格按照所采用的标准、规范及本技术协议制定</w:t>
      </w:r>
      <w:r>
        <w:rPr>
          <w:rFonts w:hint="eastAsia" w:ascii="仿宋_GB2312" w:eastAsia="仿宋_GB2312"/>
          <w:color w:val="auto"/>
          <w:sz w:val="28"/>
          <w:szCs w:val="28"/>
          <w:highlight w:val="none"/>
          <w:u w:val="single"/>
          <w:lang w:val="en-US" w:eastAsia="zh-CN"/>
        </w:rPr>
        <w:t>检修标定</w:t>
      </w:r>
      <w:r>
        <w:rPr>
          <w:rFonts w:hint="eastAsia" w:ascii="仿宋_GB2312" w:eastAsia="仿宋_GB2312"/>
          <w:color w:val="auto"/>
          <w:sz w:val="28"/>
          <w:szCs w:val="28"/>
          <w:highlight w:val="none"/>
          <w:u w:val="single"/>
        </w:rPr>
        <w:t>工作方案，</w:t>
      </w:r>
      <w:r>
        <w:rPr>
          <w:rFonts w:hint="eastAsia" w:ascii="仿宋_GB2312" w:eastAsia="仿宋_GB2312"/>
          <w:color w:val="auto"/>
          <w:sz w:val="28"/>
          <w:szCs w:val="28"/>
          <w:highlight w:val="none"/>
          <w:u w:val="single"/>
          <w:lang w:val="en-US" w:eastAsia="zh-CN"/>
        </w:rPr>
        <w:t>标定</w:t>
      </w:r>
      <w:r>
        <w:rPr>
          <w:rFonts w:hint="eastAsia" w:ascii="仿宋_GB2312" w:eastAsia="仿宋_GB2312"/>
          <w:color w:val="auto"/>
          <w:sz w:val="28"/>
          <w:szCs w:val="28"/>
          <w:highlight w:val="none"/>
          <w:u w:val="single"/>
        </w:rPr>
        <w:t>人员须具有相关资格证书，</w:t>
      </w:r>
      <w:r>
        <w:rPr>
          <w:rFonts w:hint="eastAsia" w:ascii="仿宋_GB2312" w:eastAsia="仿宋_GB2312"/>
          <w:color w:val="auto"/>
          <w:sz w:val="28"/>
          <w:szCs w:val="28"/>
          <w:highlight w:val="none"/>
          <w:u w:val="single"/>
          <w:lang w:val="en-US" w:eastAsia="zh-CN"/>
        </w:rPr>
        <w:t>标定</w:t>
      </w:r>
      <w:r>
        <w:rPr>
          <w:rFonts w:hint="eastAsia" w:ascii="仿宋_GB2312" w:eastAsia="仿宋_GB2312"/>
          <w:color w:val="auto"/>
          <w:sz w:val="28"/>
          <w:szCs w:val="28"/>
          <w:highlight w:val="none"/>
          <w:u w:val="single"/>
        </w:rPr>
        <w:t>所需工具、仪器、物料</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操作方法</w:t>
      </w:r>
      <w:r>
        <w:rPr>
          <w:rFonts w:hint="eastAsia" w:ascii="仿宋_GB2312" w:eastAsia="仿宋_GB2312"/>
          <w:color w:val="auto"/>
          <w:sz w:val="28"/>
          <w:szCs w:val="28"/>
          <w:highlight w:val="none"/>
          <w:u w:val="single"/>
        </w:rPr>
        <w:t>等符合国家标准或行业标准</w:t>
      </w:r>
      <w:r>
        <w:rPr>
          <w:rFonts w:hint="eastAsia" w:ascii="仿宋_GB2312" w:eastAsia="仿宋_GB2312"/>
          <w:color w:val="auto"/>
          <w:sz w:val="28"/>
          <w:szCs w:val="28"/>
          <w:highlight w:val="none"/>
          <w:u w:val="single"/>
          <w:lang w:val="en-US" w:eastAsia="zh-CN"/>
        </w:rPr>
        <w:t>等相关</w:t>
      </w:r>
      <w:r>
        <w:rPr>
          <w:rFonts w:hint="eastAsia" w:ascii="仿宋_GB2312" w:eastAsia="仿宋_GB2312"/>
          <w:color w:val="auto"/>
          <w:sz w:val="28"/>
          <w:szCs w:val="28"/>
          <w:highlight w:val="none"/>
          <w:u w:val="single"/>
        </w:rPr>
        <w:t>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lang w:val="en-US" w:eastAsia="zh-CN"/>
        </w:rPr>
        <w:t>符合《中华人民共和国安全生产法》相关要求</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 2020 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一项气体检测仪检修</w:t>
      </w:r>
      <w:r>
        <w:rPr>
          <w:rFonts w:hint="eastAsia" w:ascii="仿宋_GB2312" w:eastAsia="仿宋_GB2312"/>
          <w:color w:val="auto"/>
          <w:sz w:val="28"/>
          <w:szCs w:val="28"/>
          <w:highlight w:val="none"/>
          <w:u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lang w:val="en-US" w:eastAsia="zh-CN"/>
        </w:rPr>
        <w:t>供应商</w:t>
      </w:r>
      <w:r>
        <w:rPr>
          <w:rFonts w:hint="eastAsia" w:ascii="仿宋_GB2312" w:eastAsia="仿宋_GB2312"/>
          <w:color w:val="auto"/>
          <w:sz w:val="28"/>
          <w:szCs w:val="28"/>
          <w:highlight w:val="none"/>
          <w:u w:val="none"/>
        </w:rPr>
        <w:t>须出具承诺函，承诺中选后提供报价</w:t>
      </w:r>
      <w:r>
        <w:rPr>
          <w:rFonts w:hint="eastAsia" w:ascii="仿宋_GB2312" w:eastAsia="仿宋_GB2312"/>
          <w:color w:val="auto"/>
          <w:sz w:val="28"/>
          <w:szCs w:val="28"/>
          <w:highlight w:val="none"/>
          <w:u w:val="none"/>
          <w:lang w:eastAsia="zh-CN"/>
        </w:rPr>
        <w:t>的</w:t>
      </w:r>
      <w:r>
        <w:rPr>
          <w:rFonts w:hint="eastAsia" w:ascii="仿宋_GB2312" w:eastAsia="仿宋_GB2312"/>
          <w:color w:val="auto"/>
          <w:sz w:val="28"/>
          <w:szCs w:val="28"/>
          <w:highlight w:val="none"/>
          <w:u w:val="none"/>
          <w:lang w:val="en-US" w:eastAsia="zh-CN"/>
        </w:rPr>
        <w:t>维修备件均为原</w:t>
      </w:r>
      <w:r>
        <w:rPr>
          <w:rFonts w:hint="eastAsia" w:ascii="仿宋_GB2312" w:eastAsia="仿宋_GB2312"/>
          <w:color w:val="auto"/>
          <w:sz w:val="28"/>
          <w:szCs w:val="28"/>
          <w:highlight w:val="none"/>
          <w:u w:val="none"/>
        </w:rPr>
        <w:t xml:space="preserve">制造商原装全新产品（加盖单位公章）。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numPr>
          <w:ilvl w:val="0"/>
          <w:numId w:val="2"/>
        </w:num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7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rPr>
        <w:t>供应商可</w:t>
      </w:r>
      <w:r>
        <w:rPr>
          <w:rFonts w:hint="eastAsia" w:ascii="仿宋_GB2312" w:hAnsi="仿宋" w:eastAsia="仿宋_GB2312" w:cs="仿宋_GB2312"/>
          <w:color w:val="000000" w:themeColor="text1"/>
          <w:sz w:val="28"/>
          <w:szCs w:val="28"/>
          <w:highlight w:val="none"/>
          <w:lang w:val="zh-CN"/>
        </w:rPr>
        <w:t>自行</w:t>
      </w:r>
      <w:r>
        <w:rPr>
          <w:rFonts w:hint="eastAsia" w:ascii="仿宋_GB2312" w:hAnsi="仿宋" w:eastAsia="仿宋_GB2312" w:cs="仿宋_GB2312"/>
          <w:color w:val="000000" w:themeColor="text1"/>
          <w:sz w:val="28"/>
          <w:szCs w:val="28"/>
          <w:highlight w:val="none"/>
          <w:lang w:val="en-US" w:eastAsia="zh-CN"/>
        </w:rPr>
        <w:t>选择是否前往现场踏勘</w:t>
      </w:r>
      <w:r>
        <w:rPr>
          <w:rFonts w:hint="eastAsia" w:ascii="仿宋_GB2312" w:hAnsi="仿宋" w:eastAsia="仿宋_GB2312" w:cs="仿宋_GB2312"/>
          <w:color w:val="000000" w:themeColor="text1"/>
          <w:sz w:val="28"/>
          <w:szCs w:val="28"/>
          <w:highlight w:val="none"/>
          <w:lang w:val="zh-CN"/>
        </w:rPr>
        <w:t>，</w:t>
      </w:r>
      <w:r>
        <w:rPr>
          <w:rFonts w:hint="eastAsia" w:ascii="仿宋_GB2312" w:hAnsi="仿宋" w:eastAsia="仿宋_GB2312" w:cs="仿宋_GB2312"/>
          <w:color w:val="000000" w:themeColor="text1"/>
          <w:sz w:val="28"/>
          <w:szCs w:val="28"/>
          <w:highlight w:val="none"/>
          <w:lang w:val="en-US" w:eastAsia="zh-CN"/>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w:t>
      </w:r>
      <w:r>
        <w:rPr>
          <w:rFonts w:hint="eastAsia" w:ascii="仿宋_GB2312" w:eastAsia="仿宋_GB2312"/>
          <w:sz w:val="28"/>
          <w:szCs w:val="28"/>
          <w:highlight w:val="none"/>
        </w:rPr>
        <w:t>递交响应文件集合时间：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14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30 </w:t>
      </w:r>
      <w:r>
        <w:rPr>
          <w:rFonts w:hint="eastAsia" w:ascii="仿宋_GB2312" w:eastAsia="仿宋_GB2312"/>
          <w:sz w:val="28"/>
          <w:szCs w:val="28"/>
          <w:highlight w:val="none"/>
        </w:rPr>
        <w:t>分至</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分（北京时间）。</w:t>
      </w:r>
      <w:r>
        <w:rPr>
          <w:rFonts w:hint="eastAsia" w:ascii="仿宋_GB2312" w:eastAsia="仿宋_GB2312"/>
          <w:color w:val="auto"/>
          <w:sz w:val="28"/>
          <w:szCs w:val="28"/>
          <w:highlight w:val="none"/>
        </w:rPr>
        <w:t>递交响应文件截止时间：</w:t>
      </w:r>
      <w:r>
        <w:rPr>
          <w:rFonts w:hint="eastAsia" w:ascii="仿宋_GB2312" w:eastAsia="仿宋_GB2312"/>
          <w:sz w:val="28"/>
          <w:szCs w:val="28"/>
          <w:highlight w:val="none"/>
          <w:u w:val="single"/>
        </w:rPr>
        <w:t>2023</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 xml:space="preserve"> 9 </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12 </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 xml:space="preserve"> 15 </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 xml:space="preserve"> 00 </w:t>
      </w:r>
      <w:r>
        <w:rPr>
          <w:rFonts w:hint="eastAsia" w:ascii="仿宋_GB2312" w:eastAsia="仿宋_GB2312"/>
          <w:sz w:val="28"/>
          <w:szCs w:val="28"/>
          <w:highlight w:val="none"/>
        </w:rPr>
        <w:t>分</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响应文件递交预约信息填写：</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（1）通过“广州净水公司”微信公众号或来访时候，扫码进行访客预约登记。</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（2）“组织”选择“公司本部”，“部门”选择“招投标合同管理部”。</w:t>
      </w:r>
    </w:p>
    <w:p>
      <w:pPr>
        <w:pStyle w:val="21"/>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（3）“被访人员”写“招标部”，“手机号”写“62315524”。</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（4）“详细描述”：</w:t>
      </w:r>
      <w:r>
        <w:rPr>
          <w:rFonts w:hint="eastAsia" w:ascii="仿宋_GB2312" w:eastAsia="仿宋_GB2312"/>
          <w:sz w:val="28"/>
          <w:szCs w:val="28"/>
          <w:highlight w:val="none"/>
        </w:rPr>
        <w:t>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林工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keepNext w:val="0"/>
              <w:keepLines w:val="0"/>
              <w:suppressLineNumbers w:val="0"/>
              <w:adjustRightInd w:val="0"/>
              <w:snapToGrid w:val="0"/>
              <w:spacing w:before="0" w:beforeAutospacing="0" w:after="0" w:afterAutospacing="0" w:line="600" w:lineRule="exact"/>
              <w:ind w:left="0" w:right="0"/>
              <w:jc w:val="left"/>
              <w:rPr>
                <w:rFonts w:hint="default" w:ascii="仿宋_GB2312" w:eastAsia="仿宋_GB2312"/>
                <w:color w:val="auto"/>
                <w:sz w:val="28"/>
                <w:szCs w:val="28"/>
                <w:highlight w:val="none"/>
              </w:rPr>
            </w:pPr>
            <w:r>
              <w:rPr>
                <w:rFonts w:hint="default"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hint="default"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suppressLineNumbers w:val="0"/>
              <w:adjustRightInd w:val="0"/>
              <w:snapToGrid w:val="0"/>
              <w:spacing w:before="0" w:beforeAutospacing="0" w:after="0" w:afterAutospacing="0" w:line="600" w:lineRule="exact"/>
              <w:ind w:left="0" w:right="0" w:firstLine="2240" w:firstLineChars="800"/>
              <w:jc w:val="left"/>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16705"/>
      <w:bookmarkStart w:id="15" w:name="_Toc9448"/>
      <w:bookmarkStart w:id="16" w:name="_Toc32588"/>
      <w:bookmarkStart w:id="17" w:name="_Toc19295"/>
      <w:bookmarkStart w:id="18" w:name="_Toc7340"/>
      <w:bookmarkStart w:id="19" w:name="_Toc2324"/>
      <w:bookmarkStart w:id="20" w:name="_Toc23749"/>
      <w:bookmarkStart w:id="21" w:name="_Toc16557"/>
      <w:bookmarkStart w:id="22" w:name="_Toc2331"/>
      <w:bookmarkStart w:id="23" w:name="_Toc25603"/>
    </w:p>
    <w:p>
      <w:pPr>
        <w:pStyle w:val="3"/>
        <w:rPr>
          <w:rFonts w:hint="eastAsia"/>
          <w:color w:val="auto"/>
          <w:highlight w:val="none"/>
        </w:rPr>
      </w:pPr>
      <w:r>
        <w:rPr>
          <w:color w:val="auto"/>
          <w:highlight w:val="none"/>
        </w:rPr>
        <w:pict>
          <v:shape id="_x0000_s2066" o:spid="_x0000_s2066" o:spt="32" type="#_x0000_t32" style="position:absolute;left:0pt;margin-left:182.85pt;margin-top:42.15pt;height:0pt;width:75.5pt;z-index:251673600;mso-width-relative:page;mso-height-relative:page;" o:connectortype="straight" filled="f" coordsize="21600,21600">
            <v:path arrowok="t"/>
            <v:fill on="f" focussize="0,0"/>
            <v:stroke/>
            <v:imagedata o:title=""/>
            <o:lock v:ext="edit"/>
          </v:shape>
        </w:pict>
      </w:r>
      <w:r>
        <w:rPr>
          <w:color w:val="auto"/>
          <w:highlight w:val="none"/>
        </w:rPr>
        <w:pict>
          <v:shape id="_x0000_s2067" o:spid="_x0000_s2067" o:spt="32" type="#_x0000_t32" style="position:absolute;left:0pt;margin-left:184.9pt;margin-top:8.5pt;height:0pt;width:75.5pt;z-index:25167257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bookmarkStart w:id="24" w:name="_Toc3416"/>
      <w:bookmarkStart w:id="25" w:name="_Toc2339"/>
    </w:p>
    <w:p>
      <w:pPr>
        <w:pStyle w:val="4"/>
        <w:jc w:val="center"/>
        <w:rPr>
          <w:color w:val="auto"/>
          <w:highlight w:val="none"/>
        </w:rPr>
      </w:pPr>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条款</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项目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hint="default"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hint="default"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p>
        </w:tc>
        <w:tc>
          <w:tcPr>
            <w:tcW w:w="1263" w:type="dxa"/>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leftChars="0" w:right="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ascii="Calibri" w:hAnsi="Calibri" w:eastAsia="宋体" w:cs="Times New Roman"/>
                <w:b/>
                <w:bCs/>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准备</w:t>
            </w:r>
          </w:p>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及其</w:t>
            </w:r>
          </w:p>
          <w:p>
            <w:pPr>
              <w:keepNext w:val="0"/>
              <w:keepLines w:val="0"/>
              <w:suppressLineNumbers w:val="0"/>
              <w:adjustRightInd w:val="0"/>
              <w:snapToGrid w:val="0"/>
              <w:spacing w:before="0" w:beforeAutospacing="0" w:after="0" w:afterAutospacing="0"/>
              <w:ind w:left="0" w:right="0"/>
              <w:jc w:val="center"/>
              <w:rPr>
                <w:rFonts w:hint="default"/>
                <w:color w:val="auto"/>
                <w:sz w:val="24"/>
                <w:szCs w:val="24"/>
                <w:highlight w:val="none"/>
              </w:rPr>
            </w:pPr>
            <w:r>
              <w:rPr>
                <w:rFonts w:hint="default" w:ascii="仿宋_GB2312" w:eastAsia="仿宋_GB2312"/>
                <w:color w:val="auto"/>
                <w:sz w:val="24"/>
                <w:szCs w:val="24"/>
                <w:highlight w:val="none"/>
              </w:rPr>
              <w:t>响应</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480" w:right="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文件开启及评审</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suppressLineNumbers w:val="0"/>
              <w:adjustRightInd w:val="0"/>
              <w:snapToGrid w:val="0"/>
              <w:spacing w:before="0" w:beforeAutospacing="0" w:after="0" w:afterAutospacing="0"/>
              <w:ind w:left="0" w:right="0" w:firstLine="465"/>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65"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确定成交人</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其他</w:t>
            </w:r>
          </w:p>
        </w:tc>
        <w:tc>
          <w:tcPr>
            <w:tcW w:w="936"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hAnsiTheme="minorHAnsi"/>
          <w:b w:val="0"/>
          <w:color w:val="auto"/>
          <w:sz w:val="28"/>
          <w:szCs w:val="28"/>
          <w:highlight w:val="none"/>
        </w:rPr>
      </w:pPr>
      <w:r>
        <w:rPr>
          <w:rFonts w:hint="eastAsia" w:ascii="仿宋_GB2312" w:eastAsia="仿宋_GB2312" w:hAnsiTheme="minorHAnsi"/>
          <w:b w:val="0"/>
          <w:color w:val="auto"/>
          <w:sz w:val="28"/>
          <w:szCs w:val="28"/>
          <w:highlight w:val="none"/>
        </w:rPr>
        <w:t>附件</w:t>
      </w:r>
      <w:r>
        <w:rPr>
          <w:rFonts w:hint="eastAsia" w:ascii="仿宋_GB2312" w:eastAsia="仿宋_GB2312" w:hAnsiTheme="minorHAnsi"/>
          <w:b w:val="0"/>
          <w:color w:val="auto"/>
          <w:sz w:val="28"/>
          <w:szCs w:val="28"/>
          <w:highlight w:val="none"/>
          <w:lang w:val="en-US" w:eastAsia="zh-CN"/>
        </w:rPr>
        <w:t>5</w:t>
      </w:r>
      <w:r>
        <w:rPr>
          <w:rFonts w:hint="eastAsia" w:ascii="仿宋_GB2312" w:eastAsia="仿宋_GB2312" w:hAnsiTheme="minorHAnsi"/>
          <w:b w:val="0"/>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default"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668"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keepNext w:val="0"/>
              <w:keepLines w:val="0"/>
              <w:suppressLineNumbers w:val="0"/>
              <w:spacing w:before="0" w:beforeAutospacing="0" w:after="0" w:afterAutospacing="0"/>
              <w:ind w:left="0" w:right="0"/>
              <w:jc w:val="center"/>
              <w:rPr>
                <w:rFonts w:hint="default"/>
                <w:color w:val="auto"/>
                <w:sz w:val="24"/>
                <w:szCs w:val="24"/>
                <w:highlight w:val="none"/>
              </w:rPr>
            </w:pPr>
          </w:p>
        </w:tc>
        <w:tc>
          <w:tcPr>
            <w:tcW w:w="265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jc w:val="left"/>
        <w:rPr>
          <w:rFonts w:ascii="宋体" w:hAnsi="宋体" w:eastAsia="宋体"/>
          <w:b/>
          <w:color w:val="auto"/>
          <w:sz w:val="28"/>
          <w:szCs w:val="28"/>
          <w:highlight w:val="none"/>
        </w:rPr>
      </w:pPr>
      <w:r>
        <w:rPr>
          <w:rFonts w:hint="eastAsia" w:ascii="宋体" w:hAnsi="宋体" w:eastAsia="宋体"/>
          <w:b/>
          <w:color w:val="auto"/>
          <w:sz w:val="28"/>
          <w:szCs w:val="28"/>
          <w:highlight w:val="none"/>
        </w:rPr>
        <w:t>附件</w:t>
      </w:r>
      <w:r>
        <w:rPr>
          <w:rFonts w:hint="eastAsia" w:ascii="宋体" w:hAnsi="宋体" w:eastAsia="宋体"/>
          <w:b/>
          <w:color w:val="auto"/>
          <w:sz w:val="28"/>
          <w:szCs w:val="28"/>
          <w:highlight w:val="none"/>
          <w:lang w:val="en-US" w:eastAsia="zh-CN"/>
        </w:rPr>
        <w:t>5</w:t>
      </w:r>
      <w:r>
        <w:rPr>
          <w:rFonts w:hint="eastAsia" w:ascii="宋体" w:hAnsi="宋体" w:eastAsia="宋体"/>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w:t>
      </w:r>
      <w:r>
        <w:rPr>
          <w:rFonts w:hint="eastAsia" w:hAnsi="仿宋"/>
          <w:sz w:val="24"/>
          <w:highlight w:val="none"/>
          <w:lang w:eastAsia="zh-CN"/>
        </w:rPr>
        <w:t>供应商</w:t>
      </w:r>
      <w:r>
        <w:rPr>
          <w:rFonts w:hAnsi="仿宋"/>
          <w:sz w:val="24"/>
          <w:highlight w:val="none"/>
        </w:rPr>
        <w:t>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w:t>
      </w:r>
      <w:r>
        <w:rPr>
          <w:rFonts w:hint="eastAsia" w:hAnsi="仿宋"/>
          <w:sz w:val="24"/>
          <w:highlight w:val="none"/>
          <w:lang w:eastAsia="zh-CN"/>
        </w:rPr>
        <w:t>供应商</w:t>
      </w:r>
      <w:r>
        <w:rPr>
          <w:rFonts w:hAnsi="仿宋"/>
          <w:sz w:val="24"/>
          <w:highlight w:val="none"/>
        </w:rPr>
        <w:t>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w:t>
      </w:r>
      <w:r>
        <w:rPr>
          <w:rFonts w:hint="eastAsia" w:hAnsi="仿宋"/>
          <w:sz w:val="24"/>
          <w:highlight w:val="none"/>
          <w:lang w:eastAsia="zh-CN"/>
        </w:rPr>
        <w:t>供应商</w:t>
      </w:r>
      <w:r>
        <w:rPr>
          <w:rFonts w:hAnsi="仿宋"/>
          <w:sz w:val="24"/>
          <w:highlight w:val="none"/>
        </w:rPr>
        <w:t>绑定投标的附条件生效协议以及能证明其能履行该协议项下的合同义务的能力的证明文件。</w:t>
      </w:r>
      <w:r>
        <w:rPr>
          <w:rFonts w:hAnsi="仿宋"/>
          <w:sz w:val="24"/>
          <w:highlight w:val="none"/>
        </w:rPr>
        <w:tab/>
      </w:r>
    </w:p>
    <w:p>
      <w:pPr>
        <w:pStyle w:val="2"/>
        <w:ind w:left="0" w:leftChars="0" w:firstLine="0" w:firstLineChars="0"/>
        <w:rPr>
          <w:rFonts w:hint="eastAsia" w:ascii="宋体" w:hAnsi="宋体" w:eastAsia="宋体" w:cs="宋体"/>
        </w:rPr>
      </w:pPr>
      <w:r>
        <w:rPr>
          <w:rFonts w:hint="eastAsia" w:ascii="宋体" w:hAnsi="宋体" w:eastAsia="宋体" w:cs="宋体"/>
          <w:sz w:val="24"/>
          <w:highlight w:val="none"/>
        </w:rPr>
        <w:t>（3）可证明与异议项目有利害关系的其他证明文件。</w:t>
      </w: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1455"/>
      <w:bookmarkStart w:id="27" w:name="_Toc2867"/>
    </w:p>
    <w:p>
      <w:pPr>
        <w:rPr>
          <w:rFonts w:hint="eastAsia" w:asciiTheme="minorHAnsi" w:hAnsiTheme="minorHAnsi" w:cstheme="minorBidi"/>
          <w:color w:val="auto"/>
          <w:kern w:val="44"/>
          <w:sz w:val="44"/>
          <w:szCs w:val="44"/>
          <w:highlight w:val="none"/>
        </w:rPr>
      </w:pPr>
    </w:p>
    <w:p>
      <w:pPr>
        <w:pStyle w:val="27"/>
        <w:rPr>
          <w:rFonts w:hint="eastAsia" w:asciiTheme="minorHAnsi" w:hAnsiTheme="minorHAnsi" w:cstheme="minorBidi"/>
          <w:color w:val="auto"/>
          <w:kern w:val="44"/>
          <w:sz w:val="44"/>
          <w:szCs w:val="44"/>
          <w:highlight w:val="none"/>
        </w:rPr>
      </w:pPr>
    </w:p>
    <w:p>
      <w:pPr>
        <w:pStyle w:val="27"/>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w:pict>
          <v:shape id="_x0000_s2053" o:spid="_x0000_s2053" o:spt="32" type="#_x0000_t32" style="position:absolute;left:0pt;margin-left:181.1pt;margin-top:52.6pt;height:0pt;width:75.5pt;z-index:251661312;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pict>
          <v:shape id="_x0000_s2051" o:spid="_x0000_s2051" o:spt="32" type="#_x0000_t32" style="position:absolute;left:0pt;margin-left:183.1pt;margin-top:10.85pt;height:0pt;width:75.5pt;z-index:251660288;mso-width-relative:page;mso-height-relative:page;" o:connectortype="straight" filled="f" coordsize="21600,21600">
            <v:path arrowok="t"/>
            <v:fill on="f" focussize="0,0"/>
            <v:stroke/>
            <v:imagedata o:title=""/>
            <o:lock v:ext="edit"/>
          </v:shape>
        </w:pic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4"/>
        <w:rPr>
          <w:color w:val="auto"/>
          <w:highlight w:val="none"/>
        </w:rPr>
      </w:pPr>
      <w:bookmarkStart w:id="28" w:name="_Toc87616371"/>
      <w:bookmarkStart w:id="29" w:name="_Toc7040"/>
      <w:bookmarkStart w:id="30" w:name="_Toc7303"/>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firstLine="0" w:firstLineChars="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keepNext w:val="0"/>
              <w:keepLines w:val="0"/>
              <w:suppressLineNumbers w:val="0"/>
              <w:adjustRightInd w:val="0"/>
              <w:snapToGrid w:val="0"/>
              <w:spacing w:before="0" w:beforeAutospacing="0" w:after="0" w:afterAutospacing="0"/>
              <w:ind w:left="458" w:right="0" w:hanging="458" w:hangingChars="191"/>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keepNext w:val="0"/>
              <w:keepLines w:val="0"/>
              <w:suppressLineNumbers w:val="0"/>
              <w:adjustRightInd w:val="0"/>
              <w:snapToGrid w:val="0"/>
              <w:spacing w:before="0" w:beforeAutospacing="0" w:after="0" w:afterAutospacing="0"/>
              <w:ind w:left="456" w:leftChars="217" w:right="0"/>
              <w:rPr>
                <w:rFonts w:hint="default"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keepNext w:val="0"/>
              <w:keepLines w:val="0"/>
              <w:suppressLineNumbers w:val="0"/>
              <w:adjustRightInd w:val="0"/>
              <w:snapToGrid w:val="0"/>
              <w:spacing w:before="0" w:beforeAutospacing="0" w:after="0" w:afterAutospacing="0"/>
              <w:ind w:left="480" w:right="0" w:hanging="480" w:hangingChars="20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360" w:right="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keepNext w:val="0"/>
              <w:keepLines w:val="0"/>
              <w:suppressLineNumbers w:val="0"/>
              <w:adjustRightInd w:val="0"/>
              <w:snapToGrid w:val="0"/>
              <w:spacing w:before="0" w:beforeAutospacing="0" w:after="0" w:afterAutospacing="0"/>
              <w:ind w:left="360" w:right="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left"/>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1" w:right="0" w:firstLine="2"/>
              <w:jc w:val="left"/>
              <w:rPr>
                <w:rFonts w:hint="default"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23581"/>
      <w:bookmarkStart w:id="35" w:name="_Toc20594"/>
      <w:bookmarkStart w:id="36" w:name="_Toc19050"/>
      <w:bookmarkStart w:id="37" w:name="_Toc10930"/>
      <w:bookmarkStart w:id="38" w:name="_Toc14552"/>
      <w:bookmarkStart w:id="39" w:name="_Toc14870"/>
      <w:bookmarkStart w:id="40" w:name="_Toc7437"/>
      <w:bookmarkStart w:id="41" w:name="_Toc19759"/>
      <w:bookmarkStart w:id="42" w:name="_Toc7118"/>
      <w:bookmarkStart w:id="43" w:name="_Toc4952"/>
      <w:bookmarkStart w:id="44" w:name="_Toc3156"/>
      <w:r>
        <w:rPr>
          <w:color w:val="auto"/>
          <w:highlight w:val="none"/>
        </w:rPr>
        <w:pict>
          <v:shape id="_x0000_s2055" o:spid="_x0000_s2055" o:spt="32" type="#_x0000_t32" style="position:absolute;left:0pt;margin-left:181.6pt;margin-top:56.7pt;height:0pt;width:75.5pt;z-index:251663360;mso-width-relative:page;mso-height-relative:page;" o:connectortype="straight" filled="f" coordsize="21600,21600">
            <v:path arrowok="t"/>
            <v:fill on="f" focussize="0,0"/>
            <v:stroke/>
            <v:imagedata o:title=""/>
            <o:lock v:ext="edit"/>
          </v:shape>
        </w:pict>
      </w:r>
      <w:r>
        <w:rPr>
          <w:color w:val="auto"/>
          <w:highlight w:val="none"/>
        </w:rPr>
        <w:pict>
          <v:shape id="_x0000_s2054" o:spid="_x0000_s2054" o:spt="32" type="#_x0000_t32" style="position:absolute;left:0pt;margin-left:183.1pt;margin-top:21.3pt;height:0pt;width:75.5pt;z-index:251662336;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
        <w:rPr>
          <w:color w:val="auto"/>
          <w:highlight w:val="none"/>
        </w:rPr>
      </w:pPr>
      <w:bookmarkStart w:id="45" w:name="_Toc30530"/>
      <w:bookmarkStart w:id="46" w:name="_Toc87616378"/>
      <w:bookmarkStart w:id="47" w:name="_Toc21079"/>
      <w:bookmarkStart w:id="48" w:name="_Toc22212"/>
      <w:bookmarkStart w:id="49" w:name="_Toc21840"/>
      <w:bookmarkStart w:id="50" w:name="_Toc13898"/>
      <w:bookmarkStart w:id="51" w:name="_Toc29484"/>
      <w:bookmarkStart w:id="52" w:name="_Toc88209941"/>
      <w:bookmarkStart w:id="53" w:name="_Toc6308"/>
      <w:bookmarkStart w:id="54" w:name="_Toc7831"/>
      <w:bookmarkStart w:id="55" w:name="_Toc29345"/>
      <w:bookmarkStart w:id="56" w:name="_Toc32607"/>
      <w:bookmarkStart w:id="57" w:name="_Toc12177"/>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hint="default"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形式评审</w:t>
            </w: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报价唯一</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hint="default"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hAnsiTheme="minorHAnsi" w:cstheme="minorBidi"/>
                <w:kern w:val="2"/>
                <w:sz w:val="24"/>
                <w:szCs w:val="24"/>
                <w:highlight w:val="none"/>
                <w:lang w:val="en-US" w:eastAsia="zh-CN" w:bidi="ar-SA"/>
              </w:rPr>
            </w:pPr>
            <w:r>
              <w:rPr>
                <w:rFonts w:hint="default" w:ascii="仿宋_GB2312" w:eastAsia="仿宋_GB2312"/>
                <w:sz w:val="24"/>
                <w:szCs w:val="24"/>
                <w:highlight w:val="none"/>
              </w:rPr>
              <w:t>法定代表人授权委托</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hAnsiTheme="minorHAnsi" w:cstheme="minorBidi"/>
                <w:kern w:val="2"/>
                <w:sz w:val="24"/>
                <w:szCs w:val="24"/>
                <w:highlight w:val="none"/>
                <w:lang w:val="en-US" w:eastAsia="zh-CN" w:bidi="ar-SA"/>
              </w:rPr>
            </w:pPr>
            <w:r>
              <w:rPr>
                <w:rFonts w:hint="default" w:ascii="仿宋_GB2312" w:eastAsia="仿宋_GB2312"/>
                <w:sz w:val="24"/>
                <w:szCs w:val="24"/>
                <w:highlight w:val="none"/>
              </w:rPr>
              <w:t>有授权书</w:t>
            </w:r>
            <w:r>
              <w:rPr>
                <w:rFonts w:hint="eastAsia" w:ascii="仿宋_GB2312" w:eastAsia="仿宋_GB2312"/>
                <w:sz w:val="24"/>
                <w:szCs w:val="24"/>
                <w:highlight w:val="none"/>
              </w:rPr>
              <w:t>，</w:t>
            </w:r>
            <w:r>
              <w:rPr>
                <w:rFonts w:hint="default" w:ascii="仿宋_GB2312" w:eastAsia="仿宋_GB2312"/>
                <w:sz w:val="24"/>
                <w:szCs w:val="24"/>
                <w:highlight w:val="none"/>
              </w:rPr>
              <w:t>授权书有法定代表人及其委托代理人签字并加盖单位</w:t>
            </w:r>
            <w:r>
              <w:rPr>
                <w:rFonts w:hint="eastAsia" w:ascii="仿宋_GB2312" w:eastAsia="仿宋_GB2312"/>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资格评审</w:t>
            </w: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营业执照</w:t>
            </w:r>
          </w:p>
        </w:tc>
        <w:tc>
          <w:tcPr>
            <w:tcW w:w="5528" w:type="dxa"/>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供应商资格</w:t>
            </w:r>
          </w:p>
        </w:tc>
        <w:tc>
          <w:tcPr>
            <w:tcW w:w="5528" w:type="dxa"/>
            <w:tcBorders>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eastAsia" w:ascii="仿宋_GB2312" w:eastAsia="仿宋_GB2312"/>
                <w:color w:val="auto"/>
                <w:sz w:val="24"/>
                <w:szCs w:val="24"/>
                <w:highlight w:val="none"/>
                <w:lang w:eastAsia="zh-CN"/>
              </w:rPr>
            </w:pPr>
            <w:r>
              <w:rPr>
                <w:rFonts w:hint="default"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keepNext w:val="0"/>
              <w:keepLines w:val="0"/>
              <w:suppressLineNumbers w:val="0"/>
              <w:adjustRightInd w:val="0"/>
              <w:snapToGrid w:val="0"/>
              <w:spacing w:before="0" w:beforeAutospacing="0" w:after="0" w:afterAutospacing="0"/>
              <w:ind w:left="0" w:right="0"/>
              <w:rPr>
                <w:rFonts w:hint="default" w:ascii="仿宋_GB2312" w:eastAsia="仿宋_GB2312"/>
                <w:color w:val="auto"/>
                <w:sz w:val="24"/>
                <w:szCs w:val="24"/>
                <w:highlight w:val="none"/>
              </w:rPr>
            </w:pPr>
            <w:r>
              <w:rPr>
                <w:rFonts w:hint="default"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w:pict>
          <v:shape id="_x0000_s2072" o:spid="_x0000_s2072" o:spt="32" type="#_x0000_t32" style="position:absolute;left:0pt;margin-left:184.3pt;margin-top:58.7pt;height:0pt;width:75.5pt;z-index:251675648;mso-width-relative:page;mso-height-relative:page;" o:connectortype="straight" filled="f" coordsize="21600,21600">
            <v:path arrowok="t"/>
            <v:fill on="f" focussize="0,0"/>
            <v:stroke/>
            <v:imagedata o:title=""/>
            <o:lock v:ext="edit"/>
          </v:shape>
        </w:pict>
      </w:r>
      <w:r>
        <w:rPr>
          <w:color w:val="auto"/>
          <w:highlight w:val="none"/>
        </w:rPr>
        <w:pict>
          <v:shape id="_x0000_s2073" o:spid="_x0000_s2073" o:spt="32" type="#_x0000_t32" style="position:absolute;left:0pt;margin-left:184.9pt;margin-top:8.5pt;height:0pt;width:75.5pt;z-index:251674624;mso-width-relative:page;mso-height-relative:page;" o:connectortype="straight" filled="f" coordsize="21600,21600">
            <v:path arrowok="t"/>
            <v:fill on="f" focussize="0,0"/>
            <v:stroke/>
            <v:imagedata o:title=""/>
            <o:lock v:ext="edit"/>
          </v:shape>
        </w:pic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p>
      <w:pPr>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ind w:left="0" w:leftChars="0" w:firstLine="0" w:firstLineChars="0"/>
        <w:rPr>
          <w:rFonts w:hint="eastAsia"/>
          <w:color w:val="auto"/>
          <w:szCs w:val="44"/>
          <w:highlight w:val="none"/>
        </w:rPr>
      </w:pPr>
    </w:p>
    <w:p>
      <w:pPr>
        <w:pStyle w:val="11"/>
        <w:numPr>
          <w:ilvl w:val="0"/>
          <w:numId w:val="5"/>
        </w:numPr>
        <w:adjustRightInd w:val="0"/>
        <w:snapToGrid w:val="0"/>
        <w:spacing w:line="360" w:lineRule="auto"/>
        <w:ind w:firstLine="562" w:firstLineChars="200"/>
        <w:rPr>
          <w:rFonts w:hint="eastAsia" w:ascii="仿宋_GB2312" w:eastAsia="仿宋_GB2312" w:hAnsiTheme="minorHAnsi" w:cstheme="minorBidi"/>
          <w:b/>
          <w:bCs/>
          <w:color w:val="auto"/>
          <w:kern w:val="2"/>
          <w:sz w:val="28"/>
          <w:szCs w:val="28"/>
          <w:highlight w:val="none"/>
          <w:lang w:val="en-US" w:eastAsia="zh-CN"/>
        </w:rPr>
      </w:pPr>
      <w:r>
        <w:rPr>
          <w:rFonts w:hint="eastAsia" w:ascii="仿宋_GB2312" w:eastAsia="仿宋_GB2312" w:hAnsiTheme="minorHAnsi" w:cstheme="minorBidi"/>
          <w:b/>
          <w:bCs/>
          <w:color w:val="auto"/>
          <w:kern w:val="2"/>
          <w:sz w:val="28"/>
          <w:szCs w:val="28"/>
          <w:highlight w:val="none"/>
          <w:lang w:val="en-US" w:eastAsia="zh-CN"/>
        </w:rPr>
        <w:t>项目基本情况</w:t>
      </w:r>
    </w:p>
    <w:p>
      <w:pPr>
        <w:pStyle w:val="46"/>
        <w:tabs>
          <w:tab w:val="left" w:pos="530"/>
        </w:tabs>
        <w:spacing w:after="120" w:line="360" w:lineRule="auto"/>
        <w:ind w:firstLine="560" w:firstLineChars="200"/>
        <w:rPr>
          <w:rFonts w:hint="eastAsia"/>
          <w:highlight w:val="none"/>
          <w:lang w:val="en-US" w:eastAsia="zh-CN"/>
        </w:rPr>
      </w:pPr>
      <w:r>
        <w:rPr>
          <w:rFonts w:hint="eastAsia" w:ascii="仿宋_GB2312" w:eastAsia="仿宋_GB2312" w:hAnsiTheme="minorEastAsia" w:cstheme="minorBidi"/>
          <w:color w:val="auto"/>
          <w:kern w:val="2"/>
          <w:sz w:val="28"/>
          <w:szCs w:val="28"/>
          <w:highlight w:val="none"/>
          <w:u w:val="none"/>
          <w:shd w:val="clear"/>
          <w:lang w:val="en-US" w:eastAsia="zh-CN" w:bidi="ar-SA"/>
        </w:rPr>
        <w:t>广州净水沥滘分公司分三期建设，一期采用改良A/O工艺，设计规模20万吨/日；二期采用改良A2/O工艺，设计规模30万吨/日；三期采用A2/O+V型滤池工艺，设计规模25万吨/日，已投入运行。分公司共投用便携式气体检测仪34台（详见第五章第四点“技术需求”中的表一），固定式气体检测仪34套（共136个检测仪与35台控制器，详见详见第五章第四点“技术需求”中的表二），各检测仪最近一次的检定时间分别集中于2022年9月与12月，均已临近每年一次的检定周期。</w:t>
      </w:r>
    </w:p>
    <w:p>
      <w:pPr>
        <w:pStyle w:val="11"/>
        <w:numPr>
          <w:ilvl w:val="0"/>
          <w:numId w:val="6"/>
        </w:numPr>
        <w:adjustRightInd w:val="0"/>
        <w:snapToGrid w:val="0"/>
        <w:spacing w:line="300" w:lineRule="auto"/>
        <w:ind w:firstLine="562" w:firstLineChars="200"/>
        <w:rPr>
          <w:rFonts w:hint="eastAsia"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zh-CN"/>
        </w:rPr>
        <w:t>项目技术要求</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（一）检查标定服务</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服务期限：自合同签订之日起至2023年12月31日。</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维保检测频次与服务内容：为保障沥滘分公司的气体检测仪在检查标定和维修期间不影响正常的营运安全生产以及不影响日常的安全应急和培训演练的使用。分公司要求对厂区便携式和固定式气体检测仪及其报警控制器实行分批次每季度一次检修维保服务，检测维保完毕后出具检测报告，全年检</w:t>
      </w:r>
      <w:r>
        <w:rPr>
          <w:rFonts w:hint="eastAsia" w:ascii="仿宋_GB2312" w:eastAsia="仿宋_GB2312" w:hAnsiTheme="minorEastAsia"/>
          <w:sz w:val="28"/>
          <w:szCs w:val="28"/>
          <w:highlight w:val="none"/>
          <w:lang w:val="en-US" w:eastAsia="zh-CN"/>
        </w:rPr>
        <w:t>查标定</w:t>
      </w:r>
      <w:r>
        <w:rPr>
          <w:rFonts w:hint="eastAsia" w:ascii="仿宋_GB2312" w:eastAsia="仿宋_GB2312" w:hAnsiTheme="minorEastAsia"/>
          <w:sz w:val="28"/>
          <w:szCs w:val="28"/>
          <w:highlight w:val="none"/>
        </w:rPr>
        <w:t>覆盖厂区所有的气体检测仪及其报警控制器。</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（二）维修维保服务</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服务期限：自合同签订之日起至2023年12月31日。</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1.对已有的故障情况开展维修整改：</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（1）电池使用寿命到期，充电后只能待机几分钟或无法开机，共4台，具体为M40（2台）、JD-BXJC-4（2台）；</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（2）气体传感器故障，开机后出现故障报警，具体为氧气传感器故障，共18台：M40（10台）、Minimax X4（3台）、JD-BXJC-4（2台）、GTD-3000Tx-O2（3台），一氧化碳与硫化氢传感器故障，共1台：M40（1台），可燃气体传感器故障，共5台：M40（3台）、JD-BXJC-4（2台）；</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（3）仪器主板故障，开机或充电仪器均无任何反应，共3台，M40（1台）、Minimax X4（1台）、JD-BXJC-4（1台）。</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2.对服务期内出现以下情况开展维修整改：</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（1）气体检测仪自身气体传感器已达到使用寿命，如使用中发现的开机后仪器出现故障报警或显示对应检测气体数值较正常值偏低或飘忽不定等；</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（2）气体检测仪机身外壳、电子原件等功能性配件已发生不可逆的老化或损坏，严重影响正常使用，如仪器无法开机或开机后无任何显示；</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（3）气体检测仪及其控制器出现通讯异常，无法反馈实时检测数据信号给中控等情况。</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3.维修服务实施原则：</w:t>
      </w:r>
    </w:p>
    <w:p>
      <w:pPr>
        <w:adjustRightInd w:val="0"/>
        <w:snapToGrid w:val="0"/>
        <w:spacing w:line="600" w:lineRule="exact"/>
        <w:ind w:firstLine="555"/>
        <w:jc w:val="left"/>
        <w:rPr>
          <w:rFonts w:hint="eastAsia" w:ascii="仿宋_GB2312" w:eastAsia="仿宋_GB2312" w:hAnsiTheme="minorEastAsia"/>
          <w:sz w:val="28"/>
          <w:szCs w:val="28"/>
          <w:highlight w:val="none"/>
        </w:rPr>
      </w:pPr>
      <w:r>
        <w:rPr>
          <w:rFonts w:hint="eastAsia" w:ascii="仿宋_GB2312" w:eastAsia="仿宋_GB2312" w:hAnsiTheme="minorEastAsia"/>
          <w:sz w:val="28"/>
          <w:szCs w:val="28"/>
          <w:highlight w:val="none"/>
        </w:rPr>
        <w:t>（1）项目实施单位在检测到气体检测仪出现故障隐患情况需及时告知沥滘分公司，并提供维修整改方案，经分公司确认后方可实施。</w:t>
      </w:r>
    </w:p>
    <w:p>
      <w:pPr>
        <w:adjustRightInd w:val="0"/>
        <w:snapToGrid w:val="0"/>
        <w:spacing w:line="600" w:lineRule="exact"/>
        <w:ind w:firstLine="555"/>
        <w:jc w:val="left"/>
        <w:rPr>
          <w:rFonts w:hint="eastAsia"/>
          <w:highlight w:val="none"/>
          <w:lang w:val="en-US" w:eastAsia="zh-CN"/>
        </w:rPr>
      </w:pPr>
      <w:r>
        <w:rPr>
          <w:rFonts w:hint="eastAsia" w:ascii="仿宋_GB2312" w:eastAsia="仿宋_GB2312" w:hAnsiTheme="minorEastAsia"/>
          <w:sz w:val="28"/>
          <w:szCs w:val="28"/>
          <w:highlight w:val="none"/>
        </w:rPr>
        <w:t>（2）维修保障服务费用与检测维护服务费用一并于项目完成后实施结算。</w:t>
      </w:r>
    </w:p>
    <w:p>
      <w:pPr>
        <w:pStyle w:val="11"/>
        <w:adjustRightInd w:val="0"/>
        <w:snapToGrid w:val="0"/>
        <w:spacing w:line="520" w:lineRule="exact"/>
        <w:ind w:firstLine="562" w:firstLineChars="200"/>
        <w:rPr>
          <w:rFonts w:ascii="仿宋_GB2312" w:hAnsi="仿宋_GB2312" w:eastAsia="仿宋_GB2312" w:cs="仿宋_GB2312"/>
          <w:b/>
          <w:sz w:val="28"/>
          <w:szCs w:val="28"/>
          <w:highlight w:val="none"/>
          <w:lang w:val="zh-CN"/>
        </w:rPr>
      </w:pPr>
      <w:r>
        <w:rPr>
          <w:rFonts w:hint="eastAsia" w:ascii="仿宋_GB2312" w:hAnsi="仿宋_GB2312" w:eastAsia="仿宋_GB2312" w:cs="仿宋_GB2312"/>
          <w:b/>
          <w:sz w:val="28"/>
          <w:szCs w:val="28"/>
          <w:highlight w:val="none"/>
          <w:lang w:val="en-US" w:eastAsia="zh-CN"/>
        </w:rPr>
        <w:t>三</w:t>
      </w:r>
      <w:r>
        <w:rPr>
          <w:rFonts w:hint="eastAsia" w:ascii="仿宋_GB2312" w:hAnsi="仿宋_GB2312" w:eastAsia="仿宋_GB2312" w:cs="仿宋_GB2312"/>
          <w:b/>
          <w:sz w:val="28"/>
          <w:szCs w:val="28"/>
          <w:highlight w:val="none"/>
          <w:lang w:val="zh-CN"/>
        </w:rPr>
        <w:t>、项目商务要求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（一）质量要求：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1.维修</w:t>
      </w:r>
      <w:r>
        <w:rPr>
          <w:rFonts w:hint="eastAsia" w:ascii="仿宋_GB2312" w:hAnsi="仿宋_GB2312" w:eastAsia="仿宋_GB2312" w:cs="仿宋_GB2312"/>
          <w:sz w:val="28"/>
          <w:szCs w:val="28"/>
          <w:highlight w:val="none"/>
        </w:rPr>
        <w:t>使用的各种材料必须符合设计和规范要求。</w:t>
      </w:r>
    </w:p>
    <w:p>
      <w:pPr>
        <w:autoSpaceDE w:val="0"/>
        <w:autoSpaceDN w:val="0"/>
        <w:spacing w:line="52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各种构件在运输过程中必须有可靠的保护措施。</w:t>
      </w:r>
    </w:p>
    <w:p>
      <w:pPr>
        <w:autoSpaceDE w:val="0"/>
        <w:autoSpaceDN w:val="0"/>
        <w:spacing w:line="520" w:lineRule="exact"/>
        <w:ind w:firstLine="560" w:firstLineChars="200"/>
        <w:rPr>
          <w:rFonts w:ascii="仿宋_GB2312" w:hAnsi="宋体" w:eastAsia="仿宋_GB2312" w:cs="仿宋_GB2312"/>
          <w:i w:val="0"/>
          <w:caps w:val="0"/>
          <w:color w:val="000000"/>
          <w:spacing w:val="0"/>
          <w:sz w:val="28"/>
          <w:szCs w:val="28"/>
          <w:highlight w:val="none"/>
          <w:shd w:val="clear" w:color="auto" w:fill="FFFFFF"/>
        </w:rPr>
      </w:pPr>
      <w:r>
        <w:rPr>
          <w:rFonts w:hint="eastAsia" w:ascii="仿宋_GB2312" w:hAnsi="仿宋_GB2312" w:eastAsia="仿宋_GB2312" w:cs="仿宋_GB2312"/>
          <w:sz w:val="28"/>
          <w:szCs w:val="28"/>
          <w:highlight w:val="none"/>
          <w:lang w:val="en-US" w:eastAsia="zh-CN"/>
        </w:rPr>
        <w:t>3.</w:t>
      </w:r>
      <w:r>
        <w:rPr>
          <w:rFonts w:ascii="仿宋_GB2312" w:hAnsi="宋体" w:eastAsia="仿宋_GB2312" w:cs="仿宋_GB2312"/>
          <w:i w:val="0"/>
          <w:caps w:val="0"/>
          <w:color w:val="000000"/>
          <w:spacing w:val="0"/>
          <w:sz w:val="28"/>
          <w:szCs w:val="28"/>
          <w:highlight w:val="none"/>
          <w:shd w:val="clear" w:color="auto" w:fill="FFFFFF"/>
        </w:rPr>
        <w:t>本项目开展期间，承包方必须整理好本项目的所有的技术</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质量</w:t>
      </w:r>
      <w:r>
        <w:rPr>
          <w:rFonts w:ascii="仿宋_GB2312" w:hAnsi="宋体" w:eastAsia="仿宋_GB2312" w:cs="仿宋_GB2312"/>
          <w:i w:val="0"/>
          <w:caps w:val="0"/>
          <w:color w:val="000000"/>
          <w:spacing w:val="0"/>
          <w:sz w:val="28"/>
          <w:szCs w:val="28"/>
          <w:highlight w:val="none"/>
          <w:shd w:val="clear" w:color="auto" w:fill="FFFFFF"/>
        </w:rPr>
        <w:t>资料，不限于项目施工图、竣工图、设备技术说明书</w:t>
      </w:r>
      <w:r>
        <w:rPr>
          <w:rFonts w:hint="eastAsia" w:ascii="仿宋_GB2312" w:hAnsi="宋体" w:eastAsia="仿宋_GB2312" w:cs="仿宋_GB2312"/>
          <w:i w:val="0"/>
          <w:caps w:val="0"/>
          <w:color w:val="000000"/>
          <w:spacing w:val="0"/>
          <w:sz w:val="28"/>
          <w:szCs w:val="28"/>
          <w:highlight w:val="none"/>
          <w:shd w:val="clear" w:color="auto" w:fill="FFFFFF"/>
          <w:lang w:eastAsia="zh-CN"/>
        </w:rPr>
        <w:t>、</w:t>
      </w:r>
      <w:r>
        <w:rPr>
          <w:rFonts w:hint="eastAsia" w:ascii="仿宋_GB2312" w:hAnsi="宋体" w:eastAsia="仿宋_GB2312" w:cs="仿宋_GB2312"/>
          <w:i w:val="0"/>
          <w:caps w:val="0"/>
          <w:color w:val="000000"/>
          <w:spacing w:val="0"/>
          <w:sz w:val="28"/>
          <w:szCs w:val="28"/>
          <w:highlight w:val="none"/>
          <w:shd w:val="clear" w:color="auto" w:fill="FFFFFF"/>
          <w:lang w:val="en-US" w:eastAsia="zh-CN"/>
        </w:rPr>
        <w:t>产品合格证</w:t>
      </w:r>
      <w:r>
        <w:rPr>
          <w:rFonts w:ascii="仿宋_GB2312" w:hAnsi="宋体" w:eastAsia="仿宋_GB2312" w:cs="仿宋_GB2312"/>
          <w:i w:val="0"/>
          <w:caps w:val="0"/>
          <w:color w:val="000000"/>
          <w:spacing w:val="0"/>
          <w:sz w:val="28"/>
          <w:szCs w:val="28"/>
          <w:highlight w:val="none"/>
          <w:shd w:val="clear" w:color="auto" w:fill="FFFFFF"/>
        </w:rPr>
        <w:t>等。项目竣工后，承包方将所有关于本项目的技术资料整理好并交至项目承办单位。</w:t>
      </w:r>
    </w:p>
    <w:p>
      <w:pPr>
        <w:numPr>
          <w:ilvl w:val="0"/>
          <w:numId w:val="0"/>
        </w:numPr>
        <w:autoSpaceDE w:val="0"/>
        <w:autoSpaceDN w:val="0"/>
        <w:spacing w:line="240" w:lineRule="auto"/>
        <w:ind w:firstLine="560" w:firstLineChars="200"/>
        <w:rPr>
          <w:rFonts w:hint="eastAsia" w:eastAsia="仿宋_GB2312"/>
          <w:highlight w:val="none"/>
          <w:lang w:eastAsia="zh-CN"/>
        </w:rPr>
      </w:pPr>
      <w:r>
        <w:rPr>
          <w:rFonts w:hint="eastAsia" w:ascii="仿宋_GB2312" w:hAnsi="宋体" w:eastAsia="仿宋_GB2312" w:cs="仿宋_GB2312"/>
          <w:i w:val="0"/>
          <w:caps w:val="0"/>
          <w:color w:val="000000"/>
          <w:spacing w:val="0"/>
          <w:sz w:val="28"/>
          <w:szCs w:val="28"/>
          <w:highlight w:val="none"/>
          <w:shd w:val="clear" w:color="auto" w:fill="FFFFFF"/>
          <w:lang w:val="en-US" w:eastAsia="zh-CN"/>
        </w:rPr>
        <w:t>4.</w:t>
      </w:r>
      <w:r>
        <w:rPr>
          <w:rFonts w:hint="eastAsia" w:ascii="仿宋_GB2312" w:hAnsi="仿宋_GB2312" w:eastAsia="仿宋_GB2312" w:cs="仿宋_GB2312"/>
          <w:sz w:val="28"/>
          <w:szCs w:val="28"/>
          <w:highlight w:val="none"/>
          <w:lang w:val="zh-CN"/>
        </w:rPr>
        <w:t>周边环境恢复。</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（二）</w:t>
      </w:r>
      <w:r>
        <w:rPr>
          <w:rFonts w:hint="eastAsia" w:ascii="仿宋_GB2312" w:hAnsi="仿宋_GB2312" w:eastAsia="仿宋_GB2312" w:cs="仿宋_GB2312"/>
          <w:sz w:val="28"/>
          <w:szCs w:val="28"/>
          <w:highlight w:val="none"/>
        </w:rPr>
        <w:t>安全文明施工要求：</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在</w:t>
      </w:r>
      <w:r>
        <w:rPr>
          <w:rFonts w:hint="eastAsia" w:ascii="仿宋_GB2312" w:hAnsi="仿宋_GB2312" w:eastAsia="仿宋_GB2312" w:cs="仿宋_GB2312"/>
          <w:sz w:val="28"/>
          <w:szCs w:val="28"/>
          <w:highlight w:val="none"/>
          <w:lang w:val="en-US" w:eastAsia="zh-CN"/>
        </w:rPr>
        <w:t>施工</w:t>
      </w:r>
      <w:r>
        <w:rPr>
          <w:rFonts w:hint="eastAsia" w:ascii="仿宋_GB2312" w:hAnsi="仿宋_GB2312" w:eastAsia="仿宋_GB2312" w:cs="仿宋_GB2312"/>
          <w:sz w:val="28"/>
          <w:szCs w:val="28"/>
          <w:highlight w:val="none"/>
        </w:rPr>
        <w:t>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rPr>
        <w:t>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三</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总包及分包规定：</w:t>
      </w:r>
    </w:p>
    <w:p>
      <w:pPr>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承包单位不许转包，不许擅自分包,</w:t>
      </w:r>
      <w:r>
        <w:rPr>
          <w:rFonts w:hint="eastAsia" w:ascii="仿宋_GB2312" w:hAnsi="仿宋_GB2312" w:eastAsia="仿宋_GB2312" w:cs="仿宋_GB2312"/>
          <w:bCs/>
          <w:szCs w:val="21"/>
          <w:highlight w:val="none"/>
        </w:rPr>
        <w:t xml:space="preserve"> </w:t>
      </w:r>
      <w:r>
        <w:rPr>
          <w:rFonts w:hint="eastAsia" w:ascii="仿宋_GB2312" w:hAnsi="仿宋_GB2312" w:eastAsia="仿宋_GB2312" w:cs="仿宋_GB2312"/>
          <w:sz w:val="28"/>
          <w:szCs w:val="28"/>
          <w:highlight w:val="none"/>
        </w:rPr>
        <w:t>否则，发包人有权单方面终止合同，并令其立即退场，由此而造成的经济损失由承包单位负责赔偿。</w:t>
      </w:r>
    </w:p>
    <w:p>
      <w:pPr>
        <w:pStyle w:val="2"/>
        <w:spacing w:line="520" w:lineRule="exact"/>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四</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rPr>
        <w:t>保修期（保养期）：质保期为项目完成经验收合格之日起</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年。</w:t>
      </w:r>
    </w:p>
    <w:p>
      <w:pPr>
        <w:pStyle w:val="20"/>
        <w:shd w:val="clear" w:color="auto" w:fill="FFFFFF"/>
        <w:spacing w:before="0" w:beforeAutospacing="0" w:after="0" w:afterAutospacing="0" w:line="520" w:lineRule="exact"/>
        <w:ind w:firstLine="560" w:firstLineChars="200"/>
        <w:jc w:val="both"/>
        <w:rPr>
          <w:rFonts w:ascii="仿宋_GB2312" w:hAnsi="仿宋_GB2312" w:eastAsia="仿宋_GB2312" w:cs="仿宋_GB2312"/>
          <w:kern w:val="2"/>
          <w:sz w:val="28"/>
          <w:szCs w:val="28"/>
          <w:highlight w:val="none"/>
        </w:rPr>
      </w:pP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lang w:val="en-US" w:eastAsia="zh-CN"/>
        </w:rPr>
        <w:t>五</w:t>
      </w:r>
      <w:r>
        <w:rPr>
          <w:rFonts w:hint="eastAsia" w:ascii="仿宋_GB2312" w:hAnsi="仿宋_GB2312" w:eastAsia="仿宋_GB2312" w:cs="仿宋_GB2312"/>
          <w:kern w:val="2"/>
          <w:sz w:val="28"/>
          <w:szCs w:val="28"/>
          <w:highlight w:val="none"/>
          <w:lang w:eastAsia="zh-CN"/>
        </w:rPr>
        <w:t>）</w:t>
      </w:r>
      <w:r>
        <w:rPr>
          <w:rFonts w:hint="eastAsia" w:ascii="仿宋_GB2312" w:hAnsi="仿宋_GB2312" w:eastAsia="仿宋_GB2312" w:cs="仿宋_GB2312"/>
          <w:kern w:val="2"/>
          <w:sz w:val="28"/>
          <w:szCs w:val="28"/>
          <w:highlight w:val="none"/>
        </w:rPr>
        <w:t>询价人将自承包人履行完合同义务之日起15个工作日内组织验收，验收要求、验收标准及方法如下：</w:t>
      </w:r>
    </w:p>
    <w:p>
      <w:pPr>
        <w:pStyle w:val="20"/>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lang w:val="en-US" w:eastAsia="zh-CN"/>
        </w:rPr>
        <w:t>1.</w:t>
      </w:r>
      <w:r>
        <w:rPr>
          <w:rFonts w:hint="eastAsia" w:ascii="仿宋_GB2312" w:hAnsi="仿宋_GB2312" w:eastAsia="仿宋_GB2312" w:cs="仿宋_GB2312"/>
          <w:sz w:val="28"/>
          <w:szCs w:val="28"/>
          <w:highlight w:val="none"/>
          <w:shd w:val="clear" w:color="auto" w:fill="FFFFFF"/>
        </w:rPr>
        <w:t>验收依据：询价文件、询价响应文件、厂家货物技术标准说明及国家有关的质量标准规定，均为验收依据。</w:t>
      </w:r>
    </w:p>
    <w:p>
      <w:pPr>
        <w:pStyle w:val="20"/>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lang w:val="en-US" w:eastAsia="zh-CN"/>
        </w:rPr>
        <w:t>2.</w:t>
      </w:r>
      <w:r>
        <w:rPr>
          <w:rFonts w:hint="eastAsia" w:ascii="仿宋_GB2312" w:hAnsi="仿宋_GB2312" w:eastAsia="仿宋_GB2312" w:cs="仿宋_GB2312"/>
          <w:sz w:val="28"/>
          <w:szCs w:val="28"/>
          <w:highlight w:val="none"/>
          <w:shd w:val="clear" w:color="auto" w:fill="FFFFFF"/>
        </w:rPr>
        <w:t>承包单位根据要求进行设备的安装、调试、测试后，由发包人或政府相关部门进行使用性能方面的验收。</w:t>
      </w:r>
    </w:p>
    <w:p>
      <w:pPr>
        <w:pStyle w:val="20"/>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lang w:val="en-US" w:eastAsia="zh-CN"/>
        </w:rPr>
        <w:t>3.</w:t>
      </w:r>
      <w:r>
        <w:rPr>
          <w:rFonts w:hint="eastAsia" w:ascii="仿宋_GB2312" w:hAnsi="仿宋_GB2312" w:eastAsia="仿宋_GB2312" w:cs="仿宋_GB2312"/>
          <w:sz w:val="28"/>
          <w:szCs w:val="28"/>
          <w:highlight w:val="none"/>
          <w:shd w:val="clear" w:color="auto" w:fill="FFFFFF"/>
        </w:rPr>
        <w:t>验收合格条件</w:t>
      </w:r>
    </w:p>
    <w:p>
      <w:pPr>
        <w:pStyle w:val="20"/>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lang w:eastAsia="zh-CN"/>
        </w:rPr>
        <w:t>（</w:t>
      </w:r>
      <w:r>
        <w:rPr>
          <w:rFonts w:hint="eastAsia" w:ascii="仿宋_GB2312" w:hAnsi="仿宋_GB2312" w:eastAsia="仿宋_GB2312" w:cs="仿宋_GB2312"/>
          <w:sz w:val="28"/>
          <w:szCs w:val="28"/>
          <w:highlight w:val="none"/>
          <w:shd w:val="clear" w:color="auto" w:fill="FFFFFF"/>
          <w:lang w:val="en-US" w:eastAsia="zh-CN"/>
        </w:rPr>
        <w:t>1</w:t>
      </w:r>
      <w:r>
        <w:rPr>
          <w:rFonts w:hint="eastAsia" w:ascii="仿宋_GB2312" w:hAnsi="仿宋_GB2312" w:eastAsia="仿宋_GB2312" w:cs="仿宋_GB2312"/>
          <w:sz w:val="28"/>
          <w:szCs w:val="28"/>
          <w:highlight w:val="none"/>
          <w:shd w:val="clear" w:color="auto" w:fill="FFFFFF"/>
          <w:lang w:eastAsia="zh-CN"/>
        </w:rPr>
        <w:t>）</w:t>
      </w:r>
      <w:r>
        <w:rPr>
          <w:rFonts w:hint="eastAsia" w:ascii="仿宋_GB2312" w:hAnsi="仿宋_GB2312" w:eastAsia="仿宋_GB2312" w:cs="仿宋_GB2312"/>
          <w:sz w:val="28"/>
          <w:szCs w:val="28"/>
          <w:highlight w:val="none"/>
          <w:shd w:val="clear" w:color="auto" w:fill="FFFFFF"/>
        </w:rPr>
        <w:t>调试完毕后现场试运行连续稳定工作24小时，无异常，并确保能够达到要求的标准。</w:t>
      </w:r>
    </w:p>
    <w:p>
      <w:pPr>
        <w:pStyle w:val="20"/>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lang w:eastAsia="zh-CN"/>
        </w:rPr>
        <w:t>（</w:t>
      </w:r>
      <w:r>
        <w:rPr>
          <w:rFonts w:hint="eastAsia" w:ascii="仿宋_GB2312" w:hAnsi="仿宋_GB2312" w:eastAsia="仿宋_GB2312" w:cs="仿宋_GB2312"/>
          <w:sz w:val="28"/>
          <w:szCs w:val="28"/>
          <w:highlight w:val="none"/>
          <w:shd w:val="clear" w:color="auto" w:fill="FFFFFF"/>
          <w:lang w:val="en-US" w:eastAsia="zh-CN"/>
        </w:rPr>
        <w:t>2</w:t>
      </w:r>
      <w:r>
        <w:rPr>
          <w:rFonts w:hint="eastAsia" w:ascii="仿宋_GB2312" w:hAnsi="仿宋_GB2312" w:eastAsia="仿宋_GB2312" w:cs="仿宋_GB2312"/>
          <w:sz w:val="28"/>
          <w:szCs w:val="28"/>
          <w:highlight w:val="none"/>
          <w:shd w:val="clear" w:color="auto" w:fill="FFFFFF"/>
          <w:lang w:eastAsia="zh-CN"/>
        </w:rPr>
        <w:t>）</w:t>
      </w:r>
      <w:r>
        <w:rPr>
          <w:rFonts w:hint="eastAsia" w:ascii="仿宋_GB2312" w:hAnsi="仿宋_GB2312" w:eastAsia="仿宋_GB2312" w:cs="仿宋_GB2312"/>
          <w:sz w:val="28"/>
          <w:szCs w:val="28"/>
          <w:highlight w:val="none"/>
          <w:shd w:val="clear" w:color="auto" w:fill="FFFFFF"/>
        </w:rPr>
        <w:t>各类电气系统、保护装置等附属设备均正常运行。</w:t>
      </w:r>
    </w:p>
    <w:p>
      <w:pPr>
        <w:pStyle w:val="20"/>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lang w:val="en-US" w:eastAsia="zh-CN"/>
        </w:rPr>
        <w:t>4.</w:t>
      </w:r>
      <w:r>
        <w:rPr>
          <w:rFonts w:hint="eastAsia" w:ascii="仿宋_GB2312" w:hAnsi="仿宋_GB2312" w:eastAsia="仿宋_GB2312" w:cs="仿宋_GB2312"/>
          <w:sz w:val="28"/>
          <w:szCs w:val="28"/>
          <w:highlight w:val="none"/>
          <w:shd w:val="clear" w:color="auto" w:fill="FFFFFF"/>
        </w:rPr>
        <w:t>发包人有权委托我国相关具有检验资质的部门、单位、机构针对维修后设备的精度、性能进行检验。其检验结果将作为验收标准的组成部分之一。</w:t>
      </w:r>
    </w:p>
    <w:p>
      <w:pPr>
        <w:pStyle w:val="20"/>
        <w:shd w:val="clear" w:color="auto" w:fill="FFFFFF"/>
        <w:spacing w:before="0" w:beforeAutospacing="0" w:after="0" w:afterAutospacing="0" w:line="520" w:lineRule="exact"/>
        <w:ind w:firstLine="560" w:firstLineChars="200"/>
        <w:rPr>
          <w:rFonts w:ascii="仿宋_GB2312" w:hAnsi="仿宋_GB2312" w:eastAsia="仿宋_GB2312" w:cs="仿宋_GB2312"/>
          <w:sz w:val="21"/>
          <w:szCs w:val="21"/>
          <w:highlight w:val="none"/>
        </w:rPr>
      </w:pPr>
      <w:r>
        <w:rPr>
          <w:rFonts w:hint="eastAsia" w:ascii="仿宋_GB2312" w:hAnsi="仿宋_GB2312" w:eastAsia="仿宋_GB2312" w:cs="仿宋_GB2312"/>
          <w:sz w:val="28"/>
          <w:szCs w:val="28"/>
          <w:highlight w:val="none"/>
          <w:shd w:val="clear" w:color="auto" w:fill="FFFFFF"/>
          <w:lang w:val="en-US" w:eastAsia="zh-CN"/>
        </w:rPr>
        <w:t>5.</w:t>
      </w:r>
      <w:r>
        <w:rPr>
          <w:rFonts w:hint="eastAsia" w:ascii="仿宋_GB2312" w:hAnsi="仿宋_GB2312" w:eastAsia="仿宋_GB2312" w:cs="仿宋_GB2312"/>
          <w:sz w:val="28"/>
          <w:szCs w:val="28"/>
          <w:highlight w:val="none"/>
          <w:shd w:val="clear" w:color="auto" w:fill="FFFFFF"/>
        </w:rPr>
        <w:t>验收时承包单位必须派代表参加。</w:t>
      </w:r>
    </w:p>
    <w:p>
      <w:pPr>
        <w:pStyle w:val="20"/>
        <w:shd w:val="clear" w:color="auto" w:fill="FFFFFF"/>
        <w:spacing w:before="0" w:beforeAutospacing="0" w:after="0" w:afterAutospacing="0" w:line="520" w:lineRule="exact"/>
        <w:ind w:firstLine="560" w:firstLineChars="200"/>
        <w:rPr>
          <w:rFonts w:hint="eastAsia"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仿宋_GB2312"/>
          <w:sz w:val="28"/>
          <w:szCs w:val="28"/>
          <w:highlight w:val="none"/>
          <w:shd w:val="clear" w:color="auto" w:fill="FFFFFF"/>
          <w:lang w:val="en-US" w:eastAsia="zh-CN"/>
        </w:rPr>
        <w:t>6.验收过程所发生的一切费用由承包单位承担。</w:t>
      </w:r>
    </w:p>
    <w:p>
      <w:pPr>
        <w:pStyle w:val="20"/>
        <w:shd w:val="clear" w:color="auto" w:fill="FFFFFF"/>
        <w:spacing w:before="0" w:beforeAutospacing="0" w:after="0" w:afterAutospacing="0" w:line="520" w:lineRule="exact"/>
        <w:ind w:firstLine="560" w:firstLineChars="200"/>
        <w:rPr>
          <w:rFonts w:hint="eastAsia"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仿宋_GB2312"/>
          <w:sz w:val="28"/>
          <w:szCs w:val="28"/>
          <w:highlight w:val="none"/>
          <w:shd w:val="clear" w:color="auto" w:fill="FFFFFF"/>
          <w:lang w:val="en-US" w:eastAsia="zh-CN"/>
        </w:rPr>
        <w:t>（六）付款方式：银行汇票/网银转账形式。</w:t>
      </w:r>
    </w:p>
    <w:p>
      <w:pPr>
        <w:pStyle w:val="20"/>
        <w:shd w:val="clear" w:color="auto" w:fill="FFFFFF"/>
        <w:spacing w:before="0" w:beforeAutospacing="0" w:after="0" w:afterAutospacing="0" w:line="520" w:lineRule="exact"/>
        <w:ind w:firstLine="560" w:firstLineChars="200"/>
        <w:rPr>
          <w:rFonts w:hint="default" w:ascii="仿宋_GB2312" w:hAnsi="仿宋_GB2312" w:eastAsia="仿宋_GB2312" w:cs="仿宋_GB2312"/>
          <w:sz w:val="28"/>
          <w:szCs w:val="28"/>
          <w:highlight w:val="none"/>
          <w:shd w:val="clear" w:color="auto" w:fill="FFFFFF"/>
          <w:lang w:val="en-US" w:eastAsia="zh-CN"/>
        </w:rPr>
      </w:pPr>
      <w:r>
        <w:rPr>
          <w:rFonts w:hint="eastAsia" w:ascii="仿宋_GB2312" w:hAnsi="仿宋_GB2312" w:eastAsia="仿宋_GB2312" w:cs="仿宋_GB2312"/>
          <w:sz w:val="28"/>
          <w:szCs w:val="28"/>
          <w:highlight w:val="none"/>
          <w:shd w:val="clear" w:color="auto" w:fill="FFFFFF"/>
          <w:lang w:val="en-US" w:eastAsia="zh-CN"/>
        </w:rPr>
        <w:t>（七）承包方式：</w:t>
      </w:r>
      <w:r>
        <w:rPr>
          <w:rFonts w:hint="eastAsia" w:ascii="仿宋_GB2312" w:hAnsi="仿宋_GB2312" w:eastAsia="仿宋_GB2312" w:cs="仿宋_GB2312"/>
          <w:sz w:val="28"/>
          <w:szCs w:val="28"/>
          <w:highlight w:val="none"/>
          <w:shd w:val="clear" w:color="auto" w:fill="FFFFFF"/>
          <w:lang w:val="zh-CN" w:eastAsia="zh-CN"/>
        </w:rPr>
        <w:t>单价包干，</w:t>
      </w:r>
      <w:r>
        <w:rPr>
          <w:rFonts w:hint="eastAsia" w:ascii="仿宋_GB2312" w:hAnsi="仿宋_GB2312" w:eastAsia="仿宋_GB2312" w:cs="仿宋_GB2312"/>
          <w:sz w:val="28"/>
          <w:szCs w:val="28"/>
          <w:highlight w:val="none"/>
          <w:shd w:val="clear" w:color="auto" w:fill="FFFFFF"/>
          <w:lang w:val="en-US" w:eastAsia="zh-CN"/>
        </w:rPr>
        <w:t>按实结算。</w:t>
      </w:r>
    </w:p>
    <w:p>
      <w:pPr>
        <w:pStyle w:val="11"/>
        <w:adjustRightInd w:val="0"/>
        <w:snapToGrid w:val="0"/>
        <w:spacing w:line="520" w:lineRule="exact"/>
        <w:ind w:firstLine="562" w:firstLineChars="200"/>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四</w:t>
      </w:r>
      <w:r>
        <w:rPr>
          <w:rFonts w:hint="eastAsia" w:ascii="仿宋_GB2312" w:hAnsi="仿宋_GB2312" w:eastAsia="仿宋_GB2312" w:cs="仿宋_GB2312"/>
          <w:b/>
          <w:sz w:val="28"/>
          <w:szCs w:val="28"/>
          <w:highlight w:val="none"/>
          <w:lang w:val="zh-CN"/>
        </w:rPr>
        <w:t>、</w:t>
      </w:r>
      <w:r>
        <w:rPr>
          <w:rFonts w:hint="eastAsia" w:ascii="仿宋_GB2312" w:hAnsi="仿宋_GB2312" w:eastAsia="仿宋_GB2312" w:cs="仿宋_GB2312"/>
          <w:b/>
          <w:sz w:val="28"/>
          <w:szCs w:val="28"/>
          <w:highlight w:val="none"/>
          <w:lang w:val="en-US" w:eastAsia="zh-CN"/>
        </w:rPr>
        <w:t>技术需求</w:t>
      </w:r>
    </w:p>
    <w:p>
      <w:pPr>
        <w:pStyle w:val="12"/>
        <w:ind w:firstLine="843" w:firstLineChars="300"/>
        <w:rPr>
          <w:rFonts w:hint="eastAsia" w:ascii="仿宋_GB2312" w:hAnsi="仿宋_GB2312" w:eastAsia="仿宋_GB2312" w:cs="仿宋_GB2312"/>
          <w:b/>
          <w:sz w:val="28"/>
          <w:szCs w:val="28"/>
          <w:highlight w:val="none"/>
          <w:lang w:val="en-US" w:eastAsia="zh-CN"/>
        </w:rPr>
      </w:pPr>
      <w:r>
        <w:rPr>
          <w:rFonts w:hint="eastAsia" w:ascii="仿宋_GB2312" w:hAnsi="仿宋_GB2312" w:eastAsia="仿宋_GB2312" w:cs="仿宋_GB2312"/>
          <w:b/>
          <w:sz w:val="28"/>
          <w:szCs w:val="28"/>
          <w:highlight w:val="none"/>
          <w:lang w:val="en-US" w:eastAsia="zh-CN"/>
        </w:rPr>
        <w:t>主演实施内容如下：</w:t>
      </w:r>
    </w:p>
    <w:p>
      <w:pPr>
        <w:pStyle w:val="13"/>
        <w:rPr>
          <w:rFonts w:hint="eastAsia" w:ascii="仿宋_GB2312" w:hAnsi="仿宋_GB2312" w:eastAsia="仿宋_GB2312" w:cs="仿宋_GB2312"/>
          <w:b/>
          <w:sz w:val="28"/>
          <w:szCs w:val="28"/>
          <w:highlight w:val="none"/>
          <w:lang w:val="en-US" w:eastAsia="zh-CN"/>
        </w:rPr>
      </w:pPr>
    </w:p>
    <w:p>
      <w:pPr>
        <w:rPr>
          <w:rFonts w:hint="eastAsia" w:ascii="仿宋_GB2312" w:hAnsi="仿宋_GB2312" w:eastAsia="仿宋_GB2312" w:cs="仿宋_GB2312"/>
          <w:b/>
          <w:sz w:val="28"/>
          <w:szCs w:val="28"/>
          <w:highlight w:val="none"/>
          <w:lang w:val="en-US" w:eastAsia="zh-CN"/>
        </w:rPr>
      </w:pPr>
    </w:p>
    <w:p>
      <w:pPr>
        <w:pStyle w:val="27"/>
        <w:rPr>
          <w:rFonts w:hint="eastAsia" w:ascii="仿宋_GB2312" w:hAnsi="仿宋_GB2312" w:eastAsia="仿宋_GB2312" w:cs="仿宋_GB2312"/>
          <w:b/>
          <w:sz w:val="28"/>
          <w:szCs w:val="28"/>
          <w:highlight w:val="none"/>
          <w:lang w:val="en-US" w:eastAsia="zh-CN"/>
        </w:rPr>
      </w:pPr>
    </w:p>
    <w:p>
      <w:pPr>
        <w:pStyle w:val="27"/>
        <w:rPr>
          <w:rFonts w:hint="eastAsia" w:ascii="仿宋_GB2312" w:hAnsi="仿宋_GB2312" w:eastAsia="仿宋_GB2312" w:cs="仿宋_GB2312"/>
          <w:b/>
          <w:sz w:val="28"/>
          <w:szCs w:val="28"/>
          <w:highlight w:val="none"/>
          <w:lang w:val="en-US" w:eastAsia="zh-CN"/>
        </w:rPr>
      </w:pPr>
    </w:p>
    <w:p>
      <w:pPr>
        <w:pStyle w:val="27"/>
        <w:rPr>
          <w:rFonts w:hint="default" w:ascii="仿宋_GB2312" w:hAnsi="仿宋_GB2312" w:eastAsia="仿宋_GB2312" w:cs="仿宋_GB2312"/>
          <w:b/>
          <w:sz w:val="28"/>
          <w:szCs w:val="28"/>
          <w:highlight w:val="none"/>
          <w:lang w:val="en-US" w:eastAsia="zh-CN"/>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r>
        <w:rPr>
          <w:rFonts w:hint="eastAsia" w:ascii="仿宋_GB2312" w:hAnsi="仿宋_GB2312" w:eastAsia="仿宋_GB2312" w:cs="仿宋_GB2312"/>
          <w:kern w:val="0"/>
          <w:sz w:val="28"/>
          <w:szCs w:val="28"/>
          <w:highlight w:val="none"/>
          <w:shd w:val="clear" w:color="auto" w:fill="FFFFFF"/>
          <w:lang w:val="en-US" w:eastAsia="zh-CN" w:bidi="ar-SA"/>
        </w:rPr>
        <w:t>表一：便携式气体检测仪设备清单</w:t>
      </w:r>
    </w:p>
    <w:tbl>
      <w:tblPr>
        <w:tblStyle w:val="22"/>
        <w:tblW w:w="883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8"/>
        <w:gridCol w:w="831"/>
        <w:gridCol w:w="710"/>
        <w:gridCol w:w="689"/>
        <w:gridCol w:w="851"/>
        <w:gridCol w:w="831"/>
        <w:gridCol w:w="1764"/>
        <w:gridCol w:w="2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628" w:type="dxa"/>
            <w:tcBorders>
              <w:top w:val="single" w:color="000000" w:sz="8"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831" w:type="dxa"/>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设备名称</w:t>
            </w:r>
          </w:p>
        </w:tc>
        <w:tc>
          <w:tcPr>
            <w:tcW w:w="710" w:type="dxa"/>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规格型号</w:t>
            </w:r>
          </w:p>
        </w:tc>
        <w:tc>
          <w:tcPr>
            <w:tcW w:w="689" w:type="dxa"/>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购置时间</w:t>
            </w:r>
          </w:p>
        </w:tc>
        <w:tc>
          <w:tcPr>
            <w:tcW w:w="851" w:type="dxa"/>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w:t>
            </w:r>
          </w:p>
        </w:tc>
        <w:tc>
          <w:tcPr>
            <w:tcW w:w="831" w:type="dxa"/>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数量</w:t>
            </w:r>
          </w:p>
        </w:tc>
        <w:tc>
          <w:tcPr>
            <w:tcW w:w="1764" w:type="dxa"/>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c>
          <w:tcPr>
            <w:tcW w:w="2534" w:type="dxa"/>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6"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英思科气体检测仪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M40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w:t>
            </w:r>
          </w:p>
        </w:tc>
        <w:tc>
          <w:tcPr>
            <w:tcW w:w="176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四合一气体检测仪，可检测一氧化碳、硫化氢、氧气、可燃气四种气体</w:t>
            </w:r>
          </w:p>
        </w:tc>
        <w:tc>
          <w:tcPr>
            <w:tcW w:w="253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泵吸式气体检测仪，</w:t>
            </w:r>
          </w:p>
          <w:p>
            <w:pPr>
              <w:keepNext w:val="0"/>
              <w:keepLines w:val="0"/>
              <w:suppressLineNumbers w:val="0"/>
              <w:spacing w:before="0" w:beforeAutospacing="0" w:after="0" w:afterAutospacing="0"/>
              <w:ind w:left="0" w:right="0"/>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1.各部门、班组配备用于日常与大修、清淤作业中的有限空间作业；日常使用容易因吸入污水、异物导致损坏；2.作为应急物资分别存放于厂应急物资间与地下厂应急物资点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5"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霍尼韦尔气体检测仪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Minimax X4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176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四合一气体检测仪，可检测一氧化碳、硫化氢、氧气、氨气四种气体</w:t>
            </w:r>
          </w:p>
        </w:tc>
        <w:tc>
          <w:tcPr>
            <w:tcW w:w="2534" w:type="dxa"/>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扩散式气体检测仪，各部门、班组配备用于值班人员进入地下厂或下沉区域时随身佩戴；日常使用时容易因高温、受潮或长时间运行导致传感器等电子原件加速老化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334"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金盾气体检测仪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2020年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6</w:t>
            </w:r>
          </w:p>
        </w:tc>
        <w:tc>
          <w:tcPr>
            <w:tcW w:w="176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四合一气体检测仪，可检测一氧化碳、硫化氢、氧气、可燃气四种气体</w:t>
            </w:r>
          </w:p>
        </w:tc>
        <w:tc>
          <w:tcPr>
            <w:tcW w:w="2534" w:type="dxa"/>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泵吸式气体检测仪，作为应急物资分别存放于厂应急物资间与地下厂应急物资点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6"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华盛昌气体检测仪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GD-3305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76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单种气体检测仪，可检测可燃气</w:t>
            </w:r>
          </w:p>
        </w:tc>
        <w:tc>
          <w:tcPr>
            <w:tcW w:w="253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泵吸式气体检测仪，主要配备给班组用于检测锅炉燃气管道情况</w:t>
            </w:r>
          </w:p>
        </w:tc>
      </w:tr>
    </w:tbl>
    <w:p>
      <w:pPr>
        <w:pStyle w:val="2"/>
        <w:ind w:firstLine="0"/>
        <w:rPr>
          <w:rFonts w:hint="eastAsia"/>
          <w:color w:val="auto"/>
          <w:highlight w:val="none"/>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r>
        <w:rPr>
          <w:rFonts w:hint="eastAsia" w:ascii="仿宋_GB2312" w:hAnsi="仿宋_GB2312" w:eastAsia="仿宋_GB2312" w:cs="仿宋_GB2312"/>
          <w:kern w:val="0"/>
          <w:sz w:val="28"/>
          <w:szCs w:val="28"/>
          <w:highlight w:val="none"/>
          <w:shd w:val="clear" w:color="auto" w:fill="FFFFFF"/>
          <w:lang w:val="en-US" w:eastAsia="zh-CN" w:bidi="ar-SA"/>
        </w:rPr>
        <w:t>表二：固定式气体检测仪设备清单</w:t>
      </w:r>
    </w:p>
    <w:tbl>
      <w:tblPr>
        <w:tblStyle w:val="22"/>
        <w:tblW w:w="4979" w:type="pct"/>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7"/>
        <w:gridCol w:w="1095"/>
        <w:gridCol w:w="2047"/>
        <w:gridCol w:w="1196"/>
        <w:gridCol w:w="710"/>
        <w:gridCol w:w="1216"/>
        <w:gridCol w:w="2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309" w:type="pct"/>
            <w:tcBorders>
              <w:top w:val="single" w:color="000000" w:sz="8"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619" w:type="pc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设备名称</w:t>
            </w:r>
          </w:p>
        </w:tc>
        <w:tc>
          <w:tcPr>
            <w:tcW w:w="1158"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规格型号</w:t>
            </w:r>
          </w:p>
        </w:tc>
        <w:tc>
          <w:tcPr>
            <w:tcW w:w="676"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购置时间</w:t>
            </w:r>
          </w:p>
        </w:tc>
        <w:tc>
          <w:tcPr>
            <w:tcW w:w="401"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w:t>
            </w:r>
          </w:p>
        </w:tc>
        <w:tc>
          <w:tcPr>
            <w:tcW w:w="687"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数量</w:t>
            </w:r>
          </w:p>
        </w:tc>
        <w:tc>
          <w:tcPr>
            <w:tcW w:w="1146" w:type="pct"/>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氧气气体检测仪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GTD-3000Tx-O2</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restart"/>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4个不同种类的GTD-3000</w:t>
            </w:r>
            <w:r>
              <w:rPr>
                <w:rFonts w:hint="eastAsia" w:ascii="宋体" w:hAnsi="宋体" w:eastAsia="宋体" w:cs="宋体"/>
                <w:b w:val="0"/>
                <w:bCs/>
                <w:i w:val="0"/>
                <w:color w:val="000000"/>
                <w:kern w:val="0"/>
                <w:sz w:val="24"/>
                <w:szCs w:val="24"/>
                <w:u w:val="none"/>
                <w:lang w:val="en-US" w:eastAsia="zh-CN" w:bidi="ar"/>
              </w:rPr>
              <w:t>Tx检测仪与1台ASC-100控制器组成1整套固定式气体检测仪系统，</w:t>
            </w:r>
            <w:r>
              <w:rPr>
                <w:rFonts w:hint="eastAsia" w:ascii="宋体" w:hAnsi="宋体" w:eastAsia="宋体" w:cs="宋体"/>
                <w:i w:val="0"/>
                <w:color w:val="000000"/>
                <w:sz w:val="24"/>
                <w:szCs w:val="24"/>
                <w:u w:val="none"/>
                <w:lang w:val="en-US" w:eastAsia="zh-CN"/>
              </w:rPr>
              <w:t>安装于三期地下厂，共24套。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氨气气体检测仪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GTD-3000Tx-NH3</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7"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GTD-3000Tx-CH4</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1"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硫化氢气体检测仪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GTD-3000Tx-H2S</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6"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ASC-100</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continue"/>
            <w:tcBorders>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一氧化碳气体检测仪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MIC-500S-CO-A</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restart"/>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安装于三期干化车间，对应安装区域的不同种类的MIC</w:t>
            </w:r>
            <w:r>
              <w:rPr>
                <w:rFonts w:hint="eastAsia" w:ascii="宋体" w:hAnsi="宋体" w:eastAsia="宋体" w:cs="宋体"/>
                <w:b w:val="0"/>
                <w:bCs/>
                <w:i w:val="0"/>
                <w:color w:val="000000"/>
                <w:kern w:val="0"/>
                <w:sz w:val="24"/>
                <w:szCs w:val="24"/>
                <w:u w:val="none"/>
                <w:lang w:val="en-US" w:eastAsia="zh-CN" w:bidi="ar"/>
              </w:rPr>
              <w:t>-500S检测仪与1台MIC2000控制器组成1整套固定式气体检测仪系统，共5套。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7"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MIC-500S-CH4-A</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1"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硫化氢气体检测仪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MIC-500S-H2S-A</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MIC2000</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46" w:type="pct"/>
            <w:vMerge w:val="continue"/>
            <w:tcBorders>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一氧化碳气体检测仪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MOT200-CO</w:t>
            </w:r>
          </w:p>
        </w:tc>
        <w:tc>
          <w:tcPr>
            <w:tcW w:w="67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restart"/>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4个不同种类的</w:t>
            </w:r>
            <w:r>
              <w:rPr>
                <w:rFonts w:hint="eastAsia" w:ascii="宋体" w:hAnsi="宋体" w:eastAsia="宋体" w:cs="宋体"/>
                <w:b w:val="0"/>
                <w:bCs/>
                <w:i w:val="0"/>
                <w:color w:val="000000"/>
                <w:kern w:val="0"/>
                <w:sz w:val="24"/>
                <w:szCs w:val="24"/>
                <w:u w:val="none"/>
                <w:lang w:val="en-US" w:eastAsia="zh-CN" w:bidi="ar"/>
              </w:rPr>
              <w:t>MOT200检测仪与1台DN-1000控制器组成1整套固定式气体检测仪系统，共2套。</w:t>
            </w:r>
            <w:r>
              <w:rPr>
                <w:rFonts w:hint="eastAsia" w:ascii="宋体" w:hAnsi="宋体" w:eastAsia="宋体" w:cs="宋体"/>
                <w:i w:val="0"/>
                <w:color w:val="000000"/>
                <w:sz w:val="24"/>
                <w:szCs w:val="24"/>
                <w:u w:val="none"/>
                <w:lang w:val="en-US" w:eastAsia="zh-CN"/>
              </w:rPr>
              <w:t>分别安装于一二期干化车间负一层与初雨池负一层排泥泵房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氨气气体检测仪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MOT200-NH3</w:t>
            </w:r>
          </w:p>
        </w:tc>
        <w:tc>
          <w:tcPr>
            <w:tcW w:w="67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MOT200-CH4</w:t>
            </w:r>
          </w:p>
        </w:tc>
        <w:tc>
          <w:tcPr>
            <w:tcW w:w="67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硫化氢气体检测仪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MOT200-H2S</w:t>
            </w:r>
          </w:p>
        </w:tc>
        <w:tc>
          <w:tcPr>
            <w:tcW w:w="67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DN-1000</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continue"/>
            <w:tcBorders>
              <w:left w:val="single" w:color="000000"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4</w:t>
            </w:r>
          </w:p>
        </w:tc>
        <w:tc>
          <w:tcPr>
            <w:tcW w:w="61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AEC2336</w:t>
            </w:r>
          </w:p>
        </w:tc>
        <w:tc>
          <w:tcPr>
            <w:tcW w:w="67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w:t>
            </w:r>
          </w:p>
        </w:tc>
        <w:tc>
          <w:tcPr>
            <w:tcW w:w="1146" w:type="pct"/>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3个</w:t>
            </w:r>
            <w:r>
              <w:rPr>
                <w:rFonts w:hint="eastAsia" w:ascii="宋体" w:hAnsi="宋体" w:eastAsia="宋体" w:cs="宋体"/>
                <w:b w:val="0"/>
                <w:bCs/>
                <w:i w:val="0"/>
                <w:color w:val="000000"/>
                <w:kern w:val="0"/>
                <w:sz w:val="24"/>
                <w:szCs w:val="24"/>
                <w:u w:val="none"/>
                <w:lang w:val="en-US" w:eastAsia="zh-CN" w:bidi="ar"/>
              </w:rPr>
              <w:t>AEC2336的检测仪与1台AEC2303a控制器组成1整套固定式气体检测仪系统，</w:t>
            </w:r>
            <w:r>
              <w:rPr>
                <w:rFonts w:hint="eastAsia" w:ascii="宋体" w:hAnsi="宋体" w:eastAsia="宋体" w:cs="宋体"/>
                <w:i w:val="0"/>
                <w:color w:val="000000"/>
                <w:sz w:val="24"/>
                <w:szCs w:val="24"/>
                <w:u w:val="none"/>
                <w:lang w:val="en-US" w:eastAsia="zh-CN"/>
              </w:rPr>
              <w:t>安装于三期干化车间锅炉房，共1套。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4"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AEC2303a</w:t>
            </w:r>
          </w:p>
        </w:tc>
        <w:tc>
          <w:tcPr>
            <w:tcW w:w="67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w:t>
            </w:r>
          </w:p>
        </w:tc>
        <w:tc>
          <w:tcPr>
            <w:tcW w:w="1146" w:type="pct"/>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64"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GT-GST003M</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7</w:t>
            </w:r>
          </w:p>
        </w:tc>
        <w:tc>
          <w:tcPr>
            <w:tcW w:w="1146" w:type="pct"/>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7个</w:t>
            </w:r>
            <w:r>
              <w:rPr>
                <w:rFonts w:hint="eastAsia" w:ascii="宋体" w:hAnsi="宋体" w:eastAsia="宋体" w:cs="宋体"/>
                <w:b w:val="0"/>
                <w:bCs/>
                <w:i w:val="0"/>
                <w:color w:val="000000"/>
                <w:kern w:val="0"/>
                <w:sz w:val="24"/>
                <w:szCs w:val="24"/>
                <w:u w:val="none"/>
                <w:lang w:val="en-US" w:eastAsia="zh-CN" w:bidi="ar"/>
              </w:rPr>
              <w:t>GT-GST003M的检测仪与1台JB-KR-GSTN004控制器组成1整套固定式气体检测仪系统，</w:t>
            </w:r>
            <w:r>
              <w:rPr>
                <w:rFonts w:hint="eastAsia" w:ascii="宋体" w:hAnsi="宋体" w:eastAsia="宋体" w:cs="宋体"/>
                <w:i w:val="0"/>
                <w:color w:val="000000"/>
                <w:sz w:val="24"/>
                <w:szCs w:val="24"/>
                <w:u w:val="none"/>
                <w:lang w:val="en-US" w:eastAsia="zh-CN"/>
              </w:rPr>
              <w:t>安装于三期干化车间锅炉房，共1套。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966"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JB-KR-GSTN004</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146" w:type="pct"/>
            <w:vMerge w:val="continue"/>
            <w:tcBorders>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92"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6</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氯气气体检测仪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GND-20-CL2</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146"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2个GND-20-CL2检测仪组成1整套固定式气体检测仪系统，安装于一二期次氯酸钠储药区域，共1套。</w:t>
            </w:r>
          </w:p>
        </w:tc>
      </w:tr>
    </w:tbl>
    <w:p>
      <w:pPr>
        <w:pStyle w:val="27"/>
        <w:jc w:val="center"/>
        <w:rPr>
          <w:rFonts w:hint="eastAsia" w:ascii="仿宋" w:hAnsi="仿宋" w:eastAsia="仿宋" w:cs="仿宋"/>
          <w:w w:val="98"/>
          <w:sz w:val="32"/>
          <w:szCs w:val="32"/>
          <w:highlight w:val="none"/>
          <w:lang w:val="en-US" w:eastAsia="zh-CN"/>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default" w:ascii="仿宋_GB2312" w:hAnsi="仿宋_GB2312" w:eastAsia="仿宋_GB2312" w:cs="仿宋_GB2312"/>
          <w:kern w:val="0"/>
          <w:sz w:val="28"/>
          <w:szCs w:val="28"/>
          <w:highlight w:val="none"/>
          <w:shd w:val="clear" w:color="auto" w:fill="FFFFFF"/>
          <w:lang w:val="en-US" w:eastAsia="zh-CN" w:bidi="ar-SA"/>
        </w:rPr>
      </w:pPr>
      <w:r>
        <w:rPr>
          <w:rFonts w:hint="eastAsia" w:ascii="仿宋_GB2312" w:hAnsi="仿宋_GB2312" w:eastAsia="仿宋_GB2312" w:cs="仿宋_GB2312"/>
          <w:kern w:val="0"/>
          <w:sz w:val="28"/>
          <w:szCs w:val="28"/>
          <w:highlight w:val="none"/>
          <w:shd w:val="clear" w:color="auto" w:fill="FFFFFF"/>
          <w:lang w:val="en-US" w:eastAsia="zh-CN" w:bidi="ar-SA"/>
        </w:rPr>
        <w:t>表三：服务内容</w:t>
      </w:r>
    </w:p>
    <w:tbl>
      <w:tblPr>
        <w:tblStyle w:val="22"/>
        <w:tblW w:w="6369" w:type="pct"/>
        <w:tblInd w:w="-1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1"/>
        <w:gridCol w:w="3337"/>
        <w:gridCol w:w="2844"/>
        <w:gridCol w:w="1079"/>
        <w:gridCol w:w="927"/>
        <w:gridCol w:w="2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61" w:type="pct"/>
            <w:tcBorders>
              <w:top w:val="single" w:color="000000" w:sz="8"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76" w:type="pc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维保内容</w:t>
            </w:r>
          </w:p>
        </w:tc>
        <w:tc>
          <w:tcPr>
            <w:tcW w:w="1258"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规格型号</w:t>
            </w:r>
          </w:p>
        </w:tc>
        <w:tc>
          <w:tcPr>
            <w:tcW w:w="477"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0" w:type="pct"/>
            <w:tcBorders>
              <w:top w:val="single" w:color="000000" w:sz="8"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116" w:type="pct"/>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261" w:type="pct"/>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1476" w:type="pc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检查标定</w:t>
            </w:r>
          </w:p>
        </w:tc>
        <w:tc>
          <w:tcPr>
            <w:tcW w:w="1258"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便携式气体检测仪</w:t>
            </w:r>
          </w:p>
        </w:tc>
        <w:tc>
          <w:tcPr>
            <w:tcW w:w="477" w:type="pc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34</w:t>
            </w:r>
          </w:p>
        </w:tc>
        <w:tc>
          <w:tcPr>
            <w:tcW w:w="1116"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r>
              <w:rPr>
                <w:rFonts w:hint="eastAsia" w:ascii="宋体" w:hAnsi="宋体" w:eastAsia="宋体" w:cs="宋体"/>
                <w:b w:val="0"/>
                <w:bCs/>
                <w:i w:val="0"/>
                <w:color w:val="auto"/>
                <w:sz w:val="24"/>
                <w:szCs w:val="24"/>
                <w:u w:val="none"/>
                <w:lang w:val="en-US" w:eastAsia="zh-CN"/>
              </w:rPr>
              <w:t>邮寄检修，按实结算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2" w:hRule="atLeast"/>
        </w:trPr>
        <w:tc>
          <w:tcPr>
            <w:tcW w:w="261" w:type="pct"/>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1476" w:type="pc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检查标定</w:t>
            </w:r>
          </w:p>
        </w:tc>
        <w:tc>
          <w:tcPr>
            <w:tcW w:w="1258"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固定式气体检测仪</w:t>
            </w:r>
          </w:p>
        </w:tc>
        <w:tc>
          <w:tcPr>
            <w:tcW w:w="477" w:type="pc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套</w:t>
            </w:r>
          </w:p>
        </w:tc>
        <w:tc>
          <w:tcPr>
            <w:tcW w:w="410"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34</w:t>
            </w:r>
          </w:p>
        </w:tc>
        <w:tc>
          <w:tcPr>
            <w:tcW w:w="1116"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r>
              <w:rPr>
                <w:rFonts w:hint="eastAsia" w:ascii="宋体" w:hAnsi="宋体" w:eastAsia="宋体" w:cs="宋体"/>
                <w:b w:val="0"/>
                <w:bCs/>
                <w:i w:val="0"/>
                <w:color w:val="auto"/>
                <w:sz w:val="24"/>
                <w:szCs w:val="24"/>
                <w:u w:val="none"/>
                <w:lang w:val="en-US" w:eastAsia="zh-CN"/>
              </w:rPr>
              <w:t>现场检修，按实结算，共136个检测仪与35台控制器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5"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便携式气体检测仪主板</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维修或更换损坏便携式气体检测仪传感器主板</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更换损坏、严重老化的便携式气体检测仪电池模组</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10</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便携式气体检测仪采样泵</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便携式气体检测仪采样泵</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8"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更换损坏、严重老化的便携式气体检测仪一氧化碳传感器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FF0000"/>
                <w:sz w:val="24"/>
                <w:szCs w:val="24"/>
                <w:u w:val="none"/>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3"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1"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2"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7"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1"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MIC-500S-CH4-A、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MOT200-CH4、GT-GST003M、AEC2336</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GTD-3000Tx-CH4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4"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MIC-500S-CO-A、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MOT200-CO</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MIC-500S-H2S-A、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MOT200-H2S</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GTD-3000Tx-H2S</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更换损坏、严重老化的固定式气体检测仪氨气传感器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MOT200-NH3</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更换损坏、严重老化的固定式气体检测仪氨气传感器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GTD-3000Tx-NH3</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05"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GTD-3000Tx-O2</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bl>
    <w:p>
      <w:pPr>
        <w:pStyle w:val="27"/>
        <w:jc w:val="center"/>
        <w:rPr>
          <w:rFonts w:hint="eastAsia" w:ascii="仿宋" w:hAnsi="仿宋" w:eastAsia="仿宋" w:cs="仿宋"/>
          <w:w w:val="98"/>
          <w:sz w:val="32"/>
          <w:szCs w:val="32"/>
          <w:highlight w:val="none"/>
          <w:lang w:val="en-US" w:eastAsia="zh-CN"/>
        </w:rPr>
      </w:pPr>
    </w:p>
    <w:p>
      <w:pPr>
        <w:pStyle w:val="2"/>
        <w:ind w:left="0" w:leftChars="0" w:firstLine="0" w:firstLineChars="0"/>
        <w:rPr>
          <w:rFonts w:hint="eastAsia"/>
          <w:color w:val="auto"/>
          <w:highlight w:val="none"/>
        </w:rPr>
      </w:pPr>
    </w:p>
    <w:bookmarkEnd w:id="60"/>
    <w:p>
      <w:pPr>
        <w:ind w:firstLine="420" w:firstLineChars="200"/>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3"/>
        <w:rPr>
          <w:rFonts w:hint="eastAsia"/>
          <w:color w:val="auto"/>
          <w:highlight w:val="none"/>
        </w:rPr>
      </w:pPr>
      <w:bookmarkStart w:id="61" w:name="_Toc23353"/>
      <w:bookmarkStart w:id="62" w:name="_Toc1284"/>
      <w:bookmarkStart w:id="63" w:name="_Toc15570"/>
      <w:bookmarkStart w:id="64" w:name="_Toc12135"/>
      <w:bookmarkStart w:id="65" w:name="_Toc537"/>
      <w:bookmarkStart w:id="66" w:name="_Toc25925"/>
      <w:bookmarkStart w:id="67" w:name="_Toc23330"/>
      <w:bookmarkStart w:id="68" w:name="_Toc18538"/>
      <w:bookmarkStart w:id="69" w:name="_Toc1496"/>
      <w:bookmarkStart w:id="70" w:name="_Toc29835"/>
      <w:bookmarkStart w:id="71" w:name="_Toc4680"/>
    </w:p>
    <w:p>
      <w:pPr>
        <w:pStyle w:val="3"/>
        <w:rPr>
          <w:rFonts w:hint="eastAsia"/>
          <w:color w:val="auto"/>
          <w:highlight w:val="none"/>
        </w:rPr>
      </w:pPr>
    </w:p>
    <w:p>
      <w:pPr>
        <w:pStyle w:val="3"/>
        <w:rPr>
          <w:color w:val="auto"/>
          <w:highlight w:val="none"/>
        </w:rPr>
      </w:pPr>
      <w:r>
        <w:rPr>
          <w:color w:val="auto"/>
          <w:highlight w:val="none"/>
        </w:rPr>
        <w:pict>
          <v:shape id="_x0000_s2057" o:spid="_x0000_s2057" o:spt="32" type="#_x0000_t32" style="position:absolute;left:0pt;margin-left:182.1pt;margin-top:43.05pt;height:0pt;width:75.5pt;z-index:251665408;mso-width-relative:page;mso-height-relative:page;" o:connectortype="straight" filled="f" coordsize="21600,21600">
            <v:path arrowok="t"/>
            <v:fill on="f" focussize="0,0"/>
            <v:stroke/>
            <v:imagedata o:title=""/>
            <o:lock v:ext="edit"/>
          </v:shape>
        </w:pict>
      </w:r>
      <w:r>
        <w:rPr>
          <w:color w:val="auto"/>
          <w:highlight w:val="none"/>
        </w:rPr>
        <w:pict>
          <v:shape id="_x0000_s2056" o:spid="_x0000_s2056" o:spt="32" type="#_x0000_t32" style="position:absolute;left:0pt;margin-left:184.1pt;margin-top:2.3pt;height:0pt;width:75.5pt;z-index:251664384;mso-width-relative:page;mso-height-relative:page;" o:connectortype="straight" filled="f" coordsize="21600,21600">
            <v:path arrowok="t"/>
            <v:fill on="f" focussize="0,0"/>
            <v:stroke/>
            <v:imagedata o:title=""/>
            <o:lock v:ext="edit"/>
          </v:shape>
        </w:pic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6"/>
        <w:rPr>
          <w:color w:val="auto"/>
          <w:highlight w:val="none"/>
        </w:rPr>
      </w:pPr>
    </w:p>
    <w:p>
      <w:pPr>
        <w:pStyle w:val="3"/>
        <w:rPr>
          <w:color w:val="auto"/>
          <w:highlight w:val="none"/>
        </w:rPr>
      </w:pPr>
      <w:bookmarkStart w:id="72" w:name="_Toc88209949"/>
      <w:bookmarkStart w:id="73" w:name="_Toc19686"/>
      <w:bookmarkStart w:id="74" w:name="_Toc22797"/>
      <w:bookmarkStart w:id="75" w:name="_Toc22501"/>
      <w:bookmarkStart w:id="76" w:name="_Toc13309"/>
      <w:bookmarkStart w:id="77" w:name="_Toc8183"/>
      <w:bookmarkStart w:id="78" w:name="_Toc12968"/>
      <w:bookmarkStart w:id="79" w:name="_Toc323"/>
      <w:bookmarkStart w:id="80" w:name="_Toc19088"/>
      <w:bookmarkStart w:id="81" w:name="_Toc12721"/>
      <w:bookmarkStart w:id="82" w:name="_Toc87616386"/>
      <w:bookmarkStart w:id="83" w:name="_Toc12980"/>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spacing w:line="400" w:lineRule="atLeast"/>
        <w:jc w:val="center"/>
        <w:rPr>
          <w:rFonts w:ascii="宋体" w:hAnsi="宋体" w:cs="宋体"/>
          <w:b/>
          <w:bCs/>
          <w:sz w:val="48"/>
          <w:szCs w:val="48"/>
          <w:highlight w:val="none"/>
        </w:rPr>
      </w:pPr>
      <w:r>
        <w:rPr>
          <w:rFonts w:hint="eastAsia" w:ascii="宋体" w:hAnsi="宋体" w:cs="宋体"/>
          <w:b/>
          <w:bCs/>
          <w:sz w:val="48"/>
          <w:szCs w:val="48"/>
          <w:highlight w:val="none"/>
        </w:rPr>
        <w:t>广州市净水有限公司</w:t>
      </w:r>
    </w:p>
    <w:p>
      <w:pPr>
        <w:spacing w:line="400" w:lineRule="atLeast"/>
        <w:jc w:val="center"/>
        <w:rPr>
          <w:rFonts w:asciiTheme="majorHAnsi" w:hAnsiTheme="majorHAnsi" w:eastAsiaTheme="majorEastAsia"/>
          <w:b/>
          <w:bCs/>
          <w:sz w:val="52"/>
          <w:szCs w:val="52"/>
          <w:highlight w:val="none"/>
        </w:rPr>
      </w:pPr>
      <w:r>
        <w:rPr>
          <w:rFonts w:hint="eastAsia" w:ascii="宋体" w:hAnsi="宋体" w:cs="宋体"/>
          <w:b/>
          <w:bCs/>
          <w:sz w:val="48"/>
          <w:szCs w:val="48"/>
          <w:highlight w:val="none"/>
        </w:rPr>
        <w:t>设备维修维护/技改项目合同</w:t>
      </w:r>
    </w:p>
    <w:p>
      <w:pPr>
        <w:spacing w:line="400" w:lineRule="atLeast"/>
        <w:jc w:val="center"/>
        <w:rPr>
          <w:rFonts w:ascii="宋体" w:hAnsi="宋体"/>
          <w:bCs/>
          <w:sz w:val="28"/>
          <w:highlight w:val="none"/>
        </w:rPr>
      </w:pPr>
    </w:p>
    <w:p>
      <w:pPr>
        <w:spacing w:line="0" w:lineRule="atLeast"/>
        <w:rPr>
          <w:rFonts w:ascii="宋体" w:hAnsi="宋体"/>
          <w:b/>
          <w:sz w:val="30"/>
          <w:highlight w:val="none"/>
        </w:rPr>
      </w:pPr>
    </w:p>
    <w:p>
      <w:pPr>
        <w:spacing w:line="0" w:lineRule="atLeast"/>
        <w:rPr>
          <w:rFonts w:ascii="仿宋_GB2312" w:hAnsi="宋体" w:eastAsia="仿宋_GB2312"/>
          <w:b/>
          <w:sz w:val="30"/>
          <w:szCs w:val="30"/>
          <w:highlight w:val="none"/>
        </w:rPr>
      </w:pPr>
    </w:p>
    <w:p>
      <w:pPr>
        <w:spacing w:line="0" w:lineRule="atLeast"/>
        <w:ind w:left="1506" w:hanging="1506" w:hangingChars="500"/>
        <w:rPr>
          <w:rFonts w:hint="eastAsia" w:ascii="宋体" w:hAnsi="宋体" w:cs="宋体"/>
          <w:b/>
          <w:sz w:val="30"/>
          <w:szCs w:val="30"/>
          <w:highlight w:val="none"/>
        </w:rPr>
      </w:pPr>
      <w:r>
        <w:rPr>
          <w:rFonts w:hint="eastAsia" w:ascii="宋体" w:hAnsi="宋体" w:cs="宋体"/>
          <w:b/>
          <w:sz w:val="30"/>
          <w:szCs w:val="30"/>
          <w:highlight w:val="none"/>
        </w:rPr>
        <w:t>项目名称: 广州市净水有限公司沥滘分公司2023年便携式和固定式气体检测仪年度检修维保</w:t>
      </w:r>
      <w:r>
        <w:rPr>
          <w:rFonts w:hint="eastAsia" w:ascii="宋体" w:hAnsi="宋体" w:cs="宋体"/>
          <w:b/>
          <w:sz w:val="30"/>
          <w:szCs w:val="30"/>
          <w:highlight w:val="none"/>
          <w:lang w:val="en-US" w:eastAsia="zh-CN"/>
        </w:rPr>
        <w:t>项目</w:t>
      </w:r>
    </w:p>
    <w:p>
      <w:pPr>
        <w:pStyle w:val="27"/>
        <w:rPr>
          <w:rFonts w:hint="eastAsia" w:ascii="宋体" w:hAnsi="宋体" w:eastAsia="宋体" w:cs="宋体"/>
          <w:b/>
          <w:sz w:val="30"/>
          <w:szCs w:val="30"/>
          <w:highlight w:val="none"/>
          <w:lang w:val="en-US" w:eastAsia="zh-CN"/>
        </w:rPr>
      </w:pPr>
      <w:r>
        <w:rPr>
          <w:rFonts w:hint="eastAsia" w:ascii="宋体" w:hAnsi="宋体" w:eastAsia="宋体" w:cs="宋体"/>
          <w:b/>
          <w:sz w:val="30"/>
          <w:szCs w:val="30"/>
          <w:highlight w:val="none"/>
          <w:lang w:val="en-US" w:eastAsia="zh-CN"/>
        </w:rPr>
        <w:t>项目编号：</w:t>
      </w:r>
    </w:p>
    <w:p>
      <w:pPr>
        <w:pStyle w:val="27"/>
        <w:rPr>
          <w:rFonts w:hint="eastAsia" w:ascii="宋体" w:hAnsi="宋体" w:eastAsia="宋体" w:cs="宋体"/>
          <w:highlight w:val="none"/>
          <w:lang w:val="en-US" w:eastAsia="zh-CN"/>
        </w:rPr>
      </w:pPr>
    </w:p>
    <w:p>
      <w:pPr>
        <w:spacing w:line="400" w:lineRule="atLeast"/>
        <w:rPr>
          <w:rFonts w:ascii="宋体" w:hAnsi="宋体" w:cs="宋体"/>
          <w:b/>
          <w:sz w:val="30"/>
          <w:szCs w:val="30"/>
          <w:highlight w:val="none"/>
        </w:rPr>
      </w:pPr>
    </w:p>
    <w:p>
      <w:pPr>
        <w:spacing w:line="480" w:lineRule="auto"/>
        <w:rPr>
          <w:rFonts w:ascii="宋体" w:hAnsi="宋体" w:cs="宋体"/>
          <w:b/>
          <w:bCs/>
          <w:sz w:val="30"/>
          <w:szCs w:val="30"/>
          <w:highlight w:val="none"/>
        </w:rPr>
      </w:pPr>
      <w:r>
        <w:rPr>
          <w:rFonts w:hint="eastAsia" w:ascii="宋体" w:hAnsi="宋体" w:cs="宋体"/>
          <w:b/>
          <w:sz w:val="30"/>
          <w:szCs w:val="30"/>
          <w:highlight w:val="none"/>
        </w:rPr>
        <w:t>合同编号：</w:t>
      </w:r>
      <w:r>
        <w:rPr>
          <w:rFonts w:hint="eastAsia" w:ascii="宋体" w:hAnsi="宋体" w:cs="宋体"/>
          <w:b/>
          <w:bCs/>
          <w:sz w:val="30"/>
          <w:szCs w:val="30"/>
          <w:highlight w:val="none"/>
        </w:rPr>
        <w:t>穗净水合[     ]    号</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甲方： 广州市净水有限公司</w:t>
      </w:r>
    </w:p>
    <w:p>
      <w:pPr>
        <w:spacing w:line="400" w:lineRule="atLeast"/>
        <w:rPr>
          <w:rFonts w:ascii="宋体" w:hAnsi="宋体" w:cs="宋体"/>
          <w:b/>
          <w:sz w:val="30"/>
          <w:szCs w:val="30"/>
          <w:highlight w:val="none"/>
        </w:rPr>
      </w:pPr>
    </w:p>
    <w:p>
      <w:pPr>
        <w:spacing w:line="400" w:lineRule="atLeast"/>
        <w:rPr>
          <w:rFonts w:ascii="宋体" w:hAnsi="宋体" w:cs="宋体"/>
          <w:b/>
          <w:sz w:val="30"/>
          <w:szCs w:val="30"/>
          <w:highlight w:val="none"/>
        </w:rPr>
      </w:pPr>
      <w:r>
        <w:rPr>
          <w:rFonts w:hint="eastAsia" w:ascii="宋体" w:hAnsi="宋体" w:cs="宋体"/>
          <w:b/>
          <w:sz w:val="30"/>
          <w:szCs w:val="30"/>
          <w:highlight w:val="none"/>
        </w:rPr>
        <w:t>乙方</w:t>
      </w:r>
      <w:r>
        <w:rPr>
          <w:rFonts w:hint="eastAsia" w:ascii="宋体" w:hAnsi="宋体" w:cs="宋体"/>
          <w:sz w:val="30"/>
          <w:szCs w:val="30"/>
          <w:highlight w:val="none"/>
        </w:rPr>
        <w:t>：</w:t>
      </w:r>
    </w:p>
    <w:p>
      <w:pPr>
        <w:spacing w:line="400" w:lineRule="atLeast"/>
        <w:rPr>
          <w:rFonts w:ascii="宋体" w:hAnsi="宋体" w:cs="宋体"/>
          <w:b/>
          <w:sz w:val="30"/>
          <w:szCs w:val="30"/>
          <w:highlight w:val="none"/>
        </w:rPr>
      </w:pPr>
    </w:p>
    <w:p>
      <w:pPr>
        <w:pStyle w:val="27"/>
      </w:pPr>
    </w:p>
    <w:p>
      <w:pPr>
        <w:spacing w:line="400" w:lineRule="atLeast"/>
        <w:rPr>
          <w:rFonts w:ascii="宋体" w:hAnsi="宋体" w:cs="宋体"/>
          <w:b/>
          <w:sz w:val="30"/>
          <w:szCs w:val="30"/>
          <w:highlight w:val="none"/>
        </w:rPr>
      </w:pPr>
      <w:r>
        <w:rPr>
          <w:rFonts w:hint="eastAsia" w:ascii="宋体" w:hAnsi="宋体" w:cs="宋体"/>
          <w:b/>
          <w:sz w:val="30"/>
          <w:szCs w:val="30"/>
          <w:highlight w:val="none"/>
        </w:rPr>
        <w:t xml:space="preserve">签订日期：       年   月   日       </w:t>
      </w:r>
    </w:p>
    <w:p>
      <w:pPr>
        <w:spacing w:line="400" w:lineRule="atLeast"/>
        <w:rPr>
          <w:rFonts w:ascii="宋体" w:hAnsi="宋体" w:cs="宋体"/>
          <w:b/>
          <w:sz w:val="30"/>
          <w:highlight w:val="none"/>
        </w:rPr>
      </w:pPr>
      <w:r>
        <w:rPr>
          <w:rFonts w:hint="eastAsia" w:ascii="宋体" w:hAnsi="宋体" w:cs="宋体"/>
          <w:b/>
          <w:sz w:val="30"/>
          <w:highlight w:val="none"/>
        </w:rPr>
        <w:t>签约地点：广州市</w:t>
      </w:r>
    </w:p>
    <w:p>
      <w:pPr>
        <w:pStyle w:val="21"/>
        <w:ind w:firstLine="0"/>
        <w:rPr>
          <w:highlight w:val="none"/>
        </w:rPr>
      </w:pPr>
    </w:p>
    <w:p>
      <w:pPr>
        <w:pStyle w:val="21"/>
        <w:ind w:firstLine="0"/>
        <w:rPr>
          <w:highlight w:val="none"/>
        </w:rPr>
      </w:pPr>
    </w:p>
    <w:p>
      <w:pPr>
        <w:pStyle w:val="21"/>
        <w:ind w:firstLine="0"/>
        <w:rPr>
          <w:highlight w:val="none"/>
        </w:rPr>
      </w:pPr>
    </w:p>
    <w:p>
      <w:pPr>
        <w:spacing w:beforeLines="30" w:line="384" w:lineRule="auto"/>
        <w:ind w:left="210" w:leftChars="100" w:firstLine="600" w:firstLineChars="250"/>
        <w:rPr>
          <w:rFonts w:ascii="宋体" w:hAnsi="宋体" w:cs="宋体"/>
          <w:sz w:val="24"/>
          <w:highlight w:val="none"/>
        </w:rPr>
      </w:pPr>
      <w:r>
        <w:rPr>
          <w:rFonts w:hint="eastAsia" w:ascii="宋体" w:hAnsi="宋体" w:cs="宋体"/>
          <w:sz w:val="24"/>
          <w:highlight w:val="none"/>
        </w:rPr>
        <w:t>根据《中华人民共和国</w:t>
      </w:r>
      <w:r>
        <w:rPr>
          <w:rFonts w:hint="eastAsia" w:ascii="宋体" w:hAnsi="宋体" w:cs="宋体"/>
          <w:sz w:val="24"/>
          <w:highlight w:val="none"/>
          <w:lang w:val="en-US" w:eastAsia="zh-CN"/>
        </w:rPr>
        <w:t>民法典</w:t>
      </w:r>
      <w:r>
        <w:rPr>
          <w:rFonts w:hint="eastAsia" w:ascii="宋体" w:hAnsi="宋体" w:cs="宋体"/>
          <w:sz w:val="24"/>
          <w:highlight w:val="none"/>
        </w:rPr>
        <w:t>》及其他有关法律、行政法规，</w:t>
      </w:r>
      <w:r>
        <w:rPr>
          <w:rFonts w:hint="eastAsia" w:ascii="宋体" w:hAnsi="宋体" w:cs="宋体"/>
          <w:sz w:val="24"/>
          <w:highlight w:val="none"/>
          <w:u w:val="single"/>
        </w:rPr>
        <w:t>广州市净水有限公司</w:t>
      </w:r>
      <w:r>
        <w:rPr>
          <w:rFonts w:hint="eastAsia" w:ascii="宋体" w:hAnsi="宋体" w:cs="宋体"/>
          <w:sz w:val="24"/>
          <w:highlight w:val="none"/>
        </w:rPr>
        <w:t xml:space="preserve"> （以下简称“甲方”）与 </w:t>
      </w:r>
      <w:r>
        <w:rPr>
          <w:rFonts w:hint="eastAsia" w:ascii="宋体" w:hAnsi="宋体" w:cs="宋体"/>
          <w:sz w:val="24"/>
          <w:highlight w:val="none"/>
          <w:u w:val="single"/>
          <w:lang w:eastAsia="zh-CN"/>
        </w:rPr>
        <w:t>…</w:t>
      </w:r>
      <w:r>
        <w:rPr>
          <w:rFonts w:hint="eastAsia" w:ascii="宋体" w:hAnsi="宋体" w:cs="宋体"/>
          <w:sz w:val="24"/>
          <w:highlight w:val="none"/>
        </w:rPr>
        <w:t>（以下简称“乙方”）就</w:t>
      </w:r>
      <w:r>
        <w:rPr>
          <w:rFonts w:hint="eastAsia" w:ascii="宋体" w:hAnsi="宋体" w:cs="宋体"/>
          <w:sz w:val="24"/>
          <w:highlight w:val="none"/>
          <w:u w:val="single"/>
        </w:rPr>
        <w:t>广州市净水有限公司沥滘分公司2023年便携式和固定式气体检测仪年度检修维保项目</w:t>
      </w:r>
      <w:r>
        <w:rPr>
          <w:rFonts w:hint="eastAsia" w:ascii="宋体" w:hAnsi="宋体" w:cs="宋体"/>
          <w:sz w:val="24"/>
          <w:highlight w:val="none"/>
        </w:rPr>
        <w:t>承接工作事宜，遵循平等、自愿、公平和诚实信用的原则，双方协商一致，订立本合同。</w:t>
      </w:r>
    </w:p>
    <w:p>
      <w:pPr>
        <w:spacing w:beforeLines="30" w:line="384" w:lineRule="auto"/>
        <w:ind w:left="210" w:leftChars="100" w:firstLine="482" w:firstLineChars="200"/>
        <w:rPr>
          <w:rFonts w:ascii="宋体" w:hAnsi="宋体" w:cs="宋体"/>
          <w:b/>
          <w:bCs/>
          <w:sz w:val="24"/>
          <w:highlight w:val="none"/>
        </w:rPr>
      </w:pPr>
      <w:r>
        <w:rPr>
          <w:rFonts w:hint="eastAsia" w:ascii="宋体" w:hAnsi="宋体" w:cs="宋体"/>
          <w:b/>
          <w:bCs/>
          <w:sz w:val="24"/>
          <w:highlight w:val="none"/>
        </w:rPr>
        <w:t>第一条 组成合同的文件及优先顺序</w:t>
      </w:r>
    </w:p>
    <w:p>
      <w:pPr>
        <w:spacing w:line="384" w:lineRule="auto"/>
        <w:ind w:firstLine="482"/>
        <w:rPr>
          <w:rFonts w:ascii="宋体" w:hAnsi="宋体" w:cs="宋体"/>
          <w:bCs/>
          <w:sz w:val="24"/>
          <w:highlight w:val="none"/>
        </w:rPr>
      </w:pPr>
      <w:r>
        <w:rPr>
          <w:rFonts w:hint="eastAsia" w:hAnsi="宋体" w:cs="宋体"/>
          <w:bCs/>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highlight w:val="none"/>
        </w:rPr>
      </w:pPr>
      <w:r>
        <w:rPr>
          <w:rFonts w:hint="eastAsia" w:ascii="宋体" w:hAnsi="宋体" w:cs="宋体"/>
          <w:bCs/>
          <w:sz w:val="24"/>
          <w:highlight w:val="none"/>
        </w:rPr>
        <w:t xml:space="preserve">⑴ </w:t>
      </w:r>
      <w:r>
        <w:rPr>
          <w:rFonts w:hint="eastAsia" w:ascii="宋体" w:hAnsi="宋体" w:cs="宋体"/>
          <w:sz w:val="24"/>
          <w:highlight w:val="none"/>
        </w:rPr>
        <w:t>在本合同实施过程双方签署的补充与修正文件</w:t>
      </w:r>
      <w:r>
        <w:rPr>
          <w:rFonts w:hint="eastAsia" w:ascii="宋体" w:hAnsi="宋体" w:cs="宋体"/>
          <w:bCs/>
          <w:sz w:val="24"/>
          <w:highlight w:val="none"/>
        </w:rPr>
        <w:t>；</w:t>
      </w:r>
    </w:p>
    <w:p>
      <w:pPr>
        <w:spacing w:line="384" w:lineRule="auto"/>
        <w:ind w:firstLine="482"/>
        <w:rPr>
          <w:rFonts w:ascii="宋体" w:hAnsi="宋体" w:cs="宋体"/>
          <w:bCs/>
          <w:sz w:val="24"/>
          <w:highlight w:val="none"/>
        </w:rPr>
      </w:pPr>
      <w:r>
        <w:rPr>
          <w:rFonts w:hint="eastAsia" w:ascii="宋体" w:hAnsi="宋体" w:cs="宋体"/>
          <w:bCs/>
          <w:sz w:val="24"/>
          <w:highlight w:val="none"/>
        </w:rPr>
        <w:t>⑵ 本合同书；</w:t>
      </w:r>
    </w:p>
    <w:p>
      <w:pPr>
        <w:spacing w:line="384" w:lineRule="auto"/>
        <w:ind w:firstLine="482"/>
        <w:rPr>
          <w:rFonts w:ascii="宋体" w:hAnsi="宋体" w:cs="宋体"/>
          <w:bCs/>
          <w:sz w:val="24"/>
          <w:highlight w:val="none"/>
        </w:rPr>
      </w:pPr>
      <w:r>
        <w:rPr>
          <w:rFonts w:hint="eastAsia" w:ascii="宋体" w:hAnsi="宋体" w:cs="宋体"/>
          <w:bCs/>
          <w:sz w:val="24"/>
          <w:highlight w:val="none"/>
        </w:rPr>
        <w:t>⑶ 中标通知书/发包通知书/</w:t>
      </w:r>
      <w:r>
        <w:rPr>
          <w:rFonts w:hint="eastAsia" w:ascii="宋体" w:hAnsi="宋体" w:cs="宋体"/>
          <w:bCs/>
          <w:sz w:val="24"/>
          <w:highlight w:val="none"/>
          <w:lang w:val="en-US" w:eastAsia="zh-CN"/>
        </w:rPr>
        <w:t>成交通知书/</w:t>
      </w:r>
      <w:r>
        <w:rPr>
          <w:rFonts w:hint="eastAsia" w:ascii="宋体" w:hAnsi="宋体" w:cs="宋体"/>
          <w:bCs/>
          <w:sz w:val="24"/>
          <w:highlight w:val="none"/>
        </w:rPr>
        <w:t>委托函；</w:t>
      </w:r>
    </w:p>
    <w:p>
      <w:pPr>
        <w:spacing w:line="384" w:lineRule="auto"/>
        <w:ind w:firstLine="482"/>
        <w:rPr>
          <w:rFonts w:ascii="宋体" w:hAnsi="宋体" w:cs="宋体"/>
          <w:bCs/>
          <w:sz w:val="24"/>
          <w:highlight w:val="none"/>
        </w:rPr>
      </w:pPr>
      <w:r>
        <w:rPr>
          <w:rFonts w:hint="eastAsia" w:ascii="宋体" w:hAnsi="宋体" w:cs="宋体"/>
          <w:bCs/>
          <w:sz w:val="24"/>
          <w:highlight w:val="none"/>
        </w:rPr>
        <w:t>⑷ 招标文件/询价文件；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⑸ 投标文件/响应文件；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⑹ 标准、规范及有关技术性文件；</w:t>
      </w:r>
    </w:p>
    <w:p>
      <w:pPr>
        <w:spacing w:line="384" w:lineRule="auto"/>
        <w:ind w:firstLine="482"/>
        <w:rPr>
          <w:rFonts w:ascii="宋体" w:hAnsi="宋体" w:cs="宋体"/>
          <w:bCs/>
          <w:sz w:val="24"/>
          <w:highlight w:val="none"/>
        </w:rPr>
      </w:pPr>
      <w:r>
        <w:rPr>
          <w:rFonts w:hint="eastAsia" w:ascii="宋体" w:hAnsi="宋体" w:cs="宋体"/>
          <w:bCs/>
          <w:sz w:val="24"/>
          <w:highlight w:val="none"/>
        </w:rPr>
        <w:t>⑺ 图纸；</w:t>
      </w:r>
    </w:p>
    <w:p>
      <w:pPr>
        <w:spacing w:line="384" w:lineRule="auto"/>
        <w:ind w:firstLine="482"/>
        <w:rPr>
          <w:rFonts w:ascii="宋体" w:hAnsi="宋体" w:cs="宋体"/>
          <w:bCs/>
          <w:sz w:val="24"/>
          <w:highlight w:val="none"/>
        </w:rPr>
      </w:pPr>
      <w:r>
        <w:rPr>
          <w:rFonts w:hint="eastAsia" w:ascii="宋体" w:hAnsi="宋体" w:cs="宋体"/>
          <w:bCs/>
          <w:sz w:val="24"/>
          <w:highlight w:val="none"/>
        </w:rPr>
        <w:t>⑻ 工程量清单/</w:t>
      </w:r>
      <w:r>
        <w:rPr>
          <w:rFonts w:hint="eastAsia" w:ascii="宋体" w:hAnsi="宋体" w:cs="宋体"/>
          <w:sz w:val="24"/>
          <w:highlight w:val="none"/>
        </w:rPr>
        <w:t>工程报价单或预算书；</w:t>
      </w:r>
    </w:p>
    <w:p>
      <w:pPr>
        <w:spacing w:line="384" w:lineRule="auto"/>
        <w:ind w:firstLine="482"/>
        <w:rPr>
          <w:rFonts w:ascii="宋体" w:hAnsi="宋体" w:cs="宋体"/>
          <w:bCs/>
          <w:sz w:val="24"/>
          <w:highlight w:val="none"/>
        </w:rPr>
      </w:pPr>
      <w:r>
        <w:rPr>
          <w:rFonts w:hint="eastAsia" w:ascii="宋体" w:hAnsi="宋体" w:cs="宋体"/>
          <w:bCs/>
          <w:sz w:val="24"/>
          <w:highlight w:val="none"/>
        </w:rPr>
        <w:t>⑼ 本合同其他附件；</w:t>
      </w:r>
    </w:p>
    <w:p>
      <w:pPr>
        <w:spacing w:line="384" w:lineRule="auto"/>
        <w:ind w:firstLine="482"/>
        <w:rPr>
          <w:rFonts w:ascii="宋体" w:hAnsi="宋体" w:cs="宋体"/>
          <w:b/>
          <w:bCs/>
          <w:sz w:val="24"/>
          <w:highlight w:val="none"/>
        </w:rPr>
      </w:pPr>
      <w:r>
        <w:rPr>
          <w:rFonts w:hint="eastAsia" w:ascii="宋体" w:hAnsi="宋体" w:cs="宋体"/>
          <w:b/>
          <w:bCs/>
          <w:sz w:val="24"/>
          <w:highlight w:val="none"/>
        </w:rPr>
        <w:t>第二条 项目概况、项目承包范围</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2.1项目名称：</w:t>
      </w:r>
      <w:r>
        <w:rPr>
          <w:rFonts w:hint="eastAsia" w:ascii="宋体" w:hAnsi="宋体" w:cs="宋体"/>
          <w:sz w:val="24"/>
          <w:highlight w:val="none"/>
          <w:u w:val="single"/>
        </w:rPr>
        <w:t>广州市净水有限公司沥滘分公司2023年便携式和固定式气体检测仪年度检修维保项目。</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 xml:space="preserve">2.2项目地点： </w:t>
      </w:r>
      <w:r>
        <w:rPr>
          <w:rFonts w:hint="eastAsia" w:ascii="宋体" w:hAnsi="宋体" w:cs="宋体"/>
          <w:sz w:val="24"/>
          <w:highlight w:val="none"/>
          <w:u w:val="single"/>
          <w:lang w:val="en-US" w:eastAsia="zh-CN"/>
        </w:rPr>
        <w:t>广州市海珠区南洲路1375号</w:t>
      </w:r>
      <w:r>
        <w:rPr>
          <w:rFonts w:hint="eastAsia" w:ascii="宋体" w:hAnsi="宋体" w:cs="宋体"/>
          <w:sz w:val="24"/>
          <w:highlight w:val="none"/>
          <w:u w:val="single"/>
        </w:rPr>
        <w:t>。</w:t>
      </w:r>
    </w:p>
    <w:p>
      <w:pPr>
        <w:spacing w:line="384" w:lineRule="auto"/>
        <w:ind w:firstLine="480" w:firstLineChars="200"/>
        <w:rPr>
          <w:rFonts w:ascii="宋体" w:hAnsi="宋体" w:cs="宋体"/>
          <w:spacing w:val="8"/>
          <w:sz w:val="24"/>
          <w:highlight w:val="none"/>
        </w:rPr>
      </w:pPr>
      <w:r>
        <w:rPr>
          <w:rFonts w:hint="eastAsia" w:ascii="宋体" w:hAnsi="宋体" w:cs="宋体"/>
          <w:sz w:val="24"/>
          <w:highlight w:val="none"/>
        </w:rPr>
        <w:t>2.3项目内容：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计划</w:t>
      </w:r>
      <w:r>
        <w:rPr>
          <w:rFonts w:hint="eastAsia" w:ascii="宋体" w:hAnsi="宋体" w:cs="宋体"/>
          <w:sz w:val="24"/>
          <w:highlight w:val="none"/>
          <w:u w:val="single"/>
        </w:rPr>
        <w:t>对厂区便携式和固定式气体检测仪及其报警控制器实行分批次检修维保服务，检测维保完毕后出具检测报告，全年检测覆盖厂区所有的气体检测仪及其报警控制器</w:t>
      </w:r>
      <w:r>
        <w:rPr>
          <w:rFonts w:hint="eastAsia" w:ascii="宋体" w:hAnsi="宋体" w:cs="宋体"/>
          <w:sz w:val="24"/>
          <w:highlight w:val="none"/>
          <w:u w:val="single"/>
          <w:lang w:val="en-US" w:eastAsia="zh-CN"/>
        </w:rPr>
        <w:t>（详见工程量清单）。</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第三条 项目承包方式</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sym w:font="Wingdings 2" w:char="0052"/>
      </w:r>
      <w:r>
        <w:rPr>
          <w:rFonts w:hint="eastAsia" w:ascii="宋体" w:hAnsi="宋体" w:cs="宋体"/>
          <w:sz w:val="24"/>
          <w:highlight w:val="none"/>
        </w:rPr>
        <w:t>包工、包料、包工期、包质量、包安全、包文明施工。综合单价包干、项目措施费按实结算。（单价包干要求附工程量报价</w:t>
      </w:r>
      <w:r>
        <w:rPr>
          <w:rFonts w:ascii="宋体" w:hAnsi="宋体" w:cs="宋体"/>
          <w:sz w:val="24"/>
          <w:highlight w:val="none"/>
        </w:rPr>
        <w:t>/</w:t>
      </w:r>
      <w:r>
        <w:rPr>
          <w:rFonts w:hint="eastAsia" w:ascii="宋体" w:hAnsi="宋体" w:cs="宋体"/>
          <w:sz w:val="24"/>
          <w:highlight w:val="none"/>
        </w:rPr>
        <w:t>工程预算书）</w:t>
      </w:r>
    </w:p>
    <w:p>
      <w:pPr>
        <w:spacing w:line="384" w:lineRule="auto"/>
        <w:ind w:firstLine="420" w:firstLineChars="200"/>
        <w:rPr>
          <w:rFonts w:ascii="宋体" w:hAnsi="宋体" w:cs="宋体"/>
          <w:sz w:val="24"/>
          <w:highlight w:val="none"/>
        </w:rPr>
      </w:pPr>
      <w:r>
        <w:rPr>
          <w:rFonts w:hint="eastAsia" w:ascii="宋体" w:hAnsi="宋体" w:cs="宋体"/>
          <w:szCs w:val="21"/>
          <w:highlight w:val="none"/>
        </w:rPr>
        <w:t>□</w:t>
      </w:r>
      <w:r>
        <w:rPr>
          <w:rFonts w:hint="eastAsia" w:ascii="宋体" w:hAnsi="宋体" w:cs="宋体"/>
          <w:sz w:val="24"/>
          <w:highlight w:val="none"/>
        </w:rPr>
        <w:t>包工、包料、包质量、包工期、包安全、包文明施工、包设计、包调试、包验收的施工图纸，以总价包干形式。</w:t>
      </w: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第四条合同价款</w:t>
      </w:r>
    </w:p>
    <w:p>
      <w:pPr>
        <w:spacing w:line="384" w:lineRule="auto"/>
        <w:ind w:firstLine="480" w:firstLineChars="200"/>
        <w:rPr>
          <w:rFonts w:ascii="宋体" w:hAnsi="宋体" w:cs="宋体"/>
          <w:bCs/>
          <w:sz w:val="24"/>
          <w:highlight w:val="none"/>
          <w:bdr w:val="single" w:color="auto" w:sz="4" w:space="0"/>
        </w:rPr>
      </w:pPr>
      <w:r>
        <w:rPr>
          <w:rFonts w:ascii="宋体" w:hAnsi="宋体" w:cs="宋体"/>
          <w:sz w:val="24"/>
          <w:highlight w:val="none"/>
        </w:rPr>
        <w:t>4.1</w:t>
      </w:r>
      <w:r>
        <w:rPr>
          <w:rFonts w:hint="eastAsia" w:ascii="宋体" w:hAnsi="宋体" w:cs="宋体"/>
          <w:sz w:val="24"/>
          <w:highlight w:val="none"/>
        </w:rPr>
        <w:t>合同价款按以下</w:t>
      </w:r>
      <w:r>
        <w:rPr>
          <w:rFonts w:ascii="宋体" w:hAnsi="宋体" w:cs="宋体"/>
          <w:sz w:val="24"/>
          <w:highlight w:val="none"/>
          <w:u w:val="single"/>
        </w:rPr>
        <w:t xml:space="preserve"> </w:t>
      </w:r>
      <w:r>
        <w:rPr>
          <w:rFonts w:hint="eastAsia" w:ascii="宋体" w:hAnsi="宋体" w:cs="宋体"/>
          <w:sz w:val="24"/>
          <w:highlight w:val="none"/>
          <w:u w:val="single"/>
        </w:rPr>
        <w:t>(1)</w:t>
      </w:r>
      <w:r>
        <w:rPr>
          <w:rFonts w:ascii="宋体" w:hAnsi="宋体" w:cs="宋体"/>
          <w:sz w:val="24"/>
          <w:highlight w:val="none"/>
          <w:u w:val="single"/>
        </w:rPr>
        <w:t xml:space="preserve"> </w:t>
      </w:r>
      <w:r>
        <w:rPr>
          <w:rFonts w:hint="eastAsia" w:ascii="宋体" w:hAnsi="宋体" w:cs="宋体"/>
          <w:sz w:val="24"/>
          <w:highlight w:val="none"/>
        </w:rPr>
        <w:t>执行。</w:t>
      </w: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1</w:t>
      </w:r>
      <w:r>
        <w:rPr>
          <w:rFonts w:hint="eastAsia" w:ascii="宋体" w:hAnsi="宋体" w:cs="宋体"/>
          <w:bCs/>
          <w:sz w:val="24"/>
          <w:highlight w:val="none"/>
        </w:rPr>
        <w:t>）</w:t>
      </w:r>
      <w:r>
        <w:rPr>
          <w:rFonts w:hint="eastAsia" w:ascii="宋体" w:hAnsi="宋体" w:cs="宋体"/>
          <w:sz w:val="24"/>
          <w:highlight w:val="none"/>
        </w:rPr>
        <w:t>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综合单价</w:t>
      </w:r>
      <w:r>
        <w:rPr>
          <w:rFonts w:hint="eastAsia" w:ascii="宋体" w:hAnsi="宋体" w:cs="宋体"/>
          <w:sz w:val="24"/>
          <w:highlight w:val="none"/>
          <w:lang w:val="en-US" w:eastAsia="zh-CN"/>
        </w:rPr>
        <w:t>详见</w:t>
      </w:r>
      <w:r>
        <w:rPr>
          <w:rFonts w:hint="eastAsia" w:ascii="宋体" w:hAnsi="宋体" w:cs="宋体"/>
          <w:sz w:val="24"/>
          <w:highlight w:val="none"/>
        </w:rPr>
        <w:t>附件</w:t>
      </w:r>
      <w:r>
        <w:rPr>
          <w:rFonts w:hint="eastAsia" w:ascii="宋体" w:hAnsi="宋体" w:cs="宋体"/>
          <w:sz w:val="24"/>
          <w:highlight w:val="none"/>
          <w:lang w:val="en-US" w:eastAsia="zh-CN"/>
        </w:rPr>
        <w:t>4</w:t>
      </w:r>
      <w:r>
        <w:rPr>
          <w:rFonts w:hint="eastAsia" w:ascii="宋体" w:hAnsi="宋体" w:cs="宋体"/>
          <w:sz w:val="24"/>
          <w:highlight w:val="none"/>
        </w:rPr>
        <w:t>工程量清单报价。</w:t>
      </w:r>
    </w:p>
    <w:p>
      <w:pPr>
        <w:ind w:firstLine="480" w:firstLineChars="200"/>
        <w:rPr>
          <w:rFonts w:hint="eastAsia" w:ascii="宋体" w:hAnsi="宋体" w:eastAsia="宋体" w:cs="宋体"/>
          <w:sz w:val="24"/>
          <w:szCs w:val="24"/>
          <w:highlight w:val="none"/>
          <w:lang w:val="en-US" w:eastAsia="zh-CN"/>
        </w:rPr>
      </w:pPr>
      <w:r>
        <w:rPr>
          <w:rFonts w:hint="eastAsia" w:ascii="宋体" w:hAnsi="宋体" w:cs="宋体"/>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cs="宋体"/>
          <w:sz w:val="24"/>
          <w:highlight w:val="none"/>
        </w:rPr>
      </w:pPr>
    </w:p>
    <w:p>
      <w:pPr>
        <w:spacing w:line="384" w:lineRule="auto"/>
        <w:ind w:firstLine="480" w:firstLineChars="200"/>
        <w:rPr>
          <w:rFonts w:ascii="宋体" w:hAnsi="宋体" w:cs="宋体"/>
          <w:sz w:val="24"/>
          <w:highlight w:val="none"/>
        </w:rPr>
      </w:pPr>
      <w:r>
        <w:rPr>
          <w:rFonts w:hint="eastAsia" w:ascii="宋体" w:hAnsi="宋体" w:cs="宋体"/>
          <w:bCs/>
          <w:sz w:val="24"/>
          <w:highlight w:val="none"/>
        </w:rPr>
        <w:t>（</w:t>
      </w:r>
      <w:r>
        <w:rPr>
          <w:rFonts w:ascii="宋体" w:hAnsi="宋体" w:cs="宋体"/>
          <w:bCs/>
          <w:sz w:val="24"/>
          <w:highlight w:val="none"/>
        </w:rPr>
        <w:t>2</w:t>
      </w:r>
      <w:r>
        <w:rPr>
          <w:rFonts w:hint="eastAsia" w:ascii="宋体" w:hAnsi="宋体" w:cs="宋体"/>
          <w:bCs/>
          <w:sz w:val="24"/>
          <w:highlight w:val="none"/>
        </w:rPr>
        <w:t>）</w:t>
      </w:r>
      <w:r>
        <w:rPr>
          <w:rFonts w:hint="eastAsia" w:ascii="宋体" w:hAnsi="宋体" w:cs="宋体"/>
          <w:sz w:val="24"/>
          <w:highlight w:val="none"/>
        </w:rPr>
        <w:t>合同以总价包干形式，合同暂定总价为：</w:t>
      </w:r>
      <w:r>
        <w:rPr>
          <w:rFonts w:hint="eastAsia" w:ascii="宋体" w:hAnsi="宋体" w:cs="宋体"/>
          <w:b/>
          <w:sz w:val="24"/>
          <w:highlight w:val="none"/>
          <w:u w:val="single"/>
        </w:rPr>
        <w:t>人民币</w:t>
      </w:r>
      <w:r>
        <w:rPr>
          <w:rFonts w:hint="eastAsia" w:ascii="宋体" w:hAnsi="宋体" w:cs="宋体"/>
          <w:b/>
          <w:sz w:val="24"/>
          <w:highlight w:val="none"/>
          <w:u w:val="single"/>
          <w:lang w:eastAsia="zh-CN"/>
        </w:rPr>
        <w:t>…</w:t>
      </w:r>
      <w:r>
        <w:rPr>
          <w:rFonts w:hint="eastAsia" w:ascii="宋体" w:hAnsi="宋体" w:cs="宋体"/>
          <w:b/>
          <w:sz w:val="24"/>
          <w:highlight w:val="none"/>
          <w:u w:val="single"/>
        </w:rPr>
        <w:t>元</w:t>
      </w:r>
      <w:r>
        <w:rPr>
          <w:rFonts w:hint="eastAsia" w:ascii="宋体" w:hAnsi="宋体" w:cs="宋体"/>
          <w:sz w:val="24"/>
          <w:highlight w:val="none"/>
        </w:rPr>
        <w:t>（大写</w:t>
      </w:r>
      <w:r>
        <w:rPr>
          <w:rFonts w:ascii="宋体" w:hAnsi="宋体" w:cs="宋体"/>
          <w:sz w:val="24"/>
          <w:highlight w:val="none"/>
        </w:rPr>
        <w:t>:</w:t>
      </w:r>
      <w:r>
        <w:rPr>
          <w:rFonts w:hint="eastAsia" w:ascii="宋体" w:hAnsi="宋体" w:cs="宋体"/>
          <w:sz w:val="24"/>
          <w:highlight w:val="none"/>
          <w:lang w:eastAsia="zh-CN"/>
        </w:rPr>
        <w:t>…</w:t>
      </w:r>
      <w:r>
        <w:rPr>
          <w:rFonts w:hint="eastAsia" w:ascii="宋体" w:hAnsi="宋体" w:cs="宋体"/>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hint="eastAsia" w:ascii="宋体" w:hAnsi="宋体" w:cs="宋体"/>
          <w:sz w:val="24"/>
          <w:highlight w:val="none"/>
        </w:rPr>
      </w:pPr>
      <w:r>
        <w:rPr>
          <w:rFonts w:ascii="宋体" w:hAnsi="宋体" w:cs="宋体"/>
          <w:kern w:val="0"/>
          <w:sz w:val="24"/>
          <w:highlight w:val="none"/>
          <w:lang w:val="zh-CN"/>
        </w:rPr>
        <w:t>4.2</w:t>
      </w:r>
      <w:r>
        <w:rPr>
          <w:rFonts w:hint="eastAsia" w:ascii="宋体" w:hAnsi="宋体" w:cs="宋体"/>
          <w:kern w:val="0"/>
          <w:sz w:val="24"/>
          <w:highlight w:val="none"/>
        </w:rPr>
        <w:t>本合同约定的价格为含税价价格</w:t>
      </w:r>
      <w:r>
        <w:rPr>
          <w:rFonts w:hint="eastAsia" w:ascii="宋体" w:hAnsi="宋体" w:cs="宋体"/>
          <w:sz w:val="24"/>
          <w:highlight w:val="none"/>
        </w:rPr>
        <w:t>（税率</w:t>
      </w:r>
      <w:r>
        <w:rPr>
          <w:rFonts w:ascii="宋体" w:hAnsi="宋体" w:cs="宋体"/>
          <w:sz w:val="24"/>
          <w:highlight w:val="none"/>
          <w:u w:val="single"/>
        </w:rPr>
        <w:t xml:space="preserve">  </w:t>
      </w:r>
      <w:r>
        <w:rPr>
          <w:rFonts w:hint="eastAsia" w:ascii="宋体" w:hAnsi="宋体" w:cs="宋体"/>
          <w:sz w:val="24"/>
          <w:highlight w:val="none"/>
          <w:u w:val="single"/>
          <w:lang w:val="en-US" w:eastAsia="zh-CN"/>
        </w:rPr>
        <w:t>13</w:t>
      </w:r>
      <w:r>
        <w:rPr>
          <w:rFonts w:ascii="宋体" w:hAnsi="宋体" w:cs="宋体"/>
          <w:sz w:val="24"/>
          <w:highlight w:val="none"/>
          <w:u w:val="single"/>
        </w:rPr>
        <w:t xml:space="preserve"> %</w:t>
      </w:r>
      <w:r>
        <w:rPr>
          <w:rFonts w:hint="eastAsia" w:ascii="宋体" w:hAnsi="宋体" w:cs="宋体"/>
          <w:sz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hint="eastAsia"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4.3因非乙方原因引起工程量报价清单中工程量发生增减，且单个子目工程量变化幅度在25%以内（含）时，按工程量报价清单中列明的子目单价结算。否则，按新增单价执行。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4.4</w:t>
      </w:r>
      <w:r>
        <w:rPr>
          <w:rFonts w:hint="eastAsia" w:ascii="宋体" w:hAnsi="宋体" w:eastAsia="宋体" w:cs="宋体"/>
          <w:sz w:val="24"/>
          <w:szCs w:val="24"/>
          <w:highlight w:val="none"/>
        </w:rPr>
        <w:t>合同中没有适用于变更工程项目的单价的，</w:t>
      </w:r>
      <w:r>
        <w:rPr>
          <w:rFonts w:hint="eastAsia" w:ascii="宋体" w:hAnsi="宋体" w:eastAsia="宋体" w:cs="宋体"/>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项目计价材料、设备价格的控制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按以下顺序作为降序优先级依次采用工程开工报告中开工日期当月的下列价格</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（3）综合价格、厂商价格中缺项的，采用由北京瑞恒达建筑咨询有限公司提供服务的“慧讯网”中查到的相应材料、设备价格的工程价。</w:t>
      </w:r>
    </w:p>
    <w:p>
      <w:pPr>
        <w:pStyle w:val="27"/>
        <w:rPr>
          <w:rFonts w:hint="default" w:eastAsia="宋体"/>
          <w:highlight w:val="none"/>
          <w:lang w:val="en-US" w:eastAsia="zh-CN"/>
        </w:rPr>
      </w:pPr>
      <w:r>
        <w:rPr>
          <w:rFonts w:hint="eastAsia" w:hAnsi="宋体" w:eastAsia="宋体" w:cs="宋体"/>
          <w:sz w:val="24"/>
          <w:szCs w:val="24"/>
          <w:highlight w:val="none"/>
          <w:lang w:val="en-US" w:eastAsia="zh-CN"/>
        </w:rPr>
        <w:t xml:space="preserve">  </w:t>
      </w:r>
      <w:r>
        <w:rPr>
          <w:rFonts w:ascii="宋体" w:hAnsi="宋体" w:eastAsia="宋体" w:cs="宋体"/>
          <w:sz w:val="24"/>
          <w:szCs w:val="24"/>
          <w:highlight w:val="none"/>
        </w:rPr>
        <w:t>（4）通过市场询价双方协商确定。</w:t>
      </w:r>
    </w:p>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3.按1、2组价后下浮5%计取。</w:t>
      </w:r>
    </w:p>
    <w:p>
      <w:pPr>
        <w:tabs>
          <w:tab w:val="left" w:pos="851"/>
        </w:tabs>
        <w:adjustRightInd w:val="0"/>
        <w:snapToGrid w:val="0"/>
        <w:spacing w:line="384" w:lineRule="auto"/>
        <w:ind w:firstLine="480" w:firstLineChars="200"/>
        <w:rPr>
          <w:rFonts w:hint="eastAsia" w:ascii="宋体" w:hAnsi="宋体" w:cs="宋体"/>
          <w:sz w:val="24"/>
          <w:highlight w:val="none"/>
        </w:rPr>
      </w:pPr>
    </w:p>
    <w:p>
      <w:pPr>
        <w:widowControl/>
        <w:tabs>
          <w:tab w:val="left" w:pos="851"/>
        </w:tabs>
        <w:adjustRightInd w:val="0"/>
        <w:snapToGrid w:val="0"/>
        <w:spacing w:line="384" w:lineRule="auto"/>
        <w:ind w:firstLine="482" w:firstLineChars="200"/>
        <w:jc w:val="left"/>
        <w:rPr>
          <w:rFonts w:ascii="宋体" w:hAnsi="宋体" w:cs="宋体"/>
          <w:b/>
          <w:bCs/>
          <w:sz w:val="24"/>
          <w:highlight w:val="none"/>
        </w:rPr>
      </w:pPr>
      <w:r>
        <w:rPr>
          <w:rFonts w:hint="eastAsia" w:ascii="宋体" w:hAnsi="宋体" w:cs="宋体"/>
          <w:b/>
          <w:bCs/>
          <w:sz w:val="24"/>
          <w:highlight w:val="none"/>
        </w:rPr>
        <w:t>第五条工期及要求</w:t>
      </w:r>
    </w:p>
    <w:p>
      <w:pPr>
        <w:widowControl/>
        <w:spacing w:line="384" w:lineRule="auto"/>
        <w:ind w:firstLine="480" w:firstLineChars="200"/>
        <w:jc w:val="left"/>
        <w:rPr>
          <w:rFonts w:ascii="宋体" w:hAnsi="宋体" w:cs="宋体"/>
          <w:sz w:val="24"/>
          <w:highlight w:val="none"/>
        </w:rPr>
      </w:pPr>
      <w:r>
        <w:rPr>
          <w:rFonts w:ascii="宋体" w:hAnsi="宋体" w:cs="宋体"/>
          <w:sz w:val="24"/>
          <w:highlight w:val="none"/>
        </w:rPr>
        <w:t>5.1</w:t>
      </w:r>
      <w:r>
        <w:rPr>
          <w:rFonts w:hint="eastAsia" w:ascii="宋体" w:hAnsi="宋体" w:cs="宋体"/>
          <w:sz w:val="24"/>
          <w:highlight w:val="none"/>
        </w:rPr>
        <w:t>开工日期暂定为：</w:t>
      </w:r>
      <w:r>
        <w:rPr>
          <w:rFonts w:hint="eastAsia" w:ascii="宋体" w:hAnsi="宋体" w:cs="宋体"/>
          <w:sz w:val="24"/>
          <w:highlight w:val="none"/>
          <w:lang w:eastAsia="zh-CN"/>
        </w:rPr>
        <w:t>…</w:t>
      </w:r>
      <w:r>
        <w:rPr>
          <w:rFonts w:hint="eastAsia" w:ascii="宋体" w:hAnsi="宋体" w:cs="宋体"/>
          <w:sz w:val="24"/>
          <w:highlight w:val="none"/>
          <w:u w:val="single"/>
        </w:rPr>
        <w:t>年</w:t>
      </w:r>
      <w:r>
        <w:rPr>
          <w:rFonts w:hint="eastAsia" w:ascii="宋体" w:hAnsi="宋体" w:cs="宋体"/>
          <w:sz w:val="24"/>
          <w:highlight w:val="none"/>
          <w:u w:val="single"/>
          <w:lang w:eastAsia="zh-CN"/>
        </w:rPr>
        <w:t>…</w:t>
      </w:r>
      <w:r>
        <w:rPr>
          <w:rFonts w:hint="eastAsia" w:ascii="宋体" w:hAnsi="宋体" w:cs="宋体"/>
          <w:sz w:val="24"/>
          <w:highlight w:val="none"/>
          <w:u w:val="single"/>
        </w:rPr>
        <w:t>月</w:t>
      </w:r>
      <w:r>
        <w:rPr>
          <w:rFonts w:hint="eastAsia" w:ascii="宋体" w:hAnsi="宋体" w:cs="宋体"/>
          <w:sz w:val="24"/>
          <w:highlight w:val="none"/>
          <w:u w:val="single"/>
          <w:lang w:eastAsia="zh-CN"/>
        </w:rPr>
        <w:t>…</w:t>
      </w:r>
      <w:r>
        <w:rPr>
          <w:rFonts w:hint="eastAsia" w:ascii="宋体" w:hAnsi="宋体" w:cs="宋体"/>
          <w:sz w:val="24"/>
          <w:highlight w:val="none"/>
          <w:u w:val="single"/>
        </w:rPr>
        <w:t>日</w:t>
      </w:r>
      <w:r>
        <w:rPr>
          <w:rFonts w:hint="eastAsia" w:ascii="宋体" w:hAnsi="宋体" w:cs="宋体"/>
          <w:sz w:val="24"/>
          <w:highlight w:val="none"/>
        </w:rPr>
        <w:t>，具体日期以甲方发出的开工报告</w:t>
      </w:r>
      <w:r>
        <w:rPr>
          <w:rFonts w:ascii="宋体" w:hAnsi="宋体" w:cs="宋体"/>
          <w:sz w:val="24"/>
          <w:highlight w:val="none"/>
        </w:rPr>
        <w:t>/</w:t>
      </w:r>
      <w:r>
        <w:rPr>
          <w:rFonts w:hint="eastAsia" w:ascii="宋体" w:hAnsi="宋体" w:cs="宋体"/>
          <w:sz w:val="24"/>
          <w:highlight w:val="none"/>
        </w:rPr>
        <w:t>通知为准。乙方不能按时开工，应当于开工报告</w:t>
      </w:r>
      <w:r>
        <w:rPr>
          <w:rFonts w:ascii="宋体" w:hAnsi="宋体" w:cs="宋体"/>
          <w:sz w:val="24"/>
          <w:highlight w:val="none"/>
        </w:rPr>
        <w:t>/</w:t>
      </w:r>
      <w:r>
        <w:rPr>
          <w:rFonts w:hint="eastAsia" w:ascii="宋体" w:hAnsi="宋体" w:cs="宋体"/>
          <w:sz w:val="24"/>
          <w:highlight w:val="none"/>
        </w:rPr>
        <w:t>通知载明的开工日期</w:t>
      </w:r>
      <w:r>
        <w:rPr>
          <w:rFonts w:ascii="宋体" w:hAnsi="宋体" w:cs="宋体"/>
          <w:sz w:val="24"/>
          <w:highlight w:val="none"/>
        </w:rPr>
        <w:t>7</w:t>
      </w:r>
      <w:r>
        <w:rPr>
          <w:rFonts w:hint="eastAsia" w:ascii="宋体" w:hAnsi="宋体" w:cs="宋体"/>
          <w:sz w:val="24"/>
          <w:highlight w:val="none"/>
        </w:rPr>
        <w:t>天前，以书面形式向甲方提出延期开工的理由。甲方应当在接到延期开工申请后的</w:t>
      </w:r>
      <w:r>
        <w:rPr>
          <w:rFonts w:ascii="宋体" w:hAnsi="宋体" w:cs="宋体"/>
          <w:sz w:val="24"/>
          <w:highlight w:val="none"/>
        </w:rPr>
        <w:t>48</w:t>
      </w:r>
      <w:r>
        <w:rPr>
          <w:rFonts w:hint="eastAsia" w:ascii="宋体" w:hAnsi="宋体" w:cs="宋体"/>
          <w:sz w:val="24"/>
          <w:highlight w:val="none"/>
        </w:rPr>
        <w:t>小时内以书面形式答复乙方。甲方在接到延期开工申请后</w:t>
      </w:r>
      <w:r>
        <w:rPr>
          <w:rFonts w:ascii="宋体" w:hAnsi="宋体" w:cs="宋体"/>
          <w:sz w:val="24"/>
          <w:highlight w:val="none"/>
        </w:rPr>
        <w:t>48</w:t>
      </w:r>
      <w:r>
        <w:rPr>
          <w:rFonts w:hint="eastAsia" w:ascii="宋体" w:hAnsi="宋体" w:cs="宋体"/>
          <w:sz w:val="24"/>
          <w:highlight w:val="none"/>
        </w:rPr>
        <w:t>小时内不答复，视为同意乙方要求，工期相应顺延。甲方不同意延期要求或乙方未在规定时间内提出延期开工，工期不予顺延。合同工期总日历天数</w:t>
      </w:r>
      <w:r>
        <w:rPr>
          <w:rFonts w:hint="eastAsia" w:ascii="宋体" w:hAnsi="宋体" w:cs="宋体"/>
          <w:sz w:val="24"/>
          <w:highlight w:val="none"/>
          <w:lang w:val="en-US" w:eastAsia="zh-CN"/>
        </w:rPr>
        <w:t>30</w:t>
      </w:r>
      <w:r>
        <w:rPr>
          <w:rFonts w:hint="eastAsia" w:ascii="宋体" w:hAnsi="宋体" w:cs="宋体"/>
          <w:sz w:val="24"/>
          <w:highlight w:val="none"/>
        </w:rPr>
        <w:t>天。乙方未能按合同工期竣工验收的，每逾期一天，甲方有权要求乙方按</w:t>
      </w:r>
      <w:r>
        <w:rPr>
          <w:rFonts w:hint="eastAsia" w:ascii="宋体" w:hAnsi="宋体" w:cs="宋体"/>
          <w:sz w:val="24"/>
          <w:highlight w:val="none"/>
          <w:u w:val="single"/>
        </w:rPr>
        <w:t>合同暂定总价的</w:t>
      </w:r>
      <w:r>
        <w:rPr>
          <w:rFonts w:ascii="宋体" w:hAnsi="宋体" w:cs="宋体"/>
          <w:sz w:val="24"/>
          <w:highlight w:val="none"/>
          <w:u w:val="single"/>
        </w:rPr>
        <w:t xml:space="preserve"> 1%</w:t>
      </w:r>
      <w:r>
        <w:rPr>
          <w:rFonts w:hint="eastAsia" w:ascii="宋体" w:hAnsi="宋体" w:cs="宋体"/>
          <w:sz w:val="24"/>
          <w:highlight w:val="none"/>
        </w:rPr>
        <w:t>支付违约金，逾期达到</w:t>
      </w:r>
      <w:r>
        <w:rPr>
          <w:rFonts w:hint="eastAsia" w:ascii="宋体" w:hAnsi="宋体" w:cs="宋体"/>
          <w:sz w:val="24"/>
          <w:highlight w:val="none"/>
          <w:u w:val="single"/>
          <w:lang w:val="en-US" w:eastAsia="zh-CN"/>
        </w:rPr>
        <w:t xml:space="preserve"> 30</w:t>
      </w:r>
      <w:r>
        <w:rPr>
          <w:rFonts w:hint="eastAsia" w:ascii="宋体" w:hAnsi="宋体" w:cs="宋体"/>
          <w:sz w:val="24"/>
          <w:highlight w:val="none"/>
        </w:rPr>
        <w:t>天及以上的，甲方有权解除合同并要求乙方支付</w:t>
      </w:r>
      <w:r>
        <w:rPr>
          <w:rFonts w:hint="eastAsia" w:ascii="宋体" w:hAnsi="宋体" w:cs="宋体"/>
          <w:sz w:val="24"/>
          <w:highlight w:val="none"/>
          <w:u w:val="single"/>
        </w:rPr>
        <w:t>合同暂定总价的</w:t>
      </w:r>
      <w:r>
        <w:rPr>
          <w:rFonts w:ascii="宋体" w:hAnsi="宋体" w:cs="宋体"/>
          <w:sz w:val="24"/>
          <w:highlight w:val="none"/>
          <w:u w:val="single"/>
        </w:rPr>
        <w:t>20%</w:t>
      </w:r>
      <w:r>
        <w:rPr>
          <w:rFonts w:ascii="宋体" w:hAnsi="宋体" w:cs="宋体"/>
          <w:sz w:val="24"/>
          <w:highlight w:val="none"/>
        </w:rPr>
        <w:t>作为违约金。</w:t>
      </w:r>
    </w:p>
    <w:p>
      <w:pPr>
        <w:widowControl/>
        <w:spacing w:line="384" w:lineRule="auto"/>
        <w:ind w:firstLine="480" w:firstLineChars="200"/>
        <w:jc w:val="left"/>
        <w:rPr>
          <w:rFonts w:ascii="宋体" w:hAnsi="宋体" w:cs="宋体"/>
          <w:bCs/>
          <w:sz w:val="24"/>
          <w:highlight w:val="none"/>
        </w:rPr>
      </w:pPr>
      <w:r>
        <w:rPr>
          <w:rFonts w:ascii="宋体" w:hAnsi="宋体" w:cs="宋体"/>
          <w:bCs/>
          <w:sz w:val="24"/>
          <w:highlight w:val="none"/>
        </w:rPr>
        <w:t>5.2</w:t>
      </w:r>
      <w:r>
        <w:rPr>
          <w:rFonts w:hint="eastAsia" w:ascii="宋体" w:hAnsi="宋体" w:cs="宋体"/>
          <w:bCs/>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5%/</w:t>
      </w:r>
      <w:r>
        <w:rPr>
          <w:rFonts w:hint="eastAsia" w:ascii="宋体" w:hAnsi="宋体" w:cs="宋体"/>
          <w:bCs/>
          <w:sz w:val="24"/>
          <w:highlight w:val="none"/>
          <w:u w:val="single"/>
        </w:rPr>
        <w:t>次</w:t>
      </w:r>
      <w:r>
        <w:rPr>
          <w:rFonts w:hint="eastAsia" w:ascii="宋体" w:hAnsi="宋体" w:cs="宋体"/>
          <w:bCs/>
          <w:sz w:val="24"/>
          <w:highlight w:val="none"/>
        </w:rPr>
        <w:t>作为违约金，超过三次（含三次）的，甲方有权解除合同，要求乙方支付</w:t>
      </w:r>
      <w:r>
        <w:rPr>
          <w:rFonts w:hint="eastAsia" w:ascii="宋体" w:hAnsi="宋体" w:cs="宋体"/>
          <w:bCs/>
          <w:sz w:val="24"/>
          <w:highlight w:val="none"/>
          <w:u w:val="single"/>
        </w:rPr>
        <w:t>合同暂定总价的</w:t>
      </w:r>
      <w:r>
        <w:rPr>
          <w:rFonts w:ascii="宋体" w:hAnsi="宋体" w:cs="宋体"/>
          <w:bCs/>
          <w:sz w:val="24"/>
          <w:highlight w:val="none"/>
          <w:u w:val="single"/>
        </w:rPr>
        <w:t>20%</w:t>
      </w:r>
      <w:r>
        <w:rPr>
          <w:rFonts w:hint="eastAsia" w:ascii="宋体" w:hAnsi="宋体" w:cs="宋体"/>
          <w:bCs/>
          <w:sz w:val="24"/>
          <w:highlight w:val="none"/>
        </w:rPr>
        <w:t>作为违约金。由此造成的经济和法律责任，均由乙方负责。</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5.3</w:t>
      </w:r>
      <w:r>
        <w:rPr>
          <w:rFonts w:hint="eastAsia" w:ascii="宋体" w:hAnsi="宋体" w:cs="宋体"/>
          <w:bCs/>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hint="eastAsia" w:ascii="宋体" w:hAnsi="宋体" w:cs="宋体"/>
          <w:sz w:val="24"/>
          <w:highlight w:val="none"/>
          <w:u w:val="single"/>
          <w:lang w:val="en-US" w:eastAsia="zh-CN"/>
        </w:rPr>
        <w:t>30</w:t>
      </w:r>
      <w:r>
        <w:rPr>
          <w:rFonts w:hint="eastAsia" w:ascii="宋体" w:hAnsi="宋体" w:cs="宋体"/>
          <w:bCs/>
          <w:sz w:val="24"/>
          <w:highlight w:val="none"/>
        </w:rPr>
        <w:t>日内将全部图纸退还给甲方。</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5.4</w:t>
      </w:r>
      <w:r>
        <w:rPr>
          <w:rFonts w:hint="eastAsia" w:ascii="宋体" w:hAnsi="宋体" w:cs="宋体"/>
          <w:bCs/>
          <w:sz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cs="宋体"/>
          <w:bCs/>
          <w:sz w:val="24"/>
          <w:highlight w:val="none"/>
        </w:rPr>
      </w:pPr>
      <w:r>
        <w:rPr>
          <w:rFonts w:ascii="宋体" w:hAnsi="宋体" w:cs="宋体"/>
          <w:bCs/>
          <w:sz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cs="宋体"/>
          <w:bCs/>
          <w:sz w:val="24"/>
          <w:highlight w:val="none"/>
          <w:u w:val="single"/>
        </w:rPr>
        <w:t>1万元</w:t>
      </w:r>
      <w:r>
        <w:rPr>
          <w:rFonts w:ascii="宋体" w:hAnsi="宋体" w:cs="宋体"/>
          <w:bCs/>
          <w:sz w:val="24"/>
          <w:highlight w:val="none"/>
        </w:rPr>
        <w:t>，超过_</w:t>
      </w:r>
      <w:r>
        <w:rPr>
          <w:rFonts w:hint="eastAsia" w:ascii="宋体" w:hAnsi="宋体" w:cs="宋体"/>
          <w:bCs/>
          <w:sz w:val="24"/>
          <w:highlight w:val="none"/>
          <w:u w:val="single"/>
          <w:lang w:val="en-US" w:eastAsia="zh-CN"/>
        </w:rPr>
        <w:t>7</w:t>
      </w:r>
      <w:r>
        <w:rPr>
          <w:rFonts w:ascii="宋体" w:hAnsi="宋体" w:cs="宋体"/>
          <w:bCs/>
          <w:sz w:val="24"/>
          <w:highlight w:val="none"/>
        </w:rPr>
        <w:t>日，甲方有权解除合同并要求乙方支付</w:t>
      </w:r>
      <w:r>
        <w:rPr>
          <w:rFonts w:ascii="宋体" w:hAnsi="宋体" w:cs="宋体"/>
          <w:bCs/>
          <w:sz w:val="24"/>
          <w:highlight w:val="none"/>
          <w:u w:val="single"/>
        </w:rPr>
        <w:t>合同暂定总价的20%</w:t>
      </w:r>
      <w:r>
        <w:rPr>
          <w:rFonts w:ascii="宋体" w:hAnsi="宋体" w:cs="宋体"/>
          <w:bCs/>
          <w:sz w:val="24"/>
          <w:highlight w:val="none"/>
        </w:rPr>
        <w:t>作为违约金</w:t>
      </w:r>
      <w:r>
        <w:rPr>
          <w:rFonts w:hint="eastAsia" w:asciiTheme="minorEastAsia" w:hAnsiTheme="minorEastAsia" w:eastAsiaTheme="minorEastAsia"/>
          <w:bCs/>
          <w:sz w:val="24"/>
          <w:highlight w:val="none"/>
        </w:rPr>
        <w:t>（</w:t>
      </w:r>
      <w:r>
        <w:rPr>
          <w:rFonts w:hint="eastAsia" w:cs="宋体"/>
          <w:sz w:val="24"/>
          <w:highlight w:val="none"/>
        </w:rPr>
        <w:t>如合同另行约定违约责任，从其约定</w:t>
      </w:r>
      <w:r>
        <w:rPr>
          <w:rFonts w:hint="eastAsia" w:asciiTheme="minorEastAsia" w:hAnsiTheme="minorEastAsia" w:eastAsiaTheme="minorEastAsia"/>
          <w:bCs/>
          <w:sz w:val="24"/>
          <w:highlight w:val="none"/>
        </w:rPr>
        <w:t>）</w:t>
      </w:r>
      <w:r>
        <w:rPr>
          <w:rFonts w:ascii="宋体" w:hAnsi="宋体" w:cs="宋体"/>
          <w:bCs/>
          <w:sz w:val="24"/>
          <w:highlight w:val="none"/>
        </w:rPr>
        <w:t>。</w:t>
      </w:r>
    </w:p>
    <w:p>
      <w:pPr>
        <w:topLinePunct/>
        <w:spacing w:line="50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5.6乙方不得随意更换项目负责人及</w:t>
      </w:r>
      <w:r>
        <w:rPr>
          <w:rFonts w:hint="eastAsia" w:asciiTheme="minorEastAsia" w:hAnsiTheme="minorEastAsia" w:eastAsiaTheme="minorEastAsia" w:cstheme="minorEastAsia"/>
          <w:sz w:val="24"/>
          <w:szCs w:val="24"/>
          <w:highlight w:val="none"/>
          <w:lang w:val="en-US" w:eastAsia="zh-CN"/>
        </w:rPr>
        <w:t>附件5中的</w:t>
      </w:r>
      <w:r>
        <w:rPr>
          <w:rFonts w:hint="eastAsia" w:asciiTheme="minorEastAsia" w:hAnsiTheme="minorEastAsia" w:eastAsiaTheme="minorEastAsia" w:cstheme="minorEastAsia"/>
          <w:sz w:val="24"/>
          <w:szCs w:val="24"/>
          <w:highlight w:val="none"/>
        </w:rPr>
        <w:t>相关人员</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人员名单应与乙方在响应文件中所载明人员的一致</w:t>
      </w:r>
      <w:r>
        <w:rPr>
          <w:rFonts w:hint="eastAsia" w:asciiTheme="minorEastAsia" w:hAnsi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，如确须更换，应提前征得甲方同意。如有违反，甲方有权解除合同并要求乙方支付</w:t>
      </w:r>
      <w:r>
        <w:rPr>
          <w:rFonts w:hint="eastAsia" w:asciiTheme="minorEastAsia" w:hAnsiTheme="minorEastAsia" w:eastAsiaTheme="minorEastAsia" w:cstheme="minorEastAsia"/>
          <w:sz w:val="24"/>
          <w:szCs w:val="24"/>
          <w:highlight w:val="none"/>
          <w:u w:val="single"/>
          <w:lang w:val="en-US" w:eastAsia="zh-CN"/>
        </w:rPr>
        <w:t>5000</w:t>
      </w:r>
      <w:r>
        <w:rPr>
          <w:rFonts w:hint="eastAsia" w:asciiTheme="minorEastAsia" w:hAnsiTheme="minorEastAsia" w:eastAsiaTheme="minorEastAsia" w:cstheme="minorEastAsia"/>
          <w:sz w:val="24"/>
          <w:szCs w:val="24"/>
          <w:highlight w:val="none"/>
          <w:u w:val="single"/>
        </w:rPr>
        <w:t>元/人次</w:t>
      </w:r>
      <w:r>
        <w:rPr>
          <w:rFonts w:hint="eastAsia" w:asciiTheme="minorEastAsia" w:hAnsiTheme="minorEastAsia" w:eastAsiaTheme="minorEastAsia" w:cstheme="minorEastAsia"/>
          <w:sz w:val="24"/>
          <w:szCs w:val="24"/>
          <w:highlight w:val="none"/>
        </w:rPr>
        <w:t>作为违约金，以及赔偿由此造成的一切损失(包含质量安全事故、工期延误、增加投资等)。</w:t>
      </w:r>
      <w:r>
        <w:rPr>
          <w:rFonts w:hint="eastAsia" w:asciiTheme="minorEastAsia" w:hAnsiTheme="minorEastAsia" w:eastAsiaTheme="minorEastAsia" w:cstheme="minorEastAsia"/>
          <w:sz w:val="24"/>
          <w:szCs w:val="24"/>
          <w:highlight w:val="none"/>
          <w:lang w:val="en-US" w:eastAsia="zh-CN"/>
        </w:rPr>
        <w:t xml:space="preserve"> </w:t>
      </w:r>
    </w:p>
    <w:p>
      <w:pPr>
        <w:topLinePunct/>
        <w:spacing w:line="50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5.7施工过程中，项目负责人应驻场管理，否则甲方有权要求乙方支付违约</w:t>
      </w:r>
      <w:r>
        <w:rPr>
          <w:rFonts w:hint="eastAsia" w:asciiTheme="minorEastAsia" w:hAnsiTheme="minorEastAsia" w:eastAsiaTheme="minorEastAsia" w:cstheme="minorEastAsia"/>
          <w:sz w:val="24"/>
          <w:szCs w:val="24"/>
          <w:highlight w:val="none"/>
          <w:u w:val="single"/>
          <w:lang w:val="en-US" w:eastAsia="zh-CN"/>
        </w:rPr>
        <w:t xml:space="preserve"> 1000元/天</w:t>
      </w:r>
      <w:r>
        <w:rPr>
          <w:rFonts w:hint="eastAsia" w:asciiTheme="minorEastAsia" w:hAnsiTheme="minorEastAsia" w:eastAsiaTheme="minorEastAsia" w:cstheme="minorEastAsia"/>
          <w:sz w:val="24"/>
          <w:szCs w:val="24"/>
          <w:highlight w:val="none"/>
          <w:lang w:val="en-US" w:eastAsia="zh-CN"/>
        </w:rPr>
        <w:t>，因此造成损失的，按实际发生额赔偿。</w:t>
      </w:r>
    </w:p>
    <w:p>
      <w:pPr>
        <w:pStyle w:val="27"/>
        <w:topLinePunct/>
        <w:spacing w:line="500" w:lineRule="exact"/>
        <w:ind w:firstLine="480" w:firstLineChars="2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5.8施工过程中，乙方应负责配备现场的应急物资。具体应急物资配备详见附件应急救援物资清单。（如需）</w:t>
      </w:r>
    </w:p>
    <w:p>
      <w:pPr>
        <w:pStyle w:val="27"/>
        <w:rPr>
          <w:rFonts w:hint="eastAsia"/>
          <w:highlight w:val="none"/>
        </w:rPr>
      </w:pPr>
    </w:p>
    <w:p>
      <w:pPr>
        <w:tabs>
          <w:tab w:val="left" w:pos="851"/>
        </w:tabs>
        <w:adjustRightInd w:val="0"/>
        <w:snapToGrid w:val="0"/>
        <w:spacing w:line="360" w:lineRule="auto"/>
        <w:ind w:firstLine="482" w:firstLineChars="200"/>
        <w:jc w:val="left"/>
        <w:rPr>
          <w:rFonts w:ascii="宋体" w:hAnsi="宋体" w:cs="宋体"/>
          <w:b/>
          <w:sz w:val="24"/>
          <w:highlight w:val="none"/>
        </w:rPr>
      </w:pPr>
      <w:r>
        <w:rPr>
          <w:rFonts w:hint="eastAsia" w:ascii="宋体" w:hAnsi="宋体" w:cs="宋体"/>
          <w:b/>
          <w:sz w:val="24"/>
          <w:highlight w:val="none"/>
        </w:rPr>
        <w:t>第六条实施条件及管理要求</w:t>
      </w:r>
    </w:p>
    <w:p>
      <w:pPr>
        <w:spacing w:line="384" w:lineRule="auto"/>
        <w:ind w:firstLine="480" w:firstLineChars="200"/>
        <w:rPr>
          <w:rFonts w:ascii="宋体" w:hAnsi="宋体" w:cs="宋体"/>
          <w:sz w:val="24"/>
          <w:highlight w:val="none"/>
        </w:rPr>
      </w:pPr>
      <w:r>
        <w:rPr>
          <w:rFonts w:ascii="宋体" w:hAnsi="宋体" w:cs="宋体"/>
          <w:sz w:val="24"/>
          <w:highlight w:val="none"/>
        </w:rPr>
        <w:t>6.1</w:t>
      </w:r>
      <w:r>
        <w:rPr>
          <w:rFonts w:hint="eastAsia" w:ascii="宋体" w:hAnsi="宋体" w:cs="宋体"/>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cs="宋体"/>
          <w:sz w:val="24"/>
          <w:highlight w:val="none"/>
        </w:rPr>
      </w:pPr>
      <w:r>
        <w:rPr>
          <w:rFonts w:ascii="宋体" w:hAnsi="宋体" w:cs="宋体"/>
          <w:sz w:val="24"/>
          <w:highlight w:val="none"/>
        </w:rPr>
        <w:t>6.2</w:t>
      </w:r>
      <w:r>
        <w:rPr>
          <w:rFonts w:hint="eastAsia" w:ascii="宋体" w:hAnsi="宋体" w:cs="宋体"/>
          <w:sz w:val="24"/>
          <w:highlight w:val="none"/>
        </w:rPr>
        <w:t>施工用水用电采用以下</w:t>
      </w:r>
      <w:r>
        <w:rPr>
          <w:rFonts w:hint="eastAsia" w:ascii="宋体" w:hAnsi="宋体" w:cs="宋体"/>
          <w:sz w:val="24"/>
          <w:highlight w:val="none"/>
          <w:u w:val="single"/>
          <w:lang w:val="en-US" w:eastAsia="zh-CN"/>
        </w:rPr>
        <w:t xml:space="preserve"> (1) </w:t>
      </w:r>
      <w:r>
        <w:rPr>
          <w:rFonts w:hint="eastAsia" w:ascii="宋体" w:hAnsi="宋体" w:cs="宋体"/>
          <w:sz w:val="24"/>
          <w:highlight w:val="none"/>
        </w:rPr>
        <w:t>方式执行。</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（1）由甲方提供施工用水用电接口，水电费按合同综合单价水电含量计算，从甲方支付的工程款中直接扣回。</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hint="eastAsia" w:ascii="宋体" w:hAnsi="宋体" w:cs="宋体"/>
          <w:sz w:val="24"/>
          <w:highlight w:val="none"/>
        </w:rPr>
      </w:pPr>
      <w:r>
        <w:rPr>
          <w:rFonts w:hint="eastAsia" w:ascii="宋体" w:hAnsi="宋体" w:cs="宋体"/>
          <w:sz w:val="24"/>
          <w:highlight w:val="none"/>
        </w:rPr>
        <w:t>（3）由乙方自行负责。</w:t>
      </w:r>
    </w:p>
    <w:p>
      <w:pPr>
        <w:spacing w:line="384" w:lineRule="auto"/>
        <w:ind w:firstLine="480" w:firstLineChars="200"/>
        <w:rPr>
          <w:rFonts w:ascii="宋体" w:hAnsi="宋体" w:cs="宋体"/>
          <w:sz w:val="24"/>
          <w:highlight w:val="none"/>
        </w:rPr>
      </w:pPr>
      <w:r>
        <w:rPr>
          <w:rFonts w:ascii="宋体" w:hAnsi="宋体" w:cs="宋体"/>
          <w:sz w:val="24"/>
          <w:highlight w:val="none"/>
        </w:rPr>
        <w:t>6.3</w:t>
      </w:r>
      <w:r>
        <w:rPr>
          <w:rFonts w:hint="eastAsia" w:ascii="宋体" w:hAnsi="宋体" w:cs="宋体"/>
          <w:sz w:val="24"/>
          <w:highlight w:val="none"/>
        </w:rPr>
        <w:t>施工时间安排：上午</w:t>
      </w:r>
      <w:r>
        <w:rPr>
          <w:rFonts w:hint="eastAsia" w:ascii="宋体" w:hAnsi="宋体" w:cs="宋体"/>
          <w:sz w:val="24"/>
          <w:highlight w:val="none"/>
          <w:lang w:val="en-US" w:eastAsia="zh-CN"/>
        </w:rPr>
        <w:t>8</w:t>
      </w:r>
      <w:r>
        <w:rPr>
          <w:rFonts w:hint="eastAsia" w:ascii="宋体" w:hAnsi="宋体" w:cs="宋体"/>
          <w:sz w:val="24"/>
          <w:highlight w:val="none"/>
        </w:rPr>
        <w:t>：</w:t>
      </w:r>
      <w:r>
        <w:rPr>
          <w:rFonts w:hint="eastAsia" w:ascii="宋体" w:hAnsi="宋体" w:cs="宋体"/>
          <w:sz w:val="24"/>
          <w:highlight w:val="none"/>
          <w:lang w:val="en-US" w:eastAsia="zh-CN"/>
        </w:rPr>
        <w:t>3</w:t>
      </w:r>
      <w:r>
        <w:rPr>
          <w:rFonts w:ascii="宋体" w:hAnsi="宋体" w:cs="宋体"/>
          <w:sz w:val="24"/>
          <w:highlight w:val="none"/>
        </w:rPr>
        <w:t>0-12</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，下午</w:t>
      </w:r>
      <w:r>
        <w:rPr>
          <w:rFonts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w:t>
      </w:r>
      <w:r>
        <w:rPr>
          <w:rFonts w:hint="eastAsia" w:ascii="宋体" w:hAnsi="宋体" w:cs="宋体"/>
          <w:sz w:val="24"/>
          <w:highlight w:val="none"/>
          <w:lang w:val="en-US" w:eastAsia="zh-CN"/>
        </w:rPr>
        <w:t>3</w:t>
      </w:r>
      <w:r>
        <w:rPr>
          <w:rFonts w:ascii="宋体" w:hAnsi="宋体" w:cs="宋体"/>
          <w:sz w:val="24"/>
          <w:highlight w:val="none"/>
        </w:rPr>
        <w:t>0-1</w:t>
      </w:r>
      <w:r>
        <w:rPr>
          <w:rFonts w:hint="eastAsia" w:ascii="宋体" w:hAnsi="宋体" w:cs="宋体"/>
          <w:sz w:val="24"/>
          <w:highlight w:val="none"/>
          <w:lang w:val="en-US" w:eastAsia="zh-CN"/>
        </w:rPr>
        <w:t>7</w:t>
      </w:r>
      <w:r>
        <w:rPr>
          <w:rFonts w:hint="eastAsia" w:ascii="宋体" w:hAnsi="宋体" w:cs="宋体"/>
          <w:sz w:val="24"/>
          <w:highlight w:val="none"/>
        </w:rPr>
        <w:t>：</w:t>
      </w:r>
      <w:r>
        <w:rPr>
          <w:rFonts w:ascii="宋体" w:hAnsi="宋体" w:cs="宋体"/>
          <w:sz w:val="24"/>
          <w:highlight w:val="none"/>
        </w:rPr>
        <w:t>00</w:t>
      </w:r>
      <w:r>
        <w:rPr>
          <w:rFonts w:hint="eastAsia" w:ascii="宋体" w:hAnsi="宋体" w:cs="宋体"/>
          <w:sz w:val="24"/>
          <w:highlight w:val="none"/>
        </w:rPr>
        <w:t>，施工时间如需变动，以甲方的书面或口头通知为准。</w:t>
      </w:r>
    </w:p>
    <w:p>
      <w:pPr>
        <w:spacing w:line="384" w:lineRule="auto"/>
        <w:ind w:firstLine="480" w:firstLineChars="200"/>
        <w:rPr>
          <w:rFonts w:ascii="宋体" w:hAnsi="宋体" w:cs="宋体"/>
          <w:sz w:val="24"/>
          <w:highlight w:val="none"/>
        </w:rPr>
      </w:pPr>
      <w:r>
        <w:rPr>
          <w:rFonts w:ascii="宋体" w:hAnsi="宋体" w:cs="宋体"/>
          <w:sz w:val="24"/>
          <w:highlight w:val="none"/>
        </w:rPr>
        <w:t>6.4</w:t>
      </w:r>
      <w:r>
        <w:rPr>
          <w:rFonts w:hint="eastAsia" w:ascii="宋体" w:hAnsi="宋体" w:cs="宋体"/>
          <w:sz w:val="24"/>
          <w:highlight w:val="none"/>
        </w:rPr>
        <w:t>进场施工人员必须严格遵守</w:t>
      </w:r>
      <w:r>
        <w:rPr>
          <w:rFonts w:hint="eastAsia" w:ascii="宋体" w:hAnsi="宋体" w:cs="宋体"/>
          <w:kern w:val="10"/>
          <w:sz w:val="24"/>
          <w:highlight w:val="none"/>
          <w:lang w:val="en-US" w:eastAsia="zh-CN"/>
        </w:rPr>
        <w:t>净水厂</w:t>
      </w:r>
      <w:r>
        <w:rPr>
          <w:rFonts w:hint="eastAsia" w:ascii="宋体" w:hAnsi="宋体" w:cs="宋体"/>
          <w:sz w:val="24"/>
          <w:highlight w:val="none"/>
        </w:rPr>
        <w:t>一切规章制度。进入施工现场人员必须</w:t>
      </w:r>
      <w:r>
        <w:rPr>
          <w:rFonts w:hint="eastAsia" w:ascii="宋体" w:hAnsi="宋体" w:cs="宋体"/>
          <w:sz w:val="24"/>
          <w:highlight w:val="none"/>
          <w:lang w:val="en-US" w:eastAsia="zh-CN"/>
        </w:rPr>
        <w:t>穿着合格的劳保用品、工作服</w:t>
      </w:r>
      <w:r>
        <w:rPr>
          <w:rFonts w:hint="eastAsia" w:ascii="宋体" w:hAnsi="宋体" w:cs="宋体"/>
          <w:sz w:val="24"/>
          <w:highlight w:val="none"/>
        </w:rPr>
        <w:t>，并自觉接受门岗检查。</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6.5</w:t>
      </w:r>
      <w:r>
        <w:rPr>
          <w:rFonts w:hint="eastAsia" w:ascii="宋体" w:hAnsi="宋体" w:cs="宋体"/>
          <w:sz w:val="24"/>
          <w:highlight w:val="none"/>
        </w:rPr>
        <w:t>环境保护要求：</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）做好施工噪声、废气、废水等控制；</w:t>
      </w:r>
    </w:p>
    <w:p>
      <w:pPr>
        <w:snapToGrid w:val="0"/>
        <w:spacing w:line="384"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）按照国家及广州市相关规定做好建筑垃圾的处理。</w:t>
      </w:r>
    </w:p>
    <w:p>
      <w:pPr>
        <w:snapToGrid w:val="0"/>
        <w:spacing w:line="384" w:lineRule="auto"/>
        <w:ind w:firstLine="480" w:firstLineChars="200"/>
        <w:rPr>
          <w:rFonts w:ascii="宋体" w:hAnsi="宋体" w:cs="宋体"/>
          <w:sz w:val="24"/>
          <w:highlight w:val="none"/>
        </w:rPr>
      </w:pPr>
      <w:r>
        <w:rPr>
          <w:rFonts w:ascii="宋体" w:hAnsi="宋体" w:cs="宋体"/>
          <w:sz w:val="24"/>
          <w:highlight w:val="none"/>
        </w:rPr>
        <w:t>6.6</w:t>
      </w:r>
      <w:r>
        <w:rPr>
          <w:rFonts w:hint="eastAsia" w:ascii="宋体" w:hAnsi="宋体" w:cs="宋体"/>
          <w:sz w:val="24"/>
          <w:highlight w:val="none"/>
        </w:rPr>
        <w:t>按相关法律法规及甲方相关作业施工管理要求执行。</w:t>
      </w:r>
    </w:p>
    <w:p>
      <w:pPr>
        <w:pStyle w:val="11"/>
        <w:spacing w:line="384" w:lineRule="auto"/>
        <w:rPr>
          <w:rFonts w:hAnsi="宋体" w:cs="宋体"/>
          <w:b/>
          <w:bCs/>
          <w:sz w:val="24"/>
          <w:szCs w:val="24"/>
          <w:highlight w:val="none"/>
        </w:rPr>
      </w:pPr>
      <w:r>
        <w:rPr>
          <w:rFonts w:hint="eastAsia" w:hAnsi="宋体" w:cs="宋体"/>
          <w:b/>
          <w:bCs/>
          <w:sz w:val="24"/>
          <w:szCs w:val="24"/>
          <w:highlight w:val="none"/>
        </w:rPr>
        <w:t>第七条</w:t>
      </w:r>
      <w:r>
        <w:rPr>
          <w:rFonts w:hint="eastAsia" w:hAnsi="宋体" w:cs="宋体"/>
          <w:b/>
          <w:bCs/>
          <w:sz w:val="24"/>
          <w:szCs w:val="24"/>
          <w:highlight w:val="none"/>
          <w:lang w:val="en-US" w:eastAsia="zh-CN"/>
        </w:rPr>
        <w:t xml:space="preserve"> </w:t>
      </w:r>
      <w:r>
        <w:rPr>
          <w:rFonts w:hint="eastAsia" w:hAnsi="宋体" w:cs="宋体"/>
          <w:b/>
          <w:bCs/>
          <w:sz w:val="24"/>
          <w:szCs w:val="24"/>
          <w:highlight w:val="none"/>
        </w:rPr>
        <w:t>材料及设备供应</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7.1</w:t>
      </w:r>
      <w:r>
        <w:rPr>
          <w:rFonts w:hint="eastAsia" w:ascii="宋体" w:hAnsi="宋体" w:cs="宋体"/>
          <w:sz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cs="宋体"/>
          <w:sz w:val="24"/>
          <w:highlight w:val="none"/>
        </w:rPr>
      </w:pPr>
      <w:r>
        <w:rPr>
          <w:rFonts w:ascii="宋体" w:hAnsi="宋体" w:cs="宋体"/>
          <w:sz w:val="24"/>
          <w:highlight w:val="none"/>
        </w:rPr>
        <w:t>7.2</w:t>
      </w:r>
      <w:r>
        <w:rPr>
          <w:rFonts w:hint="eastAsia" w:ascii="宋体" w:hAnsi="宋体" w:cs="宋体"/>
          <w:sz w:val="24"/>
          <w:highlight w:val="none"/>
        </w:rPr>
        <w:t>所有材料必须具备合格证明，并保证产品的有效性。</w:t>
      </w:r>
    </w:p>
    <w:p>
      <w:pPr>
        <w:spacing w:line="384" w:lineRule="auto"/>
        <w:ind w:firstLine="480" w:firstLineChars="200"/>
        <w:rPr>
          <w:rFonts w:ascii="宋体" w:hAnsi="宋体" w:cs="宋体"/>
          <w:sz w:val="24"/>
          <w:highlight w:val="none"/>
        </w:rPr>
      </w:pPr>
      <w:r>
        <w:rPr>
          <w:rFonts w:ascii="宋体" w:hAnsi="宋体" w:cs="宋体"/>
          <w:sz w:val="24"/>
          <w:highlight w:val="none"/>
        </w:rPr>
        <w:t>7.3</w:t>
      </w:r>
      <w:r>
        <w:rPr>
          <w:rFonts w:hint="eastAsia" w:ascii="宋体" w:hAnsi="宋体" w:cs="宋体"/>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cs="宋体"/>
          <w:sz w:val="24"/>
          <w:highlight w:val="none"/>
        </w:rPr>
      </w:pPr>
      <w:r>
        <w:rPr>
          <w:rFonts w:ascii="宋体" w:hAnsi="宋体" w:cs="宋体"/>
          <w:sz w:val="24"/>
          <w:highlight w:val="none"/>
        </w:rPr>
        <w:t>7.4</w:t>
      </w:r>
      <w:r>
        <w:rPr>
          <w:rFonts w:hint="eastAsia" w:ascii="宋体" w:hAnsi="宋体" w:cs="宋体"/>
          <w:sz w:val="24"/>
          <w:highlight w:val="none"/>
        </w:rPr>
        <w:t>乙方必须根据投标文件</w:t>
      </w:r>
      <w:r>
        <w:rPr>
          <w:rFonts w:ascii="宋体" w:hAnsi="宋体" w:cs="宋体"/>
          <w:sz w:val="24"/>
          <w:highlight w:val="none"/>
        </w:rPr>
        <w:t>/</w:t>
      </w:r>
      <w:r>
        <w:rPr>
          <w:rFonts w:hint="eastAsia" w:ascii="宋体" w:hAnsi="宋体" w:cs="宋体"/>
          <w:sz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cs="宋体"/>
          <w:sz w:val="24"/>
          <w:highlight w:val="none"/>
        </w:rPr>
      </w:pPr>
      <w:r>
        <w:rPr>
          <w:rFonts w:ascii="宋体" w:hAnsi="宋体" w:cs="宋体"/>
          <w:sz w:val="24"/>
          <w:highlight w:val="none"/>
        </w:rPr>
        <w:t xml:space="preserve">7.5 </w:t>
      </w:r>
      <w:r>
        <w:rPr>
          <w:rFonts w:hint="eastAsia" w:ascii="宋体" w:hAnsi="宋体" w:cs="宋体"/>
          <w:sz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cs="宋体"/>
          <w:sz w:val="24"/>
          <w:highlight w:val="none"/>
        </w:rPr>
      </w:pPr>
      <w:r>
        <w:rPr>
          <w:rFonts w:ascii="宋体" w:hAnsi="宋体" w:cs="宋体"/>
          <w:sz w:val="24"/>
          <w:highlight w:val="none"/>
        </w:rPr>
        <w:t xml:space="preserve">7.6 </w:t>
      </w:r>
      <w:r>
        <w:rPr>
          <w:rFonts w:hint="eastAsia" w:ascii="宋体" w:hAnsi="宋体" w:cs="宋体"/>
          <w:sz w:val="24"/>
          <w:highlight w:val="none"/>
        </w:rPr>
        <w:t>承包范围之内工程所用之设备，由乙方提供。</w:t>
      </w:r>
    </w:p>
    <w:p>
      <w:pPr>
        <w:spacing w:line="384" w:lineRule="auto"/>
        <w:rPr>
          <w:rFonts w:ascii="宋体" w:hAnsi="宋体" w:cs="宋体"/>
          <w:sz w:val="24"/>
          <w:highlight w:val="none"/>
        </w:rPr>
      </w:pPr>
      <w:r>
        <w:rPr>
          <w:rFonts w:hint="eastAsia" w:ascii="宋体" w:hAnsi="宋体" w:cs="宋体"/>
          <w:b/>
          <w:bCs/>
          <w:sz w:val="24"/>
          <w:highlight w:val="none"/>
        </w:rPr>
        <w:t>第八条付</w:t>
      </w:r>
      <w:r>
        <w:rPr>
          <w:rFonts w:hint="eastAsia" w:ascii="宋体" w:hAnsi="宋体" w:cs="宋体"/>
          <w:b/>
          <w:sz w:val="24"/>
          <w:highlight w:val="none"/>
        </w:rPr>
        <w:t>款及履约担保</w:t>
      </w:r>
    </w:p>
    <w:p>
      <w:pPr>
        <w:spacing w:line="384" w:lineRule="auto"/>
        <w:ind w:firstLine="480" w:firstLineChars="200"/>
        <w:rPr>
          <w:rFonts w:hint="default" w:ascii="宋体" w:hAnsi="宋体" w:cs="宋体" w:eastAsiaTheme="minorEastAsia"/>
          <w:bCs/>
          <w:sz w:val="24"/>
          <w:highlight w:val="none"/>
          <w:u w:val="single"/>
          <w:lang w:val="en-US" w:eastAsia="zh-CN"/>
        </w:rPr>
      </w:pPr>
      <w:r>
        <w:rPr>
          <w:rFonts w:ascii="宋体" w:hAnsi="宋体" w:cs="宋体"/>
          <w:sz w:val="24"/>
          <w:highlight w:val="none"/>
        </w:rPr>
        <w:t>8.1</w:t>
      </w:r>
      <w:r>
        <w:rPr>
          <w:rFonts w:hint="eastAsia" w:ascii="宋体" w:hAnsi="宋体" w:cs="宋体"/>
          <w:bCs/>
          <w:sz w:val="24"/>
          <w:highlight w:val="none"/>
        </w:rPr>
        <w:t>预付款的支付：</w:t>
      </w:r>
      <w:r>
        <w:rPr>
          <w:rFonts w:ascii="宋体" w:hAnsi="宋体" w:cs="宋体"/>
          <w:bCs/>
          <w:sz w:val="24"/>
          <w:highlight w:val="none"/>
        </w:rPr>
        <w:sym w:font="Wingdings" w:char="00FE"/>
      </w:r>
      <w:r>
        <w:rPr>
          <w:rFonts w:hint="eastAsia" w:ascii="宋体" w:hAnsi="宋体" w:cs="宋体"/>
          <w:bCs/>
          <w:sz w:val="24"/>
          <w:highlight w:val="none"/>
        </w:rPr>
        <w:t>无；</w:t>
      </w:r>
      <w:r>
        <w:rPr>
          <w:rFonts w:ascii="宋体" w:hAnsi="宋体" w:cs="宋体"/>
          <w:bCs/>
          <w:sz w:val="24"/>
          <w:highlight w:val="none"/>
        </w:rPr>
        <w:sym w:font="Wingdings" w:char="00A8"/>
      </w:r>
      <w:r>
        <w:rPr>
          <w:rFonts w:hint="eastAsia" w:ascii="宋体" w:hAnsi="宋体" w:cs="宋体"/>
          <w:bCs/>
          <w:sz w:val="24"/>
          <w:highlight w:val="none"/>
        </w:rPr>
        <w:t>有</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合同签订后，乙方开具等额的增值税专用发票及提交履约担保担保（如有）后 10 个工作日内，甲方支付合同暂定总价的（不得超过30%）即…元，（大写：…）作为预付款。若合同解除或终止，乙方在 5 个工作日内返还预付款（无息）。逾期未返还，每逾期一天，乙方应按合同暂定总价的万分之五/天支付违约金。</w:t>
      </w:r>
    </w:p>
    <w:p>
      <w:pPr>
        <w:tabs>
          <w:tab w:val="left" w:pos="0"/>
        </w:tabs>
        <w:adjustRightInd w:val="0"/>
        <w:snapToGrid w:val="0"/>
        <w:spacing w:line="360" w:lineRule="auto"/>
        <w:ind w:firstLine="480" w:firstLineChars="200"/>
        <w:jc w:val="left"/>
        <w:rPr>
          <w:rFonts w:hint="eastAsia" w:ascii="宋体" w:hAnsi="宋体" w:cs="宋体"/>
          <w:sz w:val="24"/>
          <w:highlight w:val="none"/>
        </w:rPr>
      </w:pPr>
      <w:r>
        <w:rPr>
          <w:rFonts w:ascii="宋体" w:hAnsi="宋体" w:cs="宋体"/>
          <w:sz w:val="24"/>
          <w:highlight w:val="none"/>
        </w:rPr>
        <w:t>8.2</w:t>
      </w:r>
      <w:r>
        <w:rPr>
          <w:rFonts w:hint="eastAsia" w:ascii="宋体" w:hAnsi="宋体" w:cs="宋体"/>
          <w:sz w:val="24"/>
          <w:highlight w:val="none"/>
          <w:u w:val="single"/>
          <w:lang w:val="en-US" w:eastAsia="zh-CN"/>
        </w:rPr>
        <w:t>项目验收合格后，</w:t>
      </w:r>
      <w:r>
        <w:rPr>
          <w:rFonts w:hint="eastAsia" w:ascii="宋体" w:hAnsi="宋体" w:cs="宋体"/>
          <w:sz w:val="24"/>
          <w:highlight w:val="none"/>
          <w:lang w:val="en-US" w:eastAsia="zh-CN"/>
        </w:rPr>
        <w:t>经甲方或</w:t>
      </w:r>
      <w:r>
        <w:rPr>
          <w:rFonts w:hint="eastAsia" w:ascii="宋体" w:hAnsi="宋体" w:cs="宋体"/>
          <w:sz w:val="24"/>
          <w:highlight w:val="none"/>
        </w:rPr>
        <w:t>甲方委托有资质第三方机构审核后，由乙方提交申请支付资料</w:t>
      </w:r>
      <w:r>
        <w:rPr>
          <w:rFonts w:ascii="宋体" w:hAnsi="宋体" w:cs="宋体"/>
          <w:sz w:val="24"/>
          <w:highlight w:val="none"/>
          <w:u w:val="single"/>
        </w:rPr>
        <w:t xml:space="preserve"> 15 </w:t>
      </w:r>
      <w:r>
        <w:rPr>
          <w:rFonts w:hint="eastAsia" w:ascii="宋体" w:hAnsi="宋体" w:cs="宋体"/>
          <w:sz w:val="24"/>
          <w:highlight w:val="none"/>
        </w:rPr>
        <w:t>个工作日内，甲方支付至合同结算价的</w:t>
      </w:r>
      <w:r>
        <w:rPr>
          <w:rFonts w:hint="eastAsia" w:ascii="宋体" w:hAnsi="宋体" w:cs="宋体"/>
          <w:sz w:val="24"/>
          <w:highlight w:val="none"/>
          <w:lang w:val="en-US" w:eastAsia="zh-CN"/>
        </w:rPr>
        <w:t>100</w:t>
      </w:r>
      <w:r>
        <w:rPr>
          <w:rFonts w:ascii="宋体" w:hAnsi="宋体" w:cs="宋体"/>
          <w:sz w:val="24"/>
          <w:highlight w:val="none"/>
        </w:rPr>
        <w:t>%</w:t>
      </w:r>
      <w:r>
        <w:rPr>
          <w:rFonts w:hint="eastAsia" w:ascii="宋体" w:hAnsi="宋体" w:cs="宋体"/>
          <w:sz w:val="24"/>
          <w:highlight w:val="none"/>
        </w:rPr>
        <w:t>。</w:t>
      </w:r>
    </w:p>
    <w:p>
      <w:pPr>
        <w:pStyle w:val="11"/>
        <w:spacing w:line="384" w:lineRule="auto"/>
        <w:ind w:firstLine="480" w:firstLineChars="200"/>
        <w:outlineLvl w:val="1"/>
        <w:rPr>
          <w:rFonts w:hint="default" w:hAnsi="宋体" w:eastAsia="宋体" w:cs="宋体"/>
          <w:sz w:val="24"/>
          <w:szCs w:val="24"/>
          <w:highlight w:val="none"/>
          <w:lang w:val="en-US" w:eastAsia="zh-CN"/>
        </w:rPr>
      </w:pPr>
      <w:r>
        <w:rPr>
          <w:rFonts w:hint="eastAsia" w:hAnsi="宋体" w:cs="宋体"/>
          <w:sz w:val="24"/>
          <w:szCs w:val="24"/>
          <w:highlight w:val="none"/>
          <w:lang w:val="en-US" w:eastAsia="zh-CN"/>
        </w:rPr>
        <w:t>8.2.1</w:t>
      </w:r>
      <w:r>
        <w:rPr>
          <w:rFonts w:hint="eastAsia" w:hAnsi="宋体" w:cs="宋体"/>
          <w:sz w:val="24"/>
          <w:szCs w:val="24"/>
          <w:highlight w:val="none"/>
        </w:rPr>
        <w:t>本项目工程款的支付单位为：</w:t>
      </w:r>
      <w:r>
        <w:rPr>
          <w:rFonts w:hint="eastAsia" w:hAnsi="宋体" w:cs="宋体"/>
          <w:sz w:val="24"/>
          <w:szCs w:val="24"/>
          <w:highlight w:val="none"/>
          <w:u w:val="single"/>
          <w:lang w:val="en-US" w:eastAsia="zh-CN"/>
        </w:rPr>
        <w:t xml:space="preserve">广州市净水有限公司 </w:t>
      </w:r>
    </w:p>
    <w:p>
      <w:pPr>
        <w:spacing w:line="384" w:lineRule="auto"/>
        <w:ind w:firstLine="480" w:firstLineChars="200"/>
        <w:rPr>
          <w:rFonts w:ascii="宋体" w:hAnsi="宋体" w:cs="宋体"/>
          <w:sz w:val="24"/>
          <w:highlight w:val="none"/>
          <w:u w:val="single"/>
        </w:rPr>
      </w:pPr>
      <w:r>
        <w:rPr>
          <w:rFonts w:ascii="宋体" w:hAnsi="宋体" w:cs="宋体"/>
          <w:sz w:val="24"/>
          <w:highlight w:val="none"/>
        </w:rPr>
        <w:t>8.3</w:t>
      </w:r>
      <w:r>
        <w:rPr>
          <w:rFonts w:hint="eastAsia" w:ascii="宋体" w:hAnsi="宋体" w:cs="宋体"/>
          <w:sz w:val="24"/>
          <w:highlight w:val="none"/>
        </w:rPr>
        <w:t>乙方收款账户：</w:t>
      </w:r>
      <w:r>
        <w:rPr>
          <w:rFonts w:hint="eastAsia" w:ascii="宋体" w:hAnsi="宋体" w:cs="宋体"/>
          <w:sz w:val="24"/>
          <w:highlight w:val="none"/>
          <w:u w:val="single"/>
          <w:lang w:eastAsia="zh-CN"/>
        </w:rPr>
        <w:t>…</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收款账号：</w:t>
      </w:r>
      <w:r>
        <w:rPr>
          <w:rFonts w:hint="eastAsia" w:ascii="宋体" w:hAnsi="宋体" w:cs="宋体"/>
          <w:sz w:val="24"/>
          <w:highlight w:val="none"/>
          <w:u w:val="single"/>
          <w:lang w:eastAsia="zh-CN"/>
        </w:rPr>
        <w:t>…</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u w:val="single"/>
        </w:rPr>
      </w:pPr>
      <w:r>
        <w:rPr>
          <w:rFonts w:hint="eastAsia" w:ascii="宋体" w:hAnsi="宋体" w:cs="宋体"/>
          <w:sz w:val="24"/>
          <w:highlight w:val="none"/>
        </w:rPr>
        <w:t>开户行：</w:t>
      </w:r>
      <w:r>
        <w:rPr>
          <w:rFonts w:hint="eastAsia" w:ascii="宋体" w:hAnsi="宋体" w:cs="宋体"/>
          <w:sz w:val="24"/>
          <w:highlight w:val="none"/>
          <w:u w:val="single"/>
          <w:lang w:eastAsia="zh-CN"/>
        </w:rPr>
        <w:t>…</w:t>
      </w:r>
      <w:r>
        <w:rPr>
          <w:rFonts w:hint="eastAsia" w:ascii="宋体" w:hAnsi="宋体" w:cs="宋体"/>
          <w:sz w:val="24"/>
          <w:highlight w:val="none"/>
          <w:u w:val="single"/>
        </w:rPr>
        <w:t>；</w:t>
      </w:r>
    </w:p>
    <w:p>
      <w:pPr>
        <w:spacing w:line="384" w:lineRule="auto"/>
        <w:ind w:firstLine="480" w:firstLineChars="200"/>
        <w:rPr>
          <w:rFonts w:ascii="宋体" w:hAnsi="宋体" w:cs="宋体"/>
          <w:sz w:val="24"/>
          <w:highlight w:val="none"/>
        </w:rPr>
      </w:pPr>
      <w:r>
        <w:rPr>
          <w:rFonts w:ascii="宋体" w:hAnsi="宋体" w:cs="宋体"/>
          <w:sz w:val="24"/>
          <w:highlight w:val="none"/>
        </w:rPr>
        <w:t>8.4</w:t>
      </w:r>
      <w:r>
        <w:rPr>
          <w:rFonts w:hint="eastAsia" w:ascii="宋体" w:hAnsi="宋体" w:cs="宋体"/>
          <w:sz w:val="24"/>
          <w:highlight w:val="none"/>
        </w:rPr>
        <w:t>乙方在收款前需提交等额增值税专用发票给甲方。增值税专用发票信息：</w:t>
      </w:r>
    </w:p>
    <w:p>
      <w:pPr>
        <w:spacing w:line="384"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 xml:space="preserve"> 名称：广州市净水有限公司</w:t>
      </w:r>
    </w:p>
    <w:p>
      <w:pPr>
        <w:spacing w:line="384"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税号：91440101755584729Q</w:t>
      </w:r>
    </w:p>
    <w:p>
      <w:pPr>
        <w:spacing w:line="384" w:lineRule="auto"/>
        <w:ind w:firstLine="480" w:firstLineChars="200"/>
        <w:outlineLvl w:val="0"/>
        <w:rPr>
          <w:rFonts w:hint="eastAsia" w:ascii="宋体" w:hAnsi="宋体" w:cs="宋体"/>
          <w:sz w:val="24"/>
          <w:highlight w:val="none"/>
          <w:lang w:val="en-US" w:eastAsia="zh-CN"/>
        </w:rPr>
      </w:pPr>
      <w:r>
        <w:rPr>
          <w:rFonts w:hint="eastAsia" w:ascii="宋体" w:hAnsi="宋体" w:cs="宋体"/>
          <w:sz w:val="24"/>
          <w:highlight w:val="none"/>
          <w:lang w:val="en-US" w:eastAsia="zh-CN"/>
        </w:rPr>
        <w:t>地址及电话：广州市天河区临江大道501号 020-38890283；</w:t>
      </w:r>
    </w:p>
    <w:p>
      <w:pPr>
        <w:spacing w:line="384" w:lineRule="auto"/>
        <w:ind w:firstLine="480" w:firstLineChars="200"/>
        <w:outlineLvl w:val="0"/>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开户行/账号：民生银行广州分行0301014140006932。</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w:t>
      </w:r>
      <w:r>
        <w:rPr>
          <w:rFonts w:hint="eastAsia" w:ascii="宋体" w:hAnsi="宋体" w:cs="宋体"/>
          <w:sz w:val="24"/>
          <w:highlight w:val="none"/>
        </w:rPr>
        <w:t>履约担保：</w:t>
      </w:r>
      <w:r>
        <w:rPr>
          <w:rFonts w:hint="eastAsia" w:ascii="宋体" w:hAnsi="宋体" w:cs="宋体"/>
          <w:szCs w:val="21"/>
          <w:highlight w:val="none"/>
        </w:rPr>
        <w:sym w:font="Wingdings 2" w:char="0052"/>
      </w:r>
      <w:r>
        <w:rPr>
          <w:rFonts w:hint="eastAsia" w:ascii="宋体" w:hAnsi="宋体" w:cs="宋体"/>
          <w:bCs/>
          <w:sz w:val="24"/>
          <w:highlight w:val="none"/>
        </w:rPr>
        <w:t>无；</w:t>
      </w:r>
      <w:r>
        <w:rPr>
          <w:rFonts w:hint="eastAsia" w:ascii="宋体" w:hAnsi="宋体" w:cs="宋体"/>
          <w:szCs w:val="21"/>
          <w:highlight w:val="none"/>
        </w:rPr>
        <w:t>□有,</w:t>
      </w:r>
      <w:r>
        <w:rPr>
          <w:rFonts w:hint="eastAsia" w:ascii="宋体" w:hAnsi="宋体" w:cs="宋体"/>
          <w:sz w:val="24"/>
          <w:highlight w:val="none"/>
        </w:rPr>
        <w:t>本合同签订后</w:t>
      </w:r>
      <w:r>
        <w:rPr>
          <w:rFonts w:ascii="宋体" w:hAnsi="宋体" w:cs="宋体"/>
          <w:sz w:val="24"/>
          <w:highlight w:val="none"/>
        </w:rPr>
        <w:t>10</w:t>
      </w:r>
      <w:r>
        <w:rPr>
          <w:rFonts w:hint="eastAsia" w:ascii="宋体" w:hAnsi="宋体" w:cs="宋体"/>
          <w:sz w:val="24"/>
          <w:highlight w:val="none"/>
        </w:rPr>
        <w:t>日内</w:t>
      </w:r>
      <w:r>
        <w:rPr>
          <w:rFonts w:hint="eastAsia" w:ascii="宋体" w:hAnsi="宋体" w:cs="宋体"/>
          <w:sz w:val="24"/>
          <w:highlight w:val="none"/>
          <w:u w:val="single"/>
        </w:rPr>
        <w:t>以合同暂定总价的</w:t>
      </w:r>
      <w:r>
        <w:rPr>
          <w:rFonts w:ascii="宋体" w:hAnsi="宋体" w:cs="宋体"/>
          <w:sz w:val="24"/>
          <w:highlight w:val="none"/>
          <w:u w:val="single"/>
        </w:rPr>
        <w:t>10%</w:t>
      </w:r>
      <w:r>
        <w:rPr>
          <w:rFonts w:hint="eastAsia" w:ascii="宋体" w:hAnsi="宋体" w:cs="宋体"/>
          <w:sz w:val="24"/>
          <w:highlight w:val="none"/>
          <w:u w:val="single"/>
        </w:rPr>
        <w:t>作为履约保证金，</w:t>
      </w:r>
      <w:r>
        <w:rPr>
          <w:rFonts w:hint="eastAsia" w:ascii="宋体" w:hAnsi="宋体" w:cs="宋体"/>
          <w:sz w:val="24"/>
          <w:highlight w:val="none"/>
        </w:rPr>
        <w:t>金额为：</w:t>
      </w:r>
      <w:r>
        <w:rPr>
          <w:rFonts w:hint="eastAsia" w:ascii="宋体" w:hAnsi="宋体" w:cs="宋体"/>
          <w:sz w:val="24"/>
          <w:highlight w:val="none"/>
          <w:lang w:eastAsia="zh-CN"/>
        </w:rPr>
        <w:t>…</w:t>
      </w:r>
      <w:r>
        <w:rPr>
          <w:rFonts w:hint="eastAsia" w:ascii="宋体" w:hAnsi="宋体" w:cs="宋体"/>
          <w:sz w:val="24"/>
          <w:highlight w:val="none"/>
          <w:u w:val="single"/>
        </w:rPr>
        <w:t>（大写人民币：</w:t>
      </w:r>
      <w:r>
        <w:rPr>
          <w:rFonts w:hint="eastAsia" w:ascii="宋体" w:hAnsi="宋体" w:cs="宋体"/>
          <w:sz w:val="24"/>
          <w:highlight w:val="none"/>
          <w:u w:val="single"/>
          <w:lang w:eastAsia="zh-CN"/>
        </w:rPr>
        <w:t>…</w:t>
      </w:r>
      <w:r>
        <w:rPr>
          <w:rFonts w:hint="eastAsia" w:ascii="宋体" w:hAnsi="宋体" w:cs="宋体"/>
          <w:sz w:val="24"/>
          <w:highlight w:val="none"/>
          <w:u w:val="single"/>
        </w:rPr>
        <w:t>），</w:t>
      </w:r>
      <w:r>
        <w:rPr>
          <w:rFonts w:hint="eastAsia" w:ascii="宋体" w:hAnsi="宋体" w:cs="宋体"/>
          <w:sz w:val="24"/>
          <w:highlight w:val="none"/>
        </w:rPr>
        <w:t>未按时提供的，甲方有权解除合同并要求乙方支付</w:t>
      </w:r>
      <w:r>
        <w:rPr>
          <w:rFonts w:hint="eastAsia" w:ascii="宋体" w:hAnsi="宋体" w:cs="宋体"/>
          <w:sz w:val="24"/>
          <w:highlight w:val="none"/>
          <w:u w:val="single"/>
        </w:rPr>
        <w:t>合同暂定总价</w:t>
      </w:r>
      <w:r>
        <w:rPr>
          <w:rFonts w:ascii="宋体" w:hAnsi="宋体" w:cs="宋体"/>
          <w:sz w:val="24"/>
          <w:highlight w:val="none"/>
          <w:u w:val="single"/>
        </w:rPr>
        <w:t>20%</w:t>
      </w:r>
      <w:r>
        <w:rPr>
          <w:rFonts w:hint="eastAsia" w:ascii="宋体" w:hAnsi="宋体" w:cs="宋体"/>
          <w:sz w:val="24"/>
          <w:highlight w:val="none"/>
        </w:rPr>
        <w:t>作为违约金。</w:t>
      </w:r>
    </w:p>
    <w:p>
      <w:pPr>
        <w:pStyle w:val="20"/>
        <w:spacing w:before="0" w:beforeAutospacing="0" w:after="0" w:afterAutospacing="0" w:line="384" w:lineRule="auto"/>
        <w:ind w:firstLine="480" w:firstLineChars="200"/>
        <w:rPr>
          <w:highlight w:val="none"/>
        </w:rPr>
      </w:pPr>
      <w:r>
        <w:rPr>
          <w:rFonts w:cs="宋体"/>
          <w:color w:val="auto"/>
          <w:highlight w:val="none"/>
        </w:rPr>
        <w:t>8.5.1</w:t>
      </w:r>
      <w:r>
        <w:rPr>
          <w:highlight w:val="none"/>
        </w:rPr>
        <w:t>履约担保</w:t>
      </w:r>
      <w:r>
        <w:rPr>
          <w:rFonts w:hint="eastAsia"/>
          <w:highlight w:val="none"/>
        </w:rPr>
        <w:t>按以下任一种形式提供</w:t>
      </w:r>
      <w:r>
        <w:rPr>
          <w:highlight w:val="none"/>
        </w:rPr>
        <w:t>：</w:t>
      </w:r>
    </w:p>
    <w:p>
      <w:pPr>
        <w:pStyle w:val="20"/>
        <w:spacing w:before="0" w:beforeAutospacing="0" w:after="0" w:afterAutospacing="0" w:line="360" w:lineRule="auto"/>
        <w:ind w:firstLine="480"/>
        <w:rPr>
          <w:highlight w:val="none"/>
        </w:rPr>
      </w:pPr>
      <w:r>
        <w:rPr>
          <w:rFonts w:hint="eastAsia"/>
          <w:highlight w:val="none"/>
        </w:rPr>
        <w:t>（1）符合甲方要求（详见附件7保函格式）的银行独立保函，</w:t>
      </w:r>
    </w:p>
    <w:p>
      <w:pPr>
        <w:pStyle w:val="20"/>
        <w:spacing w:before="0" w:beforeAutospacing="0" w:after="0" w:afterAutospacing="0" w:line="360" w:lineRule="auto"/>
        <w:ind w:firstLine="480"/>
        <w:rPr>
          <w:highlight w:val="none"/>
        </w:rPr>
      </w:pPr>
      <w:r>
        <w:rPr>
          <w:rFonts w:hint="eastAsia"/>
          <w:highlight w:val="none"/>
        </w:rPr>
        <w:t>（2）现金转账至甲方以下指定账户：</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户名：广州市净水有限公司</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账号：</w:t>
      </w:r>
      <w:r>
        <w:rPr>
          <w:rFonts w:ascii="宋体" w:hAnsi="宋体" w:cs="宋体"/>
          <w:bCs/>
          <w:sz w:val="24"/>
          <w:highlight w:val="none"/>
        </w:rPr>
        <w:t>82010154900000342</w:t>
      </w:r>
    </w:p>
    <w:p>
      <w:pPr>
        <w:tabs>
          <w:tab w:val="left" w:pos="1995"/>
        </w:tabs>
        <w:spacing w:line="384" w:lineRule="auto"/>
        <w:ind w:firstLine="480" w:firstLineChars="200"/>
        <w:rPr>
          <w:rFonts w:ascii="宋体" w:hAnsi="宋体" w:cs="宋体"/>
          <w:bCs/>
          <w:sz w:val="24"/>
          <w:highlight w:val="none"/>
        </w:rPr>
      </w:pPr>
      <w:r>
        <w:rPr>
          <w:rFonts w:hint="eastAsia" w:ascii="宋体" w:hAnsi="宋体" w:cs="宋体"/>
          <w:bCs/>
          <w:sz w:val="24"/>
          <w:highlight w:val="none"/>
        </w:rPr>
        <w:t>开户行：浦发银行广州分行</w:t>
      </w:r>
    </w:p>
    <w:p>
      <w:pPr>
        <w:spacing w:line="384" w:lineRule="auto"/>
        <w:ind w:firstLine="480" w:firstLineChars="200"/>
        <w:outlineLvl w:val="0"/>
        <w:rPr>
          <w:rFonts w:ascii="宋体" w:hAnsi="宋体" w:cs="宋体"/>
          <w:sz w:val="24"/>
          <w:highlight w:val="none"/>
        </w:rPr>
      </w:pPr>
      <w:r>
        <w:rPr>
          <w:rFonts w:ascii="宋体" w:hAnsi="宋体" w:cs="宋体"/>
          <w:sz w:val="24"/>
          <w:highlight w:val="none"/>
        </w:rPr>
        <w:t>8.5.2</w:t>
      </w:r>
      <w:r>
        <w:rPr>
          <w:rFonts w:hint="eastAsia" w:ascii="宋体" w:hAnsi="宋体" w:cs="宋体"/>
          <w:sz w:val="24"/>
          <w:highlight w:val="none"/>
        </w:rPr>
        <w:t>履约担保的担保期限和返还</w:t>
      </w:r>
    </w:p>
    <w:p>
      <w:pPr>
        <w:spacing w:line="384" w:lineRule="auto"/>
        <w:ind w:firstLine="480"/>
        <w:outlineLvl w:val="0"/>
        <w:rPr>
          <w:rFonts w:ascii="宋体" w:hAnsi="宋体" w:cs="宋体"/>
          <w:sz w:val="24"/>
          <w:highlight w:val="none"/>
        </w:rPr>
      </w:pPr>
      <w:r>
        <w:rPr>
          <w:rFonts w:hint="eastAsia" w:ascii="宋体" w:hAnsi="宋体" w:cs="宋体"/>
          <w:sz w:val="24"/>
          <w:highlight w:val="none"/>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highlight w:val="none"/>
        </w:rPr>
      </w:pPr>
      <w:r>
        <w:rPr>
          <w:rFonts w:hint="eastAsia" w:ascii="宋体" w:hAnsi="宋体" w:cs="宋体"/>
          <w:sz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cs="宋体"/>
          <w:sz w:val="24"/>
          <w:highlight w:val="none"/>
        </w:rPr>
      </w:pPr>
      <w:r>
        <w:rPr>
          <w:rFonts w:hint="eastAsia" w:ascii="宋体" w:hAnsi="宋体" w:cs="宋体"/>
          <w:sz w:val="24"/>
          <w:highlight w:val="none"/>
        </w:rPr>
        <w:t>⑶延长担保期限。乙方以履约银行保函形式提交履约保证金的，在银行保函到期前，乙方应提前</w:t>
      </w:r>
      <w:r>
        <w:rPr>
          <w:rFonts w:ascii="宋体" w:hAnsi="宋体" w:cs="宋体"/>
          <w:sz w:val="24"/>
          <w:highlight w:val="none"/>
          <w:u w:val="single"/>
        </w:rPr>
        <w:t xml:space="preserve"> 7 </w:t>
      </w:r>
      <w:r>
        <w:rPr>
          <w:rFonts w:hint="eastAsia" w:ascii="宋体" w:hAnsi="宋体" w:cs="宋体"/>
          <w:sz w:val="24"/>
          <w:highlight w:val="none"/>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28日</w:t>
      </w:r>
      <w:r>
        <w:rPr>
          <w:rFonts w:hint="eastAsia" w:cs="宋体"/>
          <w:color w:val="auto"/>
          <w:highlight w:val="none"/>
        </w:rPr>
        <w:t>内将剩余保证金（无息）返还。</w:t>
      </w:r>
    </w:p>
    <w:p>
      <w:pPr>
        <w:spacing w:line="384" w:lineRule="auto"/>
        <w:ind w:firstLine="480" w:firstLineChars="200"/>
        <w:rPr>
          <w:rFonts w:ascii="宋体" w:hAnsi="宋体" w:cs="宋体"/>
          <w:sz w:val="24"/>
          <w:highlight w:val="none"/>
        </w:rPr>
      </w:pPr>
      <w:r>
        <w:rPr>
          <w:rFonts w:ascii="宋体" w:hAnsi="宋体" w:cs="宋体"/>
          <w:sz w:val="24"/>
          <w:highlight w:val="none"/>
        </w:rPr>
        <w:t>8.5.3</w:t>
      </w:r>
      <w:r>
        <w:rPr>
          <w:rFonts w:hint="eastAsia" w:ascii="宋体" w:hAnsi="宋体" w:cs="宋体"/>
          <w:sz w:val="24"/>
          <w:highlight w:val="none"/>
        </w:rPr>
        <w:t>甲方按本合同规定提取履约担保金额后，乙方应在收到甲方通知后</w:t>
      </w:r>
    </w:p>
    <w:p>
      <w:pPr>
        <w:spacing w:line="384" w:lineRule="auto"/>
        <w:rPr>
          <w:rFonts w:ascii="宋体" w:hAnsi="宋体" w:cs="宋体"/>
          <w:sz w:val="24"/>
          <w:highlight w:val="none"/>
        </w:rPr>
      </w:pPr>
      <w:r>
        <w:rPr>
          <w:rFonts w:ascii="宋体" w:hAnsi="宋体" w:cs="宋体"/>
          <w:sz w:val="24"/>
          <w:highlight w:val="none"/>
          <w:u w:val="single"/>
        </w:rPr>
        <w:t xml:space="preserve">  7  </w:t>
      </w:r>
      <w:r>
        <w:rPr>
          <w:rFonts w:hint="eastAsia" w:ascii="宋体" w:hAnsi="宋体" w:cs="宋体"/>
          <w:sz w:val="24"/>
          <w:highlight w:val="none"/>
        </w:rPr>
        <w:t>日内补足数额，逾期未补足的，则甲方有权提取履约担保的全部余额并解除合同。</w:t>
      </w:r>
    </w:p>
    <w:p>
      <w:pPr>
        <w:pStyle w:val="11"/>
        <w:spacing w:line="384" w:lineRule="auto"/>
        <w:ind w:firstLine="480" w:firstLineChars="200"/>
        <w:outlineLvl w:val="1"/>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highlight w:val="none"/>
          <w:lang w:val="en-US" w:eastAsia="zh-CN"/>
        </w:rPr>
        <w:t xml:space="preserve">8.6付款方式： </w:t>
      </w:r>
      <w:r>
        <w:rPr>
          <w:rFonts w:hint="eastAsia" w:asciiTheme="minorEastAsia" w:hAnsiTheme="minorEastAsia" w:eastAsiaTheme="minorEastAsia" w:cstheme="minorEastAsia"/>
          <w:sz w:val="24"/>
          <w:highlight w:val="none"/>
          <w:lang w:val="en-US" w:eastAsia="zh-CN"/>
        </w:rPr>
        <w:sym w:font="Wingdings" w:char="00FE"/>
      </w:r>
      <w:r>
        <w:rPr>
          <w:rFonts w:hint="eastAsia" w:asciiTheme="minorEastAsia" w:hAnsiTheme="minorEastAsia" w:eastAsiaTheme="minorEastAsia" w:cstheme="minorEastAsia"/>
          <w:sz w:val="24"/>
          <w:highlight w:val="none"/>
          <w:lang w:val="en-US" w:eastAsia="zh-CN"/>
        </w:rPr>
        <w:t xml:space="preserve">网银支付；  </w:t>
      </w:r>
      <w:r>
        <w:rPr>
          <w:rFonts w:hint="eastAsia" w:asciiTheme="minorEastAsia" w:hAnsiTheme="minorEastAsia" w:eastAsiaTheme="minorEastAsia" w:cstheme="minorEastAsia"/>
          <w:sz w:val="24"/>
          <w:highlight w:val="none"/>
          <w:lang w:val="en-US" w:eastAsia="zh-CN"/>
        </w:rPr>
        <w:sym w:font="Wingdings" w:char="00A8"/>
      </w:r>
      <w:r>
        <w:rPr>
          <w:rFonts w:hint="eastAsia" w:asciiTheme="minorEastAsia" w:hAnsiTheme="minorEastAsia" w:eastAsiaTheme="minorEastAsia" w:cstheme="minorEastAsia"/>
          <w:sz w:val="24"/>
          <w:highlight w:val="none"/>
          <w:lang w:val="en-US" w:eastAsia="zh-CN"/>
        </w:rPr>
        <w:t xml:space="preserve">支票；   </w:t>
      </w:r>
      <w:r>
        <w:rPr>
          <w:rFonts w:hint="eastAsia" w:asciiTheme="minorEastAsia" w:hAnsiTheme="minorEastAsia" w:eastAsiaTheme="minorEastAsia" w:cstheme="minorEastAsia"/>
          <w:sz w:val="24"/>
          <w:highlight w:val="none"/>
          <w:lang w:val="en-US" w:eastAsia="zh-CN"/>
        </w:rPr>
        <w:sym w:font="Wingdings" w:char="00A8"/>
      </w:r>
      <w:r>
        <w:rPr>
          <w:rFonts w:hint="eastAsia" w:asciiTheme="minorEastAsia" w:hAnsiTheme="minorEastAsia" w:eastAsiaTheme="minorEastAsia" w:cstheme="minorEastAsia"/>
          <w:sz w:val="24"/>
          <w:highlight w:val="none"/>
          <w:lang w:val="en-US" w:eastAsia="zh-CN"/>
        </w:rPr>
        <w:t>其他：</w:t>
      </w:r>
    </w:p>
    <w:p>
      <w:pPr>
        <w:pStyle w:val="11"/>
        <w:spacing w:line="384" w:lineRule="auto"/>
        <w:ind w:firstLine="720" w:firstLineChars="300"/>
        <w:outlineLvl w:val="1"/>
        <w:rPr>
          <w:rFonts w:hint="eastAsia" w:hAnsi="宋体" w:cs="宋体"/>
          <w:sz w:val="24"/>
          <w:szCs w:val="24"/>
          <w:highlight w:val="none"/>
        </w:rPr>
      </w:pPr>
    </w:p>
    <w:p>
      <w:pPr>
        <w:spacing w:line="384" w:lineRule="auto"/>
        <w:ind w:firstLine="482" w:firstLineChars="200"/>
        <w:rPr>
          <w:rFonts w:ascii="宋体" w:hAnsi="宋体" w:cs="宋体"/>
          <w:b/>
          <w:bCs/>
          <w:sz w:val="24"/>
          <w:highlight w:val="none"/>
        </w:rPr>
      </w:pPr>
      <w:r>
        <w:rPr>
          <w:rFonts w:hint="eastAsia" w:ascii="宋体" w:hAnsi="宋体" w:cs="宋体"/>
          <w:b/>
          <w:bCs/>
          <w:sz w:val="24"/>
          <w:highlight w:val="none"/>
        </w:rPr>
        <w:t>第九条竣工验收</w:t>
      </w:r>
    </w:p>
    <w:p>
      <w:pPr>
        <w:spacing w:line="384" w:lineRule="auto"/>
        <w:ind w:firstLine="480" w:firstLineChars="200"/>
        <w:rPr>
          <w:rFonts w:ascii="宋体" w:hAnsi="宋体" w:cs="宋体"/>
          <w:sz w:val="24"/>
          <w:highlight w:val="none"/>
        </w:rPr>
      </w:pPr>
      <w:r>
        <w:rPr>
          <w:rFonts w:ascii="宋体" w:hAnsi="宋体" w:cs="宋体"/>
          <w:sz w:val="24"/>
          <w:highlight w:val="none"/>
        </w:rPr>
        <w:t>9.1</w:t>
      </w:r>
      <w:r>
        <w:rPr>
          <w:rFonts w:hint="eastAsia" w:ascii="宋体" w:hAnsi="宋体" w:cs="宋体"/>
          <w:sz w:val="24"/>
          <w:highlight w:val="none"/>
        </w:rPr>
        <w:t>乙方应在工程完工后</w:t>
      </w:r>
      <w:r>
        <w:rPr>
          <w:rFonts w:ascii="宋体" w:hAnsi="宋体" w:cs="宋体"/>
          <w:sz w:val="24"/>
          <w:highlight w:val="none"/>
        </w:rPr>
        <w:t>30</w:t>
      </w:r>
      <w:r>
        <w:rPr>
          <w:rFonts w:hint="eastAsia" w:ascii="宋体" w:hAnsi="宋体" w:cs="宋体"/>
          <w:sz w:val="24"/>
          <w:highlight w:val="none"/>
        </w:rPr>
        <w:t>天内将经甲方审核的完整竣工资料（含竣工图）和竣工验收报告</w:t>
      </w:r>
      <w:r>
        <w:rPr>
          <w:rFonts w:hint="eastAsia" w:ascii="宋体" w:hAnsi="宋体" w:cs="宋体"/>
          <w:sz w:val="24"/>
          <w:highlight w:val="none"/>
          <w:lang w:eastAsia="zh-CN"/>
        </w:rPr>
        <w:t>（</w:t>
      </w:r>
      <w:r>
        <w:rPr>
          <w:rFonts w:hint="eastAsia" w:ascii="宋体" w:hAnsi="宋体" w:cs="宋体"/>
          <w:sz w:val="24"/>
          <w:highlight w:val="none"/>
          <w:lang w:val="en-US" w:eastAsia="zh-CN"/>
        </w:rPr>
        <w:t>含检测标定报告</w:t>
      </w:r>
      <w:r>
        <w:rPr>
          <w:rFonts w:hint="eastAsia" w:ascii="宋体" w:hAnsi="宋体" w:cs="宋体"/>
          <w:sz w:val="24"/>
          <w:highlight w:val="none"/>
          <w:lang w:eastAsia="zh-CN"/>
        </w:rPr>
        <w:t>）</w:t>
      </w:r>
      <w:r>
        <w:rPr>
          <w:rFonts w:hint="eastAsia" w:ascii="宋体" w:hAnsi="宋体" w:cs="宋体"/>
          <w:sz w:val="24"/>
          <w:highlight w:val="none"/>
        </w:rPr>
        <w:t>各</w:t>
      </w:r>
      <w:r>
        <w:rPr>
          <w:rFonts w:hint="eastAsia" w:ascii="宋体" w:hAnsi="宋体" w:cs="宋体"/>
          <w:sz w:val="24"/>
          <w:highlight w:val="none"/>
          <w:u w:val="single"/>
        </w:rPr>
        <w:t>一式四份</w:t>
      </w:r>
      <w:r>
        <w:rPr>
          <w:rFonts w:hint="eastAsia" w:ascii="宋体" w:hAnsi="宋体" w:cs="宋体"/>
          <w:sz w:val="24"/>
          <w:highlight w:val="none"/>
        </w:rPr>
        <w:t>交甲方，不按时报送工程竣工资料的，每逾期一天，甲方要求乙方支付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，并在支付合同款时抵扣。</w:t>
      </w:r>
    </w:p>
    <w:p>
      <w:pPr>
        <w:spacing w:line="384" w:lineRule="auto"/>
        <w:ind w:firstLine="480" w:firstLineChars="200"/>
        <w:rPr>
          <w:rFonts w:ascii="宋体" w:hAnsi="宋体" w:cs="宋体"/>
          <w:sz w:val="24"/>
          <w:highlight w:val="none"/>
        </w:rPr>
      </w:pPr>
      <w:r>
        <w:rPr>
          <w:rFonts w:ascii="宋体" w:hAnsi="宋体" w:cs="宋体"/>
          <w:sz w:val="24"/>
          <w:highlight w:val="none"/>
        </w:rPr>
        <w:t>9.2</w:t>
      </w:r>
      <w:r>
        <w:rPr>
          <w:rFonts w:hint="eastAsia" w:ascii="宋体" w:hAnsi="宋体" w:cs="宋体"/>
          <w:sz w:val="24"/>
          <w:highlight w:val="none"/>
        </w:rPr>
        <w:t>甲方收到完整的竣工验收资料（完整的竣工验收资料：施工方案、开工</w:t>
      </w:r>
      <w:r>
        <w:rPr>
          <w:rFonts w:ascii="宋体" w:hAnsi="宋体" w:cs="宋体"/>
          <w:sz w:val="24"/>
          <w:highlight w:val="none"/>
        </w:rPr>
        <w:t>/</w:t>
      </w:r>
      <w:r>
        <w:rPr>
          <w:rFonts w:hint="eastAsia" w:ascii="宋体" w:hAnsi="宋体" w:cs="宋体"/>
          <w:sz w:val="24"/>
          <w:highlight w:val="none"/>
        </w:rPr>
        <w:t>竣工报告、安全备案整套资料、本合同书、询价文件</w:t>
      </w:r>
      <w:r>
        <w:rPr>
          <w:rFonts w:ascii="宋体" w:hAnsi="宋体" w:cs="宋体"/>
          <w:sz w:val="24"/>
          <w:highlight w:val="none"/>
        </w:rPr>
        <w:t>/</w:t>
      </w:r>
      <w:r>
        <w:rPr>
          <w:rFonts w:hint="eastAsia" w:ascii="宋体" w:hAnsi="宋体" w:cs="宋体"/>
          <w:sz w:val="24"/>
          <w:highlight w:val="none"/>
        </w:rPr>
        <w:t>响应文件、中标通知书</w:t>
      </w:r>
      <w:r>
        <w:rPr>
          <w:rFonts w:ascii="宋体" w:hAnsi="宋体" w:cs="宋体"/>
          <w:sz w:val="24"/>
          <w:highlight w:val="none"/>
        </w:rPr>
        <w:t>/</w:t>
      </w:r>
      <w:r>
        <w:rPr>
          <w:rFonts w:hint="eastAsia" w:ascii="宋体" w:hAnsi="宋体" w:cs="宋体"/>
          <w:sz w:val="24"/>
          <w:highlight w:val="none"/>
        </w:rPr>
        <w:t>发包通知书</w:t>
      </w:r>
      <w:r>
        <w:rPr>
          <w:rFonts w:ascii="宋体" w:hAnsi="宋体" w:cs="宋体"/>
          <w:sz w:val="24"/>
          <w:highlight w:val="none"/>
        </w:rPr>
        <w:t>/</w:t>
      </w:r>
      <w:r>
        <w:rPr>
          <w:rFonts w:hint="eastAsia" w:ascii="宋体" w:hAnsi="宋体" w:cs="宋体"/>
          <w:sz w:val="24"/>
          <w:highlight w:val="none"/>
        </w:rPr>
        <w:t>委托书、</w:t>
      </w:r>
      <w:r>
        <w:rPr>
          <w:rFonts w:hint="eastAsia" w:ascii="宋体" w:hAnsi="宋体" w:cs="宋体"/>
          <w:sz w:val="24"/>
          <w:highlight w:val="none"/>
          <w:lang w:val="en-US" w:eastAsia="zh-CN"/>
        </w:rPr>
        <w:t>检测标定报告、</w:t>
      </w:r>
      <w:r>
        <w:rPr>
          <w:rFonts w:hint="eastAsia" w:ascii="宋体" w:hAnsi="宋体" w:cs="宋体"/>
          <w:sz w:val="24"/>
          <w:highlight w:val="none"/>
        </w:rPr>
        <w:t>工程预算送审报告、工程结算书</w:t>
      </w:r>
      <w:r>
        <w:rPr>
          <w:rFonts w:ascii="宋体" w:hAnsi="宋体" w:cs="宋体"/>
          <w:sz w:val="24"/>
          <w:highlight w:val="none"/>
        </w:rPr>
        <w:t>/</w:t>
      </w:r>
      <w:r>
        <w:rPr>
          <w:rFonts w:hint="eastAsia" w:ascii="宋体" w:hAnsi="宋体" w:cs="宋体"/>
          <w:sz w:val="24"/>
          <w:highlight w:val="none"/>
        </w:rPr>
        <w:t>签证记录、备件开箱记录表或送货单、竣工图等，如有必须提供）和竣工验收报告后</w:t>
      </w:r>
      <w:r>
        <w:rPr>
          <w:rFonts w:ascii="宋体" w:hAnsi="宋体" w:cs="宋体"/>
          <w:sz w:val="24"/>
          <w:highlight w:val="none"/>
        </w:rPr>
        <w:t>20</w:t>
      </w:r>
      <w:r>
        <w:rPr>
          <w:rFonts w:hint="eastAsia" w:ascii="宋体" w:hAnsi="宋体" w:cs="宋体"/>
          <w:sz w:val="24"/>
          <w:highlight w:val="none"/>
        </w:rPr>
        <w:t>天内组织有关单位进行验收，工程竣工验收严格按国家、省、市、部门有关文件执行，并在验收后</w:t>
      </w:r>
      <w:r>
        <w:rPr>
          <w:rFonts w:ascii="宋体" w:hAnsi="宋体" w:cs="宋体"/>
          <w:sz w:val="24"/>
          <w:highlight w:val="none"/>
        </w:rPr>
        <w:t>10</w:t>
      </w:r>
      <w:r>
        <w:rPr>
          <w:rFonts w:hint="eastAsia" w:ascii="宋体" w:hAnsi="宋体" w:cs="宋体"/>
          <w:sz w:val="24"/>
          <w:highlight w:val="none"/>
        </w:rPr>
        <w:t>天内给予认可或提出修改意见。乙方按要求修改，并承担修改的费用。</w:t>
      </w:r>
    </w:p>
    <w:p>
      <w:pPr>
        <w:spacing w:line="384" w:lineRule="auto"/>
        <w:ind w:firstLine="480" w:firstLineChars="200"/>
        <w:rPr>
          <w:rFonts w:ascii="宋体" w:hAnsi="宋体" w:cs="宋体"/>
          <w:sz w:val="24"/>
          <w:highlight w:val="none"/>
        </w:rPr>
      </w:pPr>
      <w:r>
        <w:rPr>
          <w:rFonts w:ascii="宋体" w:hAnsi="宋体" w:cs="宋体"/>
          <w:sz w:val="24"/>
          <w:highlight w:val="none"/>
        </w:rPr>
        <w:t>9.3</w:t>
      </w:r>
      <w:r>
        <w:rPr>
          <w:rFonts w:hint="eastAsia" w:ascii="宋体" w:hAnsi="宋体" w:cs="宋体"/>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cs="宋体"/>
          <w:sz w:val="24"/>
          <w:highlight w:val="none"/>
        </w:rPr>
      </w:pPr>
      <w:r>
        <w:rPr>
          <w:rFonts w:ascii="宋体" w:hAnsi="宋体" w:cs="宋体"/>
          <w:sz w:val="24"/>
          <w:highlight w:val="none"/>
        </w:rPr>
        <w:t>9.4</w:t>
      </w:r>
      <w:r>
        <w:rPr>
          <w:rFonts w:hint="eastAsia" w:ascii="宋体" w:hAnsi="宋体" w:cs="宋体"/>
          <w:sz w:val="24"/>
          <w:highlight w:val="none"/>
        </w:rPr>
        <w:t>竣工档案的整理和移交</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w:t>
      </w:r>
      <w:r>
        <w:rPr>
          <w:rFonts w:hint="eastAsia" w:ascii="宋体" w:hAnsi="宋体" w:cs="宋体"/>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a</w:t>
      </w:r>
      <w:r>
        <w:rPr>
          <w:rFonts w:hint="eastAsia" w:ascii="宋体" w:hAnsi="宋体" w:cs="宋体"/>
          <w:sz w:val="24"/>
          <w:highlight w:val="none"/>
        </w:rPr>
        <w:t>）竣工文件资料、竣工图档案（原件）各一式四份；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b</w:t>
      </w:r>
      <w:r>
        <w:rPr>
          <w:rFonts w:hint="eastAsia" w:ascii="宋体" w:hAnsi="宋体" w:cs="宋体"/>
          <w:sz w:val="24"/>
          <w:highlight w:val="none"/>
        </w:rPr>
        <w:t>）与本款（</w:t>
      </w:r>
      <w:r>
        <w:rPr>
          <w:rFonts w:ascii="宋体" w:hAnsi="宋体" w:cs="宋体"/>
          <w:sz w:val="24"/>
          <w:highlight w:val="none"/>
        </w:rPr>
        <w:t>a</w:t>
      </w:r>
      <w:r>
        <w:rPr>
          <w:rFonts w:hint="eastAsia" w:ascii="宋体" w:hAnsi="宋体" w:cs="宋体"/>
          <w:sz w:val="24"/>
          <w:highlight w:val="none"/>
        </w:rPr>
        <w:t>）项内容相同的电子版档案一式二份；</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）乙方移交竣工档案的时限：乙方应于工程竣工验收后</w:t>
      </w:r>
      <w:r>
        <w:rPr>
          <w:rFonts w:ascii="宋体" w:hAnsi="宋体" w:cs="宋体"/>
          <w:sz w:val="24"/>
          <w:highlight w:val="none"/>
        </w:rPr>
        <w:t>30</w:t>
      </w:r>
      <w:r>
        <w:rPr>
          <w:rFonts w:hint="eastAsia" w:ascii="宋体" w:hAnsi="宋体" w:cs="宋体"/>
          <w:sz w:val="24"/>
          <w:highlight w:val="none"/>
        </w:rPr>
        <w:t>天内将竣工档案提交甲方签认。乙方应于甲方签认后</w:t>
      </w:r>
      <w:r>
        <w:rPr>
          <w:rFonts w:ascii="宋体" w:hAnsi="宋体" w:cs="宋体"/>
          <w:sz w:val="24"/>
          <w:highlight w:val="none"/>
        </w:rPr>
        <w:t>10</w:t>
      </w:r>
      <w:r>
        <w:rPr>
          <w:rFonts w:hint="eastAsia" w:ascii="宋体" w:hAnsi="宋体" w:cs="宋体"/>
          <w:sz w:val="24"/>
          <w:highlight w:val="none"/>
        </w:rPr>
        <w:t>天内将竣工档案移交给甲方归档并同时移交有关归档的证明文件。甲方经审查合格的，应在收到竣工档案后</w:t>
      </w:r>
      <w:r>
        <w:rPr>
          <w:rFonts w:ascii="宋体" w:hAnsi="宋体" w:cs="宋体"/>
          <w:sz w:val="24"/>
          <w:highlight w:val="none"/>
        </w:rPr>
        <w:t>10</w:t>
      </w:r>
      <w:r>
        <w:rPr>
          <w:rFonts w:hint="eastAsia" w:ascii="宋体" w:hAnsi="宋体" w:cs="宋体"/>
          <w:sz w:val="24"/>
          <w:highlight w:val="none"/>
        </w:rPr>
        <w:t>天内签署档案验收意见；不合格的，乙方应按甲方要求限期补正，直至合格为止。乙方超过本条规定的时限，每逾期一天支付</w:t>
      </w:r>
      <w:r>
        <w:rPr>
          <w:rFonts w:hint="eastAsia" w:ascii="宋体" w:hAnsi="宋体" w:cs="宋体"/>
          <w:sz w:val="24"/>
          <w:highlight w:val="none"/>
          <w:u w:val="single"/>
        </w:rPr>
        <w:t>合同暂定总价</w:t>
      </w:r>
      <w:r>
        <w:rPr>
          <w:rFonts w:hint="eastAsia" w:ascii="宋体" w:hAnsi="宋体" w:cs="宋体"/>
          <w:bCs/>
          <w:sz w:val="24"/>
          <w:highlight w:val="none"/>
          <w:u w:val="single"/>
        </w:rPr>
        <w:t>万分之五</w:t>
      </w:r>
      <w:r>
        <w:rPr>
          <w:rFonts w:ascii="宋体" w:hAnsi="宋体" w:cs="宋体"/>
          <w:bCs/>
          <w:sz w:val="24"/>
          <w:highlight w:val="none"/>
          <w:u w:val="single"/>
        </w:rPr>
        <w:t>/</w:t>
      </w:r>
      <w:r>
        <w:rPr>
          <w:rFonts w:hint="eastAsia" w:ascii="宋体" w:hAnsi="宋体" w:cs="宋体"/>
          <w:bCs/>
          <w:sz w:val="24"/>
          <w:highlight w:val="none"/>
          <w:u w:val="single"/>
        </w:rPr>
        <w:t>天</w:t>
      </w:r>
      <w:r>
        <w:rPr>
          <w:rFonts w:hint="eastAsia" w:ascii="宋体" w:hAnsi="宋体" w:cs="宋体"/>
          <w:sz w:val="24"/>
          <w:highlight w:val="none"/>
        </w:rPr>
        <w:t>违约金。</w:t>
      </w:r>
    </w:p>
    <w:p>
      <w:pPr>
        <w:spacing w:line="384" w:lineRule="auto"/>
        <w:ind w:firstLine="360" w:firstLineChars="15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）电子版竣工图的编制，以甲方提供的电子版施工图为基础。乙方在移交竣工档案时，应一并移交甲方提供的电子版施工图。</w:t>
      </w:r>
    </w:p>
    <w:p>
      <w:pPr>
        <w:spacing w:line="384" w:lineRule="auto"/>
        <w:ind w:firstLine="480"/>
        <w:rPr>
          <w:rFonts w:hint="eastAsia" w:ascii="宋体" w:hAnsi="宋体" w:cs="宋体"/>
          <w:sz w:val="24"/>
          <w:highlight w:val="none"/>
        </w:rPr>
      </w:pPr>
      <w:r>
        <w:rPr>
          <w:rFonts w:hint="eastAsia" w:ascii="宋体" w:hAnsi="宋体" w:cs="宋体"/>
          <w:sz w:val="24"/>
          <w:highlight w:val="none"/>
        </w:rPr>
        <w:t>电子版施工图和电子版竣工图的知识产权归属甲方所有，非经甲方许可，乙方不得以任何方式复制、备份、转让和利用。否则，由此引起的任何纠纷和责任由乙方承担。</w:t>
      </w:r>
    </w:p>
    <w:p>
      <w:pPr>
        <w:pStyle w:val="27"/>
        <w:ind w:firstLine="480" w:firstLineChars="200"/>
        <w:rPr>
          <w:rFonts w:hint="eastAsia" w:asciiTheme="minorEastAsia" w:hAnsiTheme="minorEastAsia" w:eastAsiaTheme="minorEastAsia" w:cstheme="minorEastAsia"/>
          <w:highlight w:val="none"/>
          <w:u w:val="single"/>
          <w:lang w:val="en-US" w:eastAsia="zh-CN"/>
        </w:rPr>
      </w:pPr>
      <w:r>
        <w:rPr>
          <w:rFonts w:hint="eastAsia" w:asciiTheme="minorEastAsia" w:hAnsiTheme="minorEastAsia" w:eastAsiaTheme="minorEastAsia" w:cstheme="minorEastAsia"/>
          <w:highlight w:val="none"/>
          <w:lang w:val="en-US" w:eastAsia="zh-CN"/>
        </w:rPr>
        <w:t>9.5</w:t>
      </w:r>
      <w:r>
        <w:rPr>
          <w:rFonts w:hint="eastAsia" w:asciiTheme="minorEastAsia" w:hAnsiTheme="minorEastAsia" w:eastAsiaTheme="minorEastAsia" w:cstheme="minorEastAsia"/>
          <w:highlight w:val="none"/>
        </w:rPr>
        <w:t>本合同竣工验收结算单位为</w:t>
      </w:r>
      <w:r>
        <w:rPr>
          <w:rFonts w:hint="eastAsia" w:asciiTheme="minorEastAsia" w:hAnsiTheme="minorEastAsia" w:eastAsiaTheme="minorEastAsia" w:cstheme="minorEastAsia"/>
          <w:highlight w:val="none"/>
          <w:u w:val="single"/>
          <w:lang w:eastAsia="zh-CN"/>
        </w:rPr>
        <w:t>：</w:t>
      </w:r>
      <w:r>
        <w:rPr>
          <w:rFonts w:hint="eastAsia" w:asciiTheme="minorEastAsia" w:hAnsiTheme="minorEastAsia" w:eastAsiaTheme="minorEastAsia" w:cstheme="minorEastAsia"/>
          <w:highlight w:val="none"/>
          <w:u w:val="single"/>
          <w:lang w:val="en-US" w:eastAsia="zh-CN"/>
        </w:rPr>
        <w:t xml:space="preserve">广州市净水有限公司 </w:t>
      </w:r>
    </w:p>
    <w:p>
      <w:pPr>
        <w:numPr>
          <w:ilvl w:val="0"/>
          <w:numId w:val="7"/>
        </w:numPr>
        <w:spacing w:before="120" w:afterLines="50" w:line="384" w:lineRule="auto"/>
        <w:ind w:firstLine="482" w:firstLineChars="200"/>
        <w:jc w:val="left"/>
        <w:rPr>
          <w:rFonts w:ascii="宋体" w:hAnsi="宋体" w:cs="宋体"/>
          <w:b/>
          <w:bCs/>
          <w:sz w:val="24"/>
          <w:highlight w:val="none"/>
        </w:rPr>
      </w:pPr>
      <w:bookmarkStart w:id="85" w:name="_Toc518992994"/>
      <w:bookmarkStart w:id="86" w:name="_Toc520190034"/>
      <w:bookmarkStart w:id="87" w:name="_Toc474245220"/>
      <w:r>
        <w:rPr>
          <w:rFonts w:hint="eastAsia" w:ascii="宋体" w:hAnsi="宋体" w:cs="宋体"/>
          <w:b/>
          <w:bCs/>
          <w:sz w:val="24"/>
          <w:highlight w:val="none"/>
        </w:rPr>
        <w:t>质量保证</w:t>
      </w:r>
      <w:bookmarkEnd w:id="85"/>
      <w:bookmarkEnd w:id="86"/>
      <w:bookmarkEnd w:id="87"/>
    </w:p>
    <w:p>
      <w:pPr>
        <w:spacing w:line="384" w:lineRule="auto"/>
        <w:ind w:firstLine="480" w:firstLineChars="200"/>
        <w:rPr>
          <w:rFonts w:ascii="宋体" w:hAnsi="宋体" w:cs="宋体"/>
          <w:sz w:val="24"/>
          <w:highlight w:val="none"/>
        </w:rPr>
      </w:pPr>
      <w:r>
        <w:rPr>
          <w:rFonts w:ascii="宋体" w:hAnsi="宋体" w:cs="宋体"/>
          <w:sz w:val="24"/>
          <w:highlight w:val="none"/>
        </w:rPr>
        <w:t>10.1</w:t>
      </w:r>
      <w:r>
        <w:rPr>
          <w:rFonts w:hint="eastAsia" w:ascii="宋体" w:hAnsi="宋体" w:cs="宋体"/>
          <w:sz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cs="宋体"/>
          <w:kern w:val="0"/>
          <w:sz w:val="24"/>
          <w:highlight w:val="none"/>
          <w:lang w:val="zh-CN"/>
        </w:rPr>
      </w:pPr>
      <w:r>
        <w:rPr>
          <w:rFonts w:ascii="宋体" w:hAnsi="宋体" w:cs="宋体"/>
          <w:bCs/>
          <w:sz w:val="24"/>
          <w:highlight w:val="none"/>
        </w:rPr>
        <w:t xml:space="preserve">10.2 </w:t>
      </w:r>
      <w:r>
        <w:rPr>
          <w:rFonts w:hint="eastAsia" w:ascii="宋体" w:hAnsi="宋体" w:cs="宋体"/>
          <w:bCs/>
          <w:sz w:val="24"/>
          <w:highlight w:val="none"/>
        </w:rPr>
        <w:t>本项目质量保修期为</w:t>
      </w:r>
      <w:r>
        <w:rPr>
          <w:rFonts w:hint="eastAsia" w:ascii="宋体" w:hAnsi="宋体" w:cs="宋体"/>
          <w:kern w:val="0"/>
          <w:sz w:val="24"/>
          <w:highlight w:val="none"/>
          <w:lang w:val="zh-CN"/>
        </w:rPr>
        <w:t>自验收合格之日起</w:t>
      </w:r>
      <w:r>
        <w:rPr>
          <w:rFonts w:hint="eastAsia" w:ascii="宋体" w:hAnsi="宋体" w:cs="宋体"/>
          <w:kern w:val="0"/>
          <w:sz w:val="24"/>
          <w:highlight w:val="none"/>
          <w:u w:val="single"/>
          <w:lang w:val="en-US" w:eastAsia="zh-CN"/>
        </w:rPr>
        <w:t>壹</w:t>
      </w:r>
      <w:r>
        <w:rPr>
          <w:rFonts w:hint="eastAsia" w:ascii="宋体" w:hAnsi="宋体" w:cs="宋体"/>
          <w:kern w:val="0"/>
          <w:sz w:val="24"/>
          <w:highlight w:val="none"/>
          <w:lang w:val="zh-CN"/>
        </w:rPr>
        <w:t>年，</w:t>
      </w:r>
      <w:r>
        <w:rPr>
          <w:rFonts w:hint="eastAsia" w:ascii="宋体" w:hAnsi="宋体" w:cs="宋体"/>
          <w:kern w:val="0"/>
          <w:sz w:val="24"/>
          <w:highlight w:val="none"/>
          <w:lang w:val="en-US" w:eastAsia="zh-CN"/>
        </w:rPr>
        <w:t>且不得低于法定保修期限</w:t>
      </w:r>
      <w:r>
        <w:rPr>
          <w:rFonts w:hint="eastAsia" w:ascii="宋体" w:hAnsi="宋体" w:cs="宋体"/>
          <w:kern w:val="0"/>
          <w:sz w:val="24"/>
          <w:highlight w:val="none"/>
          <w:lang w:val="zh-CN"/>
        </w:rPr>
        <w:t>。</w:t>
      </w:r>
    </w:p>
    <w:p>
      <w:pPr>
        <w:spacing w:line="384" w:lineRule="auto"/>
        <w:ind w:firstLine="420" w:firstLineChars="175"/>
        <w:rPr>
          <w:rFonts w:ascii="宋体" w:hAnsi="宋体" w:cs="宋体"/>
          <w:bCs/>
          <w:sz w:val="24"/>
          <w:highlight w:val="none"/>
        </w:rPr>
      </w:pPr>
      <w:r>
        <w:rPr>
          <w:rFonts w:ascii="宋体" w:hAnsi="宋体" w:cs="宋体"/>
          <w:bCs/>
          <w:sz w:val="24"/>
          <w:highlight w:val="none"/>
        </w:rPr>
        <w:t>10.3</w:t>
      </w:r>
      <w:r>
        <w:rPr>
          <w:rFonts w:hint="eastAsia" w:ascii="宋体" w:hAnsi="宋体" w:cs="宋体"/>
          <w:bCs/>
          <w:sz w:val="24"/>
          <w:highlight w:val="none"/>
        </w:rPr>
        <w:t>质量保修期期间，本项目的质量问题由乙方免费提供保修服务，乙方应在收到甲方通知后</w:t>
      </w:r>
      <w:r>
        <w:rPr>
          <w:rFonts w:hint="eastAsia" w:ascii="宋体" w:hAnsi="宋体" w:cs="宋体"/>
          <w:bCs/>
          <w:sz w:val="24"/>
          <w:highlight w:val="none"/>
          <w:lang w:val="en-US" w:eastAsia="zh-CN"/>
        </w:rPr>
        <w:t>24小时</w:t>
      </w:r>
      <w:r>
        <w:rPr>
          <w:rFonts w:hint="eastAsia" w:ascii="宋体" w:hAnsi="宋体" w:cs="宋体"/>
          <w:bCs/>
          <w:sz w:val="24"/>
          <w:highlight w:val="none"/>
        </w:rPr>
        <w:t>内派人员到场负责解决及维修，如果乙方不按时到场维修或到场后不能修复的，甲方有权委托他人予以维修，乙方承担由此发生的费用并支付</w:t>
      </w:r>
      <w:r>
        <w:rPr>
          <w:rFonts w:hint="eastAsia" w:ascii="宋体" w:hAnsi="宋体" w:cs="宋体"/>
          <w:bCs/>
          <w:sz w:val="24"/>
          <w:highlight w:val="none"/>
          <w:u w:val="single"/>
        </w:rPr>
        <w:t>合同暂定总价的</w:t>
      </w:r>
      <w:r>
        <w:rPr>
          <w:rFonts w:ascii="宋体" w:hAnsi="宋体" w:cs="宋体"/>
          <w:bCs/>
          <w:sz w:val="24"/>
          <w:highlight w:val="none"/>
          <w:u w:val="single"/>
        </w:rPr>
        <w:t>10%/</w:t>
      </w:r>
      <w:r>
        <w:rPr>
          <w:rFonts w:hint="eastAsia" w:ascii="宋体" w:hAnsi="宋体" w:cs="宋体"/>
          <w:bCs/>
          <w:sz w:val="24"/>
          <w:highlight w:val="none"/>
          <w:u w:val="single"/>
        </w:rPr>
        <w:t>次</w:t>
      </w:r>
      <w:r>
        <w:rPr>
          <w:rFonts w:hint="eastAsia" w:ascii="宋体" w:hAnsi="宋体" w:cs="宋体"/>
          <w:bCs/>
          <w:sz w:val="24"/>
          <w:highlight w:val="none"/>
        </w:rPr>
        <w:t>作为违约金。</w:t>
      </w:r>
    </w:p>
    <w:p>
      <w:pPr>
        <w:spacing w:beforeLines="50" w:afterLines="50" w:line="384" w:lineRule="auto"/>
        <w:ind w:firstLine="422" w:firstLineChars="175"/>
        <w:jc w:val="left"/>
        <w:rPr>
          <w:rFonts w:ascii="宋体" w:hAnsi="宋体" w:cs="宋体"/>
          <w:sz w:val="24"/>
          <w:highlight w:val="none"/>
        </w:rPr>
      </w:pPr>
      <w:bookmarkStart w:id="88" w:name="_Toc183666531"/>
      <w:bookmarkStart w:id="89" w:name="_Toc474245226"/>
      <w:bookmarkStart w:id="90" w:name="_Toc306350467"/>
      <w:bookmarkStart w:id="91" w:name="_Toc19692"/>
      <w:bookmarkStart w:id="92" w:name="_Toc107446862"/>
      <w:bookmarkStart w:id="93" w:name="_Toc518993000"/>
      <w:bookmarkStart w:id="94" w:name="_Toc107447255"/>
      <w:bookmarkStart w:id="95" w:name="_Toc520190040"/>
      <w:r>
        <w:rPr>
          <w:rFonts w:hint="eastAsia" w:ascii="宋体" w:hAnsi="宋体" w:cs="宋体"/>
          <w:b/>
          <w:bCs/>
          <w:sz w:val="24"/>
          <w:highlight w:val="none"/>
        </w:rPr>
        <w:t>第十一条不可抗力</w:t>
      </w:r>
      <w:bookmarkEnd w:id="88"/>
      <w:bookmarkEnd w:id="89"/>
      <w:bookmarkEnd w:id="90"/>
      <w:bookmarkEnd w:id="91"/>
      <w:bookmarkEnd w:id="92"/>
      <w:bookmarkEnd w:id="93"/>
      <w:bookmarkEnd w:id="94"/>
      <w:bookmarkEnd w:id="95"/>
    </w:p>
    <w:p>
      <w:pPr>
        <w:widowControl/>
        <w:autoSpaceDE w:val="0"/>
        <w:autoSpaceDN w:val="0"/>
        <w:adjustRightInd w:val="0"/>
        <w:spacing w:line="384" w:lineRule="auto"/>
        <w:ind w:firstLine="480" w:firstLineChars="200"/>
        <w:rPr>
          <w:rFonts w:ascii="宋体" w:hAnsi="宋体" w:cs="宋体"/>
          <w:bCs/>
          <w:sz w:val="24"/>
          <w:highlight w:val="none"/>
        </w:rPr>
      </w:pPr>
      <w:bookmarkStart w:id="96" w:name="_Toc12010"/>
      <w:bookmarkStart w:id="97" w:name="_Toc183666532"/>
      <w:bookmarkStart w:id="98" w:name="_Toc306350468"/>
      <w:r>
        <w:rPr>
          <w:rFonts w:ascii="宋体" w:hAnsi="宋体" w:cs="宋体"/>
          <w:bCs/>
          <w:sz w:val="24"/>
          <w:highlight w:val="none"/>
        </w:rPr>
        <w:t xml:space="preserve">11.1 </w:t>
      </w:r>
      <w:r>
        <w:rPr>
          <w:rFonts w:hint="eastAsia" w:ascii="宋体" w:hAnsi="宋体" w:cs="宋体"/>
          <w:bCs/>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⑴地震、火山爆发、滑坡、暴雨（橙色预警及以上）、台风（黄色预警及以上）、海啸、龙卷风、大面积流行病</w:t>
      </w:r>
      <w:r>
        <w:rPr>
          <w:rFonts w:ascii="宋体" w:hAnsi="宋体" w:cs="宋体"/>
          <w:bCs/>
          <w:sz w:val="24"/>
          <w:highlight w:val="none"/>
        </w:rPr>
        <w:t>(如：非典型性肺炎等)或瘟疫；</w:t>
      </w:r>
    </w:p>
    <w:p>
      <w:pPr>
        <w:widowControl/>
        <w:autoSpaceDE w:val="0"/>
        <w:autoSpaceDN w:val="0"/>
        <w:adjustRightInd w:val="0"/>
        <w:spacing w:line="384" w:lineRule="auto"/>
        <w:ind w:firstLine="480" w:firstLineChars="200"/>
        <w:rPr>
          <w:rFonts w:ascii="宋体" w:hAnsi="宋体" w:cs="宋体"/>
          <w:bCs/>
          <w:sz w:val="24"/>
          <w:highlight w:val="none"/>
        </w:rPr>
      </w:pPr>
      <w:r>
        <w:rPr>
          <w:rFonts w:hint="eastAsia" w:ascii="宋体" w:hAnsi="宋体" w:cs="宋体"/>
          <w:bCs/>
          <w:sz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11.2 </w:t>
      </w:r>
      <w:r>
        <w:rPr>
          <w:rFonts w:hint="eastAsia" w:ascii="宋体" w:hAnsi="宋体" w:cs="宋体"/>
          <w:bCs/>
          <w:sz w:val="24"/>
          <w:highlight w:val="none"/>
        </w:rPr>
        <w:t>声称受到不可抗力影响的一方，应在发生不可抗力或知道发生不可抗力之后</w:t>
      </w:r>
      <w:r>
        <w:rPr>
          <w:rFonts w:ascii="宋体" w:hAnsi="宋体" w:cs="宋体"/>
          <w:bCs/>
          <w:sz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cs="宋体"/>
          <w:bCs/>
          <w:sz w:val="24"/>
          <w:highlight w:val="none"/>
        </w:rPr>
      </w:pPr>
      <w:r>
        <w:rPr>
          <w:rFonts w:ascii="宋体" w:hAnsi="宋体" w:cs="宋体"/>
          <w:bCs/>
          <w:sz w:val="24"/>
          <w:highlight w:val="none"/>
        </w:rPr>
        <w:t xml:space="preserve">11.3 </w:t>
      </w:r>
      <w:r>
        <w:rPr>
          <w:rFonts w:hint="eastAsia" w:ascii="宋体" w:hAnsi="宋体" w:cs="宋体"/>
          <w:bCs/>
          <w:sz w:val="24"/>
          <w:highlight w:val="none"/>
        </w:rPr>
        <w:t>因不可抗力导致合同无法履行的时间自该不可抗力发生日起连续超过玖拾</w:t>
      </w:r>
      <w:r>
        <w:rPr>
          <w:rFonts w:ascii="宋体" w:hAnsi="宋体" w:cs="宋体"/>
          <w:bCs/>
          <w:sz w:val="24"/>
          <w:highlight w:val="none"/>
        </w:rPr>
        <w:t>(90)天，双方应协商决定继续履行本合同的条件或者变更本合同。如果自不可抗力发生后壹佰捌拾(180)天之内双方不能达成一致意见，任何一方有权解除本合同。</w:t>
      </w:r>
    </w:p>
    <w:p>
      <w:pPr>
        <w:spacing w:beforeLines="50" w:afterLines="50" w:line="384" w:lineRule="auto"/>
        <w:ind w:firstLine="482"/>
        <w:jc w:val="left"/>
        <w:rPr>
          <w:rFonts w:ascii="宋体" w:hAnsi="宋体" w:cs="宋体"/>
          <w:bCs/>
          <w:sz w:val="24"/>
          <w:highlight w:val="none"/>
        </w:rPr>
      </w:pPr>
      <w:r>
        <w:rPr>
          <w:rFonts w:ascii="宋体" w:hAnsi="宋体" w:cs="宋体"/>
          <w:bCs/>
          <w:sz w:val="24"/>
          <w:highlight w:val="none"/>
        </w:rPr>
        <w:t xml:space="preserve">11.4 </w:t>
      </w:r>
      <w:r>
        <w:rPr>
          <w:rFonts w:hint="eastAsia" w:ascii="宋体" w:hAnsi="宋体" w:cs="宋体"/>
          <w:bCs/>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99" w:name="_Toc107446864"/>
      <w:bookmarkStart w:id="100" w:name="_Toc118172294"/>
      <w:bookmarkStart w:id="101" w:name="_Toc107447257"/>
      <w:bookmarkStart w:id="102" w:name="_Toc474245227"/>
      <w:bookmarkStart w:id="103" w:name="_Toc518993001"/>
      <w:bookmarkStart w:id="104" w:name="_Toc520190041"/>
    </w:p>
    <w:p>
      <w:pPr>
        <w:spacing w:beforeLines="50" w:afterLines="50" w:line="384" w:lineRule="auto"/>
        <w:ind w:firstLine="482"/>
        <w:jc w:val="left"/>
        <w:rPr>
          <w:rFonts w:ascii="宋体" w:hAnsi="宋体" w:cs="宋体"/>
          <w:b/>
          <w:bCs/>
          <w:sz w:val="24"/>
          <w:highlight w:val="none"/>
        </w:rPr>
      </w:pPr>
      <w:r>
        <w:rPr>
          <w:rFonts w:hint="eastAsia" w:ascii="宋体" w:hAnsi="宋体" w:cs="宋体"/>
          <w:b/>
          <w:bCs/>
          <w:sz w:val="24"/>
          <w:highlight w:val="none"/>
        </w:rPr>
        <w:t>十二条争议解决</w:t>
      </w:r>
      <w:bookmarkEnd w:id="96"/>
      <w:bookmarkEnd w:id="97"/>
      <w:bookmarkEnd w:id="98"/>
      <w:bookmarkEnd w:id="99"/>
      <w:bookmarkEnd w:id="100"/>
      <w:bookmarkEnd w:id="101"/>
      <w:bookmarkEnd w:id="102"/>
      <w:bookmarkEnd w:id="103"/>
      <w:bookmarkEnd w:id="104"/>
    </w:p>
    <w:p>
      <w:pPr>
        <w:spacing w:line="384" w:lineRule="auto"/>
        <w:ind w:firstLine="482"/>
        <w:rPr>
          <w:rFonts w:ascii="宋体" w:hAnsi="宋体" w:cs="宋体"/>
          <w:bCs/>
          <w:sz w:val="24"/>
          <w:highlight w:val="none"/>
        </w:rPr>
      </w:pPr>
      <w:bookmarkStart w:id="105" w:name="_Toc306350469"/>
      <w:bookmarkStart w:id="106" w:name="_Toc183666533"/>
      <w:r>
        <w:rPr>
          <w:rFonts w:ascii="宋体" w:hAnsi="宋体" w:cs="宋体"/>
          <w:bCs/>
          <w:sz w:val="24"/>
          <w:highlight w:val="none"/>
        </w:rPr>
        <w:t xml:space="preserve">12.1 </w:t>
      </w:r>
      <w:r>
        <w:rPr>
          <w:rFonts w:hint="eastAsia" w:ascii="宋体" w:hAnsi="宋体" w:cs="宋体"/>
          <w:bCs/>
          <w:sz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cs="宋体"/>
          <w:sz w:val="24"/>
          <w:highlight w:val="none"/>
        </w:rPr>
      </w:pPr>
      <w:r>
        <w:rPr>
          <w:rFonts w:ascii="宋体" w:hAnsi="宋体" w:cs="宋体"/>
          <w:bCs/>
          <w:sz w:val="24"/>
          <w:highlight w:val="none"/>
        </w:rPr>
        <w:t xml:space="preserve">12.2 </w:t>
      </w:r>
      <w:r>
        <w:rPr>
          <w:rFonts w:hint="eastAsia" w:ascii="宋体" w:hAnsi="宋体" w:cs="宋体"/>
          <w:sz w:val="24"/>
          <w:highlight w:val="none"/>
        </w:rPr>
        <w:t>在甲方同意的情况下，除有争端之外的合同其它部分在争端解决前应继续执行。</w:t>
      </w:r>
      <w:bookmarkEnd w:id="105"/>
      <w:bookmarkEnd w:id="106"/>
      <w:bookmarkStart w:id="107" w:name="_Toc518993003"/>
      <w:bookmarkStart w:id="108" w:name="_Toc520190043"/>
      <w:bookmarkStart w:id="109" w:name="_Toc474245229"/>
    </w:p>
    <w:p>
      <w:pPr>
        <w:spacing w:line="384" w:lineRule="auto"/>
        <w:ind w:firstLine="482"/>
        <w:jc w:val="left"/>
        <w:rPr>
          <w:rFonts w:ascii="宋体" w:hAnsi="宋体" w:cs="宋体"/>
          <w:b/>
          <w:bCs/>
          <w:sz w:val="24"/>
          <w:highlight w:val="none"/>
        </w:rPr>
      </w:pPr>
      <w:r>
        <w:rPr>
          <w:rFonts w:hint="eastAsia" w:ascii="宋体" w:hAnsi="宋体" w:cs="宋体"/>
          <w:b/>
          <w:bCs/>
          <w:sz w:val="24"/>
          <w:highlight w:val="none"/>
        </w:rPr>
        <w:t>第十三条</w:t>
      </w:r>
      <w:bookmarkStart w:id="110" w:name="_Toc107446871"/>
      <w:bookmarkStart w:id="111" w:name="_Toc107447264"/>
      <w:r>
        <w:rPr>
          <w:rFonts w:hint="eastAsia" w:ascii="宋体" w:hAnsi="宋体" w:cs="宋体"/>
          <w:b/>
          <w:bCs/>
          <w:sz w:val="24"/>
          <w:highlight w:val="none"/>
        </w:rPr>
        <w:t>合同生效及其他</w:t>
      </w:r>
      <w:bookmarkEnd w:id="107"/>
      <w:bookmarkEnd w:id="108"/>
      <w:bookmarkEnd w:id="109"/>
      <w:bookmarkEnd w:id="110"/>
      <w:bookmarkEnd w:id="111"/>
    </w:p>
    <w:p>
      <w:pPr>
        <w:spacing w:line="384" w:lineRule="auto"/>
        <w:ind w:firstLine="480"/>
        <w:rPr>
          <w:rFonts w:ascii="宋体" w:hAnsi="宋体" w:cs="宋体"/>
          <w:sz w:val="24"/>
          <w:highlight w:val="none"/>
        </w:rPr>
      </w:pPr>
      <w:r>
        <w:rPr>
          <w:rFonts w:ascii="宋体" w:hAnsi="宋体" w:cs="宋体"/>
          <w:sz w:val="24"/>
          <w:highlight w:val="none"/>
        </w:rPr>
        <w:t>13.1</w:t>
      </w:r>
      <w:r>
        <w:rPr>
          <w:rFonts w:hint="eastAsia" w:ascii="宋体" w:hAnsi="宋体" w:cs="宋体"/>
          <w:sz w:val="24"/>
          <w:highlight w:val="none"/>
        </w:rPr>
        <w:t>本合同经双方法定代表人或授权代表签字并加盖双方公章后生效</w:t>
      </w:r>
      <w:r>
        <w:rPr>
          <w:rFonts w:ascii="宋体" w:hAnsi="宋体" w:cs="宋体"/>
          <w:sz w:val="24"/>
          <w:highlight w:val="none"/>
        </w:rPr>
        <w:t>.</w:t>
      </w:r>
    </w:p>
    <w:p>
      <w:pPr>
        <w:spacing w:line="384" w:lineRule="auto"/>
        <w:ind w:firstLine="480"/>
        <w:rPr>
          <w:rFonts w:ascii="宋体" w:hAnsi="宋体" w:cs="宋体"/>
          <w:sz w:val="24"/>
          <w:highlight w:val="none"/>
        </w:rPr>
      </w:pPr>
      <w:r>
        <w:rPr>
          <w:rFonts w:ascii="宋体" w:hAnsi="宋体" w:cs="宋体"/>
          <w:sz w:val="24"/>
          <w:highlight w:val="none"/>
        </w:rPr>
        <w:t>13.2</w:t>
      </w:r>
      <w:r>
        <w:rPr>
          <w:rFonts w:hint="eastAsia" w:ascii="宋体" w:hAnsi="宋体" w:cs="宋体"/>
          <w:sz w:val="24"/>
          <w:highlight w:val="none"/>
        </w:rPr>
        <w:t>本合同正文一式</w:t>
      </w:r>
      <w:r>
        <w:rPr>
          <w:rFonts w:hint="eastAsia" w:ascii="宋体" w:hAnsi="宋体" w:cs="宋体"/>
          <w:sz w:val="24"/>
          <w:highlight w:val="none"/>
          <w:lang w:val="en-US" w:eastAsia="zh-CN"/>
        </w:rPr>
        <w:t>陆</w:t>
      </w:r>
      <w:r>
        <w:rPr>
          <w:rFonts w:hint="eastAsia" w:ascii="宋体" w:hAnsi="宋体" w:cs="宋体"/>
          <w:sz w:val="24"/>
          <w:highlight w:val="none"/>
        </w:rPr>
        <w:t>份，其中：甲方</w:t>
      </w:r>
      <w:r>
        <w:rPr>
          <w:rFonts w:hint="eastAsia" w:ascii="宋体" w:hAnsi="宋体" w:cs="宋体"/>
          <w:sz w:val="24"/>
          <w:highlight w:val="none"/>
          <w:lang w:val="en-US" w:eastAsia="zh-CN"/>
        </w:rPr>
        <w:t>肆</w:t>
      </w:r>
      <w:r>
        <w:rPr>
          <w:rFonts w:hint="eastAsia" w:ascii="宋体" w:hAnsi="宋体" w:cs="宋体"/>
          <w:sz w:val="24"/>
          <w:highlight w:val="none"/>
        </w:rPr>
        <w:t>份，乙方</w:t>
      </w:r>
      <w:r>
        <w:rPr>
          <w:rFonts w:hint="eastAsia" w:ascii="宋体" w:hAnsi="宋体" w:cs="宋体"/>
          <w:sz w:val="24"/>
          <w:highlight w:val="none"/>
          <w:lang w:val="en-US" w:eastAsia="zh-CN"/>
        </w:rPr>
        <w:t>贰</w:t>
      </w:r>
      <w:r>
        <w:rPr>
          <w:rFonts w:hint="eastAsia" w:ascii="宋体" w:hAnsi="宋体" w:cs="宋体"/>
          <w:sz w:val="24"/>
          <w:highlight w:val="none"/>
        </w:rPr>
        <w:t>份。</w:t>
      </w:r>
    </w:p>
    <w:p>
      <w:pPr>
        <w:spacing w:line="384" w:lineRule="auto"/>
        <w:ind w:firstLine="480"/>
        <w:rPr>
          <w:rFonts w:ascii="宋体" w:hAnsi="宋体" w:cs="宋体"/>
          <w:sz w:val="24"/>
          <w:highlight w:val="none"/>
        </w:rPr>
      </w:pPr>
      <w:r>
        <w:rPr>
          <w:rFonts w:ascii="宋体" w:hAnsi="宋体" w:cs="宋体"/>
          <w:sz w:val="24"/>
          <w:highlight w:val="none"/>
        </w:rPr>
        <w:t>13.</w:t>
      </w:r>
      <w:r>
        <w:rPr>
          <w:rFonts w:hint="eastAsia" w:ascii="宋体" w:hAnsi="宋体" w:cs="宋体"/>
          <w:sz w:val="24"/>
          <w:highlight w:val="none"/>
        </w:rPr>
        <w:t>3补充条款</w:t>
      </w:r>
      <w:r>
        <w:rPr>
          <w:rFonts w:hint="eastAsia" w:ascii="宋体" w:hAnsi="宋体" w:cs="宋体"/>
          <w:sz w:val="24"/>
          <w:highlight w:val="none"/>
          <w:u w:val="single"/>
        </w:rPr>
        <w:t>：</w:t>
      </w:r>
      <w:r>
        <w:rPr>
          <w:rFonts w:hint="eastAsia" w:ascii="宋体" w:hAnsi="宋体" w:cs="宋体"/>
          <w:sz w:val="24"/>
          <w:highlight w:val="none"/>
          <w:u w:val="single"/>
          <w:lang w:val="en-US" w:eastAsia="zh-CN"/>
        </w:rPr>
        <w:t>无</w:t>
      </w: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r>
        <w:rPr>
          <w:rFonts w:hint="eastAsia" w:ascii="宋体" w:hAnsi="宋体" w:cs="宋体"/>
          <w:sz w:val="24"/>
          <w:highlight w:val="none"/>
        </w:rPr>
        <w:t>附件：1.成交通知书</w:t>
      </w:r>
    </w:p>
    <w:p>
      <w:pPr>
        <w:spacing w:line="384" w:lineRule="auto"/>
        <w:ind w:firstLine="720" w:firstLineChars="300"/>
        <w:rPr>
          <w:rFonts w:hint="eastAsia" w:ascii="宋体" w:hAnsi="宋体" w:cs="宋体"/>
          <w:sz w:val="24"/>
          <w:highlight w:val="none"/>
        </w:rPr>
      </w:pPr>
      <w:r>
        <w:rPr>
          <w:rFonts w:hint="eastAsia" w:ascii="宋体" w:hAnsi="宋体" w:cs="宋体"/>
          <w:sz w:val="24"/>
          <w:highlight w:val="none"/>
        </w:rPr>
        <w:t>2.廉洁协议</w:t>
      </w:r>
    </w:p>
    <w:p>
      <w:pPr>
        <w:spacing w:line="384" w:lineRule="auto"/>
        <w:ind w:firstLine="720" w:firstLineChars="300"/>
        <w:rPr>
          <w:rFonts w:hint="eastAsia" w:ascii="宋体" w:hAnsi="宋体" w:cs="宋体"/>
          <w:sz w:val="24"/>
          <w:highlight w:val="none"/>
        </w:rPr>
      </w:pPr>
      <w:r>
        <w:rPr>
          <w:rFonts w:hint="eastAsia" w:ascii="宋体" w:hAnsi="宋体" w:cs="宋体"/>
          <w:sz w:val="24"/>
          <w:highlight w:val="none"/>
        </w:rPr>
        <w:t>3.营运场所施工安全协议书</w:t>
      </w:r>
    </w:p>
    <w:p>
      <w:pPr>
        <w:spacing w:line="384" w:lineRule="auto"/>
        <w:ind w:firstLine="720" w:firstLineChars="300"/>
        <w:jc w:val="left"/>
        <w:rPr>
          <w:rFonts w:ascii="宋体" w:hAnsi="宋体" w:cs="宋体"/>
          <w:sz w:val="24"/>
          <w:highlight w:val="none"/>
        </w:rPr>
      </w:pPr>
      <w:r>
        <w:rPr>
          <w:rFonts w:hint="eastAsia" w:ascii="宋体" w:hAnsi="宋体" w:cs="宋体"/>
          <w:sz w:val="24"/>
          <w:highlight w:val="none"/>
        </w:rPr>
        <w:t>4.工程量清单报价</w:t>
      </w:r>
    </w:p>
    <w:p>
      <w:pPr>
        <w:spacing w:line="384" w:lineRule="auto"/>
        <w:ind w:firstLine="720" w:firstLineChars="300"/>
        <w:rPr>
          <w:rFonts w:hint="default" w:ascii="宋体" w:hAnsi="宋体" w:cs="宋体" w:eastAsiaTheme="minorEastAsia"/>
          <w:sz w:val="24"/>
          <w:highlight w:val="none"/>
          <w:lang w:val="en-US" w:eastAsia="zh-CN"/>
        </w:rPr>
      </w:pPr>
      <w:r>
        <w:rPr>
          <w:rFonts w:hint="eastAsia" w:ascii="宋体" w:hAnsi="宋体" w:cs="宋体"/>
          <w:sz w:val="24"/>
          <w:highlight w:val="none"/>
          <w:lang w:val="en-US" w:eastAsia="zh-CN"/>
        </w:rPr>
        <w:t>5.项目投入人员架构表</w:t>
      </w: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hint="eastAsia" w:ascii="宋体" w:hAnsi="宋体" w:cs="宋体"/>
          <w:sz w:val="24"/>
          <w:highlight w:val="none"/>
        </w:rPr>
      </w:pPr>
    </w:p>
    <w:p>
      <w:pPr>
        <w:spacing w:line="384" w:lineRule="auto"/>
        <w:rPr>
          <w:rFonts w:ascii="宋体" w:hAnsi="宋体" w:cs="宋体"/>
          <w:sz w:val="24"/>
          <w:highlight w:val="none"/>
        </w:rPr>
      </w:pPr>
      <w:r>
        <w:rPr>
          <w:rFonts w:hint="eastAsia" w:ascii="宋体" w:hAnsi="宋体" w:cs="宋体"/>
          <w:sz w:val="24"/>
          <w:highlight w:val="none"/>
        </w:rPr>
        <w:t>甲方：广州市净水有限公司（盖章）</w:t>
      </w:r>
      <w:r>
        <w:rPr>
          <w:rFonts w:hint="eastAsia" w:ascii="宋体" w:hAnsi="宋体" w:cs="宋体"/>
          <w:sz w:val="24"/>
          <w:highlight w:val="none"/>
          <w:lang w:val="en-US" w:eastAsia="zh-CN"/>
        </w:rPr>
        <w:t xml:space="preserve">     </w:t>
      </w:r>
      <w:r>
        <w:rPr>
          <w:rFonts w:hint="eastAsia" w:ascii="宋体" w:hAnsi="宋体" w:cs="宋体"/>
          <w:sz w:val="24"/>
          <w:highlight w:val="none"/>
        </w:rPr>
        <w:t>乙方：（盖章）</w:t>
      </w:r>
    </w:p>
    <w:p>
      <w:pPr>
        <w:spacing w:line="384" w:lineRule="auto"/>
        <w:rPr>
          <w:rFonts w:ascii="宋体" w:hAnsi="宋体" w:cs="宋体"/>
          <w:sz w:val="24"/>
          <w:highlight w:val="none"/>
        </w:rPr>
      </w:pPr>
      <w:r>
        <w:rPr>
          <w:rFonts w:hint="eastAsia" w:ascii="宋体" w:hAnsi="宋体" w:cs="宋体"/>
          <w:sz w:val="24"/>
          <w:highlight w:val="none"/>
        </w:rPr>
        <w:t>法定代表</w:t>
      </w:r>
      <w:r>
        <w:rPr>
          <w:rFonts w:hint="eastAsia" w:ascii="宋体" w:hAnsi="宋体" w:cs="宋体"/>
          <w:sz w:val="24"/>
          <w:highlight w:val="none"/>
          <w:lang w:val="en-US" w:eastAsia="zh-CN"/>
        </w:rPr>
        <w:t xml:space="preserve"> </w:t>
      </w:r>
      <w:r>
        <w:rPr>
          <w:rFonts w:hint="eastAsia" w:ascii="宋体" w:hAnsi="宋体" w:cs="宋体"/>
          <w:sz w:val="24"/>
          <w:highlight w:val="none"/>
        </w:rPr>
        <w:t>或</w:t>
      </w:r>
      <w:r>
        <w:rPr>
          <w:rFonts w:hint="eastAsia" w:ascii="宋体" w:hAnsi="宋体" w:cs="宋体"/>
          <w:sz w:val="24"/>
          <w:highlight w:val="none"/>
          <w:lang w:val="en-US" w:eastAsia="zh-CN"/>
        </w:rPr>
        <w:t xml:space="preserve">                         </w:t>
      </w:r>
      <w:r>
        <w:rPr>
          <w:rFonts w:hint="eastAsia" w:ascii="宋体" w:hAnsi="宋体" w:cs="宋体"/>
          <w:sz w:val="24"/>
          <w:highlight w:val="none"/>
        </w:rPr>
        <w:t>法定代表人或</w:t>
      </w:r>
    </w:p>
    <w:p>
      <w:pPr>
        <w:spacing w:line="384" w:lineRule="auto"/>
        <w:rPr>
          <w:rFonts w:ascii="宋体" w:hAnsi="宋体" w:cs="宋体"/>
          <w:sz w:val="24"/>
          <w:highlight w:val="none"/>
        </w:rPr>
      </w:pPr>
      <w:r>
        <w:rPr>
          <w:rFonts w:hint="eastAsia" w:ascii="宋体" w:hAnsi="宋体" w:cs="宋体"/>
          <w:sz w:val="24"/>
          <w:highlight w:val="none"/>
        </w:rPr>
        <w:t>授权代理人：</w:t>
      </w:r>
      <w:r>
        <w:rPr>
          <w:rFonts w:hint="eastAsia" w:ascii="宋体" w:hAnsi="宋体" w:cs="宋体"/>
          <w:sz w:val="24"/>
          <w:highlight w:val="none"/>
          <w:lang w:val="en-US" w:eastAsia="zh-CN"/>
        </w:rPr>
        <w:t xml:space="preserve">                         </w:t>
      </w:r>
      <w:r>
        <w:rPr>
          <w:rFonts w:hint="eastAsia" w:ascii="宋体" w:hAnsi="宋体" w:cs="宋体"/>
          <w:sz w:val="24"/>
          <w:highlight w:val="none"/>
        </w:rPr>
        <w:t>授权代理人：</w:t>
      </w:r>
    </w:p>
    <w:p>
      <w:pPr>
        <w:spacing w:line="384" w:lineRule="auto"/>
        <w:rPr>
          <w:rFonts w:ascii="宋体" w:hAnsi="宋体" w:cs="宋体"/>
          <w:sz w:val="24"/>
          <w:highlight w:val="none"/>
        </w:rPr>
      </w:pPr>
      <w:r>
        <w:rPr>
          <w:rFonts w:hint="eastAsia" w:ascii="宋体" w:hAnsi="宋体" w:cs="宋体"/>
          <w:sz w:val="24"/>
          <w:highlight w:val="none"/>
        </w:rPr>
        <w:t>地址：</w:t>
      </w:r>
      <w:r>
        <w:rPr>
          <w:rFonts w:hint="eastAsia" w:ascii="宋体" w:hAnsi="宋体" w:cs="宋体"/>
          <w:sz w:val="24"/>
          <w:highlight w:val="none"/>
          <w:lang w:val="en-US" w:eastAsia="zh-CN"/>
        </w:rPr>
        <w:t xml:space="preserve">                                  </w:t>
      </w:r>
      <w:r>
        <w:rPr>
          <w:rFonts w:hint="eastAsia" w:ascii="宋体" w:hAnsi="宋体" w:cs="宋体"/>
          <w:sz w:val="24"/>
          <w:highlight w:val="none"/>
        </w:rPr>
        <w:t>地址：</w:t>
      </w:r>
    </w:p>
    <w:p>
      <w:pPr>
        <w:spacing w:line="384" w:lineRule="auto"/>
        <w:rPr>
          <w:rFonts w:ascii="宋体" w:hAnsi="宋体" w:cs="宋体"/>
          <w:sz w:val="24"/>
          <w:highlight w:val="none"/>
        </w:rPr>
      </w:pPr>
      <w:r>
        <w:rPr>
          <w:rFonts w:hint="eastAsia" w:ascii="宋体" w:hAnsi="宋体" w:cs="宋体"/>
          <w:sz w:val="24"/>
          <w:highlight w:val="none"/>
        </w:rPr>
        <w:t>经办人：</w:t>
      </w:r>
      <w:r>
        <w:rPr>
          <w:rFonts w:hint="eastAsia" w:ascii="宋体" w:hAnsi="宋体" w:cs="宋体"/>
          <w:sz w:val="24"/>
          <w:highlight w:val="none"/>
          <w:lang w:val="en-US" w:eastAsia="zh-CN"/>
        </w:rPr>
        <w:t xml:space="preserve">                              </w:t>
      </w:r>
      <w:r>
        <w:rPr>
          <w:rFonts w:hint="eastAsia" w:ascii="宋体" w:hAnsi="宋体" w:cs="宋体"/>
          <w:sz w:val="24"/>
          <w:highlight w:val="none"/>
        </w:rPr>
        <w:t>经办人：</w:t>
      </w:r>
    </w:p>
    <w:p>
      <w:pPr>
        <w:spacing w:line="384" w:lineRule="auto"/>
        <w:rPr>
          <w:rFonts w:ascii="宋体" w:hAnsi="宋体" w:cs="宋体"/>
          <w:sz w:val="24"/>
          <w:highlight w:val="none"/>
        </w:rPr>
      </w:pPr>
      <w:r>
        <w:rPr>
          <w:rFonts w:hint="eastAsia" w:ascii="宋体" w:hAnsi="宋体" w:cs="宋体"/>
          <w:sz w:val="24"/>
          <w:highlight w:val="none"/>
        </w:rPr>
        <w:t>联系电话：</w:t>
      </w:r>
      <w:r>
        <w:rPr>
          <w:rFonts w:hint="eastAsia" w:ascii="宋体" w:hAnsi="宋体" w:cs="宋体"/>
          <w:sz w:val="24"/>
          <w:highlight w:val="none"/>
          <w:lang w:val="en-US" w:eastAsia="zh-CN"/>
        </w:rPr>
        <w:t xml:space="preserve">                           </w:t>
      </w:r>
      <w:r>
        <w:rPr>
          <w:rFonts w:hint="eastAsia" w:ascii="宋体" w:hAnsi="宋体" w:cs="宋体"/>
          <w:sz w:val="24"/>
          <w:highlight w:val="none"/>
        </w:rPr>
        <w:t>联系电话：</w:t>
      </w:r>
    </w:p>
    <w:p>
      <w:pPr>
        <w:spacing w:line="384" w:lineRule="auto"/>
        <w:ind w:left="6360" w:hanging="6360" w:hangingChars="2650"/>
        <w:rPr>
          <w:rFonts w:ascii="宋体" w:hAnsi="宋体" w:cs="宋体"/>
          <w:b/>
          <w:bCs/>
          <w:szCs w:val="21"/>
          <w:highlight w:val="none"/>
        </w:rPr>
      </w:pPr>
      <w:r>
        <w:rPr>
          <w:rFonts w:hint="eastAsia" w:ascii="宋体" w:hAnsi="宋体" w:cs="宋体"/>
          <w:sz w:val="24"/>
          <w:highlight w:val="none"/>
        </w:rPr>
        <w:t>签署日期：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 xml:space="preserve">         </w:t>
      </w:r>
      <w:r>
        <w:rPr>
          <w:rFonts w:hint="eastAsia" w:ascii="宋体" w:hAnsi="宋体" w:cs="宋体"/>
          <w:sz w:val="24"/>
          <w:highlight w:val="none"/>
        </w:rPr>
        <w:t>签署日期：</w:t>
      </w:r>
      <w:r>
        <w:rPr>
          <w:rFonts w:hint="eastAsia" w:ascii="宋体" w:hAnsi="宋体" w:cs="宋体"/>
          <w:sz w:val="24"/>
          <w:highlight w:val="none"/>
          <w:lang w:val="en-US" w:eastAsia="zh-CN"/>
        </w:rPr>
        <w:t xml:space="preserve">    </w:t>
      </w:r>
      <w:r>
        <w:rPr>
          <w:rFonts w:hint="eastAsia" w:ascii="宋体" w:hAnsi="宋体" w:cs="宋体"/>
          <w:sz w:val="24"/>
          <w:highlight w:val="none"/>
        </w:rPr>
        <w:t>年</w:t>
      </w:r>
      <w:r>
        <w:rPr>
          <w:rFonts w:hint="eastAsia" w:ascii="宋体" w:hAnsi="宋体" w:cs="宋体"/>
          <w:sz w:val="24"/>
          <w:highlight w:val="none"/>
          <w:lang w:val="en-US" w:eastAsia="zh-CN"/>
        </w:rPr>
        <w:t xml:space="preserve">   </w:t>
      </w:r>
      <w:r>
        <w:rPr>
          <w:rFonts w:hint="eastAsia" w:ascii="宋体" w:hAnsi="宋体" w:cs="宋体"/>
          <w:sz w:val="24"/>
          <w:highlight w:val="none"/>
        </w:rPr>
        <w:t>月</w:t>
      </w:r>
      <w:r>
        <w:rPr>
          <w:rFonts w:hint="eastAsia" w:ascii="宋体" w:hAnsi="宋体" w:cs="宋体"/>
          <w:sz w:val="24"/>
          <w:highlight w:val="none"/>
          <w:lang w:val="en-US" w:eastAsia="zh-CN"/>
        </w:rPr>
        <w:t xml:space="preserve">    </w:t>
      </w:r>
      <w:r>
        <w:rPr>
          <w:rFonts w:hint="eastAsia" w:ascii="宋体" w:hAnsi="宋体" w:cs="宋体"/>
          <w:sz w:val="24"/>
          <w:highlight w:val="none"/>
        </w:rPr>
        <w:t>日</w:t>
      </w: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ascii="宋体" w:hAnsi="宋体" w:cs="宋体"/>
          <w:b/>
          <w:bCs/>
          <w:szCs w:val="21"/>
          <w:highlight w:val="none"/>
        </w:rPr>
      </w:pPr>
      <w:r>
        <w:rPr>
          <w:rFonts w:hint="eastAsia" w:ascii="宋体" w:hAnsi="宋体" w:cs="宋体"/>
          <w:b/>
          <w:bCs/>
          <w:szCs w:val="21"/>
          <w:highlight w:val="none"/>
        </w:rPr>
        <w:t>附件1  中标通知书/发包通知书/委托函（如有）</w:t>
      </w:r>
    </w:p>
    <w:p>
      <w:pPr>
        <w:spacing w:line="360" w:lineRule="auto"/>
        <w:jc w:val="both"/>
        <w:rPr>
          <w:rFonts w:hint="eastAsia" w:ascii="宋体" w:hAnsi="宋体" w:cs="宋体"/>
          <w:b/>
          <w:bCs/>
          <w:color w:val="auto"/>
          <w:szCs w:val="21"/>
          <w:highlight w:val="none"/>
        </w:rPr>
      </w:pPr>
      <w:bookmarkStart w:id="112" w:name="_Toc389815339"/>
      <w:bookmarkStart w:id="113" w:name="_Toc387080836"/>
      <w:bookmarkStart w:id="114" w:name="_Toc389815031"/>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3640" w:firstLineChars="1300"/>
        <w:jc w:val="both"/>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3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广州市净水有限公司沥滘分公司2023年便携式和固定式气体检测仪年度检修维保项目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20"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5" w:leftChars="12"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5" w:leftChars="7"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lang w:val="en-US" w:eastAsia="zh-CN"/>
        </w:rPr>
        <w:t>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lang w:val="en-US" w:eastAsia="zh-CN"/>
        </w:rPr>
        <w:t>肆</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40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cs="宋体"/>
          <w:b/>
          <w:szCs w:val="21"/>
          <w:highlight w:val="none"/>
        </w:rPr>
      </w:pPr>
    </w:p>
    <w:p>
      <w:pPr>
        <w:spacing w:line="360" w:lineRule="auto"/>
        <w:rPr>
          <w:rFonts w:ascii="宋体" w:hAnsi="宋体" w:cs="宋体"/>
          <w:b/>
          <w:szCs w:val="21"/>
          <w:highlight w:val="none"/>
        </w:rPr>
      </w:pPr>
      <w:r>
        <w:rPr>
          <w:rFonts w:hint="eastAsia" w:ascii="宋体" w:hAnsi="宋体" w:cs="宋体"/>
          <w:b/>
          <w:szCs w:val="21"/>
          <w:highlight w:val="none"/>
        </w:rPr>
        <w:t>附件</w:t>
      </w:r>
      <w:r>
        <w:rPr>
          <w:rFonts w:hint="eastAsia" w:ascii="宋体" w:hAnsi="宋体" w:cs="宋体"/>
          <w:b/>
          <w:szCs w:val="21"/>
          <w:highlight w:val="none"/>
          <w:lang w:val="en-US" w:eastAsia="zh-CN"/>
        </w:rPr>
        <w:t>3</w:t>
      </w:r>
      <w:r>
        <w:rPr>
          <w:rFonts w:hint="eastAsia" w:ascii="宋体" w:hAnsi="宋体" w:cs="宋体"/>
          <w:b/>
          <w:szCs w:val="21"/>
          <w:highlight w:val="none"/>
        </w:rPr>
        <w:t>：</w:t>
      </w:r>
      <w:bookmarkEnd w:id="112"/>
      <w:bookmarkEnd w:id="113"/>
      <w:bookmarkEnd w:id="114"/>
      <w:r>
        <w:rPr>
          <w:rFonts w:hint="eastAsia" w:ascii="宋体" w:hAnsi="宋体" w:cs="宋体"/>
          <w:b/>
          <w:szCs w:val="21"/>
          <w:highlight w:val="none"/>
        </w:rPr>
        <w:t>安全管理协议书</w:t>
      </w:r>
    </w:p>
    <w:p>
      <w:pPr>
        <w:spacing w:line="360" w:lineRule="auto"/>
        <w:jc w:val="center"/>
        <w:rPr>
          <w:rFonts w:ascii="宋体" w:hAnsi="宋体" w:cs="宋体"/>
          <w:b/>
          <w:bCs/>
          <w:sz w:val="24"/>
          <w:highlight w:val="none"/>
        </w:rPr>
      </w:pPr>
    </w:p>
    <w:p>
      <w:pPr>
        <w:spacing w:line="560" w:lineRule="exact"/>
        <w:jc w:val="both"/>
        <w:rPr>
          <w:rFonts w:hint="eastAsia" w:ascii="黑体" w:hAnsi="Batang" w:eastAsia="黑体" w:cs="Batang"/>
          <w:bCs/>
          <w:kern w:val="0"/>
          <w:sz w:val="44"/>
          <w:szCs w:val="44"/>
          <w:highlight w:val="none"/>
        </w:rPr>
      </w:pPr>
    </w:p>
    <w:p>
      <w:pPr>
        <w:spacing w:line="560" w:lineRule="exact"/>
        <w:jc w:val="center"/>
        <w:rPr>
          <w:rFonts w:ascii="黑体" w:hAnsi="Batang" w:eastAsia="黑体" w:cs="Batang"/>
          <w:bCs/>
          <w:kern w:val="0"/>
          <w:sz w:val="44"/>
          <w:szCs w:val="44"/>
          <w:highlight w:val="none"/>
        </w:rPr>
      </w:pPr>
      <w:r>
        <w:rPr>
          <w:rFonts w:hint="eastAsia" w:ascii="黑体" w:hAnsi="Batang" w:eastAsia="黑体" w:cs="Batang"/>
          <w:bCs/>
          <w:kern w:val="0"/>
          <w:sz w:val="44"/>
          <w:szCs w:val="44"/>
          <w:highlight w:val="none"/>
        </w:rPr>
        <w:t>营运场所施工安全协议书</w:t>
      </w:r>
    </w:p>
    <w:p>
      <w:pPr>
        <w:spacing w:line="560" w:lineRule="exact"/>
        <w:rPr>
          <w:rFonts w:ascii="仿宋_GB2312" w:hAnsi="宋体" w:eastAsia="仿宋_GB2312"/>
          <w:sz w:val="24"/>
          <w:highlight w:val="none"/>
        </w:rPr>
      </w:pPr>
    </w:p>
    <w:p>
      <w:pPr>
        <w:spacing w:line="560" w:lineRule="exact"/>
        <w:rPr>
          <w:rFonts w:ascii="宋体" w:hAnsi="宋体" w:cs="Arial"/>
          <w:kern w:val="0"/>
          <w:sz w:val="24"/>
          <w:highlight w:val="none"/>
        </w:rPr>
      </w:pPr>
      <w:bookmarkStart w:id="115" w:name="_Toc21391"/>
      <w:r>
        <w:rPr>
          <w:rFonts w:hint="eastAsia" w:ascii="宋体" w:hAnsi="宋体" w:cs="Arial"/>
          <w:kern w:val="0"/>
          <w:sz w:val="24"/>
          <w:highlight w:val="none"/>
        </w:rPr>
        <w:t>甲方：</w:t>
      </w:r>
      <w:r>
        <w:rPr>
          <w:rFonts w:hint="eastAsia"/>
          <w:sz w:val="24"/>
          <w:highlight w:val="none"/>
        </w:rPr>
        <w:t>广州市净水有限公司</w:t>
      </w:r>
    </w:p>
    <w:p>
      <w:pPr>
        <w:adjustRightInd/>
        <w:snapToGrid/>
        <w:spacing w:line="560" w:lineRule="exact"/>
        <w:jc w:val="left"/>
        <w:rPr>
          <w:rStyle w:val="25"/>
          <w:rFonts w:asciiTheme="minorEastAsia" w:hAnsiTheme="minorEastAsia" w:eastAsiaTheme="minorEastAsia"/>
          <w:b w:val="0"/>
          <w:highlight w:val="none"/>
          <w:u w:val="single"/>
        </w:rPr>
      </w:pPr>
      <w:r>
        <w:rPr>
          <w:rFonts w:hint="eastAsia" w:ascii="宋体" w:hAnsi="宋体" w:cs="Arial"/>
          <w:kern w:val="0"/>
          <w:sz w:val="24"/>
          <w:highlight w:val="none"/>
        </w:rPr>
        <w:t xml:space="preserve">乙方： </w:t>
      </w:r>
    </w:p>
    <w:bookmarkEnd w:id="115"/>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本协议作为</w:t>
      </w:r>
      <w:r>
        <w:rPr>
          <w:rFonts w:hint="eastAsia" w:asciiTheme="minorEastAsia" w:hAnsiTheme="minorEastAsia" w:eastAsiaTheme="minorEastAsia"/>
          <w:sz w:val="24"/>
          <w:highlight w:val="none"/>
          <w:u w:val="single"/>
        </w:rPr>
        <w:t>广州市净水有限公司沥滘分公司2023年便携式和固定式气体检测仪年度检修维保项目</w:t>
      </w:r>
      <w:r>
        <w:rPr>
          <w:rFonts w:hint="eastAsia" w:asciiTheme="minorEastAsia" w:hAnsiTheme="minorEastAsia"/>
          <w:sz w:val="24"/>
          <w:highlight w:val="none"/>
          <w:u w:val="single"/>
          <w:lang w:val="en-US" w:eastAsia="zh-CN"/>
        </w:rPr>
        <w:t>合同</w:t>
      </w:r>
      <w:r>
        <w:rPr>
          <w:rFonts w:hint="eastAsia" w:asciiTheme="minorEastAsia" w:hAnsiTheme="minorEastAsia" w:eastAsiaTheme="minorEastAsia"/>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asciiTheme="minorEastAsia" w:hAnsiTheme="minorEastAsia" w:eastAsiaTheme="minorEastAsia"/>
          <w:b/>
          <w:sz w:val="24"/>
          <w:highlight w:val="none"/>
        </w:rPr>
        <w:t xml:space="preserve"> 二、</w:t>
      </w:r>
      <w:r>
        <w:rPr>
          <w:rFonts w:hint="eastAsia" w:asciiTheme="minorEastAsia" w:hAnsiTheme="minorEastAsia" w:eastAsiaTheme="minorEastAsia"/>
          <w:b/>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1.</w:t>
      </w:r>
      <w:r>
        <w:rPr>
          <w:rFonts w:hint="eastAsia" w:asciiTheme="minorEastAsia" w:hAnsiTheme="minorEastAsia" w:eastAsiaTheme="minorEastAsia"/>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eastAsiaTheme="minorEastAsia"/>
          <w:sz w:val="24"/>
          <w:highlight w:val="none"/>
        </w:rPr>
        <w:t>根据《广州市水务局关于印发广州市水务工程施工和监理企业诚信评价管理办法的通知》（穗水建设〔2</w:t>
      </w:r>
      <w:r>
        <w:rPr>
          <w:rFonts w:asciiTheme="minorEastAsia" w:hAnsiTheme="minorEastAsia" w:eastAsiaTheme="minorEastAsia"/>
          <w:sz w:val="24"/>
          <w:highlight w:val="none"/>
        </w:rPr>
        <w:t>014</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0</w:t>
      </w:r>
      <w:r>
        <w:rPr>
          <w:rFonts w:hint="eastAsia" w:asciiTheme="minorEastAsia" w:hAnsiTheme="minorEastAsia" w:eastAsiaTheme="minorEastAsia"/>
          <w:sz w:val="24"/>
          <w:highlight w:val="none"/>
        </w:rPr>
        <w:t>号）、《市净水公司关于印发施工和监理企业诚信评价工作实施办法的通知》（穗净水〔201</w:t>
      </w:r>
      <w:r>
        <w:rPr>
          <w:rFonts w:asciiTheme="minorEastAsia" w:hAnsiTheme="minorEastAsia" w:eastAsiaTheme="minorEastAsia"/>
          <w:sz w:val="24"/>
          <w:highlight w:val="none"/>
        </w:rPr>
        <w:t>5</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40</w:t>
      </w:r>
      <w:r>
        <w:rPr>
          <w:rFonts w:hint="eastAsia" w:asciiTheme="minorEastAsia" w:hAnsiTheme="minorEastAsia" w:eastAsiaTheme="minorEastAsia"/>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向上级进行反映，包括但不限于广东省市政行业协会、广州市市政公路协会等。</w:t>
      </w:r>
    </w:p>
    <w:p>
      <w:pPr>
        <w:spacing w:line="560" w:lineRule="exact"/>
        <w:ind w:firstLine="480" w:firstLineChars="200"/>
        <w:rPr>
          <w:rFonts w:ascii="宋体" w:hAnsi="宋体" w:cs="Arial"/>
          <w:kern w:val="0"/>
          <w:sz w:val="24"/>
          <w:highlight w:val="none"/>
        </w:rPr>
      </w:pPr>
      <w:r>
        <w:rPr>
          <w:rFonts w:hint="eastAsia" w:ascii="宋体" w:hAnsi="宋体" w:cs="Arial"/>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（三）乙方应在合同签订后</w:t>
      </w:r>
      <w:r>
        <w:rPr>
          <w:rFonts w:hint="eastAsia" w:asciiTheme="minorEastAsia" w:hAnsiTheme="minorEastAsia"/>
          <w:sz w:val="24"/>
          <w:highlight w:val="none"/>
          <w:u w:val="single"/>
          <w:lang w:val="en-US" w:eastAsia="zh-CN"/>
        </w:rPr>
        <w:t>15</w:t>
      </w:r>
      <w:r>
        <w:rPr>
          <w:rFonts w:hint="eastAsia" w:asciiTheme="minorEastAsia" w:hAnsiTheme="minorEastAsia" w:eastAsiaTheme="minorEastAsia"/>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sz w:val="24"/>
          <w:highlight w:val="none"/>
        </w:rPr>
      </w:pPr>
      <w:r>
        <w:rPr>
          <w:rFonts w:hint="eastAsia" w:asciiTheme="minorEastAsia" w:hAnsiTheme="minorEastAsia" w:eastAsiaTheme="minorEastAsia"/>
          <w:b/>
          <w:sz w:val="24"/>
          <w:highlight w:val="none"/>
        </w:rPr>
        <w:t>五、补充条款：</w:t>
      </w:r>
      <w:r>
        <w:rPr>
          <w:rFonts w:asciiTheme="minorEastAsia" w:hAnsiTheme="minorEastAsia" w:eastAsiaTheme="minorEastAsia"/>
          <w:sz w:val="24"/>
          <w:highlight w:val="none"/>
          <w:u w:val="single"/>
        </w:rPr>
        <w:t xml:space="preserve">      </w:t>
      </w:r>
      <w:r>
        <w:rPr>
          <w:rFonts w:hint="eastAsia" w:asciiTheme="minorEastAsia" w:hAnsiTheme="minorEastAsia"/>
          <w:sz w:val="24"/>
          <w:highlight w:val="none"/>
          <w:u w:val="single"/>
          <w:lang w:val="en-US" w:eastAsia="zh-CN"/>
        </w:rPr>
        <w:t>\</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pPr>
        <w:adjustRightInd w:val="0"/>
        <w:snapToGrid w:val="0"/>
        <w:spacing w:line="560" w:lineRule="exact"/>
        <w:ind w:firstLine="482" w:firstLineChars="200"/>
        <w:jc w:val="left"/>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甲方：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keepNext w:val="0"/>
              <w:keepLines w:val="0"/>
              <w:suppressLineNumbers w:val="0"/>
              <w:adjustRightInd w:val="0"/>
              <w:snapToGrid w:val="0"/>
              <w:spacing w:before="0" w:beforeAutospacing="0" w:after="0" w:afterAutospacing="0" w:line="560" w:lineRule="exact"/>
              <w:ind w:left="0" w:right="0" w:firstLine="240" w:firstLineChars="100"/>
              <w:jc w:val="right"/>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hint="default"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hint="default"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c>
          <w:tcPr>
            <w:tcW w:w="4474" w:type="dxa"/>
          </w:tcPr>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乙方：</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签约代表：</w:t>
            </w:r>
          </w:p>
          <w:p>
            <w:pPr>
              <w:keepNext w:val="0"/>
              <w:keepLines w:val="0"/>
              <w:suppressLineNumbers w:val="0"/>
              <w:adjustRightInd w:val="0"/>
              <w:snapToGrid w:val="0"/>
              <w:spacing w:before="0" w:beforeAutospacing="0" w:after="0" w:afterAutospacing="0" w:line="560" w:lineRule="exact"/>
              <w:ind w:left="0" w:right="0"/>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联系电话：</w:t>
            </w:r>
          </w:p>
          <w:p>
            <w:pPr>
              <w:keepNext w:val="0"/>
              <w:keepLines w:val="0"/>
              <w:suppressLineNumbers w:val="0"/>
              <w:adjustRightInd w:val="0"/>
              <w:snapToGrid w:val="0"/>
              <w:spacing w:before="0" w:beforeAutospacing="0" w:after="0" w:afterAutospacing="0" w:line="560" w:lineRule="exact"/>
              <w:ind w:left="0" w:right="0"/>
              <w:jc w:val="right"/>
              <w:rPr>
                <w:rFonts w:hint="default" w:asciiTheme="minorEastAsia" w:hAnsiTheme="minorEastAsia" w:eastAsiaTheme="minorEastAsia"/>
                <w:sz w:val="24"/>
                <w:highlight w:val="none"/>
              </w:rPr>
            </w:pPr>
            <w:r>
              <w:rPr>
                <w:rFonts w:hint="eastAsia" w:asciiTheme="minorEastAsia" w:hAnsiTheme="minorEastAsia" w:eastAsiaTheme="minorEastAsia"/>
                <w:sz w:val="24"/>
                <w:highlight w:val="none"/>
              </w:rPr>
              <w:t>年</w:t>
            </w:r>
            <w:r>
              <w:rPr>
                <w:rFonts w:hint="default"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月</w:t>
            </w:r>
            <w:r>
              <w:rPr>
                <w:rFonts w:hint="default" w:asciiTheme="minorEastAsia" w:hAnsiTheme="minorEastAsia" w:eastAsiaTheme="minorEastAsia"/>
                <w:sz w:val="24"/>
                <w:highlight w:val="none"/>
              </w:rPr>
              <w:t xml:space="preserve">    </w:t>
            </w:r>
            <w:r>
              <w:rPr>
                <w:rFonts w:hint="eastAsia" w:asciiTheme="minorEastAsia" w:hAnsiTheme="minorEastAsia" w:eastAsiaTheme="minorEastAsia"/>
                <w:sz w:val="24"/>
                <w:highlight w:val="none"/>
              </w:rPr>
              <w:t>日</w:t>
            </w:r>
          </w:p>
        </w:tc>
      </w:tr>
    </w:tbl>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bCs/>
          <w:szCs w:val="21"/>
          <w:highlight w:val="none"/>
        </w:rPr>
      </w:pPr>
    </w:p>
    <w:p>
      <w:pPr>
        <w:spacing w:line="360" w:lineRule="auto"/>
        <w:rPr>
          <w:rFonts w:hint="eastAsia" w:ascii="宋体" w:hAnsi="宋体" w:cs="宋体"/>
          <w:b/>
          <w:color w:val="auto"/>
          <w:szCs w:val="21"/>
          <w:highlight w:val="none"/>
          <w:lang w:val="en-US" w:eastAsia="zh-CN"/>
        </w:rPr>
      </w:pPr>
      <w:r>
        <w:rPr>
          <w:rFonts w:hint="eastAsia" w:ascii="宋体" w:hAnsi="宋体" w:cs="宋体"/>
          <w:b/>
          <w:bCs/>
          <w:szCs w:val="21"/>
          <w:highlight w:val="none"/>
        </w:rPr>
        <w:t>附件</w:t>
      </w:r>
      <w:r>
        <w:rPr>
          <w:rFonts w:hint="eastAsia" w:ascii="宋体" w:hAnsi="宋体" w:cs="宋体"/>
          <w:b/>
          <w:bCs/>
          <w:szCs w:val="21"/>
          <w:highlight w:val="none"/>
          <w:lang w:val="en-US" w:eastAsia="zh-CN"/>
        </w:rPr>
        <w:t>4</w:t>
      </w:r>
      <w:r>
        <w:rPr>
          <w:rFonts w:hint="eastAsia" w:ascii="宋体" w:hAnsi="宋体" w:cs="宋体"/>
          <w:b/>
          <w:bCs/>
          <w:szCs w:val="21"/>
          <w:highlight w:val="none"/>
        </w:rPr>
        <w:t>：</w:t>
      </w:r>
      <w:r>
        <w:rPr>
          <w:rFonts w:hint="eastAsia" w:ascii="宋体" w:hAnsi="宋体" w:cs="宋体"/>
          <w:b/>
          <w:color w:val="auto"/>
          <w:szCs w:val="21"/>
          <w:highlight w:val="none"/>
          <w:lang w:val="en-US" w:eastAsia="zh-CN"/>
        </w:rPr>
        <w:t>工程量清单报价（详见响应文件报价清单）</w:t>
      </w: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r>
        <w:rPr>
          <w:rFonts w:hint="eastAsia" w:ascii="仿宋_GB2312" w:hAnsi="仿宋_GB2312" w:eastAsia="仿宋_GB2312" w:cs="仿宋_GB2312"/>
          <w:kern w:val="0"/>
          <w:sz w:val="28"/>
          <w:szCs w:val="28"/>
          <w:highlight w:val="none"/>
          <w:shd w:val="clear" w:color="auto" w:fill="FFFFFF"/>
          <w:lang w:val="en-US" w:eastAsia="zh-CN" w:bidi="ar-SA"/>
        </w:rPr>
        <w:t>表一：便携式气体检测仪设备清单</w:t>
      </w:r>
    </w:p>
    <w:tbl>
      <w:tblPr>
        <w:tblStyle w:val="22"/>
        <w:tblW w:w="883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28"/>
        <w:gridCol w:w="831"/>
        <w:gridCol w:w="710"/>
        <w:gridCol w:w="689"/>
        <w:gridCol w:w="851"/>
        <w:gridCol w:w="831"/>
        <w:gridCol w:w="1764"/>
        <w:gridCol w:w="2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45" w:hRule="atLeast"/>
        </w:trPr>
        <w:tc>
          <w:tcPr>
            <w:tcW w:w="628" w:type="dxa"/>
            <w:tcBorders>
              <w:top w:val="single" w:color="000000" w:sz="8"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831" w:type="dxa"/>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设备名称</w:t>
            </w:r>
          </w:p>
        </w:tc>
        <w:tc>
          <w:tcPr>
            <w:tcW w:w="710" w:type="dxa"/>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规格型号</w:t>
            </w:r>
          </w:p>
        </w:tc>
        <w:tc>
          <w:tcPr>
            <w:tcW w:w="689" w:type="dxa"/>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购置时间</w:t>
            </w:r>
          </w:p>
        </w:tc>
        <w:tc>
          <w:tcPr>
            <w:tcW w:w="851" w:type="dxa"/>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w:t>
            </w:r>
          </w:p>
        </w:tc>
        <w:tc>
          <w:tcPr>
            <w:tcW w:w="831" w:type="dxa"/>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数量</w:t>
            </w:r>
          </w:p>
        </w:tc>
        <w:tc>
          <w:tcPr>
            <w:tcW w:w="1764" w:type="dxa"/>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c>
          <w:tcPr>
            <w:tcW w:w="2534" w:type="dxa"/>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76"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英思科气体检测仪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M40</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16</w:t>
            </w:r>
          </w:p>
        </w:tc>
        <w:tc>
          <w:tcPr>
            <w:tcW w:w="176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四合一气体检测仪，可检测一氧化碳、硫化氢、氧气、可燃气四种气体</w:t>
            </w:r>
          </w:p>
        </w:tc>
        <w:tc>
          <w:tcPr>
            <w:tcW w:w="253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泵吸式气体检测仪，</w:t>
            </w:r>
          </w:p>
          <w:p>
            <w:pPr>
              <w:keepNext w:val="0"/>
              <w:keepLines w:val="0"/>
              <w:suppressLineNumbers w:val="0"/>
              <w:spacing w:before="0" w:beforeAutospacing="0" w:after="0" w:afterAutospacing="0"/>
              <w:ind w:left="0" w:right="0"/>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1.各部门、班组配备用于日常与大修、清淤作业中的有限空间作业；日常使用容易因吸入污水、异物导致损坏；2.作为应急物资分别存放于厂应急物资间与地下厂应急物资点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245"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霍尼韦尔气体检测仪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Minimax X4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8</w:t>
            </w:r>
          </w:p>
        </w:tc>
        <w:tc>
          <w:tcPr>
            <w:tcW w:w="176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四合一气体检测仪，可检测一氧化碳、硫化氢、氧气、氨气四种气体</w:t>
            </w:r>
          </w:p>
        </w:tc>
        <w:tc>
          <w:tcPr>
            <w:tcW w:w="2534" w:type="dxa"/>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扩散式气体检测仪，各部门、班组配备用于值班人员进入地下厂或下沉区域时随身佩戴；日常使用时容易因高温、受潮或长时间运行导致传感器等电子原件加速老化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34"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金盾气体检测仪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2020年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6</w:t>
            </w:r>
          </w:p>
        </w:tc>
        <w:tc>
          <w:tcPr>
            <w:tcW w:w="176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四合一气体检测仪，可检测一氧化碳、硫化氢、氧气、可燃气四种气体</w:t>
            </w:r>
          </w:p>
        </w:tc>
        <w:tc>
          <w:tcPr>
            <w:tcW w:w="2534" w:type="dxa"/>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泵吸式气体检测仪，作为应急物资分别存放于厂应急物资间与地下厂应急物资点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78" w:hRule="atLeast"/>
        </w:trPr>
        <w:tc>
          <w:tcPr>
            <w:tcW w:w="628"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4</w:t>
            </w:r>
          </w:p>
        </w:tc>
        <w:tc>
          <w:tcPr>
            <w:tcW w:w="8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华盛昌气体检测仪</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GD-3305</w:t>
            </w: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76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单种气体检测仪，可检测可燃气</w:t>
            </w:r>
          </w:p>
        </w:tc>
        <w:tc>
          <w:tcPr>
            <w:tcW w:w="253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泵吸式气体检测仪，主要配备给班组用于检测锅炉燃气管道情况</w:t>
            </w:r>
          </w:p>
        </w:tc>
      </w:tr>
    </w:tbl>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r>
        <w:rPr>
          <w:rFonts w:hint="eastAsia" w:ascii="仿宋_GB2312" w:hAnsi="仿宋_GB2312" w:eastAsia="仿宋_GB2312" w:cs="仿宋_GB2312"/>
          <w:kern w:val="0"/>
          <w:sz w:val="28"/>
          <w:szCs w:val="28"/>
          <w:highlight w:val="none"/>
          <w:shd w:val="clear" w:color="auto" w:fill="FFFFFF"/>
          <w:lang w:val="en-US" w:eastAsia="zh-CN" w:bidi="ar-SA"/>
        </w:rPr>
        <w:t>表二：固定式气体检测仪设备清单</w:t>
      </w:r>
    </w:p>
    <w:tbl>
      <w:tblPr>
        <w:tblStyle w:val="22"/>
        <w:tblW w:w="4979" w:type="pct"/>
        <w:tblInd w:w="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7"/>
        <w:gridCol w:w="1095"/>
        <w:gridCol w:w="2047"/>
        <w:gridCol w:w="1196"/>
        <w:gridCol w:w="710"/>
        <w:gridCol w:w="1216"/>
        <w:gridCol w:w="2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309" w:type="pct"/>
            <w:tcBorders>
              <w:top w:val="single" w:color="000000" w:sz="8"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序号</w:t>
            </w:r>
          </w:p>
        </w:tc>
        <w:tc>
          <w:tcPr>
            <w:tcW w:w="619" w:type="pc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color w:val="000000"/>
                <w:sz w:val="24"/>
                <w:szCs w:val="24"/>
                <w:u w:val="none"/>
                <w:lang w:val="en-US"/>
              </w:rPr>
            </w:pPr>
            <w:r>
              <w:rPr>
                <w:rFonts w:hint="eastAsia" w:ascii="宋体" w:hAnsi="宋体" w:eastAsia="宋体" w:cs="宋体"/>
                <w:b/>
                <w:bCs/>
                <w:i w:val="0"/>
                <w:color w:val="000000"/>
                <w:kern w:val="0"/>
                <w:sz w:val="24"/>
                <w:szCs w:val="24"/>
                <w:u w:val="none"/>
                <w:lang w:val="en-US" w:eastAsia="zh-CN" w:bidi="ar"/>
              </w:rPr>
              <w:t>设备名称</w:t>
            </w:r>
          </w:p>
        </w:tc>
        <w:tc>
          <w:tcPr>
            <w:tcW w:w="1158"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规格型号</w:t>
            </w:r>
          </w:p>
        </w:tc>
        <w:tc>
          <w:tcPr>
            <w:tcW w:w="676"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kern w:val="0"/>
                <w:sz w:val="24"/>
                <w:szCs w:val="24"/>
                <w:u w:val="none"/>
                <w:lang w:val="en-US" w:eastAsia="zh-CN" w:bidi="ar"/>
              </w:rPr>
            </w:pPr>
            <w:r>
              <w:rPr>
                <w:rFonts w:hint="eastAsia" w:ascii="宋体" w:hAnsi="宋体" w:eastAsia="宋体" w:cs="宋体"/>
                <w:b/>
                <w:bCs/>
                <w:i w:val="0"/>
                <w:color w:val="000000"/>
                <w:kern w:val="0"/>
                <w:sz w:val="24"/>
                <w:szCs w:val="24"/>
                <w:u w:val="none"/>
                <w:lang w:val="en-US" w:eastAsia="zh-CN" w:bidi="ar"/>
              </w:rPr>
              <w:t>购置时间</w:t>
            </w:r>
          </w:p>
        </w:tc>
        <w:tc>
          <w:tcPr>
            <w:tcW w:w="401"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单位</w:t>
            </w:r>
          </w:p>
        </w:tc>
        <w:tc>
          <w:tcPr>
            <w:tcW w:w="687"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数量</w:t>
            </w:r>
          </w:p>
        </w:tc>
        <w:tc>
          <w:tcPr>
            <w:tcW w:w="1146" w:type="pct"/>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8"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氧气气体检测仪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GTD-3000Tx-O2</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restart"/>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sz w:val="24"/>
                <w:szCs w:val="24"/>
                <w:u w:val="none"/>
                <w:lang w:val="en-US" w:eastAsia="zh-CN"/>
              </w:rPr>
              <w:t>4个不同种类的GTD-3000</w:t>
            </w:r>
            <w:r>
              <w:rPr>
                <w:rFonts w:hint="eastAsia" w:ascii="宋体" w:hAnsi="宋体" w:eastAsia="宋体" w:cs="宋体"/>
                <w:b w:val="0"/>
                <w:bCs/>
                <w:i w:val="0"/>
                <w:color w:val="000000"/>
                <w:kern w:val="0"/>
                <w:sz w:val="24"/>
                <w:szCs w:val="24"/>
                <w:u w:val="none"/>
                <w:lang w:val="en-US" w:eastAsia="zh-CN" w:bidi="ar"/>
              </w:rPr>
              <w:t>Tx检测仪与1台ASC-100控制器组成1整套固定式气体检测仪系统，</w:t>
            </w:r>
            <w:r>
              <w:rPr>
                <w:rFonts w:hint="eastAsia" w:ascii="宋体" w:hAnsi="宋体" w:eastAsia="宋体" w:cs="宋体"/>
                <w:i w:val="0"/>
                <w:color w:val="000000"/>
                <w:sz w:val="24"/>
                <w:szCs w:val="24"/>
                <w:u w:val="none"/>
                <w:lang w:val="en-US" w:eastAsia="zh-CN"/>
              </w:rPr>
              <w:t>安装于三期地下厂，共24套。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0"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氨气气体检测仪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GTD-3000Tx-NH3</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17"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GTD-3000Tx-CH4</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91"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硫化氢气体检测仪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GTD-3000Tx-H2S</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6"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ASC-100</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46" w:type="pct"/>
            <w:vMerge w:val="continue"/>
            <w:tcBorders>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both"/>
              <w:rPr>
                <w:rFonts w:hint="default"/>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00"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一氧化碳气体检测仪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MIC-500S-CO-A</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restart"/>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安装于三期干化车间，对应安装区域的不同种类的MIC</w:t>
            </w:r>
            <w:r>
              <w:rPr>
                <w:rFonts w:hint="eastAsia" w:ascii="宋体" w:hAnsi="宋体" w:eastAsia="宋体" w:cs="宋体"/>
                <w:b w:val="0"/>
                <w:bCs/>
                <w:i w:val="0"/>
                <w:color w:val="000000"/>
                <w:kern w:val="0"/>
                <w:sz w:val="24"/>
                <w:szCs w:val="24"/>
                <w:u w:val="none"/>
                <w:lang w:val="en-US" w:eastAsia="zh-CN" w:bidi="ar"/>
              </w:rPr>
              <w:t>-500S检测仪与1台MIC2000控制器组成1整套固定式气体检测仪系统，共5套。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7"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MIC-500S-CH4-A</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1"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硫化氢气体检测仪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MIC-500S-H2S-A</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4"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MIC2000</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46" w:type="pct"/>
            <w:vMerge w:val="continue"/>
            <w:tcBorders>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5"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一氧化碳气体检测仪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MOT200-CO</w:t>
            </w:r>
          </w:p>
        </w:tc>
        <w:tc>
          <w:tcPr>
            <w:tcW w:w="67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restart"/>
            <w:tcBorders>
              <w:top w:val="single" w:color="000000" w:sz="4" w:space="0"/>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4个不同种类的</w:t>
            </w:r>
            <w:r>
              <w:rPr>
                <w:rFonts w:hint="eastAsia" w:ascii="宋体" w:hAnsi="宋体" w:eastAsia="宋体" w:cs="宋体"/>
                <w:b w:val="0"/>
                <w:bCs/>
                <w:i w:val="0"/>
                <w:color w:val="000000"/>
                <w:kern w:val="0"/>
                <w:sz w:val="24"/>
                <w:szCs w:val="24"/>
                <w:u w:val="none"/>
                <w:lang w:val="en-US" w:eastAsia="zh-CN" w:bidi="ar"/>
              </w:rPr>
              <w:t>MOT200检测仪与1台DN-1000控制器组成1整套固定式气体检测仪系统，共2套。</w:t>
            </w:r>
            <w:r>
              <w:rPr>
                <w:rFonts w:hint="eastAsia" w:ascii="宋体" w:hAnsi="宋体" w:eastAsia="宋体" w:cs="宋体"/>
                <w:i w:val="0"/>
                <w:color w:val="000000"/>
                <w:sz w:val="24"/>
                <w:szCs w:val="24"/>
                <w:u w:val="none"/>
                <w:lang w:val="en-US" w:eastAsia="zh-CN"/>
              </w:rPr>
              <w:t>分别安装于一二期干化车间负一层与初雨池负一层排泥泵房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氨气气体检测仪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MOT200-NH3</w:t>
            </w:r>
          </w:p>
        </w:tc>
        <w:tc>
          <w:tcPr>
            <w:tcW w:w="67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MOT200-CH4</w:t>
            </w:r>
          </w:p>
        </w:tc>
        <w:tc>
          <w:tcPr>
            <w:tcW w:w="67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硫化氢气体检测仪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MOT200-H2S</w:t>
            </w:r>
          </w:p>
        </w:tc>
        <w:tc>
          <w:tcPr>
            <w:tcW w:w="676"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continue"/>
            <w:tcBorders>
              <w:left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37"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DN-1000</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2020年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w:t>
            </w:r>
          </w:p>
        </w:tc>
        <w:tc>
          <w:tcPr>
            <w:tcW w:w="1146" w:type="pct"/>
            <w:vMerge w:val="continue"/>
            <w:tcBorders>
              <w:left w:val="single" w:color="000000" w:sz="4" w:space="0"/>
              <w:bottom w:val="single" w:color="auto"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4</w:t>
            </w:r>
          </w:p>
        </w:tc>
        <w:tc>
          <w:tcPr>
            <w:tcW w:w="61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AEC2336</w:t>
            </w:r>
          </w:p>
        </w:tc>
        <w:tc>
          <w:tcPr>
            <w:tcW w:w="67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w:t>
            </w:r>
          </w:p>
        </w:tc>
        <w:tc>
          <w:tcPr>
            <w:tcW w:w="1146" w:type="pct"/>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3个</w:t>
            </w:r>
            <w:r>
              <w:rPr>
                <w:rFonts w:hint="eastAsia" w:ascii="宋体" w:hAnsi="宋体" w:eastAsia="宋体" w:cs="宋体"/>
                <w:b w:val="0"/>
                <w:bCs/>
                <w:i w:val="0"/>
                <w:color w:val="000000"/>
                <w:kern w:val="0"/>
                <w:sz w:val="24"/>
                <w:szCs w:val="24"/>
                <w:u w:val="none"/>
                <w:lang w:val="en-US" w:eastAsia="zh-CN" w:bidi="ar"/>
              </w:rPr>
              <w:t>AEC2336的检测仪与1台AEC2303a控制器组成1整套固定式气体检测仪系统，</w:t>
            </w:r>
            <w:r>
              <w:rPr>
                <w:rFonts w:hint="eastAsia" w:ascii="宋体" w:hAnsi="宋体" w:eastAsia="宋体" w:cs="宋体"/>
                <w:i w:val="0"/>
                <w:color w:val="000000"/>
                <w:sz w:val="24"/>
                <w:szCs w:val="24"/>
                <w:u w:val="none"/>
                <w:lang w:val="en-US" w:eastAsia="zh-CN"/>
              </w:rPr>
              <w:t>安装于三期干化车间锅炉房，共1套。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54"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AEC2303a</w:t>
            </w:r>
          </w:p>
        </w:tc>
        <w:tc>
          <w:tcPr>
            <w:tcW w:w="676" w:type="pct"/>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w:t>
            </w:r>
          </w:p>
        </w:tc>
        <w:tc>
          <w:tcPr>
            <w:tcW w:w="1146" w:type="pct"/>
            <w:vMerge w:val="continue"/>
            <w:tcBorders>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4" w:hRule="atLeast"/>
        </w:trPr>
        <w:tc>
          <w:tcPr>
            <w:tcW w:w="309" w:type="pct"/>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甲烷气体检测仪</w:t>
            </w:r>
          </w:p>
        </w:tc>
        <w:tc>
          <w:tcPr>
            <w:tcW w:w="1158"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GT-GST003M</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7</w:t>
            </w:r>
          </w:p>
        </w:tc>
        <w:tc>
          <w:tcPr>
            <w:tcW w:w="1146" w:type="pct"/>
            <w:vMerge w:val="restart"/>
            <w:tcBorders>
              <w:top w:val="single" w:color="auto" w:sz="4" w:space="0"/>
              <w:left w:val="single" w:color="auto"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sz w:val="24"/>
                <w:szCs w:val="24"/>
                <w:u w:val="none"/>
                <w:lang w:val="en-US" w:eastAsia="zh-CN"/>
              </w:rPr>
              <w:t>7个</w:t>
            </w:r>
            <w:r>
              <w:rPr>
                <w:rFonts w:hint="eastAsia" w:ascii="宋体" w:hAnsi="宋体" w:eastAsia="宋体" w:cs="宋体"/>
                <w:b w:val="0"/>
                <w:bCs/>
                <w:i w:val="0"/>
                <w:color w:val="000000"/>
                <w:kern w:val="0"/>
                <w:sz w:val="24"/>
                <w:szCs w:val="24"/>
                <w:u w:val="none"/>
                <w:lang w:val="en-US" w:eastAsia="zh-CN" w:bidi="ar"/>
              </w:rPr>
              <w:t>GT-GST003M的检测仪与1台JB-KR-GSTN004控制器组成1整套固定式气体检测仪系统，</w:t>
            </w:r>
            <w:r>
              <w:rPr>
                <w:rFonts w:hint="eastAsia" w:ascii="宋体" w:hAnsi="宋体" w:eastAsia="宋体" w:cs="宋体"/>
                <w:i w:val="0"/>
                <w:color w:val="000000"/>
                <w:sz w:val="24"/>
                <w:szCs w:val="24"/>
                <w:u w:val="none"/>
                <w:lang w:val="en-US" w:eastAsia="zh-CN"/>
              </w:rPr>
              <w:t>安装于三期干化车间锅炉房，共1套。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66" w:hRule="atLeast"/>
        </w:trPr>
        <w:tc>
          <w:tcPr>
            <w:tcW w:w="309" w:type="pct"/>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气体报警控制器</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JB-KR-GSTN004</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2021年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w:t>
            </w:r>
          </w:p>
        </w:tc>
        <w:tc>
          <w:tcPr>
            <w:tcW w:w="1146" w:type="pct"/>
            <w:vMerge w:val="continue"/>
            <w:tcBorders>
              <w:left w:val="single" w:color="auto"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92" w:hRule="atLeast"/>
        </w:trPr>
        <w:tc>
          <w:tcPr>
            <w:tcW w:w="309"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6</w:t>
            </w:r>
          </w:p>
        </w:tc>
        <w:tc>
          <w:tcPr>
            <w:tcW w:w="6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氯气气体检测仪</w:t>
            </w:r>
          </w:p>
        </w:tc>
        <w:tc>
          <w:tcPr>
            <w:tcW w:w="115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GND-20-CL2</w:t>
            </w:r>
          </w:p>
        </w:tc>
        <w:tc>
          <w:tcPr>
            <w:tcW w:w="67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2022年</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个</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w:t>
            </w:r>
          </w:p>
        </w:tc>
        <w:tc>
          <w:tcPr>
            <w:tcW w:w="1146" w:type="pct"/>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2个GND-20-CL2检测仪组成1整套固定式气体检测仪系统，安装于一二期次氯酸钠储药区域，共1套。</w:t>
            </w:r>
          </w:p>
        </w:tc>
      </w:tr>
    </w:tbl>
    <w:p>
      <w:pPr>
        <w:pStyle w:val="27"/>
        <w:jc w:val="center"/>
        <w:rPr>
          <w:rFonts w:hint="eastAsia" w:ascii="仿宋" w:hAnsi="仿宋" w:eastAsia="仿宋" w:cs="仿宋"/>
          <w:w w:val="98"/>
          <w:sz w:val="32"/>
          <w:szCs w:val="32"/>
          <w:highlight w:val="none"/>
          <w:lang w:val="en-US" w:eastAsia="zh-CN"/>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eastAsia" w:ascii="仿宋_GB2312" w:hAnsi="仿宋_GB2312" w:eastAsia="仿宋_GB2312" w:cs="仿宋_GB2312"/>
          <w:kern w:val="0"/>
          <w:sz w:val="28"/>
          <w:szCs w:val="28"/>
          <w:highlight w:val="none"/>
          <w:shd w:val="clear" w:color="auto" w:fill="FFFFFF"/>
          <w:lang w:val="en-US" w:eastAsia="zh-CN" w:bidi="ar-SA"/>
        </w:rPr>
      </w:pPr>
    </w:p>
    <w:p>
      <w:pPr>
        <w:autoSpaceDE w:val="0"/>
        <w:autoSpaceDN w:val="0"/>
        <w:spacing w:line="520" w:lineRule="exact"/>
        <w:jc w:val="center"/>
        <w:rPr>
          <w:rFonts w:hint="default" w:ascii="仿宋_GB2312" w:hAnsi="仿宋_GB2312" w:eastAsia="仿宋_GB2312" w:cs="仿宋_GB2312"/>
          <w:kern w:val="0"/>
          <w:sz w:val="28"/>
          <w:szCs w:val="28"/>
          <w:highlight w:val="none"/>
          <w:shd w:val="clear" w:color="auto" w:fill="FFFFFF"/>
          <w:lang w:val="en-US" w:eastAsia="zh-CN" w:bidi="ar-SA"/>
        </w:rPr>
      </w:pPr>
      <w:r>
        <w:rPr>
          <w:rFonts w:hint="eastAsia" w:ascii="仿宋_GB2312" w:hAnsi="仿宋_GB2312" w:eastAsia="仿宋_GB2312" w:cs="仿宋_GB2312"/>
          <w:kern w:val="0"/>
          <w:sz w:val="28"/>
          <w:szCs w:val="28"/>
          <w:highlight w:val="none"/>
          <w:shd w:val="clear" w:color="auto" w:fill="FFFFFF"/>
          <w:lang w:val="en-US" w:eastAsia="zh-CN" w:bidi="ar-SA"/>
        </w:rPr>
        <w:t>表三：服务内容</w:t>
      </w:r>
    </w:p>
    <w:tbl>
      <w:tblPr>
        <w:tblStyle w:val="22"/>
        <w:tblW w:w="6369" w:type="pct"/>
        <w:tblInd w:w="-1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1"/>
        <w:gridCol w:w="3337"/>
        <w:gridCol w:w="2844"/>
        <w:gridCol w:w="1079"/>
        <w:gridCol w:w="927"/>
        <w:gridCol w:w="2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9" w:hRule="atLeast"/>
        </w:trPr>
        <w:tc>
          <w:tcPr>
            <w:tcW w:w="261" w:type="pct"/>
            <w:tcBorders>
              <w:top w:val="single" w:color="000000" w:sz="8"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476" w:type="pc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维保内容</w:t>
            </w:r>
          </w:p>
        </w:tc>
        <w:tc>
          <w:tcPr>
            <w:tcW w:w="1258"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规格型号</w:t>
            </w:r>
          </w:p>
        </w:tc>
        <w:tc>
          <w:tcPr>
            <w:tcW w:w="477"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410" w:type="pct"/>
            <w:tcBorders>
              <w:top w:val="single" w:color="000000" w:sz="8"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1116" w:type="pct"/>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261" w:type="pct"/>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1476" w:type="pc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检查标定</w:t>
            </w:r>
          </w:p>
        </w:tc>
        <w:tc>
          <w:tcPr>
            <w:tcW w:w="1258"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便携式气体检测仪</w:t>
            </w:r>
          </w:p>
        </w:tc>
        <w:tc>
          <w:tcPr>
            <w:tcW w:w="477" w:type="pc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34</w:t>
            </w:r>
          </w:p>
        </w:tc>
        <w:tc>
          <w:tcPr>
            <w:tcW w:w="1116"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r>
              <w:rPr>
                <w:rFonts w:hint="eastAsia" w:ascii="宋体" w:hAnsi="宋体" w:eastAsia="宋体" w:cs="宋体"/>
                <w:b w:val="0"/>
                <w:bCs/>
                <w:i w:val="0"/>
                <w:color w:val="auto"/>
                <w:sz w:val="24"/>
                <w:szCs w:val="24"/>
                <w:u w:val="none"/>
                <w:lang w:val="en-US" w:eastAsia="zh-CN"/>
              </w:rPr>
              <w:t>邮寄检修，按实结算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2" w:hRule="atLeast"/>
        </w:trPr>
        <w:tc>
          <w:tcPr>
            <w:tcW w:w="261" w:type="pct"/>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1476" w:type="pc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检查标定</w:t>
            </w:r>
          </w:p>
        </w:tc>
        <w:tc>
          <w:tcPr>
            <w:tcW w:w="1258"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固定式气体检测仪</w:t>
            </w:r>
          </w:p>
        </w:tc>
        <w:tc>
          <w:tcPr>
            <w:tcW w:w="477" w:type="pc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套</w:t>
            </w:r>
          </w:p>
        </w:tc>
        <w:tc>
          <w:tcPr>
            <w:tcW w:w="410"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34</w:t>
            </w:r>
          </w:p>
        </w:tc>
        <w:tc>
          <w:tcPr>
            <w:tcW w:w="1116"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r>
              <w:rPr>
                <w:rFonts w:hint="eastAsia" w:ascii="宋体" w:hAnsi="宋体" w:eastAsia="宋体" w:cs="宋体"/>
                <w:b w:val="0"/>
                <w:bCs/>
                <w:i w:val="0"/>
                <w:color w:val="auto"/>
                <w:sz w:val="24"/>
                <w:szCs w:val="24"/>
                <w:u w:val="none"/>
                <w:lang w:val="en-US" w:eastAsia="zh-CN"/>
              </w:rPr>
              <w:t>现场检修，按实结算，共136个检测仪与35台控制器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5"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便携式气体检测仪主板</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维修或更换损坏便携式气体检测仪传感器主板</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更换损坏、严重老化的便携式气体检测仪电池模组</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10</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便携式气体检测仪采样泵</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便携式气体检测仪采样泵</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8"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更换损坏、严重老化的便携式气体检测仪一氧化碳传感器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FF0000"/>
                <w:sz w:val="24"/>
                <w:szCs w:val="24"/>
                <w:u w:val="none"/>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3"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1"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2"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7"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1"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1"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47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1116"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便携式气体检测仪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MIC-500S-CH4-A、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MOT200-CH4、GT-GST003M、AEC2336</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更换损坏、严重老化的固定式气体检测仪可燃气传感器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GTD-3000Tx-CH4</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4"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更换损坏、严重老化的固定式气体检测仪一氧化碳传感器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MIC-500S-CO-A、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MOT200-CO</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MIC-500S-H2S-A、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MOT200-H2S</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更换损坏、严重老化的固定式气体检测仪硫化氢传感器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GTD-3000Tx-H2S</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更换损坏、严重老化的固定式气体检测仪氨气传感器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MOT200-NH3</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更换损坏、严重老化的固定式气体检测仪氨气传感器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GTD-3000Tx-NH3</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261"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1476"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更换损坏、严重老化的固定式气体检测仪氧气传感器</w:t>
            </w:r>
          </w:p>
        </w:tc>
        <w:tc>
          <w:tcPr>
            <w:tcW w:w="125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GTD-3000Tx-O2</w:t>
            </w:r>
          </w:p>
        </w:tc>
        <w:tc>
          <w:tcPr>
            <w:tcW w:w="477"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410"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1116"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固定式气体检测仪</w:t>
            </w:r>
            <w:r>
              <w:rPr>
                <w:rFonts w:hint="eastAsia" w:ascii="宋体" w:hAnsi="宋体" w:eastAsia="宋体" w:cs="宋体"/>
                <w:b w:val="0"/>
                <w:bCs/>
                <w:i w:val="0"/>
                <w:color w:val="auto"/>
                <w:sz w:val="24"/>
                <w:szCs w:val="24"/>
                <w:u w:val="none"/>
                <w:lang w:val="en-US" w:eastAsia="zh-CN"/>
              </w:rPr>
              <w:t>，按实结算</w:t>
            </w:r>
          </w:p>
        </w:tc>
      </w:tr>
    </w:tbl>
    <w:p>
      <w:pPr>
        <w:spacing w:line="360" w:lineRule="auto"/>
        <w:rPr>
          <w:rFonts w:ascii="宋体" w:hAnsi="宋体" w:cs="宋体"/>
          <w:b/>
          <w:bCs/>
          <w:szCs w:val="21"/>
          <w:highlight w:val="none"/>
        </w:rPr>
      </w:pPr>
    </w:p>
    <w:p>
      <w:pPr>
        <w:spacing w:line="360" w:lineRule="auto"/>
        <w:rPr>
          <w:rFonts w:ascii="宋体" w:hAnsi="宋体" w:cs="宋体"/>
          <w:sz w:val="24"/>
          <w:highlight w:val="none"/>
        </w:rPr>
      </w:pPr>
    </w:p>
    <w:p>
      <w:pPr>
        <w:spacing w:line="360" w:lineRule="auto"/>
        <w:rPr>
          <w:rFonts w:ascii="宋体" w:hAnsi="宋体" w:cs="宋体"/>
          <w:sz w:val="24"/>
          <w:highlight w:val="none"/>
        </w:rPr>
      </w:pPr>
    </w:p>
    <w:p>
      <w:pPr>
        <w:pStyle w:val="21"/>
        <w:ind w:firstLine="0"/>
        <w:rPr>
          <w:rFonts w:ascii="仿宋_GB2312" w:eastAsia="仿宋_GB2312"/>
          <w:color w:val="auto"/>
          <w:sz w:val="28"/>
          <w:szCs w:val="28"/>
          <w:highlight w:val="none"/>
        </w:rPr>
      </w:pPr>
    </w:p>
    <w:p>
      <w:pPr>
        <w:pStyle w:val="3"/>
        <w:rPr>
          <w:rFonts w:hint="eastAsia"/>
          <w:color w:val="auto"/>
          <w:highlight w:val="none"/>
        </w:rPr>
      </w:pPr>
      <w:bookmarkStart w:id="116" w:name="_Toc23515"/>
      <w:bookmarkStart w:id="117" w:name="_Toc28358"/>
      <w:bookmarkStart w:id="118" w:name="_Toc1563"/>
      <w:bookmarkStart w:id="119" w:name="_Toc5129"/>
      <w:bookmarkStart w:id="120" w:name="_Toc30824"/>
      <w:bookmarkStart w:id="121" w:name="_Toc12169"/>
      <w:bookmarkStart w:id="122" w:name="_Toc8147"/>
      <w:bookmarkStart w:id="123" w:name="_Toc21847"/>
      <w:bookmarkStart w:id="124" w:name="_Toc3723"/>
      <w:bookmarkStart w:id="125" w:name="_Toc16552"/>
      <w:bookmarkStart w:id="126" w:name="_Toc6230"/>
    </w:p>
    <w:p>
      <w:pPr>
        <w:pStyle w:val="3"/>
        <w:jc w:val="both"/>
        <w:rPr>
          <w:rFonts w:hint="eastAsia"/>
          <w:color w:val="auto"/>
          <w:highlight w:val="none"/>
        </w:rPr>
      </w:pPr>
    </w:p>
    <w:p>
      <w:pPr>
        <w:pStyle w:val="3"/>
        <w:rPr>
          <w:color w:val="auto"/>
          <w:highlight w:val="none"/>
        </w:rPr>
      </w:pPr>
      <w:r>
        <w:rPr>
          <w:color w:val="auto"/>
          <w:highlight w:val="none"/>
        </w:rPr>
        <w:pict>
          <v:shape id="_x0000_s2059" o:spid="_x0000_s2059" o:spt="32" type="#_x0000_t32" style="position:absolute;left:0pt;margin-left:181.6pt;margin-top:40.7pt;height:0pt;width:75.5pt;z-index:251667456;mso-width-relative:page;mso-height-relative:page;" o:connectortype="straight" filled="f" coordsize="21600,21600">
            <v:path arrowok="t"/>
            <v:fill on="f" focussize="0,0"/>
            <v:stroke/>
            <v:imagedata o:title=""/>
            <o:lock v:ext="edit"/>
          </v:shape>
        </w:pict>
      </w:r>
      <w:r>
        <w:rPr>
          <w:color w:val="auto"/>
          <w:highlight w:val="none"/>
        </w:rPr>
        <w:pict>
          <v:shape id="_x0000_s2058" o:spid="_x0000_s2058" o:spt="32" type="#_x0000_t32" style="position:absolute;left:0pt;margin-left:183.1pt;margin-top:3.3pt;height:0pt;width:75.5pt;z-index:251666432;mso-width-relative:page;mso-height-relative:page;" o:connectortype="straight" filled="f" coordsize="21600,21600">
            <v:path arrowok="t"/>
            <v:fill on="f" focussize="0,0"/>
            <v:stroke/>
            <v:imagedata o:title=""/>
            <o:lock v:ext="edit"/>
          </v:shape>
        </w:pict>
      </w:r>
      <w:r>
        <w:rPr>
          <w:rFonts w:hint="eastAsia"/>
          <w:color w:val="auto"/>
          <w:highlight w:val="none"/>
        </w:rPr>
        <w:t>第七章</w:t>
      </w:r>
      <w:bookmarkEnd w:id="116"/>
      <w:bookmarkEnd w:id="117"/>
      <w:bookmarkEnd w:id="118"/>
      <w:bookmarkEnd w:id="119"/>
      <w:bookmarkEnd w:id="120"/>
      <w:bookmarkEnd w:id="121"/>
      <w:bookmarkEnd w:id="122"/>
      <w:bookmarkEnd w:id="123"/>
      <w:bookmarkEnd w:id="124"/>
      <w:bookmarkEnd w:id="125"/>
      <w:bookmarkEnd w:id="126"/>
    </w:p>
    <w:p>
      <w:pPr>
        <w:pStyle w:val="36"/>
        <w:rPr>
          <w:color w:val="auto"/>
          <w:highlight w:val="none"/>
        </w:rPr>
      </w:pPr>
    </w:p>
    <w:p>
      <w:pPr>
        <w:pStyle w:val="3"/>
        <w:rPr>
          <w:rFonts w:ascii="方正小标宋简体" w:eastAsia="方正小标宋简体"/>
          <w:color w:val="auto"/>
          <w:sz w:val="44"/>
          <w:szCs w:val="44"/>
          <w:highlight w:val="none"/>
        </w:rPr>
      </w:pPr>
      <w:bookmarkStart w:id="127" w:name="_Toc24490"/>
      <w:bookmarkStart w:id="128" w:name="_Toc30157"/>
      <w:bookmarkStart w:id="129" w:name="_Toc10840"/>
      <w:bookmarkStart w:id="130" w:name="_Toc12610"/>
      <w:bookmarkStart w:id="131" w:name="_Toc88209951"/>
      <w:bookmarkStart w:id="132" w:name="_Toc17119"/>
      <w:bookmarkStart w:id="133" w:name="_Toc87616388"/>
      <w:bookmarkStart w:id="134" w:name="_Toc22764"/>
      <w:bookmarkStart w:id="135" w:name="_Toc5342"/>
      <w:bookmarkStart w:id="136" w:name="_Toc31564"/>
      <w:bookmarkStart w:id="137" w:name="_Toc21675"/>
      <w:bookmarkStart w:id="138" w:name="_Toc24815"/>
      <w:bookmarkStart w:id="139" w:name="_Toc12769"/>
      <w:r>
        <w:rPr>
          <w:rFonts w:hint="eastAsia"/>
          <w:color w:val="auto"/>
          <w:highlight w:val="none"/>
        </w:rPr>
        <w:t>响应文件</w:t>
      </w:r>
      <w:r>
        <w:rPr>
          <w:rFonts w:hint="eastAsia"/>
          <w:color w:val="auto"/>
          <w:highlight w:val="none"/>
          <w:lang w:val="en-US" w:eastAsia="zh-CN"/>
        </w:rPr>
        <w:t>格式要求</w:t>
      </w:r>
      <w:bookmarkEnd w:id="127"/>
      <w:bookmarkEnd w:id="128"/>
      <w:bookmarkEnd w:id="129"/>
      <w:bookmarkEnd w:id="130"/>
      <w:bookmarkEnd w:id="131"/>
      <w:bookmarkEnd w:id="132"/>
      <w:bookmarkEnd w:id="133"/>
      <w:bookmarkEnd w:id="134"/>
      <w:bookmarkEnd w:id="135"/>
      <w:bookmarkEnd w:id="136"/>
      <w:bookmarkEnd w:id="137"/>
      <w:bookmarkEnd w:id="138"/>
      <w:bookmarkEnd w:id="13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pStyle w:val="27"/>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pStyle w:val="21"/>
        <w:ind w:left="0" w:leftChars="0" w:firstLine="0" w:firstLineChars="0"/>
        <w:rPr>
          <w:rFonts w:hint="eastAsia" w:ascii="方正小标宋简体" w:eastAsia="方正小标宋简体"/>
          <w:color w:val="auto"/>
          <w:sz w:val="48"/>
          <w:szCs w:val="48"/>
          <w:highlight w:val="none"/>
        </w:rPr>
      </w:pPr>
    </w:p>
    <w:p>
      <w:pPr>
        <w:pStyle w:val="21"/>
        <w:ind w:left="0" w:leftChars="0" w:firstLine="0" w:firstLineChars="0"/>
        <w:rPr>
          <w:rFonts w:hint="eastAsia" w:ascii="方正小标宋简体" w:eastAsia="方正小标宋简体"/>
          <w:color w:val="auto"/>
          <w:sz w:val="48"/>
          <w:szCs w:val="48"/>
          <w:highlight w:val="none"/>
        </w:rPr>
      </w:pPr>
    </w:p>
    <w:p>
      <w:pPr>
        <w:pStyle w:val="21"/>
        <w:ind w:left="0" w:leftChars="0" w:firstLine="0" w:firstLineChars="0"/>
        <w:rPr>
          <w:rFonts w:hint="eastAsia" w:ascii="方正小标宋简体" w:eastAsia="方正小标宋简体"/>
          <w:color w:val="auto"/>
          <w:sz w:val="48"/>
          <w:szCs w:val="48"/>
          <w:highlight w:val="none"/>
        </w:rPr>
      </w:pPr>
    </w:p>
    <w:p>
      <w:pPr>
        <w:pStyle w:val="21"/>
        <w:ind w:left="0" w:leftChars="0" w:firstLine="0" w:firstLineChars="0"/>
        <w:rPr>
          <w:rFonts w:hint="eastAsia" w:ascii="方正小标宋简体" w:eastAsia="方正小标宋简体"/>
          <w:color w:val="auto"/>
          <w:sz w:val="48"/>
          <w:szCs w:val="48"/>
          <w:highlight w:val="none"/>
        </w:rPr>
      </w:pPr>
    </w:p>
    <w:p>
      <w:pPr>
        <w:pStyle w:val="21"/>
        <w:ind w:left="0" w:leftChars="0" w:firstLine="0" w:firstLineChars="0"/>
        <w:rPr>
          <w:rFonts w:hint="eastAsia" w:ascii="方正小标宋简体" w:eastAsia="方正小标宋简体"/>
          <w:color w:val="auto"/>
          <w:sz w:val="48"/>
          <w:szCs w:val="48"/>
          <w:highlight w:val="none"/>
        </w:rPr>
      </w:pPr>
    </w:p>
    <w:p>
      <w:pPr>
        <w:pStyle w:val="21"/>
        <w:ind w:left="0" w:leftChars="0" w:firstLine="0" w:firstLineChars="0"/>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pStyle w:val="2"/>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40" w:name="_Toc88209952"/>
      <w:bookmarkStart w:id="141" w:name="_Toc87616389"/>
      <w:r>
        <w:rPr>
          <w:rFonts w:hint="eastAsia" w:ascii="仿宋_GB2312" w:eastAsia="仿宋_GB2312"/>
          <w:color w:val="auto"/>
          <w:sz w:val="28"/>
          <w:szCs w:val="28"/>
          <w:highlight w:val="none"/>
        </w:rPr>
        <w:t>1.响应函</w:t>
      </w:r>
      <w:bookmarkEnd w:id="140"/>
      <w:bookmarkEnd w:id="141"/>
    </w:p>
    <w:p>
      <w:pPr>
        <w:spacing w:line="600" w:lineRule="exact"/>
        <w:rPr>
          <w:rFonts w:hint="eastAsia" w:ascii="仿宋_GB2312" w:eastAsia="仿宋_GB2312"/>
          <w:color w:val="auto"/>
          <w:sz w:val="28"/>
          <w:szCs w:val="28"/>
          <w:highlight w:val="none"/>
        </w:rPr>
      </w:pPr>
      <w:bookmarkStart w:id="142" w:name="_Toc87616390"/>
      <w:bookmarkStart w:id="143" w:name="_Toc88209953"/>
      <w:r>
        <w:rPr>
          <w:rFonts w:hint="eastAsia" w:ascii="仿宋_GB2312" w:eastAsia="仿宋_GB2312"/>
          <w:color w:val="auto"/>
          <w:sz w:val="28"/>
          <w:szCs w:val="28"/>
          <w:highlight w:val="none"/>
        </w:rPr>
        <w:t>2.法定代表人证明或授权委托书</w:t>
      </w:r>
      <w:bookmarkEnd w:id="142"/>
      <w:bookmarkEnd w:id="143"/>
      <w:bookmarkStart w:id="144" w:name="_Toc88209956"/>
      <w:bookmarkStart w:id="14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lang w:val="en-US" w:eastAsia="zh-CN"/>
        </w:rPr>
        <w:br w:type="textWrapping"/>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其他资料</w:t>
      </w:r>
      <w:bookmarkEnd w:id="144"/>
      <w:bookmarkEnd w:id="14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46" w:name="_Toc6313"/>
      <w:bookmarkStart w:id="147" w:name="_Toc12665"/>
      <w:bookmarkStart w:id="148" w:name="_Toc28619645"/>
      <w:bookmarkStart w:id="149" w:name="_Toc87616394"/>
      <w:bookmarkStart w:id="150" w:name="_Toc88209957"/>
      <w:r>
        <w:rPr>
          <w:rFonts w:hint="eastAsia" w:asciiTheme="minorEastAsia" w:hAnsiTheme="minorEastAsia" w:eastAsiaTheme="minorEastAsia"/>
          <w:color w:val="auto"/>
          <w:sz w:val="28"/>
          <w:szCs w:val="28"/>
          <w:highlight w:val="none"/>
        </w:rPr>
        <w:t>1.响应函</w:t>
      </w:r>
      <w:bookmarkEnd w:id="146"/>
      <w:bookmarkEnd w:id="147"/>
      <w:bookmarkEnd w:id="148"/>
      <w:bookmarkEnd w:id="149"/>
      <w:bookmarkEnd w:id="150"/>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left="559" w:leftChars="266" w:firstLine="0" w:firstLineChars="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承诺函</w:t>
      </w:r>
      <w:r>
        <w:rPr>
          <w:rFonts w:hint="eastAsia" w:ascii="仿宋_GB2312" w:hAnsi="黑体" w:eastAsia="仿宋_GB2312"/>
          <w:color w:val="auto"/>
          <w:sz w:val="28"/>
          <w:szCs w:val="28"/>
          <w:highlight w:val="none"/>
          <w:lang w:val="en-US" w:eastAsia="zh-CN"/>
        </w:rPr>
        <w:br w:type="textWrapping"/>
      </w:r>
      <w:r>
        <w:rPr>
          <w:rFonts w:hint="eastAsia" w:ascii="仿宋_GB2312" w:hAnsi="黑体" w:eastAsia="仿宋_GB2312"/>
          <w:color w:val="auto"/>
          <w:sz w:val="28"/>
          <w:szCs w:val="28"/>
          <w:highlight w:val="none"/>
          <w:lang w:val="en-US" w:eastAsia="zh-CN"/>
        </w:rPr>
        <w:t>（7）</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left="559" w:leftChars="266" w:firstLine="0" w:firstLineChars="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r>
        <w:rPr>
          <w:rFonts w:ascii="仿宋_GB2312" w:hAnsi="黑体" w:eastAsia="仿宋_GB2312"/>
          <w:color w:val="auto"/>
          <w:sz w:val="28"/>
          <w:szCs w:val="28"/>
          <w:highlight w:val="none"/>
        </w:rPr>
        <w:br w:type="textWrapping"/>
      </w:r>
      <w:r>
        <w:rPr>
          <w:rFonts w:ascii="仿宋_GB2312" w:hAnsi="黑体" w:eastAsia="仿宋_GB2312" w:cstheme="minorBidi"/>
          <w:color w:val="auto"/>
          <w:kern w:val="2"/>
          <w:sz w:val="28"/>
          <w:szCs w:val="28"/>
          <w:highlight w:val="none"/>
        </w:rPr>
        <w:t>（5）如放弃成交，我方依法</w:t>
      </w:r>
      <w:r>
        <w:rPr>
          <w:rFonts w:hint="eastAsia" w:ascii="仿宋_GB2312" w:hAnsi="黑体" w:eastAsia="仿宋_GB2312"/>
          <w:color w:val="auto"/>
          <w:sz w:val="28"/>
          <w:szCs w:val="28"/>
          <w:highlight w:val="none"/>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pStyle w:val="5"/>
        <w:rPr>
          <w:rFonts w:asciiTheme="minorEastAsia" w:hAnsiTheme="minorEastAsia" w:eastAsiaTheme="minorEastAsia"/>
          <w:color w:val="auto"/>
          <w:sz w:val="28"/>
          <w:szCs w:val="28"/>
          <w:highlight w:val="none"/>
        </w:rPr>
      </w:pPr>
      <w:bookmarkStart w:id="151" w:name="_Toc88209958"/>
      <w:bookmarkStart w:id="152" w:name="_Toc22527"/>
      <w:bookmarkStart w:id="153" w:name="_Toc29833"/>
      <w:bookmarkStart w:id="154" w:name="_Toc87616395"/>
      <w:r>
        <w:rPr>
          <w:rFonts w:hint="eastAsia" w:asciiTheme="minorEastAsia" w:hAnsiTheme="minorEastAsia" w:eastAsiaTheme="minorEastAsia"/>
          <w:color w:val="auto"/>
          <w:sz w:val="28"/>
          <w:szCs w:val="28"/>
          <w:highlight w:val="none"/>
        </w:rPr>
        <w:t>2.法定代表人证明或授权委托书</w:t>
      </w:r>
      <w:bookmarkEnd w:id="151"/>
      <w:bookmarkEnd w:id="152"/>
      <w:bookmarkEnd w:id="153"/>
      <w:bookmarkEnd w:id="15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w:pict>
          <v:shape id="文本框 2" o:spid="_x0000_s2060" o:spt="202" type="#_x0000_t202" style="position:absolute;left:0pt;margin-left:32pt;margin-top:14.8pt;height:101.4pt;width:297pt;mso-wrap-distance-bottom:0pt;mso-wrap-distance-left:9pt;mso-wrap-distance-right:9pt;mso-wrap-distance-top:0pt;z-index:251668480;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w:pict>
          <v:shape id="_x0000_s2061" o:spid="_x0000_s2061" o:spt="202" type="#_x0000_t202" style="position:absolute;left:0pt;margin-left:48.5pt;margin-top:15.75pt;height:101.4pt;width:297pt;mso-wrap-distance-bottom:0pt;mso-wrap-distance-left:9pt;mso-wrap-distance-right:9pt;mso-wrap-distance-top:0pt;z-index:251669504;mso-width-relative:page;mso-height-relative:page;" coordsize="21600,21600" o:gfxdata="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ZN1XdcAAAAJAQAADwAAAAAAAAABACAAAAAiAAAAZHJzL2Rvd25yZXYueG1sUEsBAhQA&#10;FAAAAAgAh07iQLb6D/osAgAASAQAAA4AAAAAAAAAAQAgAAAAJgEAAGRycy9lMm9Eb2MueG1sUEsF&#10;BgAAAAAGAAYAWQEAAMQFAAAAAA==&#10;">
            <v:path/>
            <v:fill focussize="0,0"/>
            <v:stroke joinstyle="miter"/>
            <v:imagedata o:title=""/>
            <o:lock v:ext="edit"/>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suppressLineNumbers w:val="0"/>
              <w:spacing w:before="0" w:beforeAutospacing="0" w:after="0" w:afterAutospacing="0" w:line="360" w:lineRule="auto"/>
              <w:ind w:left="0" w:right="0"/>
              <w:jc w:val="both"/>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eastAsia="宋体" w:cs="Times New Roman"/>
                <w:color w:val="auto"/>
                <w:sz w:val="24"/>
                <w:szCs w:val="24"/>
                <w:highlight w:val="none"/>
              </w:rPr>
            </w:pP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keepNext w:val="0"/>
              <w:keepLines w:val="0"/>
              <w:suppressLineNumbers w:val="0"/>
              <w:spacing w:before="0" w:beforeAutospacing="0" w:after="0" w:afterAutospacing="0" w:line="360" w:lineRule="auto"/>
              <w:ind w:left="0" w:right="0"/>
              <w:jc w:val="center"/>
              <w:rPr>
                <w:rFonts w:hint="eastAsia" w:ascii="宋体" w:hAnsi="宋体"/>
                <w:color w:val="auto"/>
                <w:sz w:val="24"/>
                <w:szCs w:val="24"/>
                <w:highlight w:val="none"/>
                <w:lang w:val="en-US" w:eastAsia="zh-CN"/>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p>
            <w:pPr>
              <w:keepNext w:val="0"/>
              <w:keepLines w:val="0"/>
              <w:suppressLineNumbers w:val="0"/>
              <w:spacing w:before="0" w:beforeAutospacing="0" w:after="0" w:afterAutospacing="0" w:line="360" w:lineRule="auto"/>
              <w:ind w:left="0" w:right="0"/>
              <w:jc w:val="left"/>
              <w:rPr>
                <w:rFonts w:hint="default"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55" w:name="_Toc19830"/>
      <w:bookmarkStart w:id="156" w:name="_Toc88209963"/>
      <w:bookmarkStart w:id="157" w:name="_Toc8086"/>
      <w:bookmarkStart w:id="15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55"/>
      <w:bookmarkEnd w:id="156"/>
      <w:bookmarkEnd w:id="157"/>
      <w:bookmarkEnd w:id="15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57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134" w:type="dxa"/>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suppressLineNumbers w:val="0"/>
              <w:adjustRightInd w:val="0"/>
              <w:snapToGrid w:val="0"/>
              <w:spacing w:before="0" w:beforeAutospacing="0" w:after="0" w:afterAutospacing="0" w:line="600" w:lineRule="exact"/>
              <w:ind w:left="0" w:right="0"/>
              <w:jc w:val="center"/>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443"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295"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5178" w:type="dxa"/>
            <w:gridSpan w:val="7"/>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restart"/>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1160" w:type="dxa"/>
            <w:gridSpan w:val="2"/>
            <w:vMerge w:val="continue"/>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c>
          <w:tcPr>
            <w:tcW w:w="2268" w:type="dxa"/>
            <w:gridSpan w:val="3"/>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keepNext w:val="0"/>
              <w:keepLines w:val="0"/>
              <w:suppressLineNumbers w:val="0"/>
              <w:adjustRightInd w:val="0"/>
              <w:snapToGrid w:val="0"/>
              <w:spacing w:before="0" w:beforeAutospacing="0" w:after="0" w:afterAutospacing="0" w:line="600" w:lineRule="exact"/>
              <w:ind w:left="0" w:right="0"/>
              <w:rPr>
                <w:rFonts w:hint="default"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5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5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rPr>
        <w:t>广州市净水有限公司沥滘分公司2023年便携式和固定式气体检测仪年度检修维保项目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w:t>
      </w:r>
      <w:r>
        <w:rPr>
          <w:rFonts w:hint="eastAsia" w:ascii="宋体" w:hAnsi="宋体" w:cs="宋体" w:eastAsiaTheme="minorEastAsia"/>
          <w:color w:val="auto"/>
          <w:kern w:val="2"/>
          <w:sz w:val="24"/>
          <w:szCs w:val="24"/>
          <w:highlight w:val="none"/>
          <w:lang w:val="en-US"/>
        </w:rPr>
        <w:t>未被</w:t>
      </w:r>
      <w:r>
        <w:rPr>
          <w:rFonts w:hint="eastAsia" w:ascii="宋体" w:hAnsi="宋体" w:cs="宋体" w:eastAsiaTheme="minorEastAsia"/>
          <w:color w:val="auto"/>
          <w:sz w:val="24"/>
          <w:szCs w:val="24"/>
          <w:highlight w:val="none"/>
          <w:lang w:val="en-US" w:eastAsia="zh-CN"/>
        </w:rPr>
        <w:t>列入</w:t>
      </w:r>
      <w:r>
        <w:rPr>
          <w:rFonts w:hint="eastAsia" w:ascii="宋体" w:hAnsi="宋体" w:cs="宋体" w:eastAsiaTheme="minorEastAsia"/>
          <w:color w:val="auto"/>
          <w:sz w:val="24"/>
          <w:szCs w:val="24"/>
          <w:highlight w:val="none"/>
        </w:rPr>
        <w:t>下列情形之一</w:t>
      </w:r>
      <w:r>
        <w:rPr>
          <w:rFonts w:hint="eastAsia" w:ascii="宋体" w:hAnsi="宋体" w:cs="宋体" w:eastAsiaTheme="minorEastAsia"/>
          <w:color w:val="auto"/>
          <w:sz w:val="24"/>
          <w:szCs w:val="24"/>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pStyle w:val="21"/>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5"/>
        <w:spacing w:after="120" w:line="360" w:lineRule="auto"/>
        <w:ind w:firstLine="562" w:firstLineChars="200"/>
        <w:rPr>
          <w:rFonts w:hint="eastAsia" w:asciiTheme="minorEastAsia" w:hAnsiTheme="minorEastAsia" w:eastAsiaTheme="minorEastAsia"/>
          <w:color w:val="auto"/>
          <w:sz w:val="28"/>
          <w:szCs w:val="28"/>
          <w:highlight w:val="none"/>
        </w:rPr>
      </w:pPr>
      <w:bookmarkStart w:id="160" w:name="_Toc32430"/>
      <w:bookmarkStart w:id="161"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60"/>
      <w:bookmarkEnd w:id="161"/>
    </w:p>
    <w:tbl>
      <w:tblPr>
        <w:tblStyle w:val="22"/>
        <w:tblW w:w="6234" w:type="pct"/>
        <w:tblInd w:w="-1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91"/>
        <w:gridCol w:w="3337"/>
        <w:gridCol w:w="2616"/>
        <w:gridCol w:w="771"/>
        <w:gridCol w:w="1155"/>
        <w:gridCol w:w="1378"/>
        <w:gridCol w:w="12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trPr>
        <w:tc>
          <w:tcPr>
            <w:tcW w:w="267" w:type="pct"/>
            <w:tcBorders>
              <w:top w:val="single" w:color="000000" w:sz="8" w:space="0"/>
              <w:left w:val="single" w:color="000000" w:sz="8"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507" w:type="pct"/>
            <w:tcBorders>
              <w:top w:val="single" w:color="000000" w:sz="8"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i w:val="0"/>
                <w:color w:val="000000"/>
                <w:kern w:val="0"/>
                <w:sz w:val="24"/>
                <w:szCs w:val="24"/>
                <w:u w:val="none"/>
                <w:lang w:val="en-US" w:eastAsia="zh-CN" w:bidi="ar"/>
              </w:rPr>
              <w:t>维保内容</w:t>
            </w:r>
          </w:p>
        </w:tc>
        <w:tc>
          <w:tcPr>
            <w:tcW w:w="1182"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规格型号</w:t>
            </w:r>
          </w:p>
        </w:tc>
        <w:tc>
          <w:tcPr>
            <w:tcW w:w="348" w:type="pct"/>
            <w:tcBorders>
              <w:top w:val="single" w:color="000000" w:sz="8"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521" w:type="pct"/>
            <w:tcBorders>
              <w:top w:val="single" w:color="000000" w:sz="8" w:space="0"/>
              <w:left w:val="single" w:color="000000" w:sz="4" w:space="0"/>
              <w:bottom w:val="nil"/>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数量</w:t>
            </w:r>
          </w:p>
        </w:tc>
        <w:tc>
          <w:tcPr>
            <w:tcW w:w="622" w:type="pct"/>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单价/元</w:t>
            </w:r>
          </w:p>
          <w:p>
            <w:pPr>
              <w:pStyle w:val="27"/>
              <w:keepNext w:val="0"/>
              <w:keepLines w:val="0"/>
              <w:suppressLineNumbers w:val="0"/>
              <w:spacing w:before="0" w:beforeAutospacing="0" w:after="0" w:afterAutospacing="0"/>
              <w:ind w:left="0" w:right="0"/>
              <w:jc w:val="center"/>
              <w:rPr>
                <w:rFonts w:hint="default"/>
                <w:lang w:val="en-US"/>
              </w:rPr>
            </w:pPr>
            <w:r>
              <w:rPr>
                <w:rFonts w:hint="eastAsia" w:hAnsi="宋体" w:eastAsia="宋体" w:cs="宋体"/>
                <w:b/>
                <w:i w:val="0"/>
                <w:color w:val="000000"/>
                <w:kern w:val="0"/>
                <w:sz w:val="24"/>
                <w:szCs w:val="24"/>
                <w:u w:val="none"/>
                <w:lang w:val="en-US" w:eastAsia="zh-CN" w:bidi="ar"/>
              </w:rPr>
              <w:t>（含税价）</w:t>
            </w:r>
          </w:p>
        </w:tc>
        <w:tc>
          <w:tcPr>
            <w:tcW w:w="549" w:type="pct"/>
            <w:tcBorders>
              <w:top w:val="single" w:color="000000" w:sz="8" w:space="0"/>
              <w:left w:val="single" w:color="000000" w:sz="4" w:space="0"/>
              <w:bottom w:val="nil"/>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总价/元</w:t>
            </w:r>
          </w:p>
          <w:p>
            <w:pPr>
              <w:pStyle w:val="27"/>
              <w:keepNext w:val="0"/>
              <w:keepLines w:val="0"/>
              <w:suppressLineNumbers w:val="0"/>
              <w:spacing w:before="0" w:beforeAutospacing="0" w:after="0" w:afterAutospacing="0"/>
              <w:ind w:left="0" w:right="0"/>
              <w:rPr>
                <w:rFonts w:hint="default"/>
                <w:lang w:val="en-US" w:eastAsia="zh-CN"/>
              </w:rPr>
            </w:pPr>
            <w:r>
              <w:rPr>
                <w:rFonts w:hint="eastAsia" w:hAnsi="宋体" w:eastAsia="宋体" w:cs="宋体"/>
                <w:b/>
                <w:i w:val="0"/>
                <w:color w:val="000000"/>
                <w:kern w:val="0"/>
                <w:sz w:val="24"/>
                <w:szCs w:val="24"/>
                <w:u w:val="none"/>
                <w:lang w:val="en-US" w:eastAsia="zh-CN" w:bidi="ar"/>
              </w:rPr>
              <w:t>（含税价）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7" w:hRule="atLeast"/>
        </w:trPr>
        <w:tc>
          <w:tcPr>
            <w:tcW w:w="267" w:type="pct"/>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1</w:t>
            </w:r>
          </w:p>
        </w:tc>
        <w:tc>
          <w:tcPr>
            <w:tcW w:w="1507" w:type="pc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检查标定</w:t>
            </w:r>
          </w:p>
        </w:tc>
        <w:tc>
          <w:tcPr>
            <w:tcW w:w="1182"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便携式气体检测仪</w:t>
            </w:r>
          </w:p>
        </w:tc>
        <w:tc>
          <w:tcPr>
            <w:tcW w:w="348" w:type="pc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34</w:t>
            </w:r>
          </w:p>
        </w:tc>
        <w:tc>
          <w:tcPr>
            <w:tcW w:w="62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p>
        </w:tc>
        <w:tc>
          <w:tcPr>
            <w:tcW w:w="549"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22" w:hRule="atLeast"/>
        </w:trPr>
        <w:tc>
          <w:tcPr>
            <w:tcW w:w="267" w:type="pct"/>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2</w:t>
            </w:r>
          </w:p>
        </w:tc>
        <w:tc>
          <w:tcPr>
            <w:tcW w:w="1507" w:type="pct"/>
            <w:tcBorders>
              <w:top w:val="single" w:color="000000" w:sz="8"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sz w:val="24"/>
                <w:szCs w:val="24"/>
                <w:u w:val="none"/>
                <w:lang w:val="en-US" w:eastAsia="zh-CN"/>
              </w:rPr>
            </w:pPr>
            <w:r>
              <w:rPr>
                <w:rFonts w:hint="eastAsia" w:ascii="宋体" w:hAnsi="宋体" w:eastAsia="宋体" w:cs="宋体"/>
                <w:b w:val="0"/>
                <w:bCs/>
                <w:i w:val="0"/>
                <w:color w:val="000000"/>
                <w:sz w:val="24"/>
                <w:szCs w:val="24"/>
                <w:u w:val="none"/>
                <w:lang w:val="en-US" w:eastAsia="zh-CN"/>
              </w:rPr>
              <w:t>检查标定</w:t>
            </w:r>
          </w:p>
        </w:tc>
        <w:tc>
          <w:tcPr>
            <w:tcW w:w="1182"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固定式气体检测仪</w:t>
            </w:r>
          </w:p>
        </w:tc>
        <w:tc>
          <w:tcPr>
            <w:tcW w:w="348" w:type="pct"/>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套</w:t>
            </w:r>
          </w:p>
        </w:tc>
        <w:tc>
          <w:tcPr>
            <w:tcW w:w="521" w:type="pct"/>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34</w:t>
            </w:r>
          </w:p>
        </w:tc>
        <w:tc>
          <w:tcPr>
            <w:tcW w:w="622"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p>
        </w:tc>
        <w:tc>
          <w:tcPr>
            <w:tcW w:w="549" w:type="pct"/>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auto"/>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5"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便携式气体检测仪主板</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4</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维修或更换损坏便携式气体检测仪传感器主板</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更换损坏、严重老化的便携式气体检测仪电池模组</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10</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6</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便携式气体检测仪采样泵</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5</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7</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维修</w:t>
            </w:r>
            <w:r>
              <w:rPr>
                <w:rFonts w:hint="eastAsia" w:ascii="宋体" w:hAnsi="宋体" w:eastAsia="宋体" w:cs="宋体"/>
                <w:b w:val="0"/>
                <w:bCs/>
                <w:i w:val="0"/>
                <w:color w:val="000000"/>
                <w:kern w:val="0"/>
                <w:sz w:val="24"/>
                <w:szCs w:val="24"/>
                <w:u w:val="none"/>
                <w:lang w:val="en-US" w:eastAsia="zh-CN" w:bidi="ar"/>
              </w:rPr>
              <w:t>损坏、严重老化的</w:t>
            </w:r>
            <w:r>
              <w:rPr>
                <w:rFonts w:hint="eastAsia" w:ascii="宋体" w:hAnsi="宋体" w:eastAsia="宋体" w:cs="宋体"/>
                <w:i w:val="0"/>
                <w:color w:val="000000"/>
                <w:kern w:val="0"/>
                <w:sz w:val="24"/>
                <w:szCs w:val="24"/>
                <w:u w:val="none"/>
                <w:lang w:val="en-US" w:eastAsia="zh-CN" w:bidi="ar"/>
              </w:rPr>
              <w:t>便携式气体检测仪采样泵</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8"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8</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i w:val="0"/>
                <w:color w:val="000000"/>
                <w:sz w:val="24"/>
                <w:szCs w:val="24"/>
                <w:u w:val="none"/>
                <w:lang w:val="en-US"/>
              </w:rPr>
            </w:pPr>
            <w:r>
              <w:rPr>
                <w:rFonts w:hint="eastAsia" w:ascii="宋体" w:hAnsi="宋体" w:eastAsia="宋体" w:cs="宋体"/>
                <w:b w:val="0"/>
                <w:bCs/>
                <w:i w:val="0"/>
                <w:color w:val="000000"/>
                <w:kern w:val="0"/>
                <w:sz w:val="24"/>
                <w:szCs w:val="24"/>
                <w:u w:val="none"/>
                <w:lang w:val="en-US" w:eastAsia="zh-CN" w:bidi="ar"/>
              </w:rPr>
              <w:t>更换损坏、严重老化的便携式气体检测仪一氧化碳传感器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FF0000"/>
                <w:sz w:val="24"/>
                <w:szCs w:val="24"/>
                <w:u w:val="none"/>
              </w:rPr>
            </w:pPr>
            <w:r>
              <w:rPr>
                <w:rFonts w:hint="eastAsia" w:ascii="宋体" w:hAnsi="宋体" w:eastAsia="宋体" w:cs="宋体"/>
                <w:b w:val="0"/>
                <w:bCs/>
                <w:i w:val="0"/>
                <w:color w:val="000000"/>
                <w:kern w:val="0"/>
                <w:sz w:val="24"/>
                <w:szCs w:val="24"/>
                <w:u w:val="none"/>
                <w:lang w:val="en-US" w:eastAsia="zh-CN" w:bidi="ar"/>
              </w:rPr>
              <w:t>M40、Minimax X4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73"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9</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更换损坏、严重老化的便携式气体检测仪硫化氢传感器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51"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更换损坏、严重老化的便携式气体检测仪氧气传感器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24</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2"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11</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更换损坏、严重老化的便携式气体检测仪可燃气传感器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M40、Minimax X4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5</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37"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12</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更换损坏、严重老化的便携式气体检测仪一氧化碳传感器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1"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13</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更换损坏、严重老化的便携式气体检测仪硫化氢传感器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59"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14</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更换损坏、严重老化的便携式气体检测仪氧气传感器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6</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40" w:hRule="atLeast"/>
        </w:trPr>
        <w:tc>
          <w:tcPr>
            <w:tcW w:w="267" w:type="pc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15</w:t>
            </w:r>
          </w:p>
        </w:tc>
        <w:tc>
          <w:tcPr>
            <w:tcW w:w="15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更换损坏、严重老化的便携式气体检测仪可燃气传感器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JD-BXJC-4、GD-3305</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auto" w:sz="4" w:space="0"/>
              <w:right w:val="single" w:color="000000" w:sz="4" w:space="0"/>
            </w:tcBorders>
            <w:shd w:val="clear" w:color="auto" w:fill="FFFFFF"/>
            <w:noWrap/>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w:t>
            </w:r>
          </w:p>
        </w:tc>
        <w:tc>
          <w:tcPr>
            <w:tcW w:w="622"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auto" w:sz="4" w:space="0"/>
              <w:right w:val="single" w:color="000000" w:sz="8" w:space="0"/>
            </w:tcBorders>
            <w:shd w:val="clear" w:color="auto" w:fill="FFFFFF"/>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7"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16</w:t>
            </w:r>
          </w:p>
        </w:tc>
        <w:tc>
          <w:tcPr>
            <w:tcW w:w="15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更换损坏、严重老化的固定式气体检测仪可燃气传感器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MIC-500S-CH4-A、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MOT200-CH4、GT-GST003M、AEC2336</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10</w:t>
            </w:r>
          </w:p>
        </w:tc>
        <w:tc>
          <w:tcPr>
            <w:tcW w:w="622"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7"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17</w:t>
            </w:r>
          </w:p>
        </w:tc>
        <w:tc>
          <w:tcPr>
            <w:tcW w:w="15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更换损坏、严重老化的固定式气体检测仪可燃气传感器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GTD-3000Tx-CH4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622"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4" w:hRule="atLeast"/>
        </w:trPr>
        <w:tc>
          <w:tcPr>
            <w:tcW w:w="267"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18</w:t>
            </w:r>
          </w:p>
        </w:tc>
        <w:tc>
          <w:tcPr>
            <w:tcW w:w="15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更换损坏、严重老化的固定式气体检测仪一氧化碳传感器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MIC-500S-CO-A、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MOT200-CO</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622"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7"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19</w:t>
            </w:r>
          </w:p>
        </w:tc>
        <w:tc>
          <w:tcPr>
            <w:tcW w:w="15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更换损坏、严重老化的固定式气体检测仪硫化氢传感器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MIC-500S-H2S-A、</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MOT200-H2S</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622"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7"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20</w:t>
            </w:r>
          </w:p>
        </w:tc>
        <w:tc>
          <w:tcPr>
            <w:tcW w:w="15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更换损坏、严重老化的固定式气体检测仪硫化氢传感器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GTD-3000Tx-H2S</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5</w:t>
            </w:r>
          </w:p>
        </w:tc>
        <w:tc>
          <w:tcPr>
            <w:tcW w:w="622"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7"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21</w:t>
            </w:r>
          </w:p>
        </w:tc>
        <w:tc>
          <w:tcPr>
            <w:tcW w:w="15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更换损坏、严重老化的固定式气体检测仪氨气传感器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MOT200-NH3</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622"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8" w:hRule="atLeast"/>
        </w:trPr>
        <w:tc>
          <w:tcPr>
            <w:tcW w:w="267"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22</w:t>
            </w:r>
          </w:p>
        </w:tc>
        <w:tc>
          <w:tcPr>
            <w:tcW w:w="15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更换损坏、严重老化的固定式气体检测仪氨气传感器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GTD-3000Tx-NH3</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w:t>
            </w:r>
          </w:p>
        </w:tc>
        <w:tc>
          <w:tcPr>
            <w:tcW w:w="622"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267" w:type="pct"/>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23</w:t>
            </w:r>
          </w:p>
        </w:tc>
        <w:tc>
          <w:tcPr>
            <w:tcW w:w="1507"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更换损坏、严重老化的固定式气体检测仪氧气传感器</w:t>
            </w:r>
          </w:p>
        </w:tc>
        <w:tc>
          <w:tcPr>
            <w:tcW w:w="11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GTD-3000Tx-O2</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台</w:t>
            </w:r>
          </w:p>
        </w:tc>
        <w:tc>
          <w:tcPr>
            <w:tcW w:w="52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24</w:t>
            </w:r>
          </w:p>
        </w:tc>
        <w:tc>
          <w:tcPr>
            <w:tcW w:w="622"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c>
          <w:tcPr>
            <w:tcW w:w="549" w:type="pct"/>
            <w:tcBorders>
              <w:top w:val="single" w:color="000000" w:sz="4" w:space="0"/>
              <w:left w:val="single" w:color="000000" w:sz="4" w:space="0"/>
              <w:bottom w:val="single" w:color="000000" w:sz="4"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5" w:hRule="atLeast"/>
        </w:trPr>
        <w:tc>
          <w:tcPr>
            <w:tcW w:w="5000" w:type="pct"/>
            <w:gridSpan w:val="7"/>
            <w:tcBorders>
              <w:top w:val="single" w:color="000000" w:sz="4" w:space="0"/>
              <w:left w:val="single" w:color="000000" w:sz="8" w:space="0"/>
              <w:bottom w:val="single" w:color="000000" w:sz="4"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val="0"/>
                <w:bCs/>
                <w:i w:val="0"/>
                <w:color w:val="000000"/>
                <w:kern w:val="0"/>
                <w:sz w:val="24"/>
                <w:szCs w:val="24"/>
                <w:u w:val="none"/>
                <w:lang w:val="en-US" w:eastAsia="zh-CN" w:bidi="ar"/>
              </w:rPr>
              <w:t>合计：   元（含税： %）</w:t>
            </w:r>
          </w:p>
        </w:tc>
      </w:tr>
    </w:tbl>
    <w:p>
      <w:pPr>
        <w:rPr>
          <w:rFonts w:hint="eastAsia"/>
          <w:lang w:eastAsia="zh-CN"/>
        </w:rPr>
      </w:pPr>
    </w:p>
    <w:p>
      <w:pPr>
        <w:adjustRightInd w:val="0"/>
        <w:snapToGrid w:val="0"/>
        <w:spacing w:line="600" w:lineRule="exact"/>
        <w:ind w:firstLine="570"/>
        <w:rPr>
          <w:rFonts w:ascii="仿宋_GB2312" w:eastAsia="仿宋_GB2312" w:hAnsiTheme="minorEastAsia"/>
          <w:color w:val="auto"/>
          <w:sz w:val="28"/>
          <w:szCs w:val="28"/>
          <w:highlight w:val="none"/>
        </w:rPr>
      </w:pPr>
    </w:p>
    <w:p>
      <w:pPr>
        <w:numPr>
          <w:ilvl w:val="-1"/>
          <w:numId w:val="0"/>
        </w:numPr>
        <w:adjustRightInd w:val="0"/>
        <w:snapToGrid w:val="0"/>
        <w:spacing w:line="600" w:lineRule="exact"/>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6.承诺函</w:t>
      </w:r>
    </w:p>
    <w:p>
      <w:pPr>
        <w:numPr>
          <w:ilvl w:val="-1"/>
          <w:numId w:val="0"/>
        </w:numPr>
        <w:adjustRightInd w:val="0"/>
        <w:snapToGrid w:val="0"/>
        <w:spacing w:line="600" w:lineRule="exact"/>
        <w:ind w:firstLine="560" w:firstLineChars="200"/>
        <w:rPr>
          <w:rFonts w:hint="default" w:ascii="仿宋_GB2312" w:eastAsia="仿宋_GB2312" w:hAnsiTheme="minorEastAsia"/>
          <w:color w:val="auto"/>
          <w:sz w:val="28"/>
          <w:szCs w:val="28"/>
          <w:highlight w:val="none"/>
          <w:lang w:val="en-US" w:eastAsia="zh-CN"/>
        </w:rPr>
      </w:pPr>
      <w:r>
        <w:rPr>
          <w:rFonts w:hint="eastAsia" w:ascii="仿宋_GB2312" w:eastAsia="仿宋_GB2312"/>
          <w:color w:val="auto"/>
          <w:sz w:val="28"/>
          <w:szCs w:val="28"/>
          <w:highlight w:val="none"/>
          <w:u w:val="none"/>
          <w:lang w:val="en-US" w:eastAsia="zh-CN"/>
        </w:rPr>
        <w:t>我公司承诺，</w:t>
      </w:r>
      <w:r>
        <w:rPr>
          <w:rFonts w:hint="eastAsia" w:ascii="仿宋_GB2312" w:eastAsia="仿宋_GB2312"/>
          <w:color w:val="auto"/>
          <w:sz w:val="28"/>
          <w:szCs w:val="28"/>
          <w:highlight w:val="none"/>
          <w:u w:val="none"/>
        </w:rPr>
        <w:t>中选后提供报价</w:t>
      </w:r>
      <w:r>
        <w:rPr>
          <w:rFonts w:hint="eastAsia" w:ascii="仿宋_GB2312" w:eastAsia="仿宋_GB2312"/>
          <w:color w:val="auto"/>
          <w:sz w:val="28"/>
          <w:szCs w:val="28"/>
          <w:highlight w:val="none"/>
          <w:u w:val="none"/>
          <w:lang w:eastAsia="zh-CN"/>
        </w:rPr>
        <w:t>的</w:t>
      </w:r>
      <w:r>
        <w:rPr>
          <w:rFonts w:hint="eastAsia" w:ascii="仿宋_GB2312" w:eastAsia="仿宋_GB2312"/>
          <w:color w:val="auto"/>
          <w:sz w:val="28"/>
          <w:szCs w:val="28"/>
          <w:highlight w:val="none"/>
          <w:u w:val="none"/>
          <w:lang w:val="en-US" w:eastAsia="zh-CN"/>
        </w:rPr>
        <w:t>维修备件均为原</w:t>
      </w:r>
      <w:r>
        <w:rPr>
          <w:rFonts w:hint="eastAsia" w:ascii="仿宋_GB2312" w:eastAsia="仿宋_GB2312"/>
          <w:color w:val="auto"/>
          <w:sz w:val="28"/>
          <w:szCs w:val="28"/>
          <w:highlight w:val="none"/>
          <w:u w:val="none"/>
        </w:rPr>
        <w:t>制造商原装全新产品</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符合使用要求。</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pStyle w:val="21"/>
        <w:ind w:firstLine="6720" w:firstLineChars="2800"/>
        <w:rPr>
          <w:rFonts w:hint="default"/>
          <w:color w:val="auto"/>
          <w:highlight w:val="none"/>
          <w:lang w:val="en-US"/>
        </w:rPr>
      </w:pPr>
      <w:r>
        <w:rPr>
          <w:rFonts w:hint="eastAsia" w:ascii="宋体" w:hAnsi="宋体" w:eastAsia="宋体" w:cs="宋体"/>
          <w:color w:val="auto"/>
          <w:kern w:val="2"/>
          <w:sz w:val="24"/>
          <w:szCs w:val="24"/>
          <w:highlight w:val="none"/>
          <w:lang w:val="en-GB"/>
        </w:rPr>
        <w:t>年  月  日</w:t>
      </w:r>
    </w:p>
    <w:p>
      <w:pPr>
        <w:pStyle w:val="5"/>
        <w:rPr>
          <w:rFonts w:hint="eastAsia" w:eastAsiaTheme="majorEastAsia"/>
          <w:color w:val="auto"/>
          <w:highlight w:val="none"/>
          <w:lang w:val="en-US" w:eastAsia="zh-CN"/>
        </w:rPr>
      </w:pPr>
      <w:bookmarkStart w:id="162" w:name="_Toc16386"/>
      <w:bookmarkStart w:id="163" w:name="_Toc6058"/>
      <w:bookmarkStart w:id="164" w:name="_Toc87616402"/>
      <w:bookmarkStart w:id="165" w:name="_Toc88209965"/>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62"/>
      <w:bookmarkEnd w:id="163"/>
      <w:bookmarkEnd w:id="164"/>
      <w:bookmarkEnd w:id="16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7" o:spid="_x0000_s3077"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6"/>
                </w:pPr>
              </w:p>
              <w:p/>
            </w:txbxContent>
          </v:textbox>
        </v:shape>
      </w:pic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w:pict>
        <v:shape id="_x0000_s3079" o:spid="_x0000_s3079"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23101E"/>
    <w:multiLevelType w:val="singleLevel"/>
    <w:tmpl w:val="B223101E"/>
    <w:lvl w:ilvl="0" w:tentative="0">
      <w:start w:val="2"/>
      <w:numFmt w:val="chineseCounting"/>
      <w:suff w:val="nothing"/>
      <w:lvlText w:val="%1、"/>
      <w:lvlJc w:val="left"/>
      <w:rPr>
        <w:rFonts w:hint="eastAsia"/>
      </w:rPr>
    </w:lvl>
  </w:abstractNum>
  <w:abstractNum w:abstractNumId="1">
    <w:nsid w:val="BB5B5486"/>
    <w:multiLevelType w:val="singleLevel"/>
    <w:tmpl w:val="BB5B5486"/>
    <w:lvl w:ilvl="0" w:tentative="0">
      <w:start w:val="9"/>
      <w:numFmt w:val="decimal"/>
      <w:suff w:val="nothing"/>
      <w:lvlText w:val="（%1）"/>
      <w:lvlJc w:val="left"/>
    </w:lvl>
  </w:abstractNum>
  <w:abstractNum w:abstractNumId="2">
    <w:nsid w:val="CC9CF724"/>
    <w:multiLevelType w:val="singleLevel"/>
    <w:tmpl w:val="CC9CF724"/>
    <w:lvl w:ilvl="0" w:tentative="0">
      <w:start w:val="1"/>
      <w:numFmt w:val="chineseCounting"/>
      <w:suff w:val="space"/>
      <w:lvlText w:val="第%1章"/>
      <w:lvlJc w:val="left"/>
      <w:rPr>
        <w:rFonts w:hint="eastAsia"/>
      </w:rPr>
    </w:lvl>
  </w:abstractNum>
  <w:abstractNum w:abstractNumId="3">
    <w:nsid w:val="EEF36D1F"/>
    <w:multiLevelType w:val="singleLevel"/>
    <w:tmpl w:val="EEF36D1F"/>
    <w:lvl w:ilvl="0" w:tentative="0">
      <w:start w:val="1"/>
      <w:numFmt w:val="chineseCounting"/>
      <w:suff w:val="nothing"/>
      <w:lvlText w:val="%1、"/>
      <w:lvlJc w:val="left"/>
      <w:rPr>
        <w:rFonts w:hint="eastAsia"/>
      </w:rPr>
    </w:lvl>
  </w:abstractNum>
  <w:abstractNum w:abstractNumId="4">
    <w:nsid w:val="F474C9A6"/>
    <w:multiLevelType w:val="singleLevel"/>
    <w:tmpl w:val="F474C9A6"/>
    <w:lvl w:ilvl="0" w:tentative="0">
      <w:start w:val="10"/>
      <w:numFmt w:val="chineseCounting"/>
      <w:suff w:val="space"/>
      <w:lvlText w:val="第%1条"/>
      <w:lvlJc w:val="left"/>
      <w:rPr>
        <w:rFonts w:hint="eastAsia"/>
      </w:rPr>
    </w:lvl>
  </w:abstractNum>
  <w:abstractNum w:abstractNumId="5">
    <w:nsid w:val="4734DCE6"/>
    <w:multiLevelType w:val="singleLevel"/>
    <w:tmpl w:val="4734DCE6"/>
    <w:lvl w:ilvl="0" w:tentative="0">
      <w:start w:val="1"/>
      <w:numFmt w:val="decimal"/>
      <w:lvlText w:val="%1."/>
      <w:lvlJc w:val="left"/>
      <w:pPr>
        <w:tabs>
          <w:tab w:val="left" w:pos="312"/>
        </w:tabs>
      </w:pPr>
    </w:lvl>
  </w:abstractNum>
  <w:abstractNum w:abstractNumId="6">
    <w:nsid w:val="705D32C3"/>
    <w:multiLevelType w:val="singleLevel"/>
    <w:tmpl w:val="705D32C3"/>
    <w:lvl w:ilvl="0" w:tentative="0">
      <w:start w:val="5"/>
      <w:numFmt w:val="decimal"/>
      <w:lvlText w:val="%1."/>
      <w:lvlJc w:val="left"/>
      <w:pPr>
        <w:tabs>
          <w:tab w:val="left" w:pos="312"/>
        </w:tabs>
      </w:pPr>
    </w:lvl>
  </w:abstractNum>
  <w:num w:numId="1">
    <w:abstractNumId w:val="2"/>
  </w:num>
  <w:num w:numId="2">
    <w:abstractNumId w:val="1"/>
  </w:num>
  <w:num w:numId="3">
    <w:abstractNumId w:val="6"/>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M1YTFlYjg5ODA5MTRhMTE4Mzk4YmNkODljZDRiYTAifQ=="/>
  </w:docVars>
  <w:rsids>
    <w:rsidRoot w:val="005D618A"/>
    <w:rsid w:val="001A64C4"/>
    <w:rsid w:val="003D60BA"/>
    <w:rsid w:val="00411689"/>
    <w:rsid w:val="005D618A"/>
    <w:rsid w:val="007E4CA5"/>
    <w:rsid w:val="00911ECD"/>
    <w:rsid w:val="00A042E0"/>
    <w:rsid w:val="00B26BB1"/>
    <w:rsid w:val="00B26E21"/>
    <w:rsid w:val="00B741D7"/>
    <w:rsid w:val="00CF075B"/>
    <w:rsid w:val="00D4533C"/>
    <w:rsid w:val="00F83B64"/>
    <w:rsid w:val="013E3461"/>
    <w:rsid w:val="01882388"/>
    <w:rsid w:val="01BB0F13"/>
    <w:rsid w:val="020411DA"/>
    <w:rsid w:val="02090C75"/>
    <w:rsid w:val="02A23A3C"/>
    <w:rsid w:val="02FB196F"/>
    <w:rsid w:val="035D130A"/>
    <w:rsid w:val="039110A9"/>
    <w:rsid w:val="03AC246A"/>
    <w:rsid w:val="03AE6061"/>
    <w:rsid w:val="03B23056"/>
    <w:rsid w:val="03DA023E"/>
    <w:rsid w:val="03DC3EBA"/>
    <w:rsid w:val="03F9794D"/>
    <w:rsid w:val="046A2461"/>
    <w:rsid w:val="051C2970"/>
    <w:rsid w:val="060C3611"/>
    <w:rsid w:val="0680104B"/>
    <w:rsid w:val="06A13208"/>
    <w:rsid w:val="06C64829"/>
    <w:rsid w:val="070E7B6E"/>
    <w:rsid w:val="071D62B7"/>
    <w:rsid w:val="076170CE"/>
    <w:rsid w:val="077D16D2"/>
    <w:rsid w:val="07E520B5"/>
    <w:rsid w:val="07E700BC"/>
    <w:rsid w:val="07ED22AE"/>
    <w:rsid w:val="082A69F3"/>
    <w:rsid w:val="08675FC8"/>
    <w:rsid w:val="08C25CBA"/>
    <w:rsid w:val="09216B15"/>
    <w:rsid w:val="09366C1C"/>
    <w:rsid w:val="09646104"/>
    <w:rsid w:val="09B713FD"/>
    <w:rsid w:val="09EF6ACC"/>
    <w:rsid w:val="0A315056"/>
    <w:rsid w:val="0A694621"/>
    <w:rsid w:val="0AA213B4"/>
    <w:rsid w:val="0AC35F11"/>
    <w:rsid w:val="0AF61C7E"/>
    <w:rsid w:val="0AFB45AD"/>
    <w:rsid w:val="0B351E9B"/>
    <w:rsid w:val="0B4C50D3"/>
    <w:rsid w:val="0B806B92"/>
    <w:rsid w:val="0B827E94"/>
    <w:rsid w:val="0B842F76"/>
    <w:rsid w:val="0BD070E1"/>
    <w:rsid w:val="0BD65B6B"/>
    <w:rsid w:val="0C2361E7"/>
    <w:rsid w:val="0C247926"/>
    <w:rsid w:val="0D794204"/>
    <w:rsid w:val="0DD34156"/>
    <w:rsid w:val="0E2125D1"/>
    <w:rsid w:val="0E214211"/>
    <w:rsid w:val="0E5F2769"/>
    <w:rsid w:val="0ED8332F"/>
    <w:rsid w:val="0F4D75A3"/>
    <w:rsid w:val="0F5B2DCA"/>
    <w:rsid w:val="0F985BA3"/>
    <w:rsid w:val="0FA20605"/>
    <w:rsid w:val="0FED051E"/>
    <w:rsid w:val="0FEE4C29"/>
    <w:rsid w:val="0FFD33F6"/>
    <w:rsid w:val="10031608"/>
    <w:rsid w:val="10046082"/>
    <w:rsid w:val="1022079D"/>
    <w:rsid w:val="104974DD"/>
    <w:rsid w:val="107B4D5D"/>
    <w:rsid w:val="111703D2"/>
    <w:rsid w:val="112B101A"/>
    <w:rsid w:val="119B53FC"/>
    <w:rsid w:val="1215733B"/>
    <w:rsid w:val="12246AAC"/>
    <w:rsid w:val="12424CDC"/>
    <w:rsid w:val="129A2738"/>
    <w:rsid w:val="12A8584F"/>
    <w:rsid w:val="12B56BF1"/>
    <w:rsid w:val="12BE7896"/>
    <w:rsid w:val="12CB1A89"/>
    <w:rsid w:val="131840FB"/>
    <w:rsid w:val="132A4818"/>
    <w:rsid w:val="13467417"/>
    <w:rsid w:val="136E76CF"/>
    <w:rsid w:val="13D44AAD"/>
    <w:rsid w:val="13E912F7"/>
    <w:rsid w:val="145F08C6"/>
    <w:rsid w:val="14E43F59"/>
    <w:rsid w:val="15776308"/>
    <w:rsid w:val="15BC6B3C"/>
    <w:rsid w:val="16360A7B"/>
    <w:rsid w:val="164D40B0"/>
    <w:rsid w:val="1694429A"/>
    <w:rsid w:val="17635326"/>
    <w:rsid w:val="17B803EA"/>
    <w:rsid w:val="17DF2075"/>
    <w:rsid w:val="1815096B"/>
    <w:rsid w:val="18236EFD"/>
    <w:rsid w:val="18377249"/>
    <w:rsid w:val="186A0AC0"/>
    <w:rsid w:val="189D5B1F"/>
    <w:rsid w:val="18A34CD0"/>
    <w:rsid w:val="19523708"/>
    <w:rsid w:val="19A53EA8"/>
    <w:rsid w:val="19B64DBC"/>
    <w:rsid w:val="19EC6A4A"/>
    <w:rsid w:val="1A373ACF"/>
    <w:rsid w:val="1A7B10BA"/>
    <w:rsid w:val="1A880252"/>
    <w:rsid w:val="1A895341"/>
    <w:rsid w:val="1B0D071F"/>
    <w:rsid w:val="1B4568CE"/>
    <w:rsid w:val="1B770817"/>
    <w:rsid w:val="1B9015B7"/>
    <w:rsid w:val="1B950DA6"/>
    <w:rsid w:val="1BDB6FF7"/>
    <w:rsid w:val="1BE0460E"/>
    <w:rsid w:val="1BF54245"/>
    <w:rsid w:val="1D0E6976"/>
    <w:rsid w:val="1D1B4289"/>
    <w:rsid w:val="1D5A79EE"/>
    <w:rsid w:val="1DCB6E27"/>
    <w:rsid w:val="1E0E2CD0"/>
    <w:rsid w:val="1E831280"/>
    <w:rsid w:val="1EBC4704"/>
    <w:rsid w:val="1F152820"/>
    <w:rsid w:val="1F172EB5"/>
    <w:rsid w:val="1F22070B"/>
    <w:rsid w:val="1F5D1735"/>
    <w:rsid w:val="1F8E5242"/>
    <w:rsid w:val="1F94592D"/>
    <w:rsid w:val="1FB860DE"/>
    <w:rsid w:val="203C5A02"/>
    <w:rsid w:val="206E5125"/>
    <w:rsid w:val="209D4C94"/>
    <w:rsid w:val="20B44FCD"/>
    <w:rsid w:val="20E84705"/>
    <w:rsid w:val="218400BA"/>
    <w:rsid w:val="21AB1E2F"/>
    <w:rsid w:val="21C86CE3"/>
    <w:rsid w:val="21D40498"/>
    <w:rsid w:val="22493963"/>
    <w:rsid w:val="22767047"/>
    <w:rsid w:val="228A52D3"/>
    <w:rsid w:val="22AC2691"/>
    <w:rsid w:val="23A05588"/>
    <w:rsid w:val="240476A1"/>
    <w:rsid w:val="24DA7C98"/>
    <w:rsid w:val="25431AEB"/>
    <w:rsid w:val="25B875EB"/>
    <w:rsid w:val="25BE3BFB"/>
    <w:rsid w:val="25BF43FD"/>
    <w:rsid w:val="25F86BCD"/>
    <w:rsid w:val="2605748B"/>
    <w:rsid w:val="26396D26"/>
    <w:rsid w:val="264544A6"/>
    <w:rsid w:val="264B7043"/>
    <w:rsid w:val="26667E05"/>
    <w:rsid w:val="267702FB"/>
    <w:rsid w:val="269E416A"/>
    <w:rsid w:val="26C11C6B"/>
    <w:rsid w:val="26FC3E21"/>
    <w:rsid w:val="272100D3"/>
    <w:rsid w:val="272C72FC"/>
    <w:rsid w:val="275131CB"/>
    <w:rsid w:val="278F6521"/>
    <w:rsid w:val="27A85D8C"/>
    <w:rsid w:val="27AC58BB"/>
    <w:rsid w:val="27EB149D"/>
    <w:rsid w:val="27FD3E52"/>
    <w:rsid w:val="28164F13"/>
    <w:rsid w:val="28980A8C"/>
    <w:rsid w:val="28E11370"/>
    <w:rsid w:val="29130664"/>
    <w:rsid w:val="29483009"/>
    <w:rsid w:val="294A756A"/>
    <w:rsid w:val="29781BF8"/>
    <w:rsid w:val="297939E2"/>
    <w:rsid w:val="2984563B"/>
    <w:rsid w:val="29A86021"/>
    <w:rsid w:val="29C33ED0"/>
    <w:rsid w:val="29D5322D"/>
    <w:rsid w:val="2A025DD9"/>
    <w:rsid w:val="2A2619CB"/>
    <w:rsid w:val="2A7317D3"/>
    <w:rsid w:val="2A7C2231"/>
    <w:rsid w:val="2A920E4F"/>
    <w:rsid w:val="2AB0164F"/>
    <w:rsid w:val="2ABB753D"/>
    <w:rsid w:val="2AFE6EC4"/>
    <w:rsid w:val="2B505D4E"/>
    <w:rsid w:val="2B7A49FA"/>
    <w:rsid w:val="2BDB094E"/>
    <w:rsid w:val="2C615D26"/>
    <w:rsid w:val="2CB679ED"/>
    <w:rsid w:val="2CE83C37"/>
    <w:rsid w:val="2D173C07"/>
    <w:rsid w:val="2D424A86"/>
    <w:rsid w:val="2DDA66B7"/>
    <w:rsid w:val="2E6F2D11"/>
    <w:rsid w:val="2E7B52DB"/>
    <w:rsid w:val="2EB86BFB"/>
    <w:rsid w:val="2ED60115"/>
    <w:rsid w:val="2F324CFE"/>
    <w:rsid w:val="2FBA09F1"/>
    <w:rsid w:val="2FEF2ACF"/>
    <w:rsid w:val="2FF93D20"/>
    <w:rsid w:val="30540211"/>
    <w:rsid w:val="30E45100"/>
    <w:rsid w:val="31112A0D"/>
    <w:rsid w:val="3118711F"/>
    <w:rsid w:val="311F4B20"/>
    <w:rsid w:val="312D7741"/>
    <w:rsid w:val="316F137F"/>
    <w:rsid w:val="31DF525F"/>
    <w:rsid w:val="31EC162B"/>
    <w:rsid w:val="32324C2E"/>
    <w:rsid w:val="327171DF"/>
    <w:rsid w:val="33105381"/>
    <w:rsid w:val="3391569E"/>
    <w:rsid w:val="341E3434"/>
    <w:rsid w:val="34232E92"/>
    <w:rsid w:val="344C47FF"/>
    <w:rsid w:val="34873421"/>
    <w:rsid w:val="34BB4442"/>
    <w:rsid w:val="35152CB9"/>
    <w:rsid w:val="35324DD8"/>
    <w:rsid w:val="3584136B"/>
    <w:rsid w:val="35FF5AA4"/>
    <w:rsid w:val="360B7EBA"/>
    <w:rsid w:val="362D4A3A"/>
    <w:rsid w:val="36416867"/>
    <w:rsid w:val="367D5DD4"/>
    <w:rsid w:val="369C32FD"/>
    <w:rsid w:val="37666E72"/>
    <w:rsid w:val="37DD511D"/>
    <w:rsid w:val="37E523BE"/>
    <w:rsid w:val="37EA2644"/>
    <w:rsid w:val="38081EA3"/>
    <w:rsid w:val="38167A04"/>
    <w:rsid w:val="381C3783"/>
    <w:rsid w:val="385555E4"/>
    <w:rsid w:val="39033334"/>
    <w:rsid w:val="394B167A"/>
    <w:rsid w:val="39DA2868"/>
    <w:rsid w:val="3A055F4B"/>
    <w:rsid w:val="3A322081"/>
    <w:rsid w:val="3A4E4336"/>
    <w:rsid w:val="3A6007FE"/>
    <w:rsid w:val="3A802587"/>
    <w:rsid w:val="3A852164"/>
    <w:rsid w:val="3AF93D6C"/>
    <w:rsid w:val="3AFD06C8"/>
    <w:rsid w:val="3B477B26"/>
    <w:rsid w:val="3B7C2CE4"/>
    <w:rsid w:val="3BAF716B"/>
    <w:rsid w:val="3C0B5355"/>
    <w:rsid w:val="3CD4176B"/>
    <w:rsid w:val="3D1F44D9"/>
    <w:rsid w:val="3D5C38CD"/>
    <w:rsid w:val="3E5070F1"/>
    <w:rsid w:val="3EC370CB"/>
    <w:rsid w:val="3F6C3589"/>
    <w:rsid w:val="3F850180"/>
    <w:rsid w:val="3F9004D6"/>
    <w:rsid w:val="3FEE7CFA"/>
    <w:rsid w:val="400E4D5E"/>
    <w:rsid w:val="40E1138C"/>
    <w:rsid w:val="413814BA"/>
    <w:rsid w:val="41870F04"/>
    <w:rsid w:val="41872511"/>
    <w:rsid w:val="419378A9"/>
    <w:rsid w:val="41C07F72"/>
    <w:rsid w:val="41DF1251"/>
    <w:rsid w:val="424236D9"/>
    <w:rsid w:val="42466655"/>
    <w:rsid w:val="428A5F2F"/>
    <w:rsid w:val="42C82F57"/>
    <w:rsid w:val="42D54EA0"/>
    <w:rsid w:val="435707E5"/>
    <w:rsid w:val="439927E1"/>
    <w:rsid w:val="43C76AF7"/>
    <w:rsid w:val="43E97E4A"/>
    <w:rsid w:val="440D65DA"/>
    <w:rsid w:val="446828F0"/>
    <w:rsid w:val="447C75C7"/>
    <w:rsid w:val="44810B04"/>
    <w:rsid w:val="44953778"/>
    <w:rsid w:val="45093E85"/>
    <w:rsid w:val="453C3DB3"/>
    <w:rsid w:val="457C2402"/>
    <w:rsid w:val="457D3613"/>
    <w:rsid w:val="45C13B4D"/>
    <w:rsid w:val="46054BCA"/>
    <w:rsid w:val="461E23EC"/>
    <w:rsid w:val="464C6AFC"/>
    <w:rsid w:val="468B0091"/>
    <w:rsid w:val="46912760"/>
    <w:rsid w:val="46A107C3"/>
    <w:rsid w:val="46B15CE2"/>
    <w:rsid w:val="46BE113D"/>
    <w:rsid w:val="46C2653A"/>
    <w:rsid w:val="46E44B13"/>
    <w:rsid w:val="46F11365"/>
    <w:rsid w:val="4703508A"/>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DA1F63"/>
    <w:rsid w:val="4AE23D89"/>
    <w:rsid w:val="4B2038D0"/>
    <w:rsid w:val="4B296E7D"/>
    <w:rsid w:val="4B700C5B"/>
    <w:rsid w:val="4B79394E"/>
    <w:rsid w:val="4B877F28"/>
    <w:rsid w:val="4BF54F11"/>
    <w:rsid w:val="4C061B94"/>
    <w:rsid w:val="4CCC7F50"/>
    <w:rsid w:val="4CD200BA"/>
    <w:rsid w:val="4D1B2345"/>
    <w:rsid w:val="4D2044E7"/>
    <w:rsid w:val="4D916BA6"/>
    <w:rsid w:val="4DC44169"/>
    <w:rsid w:val="4DE24E21"/>
    <w:rsid w:val="4DFD60A1"/>
    <w:rsid w:val="4E1B19A3"/>
    <w:rsid w:val="4E48787F"/>
    <w:rsid w:val="4E6011B1"/>
    <w:rsid w:val="4EF0709E"/>
    <w:rsid w:val="4F0469A4"/>
    <w:rsid w:val="4F58775A"/>
    <w:rsid w:val="4F6A5BA4"/>
    <w:rsid w:val="4F76329E"/>
    <w:rsid w:val="4F833548"/>
    <w:rsid w:val="4FAE5969"/>
    <w:rsid w:val="500E56F4"/>
    <w:rsid w:val="50540C73"/>
    <w:rsid w:val="50752AF8"/>
    <w:rsid w:val="507A184D"/>
    <w:rsid w:val="50BE6B8B"/>
    <w:rsid w:val="511323E5"/>
    <w:rsid w:val="513C6A7B"/>
    <w:rsid w:val="517300C9"/>
    <w:rsid w:val="51B35A01"/>
    <w:rsid w:val="523227C6"/>
    <w:rsid w:val="52EC6EC2"/>
    <w:rsid w:val="532D486F"/>
    <w:rsid w:val="5333545B"/>
    <w:rsid w:val="538D0E89"/>
    <w:rsid w:val="5450213C"/>
    <w:rsid w:val="546711F3"/>
    <w:rsid w:val="546C3825"/>
    <w:rsid w:val="547A40D9"/>
    <w:rsid w:val="54A379AB"/>
    <w:rsid w:val="54D24048"/>
    <w:rsid w:val="54D64CD5"/>
    <w:rsid w:val="54EC5F23"/>
    <w:rsid w:val="54FD5684"/>
    <w:rsid w:val="5532287C"/>
    <w:rsid w:val="55887D69"/>
    <w:rsid w:val="55EE5D11"/>
    <w:rsid w:val="561A0928"/>
    <w:rsid w:val="5632548A"/>
    <w:rsid w:val="5633348A"/>
    <w:rsid w:val="56423872"/>
    <w:rsid w:val="569E06BC"/>
    <w:rsid w:val="56B279F0"/>
    <w:rsid w:val="56D227CA"/>
    <w:rsid w:val="56D45EDD"/>
    <w:rsid w:val="56F20F86"/>
    <w:rsid w:val="57425528"/>
    <w:rsid w:val="579D710E"/>
    <w:rsid w:val="57A2340D"/>
    <w:rsid w:val="57F42442"/>
    <w:rsid w:val="581F22F6"/>
    <w:rsid w:val="5847408E"/>
    <w:rsid w:val="586E1E17"/>
    <w:rsid w:val="58862C35"/>
    <w:rsid w:val="58C14957"/>
    <w:rsid w:val="58CC23D2"/>
    <w:rsid w:val="58E66050"/>
    <w:rsid w:val="590E560F"/>
    <w:rsid w:val="590F414B"/>
    <w:rsid w:val="59710078"/>
    <w:rsid w:val="59FC7994"/>
    <w:rsid w:val="5A151405"/>
    <w:rsid w:val="5A3A490E"/>
    <w:rsid w:val="5AE83A50"/>
    <w:rsid w:val="5B353193"/>
    <w:rsid w:val="5B77660D"/>
    <w:rsid w:val="5BAB2917"/>
    <w:rsid w:val="5BFC33FA"/>
    <w:rsid w:val="5C3107A4"/>
    <w:rsid w:val="5C3B1B93"/>
    <w:rsid w:val="5C9220DF"/>
    <w:rsid w:val="5D4A15F3"/>
    <w:rsid w:val="5D69542A"/>
    <w:rsid w:val="5D783B72"/>
    <w:rsid w:val="5DD26FA2"/>
    <w:rsid w:val="5DFC012C"/>
    <w:rsid w:val="5E0314BA"/>
    <w:rsid w:val="5E0930EF"/>
    <w:rsid w:val="5E3D4D53"/>
    <w:rsid w:val="5E4717E6"/>
    <w:rsid w:val="5E4915C3"/>
    <w:rsid w:val="5E55774C"/>
    <w:rsid w:val="5E8A70FF"/>
    <w:rsid w:val="5EB2491E"/>
    <w:rsid w:val="5F5F4E16"/>
    <w:rsid w:val="60045F96"/>
    <w:rsid w:val="60094B71"/>
    <w:rsid w:val="60104DDC"/>
    <w:rsid w:val="605C0804"/>
    <w:rsid w:val="60913E6F"/>
    <w:rsid w:val="611650B6"/>
    <w:rsid w:val="61733C3E"/>
    <w:rsid w:val="6189617B"/>
    <w:rsid w:val="61B52BB6"/>
    <w:rsid w:val="61B749C2"/>
    <w:rsid w:val="62280D20"/>
    <w:rsid w:val="62373E29"/>
    <w:rsid w:val="629D1478"/>
    <w:rsid w:val="62B4786E"/>
    <w:rsid w:val="62CA2457"/>
    <w:rsid w:val="62E16D87"/>
    <w:rsid w:val="638240A1"/>
    <w:rsid w:val="63833423"/>
    <w:rsid w:val="63A13DD1"/>
    <w:rsid w:val="63A5257B"/>
    <w:rsid w:val="63BD3DCC"/>
    <w:rsid w:val="63C61741"/>
    <w:rsid w:val="63DF6526"/>
    <w:rsid w:val="63FA32E6"/>
    <w:rsid w:val="64187D51"/>
    <w:rsid w:val="64560967"/>
    <w:rsid w:val="654A0F34"/>
    <w:rsid w:val="656B1D10"/>
    <w:rsid w:val="65B841F9"/>
    <w:rsid w:val="65DC5C59"/>
    <w:rsid w:val="66022B28"/>
    <w:rsid w:val="66351E92"/>
    <w:rsid w:val="66450A84"/>
    <w:rsid w:val="664A38E2"/>
    <w:rsid w:val="66581E87"/>
    <w:rsid w:val="66766EBB"/>
    <w:rsid w:val="668F7D8F"/>
    <w:rsid w:val="66FA11D5"/>
    <w:rsid w:val="674302C7"/>
    <w:rsid w:val="67CB09D8"/>
    <w:rsid w:val="67EE3B0F"/>
    <w:rsid w:val="680A5986"/>
    <w:rsid w:val="680D5F4B"/>
    <w:rsid w:val="68113F51"/>
    <w:rsid w:val="68E94770"/>
    <w:rsid w:val="68EC1CEF"/>
    <w:rsid w:val="68F949C9"/>
    <w:rsid w:val="695A4290"/>
    <w:rsid w:val="696F3649"/>
    <w:rsid w:val="69926103"/>
    <w:rsid w:val="69A517AE"/>
    <w:rsid w:val="6A334932"/>
    <w:rsid w:val="6A3353FF"/>
    <w:rsid w:val="6A5D63E6"/>
    <w:rsid w:val="6A5F24D1"/>
    <w:rsid w:val="6A8D693C"/>
    <w:rsid w:val="6ACA70C4"/>
    <w:rsid w:val="6AE347EB"/>
    <w:rsid w:val="6B330365"/>
    <w:rsid w:val="6B434AF0"/>
    <w:rsid w:val="6B57675A"/>
    <w:rsid w:val="6B87098A"/>
    <w:rsid w:val="6B9B01DE"/>
    <w:rsid w:val="6BDD7B4D"/>
    <w:rsid w:val="6BF15048"/>
    <w:rsid w:val="6C596D7E"/>
    <w:rsid w:val="6DAA0CC8"/>
    <w:rsid w:val="6E8D078E"/>
    <w:rsid w:val="6E924710"/>
    <w:rsid w:val="6EBC0B3A"/>
    <w:rsid w:val="6EEE5294"/>
    <w:rsid w:val="6EF51C7D"/>
    <w:rsid w:val="6F226811"/>
    <w:rsid w:val="6F8363E5"/>
    <w:rsid w:val="6F841DCF"/>
    <w:rsid w:val="6FA80CCD"/>
    <w:rsid w:val="6FAC3CC5"/>
    <w:rsid w:val="6FB52D9C"/>
    <w:rsid w:val="6FC746F5"/>
    <w:rsid w:val="6FE33EF5"/>
    <w:rsid w:val="70317AC6"/>
    <w:rsid w:val="704B26F7"/>
    <w:rsid w:val="70697B21"/>
    <w:rsid w:val="706B28C1"/>
    <w:rsid w:val="70863262"/>
    <w:rsid w:val="70A76ED3"/>
    <w:rsid w:val="70FA674D"/>
    <w:rsid w:val="71860B17"/>
    <w:rsid w:val="723B27CC"/>
    <w:rsid w:val="72687227"/>
    <w:rsid w:val="72A03FD9"/>
    <w:rsid w:val="73076EFF"/>
    <w:rsid w:val="73406CFF"/>
    <w:rsid w:val="736F3422"/>
    <w:rsid w:val="7383028C"/>
    <w:rsid w:val="73A25E44"/>
    <w:rsid w:val="741F68CF"/>
    <w:rsid w:val="748C216A"/>
    <w:rsid w:val="75252DF3"/>
    <w:rsid w:val="75621536"/>
    <w:rsid w:val="75BF3154"/>
    <w:rsid w:val="764A07CF"/>
    <w:rsid w:val="764F6B3D"/>
    <w:rsid w:val="76685F07"/>
    <w:rsid w:val="7683554D"/>
    <w:rsid w:val="76CD2B7B"/>
    <w:rsid w:val="76D80645"/>
    <w:rsid w:val="76E03371"/>
    <w:rsid w:val="771211AA"/>
    <w:rsid w:val="77712196"/>
    <w:rsid w:val="77736C04"/>
    <w:rsid w:val="780E5898"/>
    <w:rsid w:val="782642CC"/>
    <w:rsid w:val="7894095E"/>
    <w:rsid w:val="78964555"/>
    <w:rsid w:val="78CF4963"/>
    <w:rsid w:val="78F8448B"/>
    <w:rsid w:val="79000679"/>
    <w:rsid w:val="7916258F"/>
    <w:rsid w:val="791C0FE5"/>
    <w:rsid w:val="79A416F0"/>
    <w:rsid w:val="79B03EB6"/>
    <w:rsid w:val="79B61437"/>
    <w:rsid w:val="7A291B21"/>
    <w:rsid w:val="7A2B3E1B"/>
    <w:rsid w:val="7AC3634B"/>
    <w:rsid w:val="7AE15A5C"/>
    <w:rsid w:val="7AF37579"/>
    <w:rsid w:val="7AF87F64"/>
    <w:rsid w:val="7B1C0C84"/>
    <w:rsid w:val="7B5A62DF"/>
    <w:rsid w:val="7B7A04A8"/>
    <w:rsid w:val="7C0C3F6D"/>
    <w:rsid w:val="7C22163C"/>
    <w:rsid w:val="7C457B4B"/>
    <w:rsid w:val="7C595075"/>
    <w:rsid w:val="7C6B07B2"/>
    <w:rsid w:val="7CA125A7"/>
    <w:rsid w:val="7D133243"/>
    <w:rsid w:val="7D945420"/>
    <w:rsid w:val="7D997857"/>
    <w:rsid w:val="7DFF1855"/>
    <w:rsid w:val="7E271B2E"/>
    <w:rsid w:val="7E367931"/>
    <w:rsid w:val="7E386FA0"/>
    <w:rsid w:val="7E394207"/>
    <w:rsid w:val="7E4007A2"/>
    <w:rsid w:val="7E791CAD"/>
    <w:rsid w:val="7EA50DFB"/>
    <w:rsid w:val="7EC86878"/>
    <w:rsid w:val="7F16390D"/>
    <w:rsid w:val="7F58327A"/>
    <w:rsid w:val="7F752917"/>
    <w:rsid w:val="7FE26D2A"/>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 id="V:Rule2" type="connector" idref="#_x0000_s2053"/>
        <o:r id="V:Rule3" type="connector" idref="#_x0000_s2054"/>
        <o:r id="V:Rule4" type="connector" idref="#_x0000_s2055"/>
        <o:r id="V:Rule5" type="connector" idref="#_x0000_s2056"/>
        <o:r id="V:Rule6" type="connector" idref="#_x0000_s2057"/>
        <o:r id="V:Rule7" type="connector" idref="#_x0000_s2058"/>
        <o:r id="V:Rule8" type="connector" idref="#_x0000_s2059"/>
        <o:r id="V:Rule9" type="connector" idref="#_x0000_s2064"/>
        <o:r id="V:Rule10" type="connector" idref="#_x0000_s2065"/>
        <o:r id="V:Rule11" type="connector" idref="#_x0000_s2066"/>
        <o:r id="V:Rule12" type="connector" idref="#_x0000_s2067"/>
        <o:r id="V:Rule13" type="connector" idref="#_x0000_s2072"/>
        <o:r id="V:Rule14" type="connector" idref="#_x0000_s2073"/>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0"/>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spacing w:after="120" w:line="480" w:lineRule="auto"/>
      <w:ind w:left="420" w:leftChars="200"/>
    </w:pPr>
  </w:style>
  <w:style w:type="paragraph" w:styleId="15">
    <w:name w:val="Balloon Text"/>
    <w:basedOn w:val="1"/>
    <w:link w:val="35"/>
    <w:semiHidden/>
    <w:unhideWhenUsed/>
    <w:qFormat/>
    <w:uiPriority w:val="99"/>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Hyperlink"/>
    <w:basedOn w:val="24"/>
    <w:unhideWhenUsed/>
    <w:qFormat/>
    <w:uiPriority w:val="99"/>
    <w:rPr>
      <w:color w:val="0000FF" w:themeColor="hyperlink"/>
      <w:u w:val="single"/>
    </w:rPr>
  </w:style>
  <w:style w:type="paragraph" w:customStyle="1" w:styleId="2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8">
    <w:name w:val="页眉 Char"/>
    <w:basedOn w:val="24"/>
    <w:link w:val="17"/>
    <w:semiHidden/>
    <w:qFormat/>
    <w:uiPriority w:val="99"/>
    <w:rPr>
      <w:sz w:val="18"/>
      <w:szCs w:val="18"/>
    </w:rPr>
  </w:style>
  <w:style w:type="character" w:customStyle="1" w:styleId="29">
    <w:name w:val="页脚 Char"/>
    <w:basedOn w:val="24"/>
    <w:link w:val="16"/>
    <w:qFormat/>
    <w:uiPriority w:val="99"/>
    <w:rPr>
      <w:sz w:val="18"/>
      <w:szCs w:val="18"/>
    </w:rPr>
  </w:style>
  <w:style w:type="character" w:customStyle="1" w:styleId="30">
    <w:name w:val="标题 1 Char"/>
    <w:basedOn w:val="24"/>
    <w:link w:val="3"/>
    <w:qFormat/>
    <w:uiPriority w:val="9"/>
    <w:rPr>
      <w:rFonts w:eastAsia="方正小标宋简体"/>
      <w:bCs/>
      <w:kern w:val="44"/>
      <w:sz w:val="44"/>
      <w:szCs w:val="44"/>
    </w:rPr>
  </w:style>
  <w:style w:type="character" w:customStyle="1" w:styleId="31">
    <w:name w:val="标题 2 Char"/>
    <w:basedOn w:val="24"/>
    <w:link w:val="4"/>
    <w:qFormat/>
    <w:uiPriority w:val="9"/>
    <w:rPr>
      <w:rFonts w:eastAsia="方正小标宋简体" w:asciiTheme="majorHAnsi" w:hAnsiTheme="majorHAnsi" w:cstheme="majorBidi"/>
      <w:bCs/>
      <w:sz w:val="36"/>
      <w:szCs w:val="32"/>
    </w:rPr>
  </w:style>
  <w:style w:type="character" w:customStyle="1" w:styleId="32">
    <w:name w:val="标题 3 Char"/>
    <w:basedOn w:val="24"/>
    <w:link w:val="5"/>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5">
    <w:name w:val="批注框文本 Char"/>
    <w:basedOn w:val="24"/>
    <w:link w:val="15"/>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2"/>
    <w:next w:val="12"/>
    <w:qFormat/>
    <w:uiPriority w:val="0"/>
    <w:pPr>
      <w:spacing w:after="373"/>
    </w:pPr>
    <w:rPr>
      <w:color w:val="auto"/>
    </w:rPr>
  </w:style>
  <w:style w:type="paragraph" w:customStyle="1" w:styleId="38">
    <w:name w:val="CM91"/>
    <w:basedOn w:val="12"/>
    <w:next w:val="12"/>
    <w:qFormat/>
    <w:uiPriority w:val="0"/>
    <w:pPr>
      <w:spacing w:after="160"/>
    </w:pPr>
    <w:rPr>
      <w:color w:val="auto"/>
    </w:rPr>
  </w:style>
  <w:style w:type="character" w:customStyle="1" w:styleId="39">
    <w:name w:val="正文文本 3 Char"/>
    <w:link w:val="6"/>
    <w:qFormat/>
    <w:uiPriority w:val="99"/>
    <w:rPr>
      <w:sz w:val="16"/>
      <w:szCs w:val="16"/>
    </w:rPr>
  </w:style>
  <w:style w:type="character" w:customStyle="1" w:styleId="40">
    <w:name w:val="正文文本 3 Char1"/>
    <w:basedOn w:val="24"/>
    <w:link w:val="6"/>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1"/>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paragraph" w:customStyle="1" w:styleId="47">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6" textRotate="1"/>
    <customShpInfo spid="_x0000_s3077" textRotate="1"/>
    <customShpInfo spid="_x0000_s3078" textRotate="1"/>
    <customShpInfo spid="_x0000_s3079" textRotate="1"/>
    <customShpInfo spid="_x0000_s2065"/>
    <customShpInfo spid="_x0000_s2064"/>
    <customShpInfo spid="_x0000_s2066"/>
    <customShpInfo spid="_x0000_s2067"/>
    <customShpInfo spid="_x0000_s2053"/>
    <customShpInfo spid="_x0000_s2051"/>
    <customShpInfo spid="_x0000_s2055"/>
    <customShpInfo spid="_x0000_s2054"/>
    <customShpInfo spid="_x0000_s2072"/>
    <customShpInfo spid="_x0000_s2073"/>
    <customShpInfo spid="_x0000_s2057"/>
    <customShpInfo spid="_x0000_s2056"/>
    <customShpInfo spid="_x0000_s2059"/>
    <customShpInfo spid="_x0000_s2058"/>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20910</Words>
  <Characters>22079</Characters>
  <Lines>1</Lines>
  <Paragraphs>1</Paragraphs>
  <TotalTime>2</TotalTime>
  <ScaleCrop>false</ScaleCrop>
  <LinksUpToDate>false</LinksUpToDate>
  <CharactersWithSpaces>23780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2023-05-31T01:31:00Z</cp:lastPrinted>
  <dcterms:modified xsi:type="dcterms:W3CDTF">2023-09-06T08:16:59Z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