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广州市净水有限公司大沙地</w:t>
      </w:r>
      <w:r>
        <w:rPr>
          <w:rFonts w:hint="eastAsia" w:ascii="方正小标宋简体" w:eastAsia="方正小标宋简体" w:hAnsiTheme="minorHAnsi" w:cstheme="minorBidi"/>
          <w:b w:val="0"/>
          <w:bCs w:val="0"/>
          <w:color w:val="auto"/>
          <w:sz w:val="52"/>
          <w:szCs w:val="52"/>
          <w:highlight w:val="none"/>
          <w:lang w:val="en-US" w:eastAsia="zh-CN"/>
        </w:rPr>
        <w:t>分公司202</w:t>
      </w:r>
      <w:r>
        <w:rPr>
          <w:rFonts w:hint="eastAsia" w:ascii="方正小标宋简体" w:eastAsia="方正小标宋简体" w:cstheme="minorBidi"/>
          <w:b w:val="0"/>
          <w:bCs w:val="0"/>
          <w:color w:val="auto"/>
          <w:sz w:val="52"/>
          <w:szCs w:val="52"/>
          <w:highlight w:val="none"/>
          <w:lang w:val="en-US" w:eastAsia="zh-CN"/>
        </w:rPr>
        <w:t>4</w:t>
      </w:r>
      <w:r>
        <w:rPr>
          <w:rFonts w:hint="eastAsia" w:ascii="方正小标宋简体" w:eastAsia="方正小标宋简体" w:hAnsiTheme="minorHAnsi" w:cstheme="minorBidi"/>
          <w:b w:val="0"/>
          <w:bCs w:val="0"/>
          <w:color w:val="auto"/>
          <w:sz w:val="52"/>
          <w:szCs w:val="52"/>
          <w:highlight w:val="none"/>
          <w:lang w:val="en-US" w:eastAsia="zh-CN"/>
        </w:rPr>
        <w:t>年ISO管理体系</w:t>
      </w:r>
      <w:r>
        <w:rPr>
          <w:rFonts w:hint="eastAsia" w:ascii="方正小标宋简体" w:eastAsia="方正小标宋简体" w:cstheme="minorBidi"/>
          <w:b w:val="0"/>
          <w:bCs w:val="0"/>
          <w:color w:val="auto"/>
          <w:sz w:val="52"/>
          <w:szCs w:val="52"/>
          <w:highlight w:val="none"/>
          <w:lang w:val="en-US" w:eastAsia="zh-CN"/>
        </w:rPr>
        <w:t xml:space="preserve">年度监督审核   </w:t>
      </w:r>
      <w:r>
        <w:rPr>
          <w:rFonts w:hint="eastAsia" w:ascii="方正小标宋简体" w:eastAsia="方正小标宋简体" w:hAnsiTheme="minorHAnsi" w:cstheme="minorBidi"/>
          <w:b w:val="0"/>
          <w:bCs w:val="0"/>
          <w:color w:val="auto"/>
          <w:sz w:val="52"/>
          <w:szCs w:val="52"/>
          <w:highlight w:val="none"/>
          <w:lang w:val="en-US" w:eastAsia="zh-CN"/>
        </w:rPr>
        <w:t>服务</w:t>
      </w:r>
      <w:r>
        <w:rPr>
          <w:rFonts w:hint="eastAsia" w:ascii="方正小标宋简体" w:eastAsia="方正小标宋简体"/>
          <w:color w:val="auto"/>
          <w:sz w:val="52"/>
          <w:szCs w:val="52"/>
          <w:highlight w:val="none"/>
          <w:lang w:val="en-US" w:eastAsia="zh-CN"/>
        </w:rPr>
        <w:t>项目</w:t>
      </w:r>
    </w:p>
    <w:p>
      <w:pPr>
        <w:pStyle w:val="2"/>
        <w:ind w:firstLine="0"/>
        <w:rPr>
          <w:rFonts w:hint="default"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2"/>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1322"/>
      <w:bookmarkStart w:id="5" w:name="_Toc1669"/>
      <w:bookmarkStart w:id="6" w:name="_Toc17801"/>
      <w:bookmarkStart w:id="7" w:name="_Toc7519"/>
      <w:bookmarkStart w:id="8" w:name="_Toc19609"/>
      <w:bookmarkStart w:id="9" w:name="_Toc4275"/>
      <w:bookmarkStart w:id="10" w:name="_Toc31938"/>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4"/>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w:t>
      </w:r>
      <w:r>
        <w:rPr>
          <w:rFonts w:hint="eastAsia" w:ascii="仿宋_GB2312" w:eastAsia="仿宋_GB2312"/>
          <w:color w:val="auto"/>
          <w:sz w:val="28"/>
          <w:szCs w:val="28"/>
          <w:highlight w:val="none"/>
          <w:u w:val="single"/>
          <w:lang w:val="en-US" w:eastAsia="zh-CN"/>
        </w:rPr>
        <w:t>大沙地</w:t>
      </w:r>
      <w:r>
        <w:rPr>
          <w:rFonts w:hint="eastAsia" w:ascii="仿宋_GB2312" w:eastAsia="仿宋_GB2312"/>
          <w:color w:val="auto"/>
          <w:sz w:val="28"/>
          <w:szCs w:val="28"/>
          <w:highlight w:val="none"/>
          <w:u w:val="single"/>
        </w:rPr>
        <w:t>分公司202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年ISO管理体系</w:t>
      </w:r>
      <w:r>
        <w:rPr>
          <w:rFonts w:hint="eastAsia" w:ascii="仿宋_GB2312" w:eastAsia="仿宋_GB2312"/>
          <w:color w:val="auto"/>
          <w:sz w:val="28"/>
          <w:szCs w:val="28"/>
          <w:highlight w:val="none"/>
          <w:u w:val="single"/>
          <w:lang w:val="en-US" w:eastAsia="zh-CN"/>
        </w:rPr>
        <w:t>年度监督审核</w:t>
      </w:r>
      <w:r>
        <w:rPr>
          <w:rFonts w:hint="eastAsia" w:ascii="仿宋_GB2312" w:eastAsia="仿宋_GB2312"/>
          <w:color w:val="auto"/>
          <w:sz w:val="28"/>
          <w:szCs w:val="28"/>
          <w:highlight w:val="none"/>
          <w:u w:val="single"/>
        </w:rPr>
        <w:t>服务项目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□货物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1.1采购项目名称：广州市净水有限公司</w:t>
      </w:r>
      <w:r>
        <w:rPr>
          <w:rFonts w:hint="eastAsia" w:ascii="仿宋_GB2312" w:eastAsia="仿宋_GB2312"/>
          <w:color w:val="auto"/>
          <w:sz w:val="28"/>
          <w:szCs w:val="28"/>
          <w:highlight w:val="none"/>
          <w:lang w:val="en-US" w:eastAsia="zh-CN"/>
        </w:rPr>
        <w:t>大沙地</w:t>
      </w:r>
      <w:r>
        <w:rPr>
          <w:rFonts w:hint="eastAsia" w:ascii="仿宋_GB2312" w:eastAsia="仿宋_GB2312"/>
          <w:color w:val="auto"/>
          <w:sz w:val="28"/>
          <w:szCs w:val="28"/>
          <w:highlight w:val="none"/>
        </w:rPr>
        <w:t>分公司202</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年ISO管理体</w:t>
      </w:r>
      <w:r>
        <w:rPr>
          <w:rFonts w:hint="eastAsia" w:ascii="仿宋_GB2312" w:eastAsia="仿宋_GB2312"/>
          <w:color w:val="auto"/>
          <w:sz w:val="28"/>
          <w:szCs w:val="28"/>
          <w:highlight w:val="none"/>
          <w:u w:val="none"/>
        </w:rPr>
        <w:t>系</w:t>
      </w:r>
      <w:r>
        <w:rPr>
          <w:rFonts w:hint="eastAsia" w:ascii="仿宋_GB2312" w:eastAsia="仿宋_GB2312"/>
          <w:color w:val="auto"/>
          <w:sz w:val="28"/>
          <w:szCs w:val="28"/>
          <w:highlight w:val="none"/>
          <w:u w:val="none"/>
          <w:lang w:val="en-US" w:eastAsia="zh-CN"/>
        </w:rPr>
        <w:t>年度监督审核</w:t>
      </w:r>
      <w:r>
        <w:rPr>
          <w:rFonts w:hint="eastAsia" w:ascii="仿宋_GB2312" w:eastAsia="仿宋_GB2312"/>
          <w:color w:val="auto"/>
          <w:sz w:val="28"/>
          <w:szCs w:val="28"/>
          <w:highlight w:val="none"/>
        </w:rPr>
        <w:t xml:space="preserve">服务项目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1.2项目编号：JGX-20230</w:t>
      </w:r>
      <w:r>
        <w:rPr>
          <w:rFonts w:hint="eastAsia" w:ascii="仿宋_GB2312" w:eastAsia="仿宋_GB2312"/>
          <w:color w:val="auto"/>
          <w:sz w:val="28"/>
          <w:szCs w:val="28"/>
          <w:highlight w:val="none"/>
          <w:lang w:val="en-US" w:eastAsia="zh-CN"/>
        </w:rPr>
        <w:t>906</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¥20</w:t>
      </w:r>
      <w:r>
        <w:rPr>
          <w:rFonts w:hint="eastAsia" w:ascii="仿宋" w:hAnsi="仿宋" w:eastAsia="仿宋" w:cs="仿宋"/>
          <w:sz w:val="28"/>
          <w:szCs w:val="28"/>
          <w:u w:val="single"/>
          <w:lang w:val="en-US" w:eastAsia="zh-CN"/>
        </w:rPr>
        <w:t>000</w:t>
      </w:r>
      <w:r>
        <w:rPr>
          <w:rFonts w:hint="eastAsia" w:ascii="仿宋" w:hAnsi="仿宋" w:eastAsia="仿宋" w:cs="仿宋"/>
          <w:sz w:val="28"/>
          <w:szCs w:val="28"/>
          <w:u w:val="single"/>
        </w:rPr>
        <w:t>元</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pStyle w:val="2"/>
        <w:rPr>
          <w:rFonts w:hint="default" w:ascii="仿宋" w:hAnsi="仿宋" w:eastAsia="仿宋" w:cs="仿宋"/>
          <w:color w:val="auto"/>
          <w:kern w:val="2"/>
          <w:sz w:val="28"/>
          <w:szCs w:val="28"/>
          <w:highlight w:val="none"/>
          <w:u w:val="single"/>
          <w:lang w:val="en-US" w:eastAsia="zh-CN" w:bidi="ar-SA"/>
        </w:rPr>
      </w:pPr>
      <w:r>
        <w:rPr>
          <w:rFonts w:hint="eastAsia" w:ascii="仿宋_GB2312" w:eastAsia="仿宋_GB2312"/>
          <w:color w:val="auto"/>
          <w:sz w:val="28"/>
          <w:szCs w:val="28"/>
          <w:highlight w:val="none"/>
        </w:rPr>
        <w:t>2.1采购内容和范围：</w:t>
      </w:r>
      <w:r>
        <w:rPr>
          <w:rFonts w:hint="eastAsia" w:ascii="仿宋" w:hAnsi="仿宋" w:eastAsia="仿宋" w:cs="仿宋"/>
          <w:color w:val="auto"/>
          <w:kern w:val="2"/>
          <w:sz w:val="28"/>
          <w:szCs w:val="28"/>
          <w:highlight w:val="none"/>
          <w:u w:val="single"/>
          <w:lang w:val="en-US" w:eastAsia="zh-CN" w:bidi="ar-SA"/>
        </w:rPr>
        <w:t>为了进一步加强</w:t>
      </w:r>
      <w:r>
        <w:rPr>
          <w:rFonts w:hint="eastAsia" w:ascii="仿宋_GB2312" w:hAnsi="仿宋_GB2312" w:eastAsia="仿宋_GB2312" w:cs="仿宋_GB2312"/>
          <w:color w:val="auto"/>
          <w:kern w:val="2"/>
          <w:sz w:val="28"/>
          <w:szCs w:val="28"/>
          <w:highlight w:val="none"/>
          <w:u w:val="single"/>
          <w:lang w:val="en-US" w:eastAsia="zh-CN" w:bidi="ar-SA"/>
        </w:rPr>
        <w:t>广州市净水有限公司大沙地</w:t>
      </w:r>
      <w:r>
        <w:rPr>
          <w:rFonts w:hint="eastAsia" w:ascii="仿宋" w:hAnsi="仿宋" w:eastAsia="仿宋" w:cs="仿宋"/>
          <w:color w:val="auto"/>
          <w:kern w:val="2"/>
          <w:sz w:val="28"/>
          <w:szCs w:val="28"/>
          <w:highlight w:val="none"/>
          <w:u w:val="single"/>
          <w:lang w:val="en-US" w:eastAsia="zh-CN" w:bidi="ar-SA"/>
        </w:rPr>
        <w:t>分公司管理水平，完善</w:t>
      </w:r>
      <w:r>
        <w:rPr>
          <w:rFonts w:hint="eastAsia" w:ascii="仿宋_GB2312" w:hAnsi="仿宋_GB2312" w:eastAsia="仿宋_GB2312" w:cs="仿宋_GB2312"/>
          <w:color w:val="auto"/>
          <w:kern w:val="2"/>
          <w:sz w:val="28"/>
          <w:szCs w:val="28"/>
          <w:highlight w:val="none"/>
          <w:u w:val="single"/>
          <w:lang w:val="en-US" w:eastAsia="zh-CN" w:bidi="ar-SA"/>
        </w:rPr>
        <w:t>大沙地</w:t>
      </w:r>
      <w:r>
        <w:rPr>
          <w:rFonts w:hint="eastAsia" w:ascii="仿宋" w:hAnsi="仿宋" w:eastAsia="仿宋" w:cs="仿宋"/>
          <w:color w:val="auto"/>
          <w:kern w:val="2"/>
          <w:sz w:val="28"/>
          <w:szCs w:val="28"/>
          <w:highlight w:val="none"/>
          <w:u w:val="single"/>
          <w:lang w:val="en-US" w:eastAsia="zh-CN" w:bidi="ar-SA"/>
        </w:rPr>
        <w:t>分公司管理制度,健全</w:t>
      </w:r>
      <w:r>
        <w:rPr>
          <w:rFonts w:hint="eastAsia" w:ascii="仿宋_GB2312" w:hAnsi="仿宋_GB2312" w:eastAsia="仿宋_GB2312" w:cs="仿宋_GB2312"/>
          <w:color w:val="auto"/>
          <w:kern w:val="2"/>
          <w:sz w:val="28"/>
          <w:szCs w:val="28"/>
          <w:highlight w:val="none"/>
          <w:u w:val="single"/>
          <w:lang w:val="en-US" w:eastAsia="zh-CN" w:bidi="ar-SA"/>
        </w:rPr>
        <w:t>大沙地</w:t>
      </w:r>
      <w:r>
        <w:rPr>
          <w:rFonts w:hint="eastAsia" w:ascii="仿宋" w:hAnsi="仿宋" w:eastAsia="仿宋" w:cs="仿宋"/>
          <w:color w:val="auto"/>
          <w:kern w:val="2"/>
          <w:sz w:val="28"/>
          <w:szCs w:val="28"/>
          <w:highlight w:val="none"/>
          <w:u w:val="single"/>
          <w:lang w:val="en-US" w:eastAsia="zh-CN" w:bidi="ar-SA"/>
        </w:rPr>
        <w:t>分公司管理体系,</w:t>
      </w:r>
      <w:r>
        <w:rPr>
          <w:rFonts w:hint="eastAsia" w:ascii="仿宋_GB2312" w:hAnsi="仿宋_GB2312" w:eastAsia="仿宋_GB2312" w:cs="仿宋_GB2312"/>
          <w:color w:val="auto"/>
          <w:kern w:val="2"/>
          <w:sz w:val="28"/>
          <w:szCs w:val="28"/>
          <w:highlight w:val="none"/>
          <w:u w:val="single"/>
          <w:lang w:val="en-US" w:eastAsia="zh-CN" w:bidi="ar-SA"/>
        </w:rPr>
        <w:t>大沙地</w:t>
      </w:r>
      <w:r>
        <w:rPr>
          <w:rFonts w:hint="eastAsia" w:ascii="仿宋" w:hAnsi="仿宋" w:eastAsia="仿宋" w:cs="仿宋"/>
          <w:color w:val="auto"/>
          <w:kern w:val="2"/>
          <w:sz w:val="28"/>
          <w:szCs w:val="28"/>
          <w:highlight w:val="none"/>
          <w:u w:val="single"/>
          <w:lang w:val="en-US" w:eastAsia="zh-CN" w:bidi="ar-SA"/>
        </w:rPr>
        <w:t>分公司计划进行2024年IS09001国际质量管理体系、ISO14001国际环境管理体系、IS045001国际职业健康安全管理体系</w:t>
      </w:r>
      <w:r>
        <w:rPr>
          <w:rFonts w:hint="eastAsia" w:ascii="仿宋_GB2312" w:eastAsia="仿宋_GB2312"/>
          <w:color w:val="auto"/>
          <w:sz w:val="28"/>
          <w:szCs w:val="28"/>
          <w:highlight w:val="none"/>
          <w:u w:val="single"/>
          <w:lang w:val="en-US" w:eastAsia="zh-CN"/>
        </w:rPr>
        <w:t>年度监督审核</w:t>
      </w:r>
      <w:r>
        <w:rPr>
          <w:rFonts w:hint="eastAsia" w:ascii="仿宋" w:hAnsi="仿宋" w:eastAsia="仿宋" w:cs="仿宋"/>
          <w:color w:val="auto"/>
          <w:kern w:val="2"/>
          <w:sz w:val="28"/>
          <w:szCs w:val="28"/>
          <w:highlight w:val="none"/>
          <w:u w:val="single"/>
          <w:lang w:val="en-US" w:eastAsia="zh-CN" w:bidi="ar-SA"/>
        </w:rPr>
        <w:t>服务工作。内容是按照国家认证认可的法律法规和认证方案对大沙地分公司的质量、环境、职业健康安全管理体系提供</w:t>
      </w:r>
      <w:r>
        <w:rPr>
          <w:rFonts w:hint="eastAsia" w:ascii="仿宋_GB2312" w:eastAsia="仿宋_GB2312"/>
          <w:color w:val="auto"/>
          <w:sz w:val="28"/>
          <w:szCs w:val="28"/>
          <w:highlight w:val="none"/>
          <w:u w:val="single"/>
          <w:lang w:val="en-US" w:eastAsia="zh-CN"/>
        </w:rPr>
        <w:t>年度监督审核</w:t>
      </w:r>
      <w:r>
        <w:rPr>
          <w:rFonts w:hint="eastAsia" w:ascii="仿宋" w:hAnsi="仿宋" w:eastAsia="仿宋" w:cs="仿宋"/>
          <w:color w:val="auto"/>
          <w:kern w:val="2"/>
          <w:sz w:val="28"/>
          <w:szCs w:val="28"/>
          <w:highlight w:val="none"/>
          <w:u w:val="single"/>
          <w:lang w:val="en-US" w:eastAsia="zh-CN" w:bidi="ar-SA"/>
        </w:rPr>
        <w:t>服务。</w:t>
      </w:r>
      <w:r>
        <w:rPr>
          <w:rFonts w:hint="eastAsia" w:ascii="仿宋_GB2312" w:eastAsia="仿宋_GB2312"/>
          <w:color w:val="auto"/>
          <w:sz w:val="28"/>
          <w:szCs w:val="28"/>
          <w:highlight w:val="none"/>
          <w:u w:val="single"/>
          <w:lang w:val="en-US" w:eastAsia="zh-CN"/>
        </w:rPr>
        <w:t>年度监督审核</w:t>
      </w:r>
      <w:r>
        <w:rPr>
          <w:rFonts w:hint="eastAsia" w:ascii="仿宋" w:hAnsi="仿宋" w:eastAsia="仿宋" w:cs="仿宋"/>
          <w:color w:val="auto"/>
          <w:kern w:val="2"/>
          <w:sz w:val="28"/>
          <w:szCs w:val="28"/>
          <w:highlight w:val="none"/>
          <w:u w:val="single"/>
        </w:rPr>
        <w:t>领域：质量管理体系GB/T19001-2016、lSO9001-2015；职业健康安全管理体系GB／T45001-2020、</w:t>
      </w:r>
      <w:r>
        <w:rPr>
          <w:rFonts w:hint="eastAsia" w:ascii="仿宋" w:hAnsi="仿宋" w:eastAsia="仿宋" w:cs="仿宋"/>
          <w:color w:val="auto"/>
          <w:kern w:val="2"/>
          <w:sz w:val="28"/>
          <w:szCs w:val="28"/>
          <w:highlight w:val="none"/>
          <w:u w:val="single"/>
          <w:lang w:val="en-US" w:eastAsia="zh-CN"/>
        </w:rPr>
        <w:t>I</w:t>
      </w:r>
      <w:r>
        <w:rPr>
          <w:rFonts w:hint="eastAsia" w:ascii="仿宋" w:hAnsi="仿宋" w:eastAsia="仿宋" w:cs="仿宋"/>
          <w:color w:val="auto"/>
          <w:kern w:val="2"/>
          <w:sz w:val="28"/>
          <w:szCs w:val="28"/>
          <w:highlight w:val="none"/>
          <w:u w:val="single"/>
        </w:rPr>
        <w:t>SO45001-2018；环境管理体系GB／T24001-2016、ISO14001-2015。</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val="en-US" w:eastAsia="zh-CN"/>
        </w:rPr>
        <w:t>自合同签订日期起至2024年1月30日</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lang w:val="en-US" w:eastAsia="zh-CN"/>
        </w:rPr>
        <w:t>广州市黄埔区港前路1661号广州市净水有限公司大沙地分公司。</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详见第五章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utoSpaceDE w:val="0"/>
        <w:autoSpaceDN w:val="0"/>
        <w:ind w:firstLine="560" w:firstLineChars="200"/>
        <w:rPr>
          <w:rFonts w:hint="eastAsia" w:ascii="仿宋_GB2312" w:hAnsi="仿宋_GB2312" w:eastAsia="仿宋_GB2312" w:cs="仿宋_GB2312"/>
          <w:color w:val="auto"/>
          <w:sz w:val="28"/>
          <w:szCs w:val="28"/>
          <w:highlight w:val="none"/>
          <w:u w:val="singl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仿宋_GB2312" w:hAnsi="仿宋_GB2312" w:eastAsia="仿宋_GB2312" w:cs="仿宋_GB2312"/>
          <w:color w:val="auto"/>
          <w:sz w:val="28"/>
          <w:szCs w:val="28"/>
          <w:u w:val="single"/>
        </w:rPr>
        <w:t>报价单位须是在中华人民共和国境内注册的法人或其他组织，</w:t>
      </w:r>
      <w:r>
        <w:rPr>
          <w:rFonts w:hint="eastAsia" w:ascii="仿宋_GB2312" w:hAnsi="仿宋_GB2312" w:eastAsia="仿宋_GB2312" w:cs="仿宋_GB2312"/>
          <w:color w:val="auto"/>
          <w:sz w:val="28"/>
          <w:szCs w:val="28"/>
          <w:u w:val="single"/>
          <w:lang w:val="en-US" w:eastAsia="zh-CN"/>
        </w:rPr>
        <w:t>具有独立法人资格，</w:t>
      </w:r>
      <w:r>
        <w:rPr>
          <w:rFonts w:hint="eastAsia" w:ascii="仿宋_GB2312" w:hAnsi="仿宋_GB2312" w:eastAsia="仿宋_GB2312" w:cs="仿宋_GB2312"/>
          <w:color w:val="auto"/>
          <w:sz w:val="28"/>
          <w:szCs w:val="28"/>
          <w:u w:val="single"/>
        </w:rPr>
        <w:t>持有工商行政管理部门核发的营业执照，且能开具增值税专用发票</w:t>
      </w:r>
      <w:r>
        <w:rPr>
          <w:rFonts w:hint="eastAsia" w:ascii="仿宋_GB2312" w:hAnsi="仿宋_GB2312" w:eastAsia="仿宋_GB2312" w:cs="仿宋_GB2312"/>
          <w:color w:val="auto"/>
          <w:sz w:val="28"/>
          <w:szCs w:val="28"/>
          <w:highlight w:val="none"/>
          <w:u w:val="single"/>
          <w:lang w:val="en-US" w:eastAsia="zh-CN"/>
        </w:rPr>
        <w:t>（提供一般纳税人证明或近一年2-3张已开据的增值税专用发票）</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highlight w:val="none"/>
          <w:u w:val="single"/>
          <w:lang w:val="en-US" w:eastAsia="zh-CN"/>
        </w:rPr>
        <w:t>报价单位营业执照的经营范围必须包括但不限于认证、认证培训、管理咨询等内容（提供扫描件）。</w:t>
      </w:r>
    </w:p>
    <w:p>
      <w:pPr>
        <w:autoSpaceDE w:val="0"/>
        <w:autoSpaceDN w:val="0"/>
        <w:ind w:firstLine="560" w:firstLineChars="200"/>
        <w:rPr>
          <w:rFonts w:hint="default" w:ascii="仿宋_GB2312" w:hAnsi="仿宋_GB2312" w:eastAsia="仿宋_GB2312" w:cs="仿宋_GB2312"/>
          <w:color w:val="auto"/>
          <w:sz w:val="28"/>
          <w:szCs w:val="28"/>
          <w:highlight w:val="none"/>
          <w:u w:val="singl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lang w:val="en-US" w:eastAsia="zh-CN"/>
        </w:rPr>
        <w:t>报价单位必须持有国家认证认可监督管理委员会颁发的《认证机构批准书》（提供扫描件）。</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2021</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认证管理体系服务（须涵盖本项目所要求的认证领域）</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 xml:space="preserve"> 2023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6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13 </w:t>
      </w:r>
      <w:bookmarkStart w:id="150" w:name="_GoBack"/>
      <w:bookmarkEnd w:id="150"/>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p>
    <w:p>
      <w:pPr>
        <w:pStyle w:val="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 xml:space="preserve"> 2023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15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00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 w:hAnsi="仿宋" w:eastAsia="仿宋" w:cs="仿宋"/>
          <w:sz w:val="28"/>
          <w:szCs w:val="28"/>
          <w:lang w:val="en-US" w:eastAsia="zh-CN"/>
        </w:rPr>
        <w:t>广州市</w:t>
      </w:r>
      <w:r>
        <w:rPr>
          <w:rFonts w:hint="eastAsia" w:ascii="仿宋_GB2312" w:eastAsia="仿宋_GB2312"/>
          <w:color w:val="auto"/>
          <w:sz w:val="28"/>
          <w:szCs w:val="28"/>
          <w:highlight w:val="none"/>
          <w:u w:val="none"/>
          <w:lang w:val="en-US" w:eastAsia="zh-CN"/>
        </w:rPr>
        <w:t>黄埔区港前路1661</w:t>
      </w:r>
      <w:r>
        <w:rPr>
          <w:rFonts w:hint="eastAsia" w:ascii="仿宋" w:hAnsi="仿宋" w:eastAsia="仿宋" w:cs="仿宋"/>
          <w:sz w:val="28"/>
          <w:szCs w:val="28"/>
          <w:lang w:val="en-US" w:eastAsia="zh-CN"/>
        </w:rPr>
        <w:t>号广州市净水有限公司大沙地分公司</w:t>
      </w:r>
      <w:r>
        <w:rPr>
          <w:rFonts w:hint="eastAsia" w:ascii="仿宋_GB2312" w:eastAsia="仿宋_GB2312"/>
          <w:color w:val="auto"/>
          <w:sz w:val="28"/>
          <w:szCs w:val="28"/>
          <w:highlight w:val="none"/>
        </w:rPr>
        <w:t>。</w:t>
      </w:r>
    </w:p>
    <w:p>
      <w:pPr>
        <w:pStyle w:val="2"/>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（注：授权委托人须通过“广州净水公司”微信公众号（提前）预约，填写访客预约信息。待被访部室审核员审批通过后，凭访客手机生成的“通行访客码”通行。</w:t>
      </w:r>
    </w:p>
    <w:p>
      <w:pPr>
        <w:pStyle w:val="2"/>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响应文件递交预约信息填写：</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（1）通过“广州净水公司”微信公众号或来访时候，扫码进行访客预约登记。</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（2）“组织”选择“大沙地分公司”，“部门”选择“生产部”。</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（3）“被访人员”写“薛礼培”，“手机号”写“13288633066”。</w:t>
      </w:r>
    </w:p>
    <w:p>
      <w:pPr>
        <w:pStyle w:val="2"/>
        <w:ind w:firstLine="560" w:firstLineChars="200"/>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（4）“详细描述”一定要写清楚找哪位同事，例如：找李XX，开会。    或：找黄XX，进行“某某某某项目询价”。</w:t>
      </w:r>
    </w:p>
    <w:p>
      <w:pPr>
        <w:pStyle w:val="2"/>
        <w:ind w:firstLine="560" w:firstLineChars="200"/>
        <w:rPr>
          <w:rFonts w:hint="eastAsia" w:ascii="仿宋" w:hAnsi="仿宋" w:eastAsia="仿宋" w:cs="仿宋"/>
          <w:color w:val="auto"/>
          <w:highlight w:val="none"/>
          <w:lang w:val="en-US" w:eastAsia="zh-CN"/>
        </w:rPr>
      </w:pPr>
      <w:r>
        <w:rPr>
          <w:rFonts w:hint="eastAsia" w:ascii="仿宋_GB2312" w:eastAsia="仿宋_GB2312"/>
          <w:color w:val="auto"/>
          <w:sz w:val="28"/>
          <w:szCs w:val="28"/>
          <w:highlight w:val="none"/>
          <w:lang w:val="en-US" w:eastAsia="zh-CN"/>
        </w:rPr>
        <w:t xml:space="preserve">如以快递形式递交响应文件，须在递交截止时间前送达，不参加见证报价开启程序的报价单位视其认可所有报价。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yellow"/>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5387" w:type="dxa"/>
          </w:tcPr>
          <w:p>
            <w:pPr>
              <w:adjustRightInd w:val="0"/>
              <w:snapToGrid w:val="0"/>
              <w:spacing w:line="600" w:lineRule="exact"/>
              <w:jc w:val="left"/>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广州市净水有限公司大沙地分公司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7" w:type="dxa"/>
          </w:tcPr>
          <w:p>
            <w:pPr>
              <w:adjustRightInd w:val="0"/>
              <w:snapToGrid w:val="0"/>
              <w:spacing w:line="600" w:lineRule="exact"/>
              <w:jc w:val="left"/>
              <w:rPr>
                <w:rFonts w:ascii="仿宋_GB2312" w:eastAsia="仿宋_GB2312"/>
                <w:color w:val="auto"/>
                <w:sz w:val="28"/>
                <w:szCs w:val="28"/>
                <w:highlight w:val="none"/>
                <w:u w:val="singl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none"/>
                <w:lang w:val="en-US" w:eastAsia="zh-CN"/>
              </w:rPr>
              <w:t>广州市黄埔区港前路1661号。</w:t>
            </w:r>
          </w:p>
          <w:p>
            <w:pPr>
              <w:adjustRightInd w:val="0"/>
              <w:snapToGrid w:val="0"/>
              <w:spacing w:line="600" w:lineRule="exact"/>
              <w:jc w:val="left"/>
              <w:rPr>
                <w:rFonts w:hint="default" w:ascii="仿宋_GB2312" w:eastAsia="仿宋_GB2312"/>
                <w:color w:val="auto"/>
                <w:sz w:val="28"/>
                <w:szCs w:val="2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7"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薛礼培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7"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13288633066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5387"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23749"/>
      <w:bookmarkStart w:id="15" w:name="_Toc32588"/>
      <w:bookmarkStart w:id="16" w:name="_Toc2331"/>
      <w:bookmarkStart w:id="17" w:name="_Toc9448"/>
      <w:bookmarkStart w:id="18" w:name="_Toc7340"/>
      <w:bookmarkStart w:id="19" w:name="_Toc16705"/>
      <w:bookmarkStart w:id="20" w:name="_Toc25603"/>
      <w:bookmarkStart w:id="21" w:name="_Toc2324"/>
      <w:bookmarkStart w:id="22" w:name="_Toc16557"/>
      <w:bookmarkStart w:id="23" w:name="_Toc19295"/>
    </w:p>
    <w:p>
      <w:pPr>
        <w:pStyle w:val="4"/>
        <w:rPr>
          <w:color w:val="auto"/>
          <w:highlight w:val="none"/>
        </w:rPr>
      </w:pPr>
      <w:r>
        <w:rPr>
          <w:color w:val="auto"/>
          <w:highlight w:val="none"/>
        </w:rP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highlight w:val="none"/>
        </w:rPr>
      </w:pPr>
    </w:p>
    <w:p>
      <w:pPr>
        <w:pStyle w:val="2"/>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rPr>
        <w:t>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4"/>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4"/>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4"/>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4"/>
        <w:rPr>
          <w:color w:val="auto"/>
          <w:highlight w:val="none"/>
        </w:rPr>
      </w:pPr>
    </w:p>
    <w:p>
      <w:pPr>
        <w:pStyle w:val="34"/>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4"/>
        <w:rPr>
          <w:color w:val="auto"/>
          <w:highlight w:val="none"/>
        </w:rPr>
      </w:pPr>
    </w:p>
    <w:p>
      <w:pPr>
        <w:pStyle w:val="5"/>
        <w:rPr>
          <w:color w:val="auto"/>
          <w:highlight w:val="none"/>
        </w:rPr>
      </w:pPr>
      <w:bookmarkStart w:id="28" w:name="_Toc87616371"/>
      <w:bookmarkStart w:id="29" w:name="_Toc7303"/>
      <w:bookmarkStart w:id="30" w:name="_Toc88209934"/>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hint="default" w:ascii="仿宋_GB2312" w:eastAsia="仿宋_GB2312"/>
                <w:color w:val="auto"/>
                <w:sz w:val="24"/>
                <w:szCs w:val="24"/>
                <w:highlight w:val="none"/>
                <w:u w:val="single"/>
                <w:lang w:val="en-US"/>
              </w:rPr>
            </w:pPr>
            <w:r>
              <w:rPr>
                <w:rFonts w:hint="eastAsia" w:ascii="仿宋_GB2312" w:eastAsia="仿宋_GB2312" w:hAnsiTheme="minorEastAsia"/>
                <w:color w:val="auto"/>
                <w:sz w:val="24"/>
                <w:szCs w:val="24"/>
                <w:highlight w:val="none"/>
                <w:u w:val="single"/>
                <w:lang w:val="en-US" w:eastAsia="zh-CN"/>
              </w:rPr>
              <w:t>广州市黄埔区港前路1661号广州市净水有限公司大沙地分公司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23581"/>
      <w:bookmarkStart w:id="35" w:name="_Toc19050"/>
      <w:bookmarkStart w:id="36" w:name="_Toc3156"/>
      <w:bookmarkStart w:id="37" w:name="_Toc14870"/>
      <w:bookmarkStart w:id="38" w:name="_Toc19759"/>
      <w:bookmarkStart w:id="39" w:name="_Toc20594"/>
      <w:bookmarkStart w:id="40" w:name="_Toc10930"/>
      <w:bookmarkStart w:id="41" w:name="_Toc4952"/>
      <w:bookmarkStart w:id="42" w:name="_Toc14552"/>
      <w:bookmarkStart w:id="43" w:name="_Toc7437"/>
      <w:bookmarkStart w:id="44" w:name="_Toc7118"/>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4"/>
        <w:rPr>
          <w:color w:val="auto"/>
          <w:highlight w:val="none"/>
        </w:rPr>
      </w:pPr>
    </w:p>
    <w:p>
      <w:pPr>
        <w:pStyle w:val="4"/>
        <w:rPr>
          <w:color w:val="auto"/>
          <w:highlight w:val="none"/>
        </w:rPr>
      </w:pPr>
      <w:bookmarkStart w:id="45" w:name="_Toc6308"/>
      <w:bookmarkStart w:id="46" w:name="_Toc22212"/>
      <w:bookmarkStart w:id="47" w:name="_Toc29484"/>
      <w:bookmarkStart w:id="48" w:name="_Toc21079"/>
      <w:bookmarkStart w:id="49" w:name="_Toc88209941"/>
      <w:bookmarkStart w:id="50" w:name="_Toc30530"/>
      <w:bookmarkStart w:id="51" w:name="_Toc13898"/>
      <w:bookmarkStart w:id="52" w:name="_Toc29345"/>
      <w:bookmarkStart w:id="53" w:name="_Toc12177"/>
      <w:bookmarkStart w:id="54" w:name="_Toc32607"/>
      <w:bookmarkStart w:id="55" w:name="_Toc21840"/>
      <w:bookmarkStart w:id="56" w:name="_Toc7831"/>
      <w:bookmarkStart w:id="57" w:name="_Toc8761637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5"/>
        <w:jc w:val="both"/>
        <w:rPr>
          <w:rFonts w:hint="eastAsia"/>
          <w:color w:val="auto"/>
          <w:highlight w:val="none"/>
        </w:rPr>
      </w:pPr>
    </w:p>
    <w:p>
      <w:pPr>
        <w:pStyle w:val="5"/>
        <w:rPr>
          <w:color w:val="auto"/>
          <w:highlight w:val="none"/>
        </w:rPr>
      </w:pPr>
      <w:r>
        <w:rPr>
          <w:rFonts w:hint="eastAsia"/>
          <w:color w:val="auto"/>
          <w:highlight w:val="none"/>
        </w:rPr>
        <w:sym w:font="Wingdings 2" w:char="00A3"/>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6"/>
            <w:bookmarkStart w:id="61" w:name="OLE_LINK5"/>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ind w:firstLine="0"/>
        <w:rPr>
          <w:rFonts w:ascii="仿宋_GB2312" w:eastAsia="仿宋_GB2312" w:hAnsiTheme="minorEastAsia"/>
          <w:color w:val="auto"/>
          <w:szCs w:val="21"/>
          <w:highlight w:val="none"/>
        </w:rPr>
      </w:pPr>
    </w:p>
    <w:p>
      <w:pPr>
        <w:pStyle w:val="4"/>
        <w:rPr>
          <w:rFonts w:hint="eastAsia"/>
          <w:color w:val="auto"/>
          <w:highlight w:val="none"/>
        </w:rPr>
      </w:pPr>
      <w:bookmarkStart w:id="62" w:name="_Toc88209947"/>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color w:val="auto"/>
          <w:szCs w:val="44"/>
          <w:highlight w:val="none"/>
        </w:rPr>
      </w:pPr>
      <w:r>
        <w:rPr>
          <w:rFonts w:hint="eastAsia"/>
          <w:color w:val="auto"/>
          <w:szCs w:val="44"/>
          <w:highlight w:val="none"/>
        </w:rPr>
        <w:t>采购需求编制说明</w:t>
      </w:r>
      <w:bookmarkEnd w:id="62"/>
    </w:p>
    <w:p>
      <w:pPr>
        <w:pStyle w:val="12"/>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_GB2312" w:hAnsi="仿宋_GB2312" w:eastAsia="仿宋_GB2312" w:cs="仿宋_GB2312"/>
          <w:b/>
          <w:bCs/>
          <w:color w:val="auto"/>
          <w:kern w:val="2"/>
          <w:sz w:val="28"/>
          <w:szCs w:val="28"/>
          <w:highlight w:val="none"/>
          <w:lang w:val="zh-CN" w:eastAsia="zh-CN" w:bidi="ar-SA"/>
        </w:rPr>
      </w:pPr>
      <w:r>
        <w:rPr>
          <w:rFonts w:hint="eastAsia" w:ascii="仿宋_GB2312" w:hAnsi="仿宋_GB2312" w:eastAsia="仿宋_GB2312" w:cs="仿宋_GB2312"/>
          <w:b/>
          <w:bCs/>
          <w:color w:val="auto"/>
          <w:kern w:val="2"/>
          <w:sz w:val="28"/>
          <w:szCs w:val="28"/>
          <w:highlight w:val="none"/>
          <w:lang w:val="zh-CN" w:eastAsia="zh-CN" w:bidi="ar-SA"/>
        </w:rPr>
        <w:t>一、项目情况介绍</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 w:hAnsi="仿宋" w:eastAsia="仿宋" w:cs="仿宋"/>
          <w:color w:val="auto"/>
          <w:kern w:val="2"/>
          <w:sz w:val="28"/>
          <w:szCs w:val="28"/>
          <w:highlight w:val="none"/>
          <w:lang w:val="en-US" w:eastAsia="zh-CN" w:bidi="ar-SA"/>
        </w:rPr>
        <w:t>2023年3月3日</w:t>
      </w:r>
      <w:r>
        <w:rPr>
          <w:rFonts w:hint="eastAsia" w:ascii="仿宋_GB2312" w:hAnsi="仿宋_GB2312" w:eastAsia="仿宋_GB2312" w:cs="仿宋_GB2312"/>
          <w:color w:val="auto"/>
          <w:kern w:val="2"/>
          <w:sz w:val="28"/>
          <w:szCs w:val="28"/>
          <w:highlight w:val="none"/>
          <w:lang w:val="en-US" w:eastAsia="zh-CN" w:bidi="ar-SA"/>
        </w:rPr>
        <w:t>广州市净水有限公司大沙地分公司获得方圆标志认证集团颁发的ISO</w:t>
      </w:r>
      <w:r>
        <w:rPr>
          <w:rFonts w:hint="eastAsia" w:ascii="仿宋" w:hAnsi="仿宋" w:eastAsia="仿宋" w:cs="仿宋"/>
          <w:color w:val="auto"/>
          <w:kern w:val="2"/>
          <w:sz w:val="28"/>
          <w:szCs w:val="28"/>
          <w:highlight w:val="none"/>
          <w:lang w:val="en-US" w:eastAsia="zh-CN" w:bidi="ar-SA"/>
        </w:rPr>
        <w:t>质量、环境、职业健康安全管理体系再认证证书，为</w:t>
      </w:r>
      <w:r>
        <w:rPr>
          <w:rFonts w:hint="eastAsia" w:ascii="仿宋_GB2312" w:hAnsi="仿宋_GB2312" w:eastAsia="仿宋_GB2312" w:cs="仿宋_GB2312"/>
          <w:color w:val="auto"/>
          <w:kern w:val="2"/>
          <w:sz w:val="28"/>
          <w:szCs w:val="28"/>
          <w:highlight w:val="none"/>
          <w:lang w:val="en-US" w:eastAsia="zh-CN" w:bidi="ar-SA"/>
        </w:rPr>
        <w:t>确保</w:t>
      </w:r>
      <w:r>
        <w:rPr>
          <w:rFonts w:hint="eastAsia" w:ascii="仿宋" w:hAnsi="仿宋" w:eastAsia="仿宋" w:cs="仿宋"/>
          <w:color w:val="auto"/>
          <w:kern w:val="2"/>
          <w:sz w:val="28"/>
          <w:szCs w:val="28"/>
          <w:highlight w:val="none"/>
          <w:lang w:val="en-US" w:eastAsia="zh-CN" w:bidi="ar-SA"/>
        </w:rPr>
        <w:t>ISO</w:t>
      </w:r>
      <w:r>
        <w:rPr>
          <w:rFonts w:hint="eastAsia" w:ascii="仿宋_GB2312" w:hAnsi="仿宋_GB2312" w:eastAsia="仿宋_GB2312" w:cs="仿宋_GB2312"/>
          <w:color w:val="auto"/>
          <w:kern w:val="2"/>
          <w:sz w:val="28"/>
          <w:szCs w:val="28"/>
          <w:highlight w:val="none"/>
          <w:lang w:val="en-US" w:eastAsia="zh-CN" w:bidi="ar-SA"/>
        </w:rPr>
        <w:t>管理</w:t>
      </w:r>
      <w:r>
        <w:rPr>
          <w:rFonts w:hint="eastAsia" w:ascii="仿宋" w:hAnsi="仿宋" w:eastAsia="仿宋" w:cs="仿宋"/>
          <w:color w:val="auto"/>
          <w:kern w:val="2"/>
          <w:sz w:val="28"/>
          <w:szCs w:val="28"/>
          <w:highlight w:val="none"/>
          <w:lang w:val="en-US" w:eastAsia="zh-CN" w:bidi="ar-SA"/>
        </w:rPr>
        <w:t>体系证书继续有效</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 w:hAnsi="仿宋" w:eastAsia="仿宋" w:cs="仿宋"/>
          <w:color w:val="auto"/>
          <w:kern w:val="2"/>
          <w:sz w:val="28"/>
          <w:szCs w:val="28"/>
          <w:highlight w:val="none"/>
          <w:lang w:val="en-US" w:eastAsia="zh-CN" w:bidi="ar-SA"/>
        </w:rPr>
        <w:t>本项目</w:t>
      </w:r>
      <w:r>
        <w:rPr>
          <w:rFonts w:hint="eastAsia" w:ascii="仿宋_GB2312" w:hAnsi="仿宋_GB2312" w:eastAsia="仿宋_GB2312" w:cs="仿宋_GB2312"/>
          <w:color w:val="auto"/>
          <w:kern w:val="2"/>
          <w:sz w:val="28"/>
          <w:szCs w:val="28"/>
          <w:highlight w:val="none"/>
          <w:lang w:val="en-US" w:eastAsia="zh-CN" w:bidi="ar-SA"/>
        </w:rPr>
        <w:t>现需</w:t>
      </w:r>
      <w:r>
        <w:rPr>
          <w:rFonts w:hint="eastAsia" w:ascii="仿宋" w:hAnsi="仿宋" w:eastAsia="仿宋" w:cs="仿宋"/>
          <w:color w:val="auto"/>
          <w:kern w:val="2"/>
          <w:sz w:val="28"/>
          <w:szCs w:val="28"/>
          <w:highlight w:val="none"/>
          <w:lang w:val="en-US" w:eastAsia="zh-CN" w:bidi="ar-SA"/>
        </w:rPr>
        <w:t>按照国家认证认可的法律法规和认证方案对</w:t>
      </w:r>
      <w:r>
        <w:rPr>
          <w:rFonts w:hint="eastAsia" w:ascii="仿宋_GB2312" w:hAnsi="仿宋_GB2312" w:eastAsia="仿宋_GB2312" w:cs="仿宋_GB2312"/>
          <w:color w:val="auto"/>
          <w:kern w:val="2"/>
          <w:sz w:val="28"/>
          <w:szCs w:val="28"/>
          <w:highlight w:val="none"/>
          <w:lang w:val="en-US" w:eastAsia="zh-CN" w:bidi="ar-SA"/>
        </w:rPr>
        <w:t>广州市净水有限公司大沙地</w:t>
      </w:r>
      <w:r>
        <w:rPr>
          <w:rFonts w:hint="eastAsia" w:ascii="仿宋" w:hAnsi="仿宋" w:eastAsia="仿宋" w:cs="仿宋"/>
          <w:color w:val="auto"/>
          <w:kern w:val="2"/>
          <w:sz w:val="28"/>
          <w:szCs w:val="28"/>
          <w:highlight w:val="none"/>
          <w:lang w:val="en-US" w:eastAsia="zh-CN" w:bidi="ar-SA"/>
        </w:rPr>
        <w:t>分公司的质量、环境、职业健康安全管理体系提供年度监督审核服务，</w:t>
      </w:r>
      <w:r>
        <w:rPr>
          <w:rFonts w:hint="eastAsia" w:ascii="仿宋_GB2312" w:hAnsi="仿宋_GB2312" w:eastAsia="仿宋_GB2312" w:cs="仿宋_GB2312"/>
          <w:color w:val="auto"/>
          <w:kern w:val="2"/>
          <w:sz w:val="28"/>
          <w:szCs w:val="28"/>
          <w:highlight w:val="none"/>
          <w:lang w:val="en-US" w:eastAsia="zh-CN" w:bidi="ar-SA"/>
        </w:rPr>
        <w:t>同时协助广州市净水有限公司大沙地分公司取得2024年ISO管理</w:t>
      </w:r>
      <w:r>
        <w:rPr>
          <w:rFonts w:hint="eastAsia" w:ascii="仿宋" w:hAnsi="仿宋" w:eastAsia="仿宋" w:cs="仿宋"/>
          <w:color w:val="auto"/>
          <w:kern w:val="2"/>
          <w:sz w:val="28"/>
          <w:szCs w:val="28"/>
          <w:highlight w:val="none"/>
          <w:lang w:val="en-US" w:eastAsia="zh-CN" w:bidi="ar-SA"/>
        </w:rPr>
        <w:t>体系年度监督审核证书。</w:t>
      </w:r>
    </w:p>
    <w:p>
      <w:pPr>
        <w:pStyle w:val="12"/>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_GB2312" w:hAnsi="仿宋_GB2312" w:eastAsia="仿宋_GB2312" w:cs="仿宋_GB2312"/>
          <w:b/>
          <w:bCs/>
          <w:color w:val="auto"/>
          <w:kern w:val="2"/>
          <w:sz w:val="28"/>
          <w:szCs w:val="28"/>
          <w:highlight w:val="none"/>
          <w:lang w:val="zh-CN" w:eastAsia="zh-CN" w:bidi="ar-SA"/>
        </w:rPr>
      </w:pPr>
      <w:r>
        <w:rPr>
          <w:rFonts w:hint="eastAsia" w:ascii="仿宋_GB2312" w:hAnsi="仿宋_GB2312" w:eastAsia="仿宋_GB2312" w:cs="仿宋_GB2312"/>
          <w:b/>
          <w:bCs/>
          <w:color w:val="auto"/>
          <w:kern w:val="2"/>
          <w:sz w:val="28"/>
          <w:szCs w:val="28"/>
          <w:highlight w:val="none"/>
          <w:lang w:val="en-US" w:eastAsia="zh-CN" w:bidi="ar-SA"/>
        </w:rPr>
        <w:t>二、</w:t>
      </w:r>
      <w:r>
        <w:rPr>
          <w:rFonts w:hint="eastAsia" w:ascii="仿宋_GB2312" w:hAnsi="仿宋_GB2312" w:eastAsia="仿宋_GB2312" w:cs="仿宋_GB2312"/>
          <w:b/>
          <w:bCs/>
          <w:color w:val="auto"/>
          <w:kern w:val="2"/>
          <w:sz w:val="28"/>
          <w:szCs w:val="28"/>
          <w:highlight w:val="none"/>
          <w:lang w:val="zh-CN" w:eastAsia="zh-CN" w:bidi="ar-SA"/>
        </w:rPr>
        <w:t>项目要求</w:t>
      </w:r>
    </w:p>
    <w:p>
      <w:pPr>
        <w:ind w:left="0" w:leftChars="0" w:firstLine="638" w:firstLineChars="228"/>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1.服务要求</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sz w:val="28"/>
          <w:szCs w:val="28"/>
          <w:highlight w:val="none"/>
          <w:lang w:val="en-US" w:eastAsia="zh-CN"/>
        </w:rPr>
        <w:t>为使</w:t>
      </w:r>
      <w:r>
        <w:rPr>
          <w:rFonts w:hint="eastAsia" w:ascii="仿宋_GB2312" w:hAnsi="仿宋_GB2312" w:eastAsia="仿宋_GB2312" w:cs="仿宋_GB2312"/>
          <w:color w:val="auto"/>
          <w:kern w:val="2"/>
          <w:sz w:val="28"/>
          <w:szCs w:val="28"/>
          <w:highlight w:val="none"/>
          <w:lang w:val="en-US" w:eastAsia="zh-CN" w:bidi="ar-SA"/>
        </w:rPr>
        <w:t>广州市净水有限公司大沙地分公司2023年获得的ISO管理</w:t>
      </w:r>
      <w:r>
        <w:rPr>
          <w:rFonts w:hint="eastAsia" w:ascii="仿宋" w:hAnsi="仿宋" w:eastAsia="仿宋" w:cs="仿宋"/>
          <w:color w:val="auto"/>
          <w:kern w:val="2"/>
          <w:sz w:val="28"/>
          <w:szCs w:val="28"/>
          <w:highlight w:val="none"/>
          <w:lang w:val="en-US" w:eastAsia="zh-CN" w:bidi="ar-SA"/>
        </w:rPr>
        <w:t>体系证书继续有效</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kern w:val="2"/>
          <w:sz w:val="28"/>
          <w:szCs w:val="28"/>
          <w:highlight w:val="none"/>
          <w:lang w:val="en-US" w:eastAsia="zh-CN" w:bidi="ar-SA"/>
        </w:rPr>
        <w:t>现需</w:t>
      </w:r>
      <w:r>
        <w:rPr>
          <w:rFonts w:hint="eastAsia" w:ascii="仿宋" w:hAnsi="仿宋" w:eastAsia="仿宋" w:cs="仿宋"/>
          <w:color w:val="auto"/>
          <w:kern w:val="2"/>
          <w:sz w:val="28"/>
          <w:szCs w:val="28"/>
          <w:highlight w:val="none"/>
          <w:lang w:val="en-US" w:eastAsia="zh-CN" w:bidi="ar-SA"/>
        </w:rPr>
        <w:t>按照国家认证认可的法律法规和认证方案对</w:t>
      </w:r>
      <w:r>
        <w:rPr>
          <w:rFonts w:hint="eastAsia" w:ascii="仿宋_GB2312" w:hAnsi="仿宋_GB2312" w:eastAsia="仿宋_GB2312" w:cs="仿宋_GB2312"/>
          <w:color w:val="auto"/>
          <w:kern w:val="2"/>
          <w:sz w:val="28"/>
          <w:szCs w:val="28"/>
          <w:highlight w:val="none"/>
          <w:lang w:val="en-US" w:eastAsia="zh-CN" w:bidi="ar-SA"/>
        </w:rPr>
        <w:t>广州市净水有限公司大沙地</w:t>
      </w:r>
      <w:r>
        <w:rPr>
          <w:rFonts w:hint="eastAsia" w:ascii="仿宋" w:hAnsi="仿宋" w:eastAsia="仿宋" w:cs="仿宋"/>
          <w:color w:val="auto"/>
          <w:kern w:val="2"/>
          <w:sz w:val="28"/>
          <w:szCs w:val="28"/>
          <w:highlight w:val="none"/>
          <w:lang w:val="en-US" w:eastAsia="zh-CN" w:bidi="ar-SA"/>
        </w:rPr>
        <w:t>分公司的</w:t>
      </w:r>
      <w:r>
        <w:rPr>
          <w:rFonts w:hint="eastAsia" w:ascii="仿宋_GB2312" w:hAnsi="仿宋_GB2312" w:eastAsia="仿宋_GB2312" w:cs="仿宋_GB2312"/>
          <w:color w:val="auto"/>
          <w:sz w:val="28"/>
          <w:szCs w:val="28"/>
          <w:highlight w:val="none"/>
          <w:lang w:val="en-US" w:eastAsia="zh-CN"/>
        </w:rPr>
        <w:t>质量管理体系GB/T19001-2016、lSO9001-2015；职业健康安全管理体GB／T45001-2020、ISO45001-2018；环境管理体系GB／T24001-2016、ISO14001-2015</w:t>
      </w:r>
      <w:r>
        <w:rPr>
          <w:rFonts w:hint="eastAsia" w:ascii="仿宋" w:hAnsi="仿宋" w:eastAsia="仿宋" w:cs="仿宋"/>
          <w:color w:val="auto"/>
          <w:kern w:val="2"/>
          <w:sz w:val="28"/>
          <w:szCs w:val="28"/>
          <w:highlight w:val="none"/>
          <w:lang w:val="en-US" w:eastAsia="zh-CN" w:bidi="ar-SA"/>
        </w:rPr>
        <w:t>提供年度监督审核服务</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kern w:val="2"/>
          <w:sz w:val="28"/>
          <w:szCs w:val="28"/>
          <w:highlight w:val="none"/>
          <w:lang w:val="en-US" w:eastAsia="zh-CN" w:bidi="ar-SA"/>
        </w:rPr>
        <w:t>同时协助广州市净水有限公司大沙地分公司取得2024年ISO管理</w:t>
      </w:r>
      <w:r>
        <w:rPr>
          <w:rFonts w:hint="eastAsia" w:ascii="仿宋" w:hAnsi="仿宋" w:eastAsia="仿宋" w:cs="仿宋"/>
          <w:color w:val="auto"/>
          <w:kern w:val="2"/>
          <w:sz w:val="28"/>
          <w:szCs w:val="28"/>
          <w:highlight w:val="none"/>
          <w:lang w:val="en-US" w:eastAsia="zh-CN" w:bidi="ar-SA"/>
        </w:rPr>
        <w:t>体系年度监督审核证书。</w:t>
      </w:r>
    </w:p>
    <w:p>
      <w:pPr>
        <w:ind w:left="0" w:leftChars="0" w:firstLine="638" w:firstLineChars="228"/>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2.本次采购范围包括：</w:t>
      </w:r>
    </w:p>
    <w:p>
      <w:pPr>
        <w:ind w:left="0" w:leftChars="0" w:firstLine="638" w:firstLineChars="228"/>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ISO质量、环境、职业健康安全管理体系</w:t>
      </w:r>
      <w:r>
        <w:rPr>
          <w:rFonts w:hint="eastAsia" w:ascii="仿宋" w:hAnsi="仿宋" w:eastAsia="仿宋" w:cs="仿宋"/>
          <w:color w:val="auto"/>
          <w:kern w:val="2"/>
          <w:sz w:val="28"/>
          <w:szCs w:val="28"/>
          <w:highlight w:val="none"/>
          <w:lang w:val="en-US" w:eastAsia="zh-CN" w:bidi="ar-SA"/>
        </w:rPr>
        <w:t>年度监督审核</w:t>
      </w:r>
      <w:r>
        <w:rPr>
          <w:rFonts w:hint="eastAsia" w:ascii="仿宋_GB2312" w:hAnsi="仿宋_GB2312" w:eastAsia="仿宋_GB2312" w:cs="仿宋_GB2312"/>
          <w:color w:val="auto"/>
          <w:sz w:val="28"/>
          <w:szCs w:val="28"/>
          <w:highlight w:val="none"/>
          <w:lang w:val="en-US" w:eastAsia="zh-CN"/>
        </w:rPr>
        <w:t>核服务。</w:t>
      </w:r>
    </w:p>
    <w:p>
      <w:pPr>
        <w:ind w:left="0" w:leftChars="0" w:firstLine="638" w:firstLineChars="228"/>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具体各项情况如下：</w:t>
      </w:r>
    </w:p>
    <w:tbl>
      <w:tblPr>
        <w:tblStyle w:val="21"/>
        <w:tblW w:w="9894"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9"/>
        <w:gridCol w:w="1460"/>
        <w:gridCol w:w="3164"/>
        <w:gridCol w:w="3286"/>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项目序号</w:t>
            </w:r>
          </w:p>
        </w:tc>
        <w:tc>
          <w:tcPr>
            <w:tcW w:w="1460"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所属单位</w:t>
            </w:r>
          </w:p>
        </w:tc>
        <w:tc>
          <w:tcPr>
            <w:tcW w:w="3164"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项目名称</w:t>
            </w:r>
          </w:p>
        </w:tc>
        <w:tc>
          <w:tcPr>
            <w:tcW w:w="3286"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实施内容</w:t>
            </w:r>
          </w:p>
        </w:tc>
        <w:tc>
          <w:tcPr>
            <w:tcW w:w="1165"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体系覆盖人数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p>
        </w:tc>
        <w:tc>
          <w:tcPr>
            <w:tcW w:w="1460"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p>
        </w:tc>
        <w:tc>
          <w:tcPr>
            <w:tcW w:w="3164"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p>
        </w:tc>
        <w:tc>
          <w:tcPr>
            <w:tcW w:w="3286"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p>
        </w:tc>
        <w:tc>
          <w:tcPr>
            <w:tcW w:w="1165"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shd w:val="clear" w:color="auto" w:fill="auto"/>
                <w:lang w:val="en-US" w:eastAsia="zh-CN"/>
              </w:rPr>
            </w:pPr>
            <w:r>
              <w:rPr>
                <w:rFonts w:hint="eastAsia" w:ascii="宋体" w:hAnsi="宋体" w:eastAsia="宋体" w:cs="宋体"/>
                <w:i w:val="0"/>
                <w:iCs w:val="0"/>
                <w:color w:val="auto"/>
                <w:sz w:val="18"/>
                <w:szCs w:val="18"/>
                <w:highlight w:val="none"/>
                <w:u w:val="none"/>
                <w:shd w:val="clear" w:color="auto" w:fill="auto"/>
                <w:lang w:val="en-US" w:eastAsia="zh-CN"/>
              </w:rPr>
              <w:t>一</w:t>
            </w:r>
          </w:p>
        </w:tc>
        <w:tc>
          <w:tcPr>
            <w:tcW w:w="1460"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8"/>
                <w:szCs w:val="28"/>
                <w:highlight w:val="none"/>
                <w:u w:val="none"/>
                <w:shd w:val="clear" w:color="auto" w:fill="auto"/>
                <w:lang w:bidi="ar"/>
              </w:rPr>
            </w:pPr>
            <w:r>
              <w:rPr>
                <w:rFonts w:hint="eastAsia" w:ascii="仿宋_GB2312" w:hAnsi="仿宋_GB2312" w:eastAsia="仿宋_GB2312" w:cs="仿宋_GB2312"/>
                <w:i w:val="0"/>
                <w:iCs w:val="0"/>
                <w:color w:val="auto"/>
                <w:kern w:val="2"/>
                <w:sz w:val="28"/>
                <w:szCs w:val="28"/>
                <w:highlight w:val="none"/>
                <w:u w:val="none"/>
                <w:shd w:val="clear" w:color="auto" w:fill="auto"/>
                <w:lang w:val="en-US" w:eastAsia="zh-CN" w:bidi="ar"/>
              </w:rPr>
              <w:t>大沙地分公司</w:t>
            </w:r>
          </w:p>
        </w:tc>
        <w:tc>
          <w:tcPr>
            <w:tcW w:w="3164"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8"/>
                <w:szCs w:val="28"/>
                <w:highlight w:val="none"/>
                <w:u w:val="none"/>
                <w:shd w:val="clear" w:color="auto" w:fill="auto"/>
                <w:lang w:bidi="ar"/>
              </w:rPr>
            </w:pPr>
            <w:r>
              <w:rPr>
                <w:rFonts w:hint="eastAsia" w:ascii="仿宋_GB2312" w:hAnsi="仿宋_GB2312" w:eastAsia="仿宋_GB2312" w:cs="仿宋_GB2312"/>
                <w:i w:val="0"/>
                <w:iCs w:val="0"/>
                <w:color w:val="auto"/>
                <w:kern w:val="2"/>
                <w:sz w:val="28"/>
                <w:szCs w:val="28"/>
                <w:highlight w:val="none"/>
                <w:u w:val="none"/>
                <w:shd w:val="clear" w:color="auto" w:fill="auto"/>
                <w:lang w:val="en-US" w:eastAsia="zh-CN" w:bidi="ar"/>
              </w:rPr>
              <w:t>大沙地分公司2024年ISO管理体系年度监督审核服务项目</w:t>
            </w:r>
          </w:p>
        </w:tc>
        <w:tc>
          <w:tcPr>
            <w:tcW w:w="328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仿宋_GB2312" w:hAnsi="仿宋_GB2312" w:eastAsia="仿宋_GB2312" w:cs="仿宋_GB2312"/>
                <w:i w:val="0"/>
                <w:iCs w:val="0"/>
                <w:color w:val="auto"/>
                <w:kern w:val="2"/>
                <w:sz w:val="28"/>
                <w:szCs w:val="28"/>
                <w:highlight w:val="none"/>
                <w:u w:val="none"/>
                <w:shd w:val="clear"/>
                <w:lang w:val="en-US" w:eastAsia="zh-CN" w:bidi="ar"/>
              </w:rPr>
              <w:t>2024年ISO管理体系</w:t>
            </w:r>
            <w:r>
              <w:rPr>
                <w:rFonts w:hint="eastAsia" w:ascii="仿宋" w:hAnsi="仿宋" w:eastAsia="仿宋" w:cs="仿宋"/>
                <w:color w:val="auto"/>
                <w:kern w:val="2"/>
                <w:sz w:val="28"/>
                <w:szCs w:val="28"/>
                <w:highlight w:val="none"/>
                <w:lang w:val="en-US" w:eastAsia="zh-CN" w:bidi="ar-SA"/>
              </w:rPr>
              <w:t>年度监督审核服务</w:t>
            </w:r>
          </w:p>
        </w:tc>
        <w:tc>
          <w:tcPr>
            <w:tcW w:w="1165" w:type="dxa"/>
            <w:shd w:val="clear" w:color="auto" w:fill="auto"/>
            <w:noWrap/>
            <w:vAlign w:val="center"/>
          </w:tcPr>
          <w:p>
            <w:pPr>
              <w:jc w:val="center"/>
              <w:rPr>
                <w:rFonts w:hint="default" w:ascii="宋体" w:hAnsi="宋体" w:eastAsia="宋体" w:cs="宋体"/>
                <w:i w:val="0"/>
                <w:iCs w:val="0"/>
                <w:color w:val="auto"/>
                <w:sz w:val="18"/>
                <w:szCs w:val="18"/>
                <w:highlight w:val="none"/>
                <w:u w:val="none"/>
                <w:shd w:val="clear" w:color="auto" w:fill="auto"/>
                <w:lang w:val="en-US" w:eastAsia="zh-CN"/>
              </w:rPr>
            </w:pPr>
            <w:r>
              <w:rPr>
                <w:rFonts w:hint="eastAsia" w:ascii="宋体" w:hAnsi="宋体" w:eastAsia="宋体" w:cs="宋体"/>
                <w:i w:val="0"/>
                <w:iCs w:val="0"/>
                <w:color w:val="auto"/>
                <w:sz w:val="18"/>
                <w:szCs w:val="18"/>
                <w:highlight w:val="none"/>
                <w:u w:val="none"/>
                <w:shd w:val="clear" w:color="auto" w:fill="auto"/>
                <w:lang w:val="en-US" w:eastAsia="zh-CN"/>
              </w:rPr>
              <w:t>142</w:t>
            </w:r>
          </w:p>
        </w:tc>
      </w:tr>
    </w:tbl>
    <w:p>
      <w:pPr>
        <w:pStyle w:val="7"/>
        <w:rPr>
          <w:rFonts w:hint="default"/>
          <w:color w:val="auto"/>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暂定</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服务期</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lang w:val="en-US" w:eastAsia="zh-CN"/>
        </w:rPr>
        <w:t>自合同签订之日起</w:t>
      </w:r>
      <w:r>
        <w:rPr>
          <w:rFonts w:hint="eastAsia" w:ascii="仿宋_GB2312" w:hAnsi="仿宋_GB2312" w:eastAsia="仿宋_GB2312" w:cs="仿宋_GB2312"/>
          <w:color w:val="auto"/>
          <w:sz w:val="28"/>
          <w:szCs w:val="28"/>
          <w:highlight w:val="none"/>
        </w:rPr>
        <w:t>至</w:t>
      </w:r>
      <w:r>
        <w:rPr>
          <w:rFonts w:hint="eastAsia" w:ascii="仿宋_GB2312" w:hAnsi="仿宋_GB2312" w:eastAsia="仿宋_GB2312" w:cs="仿宋_GB2312"/>
          <w:color w:val="auto"/>
          <w:sz w:val="28"/>
          <w:szCs w:val="28"/>
          <w:highlight w:val="none"/>
          <w:lang w:eastAsia="zh-CN"/>
        </w:rPr>
        <w:t>2024年</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月30日</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highlight w:val="none"/>
          <w:lang w:val="en-US" w:eastAsia="zh-CN"/>
        </w:rPr>
        <w:t>3.2024年度</w:t>
      </w:r>
      <w:r>
        <w:rPr>
          <w:rFonts w:hint="eastAsia" w:ascii="仿宋_GB2312" w:hAnsi="仿宋_GB2312" w:eastAsia="仿宋_GB2312" w:cs="仿宋_GB2312"/>
          <w:color w:val="auto"/>
          <w:sz w:val="28"/>
          <w:szCs w:val="28"/>
          <w:highlight w:val="none"/>
        </w:rPr>
        <w:t>交货/服务时间：</w:t>
      </w:r>
      <w:r>
        <w:rPr>
          <w:rFonts w:hint="eastAsia" w:ascii="仿宋_GB2312" w:hAnsi="仿宋_GB2312" w:eastAsia="仿宋_GB2312" w:cs="仿宋_GB2312"/>
          <w:color w:val="auto"/>
          <w:sz w:val="28"/>
          <w:szCs w:val="28"/>
          <w:highlight w:val="none"/>
          <w:lang w:eastAsia="zh-CN"/>
        </w:rPr>
        <w:t>2024年</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月30日</w:t>
      </w:r>
      <w:r>
        <w:rPr>
          <w:rFonts w:hint="eastAsia" w:ascii="仿宋_GB2312" w:hAnsi="仿宋_GB2312" w:eastAsia="仿宋_GB2312" w:cs="仿宋_GB2312"/>
          <w:color w:val="auto"/>
          <w:sz w:val="28"/>
          <w:szCs w:val="28"/>
          <w:highlight w:val="none"/>
        </w:rPr>
        <w:t>前完成</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zh-CN"/>
        </w:rPr>
        <w:t>付款方式：以银行转账的形式。</w:t>
      </w:r>
    </w:p>
    <w:p>
      <w:pPr>
        <w:ind w:left="0" w:leftChars="0" w:firstLine="560" w:firstLineChars="200"/>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zh-CN"/>
        </w:rPr>
        <w:t>其它要求：</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zh-CN"/>
        </w:rPr>
        <w:t>报价应为一票制、含税、全包价，包括</w:t>
      </w:r>
      <w:r>
        <w:rPr>
          <w:rFonts w:hint="eastAsia" w:ascii="仿宋_GB2312" w:hAnsi="仿宋_GB2312" w:eastAsia="仿宋_GB2312" w:cs="仿宋_GB2312"/>
          <w:color w:val="auto"/>
          <w:sz w:val="28"/>
          <w:szCs w:val="28"/>
          <w:highlight w:val="none"/>
          <w:lang w:val="en-US" w:eastAsia="zh-CN"/>
        </w:rPr>
        <w:t>管理体系申请认证</w:t>
      </w:r>
      <w:r>
        <w:rPr>
          <w:rFonts w:hint="eastAsia" w:ascii="仿宋_GB2312" w:hAnsi="仿宋_GB2312" w:eastAsia="仿宋_GB2312" w:cs="仿宋_GB2312"/>
          <w:color w:val="auto"/>
          <w:sz w:val="28"/>
          <w:szCs w:val="28"/>
          <w:highlight w:val="none"/>
          <w:lang w:val="zh-CN"/>
        </w:rPr>
        <w:t>，及完成现场审核时审核员发生的必要的食宿和差旅费等在内的所有费用</w:t>
      </w:r>
      <w:r>
        <w:rPr>
          <w:rFonts w:hint="eastAsia" w:ascii="仿宋_GB2312" w:hAnsi="仿宋_GB2312" w:eastAsia="仿宋_GB2312" w:cs="仿宋_GB2312"/>
          <w:color w:val="auto"/>
          <w:sz w:val="28"/>
          <w:szCs w:val="28"/>
          <w:highlight w:val="none"/>
          <w:lang w:val="zh-CN" w:eastAsia="zh-CN"/>
        </w:rPr>
        <w:t>。</w:t>
      </w: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3" w:name="_Toc1284"/>
      <w:bookmarkStart w:id="64" w:name="_Toc12135"/>
      <w:bookmarkStart w:id="65" w:name="_Toc23353"/>
      <w:bookmarkStart w:id="66" w:name="_Toc25925"/>
      <w:bookmarkStart w:id="67" w:name="_Toc29835"/>
      <w:bookmarkStart w:id="68" w:name="_Toc23330"/>
      <w:bookmarkStart w:id="69" w:name="_Toc4680"/>
      <w:bookmarkStart w:id="70" w:name="_Toc1496"/>
      <w:bookmarkStart w:id="71" w:name="_Toc18538"/>
      <w:bookmarkStart w:id="72" w:name="_Toc537"/>
      <w:bookmarkStart w:id="73" w:name="_Toc15570"/>
      <w:r>
        <w:rPr>
          <w:color w:val="auto"/>
          <w:highlight w:val="none"/>
        </w:rP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4"/>
        <w:rPr>
          <w:color w:val="auto"/>
          <w:highlight w:val="none"/>
        </w:rPr>
      </w:pPr>
    </w:p>
    <w:p>
      <w:pPr>
        <w:pStyle w:val="4"/>
        <w:rPr>
          <w:color w:val="auto"/>
          <w:highlight w:val="none"/>
        </w:rPr>
      </w:pPr>
      <w:bookmarkStart w:id="74" w:name="_Toc22797"/>
      <w:bookmarkStart w:id="75" w:name="_Toc8183"/>
      <w:bookmarkStart w:id="76" w:name="_Toc12980"/>
      <w:bookmarkStart w:id="77" w:name="_Toc13309"/>
      <w:bookmarkStart w:id="78" w:name="_Toc19088"/>
      <w:bookmarkStart w:id="79" w:name="_Toc12721"/>
      <w:bookmarkStart w:id="80" w:name="_Toc1375"/>
      <w:bookmarkStart w:id="81" w:name="_Toc19686"/>
      <w:bookmarkStart w:id="82" w:name="_Toc87616386"/>
      <w:bookmarkStart w:id="83" w:name="_Toc22501"/>
      <w:bookmarkStart w:id="84" w:name="_Toc12968"/>
      <w:bookmarkStart w:id="85" w:name="_Toc88209949"/>
      <w:bookmarkStart w:id="86" w:name="_Toc323"/>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宋体" w:hAnsi="宋体" w:cs="宋体"/>
          <w:b/>
          <w:bCs/>
          <w:color w:val="auto"/>
          <w:sz w:val="48"/>
          <w:szCs w:val="48"/>
          <w:highlight w:val="none"/>
          <w:u w:val="none"/>
        </w:rPr>
      </w:pPr>
    </w:p>
    <w:p>
      <w:pPr>
        <w:jc w:val="center"/>
        <w:rPr>
          <w:rFonts w:hint="eastAsia" w:ascii="宋体" w:hAnsi="宋体" w:cs="宋体"/>
          <w:b/>
          <w:bCs/>
          <w:color w:val="auto"/>
          <w:sz w:val="48"/>
          <w:szCs w:val="48"/>
          <w:highlight w:val="none"/>
          <w:u w:val="none"/>
        </w:rPr>
      </w:pPr>
    </w:p>
    <w:p>
      <w:pPr>
        <w:jc w:val="center"/>
        <w:rPr>
          <w:rFonts w:hint="eastAsia" w:ascii="宋体" w:hAnsi="宋体" w:cs="宋体"/>
          <w:b/>
          <w:bCs/>
          <w:color w:val="auto"/>
          <w:sz w:val="48"/>
          <w:szCs w:val="48"/>
          <w:highlight w:val="none"/>
          <w:u w:val="none"/>
        </w:rPr>
      </w:pPr>
    </w:p>
    <w:p>
      <w:pPr>
        <w:jc w:val="center"/>
        <w:rPr>
          <w:rFonts w:hint="eastAsia" w:ascii="宋体" w:hAnsi="宋体" w:cs="宋体"/>
          <w:b/>
          <w:bCs/>
          <w:color w:val="auto"/>
          <w:sz w:val="48"/>
          <w:szCs w:val="48"/>
          <w:highlight w:val="none"/>
          <w:u w:val="none"/>
        </w:rPr>
      </w:pPr>
    </w:p>
    <w:p>
      <w:pPr>
        <w:jc w:val="center"/>
        <w:rPr>
          <w:rFonts w:hint="eastAsia" w:ascii="宋体" w:hAnsi="宋体" w:cs="宋体"/>
          <w:b/>
          <w:bCs/>
          <w:color w:val="auto"/>
          <w:sz w:val="48"/>
          <w:szCs w:val="48"/>
          <w:highlight w:val="none"/>
          <w:u w:val="none"/>
        </w:rPr>
      </w:pPr>
    </w:p>
    <w:p>
      <w:pPr>
        <w:jc w:val="center"/>
        <w:rPr>
          <w:rFonts w:hint="eastAsia" w:ascii="宋体" w:hAnsi="宋体" w:cs="宋体"/>
          <w:b/>
          <w:bCs/>
          <w:color w:val="auto"/>
          <w:sz w:val="48"/>
          <w:szCs w:val="48"/>
          <w:highlight w:val="none"/>
          <w:u w:val="none"/>
        </w:rPr>
      </w:pPr>
    </w:p>
    <w:p>
      <w:pPr>
        <w:jc w:val="center"/>
        <w:rPr>
          <w:rFonts w:hint="eastAsia" w:ascii="宋体" w:hAnsi="宋体" w:cs="宋体" w:eastAsiaTheme="minorEastAsia"/>
          <w:b/>
          <w:bCs/>
          <w:color w:val="auto"/>
          <w:sz w:val="48"/>
          <w:szCs w:val="48"/>
          <w:highlight w:val="none"/>
          <w:u w:val="none"/>
          <w:lang w:val="en-US" w:eastAsia="zh-CN"/>
        </w:rPr>
      </w:pPr>
      <w:r>
        <w:rPr>
          <w:rFonts w:hint="eastAsia" w:ascii="宋体" w:hAnsi="宋体" w:cs="宋体" w:eastAsiaTheme="minorEastAsia"/>
          <w:b/>
          <w:bCs/>
          <w:color w:val="auto"/>
          <w:sz w:val="48"/>
          <w:szCs w:val="48"/>
          <w:highlight w:val="none"/>
          <w:u w:val="none"/>
          <w:lang w:val="en-US" w:eastAsia="zh-CN"/>
        </w:rPr>
        <w:t>广州市净水有限公司</w:t>
      </w:r>
      <w:r>
        <w:rPr>
          <w:rFonts w:hint="eastAsia" w:ascii="宋体" w:hAnsi="宋体" w:cs="宋体"/>
          <w:b/>
          <w:bCs/>
          <w:color w:val="auto"/>
          <w:sz w:val="48"/>
          <w:szCs w:val="48"/>
          <w:highlight w:val="none"/>
          <w:u w:val="none"/>
          <w:lang w:val="en-US" w:eastAsia="zh-CN"/>
        </w:rPr>
        <w:t>大沙地</w:t>
      </w:r>
      <w:r>
        <w:rPr>
          <w:rFonts w:hint="eastAsia" w:ascii="宋体" w:hAnsi="宋体" w:cs="宋体" w:eastAsiaTheme="minorEastAsia"/>
          <w:b/>
          <w:bCs/>
          <w:color w:val="auto"/>
          <w:sz w:val="48"/>
          <w:szCs w:val="48"/>
          <w:highlight w:val="none"/>
          <w:u w:val="none"/>
          <w:lang w:val="en-US" w:eastAsia="zh-CN"/>
        </w:rPr>
        <w:t>分公司</w:t>
      </w:r>
      <w:r>
        <w:rPr>
          <w:rFonts w:hint="eastAsia" w:ascii="宋体" w:hAnsi="宋体" w:cs="宋体"/>
          <w:b/>
          <w:bCs/>
          <w:color w:val="auto"/>
          <w:sz w:val="48"/>
          <w:szCs w:val="48"/>
          <w:highlight w:val="none"/>
          <w:u w:val="none"/>
          <w:lang w:val="en-US" w:eastAsia="zh-CN"/>
        </w:rPr>
        <w:t xml:space="preserve">   </w:t>
      </w:r>
      <w:r>
        <w:rPr>
          <w:rFonts w:hint="eastAsia" w:ascii="宋体" w:hAnsi="宋体" w:cs="宋体" w:eastAsiaTheme="minorEastAsia"/>
          <w:b/>
          <w:bCs/>
          <w:color w:val="auto"/>
          <w:sz w:val="48"/>
          <w:szCs w:val="48"/>
          <w:highlight w:val="none"/>
          <w:u w:val="none"/>
          <w:lang w:val="en-US" w:eastAsia="zh-CN"/>
        </w:rPr>
        <w:t>202</w:t>
      </w:r>
      <w:r>
        <w:rPr>
          <w:rFonts w:hint="eastAsia" w:ascii="宋体" w:hAnsi="宋体" w:cs="宋体"/>
          <w:b/>
          <w:bCs/>
          <w:color w:val="auto"/>
          <w:sz w:val="48"/>
          <w:szCs w:val="48"/>
          <w:highlight w:val="none"/>
          <w:u w:val="none"/>
          <w:lang w:val="en-US" w:eastAsia="zh-CN"/>
        </w:rPr>
        <w:t>4</w:t>
      </w:r>
      <w:r>
        <w:rPr>
          <w:rFonts w:hint="eastAsia" w:ascii="宋体" w:hAnsi="宋体" w:cs="宋体" w:eastAsiaTheme="minorEastAsia"/>
          <w:b/>
          <w:bCs/>
          <w:color w:val="auto"/>
          <w:sz w:val="48"/>
          <w:szCs w:val="48"/>
          <w:highlight w:val="none"/>
          <w:u w:val="none"/>
          <w:lang w:val="en-US" w:eastAsia="zh-CN"/>
        </w:rPr>
        <w:t>年ISO管理体系</w:t>
      </w:r>
      <w:r>
        <w:rPr>
          <w:rFonts w:hint="eastAsia" w:ascii="宋体" w:hAnsi="宋体" w:cs="宋体"/>
          <w:b/>
          <w:bCs/>
          <w:color w:val="auto"/>
          <w:sz w:val="48"/>
          <w:szCs w:val="48"/>
          <w:highlight w:val="none"/>
          <w:u w:val="none"/>
          <w:lang w:val="en-US" w:eastAsia="zh-CN"/>
        </w:rPr>
        <w:t xml:space="preserve">年度监督审核     </w:t>
      </w:r>
      <w:r>
        <w:rPr>
          <w:rFonts w:hint="eastAsia" w:ascii="宋体" w:hAnsi="宋体" w:cs="宋体" w:eastAsiaTheme="minorEastAsia"/>
          <w:b/>
          <w:bCs/>
          <w:color w:val="auto"/>
          <w:sz w:val="48"/>
          <w:szCs w:val="48"/>
          <w:highlight w:val="none"/>
          <w:u w:val="none"/>
          <w:lang w:val="en-US" w:eastAsia="zh-CN"/>
        </w:rPr>
        <w:t>服务项目</w:t>
      </w:r>
    </w:p>
    <w:p>
      <w:pPr>
        <w:pStyle w:val="2"/>
        <w:rPr>
          <w:rFonts w:hint="eastAsia" w:ascii="宋体" w:hAnsi="宋体" w:cs="宋体" w:eastAsiaTheme="minorEastAsia"/>
          <w:b/>
          <w:bCs/>
          <w:color w:val="auto"/>
          <w:sz w:val="48"/>
          <w:szCs w:val="48"/>
          <w:highlight w:val="none"/>
          <w:u w:val="none"/>
          <w:lang w:val="en-US" w:eastAsia="zh-CN"/>
        </w:rPr>
      </w:pPr>
    </w:p>
    <w:p>
      <w:pPr>
        <w:pStyle w:val="2"/>
        <w:rPr>
          <w:rFonts w:hint="eastAsia" w:ascii="宋体" w:hAnsi="宋体" w:cs="宋体" w:eastAsiaTheme="minorEastAsia"/>
          <w:b/>
          <w:bCs/>
          <w:color w:val="auto"/>
          <w:sz w:val="48"/>
          <w:szCs w:val="48"/>
          <w:highlight w:val="none"/>
          <w:u w:val="none"/>
          <w:lang w:val="en-US" w:eastAsia="zh-CN"/>
        </w:rPr>
      </w:pPr>
    </w:p>
    <w:p>
      <w:pPr>
        <w:jc w:val="center"/>
        <w:rPr>
          <w:rFonts w:hint="eastAsia" w:ascii="宋体" w:hAnsi="宋体" w:cs="宋体" w:eastAsiaTheme="minorEastAsia"/>
          <w:b/>
          <w:bCs/>
          <w:color w:val="auto"/>
          <w:sz w:val="48"/>
          <w:szCs w:val="48"/>
          <w:highlight w:val="none"/>
          <w:u w:val="none"/>
          <w:lang w:val="en-US" w:eastAsia="zh-CN"/>
        </w:rPr>
      </w:pPr>
      <w:r>
        <w:rPr>
          <w:rFonts w:hint="eastAsia" w:ascii="宋体" w:hAnsi="宋体" w:cs="宋体"/>
          <w:b/>
          <w:bCs/>
          <w:color w:val="auto"/>
          <w:sz w:val="48"/>
          <w:szCs w:val="48"/>
          <w:highlight w:val="none"/>
          <w:u w:val="none"/>
          <w:lang w:val="en-US" w:eastAsia="zh-CN"/>
        </w:rPr>
        <w:t>服务合同</w:t>
      </w:r>
    </w:p>
    <w:p>
      <w:pPr>
        <w:pStyle w:val="7"/>
        <w:rPr>
          <w:rFonts w:hint="eastAsia" w:ascii="宋体" w:hAnsi="宋体" w:cs="宋体"/>
          <w:b/>
          <w:bCs/>
          <w:color w:val="auto"/>
          <w:sz w:val="48"/>
          <w:szCs w:val="48"/>
          <w:highlight w:val="none"/>
          <w:u w:val="single"/>
        </w:rPr>
      </w:pPr>
    </w:p>
    <w:p>
      <w:pPr>
        <w:pStyle w:val="7"/>
        <w:rPr>
          <w:rFonts w:hint="default" w:ascii="宋体" w:hAnsi="宋体" w:cs="宋体"/>
          <w:b/>
          <w:bCs/>
          <w:color w:val="auto"/>
          <w:sz w:val="48"/>
          <w:szCs w:val="48"/>
          <w:highlight w:val="none"/>
          <w:u w:val="single"/>
          <w:lang w:val="en-US" w:eastAsia="zh-CN"/>
        </w:rPr>
      </w:pPr>
    </w:p>
    <w:p>
      <w:pPr>
        <w:pStyle w:val="44"/>
        <w:rPr>
          <w:rFonts w:hint="eastAsia" w:ascii="仿宋" w:hAnsi="仿宋" w:eastAsia="仿宋" w:cs="仿宋"/>
          <w:color w:val="auto"/>
          <w:sz w:val="32"/>
          <w:szCs w:val="32"/>
          <w:highlight w:val="none"/>
          <w:lang w:val="en-US" w:eastAsia="zh-CN"/>
        </w:rPr>
      </w:pPr>
    </w:p>
    <w:p>
      <w:pPr>
        <w:spacing w:line="360" w:lineRule="auto"/>
        <w:jc w:val="left"/>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合同编号：</w:t>
      </w:r>
      <w:r>
        <w:rPr>
          <w:rFonts w:hint="eastAsia" w:ascii="仿宋" w:hAnsi="仿宋" w:eastAsia="仿宋" w:cs="仿宋"/>
          <w:color w:val="auto"/>
          <w:sz w:val="32"/>
          <w:szCs w:val="32"/>
          <w:highlight w:val="none"/>
          <w:lang w:val="en-US" w:eastAsia="zh-CN"/>
        </w:rPr>
        <w:t>穗净水合[2023]        号</w:t>
      </w:r>
    </w:p>
    <w:p>
      <w:pPr>
        <w:pStyle w:val="44"/>
        <w:rPr>
          <w:rFonts w:hint="eastAsia" w:ascii="仿宋" w:hAnsi="仿宋" w:eastAsia="仿宋" w:cs="仿宋"/>
          <w:color w:val="auto"/>
          <w:sz w:val="32"/>
          <w:szCs w:val="32"/>
          <w:highlight w:val="none"/>
          <w:lang w:val="en-US" w:eastAsia="zh-CN"/>
        </w:rPr>
      </w:pPr>
    </w:p>
    <w:p>
      <w:pPr>
        <w:spacing w:line="360" w:lineRule="auto"/>
        <w:jc w:val="left"/>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甲    方：</w:t>
      </w:r>
      <w:r>
        <w:rPr>
          <w:rFonts w:hint="eastAsia" w:ascii="仿宋" w:hAnsi="仿宋" w:eastAsia="仿宋" w:cs="仿宋"/>
          <w:color w:val="auto"/>
          <w:sz w:val="32"/>
          <w:szCs w:val="32"/>
          <w:highlight w:val="none"/>
          <w:lang w:val="en-US" w:eastAsia="zh-CN"/>
        </w:rPr>
        <w:t>广州市净水有限公司</w:t>
      </w:r>
    </w:p>
    <w:p>
      <w:pPr>
        <w:spacing w:line="360" w:lineRule="auto"/>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乙    方：</w:t>
      </w:r>
    </w:p>
    <w:p>
      <w:pPr>
        <w:spacing w:line="360" w:lineRule="auto"/>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p>
    <w:p>
      <w:pPr>
        <w:pStyle w:val="2"/>
        <w:rPr>
          <w:rFonts w:hint="eastAsia" w:ascii="仿宋" w:hAnsi="仿宋" w:eastAsia="仿宋" w:cs="仿宋"/>
          <w:color w:val="auto"/>
          <w:sz w:val="32"/>
          <w:szCs w:val="32"/>
          <w:highlight w:val="none"/>
          <w:lang w:val="en-US" w:eastAsia="zh-CN"/>
        </w:rPr>
      </w:pPr>
    </w:p>
    <w:p>
      <w:pPr>
        <w:pStyle w:val="2"/>
        <w:rPr>
          <w:rFonts w:hint="eastAsia" w:ascii="仿宋" w:hAnsi="仿宋" w:eastAsia="仿宋" w:cs="仿宋"/>
          <w:color w:val="auto"/>
          <w:sz w:val="32"/>
          <w:szCs w:val="32"/>
          <w:highlight w:val="none"/>
          <w:lang w:val="en-US" w:eastAsia="zh-CN"/>
        </w:rPr>
      </w:pPr>
    </w:p>
    <w:p>
      <w:pPr>
        <w:spacing w:line="360" w:lineRule="auto"/>
        <w:jc w:val="left"/>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签订地点：</w:t>
      </w:r>
      <w:r>
        <w:rPr>
          <w:rFonts w:hint="eastAsia" w:ascii="仿宋" w:hAnsi="仿宋" w:eastAsia="仿宋" w:cs="仿宋"/>
          <w:color w:val="auto"/>
          <w:sz w:val="32"/>
          <w:szCs w:val="32"/>
          <w:highlight w:val="none"/>
          <w:lang w:val="en-US" w:eastAsia="zh-CN"/>
        </w:rPr>
        <w:t>广州市</w:t>
      </w:r>
    </w:p>
    <w:p>
      <w:pPr>
        <w:spacing w:line="360" w:lineRule="auto"/>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签订日期：</w:t>
      </w:r>
    </w:p>
    <w:p>
      <w:pPr>
        <w:pStyle w:val="2"/>
        <w:ind w:left="0" w:leftChars="0" w:firstLine="0" w:firstLineChars="0"/>
        <w:rPr>
          <w:rFonts w:hint="eastAsia"/>
          <w:color w:val="auto"/>
          <w:highlight w:val="none"/>
        </w:rPr>
      </w:pPr>
    </w:p>
    <w:p>
      <w:pPr>
        <w:spacing w:line="360" w:lineRule="auto"/>
        <w:ind w:firstLine="480" w:firstLineChars="200"/>
        <w:rPr>
          <w:rFonts w:hint="eastAsia" w:ascii="宋体" w:hAnsi="宋体" w:eastAsia="宋体"/>
          <w:color w:val="auto"/>
          <w:sz w:val="24"/>
          <w:szCs w:val="24"/>
          <w:highlight w:val="none"/>
          <w:lang w:val="en-US" w:eastAsia="zh-CN"/>
        </w:rPr>
      </w:pPr>
    </w:p>
    <w:p>
      <w:pPr>
        <w:spacing w:line="360" w:lineRule="auto"/>
        <w:ind w:firstLine="720" w:firstLineChars="300"/>
        <w:rPr>
          <w:color w:val="auto"/>
          <w:sz w:val="24"/>
          <w:szCs w:val="24"/>
          <w:highlight w:val="none"/>
        </w:rPr>
      </w:pPr>
      <w:r>
        <w:rPr>
          <w:rFonts w:hint="eastAsia" w:ascii="宋体" w:hAnsi="宋体" w:eastAsia="宋体"/>
          <w:color w:val="auto"/>
          <w:sz w:val="24"/>
          <w:szCs w:val="24"/>
          <w:highlight w:val="none"/>
          <w:lang w:val="en-US" w:eastAsia="zh-CN"/>
        </w:rPr>
        <w:t>根据《中华人民共和国民法典》及其他有关法律、行政法规，</w:t>
      </w:r>
      <w:r>
        <w:rPr>
          <w:rFonts w:hint="eastAsia" w:ascii="宋体" w:hAnsi="宋体" w:eastAsia="宋体"/>
          <w:color w:val="auto"/>
          <w:sz w:val="24"/>
          <w:szCs w:val="24"/>
          <w:highlight w:val="none"/>
          <w:u w:val="single"/>
        </w:rPr>
        <w:t>广州市净水有限公司</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（以下简称“甲方”）委托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（以下简称“乙方”）负责</w:t>
      </w:r>
      <w:r>
        <w:rPr>
          <w:rFonts w:ascii="宋体" w:hAnsi="宋体" w:eastAsia="宋体"/>
          <w:color w:val="auto"/>
          <w:sz w:val="24"/>
          <w:szCs w:val="24"/>
          <w:highlight w:val="none"/>
          <w:u w:val="single"/>
        </w:rPr>
        <w:t xml:space="preserve"> </w:t>
      </w:r>
      <w:r>
        <w:rPr>
          <w:rFonts w:hint="eastAsia" w:ascii="宋体" w:hAnsi="宋体" w:eastAsia="宋体" w:cstheme="minorBidi"/>
          <w:b w:val="0"/>
          <w:bCs w:val="0"/>
          <w:color w:val="auto"/>
          <w:sz w:val="24"/>
          <w:szCs w:val="24"/>
          <w:highlight w:val="none"/>
          <w:u w:val="single"/>
        </w:rPr>
        <w:t>广州市净水有限公司</w:t>
      </w:r>
      <w:r>
        <w:rPr>
          <w:rFonts w:hint="eastAsia" w:ascii="宋体" w:hAnsi="宋体" w:eastAsia="宋体" w:cstheme="minorBidi"/>
          <w:b w:val="0"/>
          <w:bCs w:val="0"/>
          <w:color w:val="auto"/>
          <w:sz w:val="24"/>
          <w:szCs w:val="24"/>
          <w:highlight w:val="none"/>
          <w:u w:val="single"/>
          <w:lang w:val="en-US" w:eastAsia="zh-CN"/>
        </w:rPr>
        <w:t>大沙地</w:t>
      </w:r>
      <w:r>
        <w:rPr>
          <w:rFonts w:hint="eastAsia" w:ascii="宋体" w:hAnsi="宋体" w:eastAsia="宋体" w:cstheme="minorBidi"/>
          <w:b w:val="0"/>
          <w:bCs w:val="0"/>
          <w:color w:val="auto"/>
          <w:sz w:val="24"/>
          <w:szCs w:val="24"/>
          <w:highlight w:val="none"/>
          <w:u w:val="single"/>
        </w:rPr>
        <w:t>分公司202</w:t>
      </w:r>
      <w:r>
        <w:rPr>
          <w:rFonts w:hint="eastAsia" w:ascii="宋体" w:hAnsi="宋体" w:eastAsia="宋体" w:cstheme="minorBidi"/>
          <w:b w:val="0"/>
          <w:bCs w:val="0"/>
          <w:color w:val="auto"/>
          <w:sz w:val="24"/>
          <w:szCs w:val="24"/>
          <w:highlight w:val="none"/>
          <w:u w:val="single"/>
          <w:lang w:val="en-US" w:eastAsia="zh-CN"/>
        </w:rPr>
        <w:t>4</w:t>
      </w:r>
      <w:r>
        <w:rPr>
          <w:rFonts w:hint="eastAsia" w:ascii="宋体" w:hAnsi="宋体" w:eastAsia="宋体" w:cstheme="minorBidi"/>
          <w:b w:val="0"/>
          <w:bCs w:val="0"/>
          <w:color w:val="auto"/>
          <w:sz w:val="24"/>
          <w:szCs w:val="24"/>
          <w:highlight w:val="none"/>
          <w:u w:val="single"/>
        </w:rPr>
        <w:t>年ISO管理体系</w:t>
      </w:r>
      <w:r>
        <w:rPr>
          <w:rFonts w:hint="eastAsia" w:ascii="宋体" w:hAnsi="宋体" w:eastAsia="宋体" w:cstheme="minorBidi"/>
          <w:b w:val="0"/>
          <w:bCs w:val="0"/>
          <w:color w:val="auto"/>
          <w:sz w:val="24"/>
          <w:szCs w:val="24"/>
          <w:highlight w:val="none"/>
          <w:u w:val="single"/>
          <w:lang w:val="en-US" w:eastAsia="zh-CN"/>
        </w:rPr>
        <w:t>年度监督审核</w:t>
      </w:r>
      <w:r>
        <w:rPr>
          <w:rFonts w:hint="eastAsia" w:ascii="宋体" w:hAnsi="宋体" w:eastAsia="宋体" w:cstheme="minorBidi"/>
          <w:b w:val="0"/>
          <w:bCs w:val="0"/>
          <w:color w:val="auto"/>
          <w:sz w:val="24"/>
          <w:szCs w:val="24"/>
          <w:highlight w:val="none"/>
          <w:u w:val="single"/>
        </w:rPr>
        <w:t>服务项目</w:t>
      </w:r>
      <w:r>
        <w:rPr>
          <w:rFonts w:hint="eastAsia" w:asciiTheme="minorEastAsia" w:hAnsiTheme="minorEastAsia" w:eastAsiaTheme="minorEastAsia" w:cstheme="minorEastAsia"/>
          <w:color w:val="auto"/>
          <w:sz w:val="24"/>
          <w:highlight w:val="none"/>
        </w:rPr>
        <w:t>承接工作事宜，</w:t>
      </w:r>
      <w:r>
        <w:rPr>
          <w:rFonts w:hint="eastAsia" w:ascii="宋体" w:hAnsi="宋体" w:cs="宋体"/>
          <w:color w:val="auto"/>
          <w:sz w:val="24"/>
          <w:highlight w:val="none"/>
        </w:rPr>
        <w:t>遵循平等、自愿、公平和诚实信用的原则，双方协商一致，订立本合同</w:t>
      </w:r>
      <w:r>
        <w:rPr>
          <w:rFonts w:hint="eastAsia" w:ascii="宋体" w:hAnsi="宋体" w:cs="宋体"/>
          <w:color w:val="auto"/>
          <w:sz w:val="24"/>
          <w:highlight w:val="none"/>
          <w:lang w:eastAsia="zh-CN"/>
        </w:rPr>
        <w:t>，</w:t>
      </w:r>
      <w:r>
        <w:rPr>
          <w:rFonts w:hint="eastAsia" w:ascii="宋体" w:hAnsi="宋体" w:eastAsia="宋体"/>
          <w:color w:val="auto"/>
          <w:sz w:val="24"/>
          <w:szCs w:val="24"/>
          <w:highlight w:val="none"/>
        </w:rPr>
        <w:t>共同遵守</w:t>
      </w:r>
      <w:r>
        <w:rPr>
          <w:rFonts w:ascii="宋体" w:hAnsi="宋体" w:eastAsia="宋体"/>
          <w:color w:val="auto"/>
          <w:sz w:val="24"/>
          <w:szCs w:val="24"/>
          <w:highlight w:val="none"/>
        </w:rPr>
        <w:t>如下条款：</w:t>
      </w:r>
    </w:p>
    <w:p>
      <w:pPr>
        <w:pStyle w:val="9"/>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一、下列文件均为本合同的组成部分，可视为能相互说明和补充的，如果合同文件存在歧义或相矛盾的地方，则根据以下次序判断：</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①在本合同实施过程中双方签署的补充与修正文件</w:t>
      </w:r>
    </w:p>
    <w:p>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②本合同</w:t>
      </w:r>
      <w:r>
        <w:rPr>
          <w:rFonts w:hint="eastAsia" w:ascii="宋体" w:hAnsi="宋体" w:eastAsia="宋体"/>
          <w:color w:val="auto"/>
          <w:sz w:val="24"/>
          <w:szCs w:val="24"/>
          <w:highlight w:val="none"/>
          <w:lang w:val="en-US" w:eastAsia="zh-CN"/>
        </w:rPr>
        <w:t>及其附件</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③</w:t>
      </w:r>
      <w:r>
        <w:rPr>
          <w:rFonts w:ascii="宋体" w:hAnsi="宋体" w:eastAsia="宋体"/>
          <w:color w:val="auto"/>
          <w:sz w:val="24"/>
          <w:szCs w:val="24"/>
          <w:highlight w:val="none"/>
        </w:rPr>
        <w:t>发包通知书</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④甲方的</w:t>
      </w:r>
      <w:r>
        <w:rPr>
          <w:rFonts w:ascii="宋体" w:hAnsi="宋体" w:eastAsia="宋体"/>
          <w:color w:val="auto"/>
          <w:sz w:val="24"/>
          <w:szCs w:val="24"/>
          <w:highlight w:val="none"/>
        </w:rPr>
        <w:t>询价文件</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⑤乙方的</w:t>
      </w:r>
      <w:r>
        <w:rPr>
          <w:rFonts w:ascii="宋体" w:hAnsi="宋体" w:eastAsia="宋体"/>
          <w:color w:val="auto"/>
          <w:sz w:val="24"/>
          <w:szCs w:val="24"/>
          <w:highlight w:val="none"/>
        </w:rPr>
        <w:t>响应文件</w:t>
      </w:r>
    </w:p>
    <w:p>
      <w:pPr>
        <w:spacing w:line="360" w:lineRule="auto"/>
        <w:ind w:firstLine="482" w:firstLineChars="200"/>
        <w:rPr>
          <w:rFonts w:ascii="宋体" w:hAnsi="宋体" w:eastAsia="宋体"/>
          <w:b/>
          <w:color w:val="auto"/>
          <w:sz w:val="24"/>
          <w:szCs w:val="24"/>
          <w:highlight w:val="none"/>
        </w:rPr>
      </w:pPr>
      <w:bookmarkStart w:id="87" w:name="_Toc501057138"/>
      <w:bookmarkStart w:id="88" w:name="_Toc501057052"/>
      <w:r>
        <w:rPr>
          <w:rFonts w:hint="eastAsia" w:ascii="宋体" w:hAnsi="宋体" w:eastAsia="宋体"/>
          <w:b/>
          <w:color w:val="auto"/>
          <w:sz w:val="24"/>
          <w:szCs w:val="24"/>
          <w:highlight w:val="none"/>
        </w:rPr>
        <w:t>二、乙方服务内容</w:t>
      </w:r>
      <w:bookmarkEnd w:id="87"/>
      <w:bookmarkEnd w:id="88"/>
    </w:p>
    <w:p>
      <w:pPr>
        <w:widowControl/>
        <w:spacing w:line="360" w:lineRule="auto"/>
        <w:ind w:firstLine="480" w:firstLineChars="200"/>
        <w:rPr>
          <w:rFonts w:hint="eastAsia" w:ascii="宋体" w:hAnsi="宋体" w:eastAsia="宋体"/>
          <w:color w:val="auto"/>
          <w:kern w:val="28"/>
          <w:sz w:val="24"/>
          <w:szCs w:val="24"/>
          <w:highlight w:val="none"/>
        </w:rPr>
      </w:pPr>
      <w:r>
        <w:rPr>
          <w:rFonts w:hint="eastAsia" w:ascii="宋体" w:hAnsi="宋体" w:eastAsia="宋体"/>
          <w:color w:val="auto"/>
          <w:kern w:val="28"/>
          <w:sz w:val="24"/>
          <w:szCs w:val="24"/>
          <w:highlight w:val="none"/>
          <w:lang w:val="en-US" w:eastAsia="zh-CN"/>
        </w:rPr>
        <w:t>2.</w:t>
      </w:r>
      <w:r>
        <w:rPr>
          <w:rFonts w:hint="eastAsia" w:ascii="宋体" w:hAnsi="宋体" w:eastAsia="宋体"/>
          <w:color w:val="auto"/>
          <w:kern w:val="28"/>
          <w:sz w:val="24"/>
          <w:szCs w:val="24"/>
          <w:highlight w:val="none"/>
        </w:rPr>
        <w:t>1对</w:t>
      </w:r>
      <w:r>
        <w:rPr>
          <w:rFonts w:hint="eastAsia" w:ascii="宋体" w:hAnsi="宋体" w:eastAsia="宋体" w:cstheme="minorBidi"/>
          <w:b w:val="0"/>
          <w:bCs w:val="0"/>
          <w:color w:val="auto"/>
          <w:kern w:val="28"/>
          <w:sz w:val="24"/>
          <w:szCs w:val="24"/>
          <w:highlight w:val="none"/>
          <w:u w:val="none"/>
        </w:rPr>
        <w:t>广州市净水有限公司</w:t>
      </w:r>
      <w:r>
        <w:rPr>
          <w:rFonts w:hint="eastAsia" w:ascii="宋体" w:hAnsi="宋体" w:eastAsia="宋体" w:cstheme="minorBidi"/>
          <w:b w:val="0"/>
          <w:bCs w:val="0"/>
          <w:color w:val="auto"/>
          <w:kern w:val="28"/>
          <w:sz w:val="24"/>
          <w:szCs w:val="24"/>
          <w:highlight w:val="none"/>
          <w:u w:val="none"/>
          <w:lang w:val="en-US" w:eastAsia="zh-CN"/>
        </w:rPr>
        <w:t>大沙地</w:t>
      </w:r>
      <w:r>
        <w:rPr>
          <w:rFonts w:hint="eastAsia" w:ascii="宋体" w:hAnsi="宋体" w:eastAsia="宋体" w:cstheme="minorBidi"/>
          <w:b w:val="0"/>
          <w:bCs w:val="0"/>
          <w:color w:val="auto"/>
          <w:kern w:val="28"/>
          <w:sz w:val="24"/>
          <w:szCs w:val="24"/>
          <w:highlight w:val="none"/>
          <w:u w:val="none"/>
        </w:rPr>
        <w:t>分公司2023年</w:t>
      </w:r>
      <w:r>
        <w:rPr>
          <w:rFonts w:hint="eastAsia" w:ascii="宋体" w:hAnsi="宋体" w:eastAsia="宋体"/>
          <w:color w:val="auto"/>
          <w:kern w:val="28"/>
          <w:sz w:val="24"/>
          <w:szCs w:val="24"/>
          <w:highlight w:val="none"/>
        </w:rPr>
        <w:t>ISO管理体系及证书</w:t>
      </w:r>
      <w:r>
        <w:rPr>
          <w:rFonts w:hint="eastAsia" w:ascii="宋体" w:hAnsi="宋体" w:eastAsia="宋体"/>
          <w:color w:val="auto"/>
          <w:kern w:val="28"/>
          <w:sz w:val="24"/>
          <w:szCs w:val="24"/>
          <w:highlight w:val="none"/>
          <w:lang w:val="en-US" w:eastAsia="zh-CN"/>
        </w:rPr>
        <w:t>进行</w:t>
      </w:r>
      <w:r>
        <w:rPr>
          <w:rFonts w:hint="eastAsia" w:ascii="宋体" w:hAnsi="宋体" w:eastAsia="宋体"/>
          <w:color w:val="auto"/>
          <w:kern w:val="28"/>
          <w:sz w:val="24"/>
          <w:szCs w:val="24"/>
          <w:highlight w:val="none"/>
        </w:rPr>
        <w:t>年度</w:t>
      </w:r>
      <w:r>
        <w:rPr>
          <w:rFonts w:hint="eastAsia" w:ascii="宋体" w:hAnsi="宋体" w:eastAsia="宋体"/>
          <w:color w:val="auto"/>
          <w:kern w:val="28"/>
          <w:sz w:val="24"/>
          <w:szCs w:val="24"/>
          <w:highlight w:val="none"/>
          <w:lang w:val="en-US" w:eastAsia="zh-CN"/>
        </w:rPr>
        <w:t>监督审核服务</w:t>
      </w:r>
      <w:r>
        <w:rPr>
          <w:rFonts w:hint="eastAsia" w:ascii="宋体" w:hAnsi="宋体" w:eastAsia="宋体"/>
          <w:color w:val="auto"/>
          <w:kern w:val="28"/>
          <w:sz w:val="24"/>
          <w:szCs w:val="24"/>
          <w:highlight w:val="none"/>
        </w:rPr>
        <w:t>。</w:t>
      </w:r>
      <w:r>
        <w:rPr>
          <w:rFonts w:hint="eastAsia" w:ascii="宋体" w:hAnsi="宋体" w:eastAsia="宋体"/>
          <w:color w:val="auto"/>
          <w:kern w:val="28"/>
          <w:sz w:val="24"/>
          <w:szCs w:val="24"/>
          <w:highlight w:val="none"/>
          <w:lang w:val="en-US" w:eastAsia="zh-CN"/>
        </w:rPr>
        <w:t>年度监督审核</w:t>
      </w:r>
      <w:r>
        <w:rPr>
          <w:rFonts w:hint="eastAsia" w:ascii="宋体" w:hAnsi="宋体" w:eastAsia="宋体"/>
          <w:color w:val="auto"/>
          <w:kern w:val="28"/>
          <w:sz w:val="24"/>
          <w:szCs w:val="24"/>
          <w:highlight w:val="none"/>
        </w:rPr>
        <w:t>领域：质量管理体系GB/T19001-2016、lSO9001-2015；职业健康安全管理体系GB／T45001-2020、ISO45001-2018；环境管理体系GB／T24001-2016、ISO14001-2015。</w:t>
      </w:r>
    </w:p>
    <w:p>
      <w:pPr>
        <w:widowControl/>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2.2</w:t>
      </w:r>
      <w:r>
        <w:rPr>
          <w:rFonts w:hint="eastAsia" w:ascii="宋体" w:hAnsi="宋体" w:eastAsia="宋体" w:cstheme="minorBidi"/>
          <w:color w:val="auto"/>
          <w:kern w:val="2"/>
          <w:sz w:val="24"/>
          <w:szCs w:val="24"/>
          <w:highlight w:val="none"/>
          <w:lang w:val="en-US" w:eastAsia="zh-CN" w:bidi="ar-SA"/>
        </w:rPr>
        <w:t>需按照国家认证认可的法律法规和认证方案对广州市净水有限公司大沙地分公司的</w:t>
      </w:r>
      <w:r>
        <w:rPr>
          <w:rFonts w:hint="eastAsia" w:ascii="宋体" w:hAnsi="宋体" w:eastAsia="宋体" w:cstheme="minorBidi"/>
          <w:color w:val="auto"/>
          <w:sz w:val="24"/>
          <w:szCs w:val="24"/>
          <w:highlight w:val="none"/>
          <w:lang w:val="en-US" w:eastAsia="zh-CN"/>
        </w:rPr>
        <w:t>质量管理体系</w:t>
      </w:r>
      <w:r>
        <w:rPr>
          <w:rFonts w:hint="eastAsia" w:ascii="宋体" w:hAnsi="宋体" w:eastAsia="宋体"/>
          <w:color w:val="auto"/>
          <w:sz w:val="24"/>
          <w:szCs w:val="24"/>
          <w:highlight w:val="none"/>
        </w:rPr>
        <w:t>GB/T19001、ISO9001；职业健康安全管理体系GB/T45001、ISO45001；环境管理体系GB/T24001、ISO14001</w:t>
      </w:r>
      <w:r>
        <w:rPr>
          <w:rFonts w:hint="eastAsia" w:ascii="宋体" w:hAnsi="宋体" w:eastAsia="宋体" w:cstheme="minorBidi"/>
          <w:color w:val="auto"/>
          <w:kern w:val="2"/>
          <w:sz w:val="24"/>
          <w:szCs w:val="24"/>
          <w:highlight w:val="none"/>
          <w:lang w:val="en-US" w:eastAsia="zh-CN" w:bidi="ar-SA"/>
        </w:rPr>
        <w:t>提供</w:t>
      </w:r>
      <w:r>
        <w:rPr>
          <w:rFonts w:hint="eastAsia" w:ascii="宋体" w:hAnsi="宋体" w:eastAsia="宋体"/>
          <w:color w:val="auto"/>
          <w:kern w:val="28"/>
          <w:sz w:val="24"/>
          <w:szCs w:val="24"/>
          <w:highlight w:val="none"/>
        </w:rPr>
        <w:t>年度</w:t>
      </w:r>
      <w:r>
        <w:rPr>
          <w:rFonts w:hint="eastAsia" w:ascii="宋体" w:hAnsi="宋体" w:eastAsia="宋体"/>
          <w:color w:val="auto"/>
          <w:kern w:val="28"/>
          <w:sz w:val="24"/>
          <w:szCs w:val="24"/>
          <w:highlight w:val="none"/>
          <w:lang w:val="en-US" w:eastAsia="zh-CN"/>
        </w:rPr>
        <w:t>监督审核</w:t>
      </w:r>
      <w:r>
        <w:rPr>
          <w:rFonts w:hint="eastAsia" w:ascii="宋体" w:hAnsi="宋体" w:eastAsia="宋体" w:cstheme="minorBidi"/>
          <w:color w:val="auto"/>
          <w:kern w:val="2"/>
          <w:sz w:val="24"/>
          <w:szCs w:val="24"/>
          <w:highlight w:val="none"/>
          <w:lang w:val="en-US" w:eastAsia="zh-CN" w:bidi="ar-SA"/>
        </w:rPr>
        <w:t>服务</w:t>
      </w:r>
      <w:r>
        <w:rPr>
          <w:rFonts w:hint="eastAsia" w:ascii="宋体" w:hAnsi="宋体" w:eastAsia="宋体" w:cstheme="minorBidi"/>
          <w:color w:val="auto"/>
          <w:sz w:val="24"/>
          <w:szCs w:val="24"/>
          <w:highlight w:val="none"/>
          <w:lang w:val="en-US" w:eastAsia="zh-CN"/>
        </w:rPr>
        <w:t>，</w:t>
      </w:r>
      <w:r>
        <w:rPr>
          <w:rFonts w:hint="eastAsia" w:ascii="宋体" w:hAnsi="宋体" w:eastAsia="宋体" w:cstheme="minorBidi"/>
          <w:color w:val="auto"/>
          <w:kern w:val="2"/>
          <w:sz w:val="24"/>
          <w:szCs w:val="24"/>
          <w:highlight w:val="none"/>
          <w:lang w:val="en-US" w:eastAsia="zh-CN" w:bidi="ar-SA"/>
        </w:rPr>
        <w:t>同时协助广州市净水有限公司大沙地分公司取得2024年ISO管理体系</w:t>
      </w:r>
      <w:r>
        <w:rPr>
          <w:rFonts w:hint="eastAsia" w:ascii="宋体" w:hAnsi="宋体" w:eastAsia="宋体"/>
          <w:color w:val="auto"/>
          <w:kern w:val="28"/>
          <w:sz w:val="24"/>
          <w:szCs w:val="24"/>
          <w:highlight w:val="none"/>
        </w:rPr>
        <w:t>年度</w:t>
      </w:r>
      <w:r>
        <w:rPr>
          <w:rFonts w:hint="eastAsia" w:ascii="宋体" w:hAnsi="宋体" w:eastAsia="宋体"/>
          <w:color w:val="auto"/>
          <w:kern w:val="28"/>
          <w:sz w:val="24"/>
          <w:szCs w:val="24"/>
          <w:highlight w:val="none"/>
          <w:lang w:val="en-US" w:eastAsia="zh-CN"/>
        </w:rPr>
        <w:t>监督审核</w:t>
      </w:r>
      <w:r>
        <w:rPr>
          <w:rFonts w:hint="eastAsia" w:ascii="宋体" w:hAnsi="宋体" w:eastAsia="宋体" w:cstheme="minorBidi"/>
          <w:color w:val="auto"/>
          <w:kern w:val="2"/>
          <w:sz w:val="24"/>
          <w:szCs w:val="24"/>
          <w:highlight w:val="none"/>
          <w:lang w:val="en-US" w:eastAsia="zh-CN" w:bidi="ar-SA"/>
        </w:rPr>
        <w:t>证书</w:t>
      </w:r>
      <w:r>
        <w:rPr>
          <w:rFonts w:hint="eastAsia" w:ascii="宋体" w:hAnsi="宋体" w:eastAsia="宋体"/>
          <w:color w:val="auto"/>
          <w:sz w:val="24"/>
          <w:szCs w:val="24"/>
          <w:highlight w:val="none"/>
        </w:rPr>
        <w:t>。</w:t>
      </w:r>
    </w:p>
    <w:p>
      <w:pPr>
        <w:pStyle w:val="2"/>
        <w:rPr>
          <w:rFonts w:hint="eastAsia"/>
        </w:rPr>
      </w:pPr>
    </w:p>
    <w:tbl>
      <w:tblPr>
        <w:tblStyle w:val="21"/>
        <w:tblW w:w="9894" w:type="dxa"/>
        <w:tblInd w:w="-4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93"/>
        <w:gridCol w:w="1478"/>
        <w:gridCol w:w="3072"/>
        <w:gridCol w:w="3286"/>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blHeader/>
        </w:trPr>
        <w:tc>
          <w:tcPr>
            <w:tcW w:w="89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w:t>
            </w:r>
          </w:p>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478"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所属单位</w:t>
            </w:r>
          </w:p>
        </w:tc>
        <w:tc>
          <w:tcPr>
            <w:tcW w:w="30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3286"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实施内容</w:t>
            </w:r>
          </w:p>
        </w:tc>
        <w:tc>
          <w:tcPr>
            <w:tcW w:w="1165"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体系覆盖人数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blHeader/>
        </w:trPr>
        <w:tc>
          <w:tcPr>
            <w:tcW w:w="893" w:type="dxa"/>
            <w:vMerge w:val="continue"/>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478" w:type="dxa"/>
            <w:vMerge w:val="continue"/>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3072" w:type="dxa"/>
            <w:vMerge w:val="continue"/>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3286" w:type="dxa"/>
            <w:vMerge w:val="continue"/>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165" w:type="dxa"/>
            <w:vMerge w:val="continue"/>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一</w:t>
            </w:r>
          </w:p>
        </w:tc>
        <w:tc>
          <w:tcPr>
            <w:tcW w:w="147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shd w:val="clear" w:color="auto" w:fill="auto"/>
                <w:lang w:val="en-US" w:eastAsia="zh-CN" w:bidi="ar"/>
              </w:rPr>
              <w:t>大沙地分公司</w:t>
            </w:r>
          </w:p>
        </w:tc>
        <w:tc>
          <w:tcPr>
            <w:tcW w:w="3072"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shd w:val="clear" w:color="auto" w:fill="auto"/>
                <w:lang w:val="en-US" w:eastAsia="zh-CN" w:bidi="ar"/>
              </w:rPr>
              <w:t>大沙地分公司2024年ISO管理体系年度监督审核服务项目</w:t>
            </w:r>
          </w:p>
        </w:tc>
        <w:tc>
          <w:tcPr>
            <w:tcW w:w="3286" w:type="dxa"/>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shd w:val="clear" w:color="auto" w:fill="auto"/>
                <w:lang w:val="en-US" w:eastAsia="zh-CN" w:bidi="ar"/>
              </w:rPr>
              <w:t>2024年ISO管理体系年度监督审核服务</w:t>
            </w:r>
          </w:p>
        </w:tc>
        <w:tc>
          <w:tcPr>
            <w:tcW w:w="1165" w:type="dxa"/>
            <w:shd w:val="clear" w:color="auto" w:fill="auto"/>
            <w:noWrap/>
            <w:vAlign w:val="center"/>
          </w:tcPr>
          <w:p>
            <w:pPr>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shd w:val="clear" w:color="auto" w:fill="auto"/>
                <w:lang w:val="en-US" w:eastAsia="zh-CN"/>
              </w:rPr>
              <w:t>约142</w:t>
            </w:r>
          </w:p>
        </w:tc>
      </w:tr>
    </w:tbl>
    <w:p>
      <w:pPr>
        <w:spacing w:line="360" w:lineRule="auto"/>
        <w:ind w:firstLine="241" w:firstLineChars="100"/>
        <w:rPr>
          <w:rFonts w:hint="eastAsia" w:ascii="宋体" w:hAnsi="宋体" w:eastAsia="宋体"/>
          <w:b/>
          <w:color w:val="auto"/>
          <w:sz w:val="24"/>
          <w:szCs w:val="24"/>
          <w:highlight w:val="none"/>
          <w:lang w:val="en-US" w:eastAsia="zh-CN"/>
        </w:rPr>
      </w:pPr>
    </w:p>
    <w:p>
      <w:pPr>
        <w:spacing w:line="360" w:lineRule="auto"/>
        <w:ind w:firstLine="241" w:firstLineChars="100"/>
        <w:rPr>
          <w:rFonts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三</w:t>
      </w:r>
      <w:r>
        <w:rPr>
          <w:rFonts w:hint="eastAsia" w:ascii="宋体" w:hAnsi="宋体" w:eastAsia="宋体"/>
          <w:b/>
          <w:color w:val="auto"/>
          <w:sz w:val="24"/>
          <w:szCs w:val="24"/>
          <w:highlight w:val="none"/>
        </w:rPr>
        <w:t>、项目服务期限及实施地点</w:t>
      </w:r>
    </w:p>
    <w:p>
      <w:pPr>
        <w:spacing w:line="360" w:lineRule="auto"/>
        <w:ind w:firstLine="480" w:firstLineChars="200"/>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3.</w:t>
      </w:r>
      <w:r>
        <w:rPr>
          <w:rFonts w:ascii="宋体" w:hAnsi="宋体" w:eastAsia="宋体"/>
          <w:bCs/>
          <w:color w:val="auto"/>
          <w:sz w:val="24"/>
          <w:szCs w:val="24"/>
          <w:highlight w:val="none"/>
        </w:rPr>
        <w:t>1</w:t>
      </w:r>
      <w:r>
        <w:rPr>
          <w:rFonts w:hint="eastAsia" w:ascii="宋体" w:hAnsi="宋体" w:eastAsia="宋体"/>
          <w:color w:val="auto"/>
          <w:sz w:val="24"/>
          <w:szCs w:val="24"/>
          <w:highlight w:val="none"/>
        </w:rPr>
        <w:t>项目服务期限</w:t>
      </w:r>
      <w:r>
        <w:rPr>
          <w:rFonts w:ascii="宋体" w:hAnsi="宋体" w:eastAsia="宋体"/>
          <w:color w:val="auto"/>
          <w:sz w:val="24"/>
          <w:szCs w:val="24"/>
          <w:highlight w:val="none"/>
        </w:rPr>
        <w:t>：</w:t>
      </w:r>
      <w:r>
        <w:rPr>
          <w:rFonts w:hint="eastAsia" w:ascii="宋体" w:hAnsi="宋体" w:eastAsia="宋体"/>
          <w:bCs/>
          <w:color w:val="auto"/>
          <w:sz w:val="24"/>
          <w:szCs w:val="24"/>
          <w:highlight w:val="none"/>
          <w:lang w:val="en-US" w:eastAsia="zh-CN"/>
        </w:rPr>
        <w:t>自合同签订起至2024年1月30日。</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bCs/>
          <w:color w:val="auto"/>
          <w:sz w:val="24"/>
          <w:szCs w:val="24"/>
          <w:highlight w:val="none"/>
          <w:lang w:val="en-US" w:eastAsia="zh-CN"/>
        </w:rPr>
        <w:t>3.</w:t>
      </w:r>
      <w:r>
        <w:rPr>
          <w:rFonts w:ascii="宋体" w:hAnsi="宋体" w:eastAsia="宋体"/>
          <w:bCs/>
          <w:color w:val="auto"/>
          <w:sz w:val="24"/>
          <w:szCs w:val="24"/>
          <w:highlight w:val="none"/>
        </w:rPr>
        <w:t>2</w:t>
      </w:r>
      <w:r>
        <w:rPr>
          <w:rFonts w:hint="eastAsia" w:ascii="宋体" w:hAnsi="宋体" w:eastAsia="宋体"/>
          <w:color w:val="auto"/>
          <w:sz w:val="24"/>
          <w:szCs w:val="24"/>
          <w:highlight w:val="none"/>
        </w:rPr>
        <w:t>项目服务地点：</w:t>
      </w:r>
      <w:r>
        <w:rPr>
          <w:rFonts w:hint="eastAsia" w:ascii="宋体" w:hAnsi="宋体" w:eastAsia="宋体"/>
          <w:color w:val="auto"/>
          <w:sz w:val="24"/>
          <w:szCs w:val="24"/>
          <w:highlight w:val="none"/>
          <w:lang w:val="en-US" w:eastAsia="zh-CN"/>
        </w:rPr>
        <w:t>广州市黄埔区港前路1661号广州市净水有限公司大沙地分公司</w:t>
      </w:r>
      <w:r>
        <w:rPr>
          <w:rFonts w:hint="eastAsia" w:ascii="宋体" w:hAnsi="宋体" w:eastAsia="宋体"/>
          <w:color w:val="auto"/>
          <w:sz w:val="24"/>
          <w:szCs w:val="24"/>
          <w:highlight w:val="none"/>
        </w:rPr>
        <w:t>。</w:t>
      </w:r>
    </w:p>
    <w:p>
      <w:pPr>
        <w:spacing w:line="360" w:lineRule="auto"/>
        <w:ind w:firstLine="482" w:firstLineChars="20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四、合同总价及结算支付方式</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4.1预付款的支付：</w:t>
      </w:r>
      <w:r>
        <w:rPr>
          <w:rFonts w:hint="eastAsia" w:ascii="宋体" w:hAnsi="宋体" w:eastAsia="宋体" w:cs="宋体"/>
          <w:color w:val="auto"/>
          <w:sz w:val="24"/>
          <w:highlight w:val="none"/>
          <w:lang w:val="en-US" w:eastAsia="zh-CN"/>
        </w:rPr>
        <w:sym w:font="Wingdings 2" w:char="0052"/>
      </w:r>
      <w:r>
        <w:rPr>
          <w:rFonts w:hint="eastAsia" w:ascii="宋体" w:hAnsi="宋体" w:eastAsia="宋体" w:cs="宋体"/>
          <w:color w:val="auto"/>
          <w:sz w:val="24"/>
          <w:highlight w:val="none"/>
          <w:lang w:val="en-US" w:eastAsia="zh-CN"/>
        </w:rPr>
        <w:t>无；</w:t>
      </w:r>
    </w:p>
    <w:p>
      <w:pPr>
        <w:tabs>
          <w:tab w:val="left" w:pos="851"/>
        </w:tabs>
        <w:adjustRightInd w:val="0"/>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4.2本合同采用总价包干方式，</w:t>
      </w:r>
      <w:r>
        <w:rPr>
          <w:rFonts w:hint="eastAsia" w:ascii="宋体" w:hAnsi="宋体" w:eastAsia="宋体"/>
          <w:color w:val="auto"/>
          <w:sz w:val="24"/>
          <w:szCs w:val="24"/>
          <w:highlight w:val="none"/>
        </w:rPr>
        <w:t>合同暂定</w:t>
      </w:r>
      <w:r>
        <w:rPr>
          <w:rFonts w:hint="eastAsia" w:ascii="宋体" w:hAnsi="宋体" w:eastAsia="宋体"/>
          <w:color w:val="auto"/>
          <w:sz w:val="24"/>
          <w:szCs w:val="24"/>
          <w:highlight w:val="none"/>
          <w:lang w:val="en-US" w:eastAsia="zh-CN"/>
        </w:rPr>
        <w:t>总</w:t>
      </w:r>
      <w:r>
        <w:rPr>
          <w:rFonts w:hint="eastAsia" w:ascii="宋体" w:hAnsi="宋体" w:eastAsia="宋体"/>
          <w:color w:val="auto"/>
          <w:sz w:val="24"/>
          <w:szCs w:val="24"/>
          <w:highlight w:val="none"/>
        </w:rPr>
        <w:t>金额为人民币（大写）</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，（小写）：¥ </w:t>
      </w:r>
      <w:r>
        <w:rPr>
          <w:rFonts w:ascii="宋体" w:hAnsi="宋体" w:eastAsia="宋体"/>
          <w:color w:val="auto"/>
          <w:sz w:val="24"/>
          <w:szCs w:val="24"/>
          <w:highlight w:val="none"/>
          <w:u w:val="single"/>
        </w:rPr>
        <w:t xml:space="preserve">                元</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lang w:val="en-US" w:eastAsia="zh-CN"/>
        </w:rPr>
        <w:t>含税</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lang w:val="en-US" w:eastAsia="zh-CN"/>
        </w:rPr>
        <w:t xml:space="preserve">                            </w:t>
      </w:r>
      <w:r>
        <w:rPr>
          <w:rFonts w:hint="eastAsia" w:ascii="宋体" w:hAnsi="宋体" w:eastAsia="宋体" w:cs="宋体"/>
          <w:color w:val="auto"/>
          <w:kern w:val="2"/>
          <w:sz w:val="24"/>
          <w:highlight w:val="none"/>
          <w:lang w:val="en-US"/>
        </w:rPr>
        <w:t>4.</w:t>
      </w:r>
      <w:r>
        <w:rPr>
          <w:rFonts w:hint="eastAsia" w:ascii="宋体" w:hAnsi="宋体" w:eastAsia="宋体" w:cs="宋体"/>
          <w:color w:val="auto"/>
          <w:kern w:val="2"/>
          <w:sz w:val="24"/>
          <w:highlight w:val="none"/>
          <w:lang w:val="en-US" w:eastAsia="zh-CN"/>
        </w:rPr>
        <w:t>3</w:t>
      </w:r>
      <w:r>
        <w:rPr>
          <w:rFonts w:hint="eastAsia" w:ascii="宋体" w:hAnsi="宋体" w:eastAsia="宋体" w:cs="宋体"/>
          <w:color w:val="auto"/>
          <w:kern w:val="2"/>
          <w:sz w:val="24"/>
          <w:highlight w:val="none"/>
        </w:rPr>
        <w:t>本合同约定的价格为含税价价格</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none"/>
          <w:lang w:val="en-US" w:eastAsia="zh-CN"/>
        </w:rPr>
        <w:t>税率为6%</w:t>
      </w:r>
      <w:r>
        <w:rPr>
          <w:rFonts w:hint="eastAsia" w:ascii="宋体" w:hAnsi="宋体" w:eastAsia="宋体" w:cs="宋体"/>
          <w:color w:val="auto"/>
          <w:sz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rPr>
        <w:t>支付方式：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rPr>
        <w:t>.1本项目以完成目标进行结算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乙方完成合同规定期限的</w:t>
      </w:r>
      <w:r>
        <w:rPr>
          <w:rFonts w:hint="eastAsia" w:ascii="宋体" w:hAnsi="宋体" w:eastAsia="宋体" w:cs="宋体"/>
          <w:color w:val="auto"/>
          <w:sz w:val="24"/>
          <w:szCs w:val="24"/>
          <w:highlight w:val="none"/>
          <w:lang w:val="en-US" w:eastAsia="zh-CN"/>
        </w:rPr>
        <w:t>年度监督审核服务</w:t>
      </w:r>
      <w:r>
        <w:rPr>
          <w:rFonts w:hint="eastAsia" w:ascii="宋体" w:hAnsi="宋体" w:eastAsia="宋体" w:cs="宋体"/>
          <w:color w:val="auto"/>
          <w:sz w:val="24"/>
          <w:szCs w:val="24"/>
          <w:highlight w:val="none"/>
        </w:rPr>
        <w:t>出具证书，</w:t>
      </w:r>
      <w:r>
        <w:rPr>
          <w:rFonts w:hint="eastAsia" w:ascii="宋体" w:hAnsi="宋体" w:eastAsia="宋体" w:cs="宋体"/>
          <w:color w:val="auto"/>
          <w:sz w:val="24"/>
          <w:szCs w:val="24"/>
          <w:highlight w:val="none"/>
          <w:lang w:val="en-US" w:eastAsia="zh-CN"/>
        </w:rPr>
        <w:t>开具税票后30天内付款。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4.4.2乙方收款账户：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收款账号：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4.4.3乙方在收款前需提交相应金额增值税专用发票给甲方。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增值税专用发票信息：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名称：广州市净水有限公司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税号：91440101755584729Q ；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地址：广州市天河区临江大道501号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4.5付款方式： </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网银支付；  </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支票；   </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其他：/      </w:t>
      </w:r>
    </w:p>
    <w:p>
      <w:pPr>
        <w:spacing w:line="360" w:lineRule="auto"/>
        <w:ind w:firstLine="482" w:firstLineChars="200"/>
        <w:rPr>
          <w:rFonts w:ascii="宋体" w:hAnsi="宋体" w:eastAsia="宋体"/>
          <w:b/>
          <w:color w:val="auto"/>
          <w:sz w:val="24"/>
          <w:szCs w:val="24"/>
          <w:highlight w:val="none"/>
        </w:rPr>
      </w:pPr>
      <w:bookmarkStart w:id="89" w:name="_Toc501057062"/>
      <w:bookmarkStart w:id="90" w:name="_Toc501057148"/>
      <w:r>
        <w:rPr>
          <w:rFonts w:hint="eastAsia" w:ascii="宋体" w:hAnsi="宋体"/>
          <w:b/>
          <w:color w:val="auto"/>
          <w:sz w:val="24"/>
          <w:szCs w:val="24"/>
          <w:highlight w:val="none"/>
          <w:lang w:val="en-US" w:eastAsia="zh-CN"/>
        </w:rPr>
        <w:t>五</w:t>
      </w:r>
      <w:r>
        <w:rPr>
          <w:rFonts w:hint="eastAsia" w:ascii="宋体" w:hAnsi="宋体" w:eastAsia="宋体"/>
          <w:b/>
          <w:color w:val="auto"/>
          <w:sz w:val="24"/>
          <w:szCs w:val="24"/>
          <w:highlight w:val="none"/>
        </w:rPr>
        <w:t>、违约责任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5.1甲乙任何一方不履行合同义务或者履行合同义务不符合约定的，应当承担继续履行、采取补救措施或者赔偿损失等违约责任。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5.2甲乙任何一方违反本合同导致本合同无法继续履行的，违约方需赔偿守约方违约金人民币</w:t>
      </w:r>
      <w:r>
        <w:rPr>
          <w:rFonts w:hint="eastAsia" w:ascii="宋体" w:hAnsi="宋体" w:eastAsia="宋体" w:cs="宋体"/>
          <w:color w:val="auto"/>
          <w:sz w:val="24"/>
          <w:szCs w:val="24"/>
          <w:highlight w:val="none"/>
          <w:u w:val="single"/>
          <w:lang w:val="en-US" w:eastAsia="zh-CN"/>
        </w:rPr>
        <w:t>10000</w:t>
      </w:r>
      <w:r>
        <w:rPr>
          <w:rFonts w:hint="eastAsia" w:ascii="宋体" w:hAnsi="宋体" w:eastAsia="宋体" w:cs="宋体"/>
          <w:color w:val="auto"/>
          <w:sz w:val="24"/>
          <w:szCs w:val="24"/>
          <w:highlight w:val="none"/>
          <w:lang w:val="en-US" w:eastAsia="zh-CN"/>
        </w:rPr>
        <w:t>元，若该违约金不足以弥补守约方实际损失的，违约方应赔偿守约方所有实际损失。</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5.3乙方必须在证书到期前向甲方提交相应证书文件，如有逾期的，每逾期一天乙方应向甲方提交合同暂定总金额百分之一的违约金，逾期超过两周的，甲方有权单方解除合同。</w:t>
      </w:r>
    </w:p>
    <w:p>
      <w:pPr>
        <w:spacing w:line="360" w:lineRule="auto"/>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5.4在合同有效期内，乙方自愿接受甲方按《广州市净水有限公司经营建设项目参建企业不诚信行为管理办法》处理，具体处理标准详见附件3。</w:t>
      </w:r>
    </w:p>
    <w:p>
      <w:pPr>
        <w:spacing w:line="360" w:lineRule="auto"/>
        <w:ind w:firstLine="480" w:firstLineChars="200"/>
        <w:rPr>
          <w:rFonts w:hint="eastAsia"/>
          <w:color w:val="auto"/>
          <w:highlight w:val="none"/>
          <w:lang w:val="en-US" w:eastAsia="zh-CN"/>
        </w:rPr>
      </w:pPr>
      <w:r>
        <w:rPr>
          <w:rFonts w:hint="eastAsia" w:ascii="宋体" w:hAnsi="宋体" w:eastAsia="宋体"/>
          <w:color w:val="auto"/>
          <w:sz w:val="24"/>
          <w:szCs w:val="24"/>
          <w:highlight w:val="none"/>
          <w:lang w:val="en-US" w:eastAsia="zh-CN"/>
        </w:rPr>
        <w:t>5.5乙方在服务期内应确保所持有的《认证机构批准书》有效，批准书内具有本合同内容所需的认证领域。否则，乙方应向甲方支付合同暂定总金额作为违约金，并承担由此给甲方造成的损失。</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Times New Roman"/>
          <w:sz w:val="24"/>
        </w:rPr>
      </w:pPr>
      <w:r>
        <w:rPr>
          <w:rFonts w:hint="eastAsia" w:ascii="宋体" w:hAnsi="宋体" w:eastAsia="宋体" w:cs="Times New Roman"/>
          <w:sz w:val="24"/>
        </w:rPr>
        <w:t>偿。</w:t>
      </w:r>
    </w:p>
    <w:bookmarkEnd w:id="89"/>
    <w:bookmarkEnd w:id="90"/>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六、合同的变更、解除及终止</w:t>
      </w:r>
    </w:p>
    <w:p>
      <w:pPr>
        <w:adjustRightInd/>
        <w:snapToGrid/>
        <w:ind w:firstLine="420" w:firstLineChars="175"/>
        <w:textAlignment w:val="auto"/>
        <w:rPr>
          <w:rFonts w:hint="eastAsia"/>
          <w:lang w:val="en-US" w:eastAsia="zh-CN"/>
        </w:rPr>
      </w:pPr>
      <w:r>
        <w:rPr>
          <w:rFonts w:hint="eastAsia" w:ascii="宋体" w:hAnsi="宋体" w:eastAsia="宋体" w:cs="宋体"/>
          <w:color w:val="auto"/>
          <w:sz w:val="24"/>
          <w:szCs w:val="24"/>
          <w:highlight w:val="none"/>
          <w:lang w:val="en-US" w:eastAsia="zh-CN"/>
        </w:rPr>
        <w:t>6.1合同签订以后，经当事人双方协商一致，才能对合同的内容进行修改、补充或调整，并以书面形式确定。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6.2任何一方擅自解除合同，应向另一方支付本合同暂定总金额百分之二十的违约金。</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6.3合同执行期间受到不可抗力因素导致合同无法执行的，一方可以向另一方提出变更合同权利与义务的请求，另一方应当在10日内予以答复；逾期未予答复的，视为不同意。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bookmarkStart w:id="91" w:name="_Toc501057151"/>
      <w:bookmarkStart w:id="92" w:name="_Toc501057065"/>
      <w:r>
        <w:rPr>
          <w:rFonts w:hint="eastAsia" w:ascii="宋体" w:hAnsi="宋体" w:eastAsia="宋体" w:cs="宋体"/>
          <w:b/>
          <w:bCs/>
          <w:color w:val="auto"/>
          <w:sz w:val="24"/>
          <w:szCs w:val="24"/>
          <w:highlight w:val="none"/>
          <w:lang w:val="en-US" w:eastAsia="zh-CN"/>
        </w:rPr>
        <w:t>七、争端的解决</w:t>
      </w:r>
      <w:bookmarkEnd w:id="91"/>
      <w:bookmarkEnd w:id="92"/>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7.1凡与本合同有关而引起的一切争议，合同双方应首先通过友好协商解决，如经协商后仍不能达成协议时，任何一方可以向甲方所在地有管辖权的法院提请诉讼。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7.2在进行法院审理期间，除提交法院审理事项外，合同其他部分仍应当继续履行。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7.3本合同适用中华人民共和国法律。</w:t>
      </w:r>
      <w:r>
        <w:rPr>
          <w:rFonts w:hint="eastAsia" w:ascii="宋体" w:hAnsi="宋体" w:eastAsia="宋体" w:cs="宋体"/>
          <w:color w:val="auto"/>
          <w:sz w:val="24"/>
          <w:szCs w:val="24"/>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bookmarkStart w:id="93" w:name="_Toc501057152"/>
      <w:bookmarkStart w:id="94" w:name="_Toc501057066"/>
      <w:r>
        <w:rPr>
          <w:rFonts w:hint="eastAsia" w:ascii="宋体" w:hAnsi="宋体" w:eastAsia="宋体" w:cs="宋体"/>
          <w:b/>
          <w:bCs/>
          <w:color w:val="auto"/>
          <w:sz w:val="24"/>
          <w:szCs w:val="24"/>
          <w:highlight w:val="none"/>
          <w:lang w:val="en-US" w:eastAsia="zh-CN"/>
        </w:rPr>
        <w:t>八、不可抗力</w:t>
      </w:r>
      <w:bookmarkEnd w:id="93"/>
      <w:bookmarkEnd w:id="94"/>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8.1不可抗力指战争、严重火灾、洪水、台风、地震等或其它双方认可的不可抗力事件。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8.2签约双方中任何一方由于不可抗力影响合同执行时，发生不可抗力一方应尽快将事故通知另一方。在此情况下，乙方仍然有责任采取必要的措施，双方应通过友好协商尽快解决本合同的执行问题。</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bookmarkStart w:id="95" w:name="_Toc501057153"/>
      <w:bookmarkStart w:id="96" w:name="_Toc501057067"/>
      <w:r>
        <w:rPr>
          <w:rFonts w:hint="eastAsia" w:ascii="宋体" w:hAnsi="宋体" w:eastAsia="宋体" w:cs="宋体"/>
          <w:b/>
          <w:bCs/>
          <w:color w:val="auto"/>
          <w:sz w:val="24"/>
          <w:szCs w:val="24"/>
          <w:highlight w:val="none"/>
          <w:lang w:val="en-US" w:eastAsia="zh-CN"/>
        </w:rPr>
        <w:t>九、通知</w:t>
      </w:r>
      <w:bookmarkEnd w:id="95"/>
      <w:bookmarkEnd w:id="96"/>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9.1本合同一方给对方的通知应用书面形式送达合同中对方的地址，电话或传真要经对方的书面确认，以电报形式的通知，从当地邮电局发出电报的第二天视为送达。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ascii="宋体" w:hAnsi="宋体" w:eastAsia="宋体"/>
          <w:color w:val="auto"/>
          <w:sz w:val="24"/>
          <w:szCs w:val="24"/>
          <w:highlight w:val="none"/>
        </w:rPr>
      </w:pPr>
      <w:r>
        <w:rPr>
          <w:rFonts w:hint="eastAsia" w:ascii="宋体" w:hAnsi="宋体" w:eastAsia="宋体" w:cs="宋体"/>
          <w:color w:val="auto"/>
          <w:sz w:val="24"/>
          <w:szCs w:val="24"/>
          <w:highlight w:val="none"/>
          <w:lang w:val="en-US" w:eastAsia="zh-CN"/>
        </w:rPr>
        <w:t>9.2通知以送达日期或通知书的生效日期为生效日期，两者中以晚的一个日期为准。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bookmarkStart w:id="97" w:name="_Toc501057069"/>
      <w:bookmarkStart w:id="98" w:name="_Toc501057155"/>
      <w:r>
        <w:rPr>
          <w:rFonts w:hint="eastAsia" w:ascii="宋体" w:hAnsi="宋体" w:eastAsia="宋体" w:cs="宋体"/>
          <w:b/>
          <w:bCs/>
          <w:color w:val="auto"/>
          <w:sz w:val="24"/>
          <w:szCs w:val="24"/>
          <w:highlight w:val="none"/>
          <w:lang w:val="en-US" w:eastAsia="zh-CN"/>
        </w:rPr>
        <w:t>十、其它</w:t>
      </w:r>
      <w:bookmarkEnd w:id="97"/>
      <w:bookmarkEnd w:id="98"/>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10.1在执行合同过程中，所有经甲乙双方签署确认的文件（包括会议纪要、补充协议、往来信函）即成为本合同的有效组成部分，其生效日期为正式文件确认的日期，若涉及对合同条款实质变更的，应另行签订补充协议，否则无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10.2本合同未尽事宜，双方应本着友好合作的原则，另行签订补充协议。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10.3本合同经双方法定代表人或授权代表签名盖章后生效。本合同一式</w:t>
      </w:r>
      <w:r>
        <w:rPr>
          <w:rFonts w:hint="eastAsia" w:ascii="宋体" w:hAnsi="宋体" w:eastAsia="宋体" w:cs="宋体"/>
          <w:color w:val="auto"/>
          <w:sz w:val="24"/>
          <w:szCs w:val="24"/>
          <w:highlight w:val="none"/>
          <w:u w:val="single"/>
          <w:lang w:val="en-US" w:eastAsia="zh-CN"/>
        </w:rPr>
        <w:t xml:space="preserve">  8   </w:t>
      </w:r>
      <w:r>
        <w:rPr>
          <w:rFonts w:hint="eastAsia" w:ascii="宋体" w:hAnsi="宋体" w:eastAsia="宋体" w:cs="宋体"/>
          <w:color w:val="auto"/>
          <w:sz w:val="24"/>
          <w:szCs w:val="24"/>
          <w:highlight w:val="none"/>
          <w:lang w:val="en-US" w:eastAsia="zh-CN"/>
        </w:rPr>
        <w:t>份，甲方执</w:t>
      </w:r>
      <w:r>
        <w:rPr>
          <w:rFonts w:hint="eastAsia" w:ascii="宋体" w:hAnsi="宋体" w:eastAsia="宋体" w:cs="宋体"/>
          <w:color w:val="auto"/>
          <w:sz w:val="24"/>
          <w:szCs w:val="24"/>
          <w:highlight w:val="none"/>
          <w:u w:val="single"/>
          <w:lang w:val="en-US" w:eastAsia="zh-CN"/>
        </w:rPr>
        <w:t xml:space="preserve">   7 </w:t>
      </w:r>
      <w:r>
        <w:rPr>
          <w:rFonts w:hint="eastAsia" w:ascii="宋体" w:hAnsi="宋体" w:eastAsia="宋体" w:cs="宋体"/>
          <w:color w:val="auto"/>
          <w:sz w:val="24"/>
          <w:szCs w:val="24"/>
          <w:highlight w:val="none"/>
          <w:lang w:val="en-US" w:eastAsia="zh-CN"/>
        </w:rPr>
        <w:t>份，乙方执</w:t>
      </w:r>
      <w:r>
        <w:rPr>
          <w:rFonts w:hint="eastAsia" w:ascii="宋体" w:hAnsi="宋体" w:eastAsia="宋体" w:cs="宋体"/>
          <w:color w:val="auto"/>
          <w:sz w:val="24"/>
          <w:szCs w:val="24"/>
          <w:highlight w:val="none"/>
          <w:u w:val="single"/>
          <w:lang w:val="en-US" w:eastAsia="zh-CN"/>
        </w:rPr>
        <w:t xml:space="preserve">  1  </w:t>
      </w:r>
      <w:r>
        <w:rPr>
          <w:rFonts w:hint="eastAsia" w:ascii="宋体" w:hAnsi="宋体" w:eastAsia="宋体" w:cs="宋体"/>
          <w:color w:val="auto"/>
          <w:sz w:val="24"/>
          <w:szCs w:val="24"/>
          <w:highlight w:val="none"/>
          <w:lang w:val="en-US" w:eastAsia="zh-CN"/>
        </w:rPr>
        <w:t>份。</w:t>
      </w:r>
    </w:p>
    <w:p>
      <w:pPr>
        <w:spacing w:line="360" w:lineRule="auto"/>
        <w:ind w:left="420" w:leftChars="200"/>
        <w:rPr>
          <w:rFonts w:ascii="宋体" w:hAnsi="宋体" w:eastAsia="宋体"/>
          <w:color w:val="auto"/>
          <w:sz w:val="24"/>
          <w:szCs w:val="24"/>
          <w:highlight w:val="none"/>
        </w:rPr>
      </w:pPr>
      <w:r>
        <w:rPr>
          <w:rFonts w:hint="eastAsia" w:ascii="宋体" w:hAnsi="宋体" w:eastAsia="宋体"/>
          <w:color w:val="auto"/>
          <w:sz w:val="24"/>
          <w:szCs w:val="24"/>
          <w:highlight w:val="none"/>
        </w:rPr>
        <w:t>（以下无正文）</w:t>
      </w:r>
    </w:p>
    <w:p>
      <w:pPr>
        <w:spacing w:line="360" w:lineRule="auto"/>
        <w:rPr>
          <w:rFonts w:ascii="宋体" w:hAnsi="宋体" w:eastAsia="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1.发包通知书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2.安全管理协议书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3.廉洁协议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4.不诚信行为的情形及相应被暂停参与投标活动的处理标准</w:t>
      </w:r>
    </w:p>
    <w:p>
      <w:pPr>
        <w:pStyle w:val="2"/>
        <w:rPr>
          <w:rFonts w:hint="eastAsia" w:ascii="宋体" w:hAnsi="宋体" w:eastAsia="宋体" w:cs="宋体"/>
          <w:b w:val="0"/>
          <w:bCs w:val="0"/>
          <w:color w:val="auto"/>
          <w:sz w:val="24"/>
          <w:szCs w:val="24"/>
          <w:highlight w:val="none"/>
          <w:lang w:val="en-US" w:eastAsia="zh-CN"/>
        </w:rPr>
      </w:pPr>
    </w:p>
    <w:p>
      <w:pPr>
        <w:pStyle w:val="2"/>
        <w:rPr>
          <w:rFonts w:hint="eastAsia" w:ascii="宋体" w:hAnsi="宋体" w:eastAsia="宋体" w:cs="宋体"/>
          <w:b w:val="0"/>
          <w:bCs w:val="0"/>
          <w:color w:val="auto"/>
          <w:sz w:val="24"/>
          <w:szCs w:val="24"/>
          <w:highlight w:val="none"/>
          <w:lang w:val="en-US" w:eastAsia="zh-CN"/>
        </w:rPr>
      </w:pPr>
    </w:p>
    <w:p>
      <w:pPr>
        <w:pStyle w:val="2"/>
        <w:rPr>
          <w:rFonts w:hint="eastAsia" w:ascii="宋体" w:hAnsi="宋体" w:eastAsia="宋体" w:cs="宋体"/>
          <w:b w:val="0"/>
          <w:bCs w:val="0"/>
          <w:color w:val="auto"/>
          <w:sz w:val="24"/>
          <w:szCs w:val="24"/>
          <w:highlight w:val="none"/>
          <w:lang w:val="en-US" w:eastAsia="zh-CN"/>
        </w:rPr>
      </w:pPr>
    </w:p>
    <w:p>
      <w:pPr>
        <w:pStyle w:val="2"/>
        <w:rPr>
          <w:rFonts w:hint="eastAsia" w:ascii="宋体" w:hAnsi="宋体" w:eastAsia="宋体" w:cs="宋体"/>
          <w:b w:val="0"/>
          <w:bCs w:val="0"/>
          <w:color w:val="auto"/>
          <w:sz w:val="24"/>
          <w:szCs w:val="24"/>
          <w:highlight w:val="none"/>
          <w:lang w:val="en-US" w:eastAsia="zh-CN"/>
        </w:rPr>
      </w:pPr>
    </w:p>
    <w:tbl>
      <w:tblPr>
        <w:tblStyle w:val="21"/>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812" w:type="dxa"/>
            <w:tcBorders>
              <w:top w:val="nil"/>
              <w:left w:val="nil"/>
              <w:bottom w:val="nil"/>
              <w:right w:val="nil"/>
            </w:tcBorders>
            <w:noWrap w:val="0"/>
            <w:vAlign w:val="center"/>
          </w:tcPr>
          <w:p>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：广州市净水有限公司（盖章）</w:t>
            </w:r>
          </w:p>
        </w:tc>
        <w:tc>
          <w:tcPr>
            <w:tcW w:w="4696"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cs="宋体"/>
                <w:color w:val="auto"/>
                <w:sz w:val="24"/>
                <w:szCs w:val="24"/>
                <w:highlight w:val="none"/>
              </w:rPr>
              <w:t>法定代表</w:t>
            </w:r>
          </w:p>
        </w:tc>
        <w:tc>
          <w:tcPr>
            <w:tcW w:w="4696"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cs="宋体"/>
                <w:color w:val="auto"/>
                <w:sz w:val="24"/>
                <w:szCs w:val="24"/>
                <w:highlight w:val="none"/>
              </w:rPr>
              <w:t>法定代表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eastAsia="宋体"/>
                <w:color w:val="auto"/>
                <w:sz w:val="24"/>
                <w:szCs w:val="24"/>
                <w:highlight w:val="none"/>
              </w:rPr>
              <w:t>或委托人</w:t>
            </w:r>
            <w:r>
              <w:rPr>
                <w:rFonts w:ascii="宋体" w:hAnsi="宋体" w:eastAsia="宋体"/>
                <w:color w:val="auto"/>
                <w:sz w:val="24"/>
                <w:szCs w:val="24"/>
                <w:highlight w:val="none"/>
              </w:rPr>
              <w:t>（签字）：</w:t>
            </w:r>
          </w:p>
        </w:tc>
        <w:tc>
          <w:tcPr>
            <w:tcW w:w="4696" w:type="dxa"/>
            <w:tcBorders>
              <w:top w:val="nil"/>
              <w:left w:val="nil"/>
              <w:bottom w:val="nil"/>
              <w:right w:val="nil"/>
            </w:tcBorders>
            <w:noWrap w:val="0"/>
            <w:vAlign w:val="center"/>
          </w:tcPr>
          <w:p>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eastAsia="宋体"/>
                <w:color w:val="auto"/>
                <w:sz w:val="24"/>
                <w:szCs w:val="24"/>
                <w:highlight w:val="none"/>
              </w:rPr>
              <w:t>或委托人</w:t>
            </w:r>
            <w:r>
              <w:rPr>
                <w:rFonts w:ascii="宋体" w:hAnsi="宋体" w:eastAsia="宋体"/>
                <w:color w:val="auto"/>
                <w:sz w:val="24"/>
                <w:szCs w:val="24"/>
                <w:highlight w:val="none"/>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地    址：</w:t>
            </w:r>
          </w:p>
        </w:tc>
        <w:tc>
          <w:tcPr>
            <w:tcW w:w="4696"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经</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办</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人：</w:t>
            </w:r>
          </w:p>
        </w:tc>
        <w:tc>
          <w:tcPr>
            <w:tcW w:w="4696" w:type="dxa"/>
            <w:tcBorders>
              <w:top w:val="nil"/>
              <w:left w:val="nil"/>
              <w:bottom w:val="nil"/>
              <w:right w:val="nil"/>
            </w:tcBorders>
            <w:noWrap w:val="0"/>
            <w:vAlign w:val="center"/>
          </w:tcPr>
          <w:p>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经</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办</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电    话：</w:t>
            </w:r>
          </w:p>
        </w:tc>
        <w:tc>
          <w:tcPr>
            <w:tcW w:w="4696"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传    真：</w:t>
            </w:r>
          </w:p>
        </w:tc>
        <w:tc>
          <w:tcPr>
            <w:tcW w:w="4696"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传    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812" w:type="dxa"/>
            <w:tcBorders>
              <w:top w:val="nil"/>
              <w:left w:val="nil"/>
              <w:bottom w:val="nil"/>
              <w:right w:val="nil"/>
            </w:tcBorders>
            <w:noWrap w:val="0"/>
            <w:vAlign w:val="center"/>
          </w:tcPr>
          <w:p>
            <w:pPr>
              <w:adjustRightInd w:val="0"/>
              <w:snapToGrid w:val="0"/>
              <w:spacing w:after="0"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 xml:space="preserve">签约日期：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p>
        </w:tc>
        <w:tc>
          <w:tcPr>
            <w:tcW w:w="4696" w:type="dxa"/>
            <w:tcBorders>
              <w:top w:val="nil"/>
              <w:left w:val="nil"/>
              <w:bottom w:val="nil"/>
              <w:right w:val="nil"/>
            </w:tcBorders>
            <w:noWrap w:val="0"/>
            <w:vAlign w:val="center"/>
          </w:tcPr>
          <w:p>
            <w:pPr>
              <w:adjustRightInd w:val="0"/>
              <w:snapToGrid w:val="0"/>
              <w:spacing w:line="420" w:lineRule="exact"/>
              <w:ind w:left="4181" w:hanging="4180" w:hangingChars="1742"/>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 xml:space="preserve">签约日期：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p>
        </w:tc>
      </w:tr>
    </w:tbl>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附件1：发包通知书</w:t>
      </w:r>
    </w:p>
    <w:p>
      <w:pPr>
        <w:rPr>
          <w:rFonts w:hint="eastAsia"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br w:type="page"/>
      </w:r>
    </w:p>
    <w:p>
      <w:pPr>
        <w:keepNext w:val="0"/>
        <w:keepLines w:val="0"/>
        <w:pageBreakBefore w:val="0"/>
        <w:kinsoku/>
        <w:wordWrap/>
        <w:overflowPunct/>
        <w:topLinePunct w:val="0"/>
        <w:autoSpaceDE/>
        <w:autoSpaceDN/>
        <w:bidi w:val="0"/>
        <w:spacing w:line="600" w:lineRule="exact"/>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附件2</w:t>
      </w:r>
    </w:p>
    <w:p>
      <w:pPr>
        <w:keepNext w:val="0"/>
        <w:keepLines w:val="0"/>
        <w:pageBreakBefore w:val="0"/>
        <w:kinsoku/>
        <w:wordWrap/>
        <w:overflowPunct/>
        <w:topLinePunct w:val="0"/>
        <w:bidi w:val="0"/>
        <w:adjustRightInd w:val="0"/>
        <w:snapToGrid w:val="0"/>
        <w:spacing w:line="600" w:lineRule="exact"/>
        <w:jc w:val="center"/>
        <w:rPr>
          <w:rFonts w:hint="eastAsia" w:ascii="仿宋_GB2312" w:eastAsia="仿宋_GB2312"/>
          <w:b/>
          <w:bCs/>
          <w:color w:val="auto"/>
          <w:sz w:val="28"/>
          <w:szCs w:val="28"/>
          <w:highlight w:val="none"/>
          <w:lang w:val="en-US" w:eastAsia="zh-CN"/>
        </w:rPr>
      </w:pPr>
      <w:r>
        <w:rPr>
          <w:rFonts w:hint="eastAsia" w:ascii="仿宋_GB2312" w:eastAsia="仿宋_GB2312"/>
          <w:b/>
          <w:bCs/>
          <w:color w:val="auto"/>
          <w:sz w:val="28"/>
          <w:szCs w:val="28"/>
          <w:highlight w:val="none"/>
          <w:lang w:val="en-US" w:eastAsia="zh-CN"/>
        </w:rPr>
        <w:t>安全管理协议书</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cs="Arial"/>
          <w:color w:val="auto"/>
          <w:kern w:val="0"/>
          <w:sz w:val="24"/>
          <w:highlight w:val="none"/>
        </w:rPr>
      </w:pPr>
      <w:bookmarkStart w:id="99" w:name="_Toc21391"/>
      <w:r>
        <w:rPr>
          <w:rFonts w:hint="eastAsia" w:ascii="宋体" w:hAnsi="宋体" w:cs="Arial"/>
          <w:color w:val="auto"/>
          <w:kern w:val="0"/>
          <w:sz w:val="24"/>
          <w:highlight w:val="none"/>
        </w:rPr>
        <w:t>甲方：</w:t>
      </w:r>
      <w:r>
        <w:rPr>
          <w:rFonts w:hint="eastAsia"/>
          <w:color w:val="auto"/>
          <w:sz w:val="24"/>
          <w:highlight w:val="none"/>
        </w:rPr>
        <w:t>广州市净水有限公司</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bookmarkEnd w:id="99"/>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一、本协议与主合同的关系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本协议作为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的组成部分，与主合同具有同等法律。</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二、甲方权责</w:t>
      </w:r>
    </w:p>
    <w:p>
      <w:pPr>
        <w:adjustRightInd w:val="0"/>
        <w:snapToGrid w:val="0"/>
        <w:spacing w:line="560" w:lineRule="exact"/>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三、乙方权责</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（三）严格执行国家、地方和行业主管部门的强制性标准、地方行政法规、管理要求。</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（四）遵守甲方制定的安全管理要求。</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（五）配合甲方的安全监督检查，并立即对提出的问题隐患进行整改。</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（七）乙方聘请、委托的个人或单位，违反本协议的，全部责任均由乙方承担。</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四、事故责任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（五）乙方各类人员在甲方生产区域内发生人身伤害事故和其他事故，由乙方负责调查、处理和统计上报，并报甲方安全监督部门备案。</w:t>
      </w:r>
    </w:p>
    <w:p>
      <w:pPr>
        <w:spacing w:line="56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（七）委托的第三方运输单位或个人，违反本协议的，全部责任均由乙方承担。</w:t>
      </w:r>
    </w:p>
    <w:p>
      <w:pPr>
        <w:pStyle w:val="34"/>
        <w:spacing w:line="560" w:lineRule="exact"/>
        <w:ind w:firstLine="482" w:firstLineChars="200"/>
        <w:rPr>
          <w:rFonts w:ascii="宋体" w:hAnsi="宋体" w:eastAsia="宋体"/>
          <w:color w:val="auto"/>
          <w:sz w:val="24"/>
          <w:highlight w:val="none"/>
        </w:rPr>
      </w:pPr>
      <w:r>
        <w:rPr>
          <w:rFonts w:hint="eastAsia" w:ascii="宋体" w:hAnsi="宋体" w:eastAsia="宋体"/>
          <w:b/>
          <w:color w:val="auto"/>
          <w:sz w:val="24"/>
          <w:highlight w:val="none"/>
        </w:rPr>
        <w:t>五、补充条款：</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六、附则</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宋体" w:hAnsi="宋体" w:eastAsia="宋体"/>
          <w:color w:val="auto"/>
          <w:sz w:val="24"/>
          <w:highlight w:val="none"/>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甲方：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240" w:firstLineChars="100"/>
              <w:jc w:val="right"/>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c>
          <w:tcPr>
            <w:tcW w:w="4474" w:type="dxa"/>
            <w:noWrap w:val="0"/>
            <w:vAlign w:val="top"/>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jc w:val="right"/>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r>
    </w:tbl>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附件3             </w:t>
      </w:r>
    </w:p>
    <w:p>
      <w:pPr>
        <w:keepNext w:val="0"/>
        <w:keepLines w:val="0"/>
        <w:pageBreakBefore w:val="0"/>
        <w:kinsoku/>
        <w:wordWrap/>
        <w:overflowPunct/>
        <w:topLinePunct w:val="0"/>
        <w:bidi w:val="0"/>
        <w:adjustRightInd w:val="0"/>
        <w:snapToGrid w:val="0"/>
        <w:spacing w:line="600" w:lineRule="exact"/>
        <w:jc w:val="center"/>
        <w:rPr>
          <w:rFonts w:hint="eastAsia" w:ascii="仿宋_GB2312" w:eastAsia="仿宋_GB2312"/>
          <w:b/>
          <w:bCs/>
          <w:color w:val="auto"/>
          <w:sz w:val="28"/>
          <w:szCs w:val="28"/>
          <w:highlight w:val="none"/>
          <w:lang w:val="en-US" w:eastAsia="zh-CN"/>
        </w:rPr>
      </w:pPr>
      <w:r>
        <w:rPr>
          <w:rFonts w:hint="eastAsia" w:ascii="仿宋_GB2312" w:eastAsia="仿宋_GB2312"/>
          <w:b/>
          <w:bCs/>
          <w:color w:val="auto"/>
          <w:sz w:val="28"/>
          <w:szCs w:val="28"/>
          <w:highlight w:val="none"/>
          <w:lang w:val="en-US" w:eastAsia="zh-CN"/>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beforeAutospacing="0" w:line="360" w:lineRule="auto"/>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w:t>
      </w:r>
      <w:r>
        <w:rPr>
          <w:rFonts w:hint="eastAsia" w:ascii="仿宋_GB2312" w:hAnsi="仿宋_GB2312" w:eastAsia="仿宋_GB2312" w:cs="仿宋_GB2312"/>
          <w:color w:val="auto"/>
          <w:sz w:val="28"/>
          <w:szCs w:val="28"/>
          <w:highlight w:val="none"/>
          <w:lang w:val="en-US" w:eastAsia="zh-CN"/>
        </w:rPr>
        <w:t>式</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1、扣除主合同的全部履约保证金；</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2、解除</w:t>
      </w:r>
      <w:r>
        <w:rPr>
          <w:rFonts w:hint="eastAsia" w:ascii="仿宋_GB2312" w:hAnsi="仿宋_GB2312" w:eastAsia="仿宋_GB2312" w:cs="仿宋_GB2312"/>
          <w:color w:val="auto"/>
          <w:sz w:val="28"/>
          <w:szCs w:val="28"/>
          <w:highlight w:val="none"/>
          <w:lang w:val="en-US" w:eastAsia="zh-CN"/>
        </w:rPr>
        <w:t>主合同</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3、追究乙方其他违约责任；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4、根据甲方的有关规章制度，在一定时间内暂停乙方参与甲方及下属单位所有项目的交易资格；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5、根据甲方的有关规章制度，将乙方清退出甲方相关企业库；</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6、根据甲方上级单位、行政主管部门的意见、决定执行；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7、按规定向有关行政监督部门、乙方业务管理部门进行投诉、报告。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widowControl w:val="0"/>
        <w:kinsoku/>
        <w:wordWrap/>
        <w:overflowPunct/>
        <w:topLinePunct w:val="0"/>
        <w:autoSpaceDE/>
        <w:autoSpaceDN/>
        <w:bidi w:val="0"/>
        <w:adjustRightInd/>
        <w:snapToGrid/>
        <w:spacing w:beforeAutospacing="0" w:after="0" w:line="360" w:lineRule="auto"/>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lang w:eastAsia="zh-CN"/>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1"/>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rPr>
          <w:rFonts w:hint="eastAsia" w:ascii="仿宋_GB2312" w:hAnsi="仿宋_GB2312" w:eastAsia="仿宋_GB2312" w:cs="仿宋_GB2312"/>
          <w:b w:val="0"/>
          <w:bCs w:val="0"/>
          <w:color w:val="auto"/>
          <w:sz w:val="28"/>
          <w:szCs w:val="28"/>
          <w:highlight w:val="none"/>
          <w:lang w:val="en-US" w:eastAsia="zh-CN"/>
        </w:rPr>
      </w:pPr>
      <w:r>
        <w:rPr>
          <w:rFonts w:hint="eastAsia" w:ascii="宋体" w:hAnsi="宋体" w:eastAsia="宋体" w:cs="宋体"/>
          <w:b/>
          <w:bCs/>
          <w:color w:val="auto"/>
          <w:sz w:val="21"/>
          <w:szCs w:val="21"/>
          <w:highlight w:val="none"/>
        </w:rPr>
        <w:br w:type="page"/>
      </w:r>
      <w:r>
        <w:rPr>
          <w:rFonts w:hint="eastAsia" w:ascii="仿宋_GB2312" w:hAnsi="仿宋_GB2312" w:eastAsia="仿宋_GB2312" w:cs="仿宋_GB2312"/>
          <w:b w:val="0"/>
          <w:bCs w:val="0"/>
          <w:color w:val="auto"/>
          <w:sz w:val="28"/>
          <w:szCs w:val="28"/>
          <w:highlight w:val="none"/>
        </w:rPr>
        <w:t>附件</w:t>
      </w:r>
      <w:r>
        <w:rPr>
          <w:rFonts w:hint="eastAsia" w:ascii="仿宋_GB2312" w:hAnsi="仿宋_GB2312" w:eastAsia="仿宋_GB2312" w:cs="仿宋_GB2312"/>
          <w:b w:val="0"/>
          <w:bCs w:val="0"/>
          <w:color w:val="auto"/>
          <w:sz w:val="28"/>
          <w:szCs w:val="28"/>
          <w:highlight w:val="none"/>
          <w:lang w:val="en-US" w:eastAsia="zh-CN"/>
        </w:rPr>
        <w:t>4</w:t>
      </w:r>
    </w:p>
    <w:p>
      <w:pPr>
        <w:keepNext w:val="0"/>
        <w:keepLines w:val="0"/>
        <w:pageBreakBefore w:val="0"/>
        <w:kinsoku/>
        <w:wordWrap/>
        <w:overflowPunct/>
        <w:topLinePunct w:val="0"/>
        <w:bidi w:val="0"/>
        <w:adjustRightInd w:val="0"/>
        <w:snapToGrid w:val="0"/>
        <w:spacing w:line="600" w:lineRule="exact"/>
        <w:jc w:val="center"/>
        <w:rPr>
          <w:rFonts w:hint="eastAsia" w:ascii="黑体" w:hAnsi="黑体" w:eastAsia="黑体" w:cs="黑体"/>
          <w:b w:val="0"/>
          <w:bCs w:val="0"/>
          <w:color w:val="auto"/>
          <w:sz w:val="32"/>
          <w:szCs w:val="32"/>
          <w:highlight w:val="none"/>
        </w:rPr>
      </w:pPr>
      <w:r>
        <w:rPr>
          <w:rFonts w:hint="eastAsia" w:ascii="仿宋_GB2312" w:eastAsia="仿宋_GB2312"/>
          <w:b/>
          <w:bCs/>
          <w:color w:val="auto"/>
          <w:sz w:val="28"/>
          <w:szCs w:val="28"/>
          <w:highlight w:val="none"/>
          <w:lang w:val="en-US" w:eastAsia="zh-CN"/>
        </w:rPr>
        <w:t>不诚信行为的情形及相应被暂停参与投标活动的处理标准</w:t>
      </w:r>
    </w:p>
    <w:tbl>
      <w:tblPr>
        <w:tblStyle w:val="21"/>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处理</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（一）建设生产现场发生人员</w:t>
            </w:r>
            <w:r>
              <w:rPr>
                <w:rFonts w:hint="eastAsia" w:ascii="仿宋" w:hAnsi="仿宋" w:eastAsia="仿宋" w:cs="仿宋"/>
                <w:color w:val="auto"/>
                <w:sz w:val="20"/>
                <w:szCs w:val="20"/>
                <w:highlight w:val="none"/>
                <w:lang w:eastAsia="zh-CN"/>
              </w:rPr>
              <w:t>重伤或</w:t>
            </w:r>
            <w:r>
              <w:rPr>
                <w:rFonts w:hint="eastAsia" w:ascii="仿宋" w:hAnsi="仿宋" w:eastAsia="仿宋" w:cs="仿宋"/>
                <w:color w:val="auto"/>
                <w:sz w:val="20"/>
                <w:szCs w:val="20"/>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发生</w:t>
            </w:r>
            <w:r>
              <w:rPr>
                <w:rFonts w:hint="eastAsia" w:ascii="仿宋" w:hAnsi="仿宋" w:eastAsia="仿宋" w:cs="仿宋"/>
                <w:color w:val="auto"/>
                <w:sz w:val="20"/>
                <w:szCs w:val="20"/>
                <w:highlight w:val="none"/>
                <w:lang w:eastAsia="zh-CN"/>
              </w:rPr>
              <w:t>重伤或</w:t>
            </w:r>
            <w:r>
              <w:rPr>
                <w:rFonts w:hint="eastAsia" w:ascii="仿宋" w:hAnsi="仿宋" w:eastAsia="仿宋" w:cs="仿宋"/>
                <w:color w:val="auto"/>
                <w:sz w:val="20"/>
                <w:szCs w:val="20"/>
                <w:highlight w:val="none"/>
              </w:rPr>
              <w:t>死亡1～2人的，暂停投标1年至2年（含）。</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发生</w:t>
            </w:r>
            <w:r>
              <w:rPr>
                <w:rFonts w:hint="eastAsia" w:ascii="仿宋" w:hAnsi="仿宋" w:eastAsia="仿宋" w:cs="仿宋"/>
                <w:color w:val="auto"/>
                <w:sz w:val="20"/>
                <w:szCs w:val="20"/>
                <w:highlight w:val="none"/>
                <w:lang w:eastAsia="zh-CN"/>
              </w:rPr>
              <w:t>重伤或</w:t>
            </w:r>
            <w:r>
              <w:rPr>
                <w:rFonts w:hint="eastAsia" w:ascii="仿宋" w:hAnsi="仿宋" w:eastAsia="仿宋" w:cs="仿宋"/>
                <w:color w:val="auto"/>
                <w:sz w:val="20"/>
                <w:szCs w:val="20"/>
                <w:highlight w:val="none"/>
              </w:rPr>
              <w:t>死亡3～9人的，暂停投标2年以上至4年。</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发生</w:t>
            </w:r>
            <w:r>
              <w:rPr>
                <w:rFonts w:hint="eastAsia" w:ascii="仿宋" w:hAnsi="仿宋" w:eastAsia="仿宋" w:cs="仿宋"/>
                <w:color w:val="auto"/>
                <w:sz w:val="20"/>
                <w:szCs w:val="20"/>
                <w:highlight w:val="none"/>
                <w:lang w:val="en-US" w:eastAsia="zh-CN"/>
              </w:rPr>
              <w:t>重伤10人以上（含）、或</w:t>
            </w:r>
            <w:r>
              <w:rPr>
                <w:rFonts w:hint="eastAsia" w:ascii="仿宋" w:hAnsi="仿宋" w:eastAsia="仿宋" w:cs="仿宋"/>
                <w:color w:val="auto"/>
                <w:sz w:val="20"/>
                <w:szCs w:val="20"/>
                <w:highlight w:val="none"/>
              </w:rPr>
              <w:t>重大及以上事故的，暂停投标4年或以上</w:t>
            </w:r>
            <w:r>
              <w:rPr>
                <w:rFonts w:hint="eastAsia" w:ascii="仿宋" w:hAnsi="仿宋" w:eastAsia="仿宋" w:cs="仿宋"/>
                <w:color w:val="auto"/>
                <w:sz w:val="20"/>
                <w:szCs w:val="20"/>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 w:hAnsi="仿宋" w:eastAsia="仿宋" w:cs="仿宋"/>
                <w:color w:val="auto"/>
                <w:sz w:val="20"/>
                <w:szCs w:val="20"/>
                <w:highlight w:val="none"/>
                <w:lang w:eastAsia="zh-CN"/>
              </w:rPr>
              <w:t>大面积运营晚点，</w:t>
            </w:r>
            <w:r>
              <w:rPr>
                <w:rFonts w:hint="eastAsia" w:ascii="仿宋" w:hAnsi="仿宋" w:eastAsia="仿宋" w:cs="仿宋"/>
                <w:color w:val="auto"/>
                <w:sz w:val="20"/>
                <w:szCs w:val="20"/>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（三）</w:t>
            </w:r>
            <w:r>
              <w:rPr>
                <w:rFonts w:hint="eastAsia" w:ascii="仿宋" w:hAnsi="仿宋" w:eastAsia="仿宋" w:cs="仿宋"/>
                <w:color w:val="auto"/>
                <w:sz w:val="20"/>
                <w:szCs w:val="20"/>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eastAsia="zh-CN"/>
              </w:rPr>
              <w:t>二</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暂停投标</w:t>
            </w:r>
            <w:r>
              <w:rPr>
                <w:rFonts w:hint="eastAsia" w:ascii="仿宋" w:hAnsi="仿宋" w:eastAsia="仿宋" w:cs="仿宋"/>
                <w:color w:val="auto"/>
                <w:sz w:val="20"/>
                <w:szCs w:val="20"/>
                <w:highlight w:val="none"/>
                <w:lang w:val="en-US" w:eastAsia="zh-CN"/>
              </w:rPr>
              <w:t>1</w:t>
            </w:r>
            <w:r>
              <w:rPr>
                <w:rFonts w:hint="eastAsia" w:ascii="仿宋" w:hAnsi="仿宋" w:eastAsia="仿宋" w:cs="仿宋"/>
                <w:color w:val="auto"/>
                <w:sz w:val="20"/>
                <w:szCs w:val="20"/>
                <w:highlight w:val="none"/>
                <w:lang w:eastAsia="zh-CN"/>
              </w:rPr>
              <w:t>年</w:t>
            </w:r>
            <w:r>
              <w:rPr>
                <w:rFonts w:hint="eastAsia" w:ascii="仿宋" w:hAnsi="仿宋" w:eastAsia="仿宋" w:cs="仿宋"/>
                <w:color w:val="auto"/>
                <w:sz w:val="20"/>
                <w:szCs w:val="20"/>
                <w:highlight w:val="none"/>
              </w:rPr>
              <w:t>。若至下一个自然年度项目尚未完结，仍出现该款情形的，继续暂停投标</w:t>
            </w:r>
            <w:r>
              <w:rPr>
                <w:rFonts w:hint="eastAsia" w:ascii="仿宋" w:hAnsi="仿宋" w:eastAsia="仿宋" w:cs="仿宋"/>
                <w:color w:val="auto"/>
                <w:sz w:val="20"/>
                <w:szCs w:val="20"/>
                <w:highlight w:val="none"/>
                <w:lang w:val="en-US" w:eastAsia="zh-CN"/>
              </w:rPr>
              <w:t>1</w:t>
            </w:r>
            <w:r>
              <w:rPr>
                <w:rFonts w:hint="eastAsia" w:ascii="仿宋" w:hAnsi="仿宋" w:eastAsia="仿宋" w:cs="仿宋"/>
                <w:color w:val="auto"/>
                <w:sz w:val="20"/>
                <w:szCs w:val="20"/>
                <w:highlight w:val="none"/>
                <w:lang w:eastAsia="zh-CN"/>
              </w:rPr>
              <w:t>年</w:t>
            </w:r>
            <w:r>
              <w:rPr>
                <w:rFonts w:hint="eastAsia" w:ascii="仿宋" w:hAnsi="仿宋" w:eastAsia="仿宋" w:cs="仿宋"/>
                <w:color w:val="auto"/>
                <w:sz w:val="20"/>
                <w:szCs w:val="20"/>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其他不诚信</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（一）</w:t>
            </w:r>
            <w:r>
              <w:rPr>
                <w:rFonts w:hint="eastAsia" w:ascii="仿宋" w:hAnsi="仿宋" w:eastAsia="仿宋" w:cs="仿宋"/>
                <w:color w:val="auto"/>
                <w:sz w:val="20"/>
                <w:szCs w:val="20"/>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9</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10</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13</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14</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15</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16</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17</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18</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19</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20</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21</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（十二）</w:t>
            </w:r>
            <w:r>
              <w:rPr>
                <w:rFonts w:hint="eastAsia" w:ascii="仿宋" w:hAnsi="仿宋" w:eastAsia="仿宋" w:cs="仿宋"/>
                <w:color w:val="auto"/>
                <w:sz w:val="20"/>
                <w:szCs w:val="20"/>
                <w:highlight w:val="none"/>
                <w:lang w:val="en-US" w:eastAsia="zh-CN"/>
              </w:rPr>
              <w:t>经发包人认定的其他不诚信行为</w:t>
            </w:r>
            <w:r>
              <w:rPr>
                <w:rFonts w:hint="eastAsia" w:ascii="仿宋" w:hAnsi="仿宋" w:eastAsia="仿宋" w:cs="仿宋"/>
                <w:color w:val="auto"/>
                <w:sz w:val="20"/>
                <w:szCs w:val="20"/>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bl>
    <w:p>
      <w:pPr>
        <w:pStyle w:val="2"/>
        <w:keepNext w:val="0"/>
        <w:keepLines w:val="0"/>
        <w:pageBreakBefore w:val="0"/>
        <w:kinsoku/>
        <w:wordWrap/>
        <w:overflowPunct/>
        <w:topLinePunct w:val="0"/>
        <w:bidi w:val="0"/>
        <w:spacing w:line="600" w:lineRule="exact"/>
        <w:ind w:left="0" w:leftChars="0" w:firstLine="0" w:firstLineChars="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备注：本处理标准出自</w:t>
      </w:r>
      <w:r>
        <w:rPr>
          <w:rFonts w:hint="eastAsia" w:ascii="仿宋" w:hAnsi="仿宋" w:eastAsia="仿宋" w:cs="仿宋"/>
          <w:color w:val="auto"/>
          <w:sz w:val="21"/>
          <w:szCs w:val="21"/>
          <w:highlight w:val="none"/>
        </w:rPr>
        <w:t>《广州市净水有限公司经营建设项目参建企业不诚信行为管理办法》</w:t>
      </w:r>
      <w:r>
        <w:rPr>
          <w:rFonts w:hint="eastAsia" w:ascii="仿宋" w:hAnsi="仿宋" w:eastAsia="仿宋" w:cs="仿宋"/>
          <w:color w:val="auto"/>
          <w:sz w:val="21"/>
          <w:szCs w:val="21"/>
          <w:highlight w:val="none"/>
          <w:lang w:eastAsia="zh-CN"/>
        </w:rPr>
        <w:t>。</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4"/>
        <w:rPr>
          <w:color w:val="auto"/>
          <w:highlight w:val="none"/>
        </w:rPr>
      </w:pPr>
      <w:bookmarkStart w:id="100" w:name="_Toc28358"/>
      <w:bookmarkStart w:id="101" w:name="_Toc12169"/>
      <w:bookmarkStart w:id="102" w:name="_Toc1563"/>
      <w:bookmarkStart w:id="103" w:name="_Toc16552"/>
      <w:bookmarkStart w:id="104" w:name="_Toc21847"/>
      <w:bookmarkStart w:id="105" w:name="_Toc8147"/>
      <w:bookmarkStart w:id="106" w:name="_Toc6230"/>
      <w:bookmarkStart w:id="107" w:name="_Toc3723"/>
      <w:bookmarkStart w:id="108" w:name="_Toc30824"/>
      <w:bookmarkStart w:id="109" w:name="_Toc5129"/>
      <w:bookmarkStart w:id="110" w:name="_Toc23515"/>
      <w:r>
        <w:rPr>
          <w:color w:val="auto"/>
          <w:highlight w:val="none"/>
        </w:rP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100"/>
      <w:bookmarkEnd w:id="101"/>
      <w:bookmarkEnd w:id="102"/>
      <w:bookmarkEnd w:id="103"/>
      <w:bookmarkEnd w:id="104"/>
      <w:bookmarkEnd w:id="105"/>
      <w:bookmarkEnd w:id="106"/>
      <w:bookmarkEnd w:id="107"/>
      <w:bookmarkEnd w:id="108"/>
      <w:bookmarkEnd w:id="109"/>
      <w:bookmarkEnd w:id="110"/>
    </w:p>
    <w:p>
      <w:pPr>
        <w:pStyle w:val="34"/>
        <w:rPr>
          <w:color w:val="auto"/>
          <w:highlight w:val="none"/>
        </w:rPr>
      </w:pPr>
    </w:p>
    <w:p>
      <w:pPr>
        <w:pStyle w:val="4"/>
        <w:rPr>
          <w:color w:val="auto"/>
          <w:highlight w:val="none"/>
        </w:rPr>
      </w:pPr>
      <w:bookmarkStart w:id="111" w:name="_Toc87616388"/>
      <w:bookmarkStart w:id="112" w:name="_Toc30157"/>
      <w:bookmarkStart w:id="113" w:name="_Toc88209951"/>
      <w:bookmarkStart w:id="114" w:name="_Toc24490"/>
      <w:bookmarkStart w:id="115" w:name="_Toc22764"/>
      <w:bookmarkStart w:id="116" w:name="_Toc5342"/>
      <w:bookmarkStart w:id="117" w:name="_Toc24815"/>
      <w:bookmarkStart w:id="118" w:name="_Toc10840"/>
      <w:bookmarkStart w:id="119" w:name="_Toc12610"/>
      <w:bookmarkStart w:id="120" w:name="_Toc31564"/>
      <w:bookmarkStart w:id="121" w:name="_Toc12769"/>
      <w:bookmarkStart w:id="122" w:name="_Toc17119"/>
      <w:bookmarkStart w:id="123" w:name="_Toc21675"/>
      <w:r>
        <w:rPr>
          <w:rFonts w:hint="eastAsia"/>
          <w:color w:val="auto"/>
          <w:highlight w:val="none"/>
        </w:rPr>
        <w:t>响应文件</w:t>
      </w:r>
      <w:r>
        <w:rPr>
          <w:rFonts w:hint="eastAsia"/>
          <w:color w:val="auto"/>
          <w:highlight w:val="none"/>
          <w:lang w:val="en-US" w:eastAsia="zh-CN"/>
        </w:rPr>
        <w:t>格式要求</w:t>
      </w:r>
      <w:bookmarkEnd w:id="111"/>
      <w:bookmarkEnd w:id="112"/>
      <w:bookmarkEnd w:id="113"/>
      <w:bookmarkEnd w:id="114"/>
      <w:bookmarkEnd w:id="115"/>
      <w:bookmarkEnd w:id="116"/>
      <w:bookmarkEnd w:id="117"/>
      <w:bookmarkEnd w:id="118"/>
      <w:bookmarkEnd w:id="119"/>
      <w:bookmarkEnd w:id="120"/>
      <w:bookmarkEnd w:id="121"/>
      <w:bookmarkEnd w:id="122"/>
      <w:bookmarkEnd w:id="123"/>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4" w:name="_Toc88209952"/>
      <w:bookmarkStart w:id="125" w:name="_Toc87616389"/>
      <w:r>
        <w:rPr>
          <w:rFonts w:hint="eastAsia" w:ascii="仿宋_GB2312" w:eastAsia="仿宋_GB2312"/>
          <w:color w:val="auto"/>
          <w:sz w:val="28"/>
          <w:szCs w:val="28"/>
          <w:highlight w:val="none"/>
        </w:rPr>
        <w:t>1.响应函</w:t>
      </w:r>
      <w:bookmarkEnd w:id="124"/>
      <w:bookmarkEnd w:id="125"/>
    </w:p>
    <w:p>
      <w:pPr>
        <w:spacing w:line="600" w:lineRule="exact"/>
        <w:rPr>
          <w:rFonts w:hint="eastAsia" w:ascii="仿宋_GB2312" w:eastAsia="仿宋_GB2312"/>
          <w:color w:val="auto"/>
          <w:sz w:val="28"/>
          <w:szCs w:val="28"/>
          <w:highlight w:val="none"/>
        </w:rPr>
      </w:pPr>
      <w:bookmarkStart w:id="126" w:name="_Toc87616390"/>
      <w:bookmarkStart w:id="127" w:name="_Toc88209953"/>
      <w:r>
        <w:rPr>
          <w:rFonts w:hint="eastAsia" w:ascii="仿宋_GB2312" w:eastAsia="仿宋_GB2312"/>
          <w:color w:val="auto"/>
          <w:sz w:val="28"/>
          <w:szCs w:val="28"/>
          <w:highlight w:val="none"/>
        </w:rPr>
        <w:t>2.法定代表人证明或授权委托书</w:t>
      </w:r>
      <w:bookmarkEnd w:id="126"/>
      <w:bookmarkEnd w:id="127"/>
      <w:bookmarkStart w:id="128" w:name="_Toc87616393"/>
      <w:bookmarkStart w:id="129"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28"/>
      <w:bookmarkEnd w:id="129"/>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30" w:name="_Toc6313"/>
      <w:bookmarkStart w:id="131" w:name="_Toc12665"/>
      <w:bookmarkStart w:id="132" w:name="_Toc88209957"/>
      <w:bookmarkStart w:id="133" w:name="_Toc87616394"/>
      <w:bookmarkStart w:id="134" w:name="_Toc28619645"/>
      <w:r>
        <w:rPr>
          <w:rFonts w:hint="eastAsia" w:asciiTheme="minorEastAsia" w:hAnsiTheme="minorEastAsia" w:eastAsiaTheme="minorEastAsia"/>
          <w:color w:val="auto"/>
          <w:sz w:val="28"/>
          <w:szCs w:val="28"/>
          <w:highlight w:val="none"/>
        </w:rPr>
        <w:t>1.响应函</w:t>
      </w:r>
      <w:bookmarkEnd w:id="130"/>
      <w:bookmarkEnd w:id="131"/>
      <w:bookmarkEnd w:id="132"/>
      <w:bookmarkEnd w:id="133"/>
      <w:bookmarkEnd w:id="13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adjustRightInd/>
        <w:snapToGrid/>
        <w:spacing w:line="360" w:lineRule="auto"/>
        <w:ind w:left="0" w:firstLine="560" w:firstLineChars="200"/>
        <w:jc w:val="left"/>
        <w:rPr>
          <w:rFonts w:ascii="仿宋_GB2312" w:eastAsia="仿宋_GB2312" w:hAnsiTheme="minorEastAsia"/>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right"/>
        <w:rPr>
          <w:rFonts w:hint="eastAsia"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hint="eastAsia"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hint="eastAsia"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6"/>
        <w:rPr>
          <w:rFonts w:asciiTheme="minorEastAsia" w:hAnsiTheme="minorEastAsia" w:eastAsiaTheme="minorEastAsia"/>
          <w:color w:val="auto"/>
          <w:sz w:val="28"/>
          <w:szCs w:val="28"/>
          <w:highlight w:val="none"/>
        </w:rPr>
      </w:pPr>
      <w:bookmarkStart w:id="135" w:name="_Toc29833"/>
      <w:bookmarkStart w:id="136" w:name="_Toc87616395"/>
      <w:bookmarkStart w:id="137" w:name="_Toc22527"/>
      <w:bookmarkStart w:id="138" w:name="_Toc88209958"/>
      <w:r>
        <w:rPr>
          <w:rFonts w:hint="eastAsia" w:asciiTheme="minorEastAsia" w:hAnsiTheme="minorEastAsia" w:eastAsiaTheme="minorEastAsia"/>
          <w:color w:val="auto"/>
          <w:sz w:val="28"/>
          <w:szCs w:val="28"/>
          <w:highlight w:val="none"/>
        </w:rPr>
        <w:t>2.法定代表人证明或授权委托书</w:t>
      </w:r>
      <w:bookmarkEnd w:id="135"/>
      <w:bookmarkEnd w:id="136"/>
      <w:bookmarkEnd w:id="137"/>
      <w:bookmarkEnd w:id="138"/>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6"/>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5"/>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4"/>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39" w:name="_Toc87616400"/>
      <w:bookmarkStart w:id="140" w:name="_Toc88209963"/>
      <w:bookmarkStart w:id="141" w:name="_Toc8086"/>
      <w:bookmarkStart w:id="142"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39"/>
      <w:bookmarkEnd w:id="140"/>
      <w:bookmarkEnd w:id="141"/>
      <w:bookmarkEnd w:id="14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43"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3"/>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44" w:name="_Toc19423"/>
      <w:bookmarkStart w:id="145"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44"/>
      <w:bookmarkEnd w:id="145"/>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46" w:name="_Toc88209965"/>
      <w:bookmarkStart w:id="147" w:name="_Toc6058"/>
      <w:bookmarkStart w:id="148" w:name="_Toc16386"/>
      <w:bookmarkStart w:id="149"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46"/>
      <w:bookmarkEnd w:id="147"/>
      <w:bookmarkEnd w:id="148"/>
      <w:bookmarkEnd w:id="149"/>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MxNzAyYjA1YWQyNGY2ZThhYzQ4YTQzYzc0MTNiZGMifQ=="/>
  </w:docVars>
  <w:rsids>
    <w:rsidRoot w:val="005D618A"/>
    <w:rsid w:val="003D60BA"/>
    <w:rsid w:val="00411689"/>
    <w:rsid w:val="005D618A"/>
    <w:rsid w:val="00911ECD"/>
    <w:rsid w:val="00A042E0"/>
    <w:rsid w:val="00B26BB1"/>
    <w:rsid w:val="00B26E21"/>
    <w:rsid w:val="00B741D7"/>
    <w:rsid w:val="00D4533C"/>
    <w:rsid w:val="00F83B64"/>
    <w:rsid w:val="01223957"/>
    <w:rsid w:val="013E3461"/>
    <w:rsid w:val="019B6B2F"/>
    <w:rsid w:val="01BB0F13"/>
    <w:rsid w:val="02090C75"/>
    <w:rsid w:val="02683257"/>
    <w:rsid w:val="02A23A3C"/>
    <w:rsid w:val="02FB196F"/>
    <w:rsid w:val="032843CF"/>
    <w:rsid w:val="035D130A"/>
    <w:rsid w:val="039110A9"/>
    <w:rsid w:val="03AC246A"/>
    <w:rsid w:val="03AE6061"/>
    <w:rsid w:val="03B23056"/>
    <w:rsid w:val="03DA023E"/>
    <w:rsid w:val="03DC3EBA"/>
    <w:rsid w:val="03E43F62"/>
    <w:rsid w:val="03F9794D"/>
    <w:rsid w:val="046A2461"/>
    <w:rsid w:val="04701FEC"/>
    <w:rsid w:val="051C2970"/>
    <w:rsid w:val="05CE269F"/>
    <w:rsid w:val="060C3611"/>
    <w:rsid w:val="06283AC3"/>
    <w:rsid w:val="069C0B66"/>
    <w:rsid w:val="06C64829"/>
    <w:rsid w:val="070E7B6E"/>
    <w:rsid w:val="071D62B7"/>
    <w:rsid w:val="074E5A9D"/>
    <w:rsid w:val="077D16D2"/>
    <w:rsid w:val="08030A4B"/>
    <w:rsid w:val="082A69F3"/>
    <w:rsid w:val="08675FC8"/>
    <w:rsid w:val="089F799B"/>
    <w:rsid w:val="08F179DA"/>
    <w:rsid w:val="092C28CC"/>
    <w:rsid w:val="09387860"/>
    <w:rsid w:val="09B713FD"/>
    <w:rsid w:val="09C05225"/>
    <w:rsid w:val="09E95163"/>
    <w:rsid w:val="09EF6ACC"/>
    <w:rsid w:val="0A315056"/>
    <w:rsid w:val="0A3E3B7B"/>
    <w:rsid w:val="0A694621"/>
    <w:rsid w:val="0A9C75F4"/>
    <w:rsid w:val="0AA213B4"/>
    <w:rsid w:val="0AF537FB"/>
    <w:rsid w:val="0AF61C7E"/>
    <w:rsid w:val="0AFB45AD"/>
    <w:rsid w:val="0B341D58"/>
    <w:rsid w:val="0B351E9B"/>
    <w:rsid w:val="0B4C50D3"/>
    <w:rsid w:val="0B54041F"/>
    <w:rsid w:val="0B6776C5"/>
    <w:rsid w:val="0B806B92"/>
    <w:rsid w:val="0B827E94"/>
    <w:rsid w:val="0B842F76"/>
    <w:rsid w:val="0BD070E1"/>
    <w:rsid w:val="0BD65B6B"/>
    <w:rsid w:val="0C2361E7"/>
    <w:rsid w:val="0C247926"/>
    <w:rsid w:val="0C6B45A7"/>
    <w:rsid w:val="0D4A0C1E"/>
    <w:rsid w:val="0D794204"/>
    <w:rsid w:val="0E2125D1"/>
    <w:rsid w:val="0E214211"/>
    <w:rsid w:val="0E5F2769"/>
    <w:rsid w:val="0ECC394D"/>
    <w:rsid w:val="0ED8332F"/>
    <w:rsid w:val="0F4D75A3"/>
    <w:rsid w:val="0F5B2DCA"/>
    <w:rsid w:val="0F714D08"/>
    <w:rsid w:val="0FA20605"/>
    <w:rsid w:val="0FED051E"/>
    <w:rsid w:val="0FEE4C29"/>
    <w:rsid w:val="0FFD33F6"/>
    <w:rsid w:val="10031608"/>
    <w:rsid w:val="10046082"/>
    <w:rsid w:val="104974DD"/>
    <w:rsid w:val="10BA54F1"/>
    <w:rsid w:val="10FB0077"/>
    <w:rsid w:val="111703D2"/>
    <w:rsid w:val="112B101A"/>
    <w:rsid w:val="119B53FC"/>
    <w:rsid w:val="11E80C15"/>
    <w:rsid w:val="1215733B"/>
    <w:rsid w:val="12424CDC"/>
    <w:rsid w:val="12977884"/>
    <w:rsid w:val="129A2738"/>
    <w:rsid w:val="12B56BF1"/>
    <w:rsid w:val="12CB1A89"/>
    <w:rsid w:val="131840FB"/>
    <w:rsid w:val="131F34A3"/>
    <w:rsid w:val="13284E29"/>
    <w:rsid w:val="13467417"/>
    <w:rsid w:val="136E76CF"/>
    <w:rsid w:val="13A053FB"/>
    <w:rsid w:val="13FC4BC0"/>
    <w:rsid w:val="145F08C6"/>
    <w:rsid w:val="14DE1AA3"/>
    <w:rsid w:val="14E1184E"/>
    <w:rsid w:val="14E43F59"/>
    <w:rsid w:val="155C2D9B"/>
    <w:rsid w:val="15776308"/>
    <w:rsid w:val="15BC6B3C"/>
    <w:rsid w:val="15EC2C59"/>
    <w:rsid w:val="16360A7B"/>
    <w:rsid w:val="163940AC"/>
    <w:rsid w:val="164D40B0"/>
    <w:rsid w:val="1694429A"/>
    <w:rsid w:val="17191C4E"/>
    <w:rsid w:val="17635326"/>
    <w:rsid w:val="17A87CEF"/>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DD7713"/>
    <w:rsid w:val="1D0D1F51"/>
    <w:rsid w:val="1D0E6976"/>
    <w:rsid w:val="1D5A79EE"/>
    <w:rsid w:val="1E0E2CD0"/>
    <w:rsid w:val="1E831280"/>
    <w:rsid w:val="1EBC4704"/>
    <w:rsid w:val="1EE522C8"/>
    <w:rsid w:val="1F172EB5"/>
    <w:rsid w:val="1F22070B"/>
    <w:rsid w:val="1F2A4BB1"/>
    <w:rsid w:val="1F52429C"/>
    <w:rsid w:val="1F94592D"/>
    <w:rsid w:val="1FA629C5"/>
    <w:rsid w:val="1FB64181"/>
    <w:rsid w:val="1FB81A1A"/>
    <w:rsid w:val="1FB860DE"/>
    <w:rsid w:val="201C1920"/>
    <w:rsid w:val="203C5A02"/>
    <w:rsid w:val="2080369B"/>
    <w:rsid w:val="209D4C94"/>
    <w:rsid w:val="20B44FCD"/>
    <w:rsid w:val="20E84705"/>
    <w:rsid w:val="21753B52"/>
    <w:rsid w:val="218400BA"/>
    <w:rsid w:val="21AB1E2F"/>
    <w:rsid w:val="21BE0DA5"/>
    <w:rsid w:val="21D40498"/>
    <w:rsid w:val="21FC0DE6"/>
    <w:rsid w:val="223F121E"/>
    <w:rsid w:val="22493963"/>
    <w:rsid w:val="227627AC"/>
    <w:rsid w:val="22767047"/>
    <w:rsid w:val="22786BA1"/>
    <w:rsid w:val="2343242A"/>
    <w:rsid w:val="23A05588"/>
    <w:rsid w:val="23E0000B"/>
    <w:rsid w:val="24000354"/>
    <w:rsid w:val="240476A1"/>
    <w:rsid w:val="2475049B"/>
    <w:rsid w:val="24E953B9"/>
    <w:rsid w:val="25431AEB"/>
    <w:rsid w:val="25AD056D"/>
    <w:rsid w:val="25B875EB"/>
    <w:rsid w:val="25BE3BFB"/>
    <w:rsid w:val="25BF43FD"/>
    <w:rsid w:val="25F86BCD"/>
    <w:rsid w:val="2605748B"/>
    <w:rsid w:val="26396D26"/>
    <w:rsid w:val="264544A6"/>
    <w:rsid w:val="267702FB"/>
    <w:rsid w:val="268371C6"/>
    <w:rsid w:val="269E416A"/>
    <w:rsid w:val="26C11C6B"/>
    <w:rsid w:val="270E2D5A"/>
    <w:rsid w:val="272100D3"/>
    <w:rsid w:val="272C72FC"/>
    <w:rsid w:val="274C735D"/>
    <w:rsid w:val="275131CB"/>
    <w:rsid w:val="278F6521"/>
    <w:rsid w:val="27EB149D"/>
    <w:rsid w:val="27FD3E52"/>
    <w:rsid w:val="285D7616"/>
    <w:rsid w:val="28E11370"/>
    <w:rsid w:val="294A756A"/>
    <w:rsid w:val="29781BF8"/>
    <w:rsid w:val="297939E2"/>
    <w:rsid w:val="29C33ED0"/>
    <w:rsid w:val="29D5322D"/>
    <w:rsid w:val="2A025DD9"/>
    <w:rsid w:val="2A2619CB"/>
    <w:rsid w:val="2A7317D3"/>
    <w:rsid w:val="2A7C2231"/>
    <w:rsid w:val="2A7E4A4A"/>
    <w:rsid w:val="2A920E4F"/>
    <w:rsid w:val="2ABB753D"/>
    <w:rsid w:val="2AE406B5"/>
    <w:rsid w:val="2AFE6EC4"/>
    <w:rsid w:val="2B345DDC"/>
    <w:rsid w:val="2B7A49FA"/>
    <w:rsid w:val="2C5D489F"/>
    <w:rsid w:val="2C615D26"/>
    <w:rsid w:val="2CB679ED"/>
    <w:rsid w:val="2CE83C37"/>
    <w:rsid w:val="2CEB2FFC"/>
    <w:rsid w:val="2D173C07"/>
    <w:rsid w:val="2D2612C7"/>
    <w:rsid w:val="2D2B719C"/>
    <w:rsid w:val="2D424A86"/>
    <w:rsid w:val="2DDA66B7"/>
    <w:rsid w:val="2E6F2D11"/>
    <w:rsid w:val="2E7B52DB"/>
    <w:rsid w:val="2ED60115"/>
    <w:rsid w:val="2EDE5FC4"/>
    <w:rsid w:val="2F324CFE"/>
    <w:rsid w:val="2FBA09F1"/>
    <w:rsid w:val="2FEF2ACF"/>
    <w:rsid w:val="2FF93D20"/>
    <w:rsid w:val="30540211"/>
    <w:rsid w:val="305D2675"/>
    <w:rsid w:val="30E45100"/>
    <w:rsid w:val="31112A0D"/>
    <w:rsid w:val="3118711F"/>
    <w:rsid w:val="311F4B20"/>
    <w:rsid w:val="312D7741"/>
    <w:rsid w:val="316F137F"/>
    <w:rsid w:val="31814676"/>
    <w:rsid w:val="31815AF3"/>
    <w:rsid w:val="31DF525F"/>
    <w:rsid w:val="31EC162B"/>
    <w:rsid w:val="31F15647"/>
    <w:rsid w:val="31F459C0"/>
    <w:rsid w:val="322F5E44"/>
    <w:rsid w:val="32324C2E"/>
    <w:rsid w:val="324C2C78"/>
    <w:rsid w:val="327171DF"/>
    <w:rsid w:val="32752BFC"/>
    <w:rsid w:val="32A11356"/>
    <w:rsid w:val="32CF50D5"/>
    <w:rsid w:val="3391569E"/>
    <w:rsid w:val="33F95995"/>
    <w:rsid w:val="341E3434"/>
    <w:rsid w:val="341F5405"/>
    <w:rsid w:val="34755D47"/>
    <w:rsid w:val="34BB4442"/>
    <w:rsid w:val="34BC29CE"/>
    <w:rsid w:val="34F358EC"/>
    <w:rsid w:val="3584136B"/>
    <w:rsid w:val="35F33DC1"/>
    <w:rsid w:val="35FF5AA4"/>
    <w:rsid w:val="360B7EBA"/>
    <w:rsid w:val="36416867"/>
    <w:rsid w:val="367D5DD4"/>
    <w:rsid w:val="36907969"/>
    <w:rsid w:val="369C32FD"/>
    <w:rsid w:val="37666E72"/>
    <w:rsid w:val="380101AF"/>
    <w:rsid w:val="38081EA3"/>
    <w:rsid w:val="38167A04"/>
    <w:rsid w:val="381C3783"/>
    <w:rsid w:val="38EA3B2E"/>
    <w:rsid w:val="394B167A"/>
    <w:rsid w:val="3969202C"/>
    <w:rsid w:val="399950C7"/>
    <w:rsid w:val="39AD34EA"/>
    <w:rsid w:val="39DA2868"/>
    <w:rsid w:val="39DF6BF2"/>
    <w:rsid w:val="39E05CE7"/>
    <w:rsid w:val="3A055F4B"/>
    <w:rsid w:val="3A3B1189"/>
    <w:rsid w:val="3A4E4336"/>
    <w:rsid w:val="3A6007FE"/>
    <w:rsid w:val="3A802587"/>
    <w:rsid w:val="3A852164"/>
    <w:rsid w:val="3AA367C8"/>
    <w:rsid w:val="3AF93D6C"/>
    <w:rsid w:val="3AFD06C8"/>
    <w:rsid w:val="3B026E72"/>
    <w:rsid w:val="3B3738ED"/>
    <w:rsid w:val="3B477B26"/>
    <w:rsid w:val="3B592D04"/>
    <w:rsid w:val="3B7C2CE4"/>
    <w:rsid w:val="3BAF716B"/>
    <w:rsid w:val="3BF13DAA"/>
    <w:rsid w:val="3C06207F"/>
    <w:rsid w:val="3C0B5355"/>
    <w:rsid w:val="3C3523F9"/>
    <w:rsid w:val="3CD4176B"/>
    <w:rsid w:val="3CF17B79"/>
    <w:rsid w:val="3D1F44D9"/>
    <w:rsid w:val="3D4A5933"/>
    <w:rsid w:val="3D5C38CD"/>
    <w:rsid w:val="3E5070F1"/>
    <w:rsid w:val="3E7569E0"/>
    <w:rsid w:val="3EC370CB"/>
    <w:rsid w:val="3ECA0472"/>
    <w:rsid w:val="3F462091"/>
    <w:rsid w:val="3F5A37BA"/>
    <w:rsid w:val="3F6C3589"/>
    <w:rsid w:val="3F7055E0"/>
    <w:rsid w:val="3F850180"/>
    <w:rsid w:val="3F9004D6"/>
    <w:rsid w:val="3FEE7CFA"/>
    <w:rsid w:val="400E4D5E"/>
    <w:rsid w:val="401C1643"/>
    <w:rsid w:val="401D0CE2"/>
    <w:rsid w:val="40C17AEB"/>
    <w:rsid w:val="40DD5078"/>
    <w:rsid w:val="40E1138C"/>
    <w:rsid w:val="40F46709"/>
    <w:rsid w:val="413814BA"/>
    <w:rsid w:val="41872511"/>
    <w:rsid w:val="41DF1251"/>
    <w:rsid w:val="424236D9"/>
    <w:rsid w:val="42466655"/>
    <w:rsid w:val="42C50B6D"/>
    <w:rsid w:val="42C82F57"/>
    <w:rsid w:val="435707E5"/>
    <w:rsid w:val="43710BBC"/>
    <w:rsid w:val="439927E1"/>
    <w:rsid w:val="43C76AF7"/>
    <w:rsid w:val="43E97E4A"/>
    <w:rsid w:val="43F8044B"/>
    <w:rsid w:val="440D65DA"/>
    <w:rsid w:val="446828F0"/>
    <w:rsid w:val="44C818DB"/>
    <w:rsid w:val="44FF2CAE"/>
    <w:rsid w:val="45093E85"/>
    <w:rsid w:val="450B3BFA"/>
    <w:rsid w:val="45C13B4D"/>
    <w:rsid w:val="46054BCA"/>
    <w:rsid w:val="464C6AFC"/>
    <w:rsid w:val="468B0091"/>
    <w:rsid w:val="46A107C3"/>
    <w:rsid w:val="46B15CE2"/>
    <w:rsid w:val="46BE113D"/>
    <w:rsid w:val="46E44B13"/>
    <w:rsid w:val="4703508A"/>
    <w:rsid w:val="475023F8"/>
    <w:rsid w:val="479A1E7B"/>
    <w:rsid w:val="479D361E"/>
    <w:rsid w:val="47AF3E87"/>
    <w:rsid w:val="47B74789"/>
    <w:rsid w:val="47F37E26"/>
    <w:rsid w:val="48032A55"/>
    <w:rsid w:val="480F2B9D"/>
    <w:rsid w:val="48102176"/>
    <w:rsid w:val="481E677F"/>
    <w:rsid w:val="48282920"/>
    <w:rsid w:val="483E1347"/>
    <w:rsid w:val="485321E0"/>
    <w:rsid w:val="48546AD3"/>
    <w:rsid w:val="48CA4868"/>
    <w:rsid w:val="48F005D3"/>
    <w:rsid w:val="49091BD6"/>
    <w:rsid w:val="49466522"/>
    <w:rsid w:val="49547ADD"/>
    <w:rsid w:val="49732351"/>
    <w:rsid w:val="498F4AF1"/>
    <w:rsid w:val="49C05787"/>
    <w:rsid w:val="49CF518D"/>
    <w:rsid w:val="49D56585"/>
    <w:rsid w:val="49F03572"/>
    <w:rsid w:val="4A0B46EC"/>
    <w:rsid w:val="4A1F5166"/>
    <w:rsid w:val="4A7F3979"/>
    <w:rsid w:val="4ADA1F63"/>
    <w:rsid w:val="4AE23D89"/>
    <w:rsid w:val="4B2038D0"/>
    <w:rsid w:val="4B296E7D"/>
    <w:rsid w:val="4B590B95"/>
    <w:rsid w:val="4B79394E"/>
    <w:rsid w:val="4B877F28"/>
    <w:rsid w:val="4BE6319F"/>
    <w:rsid w:val="4C32411F"/>
    <w:rsid w:val="4C5F2868"/>
    <w:rsid w:val="4C8A1132"/>
    <w:rsid w:val="4CD200BA"/>
    <w:rsid w:val="4D2044E7"/>
    <w:rsid w:val="4D916BA6"/>
    <w:rsid w:val="4DC44169"/>
    <w:rsid w:val="4DCD4814"/>
    <w:rsid w:val="4DE24E21"/>
    <w:rsid w:val="4E1B19A3"/>
    <w:rsid w:val="4E48787F"/>
    <w:rsid w:val="4EF0709E"/>
    <w:rsid w:val="4F0469A4"/>
    <w:rsid w:val="4F392DAA"/>
    <w:rsid w:val="4FD961B5"/>
    <w:rsid w:val="500E56F4"/>
    <w:rsid w:val="50183ECA"/>
    <w:rsid w:val="50540C73"/>
    <w:rsid w:val="50752AF8"/>
    <w:rsid w:val="513C6A7B"/>
    <w:rsid w:val="517300C9"/>
    <w:rsid w:val="517F1BFF"/>
    <w:rsid w:val="51D2165F"/>
    <w:rsid w:val="51EF78DD"/>
    <w:rsid w:val="522A6D19"/>
    <w:rsid w:val="52EC6EC2"/>
    <w:rsid w:val="532D486F"/>
    <w:rsid w:val="5333545B"/>
    <w:rsid w:val="5371539E"/>
    <w:rsid w:val="53775BBE"/>
    <w:rsid w:val="538D0E89"/>
    <w:rsid w:val="53B608CC"/>
    <w:rsid w:val="5450213C"/>
    <w:rsid w:val="546711F3"/>
    <w:rsid w:val="546C3825"/>
    <w:rsid w:val="54D24048"/>
    <w:rsid w:val="54D64CD5"/>
    <w:rsid w:val="5532287C"/>
    <w:rsid w:val="55887D69"/>
    <w:rsid w:val="55EA01FB"/>
    <w:rsid w:val="55EE5D11"/>
    <w:rsid w:val="561A0928"/>
    <w:rsid w:val="56226F48"/>
    <w:rsid w:val="56423872"/>
    <w:rsid w:val="564F16DE"/>
    <w:rsid w:val="569E06BC"/>
    <w:rsid w:val="56B279F0"/>
    <w:rsid w:val="56DB7C8E"/>
    <w:rsid w:val="56F20F86"/>
    <w:rsid w:val="579D710E"/>
    <w:rsid w:val="58047936"/>
    <w:rsid w:val="581F22F6"/>
    <w:rsid w:val="586E1E17"/>
    <w:rsid w:val="58731999"/>
    <w:rsid w:val="58862C35"/>
    <w:rsid w:val="58A3667F"/>
    <w:rsid w:val="58C14957"/>
    <w:rsid w:val="58CC23D2"/>
    <w:rsid w:val="58E66050"/>
    <w:rsid w:val="594D7BA2"/>
    <w:rsid w:val="596B36B6"/>
    <w:rsid w:val="59CC4FFB"/>
    <w:rsid w:val="59E07875"/>
    <w:rsid w:val="59E63F07"/>
    <w:rsid w:val="59FC7994"/>
    <w:rsid w:val="5AE83A50"/>
    <w:rsid w:val="5B353193"/>
    <w:rsid w:val="5BAB2917"/>
    <w:rsid w:val="5BFC33FA"/>
    <w:rsid w:val="5C3107A4"/>
    <w:rsid w:val="5C3B1B93"/>
    <w:rsid w:val="5C4B2BC4"/>
    <w:rsid w:val="5C9220DF"/>
    <w:rsid w:val="5D4A15F3"/>
    <w:rsid w:val="5D5F016D"/>
    <w:rsid w:val="5D69542A"/>
    <w:rsid w:val="5D783B72"/>
    <w:rsid w:val="5DA319D4"/>
    <w:rsid w:val="5E0930EF"/>
    <w:rsid w:val="5E3D4D53"/>
    <w:rsid w:val="5E4717E6"/>
    <w:rsid w:val="5E55774C"/>
    <w:rsid w:val="5E8A70FF"/>
    <w:rsid w:val="5F002AE7"/>
    <w:rsid w:val="60045F96"/>
    <w:rsid w:val="60104DDC"/>
    <w:rsid w:val="603B4B06"/>
    <w:rsid w:val="605C0804"/>
    <w:rsid w:val="607F01F9"/>
    <w:rsid w:val="60913E6F"/>
    <w:rsid w:val="61227426"/>
    <w:rsid w:val="612C5BB6"/>
    <w:rsid w:val="61733C3E"/>
    <w:rsid w:val="6189617B"/>
    <w:rsid w:val="61B20CFC"/>
    <w:rsid w:val="61B52BB6"/>
    <w:rsid w:val="61B749C2"/>
    <w:rsid w:val="62280D20"/>
    <w:rsid w:val="62B4786E"/>
    <w:rsid w:val="62CA2457"/>
    <w:rsid w:val="62CA3425"/>
    <w:rsid w:val="632B2111"/>
    <w:rsid w:val="63731CAE"/>
    <w:rsid w:val="638240A1"/>
    <w:rsid w:val="63833423"/>
    <w:rsid w:val="63A5257B"/>
    <w:rsid w:val="63BD3DCC"/>
    <w:rsid w:val="63C61741"/>
    <w:rsid w:val="63E22022"/>
    <w:rsid w:val="64560967"/>
    <w:rsid w:val="64744E95"/>
    <w:rsid w:val="647A509A"/>
    <w:rsid w:val="655A0DC3"/>
    <w:rsid w:val="656B1D10"/>
    <w:rsid w:val="65714633"/>
    <w:rsid w:val="65B800E9"/>
    <w:rsid w:val="65B841F9"/>
    <w:rsid w:val="65FE3864"/>
    <w:rsid w:val="66022B28"/>
    <w:rsid w:val="664A38E2"/>
    <w:rsid w:val="66581E87"/>
    <w:rsid w:val="66766EBB"/>
    <w:rsid w:val="66FA11D5"/>
    <w:rsid w:val="674302C7"/>
    <w:rsid w:val="6793691A"/>
    <w:rsid w:val="67CB09D8"/>
    <w:rsid w:val="67EE3B0F"/>
    <w:rsid w:val="680A5986"/>
    <w:rsid w:val="680D5F4B"/>
    <w:rsid w:val="68113F51"/>
    <w:rsid w:val="68385E75"/>
    <w:rsid w:val="68AF1725"/>
    <w:rsid w:val="68B272C7"/>
    <w:rsid w:val="68E94770"/>
    <w:rsid w:val="68EC1CEF"/>
    <w:rsid w:val="68F949C9"/>
    <w:rsid w:val="695A4290"/>
    <w:rsid w:val="696F3649"/>
    <w:rsid w:val="6A267606"/>
    <w:rsid w:val="6A334932"/>
    <w:rsid w:val="6A3353FF"/>
    <w:rsid w:val="6A5D63E6"/>
    <w:rsid w:val="6A5F24D1"/>
    <w:rsid w:val="6ACA70C4"/>
    <w:rsid w:val="6AE347EB"/>
    <w:rsid w:val="6B262082"/>
    <w:rsid w:val="6B330365"/>
    <w:rsid w:val="6B434AF0"/>
    <w:rsid w:val="6B4A2D46"/>
    <w:rsid w:val="6B57675A"/>
    <w:rsid w:val="6B644D41"/>
    <w:rsid w:val="6B87098A"/>
    <w:rsid w:val="6BDD7B4D"/>
    <w:rsid w:val="6C7C51A8"/>
    <w:rsid w:val="6CDE6644"/>
    <w:rsid w:val="6E9A49E9"/>
    <w:rsid w:val="6EBC0B3A"/>
    <w:rsid w:val="6EF51C7D"/>
    <w:rsid w:val="6F653153"/>
    <w:rsid w:val="6F8363E5"/>
    <w:rsid w:val="6F841DCF"/>
    <w:rsid w:val="6FA80CCD"/>
    <w:rsid w:val="6FAC3CC5"/>
    <w:rsid w:val="6FC746F5"/>
    <w:rsid w:val="6FE3196F"/>
    <w:rsid w:val="6FE33EF5"/>
    <w:rsid w:val="70317AC6"/>
    <w:rsid w:val="704B26F7"/>
    <w:rsid w:val="70697B21"/>
    <w:rsid w:val="70863262"/>
    <w:rsid w:val="70A76ED3"/>
    <w:rsid w:val="716E667F"/>
    <w:rsid w:val="71860B17"/>
    <w:rsid w:val="71F35558"/>
    <w:rsid w:val="723B27CC"/>
    <w:rsid w:val="72687227"/>
    <w:rsid w:val="72A03FD9"/>
    <w:rsid w:val="72B31690"/>
    <w:rsid w:val="72CE6A68"/>
    <w:rsid w:val="72F16232"/>
    <w:rsid w:val="73406CFF"/>
    <w:rsid w:val="7383028C"/>
    <w:rsid w:val="73A25E44"/>
    <w:rsid w:val="741F68CF"/>
    <w:rsid w:val="748D50CB"/>
    <w:rsid w:val="74DE30CF"/>
    <w:rsid w:val="750F4382"/>
    <w:rsid w:val="75252DF3"/>
    <w:rsid w:val="75621536"/>
    <w:rsid w:val="75937C20"/>
    <w:rsid w:val="75BF3154"/>
    <w:rsid w:val="75DA4A2D"/>
    <w:rsid w:val="764A07CF"/>
    <w:rsid w:val="764F6B3D"/>
    <w:rsid w:val="76CD2B7B"/>
    <w:rsid w:val="76D80645"/>
    <w:rsid w:val="76E03371"/>
    <w:rsid w:val="771211AA"/>
    <w:rsid w:val="77736C04"/>
    <w:rsid w:val="780E5898"/>
    <w:rsid w:val="782642CC"/>
    <w:rsid w:val="7894095E"/>
    <w:rsid w:val="78964555"/>
    <w:rsid w:val="78CF4963"/>
    <w:rsid w:val="79000679"/>
    <w:rsid w:val="790762E0"/>
    <w:rsid w:val="7916258F"/>
    <w:rsid w:val="791C0FE5"/>
    <w:rsid w:val="793D437B"/>
    <w:rsid w:val="79635B4A"/>
    <w:rsid w:val="796F63AA"/>
    <w:rsid w:val="798A4B2A"/>
    <w:rsid w:val="79A416F0"/>
    <w:rsid w:val="79A57791"/>
    <w:rsid w:val="79B03EB6"/>
    <w:rsid w:val="79B61437"/>
    <w:rsid w:val="79ED269C"/>
    <w:rsid w:val="7A566AA6"/>
    <w:rsid w:val="7A745625"/>
    <w:rsid w:val="7AE15A5C"/>
    <w:rsid w:val="7AF37579"/>
    <w:rsid w:val="7AF87F64"/>
    <w:rsid w:val="7B1C0C84"/>
    <w:rsid w:val="7B3D23EF"/>
    <w:rsid w:val="7B5A62DF"/>
    <w:rsid w:val="7B7A04A8"/>
    <w:rsid w:val="7B8E4662"/>
    <w:rsid w:val="7C0C3F6D"/>
    <w:rsid w:val="7C22163C"/>
    <w:rsid w:val="7C457B4B"/>
    <w:rsid w:val="7C595075"/>
    <w:rsid w:val="7C6B07B2"/>
    <w:rsid w:val="7CFD67B6"/>
    <w:rsid w:val="7D133243"/>
    <w:rsid w:val="7D945420"/>
    <w:rsid w:val="7D997857"/>
    <w:rsid w:val="7DD07A4B"/>
    <w:rsid w:val="7E394207"/>
    <w:rsid w:val="7E4007A2"/>
    <w:rsid w:val="7E791CAD"/>
    <w:rsid w:val="7EA50DFB"/>
    <w:rsid w:val="7EC86878"/>
    <w:rsid w:val="7EDD14E7"/>
    <w:rsid w:val="7F16390D"/>
    <w:rsid w:val="7F20789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8"/>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29"/>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0"/>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8"/>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adjustRightInd w:val="0"/>
      <w:spacing w:after="120" w:line="480" w:lineRule="auto"/>
      <w:ind w:left="420"/>
      <w:textAlignment w:val="baseline"/>
    </w:pPr>
    <w:rPr>
      <w:kern w:val="0"/>
      <w:szCs w:val="20"/>
    </w:rPr>
  </w:style>
  <w:style w:type="paragraph" w:styleId="16">
    <w:name w:val="Balloon Text"/>
    <w:basedOn w:val="1"/>
    <w:link w:val="33"/>
    <w:semiHidden/>
    <w:unhideWhenUsed/>
    <w:qFormat/>
    <w:uiPriority w:val="99"/>
    <w:rPr>
      <w:sz w:val="18"/>
      <w:szCs w:val="18"/>
    </w:rPr>
  </w:style>
  <w:style w:type="paragraph" w:styleId="17">
    <w:name w:val="footer"/>
    <w:basedOn w:val="1"/>
    <w:link w:val="27"/>
    <w:unhideWhenUsed/>
    <w:qFormat/>
    <w:uiPriority w:val="99"/>
    <w:pPr>
      <w:tabs>
        <w:tab w:val="center" w:pos="4153"/>
        <w:tab w:val="right" w:pos="8306"/>
      </w:tabs>
      <w:snapToGrid w:val="0"/>
      <w:jc w:val="left"/>
    </w:pPr>
    <w:rPr>
      <w:sz w:val="18"/>
      <w:szCs w:val="18"/>
    </w:rPr>
  </w:style>
  <w:style w:type="paragraph" w:styleId="18">
    <w:name w:val="header"/>
    <w:basedOn w:val="1"/>
    <w:link w:val="2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Strong"/>
    <w:basedOn w:val="23"/>
    <w:qFormat/>
    <w:uiPriority w:val="22"/>
    <w:rPr>
      <w:rFonts w:eastAsia="宋体"/>
      <w:b/>
      <w:bCs/>
      <w:kern w:val="2"/>
      <w:sz w:val="24"/>
      <w:szCs w:val="24"/>
      <w:lang w:val="en-US" w:eastAsia="zh-CN" w:bidi="ar-SA"/>
    </w:rPr>
  </w:style>
  <w:style w:type="character" w:styleId="25">
    <w:name w:val="Hyperlink"/>
    <w:basedOn w:val="23"/>
    <w:unhideWhenUsed/>
    <w:qFormat/>
    <w:uiPriority w:val="99"/>
    <w:rPr>
      <w:color w:val="0000FF" w:themeColor="hyperlink"/>
      <w:u w:val="single"/>
    </w:rPr>
  </w:style>
  <w:style w:type="character" w:customStyle="1" w:styleId="26">
    <w:name w:val="页眉 Char"/>
    <w:basedOn w:val="23"/>
    <w:link w:val="18"/>
    <w:semiHidden/>
    <w:qFormat/>
    <w:uiPriority w:val="99"/>
    <w:rPr>
      <w:sz w:val="18"/>
      <w:szCs w:val="18"/>
    </w:rPr>
  </w:style>
  <w:style w:type="character" w:customStyle="1" w:styleId="27">
    <w:name w:val="页脚 Char"/>
    <w:basedOn w:val="23"/>
    <w:link w:val="17"/>
    <w:qFormat/>
    <w:uiPriority w:val="99"/>
    <w:rPr>
      <w:sz w:val="18"/>
      <w:szCs w:val="18"/>
    </w:rPr>
  </w:style>
  <w:style w:type="character" w:customStyle="1" w:styleId="28">
    <w:name w:val="标题 1 Char"/>
    <w:basedOn w:val="23"/>
    <w:link w:val="4"/>
    <w:qFormat/>
    <w:uiPriority w:val="9"/>
    <w:rPr>
      <w:rFonts w:eastAsia="方正小标宋简体"/>
      <w:bCs/>
      <w:kern w:val="44"/>
      <w:sz w:val="44"/>
      <w:szCs w:val="44"/>
    </w:rPr>
  </w:style>
  <w:style w:type="character" w:customStyle="1" w:styleId="29">
    <w:name w:val="标题 2 Char"/>
    <w:basedOn w:val="23"/>
    <w:link w:val="5"/>
    <w:qFormat/>
    <w:uiPriority w:val="9"/>
    <w:rPr>
      <w:rFonts w:eastAsia="方正小标宋简体" w:asciiTheme="majorHAnsi" w:hAnsiTheme="majorHAnsi" w:cstheme="majorBidi"/>
      <w:bCs/>
      <w:sz w:val="36"/>
      <w:szCs w:val="32"/>
    </w:rPr>
  </w:style>
  <w:style w:type="character" w:customStyle="1" w:styleId="30">
    <w:name w:val="标题 3 Char"/>
    <w:basedOn w:val="23"/>
    <w:link w:val="6"/>
    <w:qFormat/>
    <w:uiPriority w:val="9"/>
    <w:rPr>
      <w:rFonts w:ascii="Calibri" w:hAnsi="Calibri" w:eastAsia="宋体" w:cs="Times New Roman"/>
      <w:b/>
      <w:bCs/>
      <w:sz w:val="32"/>
      <w:szCs w:val="32"/>
    </w:rPr>
  </w:style>
  <w:style w:type="paragraph" w:styleId="31">
    <w:name w:val="List Paragraph"/>
    <w:basedOn w:val="1"/>
    <w:link w:val="39"/>
    <w:qFormat/>
    <w:uiPriority w:val="34"/>
    <w:pPr>
      <w:ind w:firstLine="420" w:firstLineChars="200"/>
    </w:pPr>
  </w:style>
  <w:style w:type="paragraph" w:customStyle="1" w:styleId="32">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批注框文本 Char"/>
    <w:basedOn w:val="23"/>
    <w:link w:val="16"/>
    <w:semiHidden/>
    <w:qFormat/>
    <w:uiPriority w:val="99"/>
    <w:rPr>
      <w:sz w:val="18"/>
      <w:szCs w:val="18"/>
    </w:rPr>
  </w:style>
  <w:style w:type="paragraph" w:styleId="3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CM97"/>
    <w:basedOn w:val="13"/>
    <w:next w:val="13"/>
    <w:qFormat/>
    <w:uiPriority w:val="0"/>
    <w:pPr>
      <w:spacing w:after="373"/>
    </w:pPr>
    <w:rPr>
      <w:color w:val="auto"/>
    </w:rPr>
  </w:style>
  <w:style w:type="paragraph" w:customStyle="1" w:styleId="36">
    <w:name w:val="CM91"/>
    <w:basedOn w:val="13"/>
    <w:next w:val="13"/>
    <w:qFormat/>
    <w:uiPriority w:val="0"/>
    <w:pPr>
      <w:spacing w:after="160"/>
    </w:pPr>
    <w:rPr>
      <w:color w:val="auto"/>
    </w:rPr>
  </w:style>
  <w:style w:type="character" w:customStyle="1" w:styleId="37">
    <w:name w:val="正文文本 3 Char"/>
    <w:link w:val="8"/>
    <w:qFormat/>
    <w:uiPriority w:val="99"/>
    <w:rPr>
      <w:sz w:val="16"/>
      <w:szCs w:val="16"/>
    </w:rPr>
  </w:style>
  <w:style w:type="character" w:customStyle="1" w:styleId="38">
    <w:name w:val="正文文本 3 Char1"/>
    <w:basedOn w:val="23"/>
    <w:link w:val="8"/>
    <w:semiHidden/>
    <w:qFormat/>
    <w:uiPriority w:val="99"/>
    <w:rPr>
      <w:sz w:val="16"/>
      <w:szCs w:val="16"/>
    </w:rPr>
  </w:style>
  <w:style w:type="character" w:customStyle="1" w:styleId="39">
    <w:name w:val="列出段落 Char"/>
    <w:link w:val="31"/>
    <w:qFormat/>
    <w:uiPriority w:val="34"/>
  </w:style>
  <w:style w:type="paragraph" w:customStyle="1" w:styleId="40">
    <w:name w:val="1"/>
    <w:basedOn w:val="1"/>
    <w:next w:val="12"/>
    <w:qFormat/>
    <w:uiPriority w:val="99"/>
    <w:pPr>
      <w:widowControl w:val="0"/>
      <w:jc w:val="both"/>
    </w:pPr>
    <w:rPr>
      <w:rFonts w:ascii="宋体" w:hAnsi="Courier New"/>
      <w:kern w:val="2"/>
    </w:rPr>
  </w:style>
  <w:style w:type="paragraph" w:customStyle="1" w:styleId="41">
    <w:name w:val="WPSOffice手动目录 1"/>
    <w:qFormat/>
    <w:uiPriority w:val="0"/>
    <w:pPr>
      <w:ind w:leftChars="0"/>
    </w:pPr>
    <w:rPr>
      <w:rFonts w:asciiTheme="minorHAnsi" w:hAnsiTheme="minorHAnsi" w:eastAsiaTheme="minorEastAsia" w:cstheme="minorBidi"/>
      <w:sz w:val="20"/>
      <w:szCs w:val="20"/>
    </w:rPr>
  </w:style>
  <w:style w:type="paragraph" w:customStyle="1" w:styleId="42">
    <w:name w:val="WPSOffice手动目录 2"/>
    <w:qFormat/>
    <w:uiPriority w:val="0"/>
    <w:pPr>
      <w:ind w:leftChars="200"/>
    </w:pPr>
    <w:rPr>
      <w:rFonts w:asciiTheme="minorHAnsi" w:hAnsiTheme="minorHAnsi" w:eastAsiaTheme="minorEastAsia" w:cstheme="minorBidi"/>
      <w:sz w:val="20"/>
      <w:szCs w:val="20"/>
    </w:rPr>
  </w:style>
  <w:style w:type="paragraph" w:customStyle="1" w:styleId="43">
    <w:name w:val="WPSOffice手动目录 3"/>
    <w:qFormat/>
    <w:uiPriority w:val="0"/>
    <w:pPr>
      <w:ind w:leftChars="400"/>
    </w:pPr>
    <w:rPr>
      <w:rFonts w:asciiTheme="minorHAnsi" w:hAnsiTheme="minorHAnsi" w:eastAsiaTheme="minorEastAsia" w:cstheme="minorBidi"/>
      <w:sz w:val="20"/>
      <w:szCs w:val="20"/>
    </w:rPr>
  </w:style>
  <w:style w:type="paragraph" w:customStyle="1" w:styleId="44">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5">
    <w:name w:val="_Style 3"/>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17081</Words>
  <Characters>18021</Characters>
  <Lines>300</Lines>
  <Paragraphs>84</Paragraphs>
  <TotalTime>61</TotalTime>
  <ScaleCrop>false</ScaleCrop>
  <LinksUpToDate>false</LinksUpToDate>
  <CharactersWithSpaces>19895</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薛礼培</cp:lastModifiedBy>
  <dcterms:modified xsi:type="dcterms:W3CDTF">2023-09-05T07:56:50Z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A16D6DC8326945AC9168607D4B687526</vt:lpwstr>
  </property>
</Properties>
</file>