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方正小标宋简体" w:eastAsia="方正小标宋简体"/>
          <w:sz w:val="52"/>
          <w:szCs w:val="52"/>
        </w:rPr>
      </w:pPr>
      <w:bookmarkStart w:id="124" w:name="_GoBack"/>
      <w:bookmarkEnd w:id="124"/>
      <w:r>
        <w:rPr>
          <w:rFonts w:hint="eastAsia" w:ascii="方正小标宋简体" w:eastAsia="方正小标宋简体"/>
          <w:sz w:val="52"/>
          <w:szCs w:val="52"/>
        </w:rPr>
        <w:t>广州市净水有限公司猎德分公司广场及四期周边道路与路侧石维修项目</w:t>
      </w:r>
    </w:p>
    <w:p>
      <w:pPr>
        <w:pStyle w:val="2"/>
        <w:ind w:firstLine="0"/>
        <w:rPr>
          <w:rFonts w:hint="eastAsia" w:ascii="方正小标宋简体" w:eastAsia="方正小标宋简体"/>
          <w:sz w:val="52"/>
          <w:szCs w:val="52"/>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二三年</w:t>
      </w:r>
      <w:r>
        <w:rPr>
          <w:rFonts w:hint="eastAsia" w:ascii="黑体" w:hAnsi="黑体" w:eastAsia="黑体" w:cs="仿宋_GB2312"/>
          <w:sz w:val="32"/>
          <w:szCs w:val="32"/>
          <w:lang w:val="en-US" w:eastAsia="zh-CN"/>
        </w:rPr>
        <w:t>九</w:t>
      </w:r>
      <w:r>
        <w:rPr>
          <w:rFonts w:hint="eastAsia" w:ascii="黑体" w:hAnsi="黑体" w:eastAsia="黑体" w:cs="仿宋_GB2312"/>
          <w:sz w:val="32"/>
          <w:szCs w:val="32"/>
        </w:rPr>
        <w:t>月</w:t>
      </w:r>
    </w:p>
    <w:p>
      <w:pPr>
        <w:pStyle w:val="36"/>
        <w:adjustRightInd w:val="0"/>
        <w:snapToGrid w:val="0"/>
        <w:spacing w:before="0" w:line="600" w:lineRule="exact"/>
        <w:jc w:val="center"/>
        <w:rPr>
          <w:rFonts w:hint="eastAsia" w:ascii="方正小标宋简体" w:eastAsia="方正小标宋简体"/>
          <w:b/>
          <w:color w:val="auto"/>
          <w:sz w:val="44"/>
          <w:szCs w:val="44"/>
        </w:rPr>
        <w:sectPr>
          <w:headerReference r:id="rId3" w:type="default"/>
          <w:footerReference r:id="rId4" w:type="default"/>
          <w:footerReference r:id="rId5" w:type="even"/>
          <w:pgSz w:w="11906" w:h="16838"/>
          <w:pgMar w:top="1644" w:right="1588" w:bottom="1644" w:left="1588" w:header="851" w:footer="992" w:gutter="0"/>
          <w:pgNumType w:fmt="numberInDash" w:start="1"/>
          <w:cols w:space="720" w:num="1"/>
          <w:docGrid w:type="lines" w:linePitch="312" w:charSpace="0"/>
        </w:sectPr>
      </w:pPr>
    </w:p>
    <w:p>
      <w:pPr>
        <w:pStyle w:val="36"/>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696"/>
      <w:bookmarkStart w:id="3" w:name="_Toc1711"/>
    </w:p>
    <w:p/>
    <w:p>
      <w:pPr>
        <w:pStyle w:val="2"/>
        <w:rPr>
          <w:color w:val="auto"/>
        </w:rPr>
      </w:pPr>
    </w:p>
    <w:p>
      <w:pPr>
        <w:pStyle w:val="2"/>
        <w:rPr>
          <w:color w:val="auto"/>
        </w:rPr>
      </w:pPr>
    </w:p>
    <w:p>
      <w:pPr>
        <w:pStyle w:val="2"/>
        <w:rPr>
          <w:color w:val="auto"/>
        </w:rPr>
      </w:pPr>
    </w:p>
    <w:p>
      <w:pPr>
        <w:pStyle w:val="2"/>
        <w:rPr>
          <w:color w:val="auto"/>
        </w:rPr>
      </w:pPr>
    </w:p>
    <w:p>
      <w:pPr>
        <w:pStyle w:val="4"/>
      </w:pPr>
      <w:bookmarkStart w:id="4" w:name="_Toc17801"/>
      <w:bookmarkStart w:id="5" w:name="_Toc11322"/>
      <w:bookmarkStart w:id="6" w:name="_Toc31938"/>
      <w:bookmarkStart w:id="7" w:name="_Toc19609"/>
      <w:bookmarkStart w:id="8" w:name="_Toc4275"/>
      <w:bookmarkStart w:id="9" w:name="_Toc1669"/>
      <w:bookmarkStart w:id="10" w:name="_Toc7519"/>
    </w:p>
    <w:p>
      <w:pPr>
        <w:pStyle w:val="4"/>
      </w:pPr>
    </w:p>
    <w:p>
      <w:pPr>
        <w:pStyle w:val="4"/>
      </w:pPr>
    </w:p>
    <w:p>
      <w:pPr>
        <w:pStyle w:val="4"/>
      </w:pPr>
      <w: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72390</wp:posOffset>
                </wp:positionV>
                <wp:extent cx="958850" cy="0"/>
                <wp:effectExtent l="0" t="4445" r="0" b="508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5.7pt;height:0pt;width:75.5pt;z-index:251667456;mso-width-relative:page;mso-height-relative:page;" filled="f" stroked="t" coordsize="21600,21600" o:gfxdata="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1Zw4sXfjP&#10;T99+ffx8/+XH/fevbHKVJeoDLihy7bbxtMOwjZnvoYk2/4kJOxRZj2dZ1SExQYfXs/l8RoKLB1f1&#10;mBciplfKW5aNmmOKoNsurb1zdHc+ToqqsH+NiSpT4kNCLmoc6zP8dEbgQLPY0AyQaQPxQdeWXPRG&#10;y1ttTM7A2O7WJrI95HkoX+ZHuH+F5SIbwG6IK65hUjoF8qWTLB0DKeXogfDcglWSM6PoPWWLAGGR&#10;QJtLIqm0cdRBlngQNVs7L49F63JOd196PM1pHq4/9yX78W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G1Kb1gAAAAkBAAAPAAAAAAAAAAEAIAAAACIAAABkcnMvZG93bnJldi54bWxQSwECFAAU&#10;AAAACACHTuJAq9SjS/MBAADj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2352675</wp:posOffset>
                </wp:positionH>
                <wp:positionV relativeFrom="paragraph">
                  <wp:posOffset>518795</wp:posOffset>
                </wp:positionV>
                <wp:extent cx="958850" cy="0"/>
                <wp:effectExtent l="0" t="4445" r="0" b="508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25pt;margin-top:40.85pt;height:0pt;width:75.5pt;z-index:251668480;mso-width-relative:page;mso-height-relative:page;" filled="f" stroked="t" coordsize="21600,21600" o:gfxdata="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kiQNLN373&#10;+fuvT19uv/68/fGNTV5kjfqANYWu3Caedhg2MRM+tNHmP1Fhh6Lr8ayrOiQm6PDlbD6fEby4d1UP&#10;eSFieq28ZdloOKYIetellXeOLs/HSZEV9m8wUWVKvE/IRY1jfYafzggcaBhbGgIybSBC6HYlF73R&#10;8lobkzMw7rYrE9ke8kCUL/Mj3L/CcpE1YDfEFdcwKp0C+cpJlo6BlHL0QnhuwSrJmVH0oLJFgFAn&#10;0OaSSCptHHWQJR5EzdbWy2PRupzT5ZceT4Oap+vPfcl+eJz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vO3tjWAAAACQEAAA8AAAAAAAAAAQAgAAAAIgAAAGRycy9kb3ducmV2LnhtbFBLAQIUABQA&#10;AAAIAIdO4kBwKfkI8gEAAOQDAAAOAAAAAAAAAAEAIAAAACUBAABkcnMvZTJvRG9jLnhtbFBLBQYA&#10;AAAABgAGAFkBAACJBQ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8"/>
      </w:pPr>
    </w:p>
    <w:p>
      <w:pPr>
        <w:pStyle w:val="4"/>
      </w:pPr>
      <w:r>
        <w:rPr>
          <w:rFonts w:hint="eastAsia"/>
        </w:rPr>
        <w:t>采购公告（采购邀请书）</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pPr>
      <w:bookmarkStart w:id="11" w:name="_Toc9680"/>
      <w:bookmarkStart w:id="12" w:name="_Toc21373"/>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广州市净水有限公司猎德分公司广场及四期周边道路与路侧石维修项目</w:t>
      </w:r>
      <w:r>
        <w:rPr>
          <w:rFonts w:hint="eastAsia" w:ascii="仿宋_GB2312" w:eastAsia="仿宋_GB2312"/>
          <w:sz w:val="28"/>
          <w:szCs w:val="28"/>
        </w:rPr>
        <w:t>已具备采购条件，现邀请合格单位参加本☑施工  □货物 □服务项目采购活动，采用</w:t>
      </w:r>
      <w:r>
        <w:rPr>
          <w:rFonts w:hint="eastAsia" w:ascii="仿宋_GB2312" w:eastAsia="仿宋_GB2312"/>
          <w:sz w:val="28"/>
          <w:szCs w:val="28"/>
          <w:u w:val="single"/>
        </w:rPr>
        <w:t>□邀请采购 ☑公开采购</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widowControl/>
        <w:jc w:val="left"/>
        <w:rPr>
          <w:rFonts w:hint="eastAsia"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广州市净水有限公司猎德分公司广场及四期周边道路与路侧石维修项目</w:t>
      </w:r>
    </w:p>
    <w:p>
      <w:pPr>
        <w:widowControl/>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lang w:val="en-US" w:eastAsia="zh-CN"/>
        </w:rPr>
        <w:t>:</w:t>
      </w:r>
      <w:r>
        <w:rPr>
          <w:rFonts w:hint="eastAsia" w:ascii="仿宋_GB2312" w:eastAsia="仿宋_GB2312"/>
          <w:sz w:val="28"/>
          <w:szCs w:val="28"/>
          <w:u w:val="single"/>
          <w:lang w:val="en-US" w:eastAsia="zh-CN"/>
        </w:rPr>
        <w:t>XJ-20230901-1</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828985.15元（不含税造价为760536.84元，暂列金为66067.72元，税率为9%；绿色施工安全防护措施费为25933.32元；项目监理费发包预算价为19581.50元。）</w:t>
      </w:r>
    </w:p>
    <w:p>
      <w:pPr>
        <w:adjustRightInd w:val="0"/>
        <w:snapToGrid w:val="0"/>
        <w:spacing w:line="600" w:lineRule="exact"/>
        <w:ind w:firstLine="562" w:firstLineChars="200"/>
        <w:jc w:val="left"/>
        <w:rPr>
          <w:rFonts w:ascii="仿宋_GB2312" w:eastAsia="仿宋_GB2312"/>
          <w:sz w:val="28"/>
          <w:szCs w:val="28"/>
        </w:rPr>
      </w:pPr>
      <w:r>
        <w:rPr>
          <w:rFonts w:hint="eastAsia" w:ascii="仿宋" w:hAnsi="仿宋" w:eastAsia="仿宋" w:cs="仿宋"/>
          <w:b/>
          <w:bCs/>
          <w:sz w:val="28"/>
          <w:szCs w:val="28"/>
          <w:lang w:val="zh-CN"/>
        </w:rPr>
        <w:t>绿色施工安全防护措施费</w:t>
      </w:r>
      <w:r>
        <w:rPr>
          <w:rFonts w:hint="eastAsia" w:ascii="仿宋" w:hAnsi="仿宋" w:eastAsia="仿宋" w:cs="仿宋"/>
          <w:b/>
          <w:bCs/>
          <w:sz w:val="28"/>
          <w:szCs w:val="28"/>
        </w:rPr>
        <w:t>及暂列金</w:t>
      </w:r>
      <w:r>
        <w:rPr>
          <w:rFonts w:hint="eastAsia" w:ascii="仿宋" w:hAnsi="仿宋" w:eastAsia="仿宋" w:cs="仿宋"/>
          <w:b/>
          <w:bCs/>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对猎德分公司广场及四期周边道路及路侧石的破损部分进行维修翻新。对原有的破旧、开裂、发生沉降的混凝土路面、沥青路面、大理石路面、人行道透水砖路面进行修复；对四期周边道路的路侧石进行修复。需对原有的混凝土路面、沥青混凝土路面采用先刨除4cm 厚面层，再新摊铺4cm 厚改性细粒式沥青砼翻新；对周边道路破损的路侧石，则进行更换翻新，按实际工程量结算。</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2.2项目工期：☑计划工期   □交货期  □服务期为</w:t>
      </w:r>
      <w:r>
        <w:rPr>
          <w:rFonts w:hint="eastAsia" w:ascii="仿宋_GB2312" w:eastAsia="仿宋_GB2312"/>
          <w:sz w:val="28"/>
          <w:szCs w:val="28"/>
          <w:u w:val="single"/>
        </w:rPr>
        <w:t>90天</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2.3地点：☑建设地点  □交货地点  □服务地点位于</w:t>
      </w:r>
      <w:r>
        <w:rPr>
          <w:rFonts w:hint="eastAsia" w:ascii="仿宋_GB2312" w:eastAsia="仿宋_GB2312"/>
          <w:sz w:val="28"/>
          <w:szCs w:val="28"/>
          <w:u w:val="single"/>
        </w:rPr>
        <w:t xml:space="preserve">  广州市净水有限公司猎德分公司（广州市天河区临江大道501号）</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p>
    <w:p>
      <w:pPr>
        <w:adjustRightInd w:val="0"/>
        <w:snapToGrid w:val="0"/>
        <w:spacing w:line="600" w:lineRule="exact"/>
        <w:ind w:right="-370" w:rightChars="-176"/>
        <w:jc w:val="left"/>
        <w:rPr>
          <w:rFonts w:ascii="仿宋_GB2312" w:eastAsia="仿宋_GB2312"/>
          <w:sz w:val="28"/>
          <w:szCs w:val="28"/>
        </w:rPr>
      </w:pPr>
      <w:r>
        <w:rPr>
          <w:rFonts w:hint="eastAsia" w:ascii="仿宋_GB2312" w:eastAsia="仿宋_GB2312"/>
          <w:sz w:val="28"/>
          <w:szCs w:val="28"/>
        </w:rPr>
        <w:t>□服务质量要求或服务标准如下：</w:t>
      </w:r>
      <w:r>
        <w:rPr>
          <w:rFonts w:hint="eastAsia" w:ascii="仿宋_GB2312" w:eastAsia="仿宋_GB2312"/>
          <w:sz w:val="28"/>
          <w:szCs w:val="28"/>
          <w:u w:val="single"/>
        </w:rPr>
        <w:t>按合同条款和有关技术标准规范进行验收。使用的各种材料必须符合设计和有关技术标准规范要求。</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且能开具增值税发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☑（2）供应商应当具有市政</w:t>
      </w:r>
      <w:r>
        <w:rPr>
          <w:rFonts w:hint="eastAsia" w:ascii="仿宋_GB2312" w:eastAsia="仿宋_GB2312"/>
          <w:sz w:val="28"/>
          <w:szCs w:val="28"/>
          <w:lang w:val="en-US" w:eastAsia="zh-CN"/>
        </w:rPr>
        <w:t>/建筑</w:t>
      </w:r>
      <w:r>
        <w:rPr>
          <w:rFonts w:hint="eastAsia" w:ascii="仿宋_GB2312" w:eastAsia="仿宋_GB2312"/>
          <w:sz w:val="28"/>
          <w:szCs w:val="28"/>
        </w:rPr>
        <w:t>工程施工总承包三级（或以上）资质，</w:t>
      </w:r>
      <w:r>
        <w:rPr>
          <w:rFonts w:hint="eastAsia" w:ascii="仿宋_GB2312" w:eastAsia="仿宋_GB2312"/>
          <w:sz w:val="28"/>
          <w:szCs w:val="28"/>
          <w:lang w:val="en-US" w:eastAsia="zh-CN"/>
        </w:rPr>
        <w:t>并需提供全国建筑市场监督公共服务平台（https://jzsc.mohurd.gov.cn/home）企业详情信息的网页截图证明；同时提供建设主管部门颁发且在有效期内的《安全生产许可证》资质</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☑（3）项目负责人应当具备建筑</w:t>
      </w:r>
      <w:r>
        <w:rPr>
          <w:rFonts w:hint="eastAsia" w:ascii="仿宋_GB2312" w:eastAsia="仿宋_GB2312"/>
          <w:sz w:val="28"/>
          <w:szCs w:val="28"/>
          <w:lang w:val="en-US" w:eastAsia="zh-CN"/>
        </w:rPr>
        <w:t>/市政</w:t>
      </w:r>
      <w:r>
        <w:rPr>
          <w:rFonts w:hint="eastAsia" w:ascii="仿宋_GB2312" w:eastAsia="仿宋_GB2312"/>
          <w:sz w:val="28"/>
          <w:szCs w:val="28"/>
        </w:rPr>
        <w:t>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b/>
          <w:sz w:val="28"/>
          <w:szCs w:val="28"/>
        </w:rPr>
        <w:t>注意：</w:t>
      </w:r>
      <w:r>
        <w:rPr>
          <w:rFonts w:hint="eastAsia" w:ascii="仿宋_GB2312" w:eastAsia="仿宋_GB2312"/>
          <w:sz w:val="28"/>
          <w:szCs w:val="28"/>
        </w:rPr>
        <w:t>根据广东省建设信息中心关于启用新版“广东省建设执业资格注册管理信息系统”的通知，注册建造师电子证书须由本人在个人签名处手写签名，未手写签名或与签名图像笔迹不一致的，电子证书无效。</w:t>
      </w:r>
    </w:p>
    <w:p>
      <w:p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）其他要求：</w:t>
      </w:r>
    </w:p>
    <w:p>
      <w:pPr>
        <w:numPr>
          <w:ilvl w:val="0"/>
          <w:numId w:val="2"/>
        </w:num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rPr>
        <w:t>专职安全人员要求：须具有安全生产考核合格证（C类）（或能够提供广东省建筑施工企业管理人员安全生产考核信息系统安全生产管理人员证书信息的网页截图）供应商拟担任本工程项目负责人和安全员的人员资质须满足上述要求，且项目负责人不得同时兼任本项目专职安全人员。</w:t>
      </w:r>
    </w:p>
    <w:p>
      <w:pPr>
        <w:numPr>
          <w:ilvl w:val="0"/>
          <w:numId w:val="2"/>
        </w:num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lang w:val="en-US" w:eastAsia="zh-CN"/>
        </w:rPr>
        <w:t>土建施工员：提供土建施工员岗位证书且该人员不得兼任其他职务。</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 xml:space="preserve"> /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t>2</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t>6</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3"/>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☑不组织</w:t>
      </w:r>
    </w:p>
    <w:p>
      <w:pPr>
        <w:adjustRightInd w:val="0"/>
        <w:snapToGrid w:val="0"/>
        <w:spacing w:line="360" w:lineRule="auto"/>
        <w:rPr>
          <w:rFonts w:asciiTheme="minorEastAsia" w:hAnsiTheme="minorEastAsia"/>
          <w:b/>
          <w:sz w:val="32"/>
          <w:szCs w:val="32"/>
        </w:rPr>
      </w:pP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numPr>
          <w:ilvl w:val="0"/>
          <w:numId w:val="3"/>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u w:val="single"/>
        </w:rPr>
        <w:t> </w:t>
      </w:r>
      <w:r>
        <w:rPr>
          <w:rFonts w:hint="eastAsia" w:ascii="仿宋_GB2312" w:eastAsia="仿宋_GB2312"/>
          <w:sz w:val="28"/>
          <w:szCs w:val="28"/>
          <w:highlight w:val="none"/>
        </w:rPr>
        <w:t>日</w:t>
      </w:r>
      <w:r>
        <w:rPr>
          <w:rFonts w:hint="eastAsia" w:ascii="仿宋_GB2312" w:eastAsia="仿宋_GB2312"/>
          <w:sz w:val="28"/>
          <w:szCs w:val="28"/>
          <w:highlight w:val="none"/>
          <w:u w:val="single"/>
        </w:rPr>
        <w:t>9</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10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10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7"/>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响应文件递交预约信息填写：</w:t>
      </w:r>
    </w:p>
    <w:p>
      <w:pPr>
        <w:pStyle w:val="7"/>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（1）通过“广州净水公司”微信公众号或来访时扫码进行访客预约登记。</w:t>
      </w:r>
    </w:p>
    <w:p>
      <w:pPr>
        <w:pStyle w:val="7"/>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（2）“组织”选择“公司本部”，“部门”选择“招投标合同管理部”。</w:t>
      </w:r>
    </w:p>
    <w:p>
      <w:pPr>
        <w:pStyle w:val="7"/>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（3）“被访人员”选择“招标部”，“手机号”：“62315524”。</w:t>
      </w:r>
    </w:p>
    <w:p>
      <w:pPr>
        <w:pStyle w:val="7"/>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38890</w:t>
      </w:r>
      <w:r>
        <w:rPr>
          <w:rFonts w:hint="eastAsia" w:ascii="仿宋_GB2312" w:hAnsi="仿宋" w:eastAsia="仿宋_GB2312"/>
          <w:sz w:val="28"/>
          <w:szCs w:val="28"/>
          <w:u w:val="single"/>
          <w:lang w:val="en-US" w:eastAsia="zh-CN"/>
        </w:rPr>
        <w:t>841</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Theme="minorEastAsia" w:hAnsiTheme="minorEastAsia"/>
          <w:b/>
          <w:sz w:val="32"/>
          <w:szCs w:val="32"/>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ascii="仿宋_GB2312" w:hAnsi="仿宋" w:eastAsia="仿宋_GB2312"/>
          <w:sz w:val="28"/>
          <w:szCs w:val="28"/>
        </w:rPr>
        <w:t>。</w:t>
      </w: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9.联系方式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sz w:val="28"/>
                <w:szCs w:val="28"/>
              </w:rPr>
            </w:pPr>
            <w:r>
              <w:rPr>
                <w:rFonts w:hint="eastAsia" w:ascii="仿宋_GB2312" w:eastAsia="仿宋_GB2312"/>
                <w:sz w:val="28"/>
                <w:szCs w:val="28"/>
                <w:u w:val="single"/>
                <w:lang w:val="en-US" w:eastAsia="zh-CN"/>
              </w:rPr>
              <w:t>2023</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9</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t>1</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w:t>
            </w:r>
          </w:p>
        </w:tc>
      </w:tr>
    </w:tbl>
    <w:p>
      <w:pPr>
        <w:pStyle w:val="2"/>
        <w:ind w:firstLine="0"/>
        <w:rPr>
          <w:rFonts w:ascii="仿宋_GB2312" w:eastAsia="仿宋_GB2312" w:hAnsiTheme="majorEastAsia"/>
          <w:color w:val="auto"/>
          <w:sz w:val="28"/>
          <w:szCs w:val="28"/>
        </w:rPr>
      </w:pPr>
    </w:p>
    <w:p>
      <w:pPr>
        <w:adjustRightInd w:val="0"/>
        <w:snapToGrid w:val="0"/>
        <w:spacing w:line="600" w:lineRule="exact"/>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beforeLines="50" w:afterLines="50" w:line="600" w:lineRule="exact"/>
        <w:jc w:val="left"/>
        <w:rPr>
          <w:rFonts w:asciiTheme="minorEastAsia" w:hAnsiTheme="minorEastAsia"/>
          <w:sz w:val="24"/>
          <w:szCs w:val="24"/>
        </w:rPr>
      </w:pPr>
    </w:p>
    <w:p>
      <w:pPr>
        <w:pStyle w:val="2"/>
      </w:pPr>
    </w:p>
    <w:p>
      <w:pPr>
        <w:adjustRightInd w:val="0"/>
        <w:snapToGrid w:val="0"/>
        <w:spacing w:beforeLines="50" w:afterLines="50" w:line="600" w:lineRule="exact"/>
        <w:jc w:val="left"/>
        <w:rPr>
          <w:rFonts w:hint="eastAsia" w:asciiTheme="minorEastAsia" w:hAnsiTheme="minorEastAsia"/>
          <w:sz w:val="24"/>
          <w:szCs w:val="24"/>
        </w:rPr>
      </w:pPr>
    </w:p>
    <w:p>
      <w:pPr>
        <w:pStyle w:val="2"/>
        <w:rPr>
          <w:rFonts w:hint="eastAsia"/>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13" w:name="_Toc10891"/>
    </w:p>
    <w:p>
      <w:pPr>
        <w:pStyle w:val="4"/>
      </w:pPr>
      <w:bookmarkStart w:id="14" w:name="_Toc19295"/>
      <w:bookmarkStart w:id="15" w:name="_Toc2324"/>
      <w:bookmarkStart w:id="16" w:name="_Toc23749"/>
      <w:bookmarkStart w:id="17" w:name="_Toc16557"/>
      <w:bookmarkStart w:id="18" w:name="_Toc25603"/>
      <w:bookmarkStart w:id="19" w:name="_Toc9448"/>
      <w:bookmarkStart w:id="20" w:name="_Toc2331"/>
      <w:bookmarkStart w:id="21" w:name="_Toc32588"/>
      <w:bookmarkStart w:id="22" w:name="_Toc7340"/>
      <w:bookmarkStart w:id="23" w:name="_Toc16705"/>
    </w:p>
    <w:p/>
    <w:p>
      <w:pPr>
        <w:pStyle w:val="4"/>
      </w:pPr>
      <w: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244475</wp:posOffset>
                </wp:positionV>
                <wp:extent cx="958850" cy="0"/>
                <wp:effectExtent l="0" t="4445" r="0" b="508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19.2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KJQhf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052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p>
    <w:p>
      <w:pPr>
        <w:pStyle w:val="5"/>
      </w:pPr>
      <w:bookmarkStart w:id="24" w:name="_Toc2339"/>
      <w:bookmarkStart w:id="25" w:name="_Toc3416"/>
      <w:r>
        <w:rPr>
          <w:rFonts w:hint="eastAsia"/>
        </w:rPr>
        <w:t>供应商须知</w:t>
      </w:r>
      <w:bookmarkEnd w:id="24"/>
      <w:bookmarkEnd w:id="25"/>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ind w:firstLine="0"/>
      </w:pPr>
    </w:p>
    <w:p>
      <w:pPr>
        <w:pStyle w:val="2"/>
        <w:ind w:firstLine="0"/>
      </w:pPr>
    </w:p>
    <w:p>
      <w:pPr>
        <w:numPr>
          <w:ilvl w:val="0"/>
          <w:numId w:val="4"/>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spacing w:line="560" w:lineRule="exact"/>
        <w:ind w:firstLine="555"/>
        <w:jc w:val="left"/>
        <w:rPr>
          <w:rFonts w:ascii="仿宋_GB2312" w:eastAsia="仿宋_GB2312"/>
          <w:sz w:val="28"/>
          <w:szCs w:val="28"/>
        </w:rPr>
      </w:pPr>
      <w:r>
        <w:rPr>
          <w:rFonts w:hint="eastAsia" w:ascii="仿宋_GB2312" w:eastAsia="仿宋_GB2312"/>
          <w:sz w:val="28"/>
          <w:szCs w:val="28"/>
        </w:rPr>
        <w:t>（10）非法定代表人或授权委托代理人递交响应文件。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hint="eastAsia" w:ascii="仿宋_GB2312" w:eastAsia="仿宋_GB2312"/>
          <w:sz w:val="28"/>
          <w:szCs w:val="28"/>
        </w:rPr>
      </w:pPr>
      <w:r>
        <w:rPr>
          <w:rFonts w:hint="eastAsia" w:ascii="仿宋_GB2312" w:eastAsia="仿宋_GB2312"/>
          <w:sz w:val="28"/>
          <w:szCs w:val="28"/>
        </w:rPr>
        <w:t>附件4：成交通知书</w:t>
      </w:r>
    </w:p>
    <w:p>
      <w:pPr>
        <w:adjustRightInd w:val="0"/>
        <w:snapToGrid w:val="0"/>
        <w:spacing w:line="560" w:lineRule="exact"/>
        <w:ind w:firstLine="694" w:firstLineChars="248"/>
        <w:jc w:val="left"/>
        <w:rPr>
          <w:rFonts w:asciiTheme="majorEastAsia" w:hAnsiTheme="majorEastAsia" w:eastAsiaTheme="majorEastAsia"/>
          <w:b/>
          <w:sz w:val="28"/>
          <w:szCs w:val="28"/>
        </w:rPr>
      </w:pPr>
      <w:r>
        <w:rPr>
          <w:rFonts w:hint="eastAsia" w:ascii="仿宋_GB2312" w:eastAsia="仿宋_GB2312"/>
          <w:sz w:val="28"/>
          <w:szCs w:val="28"/>
        </w:rPr>
        <w:t>附件5：关于**项目异议书</w:t>
      </w: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8"/>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开启时间：年月日时分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      记录人</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color w:val="auto"/>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adjustRightInd w:val="0"/>
        <w:snapToGrid w:val="0"/>
        <w:spacing w:line="600" w:lineRule="exact"/>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8"/>
      </w:pPr>
    </w:p>
    <w:p>
      <w:pPr>
        <w:pStyle w:val="38"/>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宋体" w:hAnsi="宋体" w:cs="宋体"/>
          <w:b/>
          <w:bCs/>
          <w:sz w:val="44"/>
          <w:szCs w:val="44"/>
        </w:rPr>
      </w:pPr>
      <w:r>
        <w:rPr>
          <w:rFonts w:hint="eastAsia" w:asciiTheme="majorEastAsia" w:hAnsiTheme="majorEastAsia" w:eastAsiaTheme="majorEastAsia"/>
          <w:b/>
          <w:sz w:val="28"/>
          <w:szCs w:val="28"/>
        </w:rPr>
        <w:t>附件5</w:t>
      </w: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住所地：</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法定代表人：联系电话：</w:t>
      </w:r>
    </w:p>
    <w:p>
      <w:pPr>
        <w:widowControl/>
        <w:jc w:val="left"/>
        <w:rPr>
          <w:rFonts w:hAnsi="宋体" w:cs="宋体"/>
          <w:kern w:val="0"/>
          <w:sz w:val="28"/>
          <w:szCs w:val="28"/>
        </w:rPr>
      </w:pPr>
      <w:r>
        <w:rPr>
          <w:rFonts w:hint="eastAsia" w:hAnsi="宋体" w:cs="仿宋_GB2312"/>
          <w:kern w:val="0"/>
          <w:sz w:val="28"/>
          <w:szCs w:val="28"/>
        </w:rPr>
        <w:t>异议人授权代表：</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仿宋_GB2312"/>
          <w:kern w:val="0"/>
          <w:sz w:val="28"/>
          <w:szCs w:val="28"/>
          <w:u w:val="single"/>
        </w:rPr>
      </w:pPr>
      <w:r>
        <w:rPr>
          <w:rFonts w:hint="eastAsia" w:hAnsi="宋体" w:cs="仿宋_GB2312"/>
          <w:bCs/>
          <w:kern w:val="0"/>
          <w:sz w:val="28"/>
          <w:szCs w:val="28"/>
        </w:rPr>
        <w:t>有效线索和相关证明材料：</w:t>
      </w: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仿宋_GB2312"/>
          <w:kern w:val="0"/>
          <w:sz w:val="28"/>
          <w:szCs w:val="28"/>
        </w:rPr>
      </w:pPr>
      <w:r>
        <w:rPr>
          <w:rFonts w:hint="eastAsia" w:hAnsi="宋体" w:cs="仿宋_GB2312"/>
          <w:kern w:val="0"/>
          <w:sz w:val="28"/>
          <w:szCs w:val="28"/>
          <w:u w:val="single"/>
        </w:rPr>
        <w:t>（采购人）</w:t>
      </w:r>
    </w:p>
    <w:p>
      <w:pPr>
        <w:widowControl/>
        <w:ind w:left="99"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9" w:leftChars="47" w:firstLine="1960" w:firstLineChars="700"/>
        <w:jc w:val="left"/>
        <w:rPr>
          <w:rFonts w:hAnsi="宋体" w:cs="仿宋_GB2312"/>
          <w:kern w:val="0"/>
          <w:sz w:val="28"/>
          <w:szCs w:val="28"/>
        </w:rPr>
      </w:pPr>
    </w:p>
    <w:p>
      <w:pPr>
        <w:widowControl/>
        <w:ind w:left="99"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9"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26" w:name="_Toc2867"/>
      <w:bookmarkStart w:id="27" w:name="_Toc21455"/>
    </w:p>
    <w:p>
      <w:pPr>
        <w:pStyle w:val="5"/>
        <w:rPr>
          <w:rFonts w:asciiTheme="minorHAnsi" w:hAnsiTheme="minorHAnsi" w:cstheme="minorBidi"/>
          <w:kern w:val="44"/>
          <w:sz w:val="44"/>
          <w:szCs w:val="44"/>
        </w:rPr>
      </w:pPr>
      <w:r>
        <w:rPr>
          <w:rFonts w:asciiTheme="minorHAnsi" w:hAnsiTheme="minorHAnsi" w:cstheme="minorBidi"/>
          <w:kern w:val="44"/>
          <w:sz w:val="44"/>
          <w:szCs w:val="44"/>
        </w:rPr>
        <mc:AlternateContent>
          <mc:Choice Requires="wps">
            <w:drawing>
              <wp:anchor distT="0" distB="0" distL="114300" distR="114300" simplePos="0" relativeHeight="251659264" behindDoc="0" locked="0" layoutInCell="1" allowOverlap="1">
                <wp:simplePos x="0" y="0"/>
                <wp:positionH relativeFrom="column">
                  <wp:posOffset>2331085</wp:posOffset>
                </wp:positionH>
                <wp:positionV relativeFrom="paragraph">
                  <wp:posOffset>13335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55pt;margin-top:1.0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8"/>
      </w:pPr>
    </w:p>
    <w:p>
      <w:pPr>
        <w:pStyle w:val="5"/>
      </w:pPr>
      <w:bookmarkStart w:id="28" w:name="_Toc87616371"/>
      <w:bookmarkStart w:id="29" w:name="_Toc7303"/>
      <w:bookmarkStart w:id="30" w:name="_Toc88209934"/>
      <w:bookmarkStart w:id="31" w:name="_Toc7040"/>
      <w:r>
        <w:rPr>
          <w:rFonts w:hint="eastAsia"/>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4" w:name="_Toc19050"/>
      <w:bookmarkStart w:id="35" w:name="_Toc23581"/>
      <w:bookmarkStart w:id="36" w:name="_Toc10930"/>
      <w:bookmarkStart w:id="37" w:name="_Toc14552"/>
      <w:bookmarkStart w:id="38" w:name="_Toc14870"/>
      <w:bookmarkStart w:id="39" w:name="_Toc7118"/>
      <w:bookmarkStart w:id="40" w:name="_Toc19759"/>
      <w:bookmarkStart w:id="41" w:name="_Toc4952"/>
      <w:bookmarkStart w:id="42" w:name="_Toc20594"/>
      <w:bookmarkStart w:id="43" w:name="_Toc7437"/>
      <w:bookmarkStart w:id="44" w:name="_Toc3156"/>
      <w: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8"/>
      </w:pPr>
    </w:p>
    <w:p>
      <w:pPr>
        <w:pStyle w:val="4"/>
      </w:pPr>
      <w:bookmarkStart w:id="45" w:name="_Toc13898"/>
      <w:bookmarkStart w:id="46" w:name="_Toc32607"/>
      <w:bookmarkStart w:id="47" w:name="_Toc88209941"/>
      <w:bookmarkStart w:id="48" w:name="_Toc7831"/>
      <w:bookmarkStart w:id="49" w:name="_Toc21079"/>
      <w:bookmarkStart w:id="50" w:name="_Toc29345"/>
      <w:bookmarkStart w:id="51" w:name="_Toc21840"/>
      <w:bookmarkStart w:id="52" w:name="_Toc12177"/>
      <w:bookmarkStart w:id="53" w:name="_Toc6308"/>
      <w:bookmarkStart w:id="54" w:name="_Toc22212"/>
      <w:bookmarkStart w:id="55" w:name="_Toc30530"/>
      <w:bookmarkStart w:id="56" w:name="_Toc87616378"/>
      <w:bookmarkStart w:id="57" w:name="_Toc29484"/>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ind w:firstLine="0"/>
        <w:rPr>
          <w:rFonts w:ascii="方正小标宋简体" w:eastAsia="方正小标宋简体"/>
          <w:color w:val="auto"/>
          <w:sz w:val="44"/>
          <w:szCs w:val="44"/>
        </w:rPr>
      </w:pPr>
    </w:p>
    <w:p>
      <w:pPr>
        <w:pStyle w:val="5"/>
      </w:pPr>
      <w:bookmarkStart w:id="58" w:name="_Toc26826"/>
      <w:bookmarkStart w:id="59" w:name="_Toc23033"/>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5"/>
        <w:jc w:val="both"/>
      </w:pPr>
    </w:p>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
      <w:pPr>
        <w:pStyle w:val="2"/>
        <w:rPr>
          <w:color w:val="auto"/>
        </w:rPr>
      </w:pPr>
      <w:bookmarkStart w:id="60" w:name="_Toc88209947"/>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pPr>
      <w: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p>
      <w:pPr>
        <w:pStyle w:val="5"/>
        <w:rPr>
          <w:szCs w:val="44"/>
        </w:rPr>
      </w:pPr>
    </w:p>
    <w:p>
      <w:pPr>
        <w:pStyle w:val="5"/>
        <w:rPr>
          <w:szCs w:val="44"/>
        </w:rPr>
      </w:pPr>
    </w:p>
    <w:p>
      <w:pPr>
        <w:pStyle w:val="5"/>
        <w:rPr>
          <w:szCs w:val="44"/>
        </w:rPr>
      </w:pPr>
    </w:p>
    <w:p>
      <w:pPr>
        <w:pStyle w:val="5"/>
        <w:rPr>
          <w:szCs w:val="44"/>
        </w:rPr>
      </w:pPr>
    </w:p>
    <w:p>
      <w:pPr>
        <w:rPr>
          <w:szCs w:val="44"/>
        </w:rPr>
      </w:pPr>
    </w:p>
    <w:p>
      <w:pPr>
        <w:pStyle w:val="2"/>
      </w:pPr>
    </w:p>
    <w:p>
      <w:pPr>
        <w:pStyle w:val="5"/>
        <w:rPr>
          <w:szCs w:val="44"/>
        </w:rPr>
      </w:pPr>
    </w:p>
    <w:p>
      <w:pPr>
        <w:pStyle w:val="5"/>
        <w:jc w:val="both"/>
        <w:rPr>
          <w:szCs w:val="44"/>
        </w:rPr>
      </w:pPr>
    </w:p>
    <w:p/>
    <w:p>
      <w:pPr>
        <w:adjustRightInd w:val="0"/>
        <w:snapToGrid w:val="0"/>
        <w:spacing w:line="300" w:lineRule="auto"/>
        <w:rPr>
          <w:rFonts w:asciiTheme="minorEastAsia" w:hAnsiTheme="minorEastAsia"/>
          <w:b/>
          <w:sz w:val="32"/>
          <w:szCs w:val="32"/>
        </w:rPr>
      </w:pPr>
      <w:r>
        <w:rPr>
          <w:rFonts w:hint="eastAsia" w:asciiTheme="minorEastAsia" w:hAnsiTheme="minorEastAsia"/>
          <w:b/>
          <w:sz w:val="32"/>
          <w:szCs w:val="32"/>
        </w:rPr>
        <w:t>一、项目情况介绍</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猎德分公司四期自2010年投产运行至今，已有十余年。四期道路、特别是沥青道路，经过长期行车和自然因素的作用下逐渐变坏，路面不可避免地出现了功能损坏和结构破坏。。</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厂区属于东南湿热区（Ⅳ7），年降雨量大于1000mm，降雨过程长，且雨量大，尤为突出的是春季，阴雨连绵不断，路面水沿面板接缝及裂缝处不断下渗，极其容易造成路基饱水，加上原基层、底基层强度不足，易造成板底淘空，导致路面破坏，部分道路甚至开裂凹陷。</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目前，猎德分公司广场及四期生产区域的道路主要以沥青混凝土路面为主，局部路段为混凝土路面，路面现状主要有出现网裂、车辙、交叉裂缝、裂缝、断板、碎板、角隅断裂、露骨、接缝破坏、错台等。现需要对上述情况进行全面修复，并恢复路面标线。四期周边区域的部分路侧石破损、开裂等情况，也需要对其进行更换新的路侧石。</w:t>
      </w:r>
    </w:p>
    <w:p>
      <w:pPr>
        <w:adjustRightInd w:val="0"/>
        <w:snapToGrid w:val="0"/>
        <w:spacing w:line="600" w:lineRule="exact"/>
        <w:ind w:firstLine="555"/>
        <w:jc w:val="left"/>
        <w:rPr>
          <w:rFonts w:hint="eastAsia" w:asciiTheme="minorEastAsia" w:hAnsiTheme="minorEastAsia"/>
          <w:b/>
          <w:sz w:val="32"/>
          <w:szCs w:val="32"/>
        </w:rPr>
      </w:pPr>
    </w:p>
    <w:p>
      <w:pPr>
        <w:adjustRightInd w:val="0"/>
        <w:snapToGrid w:val="0"/>
        <w:spacing w:line="600" w:lineRule="exact"/>
        <w:ind w:firstLine="555"/>
        <w:jc w:val="left"/>
        <w:rPr>
          <w:rFonts w:hint="eastAsia" w:asciiTheme="minorEastAsia" w:hAnsiTheme="minorEastAsia"/>
          <w:b/>
          <w:sz w:val="32"/>
          <w:szCs w:val="32"/>
          <w:lang w:val="zh-CN"/>
        </w:rPr>
      </w:pPr>
      <w:r>
        <w:rPr>
          <w:rFonts w:hint="eastAsia" w:asciiTheme="minorEastAsia" w:hAnsiTheme="minorEastAsia"/>
          <w:b/>
          <w:sz w:val="32"/>
          <w:szCs w:val="32"/>
        </w:rPr>
        <w:t>二、</w:t>
      </w:r>
      <w:r>
        <w:rPr>
          <w:rFonts w:hint="eastAsia" w:asciiTheme="minorEastAsia" w:hAnsiTheme="minorEastAsia"/>
          <w:b/>
          <w:sz w:val="32"/>
          <w:szCs w:val="32"/>
          <w:lang w:val="zh-CN"/>
        </w:rPr>
        <w:t>项目技术</w:t>
      </w:r>
      <w:r>
        <w:rPr>
          <w:rFonts w:hint="eastAsia" w:asciiTheme="minorEastAsia" w:hAnsiTheme="minorEastAsia"/>
          <w:b/>
          <w:sz w:val="32"/>
          <w:szCs w:val="32"/>
        </w:rPr>
        <w:t>标准和</w:t>
      </w:r>
      <w:r>
        <w:rPr>
          <w:rFonts w:hint="eastAsia" w:asciiTheme="minorEastAsia" w:hAnsiTheme="minorEastAsia"/>
          <w:b/>
          <w:sz w:val="32"/>
          <w:szCs w:val="32"/>
          <w:lang w:val="zh-CN"/>
        </w:rPr>
        <w:t>要求</w:t>
      </w:r>
    </w:p>
    <w:p>
      <w:pPr>
        <w:adjustRightInd w:val="0"/>
        <w:snapToGrid w:val="0"/>
        <w:spacing w:line="600" w:lineRule="exact"/>
        <w:ind w:firstLine="555"/>
        <w:jc w:val="left"/>
        <w:rPr>
          <w:rFonts w:hint="eastAsia" w:ascii="仿宋_GB2312" w:eastAsia="仿宋_GB2312" w:hAnsiTheme="minorEastAsia" w:cstheme="minorBidi"/>
          <w:color w:val="auto"/>
          <w:kern w:val="2"/>
          <w:sz w:val="28"/>
          <w:szCs w:val="28"/>
          <w:lang w:val="en-US" w:eastAsia="zh-CN" w:bidi="ar-SA"/>
        </w:rPr>
      </w:pPr>
      <w:r>
        <w:rPr>
          <w:rFonts w:hint="eastAsia" w:ascii="仿宋_GB2312" w:eastAsia="仿宋_GB2312" w:hAnsiTheme="minorEastAsia" w:cstheme="minorBidi"/>
          <w:color w:val="auto"/>
          <w:kern w:val="2"/>
          <w:sz w:val="28"/>
          <w:szCs w:val="28"/>
          <w:lang w:val="en-US" w:eastAsia="zh-CN" w:bidi="ar-SA"/>
        </w:rPr>
        <w:t>本项目主要对猎德分公司广场及四期周边道路共2300平方米的沥青混凝土进行修复，并改为细粒式改性沥青混凝土铺设，厚度大于等于4cm；修复混凝土路面约1450平方米，采用混凝土标号不低于C35，厚度不小于25cm；需对存在问题的路面进行板底脱空填充、加固路基、止水防渗漏等工作内容，详细工程内容见以下工程量清单表：</w:t>
      </w:r>
    </w:p>
    <w:p>
      <w:pPr>
        <w:adjustRightInd w:val="0"/>
        <w:snapToGrid w:val="0"/>
        <w:spacing w:line="600" w:lineRule="exact"/>
        <w:ind w:firstLine="555"/>
        <w:jc w:val="left"/>
        <w:rPr>
          <w:rFonts w:hint="eastAsia" w:ascii="仿宋_GB2312" w:eastAsia="仿宋_GB2312" w:hAnsiTheme="minorEastAsia" w:cstheme="minorBidi"/>
          <w:color w:val="auto"/>
          <w:kern w:val="2"/>
          <w:sz w:val="28"/>
          <w:szCs w:val="28"/>
          <w:lang w:val="en-US" w:eastAsia="zh-CN" w:bidi="ar-SA"/>
        </w:rPr>
      </w:pPr>
      <w:r>
        <w:rPr>
          <w:rFonts w:hint="eastAsia" w:ascii="仿宋_GB2312" w:eastAsia="仿宋_GB2312" w:hAnsiTheme="minorEastAsia" w:cstheme="minorBidi"/>
          <w:color w:val="auto"/>
          <w:kern w:val="2"/>
          <w:sz w:val="28"/>
          <w:szCs w:val="28"/>
          <w:lang w:val="en-US" w:eastAsia="zh-CN" w:bidi="ar-SA"/>
        </w:rPr>
        <w:t xml:space="preserve"> </w:t>
      </w:r>
    </w:p>
    <w:p>
      <w:pPr>
        <w:pStyle w:val="2"/>
        <w:rPr>
          <w:rFonts w:hint="eastAsia" w:ascii="仿宋_GB2312" w:eastAsia="仿宋_GB2312" w:hAnsiTheme="minorEastAsia" w:cstheme="minorBidi"/>
          <w:color w:val="auto"/>
          <w:kern w:val="2"/>
          <w:sz w:val="28"/>
          <w:szCs w:val="28"/>
          <w:lang w:val="en-US" w:eastAsia="zh-CN" w:bidi="ar-SA"/>
        </w:rPr>
      </w:pPr>
    </w:p>
    <w:p>
      <w:pPr>
        <w:pStyle w:val="2"/>
        <w:rPr>
          <w:rFonts w:hint="eastAsia" w:ascii="仿宋_GB2312" w:eastAsia="仿宋_GB2312" w:hAnsiTheme="minorEastAsia" w:cstheme="minorBidi"/>
          <w:color w:val="auto"/>
          <w:kern w:val="2"/>
          <w:sz w:val="28"/>
          <w:szCs w:val="28"/>
          <w:lang w:val="en-US" w:eastAsia="zh-CN" w:bidi="ar-SA"/>
        </w:rPr>
      </w:pPr>
    </w:p>
    <w:tbl>
      <w:tblPr>
        <w:tblStyle w:val="22"/>
        <w:tblW w:w="8758" w:type="dxa"/>
        <w:tblInd w:w="91" w:type="dxa"/>
        <w:tblLayout w:type="autofit"/>
        <w:tblCellMar>
          <w:top w:w="0" w:type="dxa"/>
          <w:left w:w="108" w:type="dxa"/>
          <w:bottom w:w="0" w:type="dxa"/>
          <w:right w:w="108" w:type="dxa"/>
        </w:tblCellMar>
      </w:tblPr>
      <w:tblGrid>
        <w:gridCol w:w="1718"/>
        <w:gridCol w:w="4733"/>
        <w:gridCol w:w="1221"/>
        <w:gridCol w:w="1086"/>
      </w:tblGrid>
      <w:tr>
        <w:tblPrEx>
          <w:tblCellMar>
            <w:top w:w="0" w:type="dxa"/>
            <w:left w:w="108" w:type="dxa"/>
            <w:bottom w:w="0" w:type="dxa"/>
            <w:right w:w="108" w:type="dxa"/>
          </w:tblCellMar>
        </w:tblPrEx>
        <w:trPr>
          <w:trHeight w:val="312" w:hRule="atLeast"/>
        </w:trPr>
        <w:tc>
          <w:tcPr>
            <w:tcW w:w="171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项目名称</w:t>
            </w:r>
          </w:p>
        </w:tc>
        <w:tc>
          <w:tcPr>
            <w:tcW w:w="47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项目特征描述</w:t>
            </w:r>
          </w:p>
        </w:tc>
        <w:tc>
          <w:tcPr>
            <w:tcW w:w="12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计量单位</w:t>
            </w:r>
          </w:p>
        </w:tc>
        <w:tc>
          <w:tcPr>
            <w:tcW w:w="108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工程量</w:t>
            </w:r>
          </w:p>
        </w:tc>
      </w:tr>
      <w:tr>
        <w:tblPrEx>
          <w:tblCellMar>
            <w:top w:w="0" w:type="dxa"/>
            <w:left w:w="108" w:type="dxa"/>
            <w:bottom w:w="0" w:type="dxa"/>
            <w:right w:w="108" w:type="dxa"/>
          </w:tblCellMar>
        </w:tblPrEx>
        <w:trPr>
          <w:trHeight w:val="312" w:hRule="atLeast"/>
        </w:trPr>
        <w:tc>
          <w:tcPr>
            <w:tcW w:w="171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p>
        </w:tc>
        <w:tc>
          <w:tcPr>
            <w:tcW w:w="47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p>
        </w:tc>
        <w:tc>
          <w:tcPr>
            <w:tcW w:w="12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p>
        </w:tc>
        <w:tc>
          <w:tcPr>
            <w:tcW w:w="10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p>
        </w:tc>
      </w:tr>
      <w:tr>
        <w:tblPrEx>
          <w:tblCellMar>
            <w:top w:w="0" w:type="dxa"/>
            <w:left w:w="108" w:type="dxa"/>
            <w:bottom w:w="0" w:type="dxa"/>
            <w:right w:w="108" w:type="dxa"/>
          </w:tblCellMar>
        </w:tblPrEx>
        <w:trPr>
          <w:trHeight w:val="312" w:hRule="atLeast"/>
        </w:trPr>
        <w:tc>
          <w:tcPr>
            <w:tcW w:w="171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p>
        </w:tc>
        <w:tc>
          <w:tcPr>
            <w:tcW w:w="47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p>
        </w:tc>
        <w:tc>
          <w:tcPr>
            <w:tcW w:w="12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p>
        </w:tc>
        <w:tc>
          <w:tcPr>
            <w:tcW w:w="10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p>
        </w:tc>
      </w:tr>
      <w:tr>
        <w:tblPrEx>
          <w:tblCellMar>
            <w:top w:w="0" w:type="dxa"/>
            <w:left w:w="108" w:type="dxa"/>
            <w:bottom w:w="0" w:type="dxa"/>
            <w:right w:w="108" w:type="dxa"/>
          </w:tblCellMar>
        </w:tblPrEx>
        <w:trPr>
          <w:trHeight w:val="540"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整个项目</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沥青混凝土</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1.沥青品种:细粒式改性沥青混凝土面层</w:t>
            </w:r>
            <w:r>
              <w:rPr>
                <w:rFonts w:hint="eastAsia" w:hAnsi="宋体" w:eastAsia="宋体"/>
              </w:rPr>
              <w:br w:type="textWrapping"/>
            </w:r>
            <w:r>
              <w:rPr>
                <w:rFonts w:hint="eastAsia" w:hAnsi="宋体" w:eastAsia="宋体"/>
              </w:rPr>
              <w:t xml:space="preserve">2.沥青混凝土种类:AC-13C </w:t>
            </w:r>
            <w:r>
              <w:rPr>
                <w:rFonts w:hint="eastAsia" w:hAnsi="宋体" w:eastAsia="宋体"/>
              </w:rPr>
              <w:br w:type="textWrapping"/>
            </w:r>
            <w:r>
              <w:rPr>
                <w:rFonts w:hint="eastAsia" w:hAnsi="宋体" w:eastAsia="宋体"/>
              </w:rPr>
              <w:t>3.厚度:4cm</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m2</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2300</w:t>
            </w: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沥青混凝土</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1.沥青品种:细粒式改性沥青混凝土面层</w:t>
            </w:r>
            <w:r>
              <w:rPr>
                <w:rFonts w:hint="eastAsia" w:hAnsi="宋体" w:eastAsia="宋体"/>
              </w:rPr>
              <w:br w:type="textWrapping"/>
            </w:r>
            <w:r>
              <w:rPr>
                <w:rFonts w:hint="eastAsia" w:hAnsi="宋体" w:eastAsia="宋体"/>
              </w:rPr>
              <w:t>2.沥青混凝土种类:AC-13C</w:t>
            </w:r>
            <w:r>
              <w:rPr>
                <w:rFonts w:hint="eastAsia" w:hAnsi="宋体" w:eastAsia="宋体"/>
              </w:rPr>
              <w:br w:type="textWrapping"/>
            </w:r>
            <w:r>
              <w:rPr>
                <w:rFonts w:hint="eastAsia" w:hAnsi="宋体" w:eastAsia="宋体"/>
              </w:rPr>
              <w:t>3.厚度:1~4cm</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m2</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1200</w:t>
            </w: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聚酯玻纤布</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1.材料品种、规格:聚酯玻纤布</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m2</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2300</w:t>
            </w: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封层</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1.材料品种:PC-2喷洒型改性乳化沥青（1.0L/m2)</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m2</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2300</w:t>
            </w: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水泥混凝土</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1.混凝土强度等级:商品混凝土 C35</w:t>
            </w:r>
            <w:r>
              <w:rPr>
                <w:rFonts w:hint="eastAsia" w:hAnsi="宋体" w:eastAsia="宋体"/>
              </w:rPr>
              <w:br w:type="textWrapping"/>
            </w:r>
            <w:r>
              <w:rPr>
                <w:rFonts w:hint="eastAsia" w:hAnsi="宋体" w:eastAsia="宋体"/>
              </w:rPr>
              <w:t>2.厚度:25cm（暂定，砼板厚度以现场为准）</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m2</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1450</w:t>
            </w: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裂缝注浆</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1.填充板底脱空、加固路基、止水防渗漏</w:t>
            </w:r>
            <w:r>
              <w:rPr>
                <w:rFonts w:hint="eastAsia" w:hAnsi="宋体" w:eastAsia="宋体"/>
              </w:rPr>
              <w:br w:type="textWrapping"/>
            </w:r>
            <w:r>
              <w:rPr>
                <w:rFonts w:hint="eastAsia" w:hAnsi="宋体" w:eastAsia="宋体"/>
              </w:rPr>
              <w:t>2.材料：快硬聚合物掺合料</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6</w:t>
            </w: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拆除路面</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1.材质:C35混凝土</w:t>
            </w:r>
            <w:r>
              <w:rPr>
                <w:rFonts w:hint="eastAsia" w:hAnsi="宋体" w:eastAsia="宋体"/>
              </w:rPr>
              <w:br w:type="textWrapping"/>
            </w:r>
            <w:r>
              <w:rPr>
                <w:rFonts w:hint="eastAsia" w:hAnsi="宋体" w:eastAsia="宋体"/>
              </w:rPr>
              <w:t>2.厚度:25cm（暂定，砼板厚度以现场为准）</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m2</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448</w:t>
            </w: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铣刨路面</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1.材质:沥青混凝土面层</w:t>
            </w:r>
            <w:r>
              <w:rPr>
                <w:rFonts w:hint="eastAsia" w:hAnsi="宋体" w:eastAsia="宋体"/>
              </w:rPr>
              <w:br w:type="textWrapping"/>
            </w:r>
            <w:r>
              <w:rPr>
                <w:rFonts w:hint="eastAsia" w:hAnsi="宋体" w:eastAsia="宋体"/>
              </w:rPr>
              <w:t>2.厚度:4cm</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m2</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2300</w:t>
            </w: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拆除基层</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1.材质:贫砼基层</w:t>
            </w:r>
            <w:r>
              <w:rPr>
                <w:rFonts w:hint="eastAsia" w:hAnsi="宋体" w:eastAsia="宋体"/>
              </w:rPr>
              <w:br w:type="textWrapping"/>
            </w:r>
            <w:r>
              <w:rPr>
                <w:rFonts w:hint="eastAsia" w:hAnsi="宋体" w:eastAsia="宋体"/>
              </w:rPr>
              <w:t>2.厚度:20cm</w:t>
            </w:r>
            <w:r>
              <w:rPr>
                <w:rFonts w:hint="eastAsia" w:hAnsi="宋体" w:eastAsia="宋体"/>
              </w:rPr>
              <w:br w:type="textWrapping"/>
            </w:r>
            <w:r>
              <w:rPr>
                <w:rFonts w:hint="eastAsia" w:hAnsi="宋体" w:eastAsia="宋体"/>
              </w:rPr>
              <w:t>3.部位:基层</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m2</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27</w:t>
            </w: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水泥混凝土</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1.混凝土强度等级:商品混凝土C20</w:t>
            </w:r>
            <w:r>
              <w:rPr>
                <w:rFonts w:hint="eastAsia" w:hAnsi="宋体" w:eastAsia="宋体"/>
              </w:rPr>
              <w:br w:type="textWrapping"/>
            </w:r>
            <w:r>
              <w:rPr>
                <w:rFonts w:hint="eastAsia" w:hAnsi="宋体" w:eastAsia="宋体"/>
              </w:rPr>
              <w:t>2.厚度:20cm</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m2</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27</w:t>
            </w: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标线</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1.材料品种:常温溶剂型漆</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m2</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2200</w:t>
            </w: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安砌侧(平、缘)石</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 xml:space="preserve">1.材料品种:C35预制混凝土路侧石 </w:t>
            </w:r>
            <w:r>
              <w:rPr>
                <w:rFonts w:hint="eastAsia" w:hAnsi="宋体" w:eastAsia="宋体"/>
              </w:rPr>
              <w:br w:type="textWrapping"/>
            </w:r>
            <w:r>
              <w:rPr>
                <w:rFonts w:hint="eastAsia" w:hAnsi="宋体" w:eastAsia="宋体"/>
              </w:rPr>
              <w:t>2.规格:1000mm*120mm*500mm高</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1000</w:t>
            </w:r>
          </w:p>
        </w:tc>
      </w:tr>
      <w:tr>
        <w:tblPrEx>
          <w:tblCellMar>
            <w:top w:w="0" w:type="dxa"/>
            <w:left w:w="108" w:type="dxa"/>
            <w:bottom w:w="0" w:type="dxa"/>
            <w:right w:w="108" w:type="dxa"/>
          </w:tblCellMar>
        </w:tblPrEx>
        <w:trPr>
          <w:trHeight w:val="23" w:hRule="atLeast"/>
        </w:trPr>
        <w:tc>
          <w:tcPr>
            <w:tcW w:w="1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拆除侧、平(缘)石</w:t>
            </w:r>
          </w:p>
        </w:tc>
        <w:tc>
          <w:tcPr>
            <w:tcW w:w="4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1.材质:预制混凝土路侧石</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m</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9"/>
              <w:rPr>
                <w:rFonts w:hAnsi="宋体" w:eastAsia="宋体"/>
              </w:rPr>
            </w:pPr>
            <w:r>
              <w:rPr>
                <w:rFonts w:hint="eastAsia" w:hAnsi="宋体" w:eastAsia="宋体"/>
              </w:rPr>
              <w:t>1000</w:t>
            </w:r>
          </w:p>
        </w:tc>
      </w:tr>
    </w:tbl>
    <w:p>
      <w:pPr>
        <w:autoSpaceDE w:val="0"/>
        <w:autoSpaceDN w:val="0"/>
        <w:rPr>
          <w:rFonts w:ascii="仿宋" w:hAnsi="仿宋" w:eastAsia="仿宋" w:cs="仿宋"/>
          <w:b/>
          <w:sz w:val="28"/>
          <w:szCs w:val="28"/>
          <w:lang w:val="zh-CN"/>
        </w:rPr>
      </w:pPr>
    </w:p>
    <w:p>
      <w:pPr>
        <w:autoSpaceDE w:val="0"/>
        <w:autoSpaceDN w:val="0"/>
        <w:rPr>
          <w:rFonts w:ascii="仿宋" w:hAnsi="仿宋" w:eastAsia="仿宋" w:cs="仿宋"/>
          <w:b/>
          <w:sz w:val="28"/>
          <w:szCs w:val="28"/>
          <w:lang w:val="zh-CN"/>
        </w:rPr>
      </w:pPr>
      <w:r>
        <w:rPr>
          <w:rFonts w:hint="eastAsia" w:ascii="仿宋" w:hAnsi="仿宋" w:eastAsia="仿宋" w:cs="仿宋"/>
          <w:b/>
          <w:sz w:val="28"/>
          <w:szCs w:val="28"/>
          <w:lang w:val="zh-CN"/>
        </w:rPr>
        <w:t>（</w:t>
      </w:r>
      <w:r>
        <w:rPr>
          <w:rFonts w:hint="eastAsia" w:ascii="仿宋" w:hAnsi="仿宋" w:eastAsia="仿宋" w:cs="仿宋"/>
          <w:b/>
          <w:sz w:val="28"/>
          <w:szCs w:val="28"/>
        </w:rPr>
        <w:t>二</w:t>
      </w:r>
      <w:r>
        <w:rPr>
          <w:rFonts w:hint="eastAsia" w:ascii="仿宋" w:hAnsi="仿宋" w:eastAsia="仿宋" w:cs="仿宋"/>
          <w:b/>
          <w:sz w:val="28"/>
          <w:szCs w:val="28"/>
          <w:lang w:val="zh-CN"/>
        </w:rPr>
        <w:t>）</w:t>
      </w:r>
      <w:r>
        <w:rPr>
          <w:rFonts w:hint="eastAsia" w:ascii="仿宋" w:hAnsi="仿宋" w:eastAsia="仿宋" w:cs="仿宋"/>
          <w:b/>
          <w:sz w:val="28"/>
          <w:szCs w:val="28"/>
        </w:rPr>
        <w:t>项目技术</w:t>
      </w:r>
      <w:r>
        <w:rPr>
          <w:rFonts w:hint="eastAsia" w:ascii="仿宋" w:hAnsi="仿宋" w:eastAsia="仿宋" w:cs="仿宋"/>
          <w:b/>
          <w:sz w:val="28"/>
          <w:szCs w:val="28"/>
          <w:lang w:val="zh-CN"/>
        </w:rPr>
        <w:t>要求</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1、沥青混凝土路面</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（1）将病害路面段铣刨，铣刨后的路面边角要采用切割机进行切边，保持基坑四周立面。</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如基层原来是混凝土板，则需查看是否有病害，根据病害程度对你进行修复，轻微的采取灌浆或修补。严重的采取换板处理。沥青混凝土路面基层处理完毕后，按照施工技术规范质量要求进行验收。验收合格后才能进行下一道工序。</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（3）基层验收合格后进行封层施工，铺设聚酯玻纤布，喷洒PC-2改性乳化沥青，洒布量为1.0L/m2。沥青表面处治施工应在路沿石安装完成后进行，基层必须处理干净。</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（4）</w:t>
      </w:r>
      <w:r>
        <w:rPr>
          <w:rFonts w:hint="eastAsia" w:ascii="仿宋_GB2312" w:eastAsia="仿宋_GB2312" w:hAnsiTheme="minorEastAsia"/>
          <w:sz w:val="28"/>
          <w:szCs w:val="28"/>
          <w:u w:val="none"/>
        </w:rPr>
        <w:t>沥青混凝土要严格按照配比拌制，</w:t>
      </w:r>
      <w:r>
        <w:rPr>
          <w:rFonts w:hint="eastAsia" w:ascii="仿宋_GB2312" w:eastAsia="仿宋_GB2312" w:hAnsiTheme="minorEastAsia"/>
          <w:sz w:val="28"/>
          <w:szCs w:val="28"/>
          <w:u w:val="none"/>
          <w:lang w:val="en-US" w:eastAsia="zh-CN"/>
        </w:rPr>
        <w:t>投标人应在在报价文件中提供AC-13C改性沥青混合料生产配合比设计报告，以及AC-13C改性沥青混合料生产配合比原材料报告。</w:t>
      </w:r>
      <w:r>
        <w:rPr>
          <w:rFonts w:hint="eastAsia" w:ascii="仿宋_GB2312" w:eastAsia="仿宋_GB2312" w:hAnsiTheme="minorEastAsia"/>
          <w:sz w:val="28"/>
          <w:szCs w:val="28"/>
        </w:rPr>
        <w:t>运输到现场的过程中要采取防水、保温、防粘。摊铺时温度不低于110度~130度，但不得超过165度。现场施工人员要随时抽查摊铺机的松铺厚度及消除粗细集料离析现象。如发现粗集料成窝应及时铲除，并补以合格的新拌混合料，然后进行整体碾压，严禁用薄层贴补。要求在摊铺前后及时进行高程、纵坡、横坡的检查，发现问题及时处理。碾压时碾压完成温度不低于65度，分初压（24T压路机静压一遍）、复压（24T振动压路机振压三遍）和终压（在复压后紧接终压，先用24T光轮压路机碾压2遍再用胶轮收印）三阶段。碾压遵循先轻厚重，先慢后快的原则，严禁掉头或急刹车。碾压完成当温度降到65度即可开放交通。</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2、水泥混凝土路面</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现状水泥混凝土路面局部已出现病害，主要为裂缝、坑槽、坑洞，这些病害一方面会引起雨水下渗，腐蚀下部结构，另一方面直接影响了行车舒适性及行人行走安全。本工程需对旧水泥混凝土路面病害处理。具体处理方案分以下6种情况：</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（1）对缝隙边缘无碎裂、错台,缝隙宽度≤3mm的微缝：进行扩缝注浆。填补材料为水泥裂缝修补料。</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（2）对缝隙边缘无碎裂、错台,缝隙贯穿全厚的3-15mm的中缝：条带状凿除7cm混凝土后，灌缝修复。填补材料为水泥裂缝修补料。</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（3）对于裂缝大于15mm的严重裂缝，或裂缝总数≥3的交叉裂缝板和破碎板、缝隙边缘出现碎裂、错台：破除原水泥板，对基层不损坏的，重建水泥混凝土面板，基层破损的，挖除基层并新建C20贫砼基层20cm厚。</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（4）脱空处理：采用新技术，利用聚合物灌浆技术，将两组高聚物材料混合并注射到路面下，材料快速反应固化，以达到填充脱空、加固路基、防止渗漏等目的。</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（5）接缝破碎处理：采用经过改性的环氧树脂类材料填充维修。</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（6）换板处理：对于现状水泥混凝土面板破坏严重的，采用换板采用，混凝土强度采用C35砼，厚度与原板同。</w:t>
      </w:r>
    </w:p>
    <w:p>
      <w:pPr>
        <w:adjustRightInd w:val="0"/>
        <w:snapToGrid w:val="0"/>
        <w:spacing w:line="600" w:lineRule="exact"/>
        <w:ind w:firstLine="560" w:firstLineChars="200"/>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（7）</w:t>
      </w:r>
      <w:r>
        <w:rPr>
          <w:rFonts w:hint="eastAsia" w:ascii="仿宋_GB2312" w:eastAsia="仿宋_GB2312" w:hAnsiTheme="minorEastAsia"/>
          <w:sz w:val="28"/>
          <w:szCs w:val="28"/>
          <w:u w:val="none"/>
          <w:lang w:val="en-US" w:eastAsia="zh-CN"/>
        </w:rPr>
        <w:t>供应商需在响应文件中提供混凝土绿色建材产品认证证书复印件及提供在全国认证认可信息公开服务平台（http：//cx.cnca.cn）查询的截图。</w:t>
      </w:r>
    </w:p>
    <w:p>
      <w:pPr>
        <w:adjustRightInd w:val="0"/>
        <w:snapToGrid w:val="0"/>
        <w:spacing w:line="600" w:lineRule="exact"/>
        <w:ind w:firstLine="560" w:firstLineChars="200"/>
        <w:jc w:val="left"/>
        <w:rPr>
          <w:rFonts w:hint="eastAsia" w:ascii="仿宋_GB2312" w:eastAsia="仿宋_GB2312" w:hAnsiTheme="minorEastAsia"/>
          <w:sz w:val="28"/>
          <w:szCs w:val="28"/>
        </w:rPr>
      </w:pPr>
      <w:r>
        <w:rPr>
          <w:rFonts w:hint="eastAsia" w:ascii="仿宋_GB2312" w:eastAsia="仿宋_GB2312" w:hAnsiTheme="minorEastAsia"/>
          <w:sz w:val="28"/>
          <w:szCs w:val="28"/>
        </w:rPr>
        <w:t>3、路缘石更换</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（1）路缘石拆除后安装前，应校核道路中线，测设路缘石道路边桩和高程控制桩，直线段为10m，曲线段不大于5m，路口为15m。按照现有标高控制。</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（2）旧路缘拆除：路缘石随拆随车进行外弃。</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（3）砂浆垫层及勾缝砂浆严格按照M10配比进行拌制，勾缝砂浆采用细砂。</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（4）统一采用坐浆法施工，垫层砂浆厚度2cm，不允许污染路缘石跟路面。路缘石砌筑应平顺，相邻路沿石的缝隙应一致，路缘石与路面无缝隙、不漏水。</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5）路沿石安装后应检验，必须再挂线，调整侧石顺直、圆滑、平整和高程检测，每20m测一个点，当平面和高程超过标准时应调整。路缘石安装完毕后应对及时对有污染的场地和路面进行清理。已完工的路缘石用塑料薄膜覆盖，进行成品保护。养护周期不得少于3天。</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4、标线</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（1）设置标线的路面应清洁干燥，无松散颗粒、灰尘、油污或其他有害物质。</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（2）标线的颜色、厚度、宽度等应符合《道路标线涂料》的要求。</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（3）标线宽度、虚线长及间隔、点线长及间隔、双标线的间隔，应按《道路交通标志和标线》规定办理。</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（4）所有标线应具有顺直、平顺、光洁、均匀及精美外观；涂膜厚度符合要求。</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（5）有缺陷的、施工不当、尺寸不正确或位置错误的标线应予以清除，路面应修补，材料应更换。</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（6）喷涂施工应在白天、晴天进行，雨天、风大、温度低于10度应暂停施工。</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（7）路面标线采用</w:t>
      </w:r>
      <w:r>
        <w:rPr>
          <w:rFonts w:hint="eastAsia" w:ascii="仿宋_GB2312" w:eastAsia="仿宋_GB2312" w:hAnsiTheme="minorEastAsia"/>
          <w:sz w:val="28"/>
          <w:szCs w:val="28"/>
          <w:lang w:val="en-US" w:eastAsia="zh-CN"/>
        </w:rPr>
        <w:t>热熔型</w:t>
      </w:r>
      <w:r>
        <w:rPr>
          <w:rFonts w:hint="eastAsia" w:ascii="仿宋_GB2312" w:eastAsia="仿宋_GB2312" w:hAnsiTheme="minorEastAsia"/>
          <w:sz w:val="28"/>
          <w:szCs w:val="28"/>
        </w:rPr>
        <w:t>反光涂料，涂料的耐磨性指标不大于80，涂料中玻璃珠的含量为18%至25%。</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（8）喷涂时应设置交通安全措施，阻止车辆及行人在施工区域通行。</w:t>
      </w:r>
    </w:p>
    <w:p>
      <w:pPr>
        <w:adjustRightInd w:val="0"/>
        <w:snapToGrid w:val="0"/>
        <w:spacing w:line="300" w:lineRule="auto"/>
        <w:rPr>
          <w:rFonts w:hint="eastAsia" w:asciiTheme="minorEastAsia" w:hAnsiTheme="minorEastAsia"/>
          <w:b/>
          <w:sz w:val="32"/>
          <w:szCs w:val="32"/>
        </w:rPr>
      </w:pPr>
    </w:p>
    <w:p>
      <w:pPr>
        <w:adjustRightInd w:val="0"/>
        <w:snapToGrid w:val="0"/>
        <w:spacing w:line="300" w:lineRule="auto"/>
        <w:rPr>
          <w:rFonts w:asciiTheme="minorEastAsia" w:hAnsiTheme="minorEastAsia"/>
          <w:b/>
          <w:sz w:val="32"/>
          <w:szCs w:val="32"/>
        </w:rPr>
      </w:pPr>
      <w:r>
        <w:rPr>
          <w:rFonts w:hint="eastAsia" w:asciiTheme="minorEastAsia" w:hAnsiTheme="minorEastAsia"/>
          <w:b/>
          <w:sz w:val="32"/>
          <w:szCs w:val="32"/>
        </w:rPr>
        <w:t>三、项目商务要求</w:t>
      </w:r>
    </w:p>
    <w:p>
      <w:pPr>
        <w:adjustRightInd w:val="0"/>
        <w:snapToGrid w:val="0"/>
        <w:spacing w:line="600" w:lineRule="exact"/>
        <w:ind w:firstLine="560" w:firstLineChars="200"/>
        <w:jc w:val="left"/>
        <w:rPr>
          <w:rFonts w:ascii="仿宋_GB2312" w:eastAsia="仿宋_GB2312" w:hAnsiTheme="minorEastAsia"/>
          <w:sz w:val="28"/>
          <w:szCs w:val="28"/>
          <w:lang w:val="zh-CN"/>
        </w:rPr>
      </w:pPr>
      <w:r>
        <w:rPr>
          <w:rFonts w:hint="eastAsia" w:ascii="仿宋_GB2312" w:eastAsia="仿宋_GB2312" w:hAnsiTheme="minorEastAsia"/>
          <w:sz w:val="28"/>
          <w:szCs w:val="28"/>
        </w:rPr>
        <w:t>1.工期：90天。</w:t>
      </w:r>
      <w:r>
        <w:rPr>
          <w:rFonts w:hint="eastAsia" w:ascii="仿宋_GB2312" w:eastAsia="仿宋_GB2312" w:hAnsiTheme="minorEastAsia"/>
          <w:sz w:val="28"/>
          <w:szCs w:val="28"/>
          <w:lang w:val="zh-CN"/>
        </w:rPr>
        <w:t>施工期：具体日期以甲方（业主）发出的开工令为准。</w:t>
      </w:r>
    </w:p>
    <w:p>
      <w:pPr>
        <w:adjustRightInd w:val="0"/>
        <w:snapToGrid w:val="0"/>
        <w:spacing w:line="600" w:lineRule="exact"/>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2.质量要求：</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（1）沥青混凝土路面</w:t>
      </w:r>
    </w:p>
    <w:p>
      <w:pPr>
        <w:adjustRightInd w:val="0"/>
        <w:snapToGrid w:val="0"/>
        <w:spacing w:line="600" w:lineRule="exact"/>
        <w:ind w:left="360" w:right="-370" w:rightChars="-176" w:hanging="360" w:hangingChars="150"/>
        <w:jc w:val="center"/>
        <w:rPr>
          <w:rFonts w:ascii="仿宋_GB2312" w:eastAsia="仿宋_GB2312"/>
          <w:sz w:val="28"/>
          <w:szCs w:val="28"/>
        </w:rPr>
      </w:pPr>
      <w:r>
        <w:rPr>
          <w:rFonts w:hint="eastAsia" w:ascii="仿宋_GB2312" w:eastAsia="仿宋_GB2312"/>
          <w:sz w:val="24"/>
          <w:szCs w:val="24"/>
        </w:rPr>
        <w:t>沥青混凝土路面应满足下表中质量要求</w:t>
      </w:r>
    </w:p>
    <w:tbl>
      <w:tblPr>
        <w:tblStyle w:val="22"/>
        <w:tblW w:w="7074"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591"/>
        <w:gridCol w:w="966"/>
        <w:gridCol w:w="1599"/>
        <w:gridCol w:w="3918"/>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91" w:type="dxa"/>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项次</w:t>
            </w:r>
          </w:p>
        </w:tc>
        <w:tc>
          <w:tcPr>
            <w:tcW w:w="2565" w:type="dxa"/>
            <w:gridSpan w:val="2"/>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检查项目</w:t>
            </w:r>
          </w:p>
        </w:tc>
        <w:tc>
          <w:tcPr>
            <w:tcW w:w="3918" w:type="dxa"/>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规定值或允许偏差</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91"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1Δ</w:t>
            </w:r>
          </w:p>
        </w:tc>
        <w:tc>
          <w:tcPr>
            <w:tcW w:w="2565"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压实度（%）</w:t>
            </w:r>
          </w:p>
        </w:tc>
        <w:tc>
          <w:tcPr>
            <w:tcW w:w="3918"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试验室标准密度的96%（*98%）；</w:t>
            </w:r>
          </w:p>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最大理论密度的92%（*94%）；</w:t>
            </w:r>
          </w:p>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试验段密度的98%（*99%）</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91"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2</w:t>
            </w:r>
          </w:p>
        </w:tc>
        <w:tc>
          <w:tcPr>
            <w:tcW w:w="966"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平整度</w:t>
            </w:r>
          </w:p>
        </w:tc>
        <w:tc>
          <w:tcPr>
            <w:tcW w:w="1599"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最大间隙h（mm）</w:t>
            </w:r>
          </w:p>
        </w:tc>
        <w:tc>
          <w:tcPr>
            <w:tcW w:w="3918"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≤5</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91"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3</w:t>
            </w:r>
          </w:p>
        </w:tc>
        <w:tc>
          <w:tcPr>
            <w:tcW w:w="2565"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弯沉值（0.01mm）</w:t>
            </w:r>
          </w:p>
        </w:tc>
        <w:tc>
          <w:tcPr>
            <w:tcW w:w="3918"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满足设计要求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1"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4Δ</w:t>
            </w:r>
          </w:p>
        </w:tc>
        <w:tc>
          <w:tcPr>
            <w:tcW w:w="966"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厚度（mm）</w:t>
            </w:r>
          </w:p>
        </w:tc>
        <w:tc>
          <w:tcPr>
            <w:tcW w:w="1599"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合格值</w:t>
            </w:r>
          </w:p>
        </w:tc>
        <w:tc>
          <w:tcPr>
            <w:tcW w:w="3918"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-15%H</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91"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5</w:t>
            </w:r>
          </w:p>
        </w:tc>
        <w:tc>
          <w:tcPr>
            <w:tcW w:w="2565"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中线平面偏位（mm）</w:t>
            </w:r>
          </w:p>
        </w:tc>
        <w:tc>
          <w:tcPr>
            <w:tcW w:w="3918"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30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591"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6</w:t>
            </w:r>
          </w:p>
        </w:tc>
        <w:tc>
          <w:tcPr>
            <w:tcW w:w="2565"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纵断高程（mm）</w:t>
            </w:r>
          </w:p>
        </w:tc>
        <w:tc>
          <w:tcPr>
            <w:tcW w:w="3918"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±20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91" w:type="dxa"/>
            <w:vMerge w:val="restart"/>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7</w:t>
            </w:r>
          </w:p>
        </w:tc>
        <w:tc>
          <w:tcPr>
            <w:tcW w:w="966" w:type="dxa"/>
            <w:vMerge w:val="restart"/>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宽度（mm）</w:t>
            </w:r>
          </w:p>
        </w:tc>
        <w:tc>
          <w:tcPr>
            <w:tcW w:w="1599"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有侧石</w:t>
            </w:r>
          </w:p>
        </w:tc>
        <w:tc>
          <w:tcPr>
            <w:tcW w:w="3918" w:type="dxa"/>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±30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91" w:type="dxa"/>
            <w:vMerge w:val="continue"/>
            <w:shd w:val="clear" w:color="auto" w:fill="auto"/>
            <w:vAlign w:val="center"/>
          </w:tcPr>
          <w:p>
            <w:pPr>
              <w:autoSpaceDE w:val="0"/>
              <w:autoSpaceDN w:val="0"/>
              <w:adjustRightInd w:val="0"/>
              <w:jc w:val="center"/>
              <w:rPr>
                <w:rFonts w:ascii="宋体" w:hAnsi="Times New Roman" w:eastAsia="仿宋_GB2312" w:cs="宋体"/>
                <w:color w:val="000000"/>
                <w:sz w:val="24"/>
                <w:szCs w:val="24"/>
              </w:rPr>
            </w:pPr>
          </w:p>
        </w:tc>
        <w:tc>
          <w:tcPr>
            <w:tcW w:w="966" w:type="dxa"/>
            <w:vMerge w:val="continue"/>
            <w:shd w:val="clear" w:color="auto" w:fill="auto"/>
            <w:vAlign w:val="center"/>
          </w:tcPr>
          <w:p>
            <w:pPr>
              <w:autoSpaceDE w:val="0"/>
              <w:autoSpaceDN w:val="0"/>
              <w:adjustRightInd w:val="0"/>
              <w:jc w:val="center"/>
              <w:rPr>
                <w:rFonts w:ascii="宋体" w:hAnsi="Times New Roman" w:eastAsia="仿宋_GB2312" w:cs="宋体"/>
                <w:color w:val="000000"/>
                <w:sz w:val="24"/>
                <w:szCs w:val="24"/>
              </w:rPr>
            </w:pPr>
          </w:p>
        </w:tc>
        <w:tc>
          <w:tcPr>
            <w:tcW w:w="1599"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无侧石</w:t>
            </w:r>
          </w:p>
        </w:tc>
        <w:tc>
          <w:tcPr>
            <w:tcW w:w="3918" w:type="dxa"/>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不小于设计值</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591"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8</w:t>
            </w:r>
          </w:p>
        </w:tc>
        <w:tc>
          <w:tcPr>
            <w:tcW w:w="2565"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横  坡（%）</w:t>
            </w:r>
          </w:p>
        </w:tc>
        <w:tc>
          <w:tcPr>
            <w:tcW w:w="3918"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±0.5</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591"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9Δ</w:t>
            </w:r>
          </w:p>
        </w:tc>
        <w:tc>
          <w:tcPr>
            <w:tcW w:w="2565"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矿料级配</w:t>
            </w:r>
          </w:p>
        </w:tc>
        <w:tc>
          <w:tcPr>
            <w:tcW w:w="3918"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满足生产配合比要求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591"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10Δ</w:t>
            </w:r>
          </w:p>
        </w:tc>
        <w:tc>
          <w:tcPr>
            <w:tcW w:w="2565"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沥青含量</w:t>
            </w:r>
          </w:p>
        </w:tc>
        <w:tc>
          <w:tcPr>
            <w:tcW w:w="3918"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满足生产配合比要求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591"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11</w:t>
            </w:r>
          </w:p>
        </w:tc>
        <w:tc>
          <w:tcPr>
            <w:tcW w:w="2565"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马歇尔稳定度</w:t>
            </w:r>
          </w:p>
        </w:tc>
        <w:tc>
          <w:tcPr>
            <w:tcW w:w="3918"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满足生产配合比要求</w:t>
            </w:r>
          </w:p>
        </w:tc>
      </w:tr>
    </w:tbl>
    <w:p>
      <w:pPr>
        <w:adjustRightInd w:val="0"/>
        <w:snapToGrid w:val="0"/>
        <w:spacing w:line="600" w:lineRule="exact"/>
        <w:ind w:right="-370" w:rightChars="-176" w:firstLine="560" w:firstLineChars="200"/>
        <w:jc w:val="left"/>
        <w:rPr>
          <w:rFonts w:ascii="仿宋_GB2312" w:eastAsia="仿宋_GB2312"/>
          <w:sz w:val="28"/>
          <w:szCs w:val="28"/>
        </w:rPr>
      </w:pPr>
      <w:r>
        <w:rPr>
          <w:rFonts w:hint="eastAsia" w:ascii="仿宋_GB2312" w:eastAsia="仿宋_GB2312"/>
          <w:sz w:val="28"/>
          <w:szCs w:val="28"/>
        </w:rPr>
        <w:t>外观要求：表面裂缝、松散、推挤、碾压轮迹、油丁、泛油、离析的累计长度不得超过50m。搭接处烫缝应无枯焦。路面应无积水。</w:t>
      </w:r>
    </w:p>
    <w:p>
      <w:pPr>
        <w:adjustRightInd w:val="0"/>
        <w:snapToGrid w:val="0"/>
        <w:spacing w:line="600" w:lineRule="exact"/>
        <w:ind w:right="-370" w:rightChars="-176" w:firstLine="560" w:firstLineChars="200"/>
        <w:jc w:val="left"/>
        <w:rPr>
          <w:rFonts w:ascii="仿宋_GB2312" w:eastAsia="仿宋_GB2312"/>
          <w:sz w:val="28"/>
          <w:szCs w:val="28"/>
        </w:rPr>
      </w:pPr>
      <w:r>
        <w:rPr>
          <w:rFonts w:hint="eastAsia" w:ascii="仿宋_GB2312" w:eastAsia="仿宋_GB2312"/>
          <w:sz w:val="28"/>
          <w:szCs w:val="28"/>
        </w:rPr>
        <w:t>（2）水泥混凝土路面</w:t>
      </w:r>
    </w:p>
    <w:p>
      <w:pPr>
        <w:adjustRightInd w:val="0"/>
        <w:snapToGrid w:val="0"/>
        <w:spacing w:line="600" w:lineRule="exact"/>
        <w:ind w:left="360" w:right="-370" w:rightChars="-176" w:hanging="360" w:hangingChars="150"/>
        <w:jc w:val="center"/>
        <w:rPr>
          <w:rFonts w:ascii="仿宋_GB2312" w:eastAsia="仿宋_GB2312"/>
          <w:sz w:val="28"/>
          <w:szCs w:val="28"/>
        </w:rPr>
      </w:pPr>
      <w:r>
        <w:rPr>
          <w:rFonts w:hint="eastAsia" w:ascii="仿宋_GB2312" w:eastAsia="仿宋_GB2312"/>
          <w:sz w:val="24"/>
          <w:szCs w:val="24"/>
        </w:rPr>
        <w:t>水泥混凝土路面应满足下表中质量要求</w:t>
      </w:r>
    </w:p>
    <w:tbl>
      <w:tblPr>
        <w:tblStyle w:val="22"/>
        <w:tblW w:w="7327"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82"/>
        <w:gridCol w:w="310"/>
        <w:gridCol w:w="2094"/>
        <w:gridCol w:w="3195"/>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6" w:type="dxa"/>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项次</w:t>
            </w:r>
          </w:p>
        </w:tc>
        <w:tc>
          <w:tcPr>
            <w:tcW w:w="3586" w:type="dxa"/>
            <w:gridSpan w:val="3"/>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检查项目</w:t>
            </w:r>
          </w:p>
        </w:tc>
        <w:tc>
          <w:tcPr>
            <w:tcW w:w="3195" w:type="dxa"/>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规定值或允许偏差</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46"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1Δ</w:t>
            </w:r>
          </w:p>
        </w:tc>
        <w:tc>
          <w:tcPr>
            <w:tcW w:w="3586" w:type="dxa"/>
            <w:gridSpan w:val="3"/>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弯拉强度（MPa）</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在合格标准内</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6" w:type="dxa"/>
            <w:vMerge w:val="restart"/>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2Δ</w:t>
            </w:r>
          </w:p>
        </w:tc>
        <w:tc>
          <w:tcPr>
            <w:tcW w:w="1182" w:type="dxa"/>
            <w:vMerge w:val="restart"/>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板厚度（mm）</w:t>
            </w:r>
          </w:p>
        </w:tc>
        <w:tc>
          <w:tcPr>
            <w:tcW w:w="2404"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代表值</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-5</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6" w:type="dxa"/>
            <w:vMerge w:val="continue"/>
            <w:vAlign w:val="center"/>
          </w:tcPr>
          <w:p>
            <w:pPr>
              <w:autoSpaceDE w:val="0"/>
              <w:autoSpaceDN w:val="0"/>
              <w:adjustRightInd w:val="0"/>
              <w:jc w:val="center"/>
              <w:rPr>
                <w:rFonts w:ascii="宋体" w:hAnsi="Times New Roman" w:eastAsia="仿宋_GB2312" w:cs="宋体"/>
                <w:color w:val="000000"/>
                <w:sz w:val="24"/>
                <w:szCs w:val="24"/>
              </w:rPr>
            </w:pPr>
          </w:p>
        </w:tc>
        <w:tc>
          <w:tcPr>
            <w:tcW w:w="1182" w:type="dxa"/>
            <w:vMerge w:val="continue"/>
            <w:shd w:val="clear" w:color="auto" w:fill="auto"/>
            <w:vAlign w:val="center"/>
          </w:tcPr>
          <w:p>
            <w:pPr>
              <w:autoSpaceDE w:val="0"/>
              <w:autoSpaceDN w:val="0"/>
              <w:adjustRightInd w:val="0"/>
              <w:jc w:val="center"/>
              <w:rPr>
                <w:rFonts w:ascii="宋体" w:hAnsi="Times New Roman" w:eastAsia="仿宋_GB2312" w:cs="宋体"/>
                <w:color w:val="000000"/>
                <w:sz w:val="24"/>
                <w:szCs w:val="24"/>
              </w:rPr>
            </w:pPr>
          </w:p>
        </w:tc>
        <w:tc>
          <w:tcPr>
            <w:tcW w:w="2404"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合格值</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6" w:type="dxa"/>
            <w:vMerge w:val="continue"/>
            <w:vAlign w:val="center"/>
          </w:tcPr>
          <w:p>
            <w:pPr>
              <w:autoSpaceDE w:val="0"/>
              <w:autoSpaceDN w:val="0"/>
              <w:adjustRightInd w:val="0"/>
              <w:jc w:val="center"/>
              <w:rPr>
                <w:rFonts w:ascii="宋体" w:hAnsi="Times New Roman" w:eastAsia="仿宋_GB2312" w:cs="宋体"/>
                <w:color w:val="000000"/>
                <w:sz w:val="24"/>
                <w:szCs w:val="24"/>
              </w:rPr>
            </w:pPr>
          </w:p>
        </w:tc>
        <w:tc>
          <w:tcPr>
            <w:tcW w:w="1182" w:type="dxa"/>
            <w:vMerge w:val="continue"/>
            <w:shd w:val="clear" w:color="auto" w:fill="auto"/>
            <w:vAlign w:val="center"/>
          </w:tcPr>
          <w:p>
            <w:pPr>
              <w:autoSpaceDE w:val="0"/>
              <w:autoSpaceDN w:val="0"/>
              <w:adjustRightInd w:val="0"/>
              <w:jc w:val="center"/>
              <w:rPr>
                <w:rFonts w:ascii="宋体" w:hAnsi="Times New Roman" w:eastAsia="仿宋_GB2312" w:cs="宋体"/>
                <w:color w:val="000000"/>
                <w:sz w:val="24"/>
                <w:szCs w:val="24"/>
              </w:rPr>
            </w:pPr>
          </w:p>
        </w:tc>
        <w:tc>
          <w:tcPr>
            <w:tcW w:w="2404"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极值</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-15</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46"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3</w:t>
            </w:r>
          </w:p>
        </w:tc>
        <w:tc>
          <w:tcPr>
            <w:tcW w:w="1182"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平整度</w:t>
            </w:r>
          </w:p>
        </w:tc>
        <w:tc>
          <w:tcPr>
            <w:tcW w:w="2404"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最大间隙h（mm）</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5</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6" w:type="dxa"/>
            <w:vMerge w:val="restart"/>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4</w:t>
            </w:r>
          </w:p>
        </w:tc>
        <w:tc>
          <w:tcPr>
            <w:tcW w:w="1492" w:type="dxa"/>
            <w:gridSpan w:val="2"/>
            <w:vMerge w:val="restart"/>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抗滑构造深度（mm）</w:t>
            </w:r>
          </w:p>
        </w:tc>
        <w:tc>
          <w:tcPr>
            <w:tcW w:w="2094"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一般路段</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0.5～1.0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6"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5</w:t>
            </w:r>
          </w:p>
        </w:tc>
        <w:tc>
          <w:tcPr>
            <w:tcW w:w="1492"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横向力系数SFC</w:t>
            </w:r>
          </w:p>
        </w:tc>
        <w:tc>
          <w:tcPr>
            <w:tcW w:w="2094"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一般路段</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≥50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6"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6</w:t>
            </w:r>
          </w:p>
        </w:tc>
        <w:tc>
          <w:tcPr>
            <w:tcW w:w="3586" w:type="dxa"/>
            <w:gridSpan w:val="3"/>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相邻板高差（mm）</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≤3</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6"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7</w:t>
            </w:r>
          </w:p>
        </w:tc>
        <w:tc>
          <w:tcPr>
            <w:tcW w:w="3586" w:type="dxa"/>
            <w:gridSpan w:val="3"/>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纵、横缝顺直度（mm）</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6"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8</w:t>
            </w:r>
          </w:p>
        </w:tc>
        <w:tc>
          <w:tcPr>
            <w:tcW w:w="3586" w:type="dxa"/>
            <w:gridSpan w:val="3"/>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中线平面偏位（mm）</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20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6"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9</w:t>
            </w:r>
          </w:p>
        </w:tc>
        <w:tc>
          <w:tcPr>
            <w:tcW w:w="3586" w:type="dxa"/>
            <w:gridSpan w:val="3"/>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路面宽度（mm）</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±20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6"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10</w:t>
            </w:r>
          </w:p>
        </w:tc>
        <w:tc>
          <w:tcPr>
            <w:tcW w:w="3586" w:type="dxa"/>
            <w:gridSpan w:val="3"/>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纵断高程（mm）</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±15</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6"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11</w:t>
            </w:r>
          </w:p>
        </w:tc>
        <w:tc>
          <w:tcPr>
            <w:tcW w:w="3586" w:type="dxa"/>
            <w:gridSpan w:val="3"/>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横坡（%）</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±0.25</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46"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12</w:t>
            </w:r>
          </w:p>
        </w:tc>
        <w:tc>
          <w:tcPr>
            <w:tcW w:w="3586" w:type="dxa"/>
            <w:gridSpan w:val="3"/>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断板率(%)</w:t>
            </w:r>
          </w:p>
        </w:tc>
        <w:tc>
          <w:tcPr>
            <w:tcW w:w="319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≤0.4</w:t>
            </w:r>
          </w:p>
        </w:tc>
      </w:tr>
    </w:tbl>
    <w:p>
      <w:pPr>
        <w:adjustRightInd w:val="0"/>
        <w:snapToGrid w:val="0"/>
        <w:spacing w:line="600" w:lineRule="exact"/>
        <w:ind w:right="-370" w:rightChars="-176" w:firstLine="560" w:firstLineChars="200"/>
        <w:jc w:val="left"/>
        <w:rPr>
          <w:rFonts w:ascii="仿宋_GB2312" w:eastAsia="仿宋_GB2312"/>
          <w:sz w:val="28"/>
          <w:szCs w:val="28"/>
        </w:rPr>
      </w:pPr>
      <w:r>
        <w:rPr>
          <w:rFonts w:hint="eastAsia" w:ascii="仿宋_GB2312" w:eastAsia="仿宋_GB2312"/>
          <w:sz w:val="28"/>
          <w:szCs w:val="28"/>
        </w:rPr>
        <w:t>外观要求：不应出现板的外观限制缺陷，面板不应有坑穴、鼓包和掉角，接缝填注不得漏填、松脱，不应污染路面，路面应无积水。</w:t>
      </w:r>
    </w:p>
    <w:p>
      <w:pPr>
        <w:adjustRightInd w:val="0"/>
        <w:snapToGrid w:val="0"/>
        <w:spacing w:line="600" w:lineRule="exact"/>
        <w:ind w:right="-370" w:rightChars="-176" w:firstLine="560" w:firstLineChars="200"/>
        <w:jc w:val="left"/>
        <w:rPr>
          <w:rFonts w:ascii="仿宋_GB2312" w:eastAsia="仿宋_GB2312"/>
          <w:sz w:val="28"/>
          <w:szCs w:val="28"/>
        </w:rPr>
      </w:pPr>
      <w:r>
        <w:rPr>
          <w:rFonts w:hint="eastAsia" w:ascii="仿宋_GB2312" w:eastAsia="仿宋_GB2312"/>
          <w:sz w:val="28"/>
          <w:szCs w:val="28"/>
        </w:rPr>
        <w:t>（3）路缘石</w:t>
      </w:r>
    </w:p>
    <w:p>
      <w:pPr>
        <w:adjustRightInd w:val="0"/>
        <w:snapToGrid w:val="0"/>
        <w:spacing w:line="600" w:lineRule="exact"/>
        <w:ind w:left="360" w:right="-370" w:rightChars="-176" w:hanging="360" w:hangingChars="150"/>
        <w:jc w:val="center"/>
        <w:rPr>
          <w:rFonts w:ascii="仿宋_GB2312" w:eastAsia="仿宋_GB2312"/>
          <w:sz w:val="28"/>
          <w:szCs w:val="28"/>
        </w:rPr>
      </w:pPr>
      <w:r>
        <w:rPr>
          <w:rFonts w:hint="eastAsia" w:ascii="仿宋_GB2312" w:eastAsia="仿宋_GB2312"/>
          <w:sz w:val="24"/>
          <w:szCs w:val="24"/>
        </w:rPr>
        <w:t>水泥混凝土路面应满足下表中质量要求</w:t>
      </w:r>
    </w:p>
    <w:tbl>
      <w:tblPr>
        <w:tblStyle w:val="22"/>
        <w:tblW w:w="6023"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70"/>
        <w:gridCol w:w="1871"/>
        <w:gridCol w:w="2419"/>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项次</w:t>
            </w:r>
          </w:p>
        </w:tc>
        <w:tc>
          <w:tcPr>
            <w:tcW w:w="2841" w:type="dxa"/>
            <w:gridSpan w:val="2"/>
            <w:vMerge w:val="restart"/>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检查项目</w:t>
            </w:r>
          </w:p>
        </w:tc>
        <w:tc>
          <w:tcPr>
            <w:tcW w:w="2419" w:type="dxa"/>
            <w:vMerge w:val="restart"/>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规定值或允许偏差</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3" w:type="dxa"/>
            <w:vMerge w:val="continue"/>
            <w:vAlign w:val="center"/>
          </w:tcPr>
          <w:p>
            <w:pPr>
              <w:autoSpaceDE w:val="0"/>
              <w:autoSpaceDN w:val="0"/>
              <w:adjustRightInd w:val="0"/>
              <w:jc w:val="center"/>
              <w:rPr>
                <w:rFonts w:ascii="宋体" w:hAnsi="Times New Roman" w:eastAsia="仿宋_GB2312" w:cs="宋体"/>
                <w:color w:val="000000"/>
                <w:sz w:val="24"/>
                <w:szCs w:val="24"/>
              </w:rPr>
            </w:pPr>
          </w:p>
        </w:tc>
        <w:tc>
          <w:tcPr>
            <w:tcW w:w="2841" w:type="dxa"/>
            <w:gridSpan w:val="2"/>
            <w:vMerge w:val="continue"/>
            <w:vAlign w:val="center"/>
          </w:tcPr>
          <w:p>
            <w:pPr>
              <w:autoSpaceDE w:val="0"/>
              <w:autoSpaceDN w:val="0"/>
              <w:adjustRightInd w:val="0"/>
              <w:jc w:val="center"/>
              <w:rPr>
                <w:rFonts w:ascii="宋体" w:hAnsi="Times New Roman" w:eastAsia="仿宋_GB2312" w:cs="宋体"/>
                <w:color w:val="000000"/>
                <w:sz w:val="24"/>
                <w:szCs w:val="24"/>
              </w:rPr>
            </w:pPr>
          </w:p>
        </w:tc>
        <w:tc>
          <w:tcPr>
            <w:tcW w:w="2419" w:type="dxa"/>
            <w:vMerge w:val="continue"/>
            <w:vAlign w:val="center"/>
          </w:tcPr>
          <w:p>
            <w:pPr>
              <w:autoSpaceDE w:val="0"/>
              <w:autoSpaceDN w:val="0"/>
              <w:adjustRightInd w:val="0"/>
              <w:jc w:val="center"/>
              <w:rPr>
                <w:rFonts w:ascii="宋体" w:hAnsi="Times New Roman" w:eastAsia="仿宋_GB2312"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w:t>
            </w:r>
          </w:p>
        </w:tc>
        <w:tc>
          <w:tcPr>
            <w:tcW w:w="2841"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直顺度（mm）</w:t>
            </w:r>
          </w:p>
        </w:tc>
        <w:tc>
          <w:tcPr>
            <w:tcW w:w="2419"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restart"/>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2</w:t>
            </w:r>
          </w:p>
        </w:tc>
        <w:tc>
          <w:tcPr>
            <w:tcW w:w="970" w:type="dxa"/>
            <w:vMerge w:val="restart"/>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预制铺设</w:t>
            </w:r>
          </w:p>
        </w:tc>
        <w:tc>
          <w:tcPr>
            <w:tcW w:w="1871"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相邻两块高差（mm）</w:t>
            </w:r>
          </w:p>
        </w:tc>
        <w:tc>
          <w:tcPr>
            <w:tcW w:w="2419"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3</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vMerge w:val="continue"/>
            <w:shd w:val="clear" w:color="auto" w:fill="auto"/>
            <w:vAlign w:val="center"/>
          </w:tcPr>
          <w:p>
            <w:pPr>
              <w:autoSpaceDE w:val="0"/>
              <w:autoSpaceDN w:val="0"/>
              <w:adjustRightInd w:val="0"/>
              <w:jc w:val="center"/>
              <w:rPr>
                <w:rFonts w:ascii="宋体" w:hAnsi="Times New Roman" w:eastAsia="仿宋_GB2312" w:cs="宋体"/>
                <w:color w:val="000000"/>
                <w:sz w:val="24"/>
                <w:szCs w:val="24"/>
              </w:rPr>
            </w:pPr>
          </w:p>
        </w:tc>
        <w:tc>
          <w:tcPr>
            <w:tcW w:w="970" w:type="dxa"/>
            <w:vMerge w:val="continue"/>
            <w:shd w:val="clear" w:color="auto" w:fill="auto"/>
            <w:vAlign w:val="center"/>
          </w:tcPr>
          <w:p>
            <w:pPr>
              <w:autoSpaceDE w:val="0"/>
              <w:autoSpaceDN w:val="0"/>
              <w:adjustRightInd w:val="0"/>
              <w:jc w:val="center"/>
              <w:rPr>
                <w:rFonts w:ascii="宋体" w:hAnsi="Times New Roman" w:eastAsia="仿宋_GB2312" w:cs="宋体"/>
                <w:color w:val="000000"/>
                <w:sz w:val="24"/>
                <w:szCs w:val="24"/>
              </w:rPr>
            </w:pPr>
          </w:p>
        </w:tc>
        <w:tc>
          <w:tcPr>
            <w:tcW w:w="1871"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相邻两块缝宽（mm）</w:t>
            </w:r>
          </w:p>
        </w:tc>
        <w:tc>
          <w:tcPr>
            <w:tcW w:w="2419"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±3</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3</w:t>
            </w:r>
          </w:p>
        </w:tc>
        <w:tc>
          <w:tcPr>
            <w:tcW w:w="2841"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顶面高程 （mm）</w:t>
            </w:r>
          </w:p>
        </w:tc>
        <w:tc>
          <w:tcPr>
            <w:tcW w:w="2419"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±10</w:t>
            </w:r>
          </w:p>
        </w:tc>
      </w:tr>
    </w:tbl>
    <w:p>
      <w:pPr>
        <w:adjustRightInd w:val="0"/>
        <w:snapToGrid w:val="0"/>
        <w:spacing w:line="600" w:lineRule="exact"/>
        <w:ind w:left="559" w:leftChars="266" w:right="-370" w:rightChars="-176" w:firstLine="140" w:firstLineChars="50"/>
        <w:jc w:val="left"/>
        <w:rPr>
          <w:rFonts w:ascii="仿宋_GB2312" w:eastAsia="仿宋_GB2312"/>
          <w:sz w:val="28"/>
          <w:szCs w:val="28"/>
        </w:rPr>
      </w:pPr>
      <w:r>
        <w:rPr>
          <w:rFonts w:hint="eastAsia" w:ascii="仿宋_GB2312" w:eastAsia="仿宋_GB2312"/>
          <w:sz w:val="28"/>
          <w:szCs w:val="28"/>
        </w:rPr>
        <w:t>外观要求：路缘石不应破损。平缘石不应阻水。</w:t>
      </w:r>
    </w:p>
    <w:p>
      <w:pPr>
        <w:adjustRightInd w:val="0"/>
        <w:snapToGrid w:val="0"/>
        <w:spacing w:line="600" w:lineRule="exact"/>
        <w:ind w:right="-370" w:rightChars="-176" w:firstLine="560" w:firstLineChars="200"/>
        <w:jc w:val="left"/>
        <w:rPr>
          <w:rFonts w:ascii="仿宋_GB2312" w:eastAsia="仿宋_GB2312"/>
          <w:sz w:val="28"/>
          <w:szCs w:val="28"/>
        </w:rPr>
      </w:pPr>
      <w:r>
        <w:rPr>
          <w:rFonts w:hint="eastAsia" w:ascii="仿宋_GB2312" w:eastAsia="仿宋_GB2312"/>
          <w:sz w:val="28"/>
          <w:szCs w:val="28"/>
        </w:rPr>
        <w:t>（4）标线</w:t>
      </w:r>
    </w:p>
    <w:p>
      <w:pPr>
        <w:adjustRightInd w:val="0"/>
        <w:snapToGrid w:val="0"/>
        <w:spacing w:line="600" w:lineRule="exact"/>
        <w:ind w:left="360" w:right="-370" w:rightChars="-176" w:hanging="360" w:hangingChars="150"/>
        <w:jc w:val="center"/>
        <w:rPr>
          <w:rFonts w:ascii="仿宋_GB2312" w:eastAsia="仿宋_GB2312"/>
          <w:sz w:val="28"/>
          <w:szCs w:val="28"/>
        </w:rPr>
      </w:pPr>
      <w:r>
        <w:rPr>
          <w:rFonts w:hint="eastAsia" w:ascii="仿宋_GB2312" w:eastAsia="仿宋_GB2312"/>
          <w:sz w:val="24"/>
          <w:szCs w:val="24"/>
        </w:rPr>
        <w:t>标线应满足下表中质量要求</w:t>
      </w:r>
    </w:p>
    <w:tbl>
      <w:tblPr>
        <w:tblStyle w:val="22"/>
        <w:tblW w:w="6415"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15"/>
        <w:gridCol w:w="1097"/>
        <w:gridCol w:w="344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63" w:type="dxa"/>
            <w:vMerge w:val="restart"/>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项次</w:t>
            </w:r>
          </w:p>
        </w:tc>
        <w:tc>
          <w:tcPr>
            <w:tcW w:w="2312" w:type="dxa"/>
            <w:gridSpan w:val="2"/>
            <w:vMerge w:val="restart"/>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检查项目</w:t>
            </w:r>
          </w:p>
        </w:tc>
        <w:tc>
          <w:tcPr>
            <w:tcW w:w="3440" w:type="dxa"/>
            <w:vMerge w:val="restart"/>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规定值或允许偏差</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63" w:type="dxa"/>
            <w:vMerge w:val="continue"/>
            <w:vAlign w:val="center"/>
          </w:tcPr>
          <w:p>
            <w:pPr>
              <w:autoSpaceDE w:val="0"/>
              <w:autoSpaceDN w:val="0"/>
              <w:adjustRightInd w:val="0"/>
              <w:jc w:val="center"/>
              <w:rPr>
                <w:rFonts w:ascii="宋体" w:hAnsi="Times New Roman" w:eastAsia="仿宋_GB2312" w:cs="宋体"/>
                <w:color w:val="000000"/>
                <w:sz w:val="24"/>
                <w:szCs w:val="24"/>
              </w:rPr>
            </w:pPr>
          </w:p>
        </w:tc>
        <w:tc>
          <w:tcPr>
            <w:tcW w:w="2312" w:type="dxa"/>
            <w:gridSpan w:val="2"/>
            <w:vMerge w:val="continue"/>
            <w:vAlign w:val="center"/>
          </w:tcPr>
          <w:p>
            <w:pPr>
              <w:autoSpaceDE w:val="0"/>
              <w:autoSpaceDN w:val="0"/>
              <w:adjustRightInd w:val="0"/>
              <w:jc w:val="center"/>
              <w:rPr>
                <w:rFonts w:ascii="宋体" w:hAnsi="Times New Roman" w:eastAsia="仿宋_GB2312" w:cs="宋体"/>
                <w:color w:val="000000"/>
                <w:sz w:val="24"/>
                <w:szCs w:val="24"/>
              </w:rPr>
            </w:pPr>
          </w:p>
        </w:tc>
        <w:tc>
          <w:tcPr>
            <w:tcW w:w="3440" w:type="dxa"/>
            <w:vMerge w:val="continue"/>
            <w:vAlign w:val="center"/>
          </w:tcPr>
          <w:p>
            <w:pPr>
              <w:autoSpaceDE w:val="0"/>
              <w:autoSpaceDN w:val="0"/>
              <w:adjustRightInd w:val="0"/>
              <w:jc w:val="center"/>
              <w:rPr>
                <w:rFonts w:ascii="宋体" w:hAnsi="Times New Roman" w:eastAsia="仿宋_GB2312"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63"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1</w:t>
            </w:r>
          </w:p>
        </w:tc>
        <w:tc>
          <w:tcPr>
            <w:tcW w:w="2312"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标线线段长度（mm)</w:t>
            </w:r>
          </w:p>
        </w:tc>
        <w:tc>
          <w:tcPr>
            <w:tcW w:w="3440"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±20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2</w:t>
            </w:r>
          </w:p>
        </w:tc>
        <w:tc>
          <w:tcPr>
            <w:tcW w:w="2312"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标线宽度（mm)</w:t>
            </w:r>
          </w:p>
        </w:tc>
        <w:tc>
          <w:tcPr>
            <w:tcW w:w="3440"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+5，0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663"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3Δ</w:t>
            </w:r>
          </w:p>
        </w:tc>
        <w:tc>
          <w:tcPr>
            <w:tcW w:w="1215"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标线厚度（干膜，mm)</w:t>
            </w:r>
          </w:p>
        </w:tc>
        <w:tc>
          <w:tcPr>
            <w:tcW w:w="1097"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热熔型</w:t>
            </w:r>
          </w:p>
        </w:tc>
        <w:tc>
          <w:tcPr>
            <w:tcW w:w="3440"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+O.50，-0.10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4</w:t>
            </w:r>
          </w:p>
        </w:tc>
        <w:tc>
          <w:tcPr>
            <w:tcW w:w="2312"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标线横向偏位（mm）</w:t>
            </w:r>
          </w:p>
        </w:tc>
        <w:tc>
          <w:tcPr>
            <w:tcW w:w="3440"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≤30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5</w:t>
            </w:r>
          </w:p>
        </w:tc>
        <w:tc>
          <w:tcPr>
            <w:tcW w:w="2312"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标线纵向间距（mm）</w:t>
            </w:r>
          </w:p>
        </w:tc>
        <w:tc>
          <w:tcPr>
            <w:tcW w:w="3440"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±20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6</w:t>
            </w:r>
          </w:p>
        </w:tc>
        <w:tc>
          <w:tcPr>
            <w:tcW w:w="2312" w:type="dxa"/>
            <w:gridSpan w:val="2"/>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抗滑值（BPN)</w:t>
            </w:r>
          </w:p>
        </w:tc>
        <w:tc>
          <w:tcPr>
            <w:tcW w:w="3440" w:type="dxa"/>
            <w:shd w:val="clear" w:color="auto" w:fill="auto"/>
            <w:vAlign w:val="center"/>
          </w:tcPr>
          <w:p>
            <w:pPr>
              <w:autoSpaceDE w:val="0"/>
              <w:autoSpaceDN w:val="0"/>
              <w:adjustRightInd w:val="0"/>
              <w:jc w:val="center"/>
              <w:rPr>
                <w:rFonts w:ascii="宋体" w:hAnsi="Times New Roman" w:eastAsia="仿宋_GB2312" w:cs="宋体"/>
                <w:color w:val="000000"/>
                <w:sz w:val="24"/>
                <w:szCs w:val="24"/>
              </w:rPr>
            </w:pPr>
            <w:r>
              <w:rPr>
                <w:rFonts w:hint="eastAsia" w:ascii="宋体" w:hAnsi="Times New Roman" w:eastAsia="仿宋_GB2312" w:cs="宋体"/>
                <w:color w:val="000000"/>
                <w:sz w:val="24"/>
                <w:szCs w:val="24"/>
              </w:rPr>
              <w:t>≥45</w:t>
            </w:r>
          </w:p>
        </w:tc>
      </w:tr>
    </w:tbl>
    <w:p>
      <w:pPr>
        <w:ind w:firstLine="560" w:firstLineChars="200"/>
        <w:rPr>
          <w:szCs w:val="44"/>
        </w:rPr>
      </w:pPr>
      <w:r>
        <w:rPr>
          <w:rFonts w:hint="eastAsia" w:ascii="仿宋_GB2312" w:eastAsia="仿宋_GB2312"/>
          <w:sz w:val="28"/>
          <w:szCs w:val="28"/>
        </w:rPr>
        <w:t>外观要求：交通标线线形不得出现设计要求以外的弯折。</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4"/>
          <w:szCs w:val="24"/>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承包单位不许转包，不许擅自分包,否则，发包人有权单方面终止合同，并令其立即退场，由此而造成的经济损失由承包单位负责赔偿。</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5、保修期（保养期）：</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土建工程为2年，屋面防水工程为5年。</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6、询价人将自承包人履行完合同义务之日起15个工作日内组织验收，验收要求、验收标准及方法如下：</w:t>
      </w:r>
    </w:p>
    <w:p>
      <w:pPr>
        <w:autoSpaceDE w:val="0"/>
        <w:autoSpaceDN w:val="0"/>
        <w:spacing w:line="52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（1）验收依据：询价文件、询价响应文件、厂家货物技术标准说明及国家有关的质量标准规定，均为验收依据。</w:t>
      </w:r>
    </w:p>
    <w:p>
      <w:pPr>
        <w:autoSpaceDE w:val="0"/>
        <w:autoSpaceDN w:val="0"/>
        <w:spacing w:line="52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（2）承包单位根据要求进行设备的安装、调试、测试后，由发包人或政府相关部门进行使用性能方面的验收。</w:t>
      </w:r>
    </w:p>
    <w:p>
      <w:pPr>
        <w:autoSpaceDE w:val="0"/>
        <w:autoSpaceDN w:val="0"/>
        <w:spacing w:line="52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（3）验收合格条件</w:t>
      </w:r>
    </w:p>
    <w:p>
      <w:pPr>
        <w:autoSpaceDE w:val="0"/>
        <w:autoSpaceDN w:val="0"/>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符合JTG F80/1-2017公路工程质量检验评定标准。</w:t>
      </w:r>
    </w:p>
    <w:p>
      <w:pPr>
        <w:autoSpaceDE w:val="0"/>
        <w:autoSpaceDN w:val="0"/>
        <w:spacing w:line="52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（4）发包人有权委托我国相关具有检验资质的部门、单位、机构针对维修后设备的精度、性能进行检验。其检验结果将作为验收标准的组成部分之一。</w:t>
      </w:r>
    </w:p>
    <w:p>
      <w:pPr>
        <w:autoSpaceDE w:val="0"/>
        <w:autoSpaceDN w:val="0"/>
        <w:spacing w:line="52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（5）验收时承包单位必须派代表参加。</w:t>
      </w:r>
    </w:p>
    <w:p>
      <w:pPr>
        <w:autoSpaceDE w:val="0"/>
        <w:autoSpaceDN w:val="0"/>
        <w:spacing w:line="520" w:lineRule="exact"/>
        <w:ind w:firstLine="560" w:firstLineChars="200"/>
        <w:rPr>
          <w:rFonts w:hint="eastAsia" w:ascii="仿宋_GB2312" w:hAnsi="仿宋_GB2312" w:cs="仿宋_GB2312"/>
          <w:sz w:val="28"/>
          <w:szCs w:val="28"/>
          <w:shd w:val="clear" w:color="auto" w:fill="FFFFFF"/>
        </w:rPr>
      </w:pPr>
      <w:r>
        <w:rPr>
          <w:rFonts w:hint="eastAsia" w:ascii="仿宋_GB2312" w:hAnsi="仿宋_GB2312" w:cs="仿宋_GB2312"/>
          <w:sz w:val="28"/>
          <w:szCs w:val="28"/>
          <w:shd w:val="clear" w:color="auto" w:fill="FFFFFF"/>
        </w:rPr>
        <w:t>（6）验收过程所发生的一切费用由承包单位承担。</w:t>
      </w:r>
      <w:bookmarkEnd w:id="60"/>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7.付款方式：银行转账形式。</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8.承包方式：</w:t>
      </w:r>
    </w:p>
    <w:p>
      <w:pPr>
        <w:autoSpaceDE w:val="0"/>
        <w:autoSpaceDN w:val="0"/>
        <w:spacing w:line="52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单价</w:t>
      </w:r>
      <w:r>
        <w:rPr>
          <w:rFonts w:hint="eastAsia" w:ascii="仿宋_GB2312" w:hAnsi="仿宋_GB2312" w:eastAsia="仿宋_GB2312" w:cs="仿宋_GB2312"/>
          <w:sz w:val="28"/>
          <w:szCs w:val="28"/>
        </w:rPr>
        <w:t>包干</w:t>
      </w:r>
      <w:r>
        <w:rPr>
          <w:rFonts w:hint="eastAsia" w:ascii="仿宋_GB2312" w:hAnsi="仿宋_GB2312" w:eastAsia="仿宋_GB2312" w:cs="仿宋_GB2312"/>
          <w:sz w:val="28"/>
          <w:szCs w:val="28"/>
          <w:lang w:val="zh-CN"/>
        </w:rPr>
        <w:t>：询价响应文件包含总价及综合单价时，综合单价为合同单价。合同单价在询价文件及施工合同约定的风险范围之内不可调整。</w:t>
      </w:r>
    </w:p>
    <w:p>
      <w:pPr>
        <w:pStyle w:val="2"/>
        <w:ind w:firstLine="0"/>
        <w:rPr>
          <w:rFonts w:ascii="仿宋_GB2312" w:eastAsia="仿宋_GB2312" w:hAnsiTheme="minorEastAsia"/>
          <w:color w:val="auto"/>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ind w:firstLine="0"/>
        <w:rPr>
          <w:color w:val="auto"/>
        </w:rPr>
      </w:pPr>
    </w:p>
    <w:p>
      <w:pPr>
        <w:pStyle w:val="2"/>
        <w:rPr>
          <w:rFonts w:hint="eastAsia"/>
          <w:color w:val="auto"/>
        </w:rPr>
      </w:pPr>
    </w:p>
    <w:p>
      <w:pPr>
        <w:pStyle w:val="2"/>
        <w:rPr>
          <w:color w:val="auto"/>
        </w:rPr>
      </w:pPr>
    </w:p>
    <w:p>
      <w:pPr>
        <w:pStyle w:val="4"/>
      </w:pPr>
      <w:bookmarkStart w:id="61" w:name="_Toc18538"/>
      <w:bookmarkStart w:id="62" w:name="_Toc537"/>
      <w:bookmarkStart w:id="63" w:name="_Toc25925"/>
      <w:bookmarkStart w:id="64" w:name="_Toc23330"/>
      <w:bookmarkStart w:id="65" w:name="_Toc1496"/>
      <w:bookmarkStart w:id="66" w:name="_Toc29835"/>
      <w:bookmarkStart w:id="67" w:name="_Toc4680"/>
      <w:bookmarkStart w:id="68" w:name="_Toc12135"/>
      <w:bookmarkStart w:id="69" w:name="_Toc1284"/>
      <w:bookmarkStart w:id="70" w:name="_Toc23353"/>
      <w:bookmarkStart w:id="71" w:name="_Toc15570"/>
      <w: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8"/>
        <w:rPr>
          <w:rFonts w:hint="eastAsia"/>
        </w:rPr>
      </w:pPr>
    </w:p>
    <w:p>
      <w:pPr>
        <w:pStyle w:val="38"/>
        <w:rPr>
          <w:rFonts w:hint="eastAsia"/>
        </w:rPr>
      </w:pPr>
    </w:p>
    <w:p>
      <w:pPr>
        <w:pStyle w:val="38"/>
        <w:rPr>
          <w:rFonts w:hint="eastAsia"/>
        </w:rPr>
      </w:pPr>
    </w:p>
    <w:p>
      <w:pPr>
        <w:pStyle w:val="38"/>
        <w:rPr>
          <w:rFonts w:hint="eastAsia"/>
        </w:rPr>
      </w:pPr>
    </w:p>
    <w:p>
      <w:pPr>
        <w:pStyle w:val="38"/>
      </w:pPr>
    </w:p>
    <w:p>
      <w:pPr>
        <w:pStyle w:val="4"/>
        <w:rPr>
          <w:rFonts w:hint="eastAsia"/>
        </w:rPr>
      </w:pPr>
      <w:bookmarkStart w:id="72" w:name="_Toc19686"/>
      <w:bookmarkStart w:id="73" w:name="_Toc1375"/>
      <w:bookmarkStart w:id="74" w:name="_Toc12980"/>
      <w:bookmarkStart w:id="75" w:name="_Toc22501"/>
      <w:bookmarkStart w:id="76" w:name="_Toc323"/>
      <w:bookmarkStart w:id="77" w:name="_Toc88209949"/>
      <w:bookmarkStart w:id="78" w:name="_Toc12968"/>
      <w:bookmarkStart w:id="79" w:name="_Toc13309"/>
      <w:bookmarkStart w:id="80" w:name="_Toc19088"/>
      <w:bookmarkStart w:id="81" w:name="_Toc8183"/>
      <w:bookmarkStart w:id="82" w:name="_Toc22797"/>
      <w:bookmarkStart w:id="83" w:name="_Toc12721"/>
      <w:bookmarkStart w:id="84" w:name="_Toc87616386"/>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ascii="宋体" w:hAnsi="宋体" w:eastAsia="宋体" w:cs="宋体"/>
          <w:b/>
          <w:color w:val="000000"/>
          <w:sz w:val="30"/>
          <w:szCs w:val="30"/>
          <w:lang w:val="zh-CN"/>
        </w:rPr>
      </w:pPr>
    </w:p>
    <w:p>
      <w:pPr>
        <w:pStyle w:val="2"/>
        <w:rPr>
          <w:rFonts w:ascii="宋体" w:hAnsi="宋体" w:eastAsia="宋体" w:cs="宋体"/>
          <w:b/>
          <w:color w:val="000000"/>
          <w:sz w:val="30"/>
          <w:szCs w:val="30"/>
          <w:lang w:val="zh-CN"/>
        </w:rPr>
      </w:pPr>
    </w:p>
    <w:p>
      <w:pPr>
        <w:ind w:firstLine="5520" w:firstLineChars="2300"/>
        <w:rPr>
          <w:rFonts w:ascii="仿宋_GB2312" w:hAnsi="宋体" w:eastAsia="仿宋_GB2312" w:cs="Times New Roman"/>
          <w:bCs/>
          <w:color w:val="000000"/>
          <w:sz w:val="24"/>
          <w:szCs w:val="32"/>
        </w:rPr>
      </w:pPr>
    </w:p>
    <w:p>
      <w:pPr>
        <w:jc w:val="center"/>
        <w:rPr>
          <w:rFonts w:ascii="宋体" w:hAnsi="宋体" w:eastAsia="宋体" w:cs="宋体"/>
          <w:b/>
          <w:bCs/>
          <w:color w:val="000000"/>
          <w:sz w:val="48"/>
          <w:szCs w:val="48"/>
          <w:lang w:val="en-GB"/>
        </w:rPr>
      </w:pPr>
    </w:p>
    <w:p>
      <w:pPr>
        <w:jc w:val="center"/>
        <w:rPr>
          <w:rFonts w:ascii="宋体" w:hAnsi="宋体" w:eastAsia="宋体" w:cs="宋体"/>
          <w:b/>
          <w:bCs/>
          <w:color w:val="000000"/>
          <w:sz w:val="48"/>
          <w:szCs w:val="48"/>
          <w:lang w:val="en-GB"/>
        </w:rPr>
      </w:pPr>
    </w:p>
    <w:p>
      <w:pPr>
        <w:jc w:val="center"/>
        <w:rPr>
          <w:rFonts w:ascii="宋体" w:hAnsi="宋体" w:eastAsia="宋体" w:cs="宋体"/>
          <w:b/>
          <w:bCs/>
          <w:color w:val="000000"/>
          <w:sz w:val="48"/>
          <w:szCs w:val="48"/>
          <w:lang w:val="en-GB"/>
        </w:rPr>
      </w:pPr>
      <w:r>
        <w:rPr>
          <w:rFonts w:hint="eastAsia" w:ascii="宋体" w:hAnsi="宋体" w:eastAsia="宋体" w:cs="宋体"/>
          <w:b/>
          <w:bCs/>
          <w:color w:val="000000"/>
          <w:sz w:val="48"/>
          <w:szCs w:val="48"/>
          <w:lang w:val="en-GB"/>
        </w:rPr>
        <w:t>广州市净水有限公司</w:t>
      </w:r>
    </w:p>
    <w:p>
      <w:pPr>
        <w:jc w:val="center"/>
        <w:rPr>
          <w:rFonts w:ascii="仿宋_GB2312" w:hAnsi="Times New Roman" w:eastAsia="仿宋_GB2312" w:cs="Times New Roman"/>
          <w:b/>
          <w:bCs/>
          <w:color w:val="000000"/>
          <w:sz w:val="48"/>
          <w:szCs w:val="48"/>
          <w:lang w:val="en-GB"/>
        </w:rPr>
      </w:pPr>
      <w:r>
        <w:rPr>
          <w:rFonts w:hint="eastAsia" w:ascii="宋体" w:hAnsi="宋体" w:eastAsia="宋体" w:cs="宋体"/>
          <w:b/>
          <w:bCs/>
          <w:color w:val="000000"/>
          <w:sz w:val="48"/>
          <w:szCs w:val="48"/>
          <w:lang w:val="en-GB"/>
        </w:rPr>
        <w:t>小型建设工程</w:t>
      </w:r>
      <w:r>
        <w:rPr>
          <w:rFonts w:hint="eastAsia" w:ascii="宋体" w:hAnsi="宋体" w:eastAsia="宋体" w:cs="宋体"/>
          <w:b/>
          <w:bCs/>
          <w:color w:val="000000"/>
          <w:sz w:val="48"/>
          <w:szCs w:val="48"/>
          <w:u w:val="single"/>
          <w:lang w:val="en-GB"/>
        </w:rPr>
        <w:t>施工/修缮</w:t>
      </w:r>
      <w:r>
        <w:rPr>
          <w:rFonts w:hint="eastAsia" w:ascii="宋体" w:hAnsi="宋体" w:eastAsia="宋体" w:cs="宋体"/>
          <w:b/>
          <w:bCs/>
          <w:color w:val="000000"/>
          <w:sz w:val="48"/>
          <w:szCs w:val="48"/>
          <w:lang w:val="en-GB"/>
        </w:rPr>
        <w:t>合同</w:t>
      </w:r>
    </w:p>
    <w:p>
      <w:pPr>
        <w:jc w:val="center"/>
        <w:rPr>
          <w:rFonts w:ascii="宋体" w:hAnsi="宋体" w:eastAsia="宋体" w:cs="宋体"/>
          <w:color w:val="000000"/>
          <w:sz w:val="28"/>
          <w:szCs w:val="28"/>
        </w:rPr>
      </w:pPr>
    </w:p>
    <w:p>
      <w:pPr>
        <w:ind w:left="1449" w:leftChars="690" w:firstLine="4785" w:firstLineChars="1994"/>
        <w:rPr>
          <w:rFonts w:ascii="仿宋_GB2312" w:hAnsi="Times New Roman" w:eastAsia="仿宋_GB2312" w:cs="Times New Roman"/>
          <w:color w:val="000000"/>
          <w:sz w:val="24"/>
          <w:szCs w:val="32"/>
        </w:rPr>
      </w:pPr>
    </w:p>
    <w:p>
      <w:pPr>
        <w:ind w:left="1449" w:leftChars="690" w:firstLine="4785" w:firstLineChars="1994"/>
        <w:rPr>
          <w:rFonts w:ascii="仿宋_GB2312" w:hAnsi="Times New Roman" w:eastAsia="仿宋_GB2312" w:cs="Times New Roman"/>
          <w:color w:val="000000"/>
          <w:sz w:val="24"/>
          <w:szCs w:val="32"/>
        </w:rPr>
      </w:pPr>
    </w:p>
    <w:p>
      <w:pPr>
        <w:ind w:left="1449" w:leftChars="690" w:firstLine="4785" w:firstLineChars="1994"/>
        <w:rPr>
          <w:rFonts w:ascii="仿宋_GB2312" w:hAnsi="Times New Roman" w:eastAsia="仿宋_GB2312" w:cs="Times New Roman"/>
          <w:color w:val="000000"/>
          <w:sz w:val="24"/>
          <w:szCs w:val="32"/>
        </w:rPr>
      </w:pPr>
    </w:p>
    <w:p>
      <w:pPr>
        <w:snapToGrid w:val="0"/>
        <w:spacing w:line="400" w:lineRule="exact"/>
        <w:ind w:right="84" w:rightChars="40" w:firstLine="193" w:firstLineChars="80"/>
        <w:rPr>
          <w:rFonts w:ascii="宋体" w:hAnsi="宋体" w:eastAsia="宋体" w:cs="Times New Roman"/>
          <w:b/>
          <w:color w:val="000000"/>
          <w:sz w:val="24"/>
          <w:szCs w:val="24"/>
        </w:rPr>
      </w:pPr>
    </w:p>
    <w:p>
      <w:pPr>
        <w:snapToGrid w:val="0"/>
        <w:spacing w:line="400" w:lineRule="exact"/>
        <w:ind w:right="84" w:rightChars="40" w:firstLine="192" w:firstLineChars="80"/>
        <w:rPr>
          <w:rFonts w:ascii="宋体" w:hAnsi="宋体" w:eastAsia="宋体" w:cs="Times New Roman"/>
          <w:bCs/>
          <w:color w:val="000000"/>
          <w:sz w:val="24"/>
          <w:szCs w:val="24"/>
        </w:rPr>
      </w:pPr>
    </w:p>
    <w:p>
      <w:pPr>
        <w:snapToGrid w:val="0"/>
        <w:spacing w:line="400" w:lineRule="exact"/>
        <w:ind w:right="84" w:rightChars="40"/>
        <w:rPr>
          <w:rFonts w:ascii="宋体" w:hAnsi="宋体" w:eastAsia="宋体" w:cs="宋体"/>
          <w:b/>
          <w:color w:val="000000"/>
          <w:sz w:val="30"/>
          <w:szCs w:val="30"/>
        </w:rPr>
      </w:pPr>
      <w:r>
        <w:rPr>
          <w:rFonts w:hint="eastAsia" w:ascii="宋体" w:hAnsi="宋体" w:eastAsia="宋体" w:cs="宋体"/>
          <w:b/>
          <w:color w:val="000000"/>
          <w:sz w:val="30"/>
          <w:szCs w:val="30"/>
        </w:rPr>
        <w:t>项目名称：</w:t>
      </w:r>
      <w:r>
        <w:rPr>
          <w:rFonts w:hint="eastAsia" w:ascii="宋体" w:hAnsi="宋体" w:eastAsia="宋体" w:cs="宋体"/>
          <w:bCs/>
          <w:color w:val="000000"/>
          <w:sz w:val="30"/>
          <w:szCs w:val="30"/>
          <w:u w:val="single"/>
        </w:rPr>
        <w:t>广州市净水有限公司猎德分公司广场</w:t>
      </w:r>
      <w:r>
        <w:rPr>
          <w:rFonts w:hint="eastAsia" w:ascii="宋体" w:hAnsi="宋体" w:eastAsia="宋体" w:cs="宋体"/>
          <w:bCs/>
          <w:color w:val="000000"/>
          <w:sz w:val="30"/>
          <w:szCs w:val="30"/>
          <w:u w:val="single"/>
          <w:lang w:eastAsia="zh-CN"/>
        </w:rPr>
        <w:t>及四期周边道路与路侧石维修</w:t>
      </w:r>
      <w:r>
        <w:rPr>
          <w:rFonts w:hint="eastAsia" w:ascii="宋体" w:hAnsi="宋体" w:eastAsia="宋体" w:cs="宋体"/>
          <w:bCs/>
          <w:color w:val="000000"/>
          <w:sz w:val="30"/>
          <w:szCs w:val="30"/>
          <w:u w:val="single"/>
        </w:rPr>
        <w:t>项目</w:t>
      </w:r>
    </w:p>
    <w:p>
      <w:pPr>
        <w:snapToGrid w:val="0"/>
        <w:ind w:right="84" w:rightChars="40"/>
        <w:rPr>
          <w:rFonts w:ascii="宋体" w:hAnsi="宋体" w:eastAsia="宋体" w:cs="宋体"/>
          <w:b/>
          <w:color w:val="000000"/>
          <w:sz w:val="30"/>
          <w:szCs w:val="30"/>
        </w:rPr>
      </w:pPr>
    </w:p>
    <w:p>
      <w:pPr>
        <w:snapToGrid w:val="0"/>
        <w:ind w:right="84" w:rightChars="40"/>
        <w:rPr>
          <w:rFonts w:ascii="宋体" w:hAnsi="宋体" w:eastAsia="宋体" w:cs="宋体"/>
          <w:b/>
          <w:color w:val="000000"/>
          <w:sz w:val="30"/>
          <w:szCs w:val="30"/>
        </w:rPr>
      </w:pPr>
    </w:p>
    <w:p>
      <w:pPr>
        <w:snapToGrid w:val="0"/>
        <w:ind w:right="84" w:rightChars="40"/>
        <w:rPr>
          <w:rFonts w:ascii="宋体" w:hAnsi="宋体" w:eastAsia="宋体" w:cs="宋体"/>
          <w:b/>
          <w:color w:val="000000"/>
          <w:sz w:val="30"/>
          <w:szCs w:val="30"/>
        </w:rPr>
      </w:pPr>
    </w:p>
    <w:p>
      <w:pPr>
        <w:snapToGrid w:val="0"/>
        <w:ind w:right="84" w:rightChars="40"/>
        <w:rPr>
          <w:rFonts w:ascii="宋体" w:hAnsi="宋体" w:eastAsia="宋体" w:cs="宋体"/>
          <w:b/>
          <w:color w:val="000000"/>
          <w:sz w:val="30"/>
          <w:szCs w:val="30"/>
        </w:rPr>
      </w:pPr>
    </w:p>
    <w:p>
      <w:pPr>
        <w:snapToGrid w:val="0"/>
        <w:ind w:right="84" w:rightChars="40"/>
        <w:rPr>
          <w:rFonts w:ascii="宋体" w:hAnsi="宋体" w:eastAsia="宋体" w:cs="宋体"/>
          <w:b/>
          <w:color w:val="000000"/>
          <w:sz w:val="30"/>
          <w:szCs w:val="30"/>
        </w:rPr>
      </w:pPr>
      <w:r>
        <w:rPr>
          <w:rFonts w:hint="eastAsia" w:ascii="宋体" w:hAnsi="宋体" w:eastAsia="宋体" w:cs="宋体"/>
          <w:b/>
          <w:color w:val="000000"/>
          <w:sz w:val="30"/>
          <w:szCs w:val="30"/>
        </w:rPr>
        <w:t>合同编号：穗净水合〔    〕    号</w:t>
      </w:r>
    </w:p>
    <w:p>
      <w:pPr>
        <w:snapToGrid w:val="0"/>
        <w:spacing w:line="400" w:lineRule="exact"/>
        <w:ind w:right="84" w:rightChars="40"/>
        <w:rPr>
          <w:rFonts w:ascii="宋体" w:hAnsi="宋体" w:eastAsia="宋体" w:cs="宋体"/>
          <w:b/>
          <w:color w:val="000000"/>
          <w:sz w:val="30"/>
          <w:szCs w:val="30"/>
        </w:rPr>
      </w:pPr>
      <w:r>
        <w:rPr>
          <w:rFonts w:hint="eastAsia" w:ascii="宋体" w:hAnsi="宋体" w:eastAsia="宋体" w:cs="宋体"/>
          <w:b/>
          <w:color w:val="000000"/>
          <w:sz w:val="30"/>
          <w:szCs w:val="30"/>
        </w:rPr>
        <w:t>项目编号：</w:t>
      </w:r>
    </w:p>
    <w:p>
      <w:pPr>
        <w:snapToGrid w:val="0"/>
        <w:ind w:right="84" w:rightChars="40" w:firstLine="1569"/>
        <w:rPr>
          <w:rFonts w:ascii="宋体" w:hAnsi="宋体" w:eastAsia="宋体" w:cs="宋体"/>
          <w:b/>
          <w:color w:val="000000"/>
          <w:sz w:val="30"/>
          <w:szCs w:val="30"/>
        </w:rPr>
      </w:pPr>
    </w:p>
    <w:p>
      <w:pPr>
        <w:snapToGrid w:val="0"/>
        <w:ind w:right="84" w:rightChars="40" w:firstLine="1569"/>
        <w:rPr>
          <w:rFonts w:ascii="宋体" w:hAnsi="宋体" w:eastAsia="宋体" w:cs="宋体"/>
          <w:b/>
          <w:color w:val="000000"/>
          <w:sz w:val="30"/>
          <w:szCs w:val="30"/>
        </w:rPr>
      </w:pPr>
    </w:p>
    <w:p>
      <w:pPr>
        <w:snapToGrid w:val="0"/>
        <w:ind w:right="84" w:rightChars="40" w:firstLine="1569"/>
        <w:rPr>
          <w:rFonts w:ascii="宋体" w:hAnsi="宋体" w:eastAsia="宋体" w:cs="宋体"/>
          <w:b/>
          <w:color w:val="000000"/>
          <w:sz w:val="30"/>
          <w:szCs w:val="30"/>
        </w:rPr>
      </w:pPr>
    </w:p>
    <w:p>
      <w:pPr>
        <w:snapToGrid w:val="0"/>
        <w:ind w:right="84" w:rightChars="40" w:firstLine="1569"/>
        <w:rPr>
          <w:rFonts w:ascii="宋体" w:hAnsi="宋体" w:eastAsia="宋体" w:cs="宋体"/>
          <w:b/>
          <w:color w:val="000000"/>
          <w:sz w:val="30"/>
          <w:szCs w:val="30"/>
        </w:rPr>
      </w:pPr>
    </w:p>
    <w:p>
      <w:pPr>
        <w:snapToGrid w:val="0"/>
        <w:ind w:right="84" w:rightChars="40"/>
        <w:rPr>
          <w:rFonts w:ascii="宋体" w:hAnsi="宋体" w:eastAsia="宋体" w:cs="宋体"/>
          <w:b/>
          <w:color w:val="000000"/>
          <w:sz w:val="30"/>
          <w:szCs w:val="30"/>
        </w:rPr>
      </w:pPr>
      <w:r>
        <w:rPr>
          <w:rFonts w:hint="eastAsia" w:ascii="宋体" w:hAnsi="宋体" w:eastAsia="宋体" w:cs="宋体"/>
          <w:b/>
          <w:color w:val="000000"/>
          <w:sz w:val="30"/>
          <w:szCs w:val="30"/>
        </w:rPr>
        <w:t>甲方：广州市净水有限公司</w:t>
      </w:r>
    </w:p>
    <w:p>
      <w:pPr>
        <w:snapToGrid w:val="0"/>
        <w:ind w:right="84" w:rightChars="40" w:firstLine="1569" w:firstLineChars="521"/>
        <w:rPr>
          <w:rFonts w:ascii="宋体" w:hAnsi="宋体" w:eastAsia="宋体" w:cs="宋体"/>
          <w:b/>
          <w:color w:val="000000"/>
          <w:sz w:val="30"/>
          <w:szCs w:val="30"/>
        </w:rPr>
      </w:pPr>
    </w:p>
    <w:p>
      <w:pPr>
        <w:snapToGrid w:val="0"/>
        <w:ind w:right="84" w:rightChars="40" w:firstLine="1569"/>
        <w:rPr>
          <w:rFonts w:ascii="宋体" w:hAnsi="宋体" w:eastAsia="宋体" w:cs="宋体"/>
          <w:b/>
          <w:color w:val="000000"/>
          <w:sz w:val="30"/>
          <w:szCs w:val="30"/>
        </w:rPr>
      </w:pPr>
    </w:p>
    <w:p>
      <w:pPr>
        <w:snapToGrid w:val="0"/>
        <w:ind w:right="84" w:rightChars="40"/>
        <w:rPr>
          <w:rFonts w:ascii="宋体" w:hAnsi="宋体" w:eastAsia="宋体" w:cs="宋体"/>
          <w:b/>
          <w:color w:val="000000"/>
          <w:sz w:val="30"/>
          <w:szCs w:val="30"/>
        </w:rPr>
      </w:pPr>
      <w:r>
        <w:rPr>
          <w:rFonts w:hint="eastAsia" w:ascii="宋体" w:hAnsi="宋体" w:eastAsia="宋体" w:cs="宋体"/>
          <w:b/>
          <w:color w:val="000000"/>
          <w:sz w:val="30"/>
          <w:szCs w:val="30"/>
        </w:rPr>
        <w:t>乙方：</w:t>
      </w:r>
    </w:p>
    <w:p>
      <w:pPr>
        <w:snapToGrid w:val="0"/>
        <w:ind w:right="84" w:rightChars="40" w:firstLine="1569" w:firstLineChars="521"/>
        <w:rPr>
          <w:rFonts w:ascii="宋体" w:hAnsi="宋体" w:eastAsia="宋体" w:cs="宋体"/>
          <w:b/>
          <w:color w:val="000000"/>
          <w:sz w:val="30"/>
          <w:szCs w:val="30"/>
        </w:rPr>
      </w:pPr>
    </w:p>
    <w:p>
      <w:pPr>
        <w:snapToGrid w:val="0"/>
        <w:spacing w:line="400" w:lineRule="exact"/>
        <w:ind w:right="84" w:rightChars="40" w:firstLine="1569" w:firstLineChars="521"/>
        <w:rPr>
          <w:rFonts w:ascii="宋体" w:hAnsi="宋体" w:eastAsia="宋体" w:cs="宋体"/>
          <w:b/>
          <w:color w:val="000000"/>
          <w:sz w:val="30"/>
          <w:szCs w:val="30"/>
        </w:rPr>
      </w:pPr>
    </w:p>
    <w:p>
      <w:pPr>
        <w:rPr>
          <w:rFonts w:ascii="宋体" w:hAnsi="宋体" w:eastAsia="宋体" w:cs="宋体"/>
          <w:b/>
          <w:color w:val="000000"/>
          <w:sz w:val="30"/>
          <w:szCs w:val="30"/>
        </w:rPr>
      </w:pPr>
      <w:r>
        <w:rPr>
          <w:rFonts w:hint="eastAsia" w:ascii="宋体" w:hAnsi="宋体" w:eastAsia="宋体" w:cs="宋体"/>
          <w:b/>
          <w:color w:val="000000"/>
          <w:sz w:val="30"/>
          <w:szCs w:val="30"/>
        </w:rPr>
        <w:t>签订日期：       年   月   日</w:t>
      </w:r>
    </w:p>
    <w:p>
      <w:pPr>
        <w:rPr>
          <w:rFonts w:ascii="宋体" w:hAnsi="宋体" w:eastAsia="宋体" w:cs="宋体"/>
          <w:b/>
          <w:color w:val="000000"/>
          <w:sz w:val="30"/>
          <w:szCs w:val="30"/>
          <w:lang w:val="zh-CN"/>
        </w:rPr>
      </w:pPr>
      <w:r>
        <w:rPr>
          <w:rFonts w:hint="eastAsia" w:ascii="宋体" w:hAnsi="宋体" w:eastAsia="宋体" w:cs="宋体"/>
          <w:b/>
          <w:color w:val="000000"/>
          <w:sz w:val="30"/>
          <w:szCs w:val="30"/>
        </w:rPr>
        <w:t>签订地点：广州市</w:t>
      </w:r>
    </w:p>
    <w:p>
      <w:pPr>
        <w:spacing w:line="500" w:lineRule="exact"/>
        <w:rPr>
          <w:rFonts w:ascii="宋体" w:hAnsi="宋体" w:eastAsia="宋体" w:cs="宋体"/>
          <w:b/>
          <w:color w:val="000000"/>
          <w:sz w:val="30"/>
          <w:szCs w:val="30"/>
          <w:lang w:val="zh-CN"/>
        </w:rPr>
        <w:sectPr>
          <w:footerReference r:id="rId6" w:type="default"/>
          <w:pgSz w:w="11906" w:h="16838"/>
          <w:pgMar w:top="1644" w:right="1588" w:bottom="1644" w:left="1588" w:header="851" w:footer="992" w:gutter="0"/>
          <w:pgNumType w:fmt="numberInDash" w:start="1"/>
          <w:cols w:space="720" w:num="1"/>
          <w:docGrid w:type="lines" w:linePitch="312" w:charSpace="0"/>
        </w:sectPr>
      </w:pPr>
    </w:p>
    <w:p>
      <w:pPr>
        <w:spacing w:line="500" w:lineRule="exact"/>
        <w:jc w:val="center"/>
        <w:rPr>
          <w:rFonts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说明</w:t>
      </w:r>
    </w:p>
    <w:p>
      <w:pPr>
        <w:spacing w:line="560" w:lineRule="exact"/>
        <w:rPr>
          <w:rFonts w:ascii="宋体" w:hAnsi="宋体" w:eastAsia="宋体" w:cs="宋体"/>
          <w:color w:val="000000"/>
          <w:sz w:val="24"/>
          <w:szCs w:val="24"/>
        </w:rPr>
      </w:pPr>
    </w:p>
    <w:p>
      <w:pPr>
        <w:spacing w:line="5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为指导广州市净水有限公司合同承办部门（单位）的签约行为，维护公司的合法权益，依据《中华人民共和国建筑法》以及相关法律法规，制定《广州市净水有限公司小型建设工程施工/修缮合同（示范文本）》（以下简称《施工合同》），现就有关问题说明如下：</w:t>
      </w:r>
    </w:p>
    <w:p>
      <w:pPr>
        <w:spacing w:line="5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一、适用范围</w:t>
      </w:r>
    </w:p>
    <w:p>
      <w:pPr>
        <w:spacing w:line="5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《施工合同》适用于广州市净水有限公司非公开招标的小型建设工程施工、厂区修缮的活动（已另行印发专项合同示范文本的除外）（规模参考：注册建造师执业工程规模标准）。</w:t>
      </w:r>
    </w:p>
    <w:p>
      <w:pPr>
        <w:spacing w:line="5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二、组成及使用说明</w:t>
      </w:r>
    </w:p>
    <w:p>
      <w:pPr>
        <w:spacing w:line="5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（一）《施工合同》由合同条款、附件两部分组成。</w:t>
      </w:r>
    </w:p>
    <w:p>
      <w:pPr>
        <w:spacing w:line="5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二）文本中以“”标示的或已填写具体内容的仅供参考，由合同承办部门（单位）根据工程项目的具体特点和实际情况进行细化、完善、补充、修改或另行约定，但不得与公司制度相违背，如无需填写的，则填写“无”或划“</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spacing w:line="560" w:lineRule="exact"/>
        <w:ind w:firstLine="420" w:firstLineChars="200"/>
        <w:rPr>
          <w:rFonts w:ascii="仿宋_GB2312" w:hAnsi="仿宋_GB2312" w:eastAsia="仿宋_GB2312" w:cs="仿宋_GB2312"/>
          <w:b/>
          <w:color w:val="000000"/>
          <w:sz w:val="32"/>
          <w:szCs w:val="32"/>
        </w:rPr>
      </w:pPr>
      <w:r>
        <w:rPr>
          <w:rFonts w:hint="eastAsia" w:ascii="宋体" w:hAnsi="宋体" w:eastAsia="宋体" w:cs="宋体"/>
          <w:color w:val="000000"/>
          <w:szCs w:val="21"/>
        </w:rPr>
        <w:t>（三）文本开头带“□”的条款为选择性条款，由合同承办部门（单位）根据工程项目的具体特点和实际情况在相应“□”内打“√”。</w:t>
      </w:r>
    </w:p>
    <w:p>
      <w:pPr>
        <w:jc w:val="center"/>
        <w:rPr>
          <w:rFonts w:ascii="仿宋_GB2312" w:hAnsi="宋体" w:eastAsia="仿宋_GB2312" w:cs="Times New Roman"/>
          <w:b/>
          <w:color w:val="000000"/>
          <w:sz w:val="24"/>
          <w:szCs w:val="24"/>
        </w:rPr>
      </w:pPr>
    </w:p>
    <w:p>
      <w:pPr>
        <w:jc w:val="center"/>
        <w:rPr>
          <w:rFonts w:ascii="仿宋_GB2312" w:hAnsi="宋体" w:eastAsia="仿宋_GB2312" w:cs="Times New Roman"/>
          <w:b/>
          <w:color w:val="000000"/>
          <w:sz w:val="24"/>
          <w:szCs w:val="24"/>
        </w:rPr>
      </w:pPr>
    </w:p>
    <w:p>
      <w:pPr>
        <w:jc w:val="center"/>
        <w:rPr>
          <w:rFonts w:ascii="仿宋_GB2312" w:hAnsi="宋体" w:eastAsia="仿宋_GB2312" w:cs="Times New Roman"/>
          <w:b/>
          <w:color w:val="000000"/>
          <w:sz w:val="24"/>
          <w:szCs w:val="24"/>
        </w:rPr>
      </w:pPr>
    </w:p>
    <w:p>
      <w:pPr>
        <w:rPr>
          <w:rFonts w:ascii="仿宋_GB2312" w:hAnsi="宋体" w:eastAsia="仿宋_GB2312" w:cs="Times New Roman"/>
          <w:b/>
          <w:color w:val="000000"/>
          <w:sz w:val="24"/>
          <w:szCs w:val="24"/>
        </w:rPr>
      </w:pPr>
    </w:p>
    <w:p>
      <w:pPr>
        <w:rPr>
          <w:rFonts w:ascii="宋体" w:hAnsi="宋体" w:eastAsia="宋体"/>
          <w:b/>
          <w:color w:val="000000"/>
          <w:sz w:val="44"/>
          <w:szCs w:val="44"/>
        </w:rPr>
        <w:sectPr>
          <w:footerReference r:id="rId7" w:type="default"/>
          <w:pgSz w:w="11906" w:h="16838"/>
          <w:pgMar w:top="1644" w:right="1701" w:bottom="1644" w:left="1701" w:header="851" w:footer="992" w:gutter="0"/>
          <w:pgNumType w:fmt="numberInDash"/>
          <w:cols w:space="720" w:num="1"/>
          <w:docGrid w:type="lines" w:linePitch="312" w:charSpace="0"/>
        </w:sectPr>
      </w:pPr>
    </w:p>
    <w:p>
      <w:pPr>
        <w:adjustRightInd w:val="0"/>
        <w:snapToGrid w:val="0"/>
        <w:spacing w:line="500" w:lineRule="exact"/>
        <w:ind w:firstLine="720" w:firstLineChars="300"/>
        <w:jc w:val="left"/>
        <w:rPr>
          <w:rFonts w:ascii="宋体" w:hAnsi="宋体" w:eastAsia="宋体" w:cs="宋体"/>
          <w:color w:val="000000"/>
          <w:sz w:val="24"/>
          <w:szCs w:val="24"/>
        </w:rPr>
      </w:pPr>
      <w:r>
        <w:rPr>
          <w:rFonts w:hint="eastAsia" w:ascii="宋体" w:hAnsi="宋体" w:eastAsia="宋体" w:cs="宋体"/>
          <w:color w:val="000000"/>
          <w:sz w:val="24"/>
          <w:szCs w:val="24"/>
          <w:u w:val="single"/>
        </w:rPr>
        <w:t>广州市净水有限公司</w:t>
      </w:r>
      <w:r>
        <w:rPr>
          <w:rFonts w:hint="eastAsia" w:ascii="宋体" w:hAnsi="宋体" w:eastAsia="宋体" w:cs="宋体"/>
          <w:color w:val="000000"/>
          <w:sz w:val="24"/>
          <w:szCs w:val="24"/>
        </w:rPr>
        <w:t>（以下简称“甲方”）与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（以下简称“乙方”）依照《中华人民共和国建筑法》及其它有关法律、行政法规，就</w:t>
      </w:r>
      <w:r>
        <w:rPr>
          <w:rFonts w:hint="eastAsia" w:ascii="宋体" w:hAnsi="宋体" w:eastAsia="宋体" w:cs="宋体"/>
          <w:color w:val="000000"/>
          <w:sz w:val="24"/>
          <w:szCs w:val="24"/>
          <w:u w:val="single"/>
        </w:rPr>
        <w:t xml:space="preserve"> 广州市净水有限公司猎德分公司广场</w:t>
      </w:r>
      <w:r>
        <w:rPr>
          <w:rFonts w:hint="eastAsia" w:ascii="宋体" w:hAnsi="宋体" w:eastAsia="宋体" w:cs="宋体"/>
          <w:color w:val="000000"/>
          <w:sz w:val="24"/>
          <w:szCs w:val="24"/>
          <w:u w:val="single"/>
          <w:lang w:eastAsia="zh-CN"/>
        </w:rPr>
        <w:t>及四期周边道路与路侧石维修</w:t>
      </w:r>
      <w:r>
        <w:rPr>
          <w:rFonts w:hint="eastAsia" w:ascii="宋体" w:hAnsi="宋体" w:eastAsia="宋体" w:cs="宋体"/>
          <w:color w:val="000000"/>
          <w:sz w:val="24"/>
          <w:szCs w:val="24"/>
          <w:u w:val="single"/>
        </w:rPr>
        <w:t xml:space="preserve">项目  </w:t>
      </w:r>
      <w:r>
        <w:rPr>
          <w:rFonts w:hint="eastAsia" w:ascii="宋体" w:hAnsi="宋体" w:eastAsia="宋体" w:cs="宋体"/>
          <w:color w:val="000000"/>
          <w:sz w:val="24"/>
          <w:szCs w:val="24"/>
        </w:rPr>
        <w:t>承接工作事宜，遵循平等、自愿、公平和诚实信用的原则，经双方协商一致，订立本合同。</w:t>
      </w:r>
    </w:p>
    <w:p>
      <w:pPr>
        <w:spacing w:line="500" w:lineRule="exact"/>
        <w:ind w:firstLine="482" w:firstLineChars="200"/>
        <w:rPr>
          <w:rFonts w:ascii="宋体" w:hAnsi="宋体" w:eastAsia="宋体" w:cs="宋体"/>
          <w:color w:val="000000"/>
          <w:sz w:val="24"/>
          <w:szCs w:val="24"/>
        </w:rPr>
      </w:pPr>
      <w:r>
        <w:rPr>
          <w:rFonts w:hint="eastAsia" w:ascii="宋体" w:hAnsi="宋体" w:eastAsia="宋体" w:cs="宋体"/>
          <w:b/>
          <w:bCs/>
          <w:color w:val="000000"/>
          <w:sz w:val="24"/>
          <w:szCs w:val="24"/>
        </w:rPr>
        <w:t>第一条组成合同的文件及优先顺序</w:t>
      </w:r>
    </w:p>
    <w:p>
      <w:pPr>
        <w:spacing w:line="500" w:lineRule="exact"/>
        <w:ind w:firstLine="482"/>
        <w:rPr>
          <w:rFonts w:ascii="宋体" w:hAnsi="宋体" w:eastAsia="宋体" w:cs="宋体"/>
          <w:bCs/>
          <w:color w:val="000000"/>
          <w:sz w:val="24"/>
          <w:szCs w:val="24"/>
        </w:rPr>
      </w:pPr>
      <w:r>
        <w:rPr>
          <w:rFonts w:hint="eastAsia" w:ascii="宋体" w:hAnsi="宋体" w:eastAsia="宋体" w:cs="宋体"/>
          <w:bCs/>
          <w:color w:val="000000"/>
          <w:sz w:val="24"/>
          <w:szCs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000000"/>
          <w:sz w:val="24"/>
          <w:szCs w:val="24"/>
        </w:rPr>
      </w:pPr>
      <w:r>
        <w:rPr>
          <w:rFonts w:hint="eastAsia" w:ascii="宋体" w:hAnsi="宋体" w:eastAsia="宋体" w:cs="宋体"/>
          <w:bCs/>
          <w:color w:val="000000"/>
          <w:sz w:val="24"/>
          <w:szCs w:val="24"/>
        </w:rPr>
        <w:t xml:space="preserve">⑴ </w:t>
      </w:r>
      <w:r>
        <w:rPr>
          <w:rFonts w:hint="eastAsia" w:ascii="宋体" w:hAnsi="宋体" w:eastAsia="宋体" w:cs="宋体"/>
          <w:color w:val="000000"/>
          <w:sz w:val="24"/>
          <w:szCs w:val="24"/>
        </w:rPr>
        <w:t>在本合同实施过程双方签署的补充与修正文件</w:t>
      </w:r>
      <w:r>
        <w:rPr>
          <w:rFonts w:hint="eastAsia" w:ascii="宋体" w:hAnsi="宋体" w:eastAsia="宋体" w:cs="宋体"/>
          <w:bCs/>
          <w:color w:val="000000"/>
          <w:sz w:val="24"/>
          <w:szCs w:val="24"/>
        </w:rPr>
        <w:t>；</w:t>
      </w:r>
    </w:p>
    <w:p>
      <w:pPr>
        <w:spacing w:line="500" w:lineRule="exact"/>
        <w:ind w:firstLine="482"/>
        <w:rPr>
          <w:rFonts w:ascii="宋体" w:hAnsi="宋体" w:eastAsia="宋体" w:cs="宋体"/>
          <w:bCs/>
          <w:color w:val="000000"/>
          <w:sz w:val="24"/>
          <w:szCs w:val="24"/>
        </w:rPr>
      </w:pPr>
      <w:r>
        <w:rPr>
          <w:rFonts w:hint="eastAsia" w:ascii="宋体" w:hAnsi="宋体" w:eastAsia="宋体" w:cs="宋体"/>
          <w:bCs/>
          <w:color w:val="000000"/>
          <w:sz w:val="24"/>
          <w:szCs w:val="24"/>
        </w:rPr>
        <w:t>⑵ 本合同书；</w:t>
      </w:r>
    </w:p>
    <w:p>
      <w:pPr>
        <w:spacing w:line="500" w:lineRule="exact"/>
        <w:ind w:firstLine="482"/>
        <w:rPr>
          <w:rFonts w:ascii="宋体" w:hAnsi="宋体" w:eastAsia="宋体" w:cs="宋体"/>
          <w:bCs/>
          <w:color w:val="000000"/>
          <w:sz w:val="24"/>
          <w:szCs w:val="24"/>
        </w:rPr>
      </w:pPr>
      <w:r>
        <w:rPr>
          <w:rFonts w:hint="eastAsia" w:ascii="宋体" w:hAnsi="宋体" w:eastAsia="宋体" w:cs="宋体"/>
          <w:bCs/>
          <w:color w:val="000000"/>
          <w:sz w:val="24"/>
          <w:szCs w:val="24"/>
        </w:rPr>
        <w:t>⑶ 中标通知书/发包通知书/成交通知书/委托函；</w:t>
      </w:r>
    </w:p>
    <w:p>
      <w:pPr>
        <w:spacing w:line="500" w:lineRule="exact"/>
        <w:ind w:firstLine="482"/>
        <w:rPr>
          <w:rFonts w:ascii="宋体" w:hAnsi="宋体" w:eastAsia="宋体" w:cs="宋体"/>
          <w:bCs/>
          <w:color w:val="000000"/>
          <w:sz w:val="24"/>
          <w:szCs w:val="24"/>
        </w:rPr>
      </w:pPr>
      <w:r>
        <w:rPr>
          <w:rFonts w:hint="eastAsia" w:ascii="宋体" w:hAnsi="宋体" w:eastAsia="宋体" w:cs="宋体"/>
          <w:bCs/>
          <w:color w:val="000000"/>
          <w:sz w:val="24"/>
          <w:szCs w:val="24"/>
        </w:rPr>
        <w:t>⑷ 招标文件/询价文件；</w:t>
      </w:r>
    </w:p>
    <w:p>
      <w:pPr>
        <w:spacing w:line="500" w:lineRule="exact"/>
        <w:ind w:firstLine="482"/>
        <w:rPr>
          <w:rFonts w:ascii="宋体" w:hAnsi="宋体" w:eastAsia="宋体" w:cs="宋体"/>
          <w:bCs/>
          <w:color w:val="000000"/>
          <w:sz w:val="24"/>
          <w:szCs w:val="24"/>
        </w:rPr>
      </w:pPr>
      <w:r>
        <w:rPr>
          <w:rFonts w:hint="eastAsia" w:ascii="宋体" w:hAnsi="宋体" w:eastAsia="宋体" w:cs="宋体"/>
          <w:bCs/>
          <w:color w:val="000000"/>
          <w:sz w:val="24"/>
          <w:szCs w:val="24"/>
        </w:rPr>
        <w:t>⑸ 投标文件/响应文件；</w:t>
      </w:r>
    </w:p>
    <w:p>
      <w:pPr>
        <w:spacing w:line="500" w:lineRule="exact"/>
        <w:ind w:firstLine="482"/>
        <w:rPr>
          <w:rFonts w:ascii="宋体" w:hAnsi="宋体" w:eastAsia="宋体" w:cs="宋体"/>
          <w:bCs/>
          <w:color w:val="000000"/>
          <w:sz w:val="24"/>
          <w:szCs w:val="24"/>
        </w:rPr>
      </w:pPr>
      <w:r>
        <w:rPr>
          <w:rFonts w:hint="eastAsia" w:ascii="宋体" w:hAnsi="宋体" w:eastAsia="宋体" w:cs="宋体"/>
          <w:bCs/>
          <w:color w:val="000000"/>
          <w:sz w:val="24"/>
          <w:szCs w:val="24"/>
        </w:rPr>
        <w:t>⑹ 标准、规范及有关技术性文件；</w:t>
      </w:r>
    </w:p>
    <w:p>
      <w:pPr>
        <w:spacing w:line="500" w:lineRule="exact"/>
        <w:ind w:firstLine="482"/>
        <w:rPr>
          <w:rFonts w:ascii="宋体" w:hAnsi="宋体" w:eastAsia="宋体" w:cs="宋体"/>
          <w:bCs/>
          <w:color w:val="000000"/>
          <w:sz w:val="24"/>
          <w:szCs w:val="24"/>
        </w:rPr>
      </w:pPr>
      <w:r>
        <w:rPr>
          <w:rFonts w:hint="eastAsia" w:ascii="宋体" w:hAnsi="宋体" w:eastAsia="宋体" w:cs="宋体"/>
          <w:bCs/>
          <w:color w:val="000000"/>
          <w:sz w:val="24"/>
          <w:szCs w:val="24"/>
        </w:rPr>
        <w:t>⑺ 图纸；</w:t>
      </w:r>
    </w:p>
    <w:p>
      <w:pPr>
        <w:spacing w:line="500" w:lineRule="exact"/>
        <w:ind w:firstLine="482"/>
        <w:rPr>
          <w:rFonts w:ascii="宋体" w:hAnsi="宋体" w:eastAsia="宋体" w:cs="宋体"/>
          <w:bCs/>
          <w:color w:val="000000"/>
          <w:sz w:val="24"/>
          <w:szCs w:val="24"/>
        </w:rPr>
      </w:pPr>
      <w:r>
        <w:rPr>
          <w:rFonts w:hint="eastAsia" w:ascii="宋体" w:hAnsi="宋体" w:eastAsia="宋体" w:cs="宋体"/>
          <w:bCs/>
          <w:color w:val="000000"/>
          <w:sz w:val="24"/>
          <w:szCs w:val="24"/>
        </w:rPr>
        <w:t>⑻ 工程量清单</w:t>
      </w:r>
      <w:r>
        <w:rPr>
          <w:rFonts w:hint="eastAsia" w:ascii="宋体" w:hAnsi="宋体" w:eastAsia="宋体" w:cs="宋体"/>
          <w:color w:val="000000"/>
          <w:sz w:val="24"/>
          <w:szCs w:val="24"/>
        </w:rPr>
        <w:t>报价单或预算书；</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bCs/>
          <w:color w:val="000000"/>
          <w:sz w:val="24"/>
          <w:szCs w:val="24"/>
        </w:rPr>
        <w:t>⑼ 本合同其他附件；</w:t>
      </w:r>
    </w:p>
    <w:p>
      <w:pPr>
        <w:tabs>
          <w:tab w:val="left" w:pos="851"/>
        </w:tabs>
        <w:adjustRightInd w:val="0"/>
        <w:snapToGrid w:val="0"/>
        <w:spacing w:line="500" w:lineRule="exact"/>
        <w:ind w:firstLine="482" w:firstLineChars="200"/>
        <w:jc w:val="left"/>
        <w:rPr>
          <w:rFonts w:ascii="宋体" w:hAnsi="宋体" w:eastAsia="宋体" w:cs="宋体"/>
          <w:b/>
          <w:color w:val="000000"/>
          <w:sz w:val="24"/>
          <w:szCs w:val="24"/>
        </w:rPr>
      </w:pPr>
      <w:r>
        <w:rPr>
          <w:rFonts w:hint="eastAsia" w:ascii="宋体" w:hAnsi="宋体" w:eastAsia="宋体" w:cs="宋体"/>
          <w:b/>
          <w:color w:val="000000"/>
          <w:sz w:val="24"/>
          <w:szCs w:val="24"/>
        </w:rPr>
        <w:t>第二条  工程概况</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2.1工程名称：</w:t>
      </w:r>
      <w:r>
        <w:rPr>
          <w:rFonts w:hint="eastAsia" w:ascii="宋体" w:hAnsi="宋体" w:eastAsia="宋体" w:cs="宋体"/>
          <w:color w:val="000000"/>
          <w:sz w:val="24"/>
          <w:szCs w:val="24"/>
          <w:u w:val="single"/>
        </w:rPr>
        <w:t>广州市净水有限公司猎德分公司广场</w:t>
      </w:r>
      <w:r>
        <w:rPr>
          <w:rFonts w:hint="eastAsia" w:ascii="宋体" w:hAnsi="宋体" w:eastAsia="宋体" w:cs="宋体"/>
          <w:color w:val="000000"/>
          <w:sz w:val="24"/>
          <w:szCs w:val="24"/>
          <w:u w:val="single"/>
          <w:lang w:eastAsia="zh-CN"/>
        </w:rPr>
        <w:t>及四期周边道路与路侧石维修</w:t>
      </w:r>
      <w:r>
        <w:rPr>
          <w:rFonts w:hint="eastAsia" w:ascii="宋体" w:hAnsi="宋体" w:eastAsia="宋体" w:cs="宋体"/>
          <w:color w:val="000000"/>
          <w:sz w:val="24"/>
          <w:szCs w:val="24"/>
          <w:u w:val="single"/>
        </w:rPr>
        <w:t>项目</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2.2工程地点：</w:t>
      </w:r>
      <w:r>
        <w:rPr>
          <w:rFonts w:hint="eastAsia" w:ascii="宋体" w:hAnsi="宋体" w:eastAsia="宋体" w:cs="宋体"/>
          <w:color w:val="000000"/>
          <w:sz w:val="24"/>
          <w:szCs w:val="24"/>
          <w:u w:val="single"/>
        </w:rPr>
        <w:t>广州市净水有限公司猎德分公司</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sectPr>
          <w:headerReference r:id="rId9" w:type="first"/>
          <w:footerReference r:id="rId12" w:type="first"/>
          <w:headerReference r:id="rId8" w:type="default"/>
          <w:footerReference r:id="rId10" w:type="default"/>
          <w:footerReference r:id="rId11" w:type="even"/>
          <w:pgSz w:w="11906" w:h="16838"/>
          <w:pgMar w:top="2098" w:right="1474" w:bottom="1985" w:left="1588" w:header="851" w:footer="992" w:gutter="0"/>
          <w:pgNumType w:fmt="numberInDash"/>
          <w:cols w:space="425" w:num="1"/>
          <w:titlePg/>
          <w:docGrid w:type="lines" w:linePitch="312" w:charSpace="0"/>
        </w:sectPr>
      </w:pPr>
      <w:r>
        <w:rPr>
          <w:rFonts w:hint="eastAsia" w:ascii="宋体" w:hAnsi="宋体" w:eastAsia="宋体" w:cs="宋体"/>
          <w:color w:val="000000"/>
          <w:sz w:val="24"/>
          <w:szCs w:val="24"/>
        </w:rPr>
        <w:t>2.3承包内容：</w:t>
      </w:r>
      <w:r>
        <w:rPr>
          <w:rFonts w:hint="eastAsia" w:ascii="宋体" w:hAnsi="宋体" w:eastAsia="宋体" w:cs="宋体"/>
          <w:color w:val="000000"/>
          <w:sz w:val="24"/>
          <w:szCs w:val="24"/>
          <w:u w:val="single"/>
        </w:rPr>
        <w:t>对猎德分公司广场</w:t>
      </w:r>
      <w:r>
        <w:rPr>
          <w:rFonts w:hint="eastAsia" w:ascii="宋体" w:hAnsi="宋体" w:eastAsia="宋体" w:cs="宋体"/>
          <w:color w:val="000000"/>
          <w:sz w:val="24"/>
          <w:szCs w:val="24"/>
          <w:u w:val="single"/>
          <w:lang w:eastAsia="zh-CN"/>
        </w:rPr>
        <w:t>及四期周边道路与</w:t>
      </w:r>
      <w:r>
        <w:rPr>
          <w:rFonts w:hint="eastAsia" w:ascii="宋体" w:hAnsi="宋体" w:eastAsia="宋体" w:cs="宋体"/>
          <w:color w:val="000000"/>
          <w:sz w:val="24"/>
          <w:szCs w:val="24"/>
          <w:u w:val="single"/>
        </w:rPr>
        <w:t>路侧石的破损部分进行维修翻新。对原有的破旧、开裂、发生沉降的混凝土路面、沥青路面、大理石路面、人行道透水砖路面进行修复；对四期周边道路的路侧石进行修复。需对原有的混凝土路面、沥青混凝土路面采用先刨除4cm 厚面层，再新摊铺4cm 厚改性细粒式沥青砼翻新；对周边道路破损的路侧石，则进行更换翻新。</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2.4承包方式：  </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☑按施工图、施工方案内容，以综合单价包干形式，包人工、包材料、包安装、包质量、包工期、包安全、包文明施工，</w:t>
      </w:r>
      <w:r>
        <w:rPr>
          <w:rFonts w:hint="eastAsia" w:ascii="宋体" w:hAnsi="宋体" w:eastAsia="宋体" w:cs="宋体"/>
          <w:color w:val="000000"/>
          <w:sz w:val="24"/>
          <w:szCs w:val="24"/>
          <w:u w:val="single"/>
        </w:rPr>
        <w:t>项目措施费包干/按实计量</w:t>
      </w:r>
      <w:r>
        <w:rPr>
          <w:rFonts w:hint="eastAsia" w:ascii="宋体" w:hAnsi="宋体" w:eastAsia="宋体" w:cs="宋体"/>
          <w:color w:val="000000"/>
          <w:sz w:val="24"/>
          <w:szCs w:val="24"/>
        </w:rPr>
        <w:t>。（单价包干要求附工程量报价/工程预算书）</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□按施工图、施工方案内容，以固定总价包干形式，包人工、包材料、包安装、包质量、包工期、包安全、包文明施工，</w:t>
      </w:r>
      <w:r>
        <w:rPr>
          <w:rFonts w:hint="eastAsia" w:ascii="宋体" w:hAnsi="宋体" w:eastAsia="宋体" w:cs="宋体"/>
          <w:color w:val="000000"/>
          <w:sz w:val="24"/>
          <w:szCs w:val="24"/>
          <w:u w:val="single"/>
        </w:rPr>
        <w:t>项目措施费包干/按实计量</w:t>
      </w:r>
      <w:r>
        <w:rPr>
          <w:rFonts w:hint="eastAsia" w:ascii="宋体" w:hAnsi="宋体" w:eastAsia="宋体" w:cs="宋体"/>
          <w:color w:val="000000"/>
          <w:sz w:val="24"/>
          <w:szCs w:val="24"/>
        </w:rPr>
        <w:t>。（附工程量清单）</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2.5质量标准：</w:t>
      </w:r>
      <w:r>
        <w:rPr>
          <w:rFonts w:hint="eastAsia" w:ascii="宋体" w:hAnsi="宋体" w:eastAsia="宋体" w:cs="宋体"/>
          <w:color w:val="000000"/>
          <w:sz w:val="24"/>
          <w:szCs w:val="24"/>
          <w:u w:val="single"/>
        </w:rPr>
        <w:t>合格</w:t>
      </w:r>
      <w:r>
        <w:rPr>
          <w:rFonts w:hint="eastAsia" w:ascii="宋体" w:hAnsi="宋体" w:eastAsia="宋体" w:cs="宋体"/>
          <w:color w:val="000000"/>
          <w:sz w:val="24"/>
          <w:szCs w:val="24"/>
        </w:rPr>
        <w:t>。</w:t>
      </w:r>
    </w:p>
    <w:p>
      <w:pPr>
        <w:tabs>
          <w:tab w:val="left" w:pos="851"/>
        </w:tabs>
        <w:adjustRightInd w:val="0"/>
        <w:snapToGrid w:val="0"/>
        <w:spacing w:line="500" w:lineRule="exact"/>
        <w:ind w:firstLine="472" w:firstLineChars="196"/>
        <w:jc w:val="left"/>
        <w:rPr>
          <w:rFonts w:ascii="宋体" w:hAnsi="宋体" w:eastAsia="宋体" w:cs="宋体"/>
          <w:b/>
          <w:color w:val="000000"/>
          <w:sz w:val="24"/>
          <w:szCs w:val="24"/>
        </w:rPr>
      </w:pPr>
      <w:r>
        <w:rPr>
          <w:rFonts w:hint="eastAsia" w:ascii="宋体" w:hAnsi="宋体" w:eastAsia="宋体" w:cs="宋体"/>
          <w:b/>
          <w:color w:val="000000"/>
          <w:sz w:val="24"/>
          <w:szCs w:val="24"/>
        </w:rPr>
        <w:t>第三条  工期</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rPr>
        <w:t>（具体以甲方开工报告中载明的开工日期为准）。</w:t>
      </w: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合同工期日历天数为</w:t>
      </w:r>
      <w:r>
        <w:rPr>
          <w:rFonts w:hint="eastAsia" w:ascii="宋体" w:hAnsi="宋体" w:eastAsia="宋体" w:cs="宋体"/>
          <w:color w:val="000000"/>
          <w:sz w:val="24"/>
          <w:szCs w:val="24"/>
          <w:u w:val="single"/>
        </w:rPr>
        <w:t>90</w:t>
      </w:r>
      <w:r>
        <w:rPr>
          <w:rFonts w:hint="eastAsia" w:ascii="宋体" w:hAnsi="宋体" w:eastAsia="宋体" w:cs="宋体"/>
          <w:color w:val="000000"/>
          <w:sz w:val="24"/>
          <w:szCs w:val="24"/>
        </w:rPr>
        <w:t>天。（工期以总日历天数为准）</w:t>
      </w:r>
    </w:p>
    <w:p>
      <w:pPr>
        <w:tabs>
          <w:tab w:val="left" w:pos="851"/>
        </w:tabs>
        <w:adjustRightInd w:val="0"/>
        <w:snapToGrid w:val="0"/>
        <w:spacing w:line="500" w:lineRule="exact"/>
        <w:ind w:firstLine="472" w:firstLineChars="196"/>
        <w:jc w:val="left"/>
        <w:rPr>
          <w:rFonts w:ascii="宋体" w:hAnsi="宋体" w:eastAsia="宋体" w:cs="宋体"/>
          <w:b/>
          <w:color w:val="000000"/>
          <w:sz w:val="24"/>
          <w:szCs w:val="24"/>
        </w:rPr>
      </w:pPr>
      <w:r>
        <w:rPr>
          <w:rFonts w:hint="eastAsia" w:ascii="宋体" w:hAnsi="宋体" w:eastAsia="宋体" w:cs="宋体"/>
          <w:b/>
          <w:color w:val="000000"/>
          <w:sz w:val="24"/>
          <w:szCs w:val="24"/>
        </w:rPr>
        <w:t>第四条  工期延误与工期奖罚</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4.1延期开工</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乙方不能按时开工，应在约定的开工日期提前</w:t>
      </w:r>
      <w:r>
        <w:rPr>
          <w:rFonts w:hint="eastAsia" w:ascii="宋体" w:hAnsi="宋体" w:eastAsia="宋体" w:cs="宋体"/>
          <w:color w:val="000000"/>
          <w:sz w:val="24"/>
          <w:szCs w:val="24"/>
          <w:u w:val="single"/>
        </w:rPr>
        <w:t xml:space="preserve"> 5</w:t>
      </w:r>
      <w:r>
        <w:rPr>
          <w:rFonts w:hint="eastAsia" w:ascii="宋体" w:hAnsi="宋体" w:eastAsia="宋体" w:cs="宋体"/>
          <w:color w:val="000000"/>
          <w:sz w:val="24"/>
          <w:szCs w:val="24"/>
        </w:rPr>
        <w:t>日，向甲方书面申请延期开工并说明延期理由。甲方代表应在收到后</w:t>
      </w:r>
      <w:r>
        <w:rPr>
          <w:rFonts w:hint="eastAsia" w:ascii="宋体" w:hAnsi="宋体" w:eastAsia="宋体" w:cs="宋体"/>
          <w:color w:val="000000"/>
          <w:sz w:val="24"/>
          <w:szCs w:val="24"/>
          <w:u w:val="single"/>
        </w:rPr>
        <w:t xml:space="preserve"> 3</w:t>
      </w:r>
      <w:r>
        <w:rPr>
          <w:rFonts w:hint="eastAsia" w:ascii="宋体" w:hAnsi="宋体" w:eastAsia="宋体" w:cs="宋体"/>
          <w:color w:val="000000"/>
          <w:sz w:val="24"/>
          <w:szCs w:val="24"/>
        </w:rPr>
        <w:t>日内书面答复乙方。甲方同意延期要求或</w:t>
      </w:r>
      <w:r>
        <w:rPr>
          <w:rFonts w:hint="eastAsia" w:ascii="宋体" w:hAnsi="宋体" w:eastAsia="宋体" w:cs="宋体"/>
          <w:color w:val="000000"/>
          <w:sz w:val="24"/>
          <w:szCs w:val="24"/>
          <w:u w:val="single"/>
        </w:rPr>
        <w:t xml:space="preserve"> 3</w:t>
      </w:r>
      <w:r>
        <w:rPr>
          <w:rFonts w:hint="eastAsia" w:ascii="宋体" w:hAnsi="宋体" w:eastAsia="宋体" w:cs="宋体"/>
          <w:color w:val="000000"/>
          <w:sz w:val="24"/>
          <w:szCs w:val="24"/>
        </w:rPr>
        <w:t>日内不予答复，工期相应顺延。甲方不同意延期或乙方未在规定时间内提出延期开工要求，工期不予顺延。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4.2工期顺延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下列情况造成竣工日期推迟的，经甲方代表书面确认，工期相应顺延。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4.2.1 工程量变化和设计变更增加超过原工程量的</w:t>
      </w:r>
      <w:r>
        <w:rPr>
          <w:rFonts w:hint="eastAsia" w:ascii="宋体" w:hAnsi="宋体" w:eastAsia="宋体" w:cs="宋体"/>
          <w:color w:val="000000"/>
          <w:sz w:val="24"/>
          <w:szCs w:val="24"/>
          <w:u w:val="single"/>
        </w:rPr>
        <w:t>10％</w:t>
      </w:r>
      <w:r>
        <w:rPr>
          <w:rFonts w:hint="eastAsia" w:ascii="宋体" w:hAnsi="宋体" w:eastAsia="宋体" w:cs="宋体"/>
          <w:color w:val="000000"/>
          <w:sz w:val="24"/>
          <w:szCs w:val="24"/>
        </w:rPr>
        <w:t>以上。</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4.2.2 甲方未能按第七条的约定提供图纸。</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4.2.3 甲方未能按约定日期支付工程预付款、进度款，致使施工不能正常进行。</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4.2.4 施工中遇到不可预见障碍物或古墓、文物、流沙等需处理时。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4.2.5 乙方应在不可抗力发生后</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日内向甲方申请顺延工期并提交有关证明，逾期未申请，视为不影响工期；甲方在收到申请后</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日内予以书面回复，逾期不回复，视为同意延期要求。</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4.3 暂停施工</w:t>
      </w:r>
    </w:p>
    <w:p>
      <w:pPr>
        <w:tabs>
          <w:tab w:val="left" w:pos="851"/>
        </w:tabs>
        <w:adjustRightInd w:val="0"/>
        <w:snapToGrid w:val="0"/>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甲方代表认为必要时，有权要求暂停施工并在停工后</w:t>
      </w:r>
      <w:r>
        <w:rPr>
          <w:rFonts w:hint="eastAsia" w:ascii="宋体" w:hAnsi="宋体" w:eastAsia="宋体" w:cs="宋体"/>
          <w:color w:val="000000"/>
          <w:sz w:val="24"/>
          <w:szCs w:val="24"/>
          <w:u w:val="single"/>
        </w:rPr>
        <w:t xml:space="preserve"> 48</w:t>
      </w:r>
      <w:r>
        <w:rPr>
          <w:rFonts w:hint="eastAsia" w:ascii="宋体" w:hAnsi="宋体" w:eastAsia="宋体" w:cs="宋体"/>
          <w:color w:val="000000"/>
          <w:sz w:val="24"/>
          <w:szCs w:val="24"/>
        </w:rPr>
        <w:t>小时内提出处理意见。乙方在实施甲方代表处理意见后，应在</w:t>
      </w:r>
      <w:r>
        <w:rPr>
          <w:rFonts w:hint="eastAsia" w:ascii="宋体" w:hAnsi="宋体" w:eastAsia="宋体" w:cs="宋体"/>
          <w:color w:val="000000"/>
          <w:sz w:val="24"/>
          <w:szCs w:val="24"/>
          <w:u w:val="single"/>
        </w:rPr>
        <w:t>48</w:t>
      </w:r>
      <w:r>
        <w:rPr>
          <w:rFonts w:hint="eastAsia" w:ascii="宋体" w:hAnsi="宋体" w:eastAsia="宋体" w:cs="宋体"/>
          <w:color w:val="000000"/>
          <w:sz w:val="24"/>
          <w:szCs w:val="24"/>
        </w:rPr>
        <w:t xml:space="preserve">小时内提出复工要求，甲方代表在 </w:t>
      </w:r>
      <w:r>
        <w:rPr>
          <w:rFonts w:hint="eastAsia" w:ascii="宋体" w:hAnsi="宋体" w:eastAsia="宋体" w:cs="宋体"/>
          <w:color w:val="000000"/>
          <w:sz w:val="24"/>
          <w:szCs w:val="24"/>
          <w:u w:val="single"/>
        </w:rPr>
        <w:t>24</w:t>
      </w:r>
      <w:r>
        <w:rPr>
          <w:rFonts w:hint="eastAsia" w:ascii="宋体" w:hAnsi="宋体" w:eastAsia="宋体" w:cs="宋体"/>
          <w:color w:val="000000"/>
          <w:sz w:val="24"/>
          <w:szCs w:val="24"/>
        </w:rPr>
        <w:t>小时内予以答复。甲方未能在规定时间提出处理意见，或收到乙方复工要求未在规定时限内予答复，乙方可自行复工。</w:t>
      </w:r>
    </w:p>
    <w:p>
      <w:pPr>
        <w:tabs>
          <w:tab w:val="left" w:pos="851"/>
        </w:tabs>
        <w:adjustRightInd w:val="0"/>
        <w:snapToGrid w:val="0"/>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4.4 工期奖罚</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4.4.1 因甲方原因延误工期，造成经济损失，由甲方承担，工期相应顺延。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4.4.2 因乙方原因延误工期，造成经济损失，由乙方承担，工期不予顺延。      </w:t>
      </w:r>
    </w:p>
    <w:p>
      <w:pPr>
        <w:tabs>
          <w:tab w:val="left" w:pos="851"/>
        </w:tabs>
        <w:adjustRightInd w:val="0"/>
        <w:snapToGrid w:val="0"/>
        <w:spacing w:line="500" w:lineRule="exact"/>
        <w:ind w:firstLine="472" w:firstLineChars="196"/>
        <w:jc w:val="left"/>
        <w:rPr>
          <w:rFonts w:ascii="宋体" w:hAnsi="宋体" w:eastAsia="宋体" w:cs="宋体"/>
          <w:b/>
          <w:color w:val="000000"/>
          <w:sz w:val="24"/>
          <w:szCs w:val="24"/>
        </w:rPr>
      </w:pPr>
      <w:r>
        <w:rPr>
          <w:rFonts w:hint="eastAsia" w:ascii="宋体" w:hAnsi="宋体" w:eastAsia="宋体" w:cs="宋体"/>
          <w:b/>
          <w:color w:val="000000"/>
          <w:sz w:val="24"/>
          <w:szCs w:val="24"/>
        </w:rPr>
        <w:t>第五条  合同价款及支付</w:t>
      </w:r>
    </w:p>
    <w:p>
      <w:pPr>
        <w:spacing w:line="500" w:lineRule="exact"/>
        <w:ind w:firstLine="480" w:firstLineChars="200"/>
        <w:rPr>
          <w:rFonts w:ascii="宋体" w:hAnsi="宋体" w:eastAsia="宋体" w:cs="宋体"/>
          <w:bCs/>
          <w:color w:val="000000"/>
          <w:sz w:val="24"/>
          <w:szCs w:val="24"/>
          <w:bdr w:val="single" w:color="auto" w:sz="4" w:space="0"/>
        </w:rPr>
      </w:pPr>
      <w:r>
        <w:rPr>
          <w:rFonts w:hint="eastAsia" w:ascii="宋体" w:hAnsi="宋体" w:eastAsia="宋体" w:cs="宋体"/>
          <w:color w:val="000000"/>
          <w:sz w:val="24"/>
          <w:szCs w:val="24"/>
        </w:rPr>
        <w:t>5.1合同价款按以下</w:t>
      </w:r>
      <w:r>
        <w:rPr>
          <w:rFonts w:hint="eastAsia" w:ascii="宋体" w:hAnsi="宋体" w:eastAsia="宋体" w:cs="宋体"/>
          <w:color w:val="000000"/>
          <w:sz w:val="24"/>
          <w:szCs w:val="24"/>
          <w:u w:val="single"/>
        </w:rPr>
        <w:t>（1）</w:t>
      </w:r>
      <w:r>
        <w:rPr>
          <w:rFonts w:hint="eastAsia" w:ascii="宋体" w:hAnsi="宋体" w:eastAsia="宋体" w:cs="宋体"/>
          <w:color w:val="000000"/>
          <w:sz w:val="24"/>
          <w:szCs w:val="24"/>
        </w:rPr>
        <w:t>执行。</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bCs/>
          <w:color w:val="000000"/>
          <w:sz w:val="24"/>
          <w:szCs w:val="24"/>
        </w:rPr>
        <w:t>（1）</w:t>
      </w:r>
      <w:r>
        <w:rPr>
          <w:rFonts w:hint="eastAsia" w:ascii="宋体" w:hAnsi="宋体" w:eastAsia="宋体" w:cs="宋体"/>
          <w:color w:val="000000"/>
          <w:sz w:val="24"/>
          <w:szCs w:val="24"/>
        </w:rPr>
        <w:t>合同暂定总价为：</w:t>
      </w:r>
      <w:r>
        <w:rPr>
          <w:rFonts w:hint="eastAsia" w:ascii="宋体" w:hAnsi="宋体" w:eastAsia="宋体" w:cs="宋体"/>
          <w:b/>
          <w:color w:val="000000"/>
          <w:sz w:val="24"/>
          <w:szCs w:val="24"/>
          <w:u w:val="single"/>
        </w:rPr>
        <w:t xml:space="preserve">人民币 </w:t>
      </w:r>
      <w:r>
        <w:rPr>
          <w:rFonts w:hint="eastAsia" w:ascii="宋体" w:hAnsi="宋体" w:eastAsia="宋体" w:cs="宋体"/>
          <w:color w:val="000000"/>
          <w:sz w:val="24"/>
          <w:szCs w:val="24"/>
          <w:u w:val="single"/>
        </w:rPr>
        <w:t>…</w:t>
      </w:r>
      <w:r>
        <w:rPr>
          <w:rFonts w:hint="eastAsia" w:ascii="宋体" w:hAnsi="宋体" w:eastAsia="宋体" w:cs="宋体"/>
          <w:b/>
          <w:color w:val="000000"/>
          <w:sz w:val="24"/>
          <w:szCs w:val="24"/>
          <w:u w:val="single"/>
        </w:rPr>
        <w:t xml:space="preserve">  元</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），其中：</w:t>
      </w:r>
      <w:r>
        <w:rPr>
          <w:rFonts w:hint="eastAsia" w:ascii="宋体" w:hAnsi="宋体" w:eastAsia="宋体" w:cs="宋体"/>
          <w:color w:val="000000"/>
          <w:sz w:val="24"/>
          <w:szCs w:val="24"/>
          <w:u w:val="single"/>
        </w:rPr>
        <w:t>项目措施费暂定</w:t>
      </w:r>
      <w:r>
        <w:rPr>
          <w:rFonts w:hint="eastAsia" w:ascii="宋体" w:hAnsi="宋体" w:eastAsia="宋体" w:cs="宋体"/>
          <w:color w:val="000000"/>
          <w:sz w:val="24"/>
          <w:szCs w:val="24"/>
        </w:rPr>
        <w:t>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元（大写：人民币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绿色施工安全防护措施费为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    元</w:t>
      </w:r>
      <w:r>
        <w:rPr>
          <w:rFonts w:hint="eastAsia" w:ascii="宋体" w:hAnsi="宋体" w:eastAsia="宋体" w:cs="宋体"/>
          <w:color w:val="000000"/>
          <w:sz w:val="24"/>
          <w:szCs w:val="24"/>
        </w:rPr>
        <w:t>（大写：人民币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，暂列金额为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元（大写：人民币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）。经甲方或甲方委托有资质第三方机构审核后，结算审核价作为合同结算价。若结算审核价超合同暂定总价，双方另行签订补充协议。</w:t>
      </w:r>
    </w:p>
    <w:p>
      <w:pPr>
        <w:autoSpaceDE w:val="0"/>
        <w:autoSpaceDN w:val="0"/>
        <w:adjustRightIn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综合单价：详见经甲方确认的工程量报价单或施工图预算书。</w:t>
      </w:r>
    </w:p>
    <w:p>
      <w:pPr>
        <w:autoSpaceDE w:val="0"/>
        <w:autoSpaceDN w:val="0"/>
        <w:adjustRightIn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合同单价在合同有效期内为不变价。乙方已经充分考虑本合同履行期间的市场风险和国家政策性调整风险系数并已计入报价，因此合同单价在合同有效期内不因任何因素而作调整。</w:t>
      </w:r>
    </w:p>
    <w:p>
      <w:pPr>
        <w:numPr>
          <w:ilvl w:val="0"/>
          <w:numId w:val="5"/>
        </w:num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合同以固定总价包干形式，合同暂定总价为：</w:t>
      </w:r>
      <w:r>
        <w:rPr>
          <w:rFonts w:hint="eastAsia" w:ascii="宋体" w:hAnsi="宋体" w:eastAsia="宋体" w:cs="宋体"/>
          <w:b/>
          <w:color w:val="000000"/>
          <w:sz w:val="24"/>
          <w:szCs w:val="24"/>
          <w:u w:val="single"/>
        </w:rPr>
        <w:t xml:space="preserve">人民币 </w:t>
      </w:r>
      <w:r>
        <w:rPr>
          <w:rFonts w:hint="eastAsia" w:ascii="宋体" w:hAnsi="宋体" w:eastAsia="宋体" w:cs="宋体"/>
          <w:color w:val="000000"/>
          <w:sz w:val="24"/>
          <w:szCs w:val="24"/>
          <w:u w:val="single"/>
        </w:rPr>
        <w:t>/</w:t>
      </w:r>
      <w:r>
        <w:rPr>
          <w:rFonts w:hint="eastAsia" w:ascii="宋体" w:hAnsi="宋体" w:eastAsia="宋体" w:cs="宋体"/>
          <w:b/>
          <w:color w:val="000000"/>
          <w:sz w:val="24"/>
          <w:szCs w:val="24"/>
          <w:u w:val="single"/>
        </w:rPr>
        <w:t xml:space="preserve">   元</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），其中：项目措施费暂定为￥</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元（大写：人民币</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）。经甲方或甲方委托有资质第三方机构审核后，若结算审核价比合同暂定总价低，则以结算审核价作为合同结算价，否则以合同暂定总价为合同结算价。</w:t>
      </w:r>
      <w:r>
        <w:rPr>
          <w:rFonts w:hint="eastAsia" w:ascii="宋体" w:hAnsi="宋体" w:eastAsia="宋体" w:cs="宋体"/>
          <w:color w:val="000000"/>
          <w:sz w:val="24"/>
          <w:szCs w:val="24"/>
          <w:lang w:val="en-US" w:eastAsia="zh-CN"/>
        </w:rPr>
        <w:t xml:space="preserve"> </w:t>
      </w:r>
    </w:p>
    <w:p>
      <w:pPr>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kern w:val="0"/>
          <w:sz w:val="24"/>
          <w:szCs w:val="24"/>
          <w:lang w:val="zh-CN"/>
        </w:rPr>
        <w:t>5.2</w:t>
      </w:r>
      <w:r>
        <w:rPr>
          <w:rFonts w:hint="eastAsia" w:ascii="宋体" w:hAnsi="宋体" w:eastAsia="宋体" w:cs="宋体"/>
          <w:color w:val="000000"/>
          <w:kern w:val="0"/>
          <w:sz w:val="24"/>
          <w:szCs w:val="24"/>
        </w:rPr>
        <w:t>本合同约定的价格为含税价价格</w:t>
      </w:r>
      <w:r>
        <w:rPr>
          <w:rFonts w:hint="eastAsia" w:ascii="宋体" w:hAnsi="宋体" w:eastAsia="宋体" w:cs="宋体"/>
          <w:color w:val="000000"/>
          <w:sz w:val="24"/>
          <w:szCs w:val="24"/>
        </w:rPr>
        <w:t>（税率</w:t>
      </w:r>
      <w:r>
        <w:rPr>
          <w:rFonts w:hint="eastAsia" w:ascii="宋体" w:hAnsi="宋体" w:eastAsia="宋体" w:cs="宋体"/>
          <w:color w:val="000000"/>
          <w:sz w:val="24"/>
          <w:szCs w:val="24"/>
          <w:u w:val="single"/>
        </w:rPr>
        <w:t>9  %</w:t>
      </w:r>
      <w:r>
        <w:rPr>
          <w:rFonts w:hint="eastAsia" w:ascii="宋体" w:hAnsi="宋体" w:eastAsia="宋体" w:cs="宋体"/>
          <w:color w:val="000000"/>
          <w:sz w:val="24"/>
          <w:szCs w:val="24"/>
        </w:rPr>
        <w:t>），合同履行期间国家税率调整或乙方开票的实际税率与前述税率不一致的，不含税价不变，价税合计按实际税率相应调整，以开具发票时间为准。</w:t>
      </w:r>
    </w:p>
    <w:p>
      <w:pPr>
        <w:spacing w:line="500" w:lineRule="exact"/>
        <w:ind w:firstLine="480" w:firstLineChars="200"/>
        <w:rPr>
          <w:rFonts w:ascii="宋体" w:hAnsi="宋体" w:eastAsia="宋体" w:cs="宋体"/>
          <w:bCs/>
          <w:color w:val="000000"/>
          <w:sz w:val="24"/>
          <w:szCs w:val="24"/>
          <w:u w:val="single"/>
        </w:rPr>
      </w:pPr>
      <w:r>
        <w:rPr>
          <w:rFonts w:hint="eastAsia" w:ascii="宋体" w:hAnsi="宋体" w:eastAsia="宋体" w:cs="宋体"/>
          <w:bCs/>
          <w:color w:val="000000"/>
          <w:sz w:val="24"/>
          <w:szCs w:val="24"/>
        </w:rPr>
        <w:t>5.3 预付款：</w:t>
      </w:r>
      <w:r>
        <w:rPr>
          <w:rFonts w:hint="eastAsia" w:ascii="宋体" w:hAnsi="宋体" w:eastAsia="宋体" w:cs="宋体"/>
          <w:bCs/>
          <w:color w:val="000000"/>
          <w:sz w:val="24"/>
          <w:szCs w:val="24"/>
        </w:rPr>
        <w:sym w:font="Wingdings" w:char="00FE"/>
      </w:r>
      <w:r>
        <w:rPr>
          <w:rFonts w:hint="eastAsia" w:ascii="宋体" w:hAnsi="宋体" w:eastAsia="宋体" w:cs="宋体"/>
          <w:bCs/>
          <w:color w:val="000000"/>
          <w:sz w:val="24"/>
          <w:szCs w:val="24"/>
        </w:rPr>
        <w:t xml:space="preserve">无     </w:t>
      </w:r>
      <w:r>
        <w:rPr>
          <w:rFonts w:hint="eastAsia" w:ascii="宋体" w:hAnsi="宋体" w:eastAsia="宋体" w:cs="宋体"/>
          <w:bCs/>
          <w:color w:val="000000"/>
          <w:sz w:val="24"/>
          <w:szCs w:val="24"/>
        </w:rPr>
        <w:sym w:font="Wingdings" w:char="F0A8"/>
      </w:r>
      <w:r>
        <w:rPr>
          <w:rFonts w:hint="eastAsia" w:ascii="宋体" w:hAnsi="宋体" w:eastAsia="宋体" w:cs="宋体"/>
          <w:bCs/>
          <w:color w:val="000000"/>
          <w:sz w:val="24"/>
          <w:szCs w:val="24"/>
        </w:rPr>
        <w:t>有，合同签订后，乙方开具等额的</w:t>
      </w:r>
      <w:r>
        <w:rPr>
          <w:rFonts w:hint="eastAsia" w:ascii="宋体" w:hAnsi="宋体" w:eastAsia="宋体" w:cs="宋体"/>
          <w:bCs/>
          <w:color w:val="000000"/>
          <w:sz w:val="24"/>
          <w:szCs w:val="24"/>
          <w:u w:val="single"/>
        </w:rPr>
        <w:t>/</w:t>
      </w:r>
      <w:r>
        <w:rPr>
          <w:rFonts w:hint="eastAsia" w:ascii="宋体" w:hAnsi="宋体" w:eastAsia="宋体" w:cs="宋体"/>
          <w:bCs/>
          <w:color w:val="000000"/>
          <w:sz w:val="24"/>
          <w:szCs w:val="24"/>
        </w:rPr>
        <w:t>及提交履约担保（如有）后10个工作日内，甲方支付合同暂定总价的</w:t>
      </w:r>
      <w:r>
        <w:rPr>
          <w:rFonts w:hint="eastAsia" w:ascii="宋体" w:hAnsi="宋体" w:eastAsia="宋体" w:cs="宋体"/>
          <w:bCs/>
          <w:color w:val="000000"/>
          <w:sz w:val="24"/>
          <w:szCs w:val="24"/>
          <w:u w:val="single"/>
        </w:rPr>
        <w:t>（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作为预付款。若合同解除或终止，乙方在</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个工作日内返还预付款（无息）。</w:t>
      </w:r>
      <w:r>
        <w:rPr>
          <w:rFonts w:hint="eastAsia" w:ascii="宋体" w:hAnsi="宋体" w:eastAsia="宋体" w:cs="宋体"/>
          <w:bCs/>
          <w:color w:val="000000"/>
          <w:kern w:val="0"/>
          <w:sz w:val="24"/>
          <w:szCs w:val="24"/>
        </w:rPr>
        <w:t>逾期未返还，每逾期一日，乙方应按合同暂定总价的</w:t>
      </w:r>
      <w:r>
        <w:rPr>
          <w:rFonts w:hint="eastAsia" w:ascii="宋体" w:hAnsi="宋体" w:eastAsia="宋体" w:cs="宋体"/>
          <w:bCs/>
          <w:color w:val="000000"/>
          <w:kern w:val="0"/>
          <w:sz w:val="24"/>
          <w:szCs w:val="24"/>
          <w:u w:val="single"/>
        </w:rPr>
        <w:t>万分之五/日</w:t>
      </w:r>
      <w:r>
        <w:rPr>
          <w:rFonts w:hint="eastAsia" w:ascii="宋体" w:hAnsi="宋体" w:eastAsia="宋体" w:cs="宋体"/>
          <w:bCs/>
          <w:color w:val="000000"/>
          <w:kern w:val="0"/>
          <w:sz w:val="24"/>
          <w:szCs w:val="24"/>
        </w:rPr>
        <w:t>支付违约金</w:t>
      </w:r>
      <w:r>
        <w:rPr>
          <w:rFonts w:hint="eastAsia" w:ascii="宋体" w:hAnsi="宋体" w:eastAsia="宋体" w:cs="宋体"/>
          <w:color w:val="000000"/>
          <w:sz w:val="24"/>
          <w:szCs w:val="24"/>
        </w:rPr>
        <w:t>。</w:t>
      </w:r>
    </w:p>
    <w:p>
      <w:pPr>
        <w:tabs>
          <w:tab w:val="left" w:pos="851"/>
        </w:tabs>
        <w:adjustRightInd w:val="0"/>
        <w:snapToGrid w:val="0"/>
        <w:spacing w:line="500" w:lineRule="exact"/>
        <w:ind w:firstLine="480" w:firstLineChars="200"/>
        <w:jc w:val="left"/>
        <w:rPr>
          <w:rFonts w:ascii="宋体" w:hAnsi="宋体" w:eastAsia="宋体" w:cs="宋体"/>
          <w:bCs/>
          <w:color w:val="000000"/>
          <w:sz w:val="24"/>
          <w:szCs w:val="24"/>
        </w:rPr>
      </w:pPr>
      <w:r>
        <w:rPr>
          <w:rFonts w:hint="eastAsia" w:ascii="宋体" w:hAnsi="宋体" w:eastAsia="宋体" w:cs="宋体"/>
          <w:bCs/>
          <w:color w:val="000000"/>
          <w:sz w:val="24"/>
          <w:szCs w:val="24"/>
        </w:rPr>
        <w:t>5.4项目验收合格后，由乙方提交申请支付资料</w:t>
      </w:r>
      <w:r>
        <w:rPr>
          <w:rFonts w:hint="eastAsia" w:ascii="宋体" w:hAnsi="宋体" w:eastAsia="宋体" w:cs="宋体"/>
          <w:bCs/>
          <w:color w:val="000000"/>
          <w:sz w:val="24"/>
          <w:szCs w:val="24"/>
          <w:u w:val="single"/>
        </w:rPr>
        <w:t xml:space="preserve"> 15 </w:t>
      </w:r>
      <w:r>
        <w:rPr>
          <w:rFonts w:hint="eastAsia" w:ascii="宋体" w:hAnsi="宋体" w:eastAsia="宋体" w:cs="宋体"/>
          <w:bCs/>
          <w:color w:val="000000"/>
          <w:sz w:val="24"/>
          <w:szCs w:val="24"/>
        </w:rPr>
        <w:t>个工作日内，甲方支付至合同暂定总价的80%即</w:t>
      </w:r>
      <w:r>
        <w:rPr>
          <w:rFonts w:hint="eastAsia" w:ascii="宋体" w:hAnsi="宋体" w:eastAsia="宋体" w:cs="宋体"/>
          <w:color w:val="000000"/>
          <w:sz w:val="24"/>
          <w:szCs w:val="24"/>
          <w:u w:val="single"/>
        </w:rPr>
        <w:t xml:space="preserve">  …    </w:t>
      </w:r>
      <w:r>
        <w:rPr>
          <w:rFonts w:hint="eastAsia" w:ascii="宋体" w:hAnsi="宋体" w:eastAsia="宋体" w:cs="宋体"/>
          <w:bCs/>
          <w:color w:val="000000"/>
          <w:sz w:val="24"/>
          <w:szCs w:val="24"/>
        </w:rPr>
        <w:t>元给乙方；</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bCs/>
          <w:color w:val="000000"/>
          <w:sz w:val="24"/>
          <w:szCs w:val="24"/>
        </w:rPr>
        <w:t>5.5工程完工验收合格后，经甲方或甲方委托的第三方造价咨询单位结算审核且乙方提交请款资料及等额</w:t>
      </w:r>
      <w:r>
        <w:rPr>
          <w:rFonts w:hint="eastAsia" w:ascii="宋体" w:hAnsi="宋体" w:eastAsia="宋体" w:cs="宋体"/>
          <w:bCs/>
          <w:color w:val="000000"/>
          <w:sz w:val="24"/>
          <w:szCs w:val="24"/>
          <w:u w:val="single"/>
        </w:rPr>
        <w:t>增值税专用发票</w:t>
      </w:r>
      <w:r>
        <w:rPr>
          <w:rFonts w:hint="eastAsia" w:ascii="宋体" w:hAnsi="宋体" w:eastAsia="宋体" w:cs="宋体"/>
          <w:bCs/>
          <w:color w:val="000000"/>
          <w:sz w:val="24"/>
          <w:szCs w:val="24"/>
        </w:rPr>
        <w:t>后，甲方支付至合同结算价的95%即</w:t>
      </w:r>
      <w:r>
        <w:rPr>
          <w:rFonts w:hint="eastAsia" w:ascii="宋体" w:hAnsi="宋体" w:eastAsia="宋体" w:cs="宋体"/>
          <w:color w:val="000000"/>
          <w:sz w:val="24"/>
          <w:szCs w:val="24"/>
          <w:u w:val="single"/>
        </w:rPr>
        <w:t xml:space="preserve">  …    </w:t>
      </w:r>
      <w:r>
        <w:rPr>
          <w:rFonts w:hint="eastAsia" w:ascii="宋体" w:hAnsi="宋体" w:eastAsia="宋体" w:cs="宋体"/>
          <w:bCs/>
          <w:color w:val="000000"/>
          <w:sz w:val="24"/>
          <w:szCs w:val="24"/>
        </w:rPr>
        <w:t>元</w:t>
      </w:r>
      <w:r>
        <w:rPr>
          <w:rFonts w:hint="eastAsia" w:ascii="宋体" w:hAnsi="宋体" w:eastAsia="宋体" w:cs="宋体"/>
          <w:color w:val="000000"/>
          <w:sz w:val="24"/>
          <w:szCs w:val="24"/>
        </w:rPr>
        <w:t>(含因乙方未按规定履行合同约定而产生的各种违约金、扣罚金、赔偿金以及应由乙方交纳的各种费用等)。</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5.6质保期按合同第十四条约定执行，质保期满后且乙方不存在违约情形，由乙方提交申请质保金退还资料</w:t>
      </w:r>
      <w:r>
        <w:rPr>
          <w:rFonts w:hint="eastAsia" w:ascii="宋体" w:hAnsi="宋体" w:eastAsia="宋体" w:cs="宋体"/>
          <w:color w:val="000000"/>
          <w:sz w:val="24"/>
          <w:szCs w:val="24"/>
          <w:u w:val="single"/>
        </w:rPr>
        <w:t>15</w:t>
      </w:r>
      <w:r>
        <w:rPr>
          <w:rFonts w:hint="eastAsia" w:ascii="宋体" w:hAnsi="宋体" w:eastAsia="宋体" w:cs="宋体"/>
          <w:color w:val="000000"/>
          <w:sz w:val="24"/>
          <w:szCs w:val="24"/>
        </w:rPr>
        <w:t>个工作日内，甲方支付合同结算价的</w:t>
      </w:r>
      <w:r>
        <w:rPr>
          <w:rFonts w:hint="eastAsia" w:ascii="宋体" w:hAnsi="宋体" w:eastAsia="宋体" w:cs="宋体"/>
          <w:color w:val="000000"/>
          <w:sz w:val="24"/>
          <w:szCs w:val="24"/>
          <w:u w:val="single"/>
        </w:rPr>
        <w:t xml:space="preserve">  5%</w:t>
      </w:r>
      <w:r>
        <w:rPr>
          <w:rFonts w:hint="eastAsia" w:ascii="宋体" w:hAnsi="宋体" w:eastAsia="宋体" w:cs="宋体"/>
          <w:color w:val="000000"/>
          <w:sz w:val="24"/>
          <w:szCs w:val="24"/>
        </w:rPr>
        <w:t>（质保金）给乙方（无息）。</w:t>
      </w:r>
    </w:p>
    <w:p>
      <w:pPr>
        <w:spacing w:line="500" w:lineRule="exact"/>
        <w:ind w:firstLine="480" w:firstLineChars="200"/>
        <w:outlineLvl w:val="1"/>
        <w:rPr>
          <w:rFonts w:ascii="宋体" w:hAnsi="宋体" w:eastAsia="宋体" w:cs="宋体"/>
          <w:color w:val="000000"/>
          <w:sz w:val="24"/>
          <w:szCs w:val="24"/>
        </w:rPr>
      </w:pPr>
      <w:r>
        <w:rPr>
          <w:rFonts w:hint="eastAsia" w:ascii="宋体" w:hAnsi="宋体" w:eastAsia="宋体" w:cs="宋体"/>
          <w:color w:val="000000"/>
          <w:sz w:val="24"/>
          <w:szCs w:val="24"/>
        </w:rPr>
        <w:t>5.7 乙方收款账户：</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sz w:val="24"/>
          <w:szCs w:val="24"/>
        </w:rPr>
        <w:t>；</w:t>
      </w:r>
    </w:p>
    <w:p>
      <w:pPr>
        <w:spacing w:line="500" w:lineRule="exact"/>
        <w:ind w:firstLine="1080" w:firstLineChars="450"/>
        <w:rPr>
          <w:rFonts w:ascii="宋体" w:hAnsi="宋体" w:eastAsia="宋体" w:cs="宋体"/>
          <w:color w:val="000000"/>
          <w:sz w:val="24"/>
          <w:szCs w:val="24"/>
        </w:rPr>
      </w:pPr>
      <w:r>
        <w:rPr>
          <w:rFonts w:hint="eastAsia" w:ascii="宋体" w:hAnsi="宋体" w:eastAsia="宋体" w:cs="宋体"/>
          <w:color w:val="000000"/>
          <w:sz w:val="24"/>
          <w:szCs w:val="24"/>
        </w:rPr>
        <w:t>收款账号：</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sz w:val="24"/>
          <w:szCs w:val="24"/>
        </w:rPr>
        <w:t>；</w:t>
      </w:r>
    </w:p>
    <w:p>
      <w:pPr>
        <w:spacing w:line="500" w:lineRule="exact"/>
        <w:ind w:firstLine="1080" w:firstLineChars="450"/>
        <w:rPr>
          <w:rFonts w:ascii="宋体" w:hAnsi="宋体" w:eastAsia="宋体" w:cs="宋体"/>
          <w:color w:val="000000"/>
          <w:sz w:val="24"/>
          <w:szCs w:val="24"/>
        </w:rPr>
      </w:pPr>
      <w:r>
        <w:rPr>
          <w:rFonts w:hint="eastAsia" w:ascii="宋体" w:hAnsi="宋体" w:eastAsia="宋体" w:cs="宋体"/>
          <w:color w:val="000000"/>
          <w:sz w:val="24"/>
          <w:szCs w:val="24"/>
        </w:rPr>
        <w:t>开户行：</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sz w:val="24"/>
          <w:szCs w:val="24"/>
        </w:rPr>
        <w:t>；</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乙方在收款前需提交相应金额</w:t>
      </w:r>
      <w:r>
        <w:rPr>
          <w:rFonts w:hint="eastAsia" w:ascii="宋体" w:hAnsi="宋体" w:eastAsia="宋体" w:cs="宋体"/>
          <w:color w:val="000000"/>
          <w:sz w:val="24"/>
          <w:szCs w:val="24"/>
          <w:u w:val="single"/>
        </w:rPr>
        <w:t>增值税专用发票</w:t>
      </w:r>
      <w:r>
        <w:rPr>
          <w:rFonts w:hint="eastAsia" w:ascii="宋体" w:hAnsi="宋体" w:eastAsia="宋体" w:cs="宋体"/>
          <w:color w:val="000000"/>
          <w:sz w:val="24"/>
          <w:szCs w:val="24"/>
        </w:rPr>
        <w:t>给甲方。（具体按甲方财务要求提供）</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发票信息：</w:t>
      </w:r>
    </w:p>
    <w:p>
      <w:pPr>
        <w:spacing w:line="500" w:lineRule="exact"/>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u w:val="single"/>
        </w:rPr>
        <w:t>名称：广州市净水有限公司</w:t>
      </w:r>
    </w:p>
    <w:p>
      <w:pPr>
        <w:spacing w:line="500" w:lineRule="exact"/>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u w:val="single"/>
        </w:rPr>
        <w:t>开户行：民生银行广州分行</w:t>
      </w:r>
    </w:p>
    <w:p>
      <w:pPr>
        <w:spacing w:line="500" w:lineRule="exact"/>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u w:val="single"/>
        </w:rPr>
        <w:t>账号：0301 0141 4000 6932</w:t>
      </w:r>
    </w:p>
    <w:p>
      <w:pPr>
        <w:spacing w:line="500" w:lineRule="exact"/>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u w:val="single"/>
        </w:rPr>
        <w:t>税号：91440101755584729Q</w:t>
      </w:r>
    </w:p>
    <w:p>
      <w:pPr>
        <w:spacing w:line="500" w:lineRule="exact"/>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u w:val="single"/>
        </w:rPr>
        <w:t>联系电话：020-38890283</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地址：广州市天河区临江大道501号 </w:t>
      </w:r>
    </w:p>
    <w:p>
      <w:pPr>
        <w:tabs>
          <w:tab w:val="left" w:pos="851"/>
        </w:tabs>
        <w:adjustRightInd w:val="0"/>
        <w:snapToGrid w:val="0"/>
        <w:spacing w:line="500" w:lineRule="exact"/>
        <w:ind w:firstLine="480" w:firstLineChars="200"/>
        <w:jc w:val="left"/>
        <w:outlineLvl w:val="1"/>
        <w:rPr>
          <w:rFonts w:ascii="宋体" w:hAnsi="宋体" w:eastAsia="宋体" w:cs="宋体"/>
          <w:bCs/>
          <w:color w:val="000000"/>
          <w:sz w:val="24"/>
          <w:szCs w:val="24"/>
          <w:bdr w:val="single" w:color="auto" w:sz="4" w:space="0"/>
        </w:rPr>
      </w:pPr>
      <w:r>
        <w:rPr>
          <w:rFonts w:hint="eastAsia" w:ascii="宋体" w:hAnsi="宋体" w:eastAsia="宋体" w:cs="宋体"/>
          <w:color w:val="000000"/>
          <w:sz w:val="24"/>
          <w:szCs w:val="24"/>
        </w:rPr>
        <w:t xml:space="preserve">5.8付款方式： </w:t>
      </w:r>
      <w:r>
        <w:rPr>
          <w:rFonts w:hint="eastAsia" w:ascii="宋体" w:hAnsi="宋体" w:eastAsia="宋体" w:cs="宋体"/>
          <w:color w:val="000000"/>
          <w:sz w:val="24"/>
          <w:szCs w:val="24"/>
        </w:rPr>
        <w:sym w:font="Wingdings" w:char="00FE"/>
      </w:r>
      <w:r>
        <w:rPr>
          <w:rFonts w:hint="eastAsia" w:ascii="宋体" w:hAnsi="宋体" w:eastAsia="宋体" w:cs="宋体"/>
          <w:color w:val="000000"/>
          <w:sz w:val="24"/>
          <w:szCs w:val="24"/>
        </w:rPr>
        <w:t xml:space="preserve">网银支付；  </w:t>
      </w:r>
      <w:r>
        <w:rPr>
          <w:rFonts w:hint="eastAsia" w:ascii="宋体" w:hAnsi="宋体" w:eastAsia="宋体" w:cs="宋体"/>
          <w:color w:val="000000"/>
          <w:sz w:val="24"/>
          <w:szCs w:val="24"/>
        </w:rPr>
        <w:sym w:font="Wingdings" w:char="F0A8"/>
      </w:r>
      <w:r>
        <w:rPr>
          <w:rFonts w:hint="eastAsia" w:ascii="宋体" w:hAnsi="宋体" w:eastAsia="宋体" w:cs="宋体"/>
          <w:color w:val="000000"/>
          <w:sz w:val="24"/>
          <w:szCs w:val="24"/>
        </w:rPr>
        <w:t xml:space="preserve">支票；   </w:t>
      </w:r>
      <w:r>
        <w:rPr>
          <w:rFonts w:hint="eastAsia" w:ascii="宋体" w:hAnsi="宋体" w:eastAsia="宋体" w:cs="宋体"/>
          <w:color w:val="000000"/>
          <w:sz w:val="24"/>
          <w:szCs w:val="24"/>
        </w:rPr>
        <w:sym w:font="Wingdings" w:char="F0A8"/>
      </w:r>
      <w:r>
        <w:rPr>
          <w:rFonts w:hint="eastAsia" w:ascii="宋体" w:hAnsi="宋体" w:eastAsia="宋体" w:cs="宋体"/>
          <w:color w:val="000000"/>
          <w:sz w:val="24"/>
          <w:szCs w:val="24"/>
        </w:rPr>
        <w:t>其他：</w:t>
      </w:r>
      <w:r>
        <w:rPr>
          <w:rFonts w:hint="eastAsia" w:ascii="宋体" w:hAnsi="宋体" w:eastAsia="宋体" w:cs="宋体"/>
          <w:color w:val="000000"/>
          <w:sz w:val="24"/>
          <w:szCs w:val="24"/>
          <w:u w:val="single"/>
        </w:rPr>
        <w:t xml:space="preserve">…   </w:t>
      </w:r>
    </w:p>
    <w:p>
      <w:pPr>
        <w:spacing w:line="500" w:lineRule="exact"/>
        <w:ind w:firstLine="720" w:firstLineChars="300"/>
        <w:outlineLvl w:val="1"/>
        <w:rPr>
          <w:rFonts w:ascii="宋体" w:hAnsi="宋体" w:eastAsia="宋体" w:cs="宋体"/>
          <w:color w:val="000000"/>
          <w:sz w:val="24"/>
          <w:szCs w:val="24"/>
        </w:rPr>
      </w:pPr>
      <w:r>
        <w:rPr>
          <w:rFonts w:hint="eastAsia" w:ascii="宋体" w:hAnsi="宋体" w:eastAsia="宋体" w:cs="宋体"/>
          <w:color w:val="000000"/>
          <w:sz w:val="24"/>
          <w:szCs w:val="24"/>
        </w:rPr>
        <w:t>（建议采用网银支付、支票两种形式中之一）。</w:t>
      </w:r>
    </w:p>
    <w:p>
      <w:pPr>
        <w:spacing w:line="500" w:lineRule="exact"/>
        <w:ind w:firstLine="468" w:firstLineChars="200"/>
        <w:rPr>
          <w:rFonts w:ascii="宋体" w:hAnsi="宋体" w:eastAsia="宋体" w:cs="宋体"/>
          <w:color w:val="000000"/>
          <w:sz w:val="24"/>
          <w:szCs w:val="24"/>
        </w:rPr>
      </w:pPr>
      <w:r>
        <w:rPr>
          <w:rFonts w:hint="eastAsia" w:ascii="宋体" w:hAnsi="宋体" w:eastAsia="宋体" w:cs="宋体"/>
          <w:color w:val="000000"/>
          <w:spacing w:val="-3"/>
          <w:sz w:val="24"/>
          <w:szCs w:val="24"/>
        </w:rPr>
        <w:t>5.9如出现合同费用超付，乙方应在获知超付之日起7个工作日内返还超付款项（无息）。</w:t>
      </w:r>
      <w:r>
        <w:rPr>
          <w:rFonts w:hint="eastAsia" w:ascii="宋体" w:hAnsi="宋体" w:eastAsia="宋体" w:cs="宋体"/>
          <w:color w:val="000000"/>
          <w:sz w:val="24"/>
          <w:szCs w:val="24"/>
        </w:rPr>
        <w:t>每逾期一周乙方承担超付款项的</w:t>
      </w:r>
      <w:r>
        <w:rPr>
          <w:rFonts w:hint="eastAsia" w:ascii="宋体" w:hAnsi="宋体" w:eastAsia="宋体" w:cs="宋体"/>
          <w:color w:val="000000"/>
          <w:sz w:val="24"/>
          <w:szCs w:val="24"/>
          <w:u w:val="single"/>
        </w:rPr>
        <w:t>1%</w:t>
      </w:r>
      <w:r>
        <w:rPr>
          <w:rFonts w:hint="eastAsia" w:ascii="宋体" w:hAnsi="宋体" w:eastAsia="宋体" w:cs="宋体"/>
          <w:color w:val="000000"/>
          <w:sz w:val="24"/>
          <w:szCs w:val="24"/>
        </w:rPr>
        <w:t>的逾期违约金，且支付超付款项相应存款利息。</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5.10结算审定价超过合同暂定总价时，暂停合同的工程款支付程序，签订补充协议后支付。</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u w:val="single"/>
        </w:rPr>
      </w:pPr>
      <w:r>
        <w:rPr>
          <w:rFonts w:hint="eastAsia" w:ascii="宋体" w:hAnsi="宋体" w:eastAsia="宋体" w:cs="宋体"/>
          <w:color w:val="000000"/>
          <w:sz w:val="24"/>
          <w:szCs w:val="24"/>
        </w:rPr>
        <w:t>5.11本项目工程款的支付单位为：</w:t>
      </w:r>
      <w:r>
        <w:rPr>
          <w:rFonts w:hint="eastAsia" w:ascii="宋体" w:hAnsi="宋体" w:eastAsia="宋体" w:cs="宋体"/>
          <w:color w:val="000000"/>
          <w:sz w:val="24"/>
          <w:szCs w:val="24"/>
          <w:u w:val="single"/>
        </w:rPr>
        <w:t xml:space="preserve">  广州市净水有限公司猎德分公司   。</w:t>
      </w:r>
    </w:p>
    <w:p>
      <w:pPr>
        <w:tabs>
          <w:tab w:val="left" w:pos="851"/>
        </w:tabs>
        <w:adjustRightInd w:val="0"/>
        <w:snapToGrid w:val="0"/>
        <w:spacing w:line="500" w:lineRule="exact"/>
        <w:ind w:firstLine="482" w:firstLineChars="200"/>
        <w:jc w:val="left"/>
        <w:rPr>
          <w:rFonts w:ascii="宋体" w:hAnsi="宋体" w:eastAsia="宋体" w:cs="宋体"/>
          <w:b/>
          <w:color w:val="000000"/>
          <w:sz w:val="24"/>
          <w:szCs w:val="24"/>
        </w:rPr>
      </w:pPr>
      <w:r>
        <w:rPr>
          <w:rFonts w:hint="eastAsia" w:ascii="宋体" w:hAnsi="宋体" w:eastAsia="宋体" w:cs="宋体"/>
          <w:b/>
          <w:color w:val="000000"/>
          <w:sz w:val="24"/>
          <w:szCs w:val="24"/>
        </w:rPr>
        <w:t>第六条  履约担保</w:t>
      </w:r>
    </w:p>
    <w:p>
      <w:pPr>
        <w:spacing w:line="500" w:lineRule="exact"/>
        <w:ind w:firstLine="480" w:firstLineChars="200"/>
        <w:outlineLvl w:val="0"/>
        <w:rPr>
          <w:rFonts w:ascii="宋体" w:hAnsi="宋体" w:eastAsia="宋体" w:cs="宋体"/>
          <w:color w:val="000000"/>
          <w:sz w:val="24"/>
          <w:szCs w:val="24"/>
          <w:u w:val="single"/>
        </w:rPr>
      </w:pPr>
      <w:r>
        <w:rPr>
          <w:rFonts w:hint="eastAsia" w:ascii="宋体" w:hAnsi="宋体" w:eastAsia="宋体" w:cs="宋体"/>
          <w:color w:val="000000"/>
          <w:sz w:val="24"/>
          <w:szCs w:val="24"/>
        </w:rPr>
        <w:t>履约担保：</w:t>
      </w:r>
      <w:r>
        <w:rPr>
          <w:rFonts w:hint="eastAsia" w:ascii="宋体" w:hAnsi="宋体" w:eastAsia="宋体" w:cs="宋体"/>
          <w:color w:val="000000"/>
          <w:sz w:val="24"/>
          <w:szCs w:val="24"/>
        </w:rPr>
        <w:sym w:font="Times New Roman" w:char="0000"/>
      </w:r>
      <w:r>
        <w:rPr>
          <w:rFonts w:hint="eastAsia" w:ascii="宋体" w:hAnsi="宋体" w:eastAsia="宋体" w:cs="宋体"/>
          <w:color w:val="000000"/>
          <w:sz w:val="24"/>
          <w:szCs w:val="24"/>
        </w:rPr>
        <w:sym w:font="Times New Roman" w:char="0000"/>
      </w:r>
      <w:r>
        <w:rPr>
          <w:rFonts w:hint="eastAsia" w:ascii="宋体" w:hAnsi="宋体" w:eastAsia="宋体" w:cs="宋体"/>
          <w:color w:val="000000"/>
          <w:sz w:val="24"/>
          <w:szCs w:val="24"/>
        </w:rPr>
        <w:sym w:font="Wingdings" w:char="00FE"/>
      </w:r>
      <w:r>
        <w:rPr>
          <w:rFonts w:hint="eastAsia" w:ascii="宋体" w:hAnsi="宋体" w:eastAsia="宋体" w:cs="宋体"/>
          <w:bCs/>
          <w:color w:val="000000"/>
          <w:sz w:val="24"/>
          <w:szCs w:val="24"/>
        </w:rPr>
        <w:t xml:space="preserve">无；    </w:t>
      </w:r>
      <w:r>
        <w:rPr>
          <w:rFonts w:hint="eastAsia" w:ascii="宋体" w:hAnsi="宋体" w:eastAsia="宋体" w:cs="宋体"/>
          <w:bCs/>
          <w:color w:val="000000"/>
          <w:sz w:val="24"/>
          <w:szCs w:val="24"/>
        </w:rPr>
        <w:sym w:font="Times New Roman" w:char="0000"/>
      </w:r>
      <w:r>
        <w:rPr>
          <w:rFonts w:hint="eastAsia" w:ascii="宋体" w:hAnsi="宋体" w:eastAsia="宋体" w:cs="宋体"/>
          <w:bCs/>
          <w:color w:val="000000"/>
          <w:sz w:val="24"/>
          <w:szCs w:val="24"/>
        </w:rPr>
        <w:sym w:font="Times New Roman" w:char="0000"/>
      </w:r>
      <w:r>
        <w:rPr>
          <w:rFonts w:hint="eastAsia" w:ascii="宋体" w:hAnsi="宋体" w:eastAsia="宋体" w:cs="宋体"/>
          <w:bCs/>
          <w:color w:val="000000"/>
          <w:sz w:val="24"/>
          <w:szCs w:val="24"/>
        </w:rPr>
        <w:sym w:font="Wingdings" w:char="F0A8"/>
      </w:r>
      <w:r>
        <w:rPr>
          <w:rFonts w:hint="eastAsia" w:ascii="宋体" w:hAnsi="宋体" w:eastAsia="宋体" w:cs="宋体"/>
          <w:bCs/>
          <w:color w:val="000000"/>
          <w:sz w:val="24"/>
          <w:szCs w:val="24"/>
        </w:rPr>
        <w:t>有，乙方于</w:t>
      </w:r>
      <w:r>
        <w:rPr>
          <w:rFonts w:hint="eastAsia" w:ascii="宋体" w:hAnsi="宋体" w:eastAsia="宋体" w:cs="宋体"/>
          <w:color w:val="000000"/>
          <w:sz w:val="24"/>
          <w:szCs w:val="24"/>
        </w:rPr>
        <w:t>本合同签订后</w:t>
      </w:r>
      <w:r>
        <w:rPr>
          <w:rFonts w:hint="eastAsia" w:ascii="宋体" w:hAnsi="宋体" w:eastAsia="宋体" w:cs="宋体"/>
          <w:color w:val="000000"/>
          <w:sz w:val="24"/>
          <w:szCs w:val="24"/>
          <w:u w:val="single"/>
        </w:rPr>
        <w:t>10</w:t>
      </w:r>
      <w:r>
        <w:rPr>
          <w:rFonts w:hint="eastAsia" w:ascii="宋体" w:hAnsi="宋体" w:eastAsia="宋体" w:cs="宋体"/>
          <w:color w:val="000000"/>
          <w:sz w:val="24"/>
          <w:szCs w:val="24"/>
        </w:rPr>
        <w:t>日内</w:t>
      </w:r>
      <w:r>
        <w:rPr>
          <w:rFonts w:hint="eastAsia" w:ascii="宋体" w:hAnsi="宋体" w:eastAsia="宋体" w:cs="宋体"/>
          <w:color w:val="000000"/>
          <w:sz w:val="24"/>
          <w:szCs w:val="24"/>
          <w:u w:val="single"/>
        </w:rPr>
        <w:t>按照合同暂定价的10%提交履约保证金，</w:t>
      </w:r>
      <w:r>
        <w:rPr>
          <w:rFonts w:hint="eastAsia" w:ascii="宋体" w:hAnsi="宋体" w:eastAsia="宋体" w:cs="宋体"/>
          <w:color w:val="000000"/>
          <w:sz w:val="24"/>
          <w:szCs w:val="24"/>
        </w:rPr>
        <w:t xml:space="preserve">金额为： </w:t>
      </w:r>
      <w:r>
        <w:rPr>
          <w:rFonts w:hint="eastAsia" w:ascii="宋体" w:hAnsi="宋体" w:eastAsia="宋体" w:cs="宋体"/>
          <w:color w:val="000000"/>
          <w:sz w:val="24"/>
          <w:szCs w:val="24"/>
          <w:u w:val="single"/>
        </w:rPr>
        <w:t>/（大写人民币：      /    ）</w:t>
      </w:r>
      <w:r>
        <w:rPr>
          <w:rFonts w:hint="eastAsia" w:ascii="宋体" w:hAnsi="宋体" w:eastAsia="宋体" w:cs="宋体"/>
          <w:color w:val="000000"/>
          <w:sz w:val="24"/>
          <w:szCs w:val="24"/>
        </w:rPr>
        <w:t>未按时提供履约担保的，甲方有权解除合同并要求乙方支付</w:t>
      </w:r>
      <w:r>
        <w:rPr>
          <w:rFonts w:hint="eastAsia" w:ascii="宋体" w:hAnsi="宋体" w:eastAsia="宋体" w:cs="宋体"/>
          <w:color w:val="000000"/>
          <w:sz w:val="24"/>
          <w:szCs w:val="24"/>
          <w:u w:val="single"/>
        </w:rPr>
        <w:t>合同暂定总价20%</w:t>
      </w:r>
      <w:r>
        <w:rPr>
          <w:rFonts w:hint="eastAsia" w:ascii="宋体" w:hAnsi="宋体" w:eastAsia="宋体" w:cs="宋体"/>
          <w:color w:val="000000"/>
          <w:sz w:val="24"/>
          <w:szCs w:val="24"/>
        </w:rPr>
        <w:t>作为违约金。</w:t>
      </w:r>
    </w:p>
    <w:p>
      <w:pPr>
        <w:spacing w:line="50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6.1履约担保按以下任一种形式提供：</w:t>
      </w:r>
    </w:p>
    <w:p>
      <w:pPr>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（1）符合甲方要求（详见附件8保函格式）的银行独立保函，</w:t>
      </w:r>
    </w:p>
    <w:p>
      <w:pPr>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（2）现金转账至甲方以下指定账户：</w:t>
      </w:r>
    </w:p>
    <w:p>
      <w:pPr>
        <w:tabs>
          <w:tab w:val="left" w:pos="1995"/>
        </w:tabs>
        <w:spacing w:line="50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户名：广州市净水有限公司</w:t>
      </w:r>
    </w:p>
    <w:p>
      <w:pPr>
        <w:tabs>
          <w:tab w:val="left" w:pos="1995"/>
        </w:tabs>
        <w:spacing w:line="50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账号：82010154900000342</w:t>
      </w:r>
    </w:p>
    <w:p>
      <w:pPr>
        <w:tabs>
          <w:tab w:val="left" w:pos="1995"/>
        </w:tabs>
        <w:spacing w:line="50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开户行：浦发银行广州分行</w:t>
      </w:r>
    </w:p>
    <w:p>
      <w:pPr>
        <w:spacing w:line="500" w:lineRule="exact"/>
        <w:ind w:firstLine="480" w:firstLineChars="200"/>
        <w:outlineLvl w:val="0"/>
        <w:rPr>
          <w:rFonts w:ascii="宋体" w:hAnsi="宋体" w:eastAsia="宋体" w:cs="宋体"/>
          <w:color w:val="000000"/>
          <w:sz w:val="24"/>
          <w:szCs w:val="24"/>
        </w:rPr>
      </w:pPr>
      <w:r>
        <w:rPr>
          <w:rFonts w:hint="eastAsia" w:ascii="宋体" w:hAnsi="宋体" w:eastAsia="宋体" w:cs="宋体"/>
          <w:color w:val="000000"/>
          <w:sz w:val="24"/>
          <w:szCs w:val="24"/>
        </w:rPr>
        <w:t>6.2履约担保的担保期限和返还</w:t>
      </w:r>
    </w:p>
    <w:p>
      <w:pPr>
        <w:spacing w:line="500" w:lineRule="exact"/>
        <w:ind w:firstLine="480"/>
        <w:outlineLvl w:val="0"/>
        <w:rPr>
          <w:rFonts w:ascii="宋体" w:hAnsi="宋体" w:eastAsia="宋体" w:cs="宋体"/>
          <w:color w:val="000000"/>
          <w:sz w:val="24"/>
          <w:szCs w:val="24"/>
        </w:rPr>
      </w:pPr>
      <w:r>
        <w:rPr>
          <w:rFonts w:hint="eastAsia" w:ascii="宋体" w:hAnsi="宋体" w:eastAsia="宋体" w:cs="宋体"/>
          <w:color w:val="000000"/>
          <w:sz w:val="24"/>
          <w:szCs w:val="24"/>
        </w:rPr>
        <w:t>⑴履约银行保函（或现金履约保证金）的担保期限：从提供履约担保（或转账成功）之日起至合同履行完成。</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⑵履约银行保函在合同履行完成后，由乙方提出申请，甲方在28日内返还，不支付利息：</w:t>
      </w:r>
    </w:p>
    <w:p>
      <w:pPr>
        <w:spacing w:line="500" w:lineRule="exact"/>
        <w:ind w:firstLine="480" w:firstLineChars="200"/>
        <w:outlineLvl w:val="0"/>
        <w:rPr>
          <w:rFonts w:ascii="宋体" w:hAnsi="宋体" w:eastAsia="宋体" w:cs="宋体"/>
          <w:color w:val="000000"/>
          <w:sz w:val="24"/>
          <w:szCs w:val="24"/>
        </w:rPr>
      </w:pPr>
      <w:r>
        <w:rPr>
          <w:rFonts w:hint="eastAsia" w:ascii="宋体" w:hAnsi="宋体" w:eastAsia="宋体" w:cs="宋体"/>
          <w:color w:val="000000"/>
          <w:sz w:val="24"/>
          <w:szCs w:val="24"/>
        </w:rPr>
        <w:t>⑶延长担保期限。乙方以履约银行保函形式提交履约保证金的，在银行保函到期前，乙方应提前</w:t>
      </w:r>
      <w:r>
        <w:rPr>
          <w:rFonts w:hint="eastAsia" w:ascii="宋体" w:hAnsi="宋体" w:eastAsia="宋体" w:cs="宋体"/>
          <w:color w:val="000000"/>
          <w:sz w:val="24"/>
          <w:szCs w:val="24"/>
          <w:u w:val="single"/>
        </w:rPr>
        <w:t xml:space="preserve"> 7 </w:t>
      </w:r>
      <w:r>
        <w:rPr>
          <w:rFonts w:hint="eastAsia" w:ascii="宋体" w:hAnsi="宋体" w:eastAsia="宋体" w:cs="宋体"/>
          <w:color w:val="000000"/>
          <w:sz w:val="24"/>
          <w:szCs w:val="24"/>
        </w:rPr>
        <w:t>日向甲方提交新的保函以替换即将到期的保函。如乙方未及时提交的，甲方有权直接要求担保银行支付其担保的全部金额并解除合同。</w:t>
      </w:r>
    </w:p>
    <w:p>
      <w:pPr>
        <w:spacing w:line="500" w:lineRule="exact"/>
        <w:ind w:firstLine="480" w:firstLineChars="200"/>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⑷现金履约保证金的退还：合同履行完成后，由乙方提出申请，甲方在</w:t>
      </w:r>
      <w:r>
        <w:rPr>
          <w:rFonts w:hint="eastAsia" w:ascii="宋体" w:hAnsi="宋体" w:eastAsia="宋体" w:cs="宋体"/>
          <w:color w:val="000000"/>
          <w:kern w:val="0"/>
          <w:sz w:val="24"/>
          <w:szCs w:val="24"/>
          <w:u w:val="single"/>
        </w:rPr>
        <w:t>28日</w:t>
      </w:r>
      <w:r>
        <w:rPr>
          <w:rFonts w:hint="eastAsia" w:ascii="宋体" w:hAnsi="宋体" w:eastAsia="宋体" w:cs="宋体"/>
          <w:color w:val="000000"/>
          <w:kern w:val="0"/>
          <w:sz w:val="24"/>
          <w:szCs w:val="24"/>
        </w:rPr>
        <w:t>内将剩余保证金（无息）返还。</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6.3甲方按本合同规定提取履约担保金额后，乙方应在收到甲方通知后</w:t>
      </w:r>
      <w:r>
        <w:rPr>
          <w:rFonts w:hint="eastAsia" w:ascii="宋体" w:hAnsi="宋体" w:eastAsia="宋体" w:cs="宋体"/>
          <w:color w:val="000000"/>
          <w:sz w:val="24"/>
          <w:szCs w:val="24"/>
          <w:u w:val="single"/>
        </w:rPr>
        <w:t xml:space="preserve"> 7 </w:t>
      </w:r>
      <w:r>
        <w:rPr>
          <w:rFonts w:hint="eastAsia" w:ascii="宋体" w:hAnsi="宋体" w:eastAsia="宋体" w:cs="宋体"/>
          <w:color w:val="000000"/>
          <w:sz w:val="24"/>
          <w:szCs w:val="24"/>
        </w:rPr>
        <w:t>日内补足数额，逾期未补足的，则甲方有权提取履约担保的全部余额并解除合同。</w:t>
      </w:r>
    </w:p>
    <w:p>
      <w:pPr>
        <w:spacing w:line="500" w:lineRule="exact"/>
        <w:ind w:firstLine="482" w:firstLineChars="200"/>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第七条  图纸</w:t>
      </w:r>
    </w:p>
    <w:p>
      <w:pPr>
        <w:tabs>
          <w:tab w:val="left" w:pos="1276"/>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7.1甲方于开工前向乙方提供技术要求或施工图纸及相关资料。（不包括竣工图纸）</w:t>
      </w:r>
    </w:p>
    <w:p>
      <w:pPr>
        <w:tabs>
          <w:tab w:val="left" w:pos="0"/>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7.2乙方未经甲方书面同意，不得将本工程图纸</w:t>
      </w:r>
      <w:r>
        <w:rPr>
          <w:rStyle w:val="28"/>
          <w:rFonts w:hint="eastAsia" w:ascii="宋体" w:hAnsi="宋体" w:cs="宋体"/>
          <w:color w:val="000000"/>
          <w:sz w:val="24"/>
          <w:szCs w:val="24"/>
        </w:rPr>
        <w:t>出示、</w:t>
      </w:r>
      <w:r>
        <w:rPr>
          <w:rFonts w:hint="eastAsia" w:ascii="宋体" w:hAnsi="宋体" w:eastAsia="宋体" w:cs="宋体"/>
          <w:color w:val="000000"/>
          <w:sz w:val="24"/>
          <w:szCs w:val="24"/>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u w:val="single"/>
        </w:rPr>
        <w:t>10</w:t>
      </w:r>
      <w:r>
        <w:rPr>
          <w:rFonts w:hint="eastAsia" w:ascii="宋体" w:hAnsi="宋体" w:eastAsia="宋体" w:cs="宋体"/>
          <w:color w:val="000000"/>
          <w:sz w:val="24"/>
          <w:szCs w:val="24"/>
        </w:rPr>
        <w:t>日内将全部图纸退还给甲方。</w:t>
      </w:r>
    </w:p>
    <w:p>
      <w:pPr>
        <w:tabs>
          <w:tab w:val="left" w:pos="360"/>
        </w:tabs>
        <w:adjustRightInd w:val="0"/>
        <w:snapToGrid w:val="0"/>
        <w:spacing w:line="500" w:lineRule="exact"/>
        <w:ind w:firstLine="482" w:firstLineChars="2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第八条  甲方代表、乙方驻场代表</w:t>
      </w:r>
    </w:p>
    <w:p>
      <w:pPr>
        <w:tabs>
          <w:tab w:val="left" w:pos="1276"/>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甲方代表：</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w:t>
      </w:r>
    </w:p>
    <w:p>
      <w:pPr>
        <w:pStyle w:val="50"/>
        <w:tabs>
          <w:tab w:val="left" w:pos="1276"/>
        </w:tabs>
        <w:snapToGrid w:val="0"/>
        <w:spacing w:before="0" w:after="0" w:line="500" w:lineRule="exact"/>
        <w:ind w:left="0" w:right="0" w:firstLine="480" w:firstLineChars="200"/>
        <w:rPr>
          <w:rFonts w:ascii="宋体" w:hAnsi="宋体" w:cs="宋体"/>
          <w:color w:val="000000"/>
          <w:kern w:val="2"/>
          <w:szCs w:val="24"/>
        </w:rPr>
      </w:pPr>
      <w:r>
        <w:rPr>
          <w:rFonts w:hint="eastAsia" w:ascii="宋体" w:hAnsi="宋体" w:cs="宋体"/>
          <w:color w:val="000000"/>
          <w:kern w:val="2"/>
          <w:szCs w:val="24"/>
        </w:rPr>
        <w:t>乙方驻场代表（项目经理）：_______________ 。</w:t>
      </w:r>
    </w:p>
    <w:p>
      <w:pPr>
        <w:tabs>
          <w:tab w:val="left" w:pos="1276"/>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项目经理任职条件须符合《广东省住房和城乡建设厅关于加强我省小型工程项目施工管理及明确小型工程项目负责人任职条件的通知》（粤建市[2010]26号）中的相关规定(如有新文件从其新规定）。</w:t>
      </w:r>
    </w:p>
    <w:p>
      <w:pPr>
        <w:tabs>
          <w:tab w:val="left" w:pos="851"/>
        </w:tabs>
        <w:adjustRightInd w:val="0"/>
        <w:snapToGrid w:val="0"/>
        <w:spacing w:line="500" w:lineRule="exact"/>
        <w:ind w:firstLine="482" w:firstLineChars="200"/>
        <w:jc w:val="left"/>
        <w:rPr>
          <w:rFonts w:ascii="宋体" w:hAnsi="宋体" w:eastAsia="宋体" w:cs="宋体"/>
          <w:b/>
          <w:color w:val="000000"/>
          <w:sz w:val="24"/>
          <w:szCs w:val="24"/>
        </w:rPr>
      </w:pPr>
      <w:r>
        <w:rPr>
          <w:rFonts w:hint="eastAsia" w:ascii="宋体" w:hAnsi="宋体" w:eastAsia="宋体" w:cs="宋体"/>
          <w:b/>
          <w:color w:val="000000"/>
          <w:sz w:val="24"/>
          <w:szCs w:val="24"/>
        </w:rPr>
        <w:t>第九条  甲方责任</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9.1 开工前办理土地征用，青苗、树木赔偿，坟地迁移，房屋、构筑物拆迁（如有），地上及架空、地下障碍物清除，保证施工期间的用地需要。</w:t>
      </w:r>
    </w:p>
    <w:p>
      <w:pPr>
        <w:tabs>
          <w:tab w:val="left" w:pos="-180"/>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9.2 办理施工许可证和临时用地、停水、停电、中断道路交通、爆破作业等的申请批准手续（证明乙方自身资质的证件及应由乙方办理的手续除外）。</w:t>
      </w:r>
    </w:p>
    <w:p>
      <w:pPr>
        <w:tabs>
          <w:tab w:val="left" w:pos="0"/>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9.3 协调、处理施工现场周围建筑物、构筑物(含文物保护建筑)、古树名木和地下管线的保护，并承担有关费用。</w:t>
      </w:r>
    </w:p>
    <w:p>
      <w:pPr>
        <w:tabs>
          <w:tab w:val="left" w:pos="0"/>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日内予以确认。</w:t>
      </w:r>
    </w:p>
    <w:p>
      <w:pPr>
        <w:tabs>
          <w:tab w:val="left" w:pos="851"/>
        </w:tabs>
        <w:adjustRightInd w:val="0"/>
        <w:snapToGrid w:val="0"/>
        <w:spacing w:line="500" w:lineRule="exact"/>
        <w:ind w:firstLine="482" w:firstLineChars="200"/>
        <w:jc w:val="left"/>
        <w:rPr>
          <w:rFonts w:ascii="宋体" w:hAnsi="宋体" w:eastAsia="宋体" w:cs="宋体"/>
          <w:b/>
          <w:color w:val="000000"/>
          <w:sz w:val="24"/>
          <w:szCs w:val="24"/>
        </w:rPr>
      </w:pPr>
      <w:r>
        <w:rPr>
          <w:rFonts w:hint="eastAsia" w:ascii="宋体" w:hAnsi="宋体" w:eastAsia="宋体" w:cs="宋体"/>
          <w:b/>
          <w:color w:val="000000"/>
          <w:sz w:val="24"/>
          <w:szCs w:val="24"/>
        </w:rPr>
        <w:t>第十条  乙方责任</w:t>
      </w:r>
    </w:p>
    <w:p>
      <w:pPr>
        <w:spacing w:line="5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10.1施工用水用电采用以下</w:t>
      </w:r>
      <w:r>
        <w:rPr>
          <w:rFonts w:hint="eastAsia" w:ascii="宋体" w:hAnsi="宋体" w:eastAsia="宋体" w:cs="宋体"/>
          <w:color w:val="000000"/>
          <w:sz w:val="24"/>
          <w:szCs w:val="24"/>
          <w:u w:val="single"/>
        </w:rPr>
        <w:t xml:space="preserve"> （1） </w:t>
      </w:r>
      <w:r>
        <w:rPr>
          <w:rFonts w:hint="eastAsia" w:ascii="宋体" w:hAnsi="宋体" w:eastAsia="宋体" w:cs="宋体"/>
          <w:color w:val="000000"/>
          <w:sz w:val="24"/>
          <w:szCs w:val="24"/>
        </w:rPr>
        <w:t>方式执行。</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（1）由甲方提供施工用水用电接口，水电费按合同综合单价水电含量计算，从甲方支付的工程款中直接扣回。</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（2）由甲方提供施工用水用电接口，费用按</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月/项目）结算，由乙方向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支付。水电费用按所属供电局、自来水公司收费标准，按实计算。</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（3）由乙方自行负责。</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10.2 根据甲方要求提交施工计划、已完工进度统计报表和工程事故报告。</w:t>
      </w:r>
    </w:p>
    <w:p>
      <w:pPr>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10.3 遵守国家及本市有关部门对施工现场环境保护，做好施工噪声、废气、废水、安全、防火、保卫、并按照国家及广州市相关规定做好建筑垃圾的处理等各项工作。</w:t>
      </w:r>
    </w:p>
    <w:p>
      <w:pPr>
        <w:tabs>
          <w:tab w:val="left" w:pos="851"/>
        </w:tabs>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10.6 在图纸会审和设计交底后</w:t>
      </w:r>
      <w:r>
        <w:rPr>
          <w:rFonts w:hint="eastAsia" w:ascii="宋体" w:hAnsi="宋体" w:eastAsia="宋体" w:cs="宋体"/>
          <w:color w:val="000000"/>
          <w:sz w:val="24"/>
          <w:szCs w:val="24"/>
          <w:u w:val="single"/>
        </w:rPr>
        <w:t xml:space="preserve"> 7 </w:t>
      </w:r>
      <w:r>
        <w:rPr>
          <w:rFonts w:hint="eastAsia" w:ascii="宋体" w:hAnsi="宋体" w:eastAsia="宋体" w:cs="宋体"/>
          <w:color w:val="000000"/>
          <w:sz w:val="24"/>
          <w:szCs w:val="24"/>
        </w:rPr>
        <w:t>日内向甲方提交施工组织设计(或施工方案)和进度计划，经甲方批准后依照计划组织施工，接受甲方对进度的检查监督。</w:t>
      </w:r>
    </w:p>
    <w:p>
      <w:pPr>
        <w:pStyle w:val="50"/>
        <w:tabs>
          <w:tab w:val="left" w:pos="851"/>
        </w:tabs>
        <w:snapToGrid w:val="0"/>
        <w:spacing w:before="0" w:after="0" w:line="500" w:lineRule="exact"/>
        <w:ind w:left="0" w:right="0" w:firstLine="480" w:firstLineChars="200"/>
        <w:rPr>
          <w:rFonts w:ascii="宋体" w:hAnsi="宋体" w:cs="宋体"/>
          <w:color w:val="000000"/>
          <w:kern w:val="2"/>
          <w:szCs w:val="24"/>
        </w:rPr>
      </w:pPr>
      <w:r>
        <w:rPr>
          <w:rFonts w:hint="eastAsia" w:ascii="宋体" w:hAnsi="宋体" w:cs="宋体"/>
          <w:color w:val="000000"/>
          <w:kern w:val="2"/>
          <w:szCs w:val="24"/>
        </w:rPr>
        <w:t>10.7 乙方严格遵守建设工程余泥渣土运输与排放管理制度，选择合法的余泥渣土运输单位及排放点，确保余泥渣土合法处置。</w:t>
      </w:r>
    </w:p>
    <w:p>
      <w:pPr>
        <w:pStyle w:val="50"/>
        <w:tabs>
          <w:tab w:val="left" w:pos="851"/>
        </w:tabs>
        <w:snapToGrid w:val="0"/>
        <w:spacing w:before="0" w:after="0" w:line="500" w:lineRule="exact"/>
        <w:ind w:left="435" w:leftChars="150" w:right="0" w:hanging="120" w:hangingChars="50"/>
        <w:rPr>
          <w:rFonts w:ascii="宋体" w:hAnsi="宋体" w:cs="宋体"/>
          <w:color w:val="000000"/>
          <w:kern w:val="2"/>
          <w:szCs w:val="24"/>
        </w:rPr>
      </w:pPr>
      <w:r>
        <w:rPr>
          <w:rFonts w:hint="eastAsia" w:ascii="宋体" w:hAnsi="宋体" w:cs="宋体"/>
          <w:color w:val="000000"/>
          <w:kern w:val="2"/>
          <w:szCs w:val="24"/>
        </w:rPr>
        <w:t>10.8 乙方应按时参加甲方召开的施工调度会议，严格执行会议纪要的决定</w:t>
      </w:r>
    </w:p>
    <w:p>
      <w:pPr>
        <w:pStyle w:val="50"/>
        <w:tabs>
          <w:tab w:val="left" w:pos="851"/>
        </w:tabs>
        <w:snapToGrid w:val="0"/>
        <w:spacing w:before="0" w:after="0" w:line="500" w:lineRule="exact"/>
        <w:ind w:left="0" w:right="0"/>
        <w:rPr>
          <w:rFonts w:ascii="宋体" w:hAnsi="宋体" w:cs="宋体"/>
          <w:color w:val="000000"/>
          <w:kern w:val="2"/>
          <w:szCs w:val="24"/>
        </w:rPr>
      </w:pPr>
      <w:r>
        <w:rPr>
          <w:rFonts w:hint="eastAsia" w:ascii="宋体" w:hAnsi="宋体" w:cs="宋体"/>
          <w:color w:val="000000"/>
          <w:kern w:val="2"/>
          <w:szCs w:val="24"/>
        </w:rPr>
        <w:t>每缺席一次，甲方有权要求乙方支付</w:t>
      </w:r>
      <w:r>
        <w:rPr>
          <w:rFonts w:hint="eastAsia" w:ascii="宋体" w:hAnsi="宋体" w:cs="宋体"/>
          <w:color w:val="000000"/>
          <w:szCs w:val="24"/>
          <w:u w:val="single"/>
        </w:rPr>
        <w:t>1000</w:t>
      </w:r>
      <w:r>
        <w:rPr>
          <w:rFonts w:hint="eastAsia" w:ascii="宋体" w:hAnsi="宋体" w:cs="宋体"/>
          <w:color w:val="000000"/>
          <w:kern w:val="2"/>
          <w:szCs w:val="24"/>
          <w:u w:val="single"/>
        </w:rPr>
        <w:t xml:space="preserve"> 元</w:t>
      </w:r>
      <w:r>
        <w:rPr>
          <w:rFonts w:hint="eastAsia" w:ascii="宋体" w:hAnsi="宋体" w:cs="宋体"/>
          <w:color w:val="000000"/>
          <w:kern w:val="2"/>
          <w:szCs w:val="24"/>
        </w:rPr>
        <w:t>作为违约金。</w:t>
      </w:r>
    </w:p>
    <w:p>
      <w:pPr>
        <w:pStyle w:val="50"/>
        <w:tabs>
          <w:tab w:val="left" w:pos="851"/>
        </w:tabs>
        <w:snapToGrid w:val="0"/>
        <w:spacing w:before="0" w:after="0" w:line="500" w:lineRule="exact"/>
        <w:ind w:left="0" w:right="0" w:firstLine="480" w:firstLineChars="200"/>
        <w:rPr>
          <w:rFonts w:ascii="宋体" w:hAnsi="宋体" w:cs="宋体"/>
          <w:color w:val="000000"/>
          <w:kern w:val="2"/>
          <w:szCs w:val="24"/>
        </w:rPr>
      </w:pPr>
      <w:r>
        <w:rPr>
          <w:rFonts w:hint="eastAsia" w:ascii="宋体" w:hAnsi="宋体" w:cs="宋体"/>
          <w:color w:val="000000"/>
          <w:szCs w:val="24"/>
        </w:rPr>
        <w:t>10.9 乙方应在施工现场保留施工相关资料（如施工图、技术需求书等）、安全审批过程材料，供甲方进行工程检查时使用。</w:t>
      </w:r>
    </w:p>
    <w:p>
      <w:pPr>
        <w:pStyle w:val="50"/>
        <w:tabs>
          <w:tab w:val="left" w:pos="851"/>
        </w:tabs>
        <w:snapToGrid w:val="0"/>
        <w:spacing w:before="0" w:after="0" w:line="500" w:lineRule="exact"/>
        <w:ind w:left="0" w:right="0" w:firstLine="480" w:firstLineChars="200"/>
        <w:rPr>
          <w:rFonts w:ascii="宋体" w:hAnsi="宋体" w:cs="宋体"/>
          <w:color w:val="000000"/>
          <w:szCs w:val="24"/>
        </w:rPr>
      </w:pPr>
      <w:r>
        <w:rPr>
          <w:rFonts w:hint="eastAsia" w:ascii="宋体" w:hAnsi="宋体" w:cs="宋体"/>
          <w:color w:val="000000"/>
          <w:szCs w:val="24"/>
        </w:rPr>
        <w:t>10.10 乙方应严格按《广州市建设工程文明施工管理规定》、</w:t>
      </w:r>
      <w:r>
        <w:rPr>
          <w:rFonts w:hint="eastAsia" w:hAnsi="宋体"/>
          <w:color w:val="000000"/>
        </w:rPr>
        <w:t>《广州市建设工程扬尘防治“6个100%”管理标准图集（V2.0版）》</w:t>
      </w:r>
      <w:r>
        <w:rPr>
          <w:rFonts w:hint="eastAsia" w:ascii="宋体" w:hAnsi="宋体" w:cs="宋体"/>
          <w:color w:val="000000"/>
          <w:szCs w:val="24"/>
        </w:rPr>
        <w:t>要求实施。（如有出台新文件，按新文件执行）</w:t>
      </w:r>
    </w:p>
    <w:p>
      <w:pPr>
        <w:pStyle w:val="50"/>
        <w:tabs>
          <w:tab w:val="left" w:pos="851"/>
        </w:tabs>
        <w:snapToGrid w:val="0"/>
        <w:spacing w:before="0" w:after="0" w:line="500" w:lineRule="exact"/>
        <w:ind w:left="0" w:right="0" w:firstLine="480" w:firstLineChars="200"/>
        <w:rPr>
          <w:rFonts w:ascii="宋体" w:hAnsi="宋体" w:cs="宋体"/>
          <w:color w:val="000000"/>
          <w:szCs w:val="24"/>
        </w:rPr>
      </w:pPr>
      <w:r>
        <w:rPr>
          <w:rFonts w:hint="eastAsia" w:ascii="宋体" w:hAnsi="宋体" w:cs="宋体"/>
          <w:color w:val="000000"/>
          <w:szCs w:val="24"/>
        </w:rPr>
        <w:t>10.11 乙方应做好施工现场100%围蔽、工地砂土100%覆盖、工地路面100%硬地化、拆除工程100%洒水压尘、出工地车辆100%冲净车轮车身、暂不开发的场地100%绿化等工作。</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10.12 如厂区内施工，施工人员必须严格遵守</w:t>
      </w:r>
      <w:r>
        <w:rPr>
          <w:rFonts w:hint="eastAsia" w:ascii="宋体" w:hAnsi="宋体" w:eastAsia="宋体" w:cs="宋体"/>
          <w:color w:val="000000"/>
          <w:kern w:val="10"/>
          <w:sz w:val="24"/>
          <w:szCs w:val="24"/>
        </w:rPr>
        <w:t>污水处理厂</w:t>
      </w:r>
      <w:r>
        <w:rPr>
          <w:rFonts w:hint="eastAsia" w:ascii="宋体" w:hAnsi="宋体" w:eastAsia="宋体" w:cs="宋体"/>
          <w:color w:val="000000"/>
          <w:sz w:val="24"/>
          <w:szCs w:val="24"/>
        </w:rPr>
        <w:t>一切规章制度。进入施工现场人员必须佩戴出入证，并自觉接受门岗检查。</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10.13 乙方做好施工人员的安全防护措施，施工人员安全责任由乙方承担。</w:t>
      </w:r>
    </w:p>
    <w:p>
      <w:pPr>
        <w:adjustRightInd w:val="0"/>
        <w:snapToGrid w:val="0"/>
        <w:spacing w:line="500" w:lineRule="exact"/>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10.14 乙方特种作业人员必须持证上岗。</w:t>
      </w:r>
    </w:p>
    <w:p>
      <w:pPr>
        <w:adjustRightInd w:val="0"/>
        <w:snapToGrid w:val="0"/>
        <w:spacing w:line="500" w:lineRule="exact"/>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10.15 乙方应注意安全施工，在施工过程中出现的伤亡事故及工作过程以外出现的一切事故由乙方承担责任，并负责处理善后工作，负责伤亡者一切费用。  </w:t>
      </w:r>
    </w:p>
    <w:p>
      <w:pPr>
        <w:adjustRightInd w:val="0"/>
        <w:snapToGrid w:val="0"/>
        <w:spacing w:line="500" w:lineRule="exact"/>
        <w:ind w:firstLine="480" w:firstLineChars="200"/>
        <w:textAlignment w:val="baseline"/>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10.16施工过程中，乙方应负责配备现场的应急物资。</w:t>
      </w:r>
    </w:p>
    <w:p>
      <w:pPr>
        <w:pStyle w:val="2"/>
        <w:adjustRightInd w:val="0"/>
        <w:snapToGrid w:val="0"/>
        <w:spacing w:line="500" w:lineRule="exact"/>
        <w:ind w:firstLine="480" w:firstLineChars="200"/>
        <w:textAlignment w:val="baseline"/>
        <w:rPr>
          <w:rFonts w:hint="eastAsia" w:ascii="宋体" w:hAnsi="宋体" w:eastAsia="宋体" w:cs="宋体"/>
          <w:color w:val="000000"/>
          <w:kern w:val="2"/>
          <w:sz w:val="24"/>
          <w:szCs w:val="24"/>
          <w:u w:val="single"/>
          <w:lang w:val="en-US" w:eastAsia="zh-CN" w:bidi="ar-SA"/>
        </w:rPr>
      </w:pPr>
      <w:r>
        <w:rPr>
          <w:rFonts w:hint="eastAsia" w:ascii="宋体" w:hAnsi="宋体" w:eastAsia="宋体" w:cs="宋体"/>
          <w:color w:val="000000"/>
          <w:kern w:val="2"/>
          <w:sz w:val="24"/>
          <w:szCs w:val="24"/>
          <w:u w:val="single"/>
          <w:lang w:val="en-US" w:eastAsia="zh-CN" w:bidi="ar-SA"/>
        </w:rPr>
        <w:t>10.17 乙方应当执行《广州市净水有限公司营运单位施工作业安全监督管理实施细则 (试行)》。</w:t>
      </w:r>
    </w:p>
    <w:p>
      <w:pPr>
        <w:pStyle w:val="2"/>
        <w:adjustRightInd w:val="0"/>
        <w:snapToGrid w:val="0"/>
        <w:spacing w:line="500" w:lineRule="exact"/>
        <w:ind w:firstLine="480" w:firstLineChars="200"/>
        <w:textAlignment w:val="baseline"/>
        <w:rPr>
          <w:rFonts w:hint="eastAsia" w:ascii="宋体" w:hAnsi="宋体" w:eastAsia="宋体" w:cs="宋体"/>
          <w:color w:val="000000"/>
          <w:kern w:val="2"/>
          <w:sz w:val="24"/>
          <w:szCs w:val="24"/>
          <w:u w:val="single"/>
          <w:lang w:val="en-US" w:eastAsia="zh-CN" w:bidi="ar-SA"/>
        </w:rPr>
      </w:pPr>
      <w:r>
        <w:rPr>
          <w:rFonts w:hint="eastAsia" w:ascii="宋体" w:hAnsi="宋体" w:eastAsia="宋体" w:cs="宋体"/>
          <w:color w:val="000000"/>
          <w:kern w:val="2"/>
          <w:sz w:val="24"/>
          <w:szCs w:val="24"/>
          <w:u w:val="single"/>
          <w:lang w:val="en-US" w:eastAsia="zh-CN" w:bidi="ar-SA"/>
        </w:rPr>
        <w:t>10.18在施工过程中，乙方应派驻</w:t>
      </w:r>
      <w:r>
        <w:rPr>
          <w:rFonts w:hint="eastAsia" w:eastAsia="宋体" w:cs="宋体"/>
          <w:color w:val="000000"/>
          <w:kern w:val="2"/>
          <w:sz w:val="24"/>
          <w:szCs w:val="24"/>
          <w:u w:val="single"/>
          <w:lang w:val="en-US" w:eastAsia="zh-CN" w:bidi="ar-SA"/>
        </w:rPr>
        <w:t>现场</w:t>
      </w:r>
      <w:r>
        <w:rPr>
          <w:rFonts w:hint="eastAsia" w:ascii="宋体" w:hAnsi="宋体" w:eastAsia="宋体" w:cs="宋体"/>
          <w:color w:val="000000"/>
          <w:kern w:val="2"/>
          <w:sz w:val="24"/>
          <w:szCs w:val="24"/>
          <w:u w:val="single"/>
          <w:lang w:val="en-US" w:eastAsia="zh-CN" w:bidi="ar-SA"/>
        </w:rPr>
        <w:t>负责人和安全员在现场管理。如乙方不履行的，甲方按第一次罚款1000元，第二次罚款2000元，第三次罚款3000元，如此叠加罚款额度对乙方进行罚款，达到十次后，甲方就有权解除合同。</w:t>
      </w:r>
    </w:p>
    <w:p>
      <w:pPr>
        <w:tabs>
          <w:tab w:val="left" w:pos="851"/>
        </w:tabs>
        <w:adjustRightInd w:val="0"/>
        <w:snapToGrid w:val="0"/>
        <w:spacing w:line="500" w:lineRule="exact"/>
        <w:ind w:firstLine="482" w:firstLineChars="200"/>
        <w:jc w:val="left"/>
        <w:rPr>
          <w:rFonts w:ascii="宋体" w:hAnsi="宋体" w:eastAsia="宋体" w:cs="宋体"/>
          <w:b/>
          <w:bCs/>
          <w:color w:val="000000"/>
          <w:sz w:val="24"/>
          <w:szCs w:val="24"/>
        </w:rPr>
      </w:pPr>
      <w:r>
        <w:rPr>
          <w:rFonts w:hint="eastAsia" w:ascii="宋体" w:hAnsi="宋体" w:eastAsia="宋体" w:cs="宋体"/>
          <w:b/>
          <w:bCs/>
          <w:color w:val="000000"/>
          <w:sz w:val="24"/>
          <w:szCs w:val="24"/>
        </w:rPr>
        <w:t>第十一条 工程质量检查及验收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11.1乙方应认真按照国家颁布的施工验收规范及工程设计图纸要求进行施工，且接受甲方监督，质量验收必须达到合格。</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11.2 隐蔽工程验收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当工程具备覆盖、掩盖条件或达到中间验收部位后，乙方自检，并提前</w:t>
      </w:r>
      <w:r>
        <w:rPr>
          <w:rFonts w:hint="eastAsia" w:ascii="宋体" w:hAnsi="宋体" w:eastAsia="宋体" w:cs="宋体"/>
          <w:color w:val="000000"/>
          <w:sz w:val="24"/>
          <w:szCs w:val="24"/>
          <w:u w:val="single"/>
        </w:rPr>
        <w:t>48</w:t>
      </w:r>
      <w:r>
        <w:rPr>
          <w:rFonts w:hint="eastAsia" w:ascii="宋体" w:hAnsi="宋体" w:eastAsia="宋体" w:cs="宋体"/>
          <w:color w:val="000000"/>
          <w:sz w:val="24"/>
          <w:szCs w:val="24"/>
        </w:rPr>
        <w:t xml:space="preserve">小时以书面形式通知甲方参加验收，经甲方验收合格并在验收记录上签字后，方可进行隐蔽和继续施工。    </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11.3 乙方应在工程完工后</w:t>
      </w:r>
      <w:r>
        <w:rPr>
          <w:rFonts w:hint="eastAsia" w:ascii="宋体" w:hAnsi="宋体" w:eastAsia="宋体" w:cs="宋体"/>
          <w:color w:val="000000"/>
          <w:sz w:val="24"/>
          <w:szCs w:val="24"/>
          <w:u w:val="single"/>
        </w:rPr>
        <w:t>28</w:t>
      </w:r>
      <w:r>
        <w:rPr>
          <w:rFonts w:hint="eastAsia" w:ascii="宋体" w:hAnsi="宋体" w:eastAsia="宋体" w:cs="宋体"/>
          <w:color w:val="000000"/>
          <w:sz w:val="24"/>
          <w:szCs w:val="24"/>
        </w:rPr>
        <w:t>日内，按甲方要求将竣工资料和竣工验收报告各一式</w:t>
      </w:r>
      <w:r>
        <w:rPr>
          <w:rFonts w:hint="eastAsia" w:ascii="宋体" w:hAnsi="宋体" w:eastAsia="宋体" w:cs="宋体"/>
          <w:color w:val="000000"/>
          <w:sz w:val="24"/>
          <w:szCs w:val="24"/>
          <w:u w:val="single"/>
        </w:rPr>
        <w:t>两</w:t>
      </w:r>
      <w:r>
        <w:rPr>
          <w:rFonts w:hint="eastAsia" w:ascii="宋体" w:hAnsi="宋体" w:eastAsia="宋体" w:cs="宋体"/>
          <w:color w:val="000000"/>
          <w:sz w:val="24"/>
          <w:szCs w:val="24"/>
        </w:rPr>
        <w:t>份提交甲方进行资料预验收,每逾期一日，乙方需支付</w:t>
      </w:r>
      <w:r>
        <w:rPr>
          <w:rFonts w:hint="eastAsia" w:ascii="宋体" w:hAnsi="宋体" w:eastAsia="宋体" w:cs="宋体"/>
          <w:color w:val="000000"/>
          <w:sz w:val="24"/>
          <w:szCs w:val="24"/>
          <w:u w:val="single"/>
        </w:rPr>
        <w:t>1000</w:t>
      </w:r>
      <w:r>
        <w:rPr>
          <w:rFonts w:hint="eastAsia" w:ascii="宋体" w:hAnsi="宋体" w:eastAsia="宋体" w:cs="宋体"/>
          <w:color w:val="000000"/>
          <w:sz w:val="24"/>
          <w:szCs w:val="24"/>
        </w:rPr>
        <w:t>元作为违约金。</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甲方在收到上述资料后</w:t>
      </w:r>
      <w:r>
        <w:rPr>
          <w:rFonts w:hint="eastAsia" w:ascii="宋体" w:hAnsi="宋体" w:eastAsia="宋体" w:cs="宋体"/>
          <w:color w:val="000000"/>
          <w:sz w:val="24"/>
          <w:szCs w:val="24"/>
          <w:u w:val="single"/>
        </w:rPr>
        <w:t>28</w:t>
      </w:r>
      <w:r>
        <w:rPr>
          <w:rFonts w:hint="eastAsia" w:ascii="宋体" w:hAnsi="宋体" w:eastAsia="宋体" w:cs="宋体"/>
          <w:color w:val="000000"/>
          <w:sz w:val="24"/>
          <w:szCs w:val="24"/>
        </w:rPr>
        <w:t>日内组织有关单位进行验收，并在验收后10日内给予认可或提出修改意见。乙方按要求修改，并承担修改的费用。</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11.4工程竣工验收通过，乙方送交竣工资料和竣工验收报告的日期为实际竣工日期。工程按甲方要求修改后通过竣工验收的，实际竣工日期为乙方修改后提请甲方验收的日期。</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11.5 竣工资料</w:t>
      </w:r>
    </w:p>
    <w:p>
      <w:pPr>
        <w:spacing w:line="500" w:lineRule="exact"/>
        <w:ind w:firstLine="600" w:firstLineChars="250"/>
        <w:rPr>
          <w:rFonts w:ascii="宋体" w:hAnsi="宋体" w:eastAsia="宋体" w:cs="宋体"/>
          <w:color w:val="000000"/>
          <w:sz w:val="24"/>
          <w:szCs w:val="24"/>
        </w:rPr>
      </w:pPr>
      <w:r>
        <w:rPr>
          <w:rFonts w:hint="eastAsia" w:ascii="宋体" w:hAnsi="宋体" w:eastAsia="宋体" w:cs="宋体"/>
          <w:color w:val="000000"/>
          <w:sz w:val="24"/>
          <w:szCs w:val="24"/>
        </w:rPr>
        <w:t>乙方应按甲方的要求，在工程施工期间及时收集、汇总、整理、编制竣工档案，并于工程竣工验收后按下款约定向甲方完整移交如下竣工资料（包括且不限于）：</w:t>
      </w:r>
    </w:p>
    <w:p>
      <w:pPr>
        <w:spacing w:line="500" w:lineRule="exact"/>
        <w:ind w:firstLine="360" w:firstLineChars="150"/>
        <w:rPr>
          <w:rFonts w:ascii="宋体" w:hAnsi="宋体" w:eastAsia="宋体" w:cs="宋体"/>
          <w:color w:val="000000"/>
          <w:sz w:val="24"/>
          <w:szCs w:val="24"/>
        </w:rPr>
      </w:pPr>
      <w:r>
        <w:rPr>
          <w:rFonts w:hint="eastAsia" w:ascii="宋体" w:hAnsi="宋体" w:eastAsia="宋体" w:cs="宋体"/>
          <w:color w:val="000000"/>
          <w:sz w:val="24"/>
          <w:szCs w:val="24"/>
        </w:rPr>
        <w:t>（a）竣工文件资料、竣工图资料（原件）各一式</w:t>
      </w:r>
      <w:r>
        <w:rPr>
          <w:rFonts w:hint="eastAsia" w:ascii="宋体" w:hAnsi="宋体" w:eastAsia="宋体" w:cs="宋体"/>
          <w:color w:val="000000"/>
          <w:sz w:val="24"/>
          <w:szCs w:val="24"/>
          <w:u w:val="single"/>
        </w:rPr>
        <w:t>四</w:t>
      </w:r>
      <w:r>
        <w:rPr>
          <w:rFonts w:hint="eastAsia" w:ascii="宋体" w:hAnsi="宋体" w:eastAsia="宋体" w:cs="宋体"/>
          <w:color w:val="000000"/>
          <w:sz w:val="24"/>
          <w:szCs w:val="24"/>
        </w:rPr>
        <w:t>份；</w:t>
      </w:r>
    </w:p>
    <w:p>
      <w:pPr>
        <w:spacing w:line="500" w:lineRule="exact"/>
        <w:ind w:firstLine="360" w:firstLineChars="150"/>
        <w:rPr>
          <w:rFonts w:ascii="宋体" w:hAnsi="宋体" w:eastAsia="宋体" w:cs="宋体"/>
          <w:color w:val="000000"/>
          <w:sz w:val="24"/>
          <w:szCs w:val="24"/>
        </w:rPr>
      </w:pPr>
      <w:r>
        <w:rPr>
          <w:rFonts w:hint="eastAsia" w:ascii="宋体" w:hAnsi="宋体" w:eastAsia="宋体" w:cs="宋体"/>
          <w:color w:val="000000"/>
          <w:sz w:val="24"/>
          <w:szCs w:val="24"/>
        </w:rPr>
        <w:t>（b）与本款（a）项内容相同的电子版资料一式</w:t>
      </w:r>
      <w:r>
        <w:rPr>
          <w:rFonts w:hint="eastAsia" w:ascii="宋体" w:hAnsi="宋体" w:eastAsia="宋体" w:cs="宋体"/>
          <w:color w:val="000000"/>
          <w:sz w:val="24"/>
          <w:szCs w:val="24"/>
          <w:u w:val="single"/>
        </w:rPr>
        <w:t>二</w:t>
      </w:r>
      <w:r>
        <w:rPr>
          <w:rFonts w:hint="eastAsia" w:ascii="宋体" w:hAnsi="宋体" w:eastAsia="宋体" w:cs="宋体"/>
          <w:color w:val="000000"/>
          <w:sz w:val="24"/>
          <w:szCs w:val="24"/>
        </w:rPr>
        <w:t>份；</w:t>
      </w:r>
    </w:p>
    <w:p>
      <w:pPr>
        <w:spacing w:line="500" w:lineRule="exact"/>
        <w:ind w:firstLine="360" w:firstLineChars="150"/>
        <w:rPr>
          <w:rFonts w:ascii="宋体" w:hAnsi="宋体" w:eastAsia="宋体" w:cs="宋体"/>
          <w:color w:val="000000"/>
          <w:sz w:val="24"/>
          <w:szCs w:val="24"/>
        </w:rPr>
      </w:pPr>
      <w:r>
        <w:rPr>
          <w:rFonts w:hint="eastAsia" w:ascii="宋体" w:hAnsi="宋体" w:eastAsia="宋体" w:cs="宋体"/>
          <w:color w:val="000000"/>
          <w:sz w:val="24"/>
          <w:szCs w:val="24"/>
        </w:rPr>
        <w:t>（2）乙方移交竣工资料的时限：乙方应于工程竣工验收后</w:t>
      </w:r>
      <w:r>
        <w:rPr>
          <w:rFonts w:hint="eastAsia" w:ascii="宋体" w:hAnsi="宋体" w:eastAsia="宋体" w:cs="宋体"/>
          <w:color w:val="000000"/>
          <w:sz w:val="24"/>
          <w:szCs w:val="24"/>
          <w:u w:val="single"/>
        </w:rPr>
        <w:t>30</w:t>
      </w:r>
      <w:r>
        <w:rPr>
          <w:rFonts w:hint="eastAsia" w:ascii="宋体" w:hAnsi="宋体" w:eastAsia="宋体" w:cs="宋体"/>
          <w:color w:val="000000"/>
          <w:sz w:val="24"/>
          <w:szCs w:val="24"/>
        </w:rPr>
        <w:t>日内将竣工资料提交甲方签认。乙方应于甲方签认后</w:t>
      </w:r>
      <w:r>
        <w:rPr>
          <w:rFonts w:hint="eastAsia" w:ascii="宋体" w:hAnsi="宋体" w:eastAsia="宋体" w:cs="宋体"/>
          <w:color w:val="000000"/>
          <w:sz w:val="24"/>
          <w:szCs w:val="24"/>
          <w:u w:val="single"/>
        </w:rPr>
        <w:t>10</w:t>
      </w:r>
      <w:r>
        <w:rPr>
          <w:rFonts w:hint="eastAsia" w:ascii="宋体" w:hAnsi="宋体" w:eastAsia="宋体" w:cs="宋体"/>
          <w:color w:val="000000"/>
          <w:sz w:val="24"/>
          <w:szCs w:val="24"/>
        </w:rPr>
        <w:t>日内将竣工资料移交给甲方归档并同时移交有关的证明文件。甲方经审查合格的，应在收到竣工资料后</w:t>
      </w:r>
      <w:r>
        <w:rPr>
          <w:rFonts w:hint="eastAsia" w:ascii="宋体" w:hAnsi="宋体" w:eastAsia="宋体" w:cs="宋体"/>
          <w:color w:val="000000"/>
          <w:sz w:val="24"/>
          <w:szCs w:val="24"/>
          <w:u w:val="single"/>
        </w:rPr>
        <w:t>10</w:t>
      </w:r>
      <w:r>
        <w:rPr>
          <w:rFonts w:hint="eastAsia" w:ascii="宋体" w:hAnsi="宋体" w:eastAsia="宋体" w:cs="宋体"/>
          <w:color w:val="000000"/>
          <w:sz w:val="24"/>
          <w:szCs w:val="24"/>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u w:val="single"/>
        </w:rPr>
        <w:t>合同暂定总价</w:t>
      </w:r>
      <w:r>
        <w:rPr>
          <w:rFonts w:hint="eastAsia" w:ascii="宋体" w:hAnsi="宋体" w:eastAsia="宋体" w:cs="宋体"/>
          <w:bCs/>
          <w:color w:val="000000"/>
          <w:sz w:val="24"/>
          <w:szCs w:val="24"/>
          <w:u w:val="single"/>
        </w:rPr>
        <w:t>万分之五/日</w:t>
      </w:r>
      <w:r>
        <w:rPr>
          <w:rFonts w:hint="eastAsia" w:ascii="宋体" w:hAnsi="宋体" w:eastAsia="宋体" w:cs="宋体"/>
          <w:color w:val="000000"/>
          <w:sz w:val="24"/>
          <w:szCs w:val="24"/>
        </w:rPr>
        <w:t>违约金。</w:t>
      </w:r>
    </w:p>
    <w:p>
      <w:pPr>
        <w:spacing w:line="500" w:lineRule="exact"/>
        <w:ind w:firstLine="360" w:firstLineChars="150"/>
        <w:rPr>
          <w:rFonts w:ascii="宋体" w:hAnsi="宋体" w:eastAsia="宋体" w:cs="宋体"/>
          <w:color w:val="000000"/>
          <w:sz w:val="24"/>
          <w:szCs w:val="24"/>
        </w:rPr>
      </w:pPr>
      <w:r>
        <w:rPr>
          <w:rFonts w:hint="eastAsia" w:ascii="宋体" w:hAnsi="宋体" w:eastAsia="宋体" w:cs="宋体"/>
          <w:color w:val="000000"/>
          <w:sz w:val="24"/>
          <w:szCs w:val="24"/>
        </w:rPr>
        <w:t>（3）电子版竣工图的编制，以甲方提供的电子版施工图为基础。乙方在移交竣工资料时，应一并移交甲方提供的电子版施工图。</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电子版施工图和电子版竣工图的知识产权归属甲方所有，非经甲方许可，乙方不得以任何方式复制、备份、转让和利用。否则，由此引起的任何纠纷和责任由乙方承担。</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11.6本合同竣工</w:t>
      </w:r>
      <w:r>
        <w:rPr>
          <w:rFonts w:hint="eastAsia" w:ascii="宋体" w:hAnsi="宋体" w:eastAsia="宋体" w:cs="宋体"/>
          <w:color w:val="000000"/>
          <w:sz w:val="24"/>
          <w:szCs w:val="24"/>
          <w:u w:val="single"/>
        </w:rPr>
        <w:t>验收结算</w:t>
      </w:r>
      <w:r>
        <w:rPr>
          <w:rFonts w:hint="eastAsia" w:ascii="宋体" w:hAnsi="宋体" w:eastAsia="宋体" w:cs="宋体"/>
          <w:color w:val="000000"/>
          <w:sz w:val="24"/>
          <w:szCs w:val="24"/>
        </w:rPr>
        <w:t>单位为：</w:t>
      </w:r>
      <w:r>
        <w:rPr>
          <w:rFonts w:hint="eastAsia" w:ascii="宋体" w:hAnsi="宋体" w:eastAsia="宋体" w:cs="宋体"/>
          <w:color w:val="000000"/>
          <w:sz w:val="24"/>
          <w:szCs w:val="24"/>
          <w:u w:val="single"/>
        </w:rPr>
        <w:t xml:space="preserve">  广州市净水有限公司猎德分公司 。</w:t>
      </w:r>
    </w:p>
    <w:p>
      <w:pPr>
        <w:tabs>
          <w:tab w:val="left" w:pos="851"/>
        </w:tabs>
        <w:adjustRightInd w:val="0"/>
        <w:snapToGrid w:val="0"/>
        <w:spacing w:line="500" w:lineRule="exact"/>
        <w:ind w:firstLine="482" w:firstLineChars="200"/>
        <w:jc w:val="left"/>
        <w:rPr>
          <w:rFonts w:ascii="宋体" w:hAnsi="宋体" w:eastAsia="宋体" w:cs="宋体"/>
          <w:b/>
          <w:bCs/>
          <w:color w:val="000000"/>
          <w:sz w:val="24"/>
          <w:szCs w:val="24"/>
        </w:rPr>
      </w:pPr>
      <w:r>
        <w:rPr>
          <w:rFonts w:hint="eastAsia" w:ascii="宋体" w:hAnsi="宋体" w:eastAsia="宋体" w:cs="宋体"/>
          <w:b/>
          <w:bCs/>
          <w:color w:val="000000"/>
          <w:sz w:val="24"/>
          <w:szCs w:val="24"/>
        </w:rPr>
        <w:t>第十二条 工程结算</w:t>
      </w:r>
    </w:p>
    <w:p>
      <w:pPr>
        <w:tabs>
          <w:tab w:val="left" w:pos="0"/>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12.1 乙方在工程竣工验收合格后</w:t>
      </w:r>
      <w:r>
        <w:rPr>
          <w:rFonts w:hint="eastAsia" w:ascii="宋体" w:hAnsi="宋体" w:eastAsia="宋体" w:cs="宋体"/>
          <w:color w:val="000000"/>
          <w:sz w:val="24"/>
          <w:szCs w:val="24"/>
          <w:u w:val="single"/>
        </w:rPr>
        <w:t xml:space="preserve"> 28 </w:t>
      </w:r>
      <w:r>
        <w:rPr>
          <w:rFonts w:hint="eastAsia" w:ascii="宋体" w:hAnsi="宋体" w:eastAsia="宋体" w:cs="宋体"/>
          <w:color w:val="000000"/>
          <w:sz w:val="24"/>
          <w:szCs w:val="24"/>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u w:val="single"/>
        </w:rPr>
        <w:t>1000</w:t>
      </w:r>
      <w:r>
        <w:rPr>
          <w:rFonts w:hint="eastAsia" w:ascii="宋体" w:hAnsi="宋体" w:eastAsia="宋体" w:cs="宋体"/>
          <w:color w:val="000000"/>
          <w:sz w:val="24"/>
          <w:szCs w:val="24"/>
        </w:rPr>
        <w:t>元/日违约金，并且经甲方书面催促后</w:t>
      </w:r>
      <w:r>
        <w:rPr>
          <w:rFonts w:hint="eastAsia" w:ascii="宋体" w:hAnsi="宋体" w:eastAsia="宋体" w:cs="宋体"/>
          <w:color w:val="000000"/>
          <w:sz w:val="24"/>
          <w:szCs w:val="24"/>
          <w:u w:val="single"/>
        </w:rPr>
        <w:t xml:space="preserve"> 14 </w:t>
      </w:r>
      <w:r>
        <w:rPr>
          <w:rFonts w:hint="eastAsia" w:ascii="宋体" w:hAnsi="宋体" w:eastAsia="宋体" w:cs="宋体"/>
          <w:color w:val="000000"/>
          <w:sz w:val="24"/>
          <w:szCs w:val="24"/>
        </w:rPr>
        <w:t>日内仍未提供或没有书面答复，甲方有权根据已有资料单方办理结算，合同结算价以甲方或甲方委托的第三方造价咨询单位出具的审核结果为准。</w:t>
      </w:r>
    </w:p>
    <w:p>
      <w:pPr>
        <w:tabs>
          <w:tab w:val="left" w:pos="0"/>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12.2结算原则</w:t>
      </w: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12.2.1 </w:t>
      </w:r>
      <w:r>
        <w:rPr>
          <w:rFonts w:hint="eastAsia" w:ascii="宋体" w:hAnsi="宋体" w:eastAsia="宋体" w:cs="宋体"/>
          <w:color w:val="000000"/>
          <w:sz w:val="24"/>
          <w:szCs w:val="24"/>
        </w:rPr>
        <w:sym w:font="Times New Roman" w:char="0000"/>
      </w:r>
      <w:r>
        <w:rPr>
          <w:rFonts w:hint="eastAsia" w:ascii="宋体" w:hAnsi="宋体" w:eastAsia="宋体" w:cs="宋体"/>
          <w:color w:val="000000"/>
          <w:sz w:val="24"/>
          <w:szCs w:val="24"/>
        </w:rPr>
        <w:t>综合单价包干</w:t>
      </w:r>
    </w:p>
    <w:p>
      <w:pPr>
        <w:tabs>
          <w:tab w:val="left" w:pos="0"/>
        </w:tabs>
        <w:adjustRightInd w:val="0"/>
        <w:snapToGrid w:val="0"/>
        <w:spacing w:line="500" w:lineRule="exact"/>
        <w:ind w:firstLine="480" w:firstLineChars="200"/>
        <w:jc w:val="left"/>
        <w:rPr>
          <w:rFonts w:ascii="宋体" w:hAnsi="宋体" w:eastAsia="宋体" w:cs="宋体"/>
          <w:bCs/>
          <w:color w:val="000000"/>
          <w:sz w:val="24"/>
          <w:szCs w:val="24"/>
        </w:rPr>
      </w:pPr>
      <w:r>
        <w:rPr>
          <w:rFonts w:hint="eastAsia" w:ascii="宋体" w:hAnsi="宋体" w:eastAsia="宋体" w:cs="宋体"/>
          <w:color w:val="000000"/>
          <w:sz w:val="24"/>
          <w:szCs w:val="24"/>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rPr>
        <w:t>最终以甲方或者甲方委托的第三方造价咨询单位审核后的终审价作为结算价。</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12.2.2 </w:t>
      </w:r>
      <w:r>
        <w:rPr>
          <w:rFonts w:hint="eastAsia" w:ascii="宋体" w:hAnsi="宋体" w:eastAsia="宋体" w:cs="宋体"/>
          <w:color w:val="000000"/>
          <w:sz w:val="24"/>
          <w:szCs w:val="24"/>
        </w:rPr>
        <w:sym w:font="Times New Roman" w:char="0000"/>
      </w:r>
      <w:r>
        <w:rPr>
          <w:rFonts w:hint="eastAsia" w:ascii="宋体" w:hAnsi="宋体" w:eastAsia="宋体" w:cs="宋体"/>
          <w:color w:val="000000"/>
          <w:sz w:val="24"/>
          <w:szCs w:val="24"/>
        </w:rPr>
        <w:t>固定总价包干</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u w:val="single"/>
        </w:rPr>
        <w:t>5%</w:t>
      </w:r>
      <w:r>
        <w:rPr>
          <w:rFonts w:hint="eastAsia" w:ascii="宋体" w:hAnsi="宋体" w:eastAsia="宋体" w:cs="宋体"/>
          <w:color w:val="000000"/>
          <w:sz w:val="24"/>
          <w:szCs w:val="24"/>
        </w:rPr>
        <w:t>。</w:t>
      </w:r>
      <w:r>
        <w:rPr>
          <w:rFonts w:hint="eastAsia" w:ascii="宋体" w:hAnsi="宋体" w:eastAsia="宋体" w:cs="宋体"/>
          <w:bCs/>
          <w:color w:val="000000"/>
          <w:sz w:val="24"/>
          <w:szCs w:val="24"/>
        </w:rPr>
        <w:t>最终以甲方或甲方委托的第三方造价咨询单位审核后的终审价作为结算价。</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12.3 变更计价依据</w:t>
      </w:r>
    </w:p>
    <w:p>
      <w:pPr>
        <w:tabs>
          <w:tab w:val="left" w:pos="0"/>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工程变更按下列规定调整：</w:t>
      </w:r>
    </w:p>
    <w:p>
      <w:pPr>
        <w:tabs>
          <w:tab w:val="left" w:pos="0"/>
        </w:tabs>
        <w:adjustRightInd w:val="0"/>
        <w:snapToGrid w:val="0"/>
        <w:spacing w:line="500" w:lineRule="exact"/>
        <w:ind w:firstLine="480" w:firstLineChars="200"/>
        <w:jc w:val="left"/>
        <w:rPr>
          <w:rFonts w:ascii="宋体" w:hAnsi="宋体" w:eastAsia="宋体" w:cs="宋体"/>
          <w:bCs/>
          <w:color w:val="000000"/>
          <w:sz w:val="24"/>
          <w:szCs w:val="24"/>
        </w:rPr>
      </w:pPr>
      <w:r>
        <w:rPr>
          <w:rFonts w:hint="eastAsia" w:ascii="宋体" w:hAnsi="宋体" w:eastAsia="宋体" w:cs="宋体"/>
          <w:bCs/>
          <w:color w:val="000000"/>
          <w:sz w:val="24"/>
          <w:szCs w:val="24"/>
        </w:rPr>
        <w:t>12.3.1因非乙方原因引起工程量报价清单中工程量发生增减，且单个子目工程量变化幅度在25%以内（含）时，按工程量报价清单中列明的子目单价结算。否则，按新增单价执行。</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12.3.2 合同中没有适用于变更工程项目的单价的，按新增单价执行。</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12.3.3新增单价计价原则：</w:t>
      </w:r>
    </w:p>
    <w:p>
      <w:pPr>
        <w:spacing w:line="56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合同中没有适用于变更工程项目的单价的，按新增单价执行。</w:t>
      </w:r>
    </w:p>
    <w:p>
      <w:pPr>
        <w:spacing w:line="56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2.项目计价材料、设备价格的控制：按以下顺序作为降序优先级依次采用工程开工报告中开工日期当月的下列价格：</w:t>
      </w:r>
    </w:p>
    <w:p>
      <w:pPr>
        <w:spacing w:line="56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（1）《广州地区建设工程常用材料税前综合价格》（下称综合价格）。</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（2）《广州地区建设工程材料（设备）厂商价格信息》（下称厂商价格）下浮10-20%。</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（3）综合价格、厂商价格中缺项的，采用由北京瑞恒达建筑咨询有限公司提供服务的“慧讯网”中查到的相应材料、设备价格的工程价。</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（4）通过市场询价双方协商确定。</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3.按1、2组价后下浮5%计取。</w:t>
      </w:r>
    </w:p>
    <w:p>
      <w:pPr>
        <w:tabs>
          <w:tab w:val="left" w:pos="851"/>
        </w:tabs>
        <w:adjustRightInd w:val="0"/>
        <w:snapToGrid w:val="0"/>
        <w:spacing w:line="500" w:lineRule="exact"/>
        <w:ind w:firstLine="480"/>
        <w:jc w:val="left"/>
        <w:rPr>
          <w:rFonts w:ascii="宋体" w:hAnsi="宋体" w:eastAsia="宋体" w:cs="宋体"/>
          <w:b/>
          <w:color w:val="000000"/>
          <w:sz w:val="24"/>
          <w:szCs w:val="24"/>
        </w:rPr>
      </w:pPr>
      <w:r>
        <w:rPr>
          <w:rFonts w:hint="eastAsia" w:ascii="宋体" w:hAnsi="宋体" w:eastAsia="宋体" w:cs="宋体"/>
          <w:b/>
          <w:color w:val="000000"/>
          <w:sz w:val="24"/>
          <w:szCs w:val="24"/>
        </w:rPr>
        <w:t>第十三条 材料设备要求</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u w:val="single"/>
        </w:rPr>
        <w:t>15</w:t>
      </w:r>
      <w:r>
        <w:rPr>
          <w:rFonts w:hint="eastAsia" w:ascii="宋体" w:hAnsi="宋体" w:eastAsia="宋体" w:cs="宋体"/>
          <w:color w:val="000000"/>
          <w:sz w:val="24"/>
          <w:szCs w:val="24"/>
        </w:rPr>
        <w:t>日内重新供应符合要求的产品，由于乙方提供的伪劣、假冒等所有不合格材料而导致的损失、事故及一切后果，均由乙方负责并赔偿甲方所有损失。</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13.2 甲方发现乙方使用与设计和规范要求不符的材料设备时，有权要求乙方停止使用，并在</w:t>
      </w:r>
      <w:r>
        <w:rPr>
          <w:rFonts w:hint="eastAsia" w:ascii="宋体" w:hAnsi="宋体" w:eastAsia="宋体" w:cs="宋体"/>
          <w:color w:val="000000"/>
          <w:sz w:val="24"/>
          <w:szCs w:val="24"/>
          <w:u w:val="single"/>
        </w:rPr>
        <w:t xml:space="preserve">5 </w:t>
      </w:r>
      <w:r>
        <w:rPr>
          <w:rFonts w:hint="eastAsia" w:ascii="宋体" w:hAnsi="宋体" w:eastAsia="宋体" w:cs="宋体"/>
          <w:color w:val="000000"/>
          <w:sz w:val="24"/>
          <w:szCs w:val="24"/>
        </w:rPr>
        <w:t>日内拆除、修复或重新采购，如果乙方拒不履行，则甲方可自行或指派第三方实施，由此发生的费用由乙方承担。</w:t>
      </w:r>
    </w:p>
    <w:p>
      <w:pPr>
        <w:tabs>
          <w:tab w:val="left" w:pos="840"/>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13.3本项目所承包范围内所需的设备材料、成品、未成品、运输、保管、质量等责任均由乙方承担。</w:t>
      </w:r>
    </w:p>
    <w:p>
      <w:pPr>
        <w:tabs>
          <w:tab w:val="left" w:pos="851"/>
        </w:tabs>
        <w:adjustRightInd w:val="0"/>
        <w:snapToGrid w:val="0"/>
        <w:spacing w:line="500" w:lineRule="exact"/>
        <w:ind w:firstLine="482" w:firstLineChars="200"/>
        <w:jc w:val="left"/>
        <w:rPr>
          <w:rFonts w:ascii="宋体" w:hAnsi="宋体" w:eastAsia="宋体" w:cs="宋体"/>
          <w:b/>
          <w:bCs/>
          <w:color w:val="000000"/>
          <w:sz w:val="24"/>
          <w:szCs w:val="24"/>
        </w:rPr>
      </w:pPr>
      <w:r>
        <w:rPr>
          <w:rFonts w:hint="eastAsia" w:ascii="宋体" w:hAnsi="宋体" w:eastAsia="宋体" w:cs="宋体"/>
          <w:b/>
          <w:bCs/>
          <w:color w:val="000000"/>
          <w:sz w:val="24"/>
          <w:szCs w:val="24"/>
        </w:rPr>
        <w:t>第十四条 工程保修</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14.1 质量保证金</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按工程结算审定价的</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预留工程保修费用。乙方未按照法律法规有关规定和合同约定履行质量保修义务的，甲方有权从质量保证金中扣留用于质量保修的各项支出。</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u w:val="single"/>
        </w:rPr>
      </w:pPr>
      <w:r>
        <w:rPr>
          <w:rFonts w:hint="eastAsia" w:ascii="宋体" w:hAnsi="宋体" w:eastAsia="宋体" w:cs="宋体"/>
          <w:color w:val="000000"/>
          <w:sz w:val="24"/>
          <w:szCs w:val="24"/>
        </w:rPr>
        <w:t>14.2保修期自工程竣工验收合格之日起算，且不得低于法定保修年限。</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u w:val="single"/>
        </w:rPr>
      </w:pPr>
      <w:r>
        <w:rPr>
          <w:rFonts w:hint="eastAsia" w:ascii="宋体" w:hAnsi="宋体" w:eastAsia="宋体" w:cs="宋体"/>
          <w:color w:val="000000"/>
          <w:sz w:val="24"/>
          <w:szCs w:val="24"/>
        </w:rPr>
        <w:t>具体保修项目及保修期限：</w:t>
      </w:r>
      <w:r>
        <w:rPr>
          <w:rFonts w:hint="eastAsia" w:ascii="宋体" w:hAnsi="宋体" w:eastAsia="宋体" w:cs="宋体"/>
          <w:color w:val="000000"/>
          <w:sz w:val="24"/>
          <w:szCs w:val="24"/>
          <w:u w:val="single"/>
        </w:rPr>
        <w:t xml:space="preserve"> 详见工程质量保修书（附件2）。</w:t>
      </w:r>
    </w:p>
    <w:p>
      <w:pPr>
        <w:spacing w:line="500" w:lineRule="exact"/>
        <w:ind w:firstLine="420" w:firstLineChars="175"/>
        <w:rPr>
          <w:rFonts w:ascii="宋体" w:hAnsi="宋体" w:eastAsia="宋体" w:cs="宋体"/>
          <w:bCs/>
          <w:color w:val="000000"/>
          <w:sz w:val="24"/>
          <w:szCs w:val="24"/>
        </w:rPr>
      </w:pPr>
      <w:r>
        <w:rPr>
          <w:rFonts w:hint="eastAsia" w:ascii="宋体" w:hAnsi="宋体" w:eastAsia="宋体" w:cs="宋体"/>
          <w:color w:val="000000"/>
          <w:sz w:val="24"/>
          <w:szCs w:val="24"/>
        </w:rPr>
        <w:t>14.3</w:t>
      </w:r>
      <w:r>
        <w:rPr>
          <w:rFonts w:hint="eastAsia" w:ascii="宋体" w:hAnsi="宋体" w:eastAsia="宋体" w:cs="宋体"/>
          <w:bCs/>
          <w:color w:val="000000"/>
          <w:sz w:val="24"/>
          <w:szCs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u w:val="single"/>
        </w:rPr>
        <w:t>合同暂定总价的10%/次</w:t>
      </w:r>
      <w:r>
        <w:rPr>
          <w:rFonts w:hint="eastAsia" w:ascii="宋体" w:hAnsi="宋体" w:eastAsia="宋体" w:cs="宋体"/>
          <w:bCs/>
          <w:color w:val="000000"/>
          <w:sz w:val="24"/>
          <w:szCs w:val="24"/>
        </w:rPr>
        <w:t>作为违约金。</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14.4约定的保修期限终止后，由乙方提出支付申请，甲方审核后</w:t>
      </w:r>
      <w:r>
        <w:rPr>
          <w:rFonts w:hint="eastAsia" w:ascii="宋体" w:hAnsi="宋体" w:eastAsia="宋体" w:cs="宋体"/>
          <w:color w:val="000000"/>
          <w:sz w:val="24"/>
          <w:szCs w:val="24"/>
          <w:u w:val="single"/>
        </w:rPr>
        <w:t>28日</w:t>
      </w:r>
      <w:r>
        <w:rPr>
          <w:rFonts w:hint="eastAsia" w:ascii="宋体" w:hAnsi="宋体" w:eastAsia="宋体" w:cs="宋体"/>
          <w:color w:val="000000"/>
          <w:sz w:val="24"/>
          <w:szCs w:val="24"/>
        </w:rPr>
        <w:t>内将剩余的质量保证金（无息）返还。</w:t>
      </w:r>
    </w:p>
    <w:p>
      <w:pPr>
        <w:tabs>
          <w:tab w:val="left" w:pos="851"/>
        </w:tabs>
        <w:adjustRightInd w:val="0"/>
        <w:snapToGrid w:val="0"/>
        <w:spacing w:line="500" w:lineRule="exact"/>
        <w:ind w:firstLine="482" w:firstLineChars="200"/>
        <w:jc w:val="left"/>
        <w:rPr>
          <w:rFonts w:ascii="宋体" w:hAnsi="宋体" w:eastAsia="宋体" w:cs="宋体"/>
          <w:b/>
          <w:color w:val="000000"/>
          <w:sz w:val="24"/>
          <w:szCs w:val="24"/>
        </w:rPr>
      </w:pPr>
      <w:r>
        <w:rPr>
          <w:rFonts w:hint="eastAsia" w:ascii="宋体" w:hAnsi="宋体" w:eastAsia="宋体" w:cs="宋体"/>
          <w:b/>
          <w:color w:val="000000"/>
          <w:sz w:val="24"/>
          <w:szCs w:val="24"/>
        </w:rPr>
        <w:t>第十五条 违约处理</w:t>
      </w:r>
    </w:p>
    <w:p>
      <w:pPr>
        <w:tabs>
          <w:tab w:val="left" w:pos="851"/>
        </w:tabs>
        <w:adjustRightInd w:val="0"/>
        <w:snapToGrid w:val="0"/>
        <w:spacing w:line="500" w:lineRule="exact"/>
        <w:ind w:firstLine="480" w:firstLineChars="200"/>
        <w:jc w:val="left"/>
        <w:rPr>
          <w:rFonts w:ascii="宋体" w:hAnsi="宋体" w:eastAsia="宋体" w:cs="宋体"/>
          <w:bCs/>
          <w:color w:val="000000"/>
          <w:sz w:val="24"/>
          <w:szCs w:val="24"/>
        </w:rPr>
      </w:pPr>
      <w:r>
        <w:rPr>
          <w:rFonts w:hint="eastAsia" w:ascii="宋体" w:hAnsi="宋体" w:eastAsia="宋体" w:cs="宋体"/>
          <w:bCs/>
          <w:color w:val="000000"/>
          <w:sz w:val="24"/>
          <w:szCs w:val="24"/>
        </w:rPr>
        <w:t>甲方或乙方不能按合同条款约定内容履行自己的各项义务及发生使合同无法履行的行为，应承担相应的违约责任，包括支付违约金，赔偿因其违约给对方造成的全部经济损失。</w:t>
      </w:r>
    </w:p>
    <w:p>
      <w:pPr>
        <w:tabs>
          <w:tab w:val="left" w:pos="851"/>
        </w:tabs>
        <w:adjustRightInd w:val="0"/>
        <w:snapToGrid w:val="0"/>
        <w:spacing w:line="500" w:lineRule="exact"/>
        <w:ind w:firstLine="480" w:firstLineChars="200"/>
        <w:jc w:val="left"/>
        <w:rPr>
          <w:rFonts w:ascii="宋体" w:hAnsi="宋体" w:eastAsia="宋体" w:cs="宋体"/>
          <w:bCs/>
          <w:color w:val="000000"/>
          <w:sz w:val="24"/>
          <w:szCs w:val="24"/>
        </w:rPr>
      </w:pPr>
      <w:r>
        <w:rPr>
          <w:rFonts w:hint="eastAsia" w:ascii="宋体" w:hAnsi="宋体" w:eastAsia="宋体" w:cs="宋体"/>
          <w:color w:val="000000"/>
          <w:sz w:val="24"/>
          <w:szCs w:val="24"/>
        </w:rPr>
        <w:t xml:space="preserve">15.1 </w:t>
      </w:r>
      <w:r>
        <w:rPr>
          <w:rFonts w:hint="eastAsia" w:ascii="宋体" w:hAnsi="宋体" w:eastAsia="宋体" w:cs="宋体"/>
          <w:bCs/>
          <w:color w:val="000000"/>
          <w:sz w:val="24"/>
          <w:szCs w:val="24"/>
        </w:rPr>
        <w:t>工期延误</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因乙方原因造成工期延误，每逾期一日，应按</w:t>
      </w:r>
      <w:r>
        <w:rPr>
          <w:rFonts w:hint="eastAsia" w:ascii="宋体" w:hAnsi="宋体" w:eastAsia="宋体" w:cs="宋体"/>
          <w:color w:val="000000"/>
          <w:sz w:val="24"/>
          <w:szCs w:val="24"/>
          <w:u w:val="single"/>
        </w:rPr>
        <w:t>合同暂定价的1%/日</w:t>
      </w:r>
      <w:r>
        <w:rPr>
          <w:rFonts w:hint="eastAsia" w:ascii="宋体" w:hAnsi="宋体" w:eastAsia="宋体" w:cs="宋体"/>
          <w:color w:val="000000"/>
          <w:sz w:val="24"/>
          <w:szCs w:val="24"/>
        </w:rPr>
        <w:t>支付逾期违约金，逾期达到</w:t>
      </w:r>
      <w:r>
        <w:rPr>
          <w:rFonts w:hint="eastAsia" w:ascii="宋体" w:hAnsi="宋体" w:eastAsia="宋体" w:cs="宋体"/>
          <w:color w:val="000000"/>
          <w:sz w:val="24"/>
          <w:szCs w:val="24"/>
          <w:u w:val="single"/>
        </w:rPr>
        <w:t xml:space="preserve">7 </w:t>
      </w:r>
      <w:r>
        <w:rPr>
          <w:rFonts w:hint="eastAsia" w:ascii="宋体" w:hAnsi="宋体" w:eastAsia="宋体" w:cs="宋体"/>
          <w:color w:val="000000"/>
          <w:sz w:val="24"/>
          <w:szCs w:val="24"/>
        </w:rPr>
        <w:t xml:space="preserve">日及以上的，甲方有权解除合同。乙方支付逾期违约金后，不免除乙方继续完成工程及修补缺陷的义务以及赔偿因此给甲方造成损失的责任。       </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15.2  工程质量不合格</w:t>
      </w:r>
    </w:p>
    <w:p>
      <w:pPr>
        <w:tabs>
          <w:tab w:val="left" w:pos="851"/>
        </w:tabs>
        <w:adjustRightInd w:val="0"/>
        <w:snapToGrid w:val="0"/>
        <w:spacing w:line="500" w:lineRule="exact"/>
        <w:jc w:val="left"/>
        <w:rPr>
          <w:rFonts w:ascii="宋体" w:hAnsi="宋体" w:eastAsia="宋体" w:cs="宋体"/>
          <w:color w:val="000000"/>
          <w:sz w:val="24"/>
          <w:szCs w:val="24"/>
        </w:rPr>
      </w:pPr>
      <w:r>
        <w:rPr>
          <w:rFonts w:hint="eastAsia" w:ascii="宋体" w:hAnsi="宋体" w:eastAsia="宋体" w:cs="宋体"/>
          <w:color w:val="000000"/>
          <w:sz w:val="24"/>
          <w:szCs w:val="24"/>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u w:val="single"/>
        </w:rPr>
        <w:t xml:space="preserve">合同暂定总价的 20%  </w:t>
      </w:r>
      <w:r>
        <w:rPr>
          <w:rFonts w:hint="eastAsia" w:ascii="宋体" w:hAnsi="宋体" w:eastAsia="宋体" w:cs="宋体"/>
          <w:color w:val="000000"/>
          <w:sz w:val="24"/>
          <w:szCs w:val="24"/>
        </w:rPr>
        <w:t xml:space="preserve"> /次的违约金。由此造成的经济和法律责任，均由乙方负责。</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出现上述情形超过</w:t>
      </w:r>
      <w:r>
        <w:rPr>
          <w:rFonts w:hint="eastAsia" w:ascii="宋体" w:hAnsi="宋体" w:eastAsia="宋体" w:cs="宋体"/>
          <w:color w:val="000000"/>
          <w:sz w:val="24"/>
          <w:szCs w:val="24"/>
          <w:u w:val="single"/>
        </w:rPr>
        <w:t>3</w:t>
      </w:r>
      <w:r>
        <w:rPr>
          <w:rFonts w:hint="eastAsia" w:ascii="宋体" w:hAnsi="宋体" w:eastAsia="宋体" w:cs="宋体"/>
          <w:color w:val="000000"/>
          <w:sz w:val="24"/>
          <w:szCs w:val="24"/>
        </w:rPr>
        <w:t>次（含</w:t>
      </w:r>
      <w:r>
        <w:rPr>
          <w:rFonts w:hint="eastAsia" w:ascii="宋体" w:hAnsi="宋体" w:eastAsia="宋体" w:cs="宋体"/>
          <w:color w:val="000000"/>
          <w:sz w:val="24"/>
          <w:szCs w:val="24"/>
          <w:u w:val="single"/>
        </w:rPr>
        <w:t xml:space="preserve">  3</w:t>
      </w:r>
      <w:r>
        <w:rPr>
          <w:rFonts w:hint="eastAsia" w:ascii="宋体" w:hAnsi="宋体" w:eastAsia="宋体" w:cs="宋体"/>
          <w:color w:val="000000"/>
          <w:sz w:val="24"/>
          <w:szCs w:val="24"/>
        </w:rPr>
        <w:t>次）的，甲方有权解除合同。</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u w:val="single"/>
        </w:rPr>
        <w:t>合同暂定总价的20%</w:t>
      </w:r>
      <w:r>
        <w:rPr>
          <w:rFonts w:hint="eastAsia" w:ascii="宋体" w:hAnsi="宋体" w:eastAsia="宋体" w:cs="宋体"/>
          <w:color w:val="000000"/>
          <w:sz w:val="24"/>
          <w:szCs w:val="24"/>
        </w:rPr>
        <w:t>支付违约金，乙方承担由此造成的全部损失。</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15.2.3质量事故：因乙方原因发生质量事故，甲方有权根据质量事故的严重程度对乙方处以不低于</w:t>
      </w:r>
      <w:r>
        <w:rPr>
          <w:rFonts w:hint="eastAsia" w:ascii="宋体" w:hAnsi="宋体" w:eastAsia="宋体" w:cs="宋体"/>
          <w:color w:val="000000"/>
          <w:sz w:val="24"/>
          <w:szCs w:val="24"/>
          <w:u w:val="single"/>
        </w:rPr>
        <w:t>合同暂定总价20%</w:t>
      </w:r>
      <w:r>
        <w:rPr>
          <w:rFonts w:hint="eastAsia" w:ascii="宋体" w:hAnsi="宋体" w:eastAsia="宋体" w:cs="宋体"/>
          <w:color w:val="000000"/>
          <w:sz w:val="24"/>
          <w:szCs w:val="24"/>
        </w:rPr>
        <w:t>的处罚，该处罚不免除乙方自费返工或修复的责任。</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15.3 安全隐患</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u w:val="single"/>
        </w:rPr>
        <w:t xml:space="preserve">合同暂定总价的 20%  </w:t>
      </w:r>
      <w:r>
        <w:rPr>
          <w:rFonts w:hint="eastAsia" w:ascii="宋体" w:hAnsi="宋体" w:eastAsia="宋体" w:cs="宋体"/>
          <w:color w:val="000000"/>
          <w:sz w:val="24"/>
          <w:szCs w:val="24"/>
        </w:rPr>
        <w:t xml:space="preserve"> /次的违约金。</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出现上述情形超过</w:t>
      </w:r>
      <w:r>
        <w:rPr>
          <w:rFonts w:hint="eastAsia" w:ascii="宋体" w:hAnsi="宋体" w:eastAsia="宋体" w:cs="宋体"/>
          <w:color w:val="000000"/>
          <w:sz w:val="24"/>
          <w:szCs w:val="24"/>
          <w:u w:val="single"/>
        </w:rPr>
        <w:t>3</w:t>
      </w:r>
      <w:r>
        <w:rPr>
          <w:rFonts w:hint="eastAsia" w:ascii="宋体" w:hAnsi="宋体" w:eastAsia="宋体" w:cs="宋体"/>
          <w:color w:val="000000"/>
          <w:sz w:val="24"/>
          <w:szCs w:val="24"/>
        </w:rPr>
        <w:t>次（含</w:t>
      </w:r>
      <w:r>
        <w:rPr>
          <w:rFonts w:hint="eastAsia" w:ascii="宋体" w:hAnsi="宋体" w:eastAsia="宋体" w:cs="宋体"/>
          <w:color w:val="000000"/>
          <w:sz w:val="24"/>
          <w:szCs w:val="24"/>
          <w:u w:val="single"/>
        </w:rPr>
        <w:t xml:space="preserve">  3</w:t>
      </w:r>
      <w:r>
        <w:rPr>
          <w:rFonts w:hint="eastAsia" w:ascii="宋体" w:hAnsi="宋体" w:eastAsia="宋体" w:cs="宋体"/>
          <w:color w:val="000000"/>
          <w:sz w:val="24"/>
          <w:szCs w:val="24"/>
        </w:rPr>
        <w:t>次）的，甲方有权解除合同。</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15.4安全事故</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15.5项目负责人不符合合同要求</w:t>
      </w:r>
    </w:p>
    <w:p>
      <w:pPr>
        <w:spacing w:line="500" w:lineRule="exact"/>
        <w:ind w:firstLine="448" w:firstLineChars="200"/>
        <w:outlineLvl w:val="1"/>
        <w:rPr>
          <w:rFonts w:ascii="宋体" w:hAnsi="宋体" w:eastAsia="宋体" w:cs="宋体"/>
          <w:color w:val="000000"/>
          <w:spacing w:val="-8"/>
          <w:sz w:val="24"/>
          <w:szCs w:val="24"/>
        </w:rPr>
      </w:pPr>
      <w:r>
        <w:rPr>
          <w:rFonts w:hint="eastAsia" w:ascii="宋体" w:hAnsi="宋体" w:eastAsia="宋体" w:cs="宋体"/>
          <w:color w:val="000000"/>
          <w:spacing w:val="-8"/>
          <w:sz w:val="24"/>
          <w:szCs w:val="24"/>
        </w:rPr>
        <w:t>乙方不得随意更换项目负责人及附件6中的相关人员，如确须更换，应事先征得甲方同意。如有违反，甲方有权解除合同并要求乙方支付</w:t>
      </w:r>
      <w:r>
        <w:rPr>
          <w:rFonts w:hint="eastAsia" w:ascii="宋体" w:hAnsi="宋体" w:eastAsia="宋体" w:cs="宋体"/>
          <w:color w:val="000000"/>
          <w:spacing w:val="-8"/>
          <w:sz w:val="24"/>
          <w:szCs w:val="24"/>
          <w:u w:val="single"/>
        </w:rPr>
        <w:t xml:space="preserve">  5000  </w:t>
      </w:r>
      <w:r>
        <w:rPr>
          <w:rFonts w:hint="eastAsia" w:ascii="宋体" w:hAnsi="宋体" w:eastAsia="宋体" w:cs="宋体"/>
          <w:color w:val="000000"/>
          <w:spacing w:val="-8"/>
          <w:sz w:val="24"/>
          <w:szCs w:val="24"/>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szCs w:val="24"/>
          <w:u w:val="single"/>
        </w:rPr>
        <w:t>驻现场管理，</w:t>
      </w:r>
      <w:r>
        <w:rPr>
          <w:rFonts w:hint="eastAsia" w:ascii="宋体" w:hAnsi="宋体" w:eastAsia="宋体" w:cs="宋体"/>
          <w:color w:val="000000"/>
          <w:spacing w:val="-8"/>
          <w:sz w:val="24"/>
          <w:szCs w:val="24"/>
        </w:rPr>
        <w:t>否则甲方有权要求支付违约金</w:t>
      </w:r>
      <w:r>
        <w:rPr>
          <w:rFonts w:hint="eastAsia" w:ascii="宋体" w:hAnsi="宋体" w:eastAsia="宋体" w:cs="宋体"/>
          <w:color w:val="000000"/>
          <w:spacing w:val="-8"/>
          <w:sz w:val="24"/>
          <w:szCs w:val="24"/>
          <w:u w:val="single"/>
        </w:rPr>
        <w:t xml:space="preserve">  1000  元</w:t>
      </w:r>
      <w:r>
        <w:rPr>
          <w:rFonts w:hint="eastAsia" w:ascii="宋体" w:hAnsi="宋体" w:eastAsia="宋体" w:cs="宋体"/>
          <w:color w:val="000000"/>
          <w:spacing w:val="-8"/>
          <w:sz w:val="24"/>
          <w:szCs w:val="24"/>
        </w:rPr>
        <w:t>/次。因此造成损失的，按实际发生额赔偿。</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u w:val="single"/>
        </w:rPr>
        <w:t xml:space="preserve"> 合同暂定总价的20%</w:t>
      </w:r>
      <w:r>
        <w:rPr>
          <w:rFonts w:hint="eastAsia" w:ascii="宋体" w:hAnsi="宋体" w:eastAsia="宋体" w:cs="宋体"/>
          <w:color w:val="000000"/>
          <w:sz w:val="24"/>
          <w:szCs w:val="24"/>
        </w:rPr>
        <w:t>作为违约金。</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15.7乙方与甲方按合同履约，任何违反本合同约定的行为均构成违约，违约方应向守约方支付 </w:t>
      </w:r>
      <w:r>
        <w:rPr>
          <w:rFonts w:hint="eastAsia" w:ascii="宋体" w:hAnsi="宋体" w:eastAsia="宋体" w:cs="宋体"/>
          <w:color w:val="000000"/>
          <w:sz w:val="24"/>
          <w:szCs w:val="24"/>
          <w:u w:val="single"/>
        </w:rPr>
        <w:t>1</w:t>
      </w:r>
      <w:r>
        <w:rPr>
          <w:rFonts w:hint="eastAsia" w:ascii="宋体" w:hAnsi="宋体" w:eastAsia="宋体" w:cs="宋体"/>
          <w:color w:val="000000"/>
          <w:sz w:val="24"/>
          <w:szCs w:val="24"/>
        </w:rPr>
        <w:t>万元/次的违约金（合同另有约定按其条款执行）。</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15.8除合同解除或终止外，违约方承担上述违约责任后仍应继续履行合同。 </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15.9在合同有效期内，若乙方发生不诚信行为情形的，乙方自愿接受甲方按《广州市净水有限公司经营建设项目参建企业不诚信行为管理办法》处理，具体处罚标准详见附件7。</w:t>
      </w:r>
    </w:p>
    <w:p>
      <w:pPr>
        <w:tabs>
          <w:tab w:val="left" w:pos="851"/>
        </w:tabs>
        <w:adjustRightInd w:val="0"/>
        <w:snapToGrid w:val="0"/>
        <w:spacing w:line="500" w:lineRule="exact"/>
        <w:ind w:firstLine="482" w:firstLineChars="200"/>
        <w:jc w:val="left"/>
        <w:rPr>
          <w:rFonts w:ascii="宋体" w:hAnsi="宋体" w:eastAsia="宋体" w:cs="宋体"/>
          <w:b/>
          <w:color w:val="000000"/>
          <w:sz w:val="24"/>
          <w:szCs w:val="24"/>
        </w:rPr>
      </w:pPr>
      <w:r>
        <w:rPr>
          <w:rFonts w:hint="eastAsia" w:ascii="宋体" w:hAnsi="宋体" w:eastAsia="宋体" w:cs="宋体"/>
          <w:b/>
          <w:bCs/>
          <w:color w:val="000000"/>
          <w:sz w:val="24"/>
          <w:szCs w:val="24"/>
        </w:rPr>
        <w:t xml:space="preserve">第十六条  </w:t>
      </w:r>
      <w:r>
        <w:rPr>
          <w:rFonts w:hint="eastAsia" w:ascii="宋体" w:hAnsi="宋体" w:eastAsia="宋体" w:cs="宋体"/>
          <w:b/>
          <w:color w:val="000000"/>
          <w:sz w:val="24"/>
          <w:szCs w:val="24"/>
        </w:rPr>
        <w:t>不可抗力</w:t>
      </w: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（1）地震、火山爆发、滑坡、暴雨（橙色预警及以上）、台风（黄色预警及以上）、海啸、龙卷风、大面积流行病(如：非典型性肺炎等)或瘟疫；</w:t>
      </w: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（2）战争行为、入侵、武装冲突或外敌行为、封锁、暴乱、恐怖行为或军事演习；</w:t>
      </w: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tabs>
          <w:tab w:val="left" w:pos="851"/>
        </w:tabs>
        <w:adjustRightInd w:val="0"/>
        <w:snapToGrid w:val="0"/>
        <w:spacing w:line="500" w:lineRule="exact"/>
        <w:ind w:firstLine="480" w:firstLineChars="200"/>
        <w:jc w:val="left"/>
        <w:rPr>
          <w:rFonts w:ascii="宋体" w:hAnsi="宋体" w:eastAsia="宋体" w:cs="宋体"/>
          <w:bCs/>
          <w:color w:val="000000"/>
          <w:sz w:val="24"/>
          <w:szCs w:val="24"/>
        </w:rPr>
      </w:pPr>
      <w:r>
        <w:rPr>
          <w:rFonts w:hint="eastAsia" w:ascii="宋体" w:hAnsi="宋体" w:eastAsia="宋体" w:cs="宋体"/>
          <w:color w:val="000000"/>
          <w:sz w:val="24"/>
          <w:szCs w:val="24"/>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tabs>
          <w:tab w:val="left" w:pos="851"/>
        </w:tabs>
        <w:adjustRightInd w:val="0"/>
        <w:snapToGrid w:val="0"/>
        <w:spacing w:line="500" w:lineRule="exact"/>
        <w:ind w:firstLine="482" w:firstLineChars="200"/>
        <w:jc w:val="left"/>
        <w:rPr>
          <w:rFonts w:ascii="宋体" w:hAnsi="宋体" w:eastAsia="宋体" w:cs="宋体"/>
          <w:b/>
          <w:bCs/>
          <w:color w:val="000000"/>
          <w:sz w:val="24"/>
          <w:szCs w:val="24"/>
        </w:rPr>
      </w:pPr>
      <w:r>
        <w:rPr>
          <w:rFonts w:hint="eastAsia" w:ascii="宋体" w:hAnsi="宋体" w:eastAsia="宋体" w:cs="宋体"/>
          <w:b/>
          <w:bCs/>
          <w:color w:val="000000"/>
          <w:sz w:val="24"/>
          <w:szCs w:val="24"/>
        </w:rPr>
        <w:t>第十七条 争议解决</w:t>
      </w: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17.1 在本合同履行中，如双方发生争议，应尽量通过协商解决，协商不成的，按下列第</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rPr>
        <w:t>种方式解决：</w:t>
      </w:r>
    </w:p>
    <w:p>
      <w:pPr>
        <w:numPr>
          <w:ilvl w:val="0"/>
          <w:numId w:val="6"/>
        </w:num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向广州仲裁委员会申请仲裁; </w:t>
      </w:r>
    </w:p>
    <w:p>
      <w:pPr>
        <w:numPr>
          <w:ilvl w:val="0"/>
          <w:numId w:val="6"/>
        </w:numPr>
        <w:tabs>
          <w:tab w:val="left" w:pos="851"/>
        </w:tabs>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向</w:t>
      </w:r>
      <w:r>
        <w:rPr>
          <w:rFonts w:hint="eastAsia" w:ascii="宋体" w:hAnsi="宋体" w:eastAsia="宋体" w:cs="宋体"/>
          <w:color w:val="000000"/>
          <w:sz w:val="24"/>
          <w:szCs w:val="24"/>
          <w:u w:val="single"/>
        </w:rPr>
        <w:t xml:space="preserve">工程所在地 </w:t>
      </w:r>
      <w:r>
        <w:rPr>
          <w:rFonts w:hint="eastAsia" w:ascii="宋体" w:hAnsi="宋体" w:eastAsia="宋体" w:cs="宋体"/>
          <w:color w:val="000000"/>
          <w:sz w:val="24"/>
          <w:szCs w:val="24"/>
        </w:rPr>
        <w:t>人民法院起诉。</w:t>
      </w:r>
    </w:p>
    <w:p>
      <w:pPr>
        <w:tabs>
          <w:tab w:val="left" w:pos="851"/>
        </w:tabs>
        <w:adjustRightInd w:val="0"/>
        <w:snapToGrid w:val="0"/>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17.2 在甲方同意的情况下，除有争端之外的合同的其它部分在争端解决前应继续执行。</w:t>
      </w:r>
    </w:p>
    <w:p>
      <w:pPr>
        <w:spacing w:line="500" w:lineRule="exact"/>
        <w:ind w:firstLine="602" w:firstLineChars="250"/>
        <w:rPr>
          <w:rFonts w:ascii="宋体" w:hAnsi="宋体" w:eastAsia="宋体" w:cs="宋体"/>
          <w:b/>
          <w:color w:val="000000"/>
          <w:sz w:val="24"/>
          <w:szCs w:val="24"/>
        </w:rPr>
      </w:pPr>
      <w:r>
        <w:rPr>
          <w:rFonts w:hint="eastAsia" w:ascii="宋体" w:hAnsi="宋体" w:eastAsia="宋体" w:cs="宋体"/>
          <w:b/>
          <w:color w:val="000000"/>
          <w:sz w:val="24"/>
          <w:szCs w:val="24"/>
        </w:rPr>
        <w:t>第十八条  其他：</w:t>
      </w:r>
    </w:p>
    <w:p>
      <w:pPr>
        <w:spacing w:line="500" w:lineRule="exact"/>
        <w:ind w:firstLine="480" w:firstLineChars="200"/>
        <w:rPr>
          <w:rFonts w:ascii="宋体" w:hAnsi="宋体" w:eastAsia="宋体" w:cs="宋体"/>
          <w:b/>
          <w:color w:val="000000"/>
          <w:sz w:val="24"/>
          <w:szCs w:val="24"/>
        </w:rPr>
      </w:pPr>
      <w:r>
        <w:rPr>
          <w:rFonts w:hint="eastAsia" w:ascii="宋体" w:hAnsi="宋体" w:eastAsia="宋体" w:cs="宋体"/>
          <w:color w:val="000000"/>
          <w:sz w:val="24"/>
          <w:szCs w:val="24"/>
        </w:rPr>
        <w:t>18.1 本协议未尽事宜，可由甲方、乙方双方另行签订补充协议。补充协议与本协议具有同等法律效力。</w:t>
      </w:r>
    </w:p>
    <w:p>
      <w:pPr>
        <w:adjustRightInd w:val="0"/>
        <w:spacing w:line="500" w:lineRule="exact"/>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18.2 本协议自甲乙双方法定代表人或授权代理人签字并加盖公章之日起生效，双方履行完合同规定的义务后自动终止。</w:t>
      </w:r>
    </w:p>
    <w:p>
      <w:pPr>
        <w:spacing w:line="500" w:lineRule="exact"/>
        <w:ind w:left="240"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18.3 本合同一式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份，甲方执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份，乙方执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份。均具有同等法律效力。</w:t>
      </w:r>
    </w:p>
    <w:p>
      <w:pPr>
        <w:adjustRightInd w:val="0"/>
        <w:spacing w:line="500" w:lineRule="exact"/>
        <w:ind w:firstLine="480" w:firstLineChars="200"/>
        <w:textAlignment w:val="baseline"/>
        <w:rPr>
          <w:rFonts w:ascii="宋体" w:hAnsi="宋体" w:eastAsia="宋体" w:cs="宋体"/>
          <w:b/>
          <w:bCs/>
          <w:color w:val="000000"/>
          <w:sz w:val="24"/>
          <w:szCs w:val="24"/>
        </w:rPr>
      </w:pPr>
      <w:r>
        <w:rPr>
          <w:rFonts w:hint="eastAsia" w:ascii="宋体" w:hAnsi="宋体" w:eastAsia="宋体" w:cs="宋体"/>
          <w:color w:val="000000"/>
          <w:sz w:val="24"/>
          <w:szCs w:val="24"/>
        </w:rPr>
        <w:t>18.4</w:t>
      </w:r>
      <w:r>
        <w:rPr>
          <w:rFonts w:hint="eastAsia" w:ascii="宋体" w:hAnsi="宋体" w:eastAsia="宋体" w:cs="宋体"/>
          <w:bCs/>
          <w:color w:val="000000"/>
          <w:sz w:val="24"/>
          <w:szCs w:val="24"/>
        </w:rPr>
        <w:t>补充条款：</w:t>
      </w:r>
      <w:r>
        <w:rPr>
          <w:rFonts w:hint="eastAsia" w:ascii="宋体" w:hAnsi="宋体" w:eastAsia="宋体" w:cs="宋体"/>
          <w:color w:val="000000"/>
          <w:sz w:val="24"/>
          <w:szCs w:val="24"/>
          <w:u w:val="single"/>
        </w:rPr>
        <w:t>无</w:t>
      </w:r>
      <w:r>
        <w:rPr>
          <w:rFonts w:hint="eastAsia" w:ascii="宋体" w:hAnsi="宋体" w:eastAsia="宋体" w:cs="宋体"/>
          <w:b/>
          <w:bCs/>
          <w:color w:val="000000"/>
          <w:sz w:val="24"/>
          <w:szCs w:val="24"/>
        </w:rPr>
        <w:t xml:space="preserve">。 </w:t>
      </w:r>
    </w:p>
    <w:p>
      <w:pPr>
        <w:spacing w:line="500" w:lineRule="exact"/>
        <w:ind w:firstLine="480" w:firstLineChars="200"/>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附件：1.中标通知书/发包通知书/成交通知书/委托函；（如有）</w:t>
      </w:r>
    </w:p>
    <w:p>
      <w:pPr>
        <w:spacing w:line="500" w:lineRule="exact"/>
        <w:ind w:firstLine="1200" w:firstLineChars="500"/>
        <w:rPr>
          <w:rFonts w:ascii="宋体" w:hAnsi="宋体" w:eastAsia="宋体" w:cs="宋体"/>
          <w:color w:val="000000"/>
          <w:sz w:val="24"/>
          <w:szCs w:val="24"/>
        </w:rPr>
      </w:pPr>
      <w:r>
        <w:rPr>
          <w:rFonts w:hint="eastAsia" w:ascii="宋体" w:hAnsi="宋体" w:eastAsia="宋体" w:cs="宋体"/>
          <w:color w:val="000000"/>
          <w:sz w:val="24"/>
          <w:szCs w:val="24"/>
        </w:rPr>
        <w:t>2.工程质量保修书</w:t>
      </w:r>
    </w:p>
    <w:p>
      <w:pPr>
        <w:spacing w:line="500" w:lineRule="exact"/>
        <w:ind w:firstLine="1200" w:firstLineChars="500"/>
        <w:rPr>
          <w:rFonts w:ascii="宋体" w:hAnsi="宋体" w:eastAsia="宋体" w:cs="宋体"/>
          <w:color w:val="000000"/>
          <w:sz w:val="24"/>
          <w:szCs w:val="24"/>
        </w:rPr>
      </w:pPr>
      <w:r>
        <w:rPr>
          <w:rFonts w:hint="eastAsia" w:ascii="宋体" w:hAnsi="宋体" w:eastAsia="宋体" w:cs="宋体"/>
          <w:color w:val="000000"/>
          <w:sz w:val="24"/>
          <w:szCs w:val="24"/>
        </w:rPr>
        <w:t>3.廉洁协议</w:t>
      </w:r>
    </w:p>
    <w:p>
      <w:pPr>
        <w:spacing w:line="500" w:lineRule="exact"/>
        <w:ind w:firstLine="1200" w:firstLineChars="500"/>
        <w:rPr>
          <w:rFonts w:ascii="宋体" w:hAnsi="宋体" w:eastAsia="宋体" w:cs="宋体"/>
          <w:color w:val="000000"/>
          <w:sz w:val="24"/>
          <w:szCs w:val="24"/>
        </w:rPr>
      </w:pPr>
      <w:r>
        <w:rPr>
          <w:rFonts w:hint="eastAsia" w:ascii="宋体" w:hAnsi="宋体" w:eastAsia="宋体" w:cs="宋体"/>
          <w:color w:val="000000"/>
          <w:sz w:val="24"/>
          <w:szCs w:val="24"/>
        </w:rPr>
        <w:t>4.施工安全协议书（具体以安全办通知为准）</w:t>
      </w:r>
    </w:p>
    <w:p>
      <w:pPr>
        <w:spacing w:line="500" w:lineRule="exact"/>
        <w:ind w:firstLine="1200" w:firstLineChars="500"/>
        <w:rPr>
          <w:rFonts w:ascii="宋体" w:hAnsi="宋体" w:eastAsia="宋体" w:cs="宋体"/>
          <w:color w:val="000000"/>
          <w:sz w:val="24"/>
          <w:szCs w:val="24"/>
        </w:rPr>
      </w:pPr>
      <w:r>
        <w:rPr>
          <w:rFonts w:hint="eastAsia" w:ascii="宋体" w:hAnsi="宋体" w:eastAsia="宋体" w:cs="宋体"/>
          <w:color w:val="000000"/>
          <w:sz w:val="24"/>
          <w:szCs w:val="24"/>
        </w:rPr>
        <w:t>5.安全生产承诺书</w:t>
      </w:r>
    </w:p>
    <w:p>
      <w:pPr>
        <w:spacing w:line="500" w:lineRule="exact"/>
        <w:ind w:firstLine="1200" w:firstLineChars="500"/>
        <w:rPr>
          <w:rFonts w:ascii="宋体" w:hAnsi="宋体" w:eastAsia="宋体" w:cs="宋体"/>
          <w:color w:val="000000"/>
          <w:sz w:val="24"/>
          <w:szCs w:val="24"/>
        </w:rPr>
      </w:pPr>
      <w:r>
        <w:rPr>
          <w:rFonts w:hint="eastAsia" w:ascii="宋体" w:hAnsi="宋体" w:eastAsia="宋体" w:cs="宋体"/>
          <w:color w:val="000000"/>
          <w:sz w:val="24"/>
          <w:szCs w:val="24"/>
        </w:rPr>
        <w:t>6.投入工程人员架构表</w:t>
      </w:r>
    </w:p>
    <w:p>
      <w:pPr>
        <w:spacing w:line="500" w:lineRule="exact"/>
        <w:ind w:firstLine="1200" w:firstLineChars="500"/>
        <w:rPr>
          <w:rFonts w:ascii="宋体" w:hAnsi="宋体" w:eastAsia="宋体" w:cs="宋体"/>
          <w:color w:val="000000"/>
          <w:sz w:val="24"/>
          <w:szCs w:val="24"/>
        </w:rPr>
      </w:pPr>
      <w:r>
        <w:rPr>
          <w:rFonts w:hint="eastAsia" w:ascii="宋体" w:hAnsi="宋体" w:eastAsia="宋体" w:cs="宋体"/>
          <w:color w:val="000000"/>
          <w:sz w:val="24"/>
          <w:szCs w:val="24"/>
        </w:rPr>
        <w:t>7.工程量清单/报价</w:t>
      </w:r>
    </w:p>
    <w:p>
      <w:pPr>
        <w:spacing w:line="500" w:lineRule="exact"/>
        <w:ind w:firstLine="1200" w:firstLineChars="500"/>
        <w:rPr>
          <w:rFonts w:ascii="宋体" w:hAnsi="宋体" w:eastAsia="宋体" w:cs="宋体"/>
          <w:color w:val="000000"/>
          <w:sz w:val="24"/>
          <w:szCs w:val="24"/>
        </w:rPr>
      </w:pPr>
    </w:p>
    <w:p>
      <w:pPr>
        <w:spacing w:line="500" w:lineRule="exact"/>
        <w:rPr>
          <w:rFonts w:ascii="宋体" w:hAnsi="宋体" w:eastAsia="宋体" w:cs="宋体"/>
          <w:color w:val="000000"/>
          <w:sz w:val="24"/>
          <w:szCs w:val="24"/>
        </w:rPr>
      </w:pPr>
    </w:p>
    <w:p>
      <w:pPr>
        <w:adjustRightInd w:val="0"/>
        <w:spacing w:after="120" w:line="360" w:lineRule="auto"/>
        <w:ind w:firstLine="420"/>
        <w:textAlignment w:val="baseline"/>
        <w:rPr>
          <w:rFonts w:ascii="Times New Roman" w:hAnsi="Times New Roman" w:eastAsia="等线" w:cs="Times New Roman"/>
          <w:color w:val="000000"/>
          <w:szCs w:val="24"/>
        </w:rPr>
      </w:pPr>
    </w:p>
    <w:p>
      <w:pPr>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甲方：广州市净水有限公司（盖章）         乙方：（盖章）</w:t>
      </w:r>
    </w:p>
    <w:p>
      <w:pPr>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法人代表：                               法人代表：</w:t>
      </w:r>
    </w:p>
    <w:p>
      <w:pPr>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地址：                                   地址：</w:t>
      </w:r>
    </w:p>
    <w:p>
      <w:pPr>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委托代理人：                             委托代理人：</w:t>
      </w:r>
    </w:p>
    <w:p>
      <w:pPr>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经办人：                                 经办人：</w:t>
      </w:r>
    </w:p>
    <w:p>
      <w:pPr>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联系电话：                               联系电话：</w:t>
      </w:r>
    </w:p>
    <w:p>
      <w:pPr>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传真：                                   传真：</w:t>
      </w:r>
    </w:p>
    <w:p>
      <w:pPr>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 xml:space="preserve">签署日期：    年    月    日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签署日期：    年    月    日</w:t>
      </w:r>
    </w:p>
    <w:p>
      <w:pPr>
        <w:adjustRightInd w:val="0"/>
        <w:spacing w:after="120" w:line="360" w:lineRule="auto"/>
        <w:ind w:firstLine="420"/>
        <w:textAlignment w:val="baseline"/>
        <w:rPr>
          <w:rFonts w:ascii="Times New Roman" w:hAnsi="Times New Roman" w:eastAsia="等线" w:cs="Times New Roman"/>
          <w:color w:val="000000"/>
          <w:szCs w:val="24"/>
        </w:rPr>
      </w:pPr>
    </w:p>
    <w:p>
      <w:pPr>
        <w:pStyle w:val="2"/>
      </w:pPr>
    </w:p>
    <w:p>
      <w:pPr>
        <w:pStyle w:val="2"/>
      </w:pPr>
    </w:p>
    <w:p>
      <w:pPr>
        <w:pStyle w:val="2"/>
      </w:pPr>
    </w:p>
    <w:p>
      <w:pPr>
        <w:pStyle w:val="2"/>
      </w:pPr>
    </w:p>
    <w:p>
      <w:pPr>
        <w:pStyle w:val="2"/>
      </w:pPr>
    </w:p>
    <w:p>
      <w:pPr>
        <w:pStyle w:val="2"/>
      </w:pPr>
    </w:p>
    <w:p>
      <w:pPr>
        <w:pStyle w:val="2"/>
      </w:pPr>
    </w:p>
    <w:p>
      <w:pPr>
        <w:spacing w:beforeLines="50" w:line="580" w:lineRule="exact"/>
        <w:outlineLvl w:val="1"/>
        <w:rPr>
          <w:rFonts w:ascii="宋体" w:hAnsi="宋体" w:eastAsia="仿宋_GB2312" w:cs="Times New Roman"/>
          <w:b/>
          <w:color w:val="000000"/>
          <w:sz w:val="24"/>
          <w:szCs w:val="32"/>
        </w:rPr>
      </w:pPr>
      <w:r>
        <w:rPr>
          <w:rFonts w:hint="eastAsia" w:ascii="宋体" w:hAnsi="宋体" w:eastAsia="仿宋_GB2312" w:cs="Times New Roman"/>
          <w:b/>
          <w:color w:val="000000"/>
          <w:sz w:val="24"/>
          <w:szCs w:val="32"/>
        </w:rPr>
        <w:t>附件1：成交通知书</w:t>
      </w:r>
    </w:p>
    <w:p>
      <w:pPr>
        <w:spacing w:beforeLines="50" w:line="580" w:lineRule="exact"/>
        <w:outlineLvl w:val="1"/>
        <w:rPr>
          <w:rFonts w:ascii="宋体" w:hAnsi="宋体" w:eastAsia="仿宋_GB2312" w:cs="Times New Roman"/>
          <w:b/>
          <w:color w:val="000000"/>
          <w:sz w:val="24"/>
          <w:szCs w:val="32"/>
        </w:rPr>
      </w:pPr>
    </w:p>
    <w:p>
      <w:pPr>
        <w:spacing w:beforeLines="50" w:line="580" w:lineRule="exact"/>
        <w:outlineLvl w:val="1"/>
        <w:rPr>
          <w:rFonts w:ascii="宋体" w:hAnsi="宋体" w:eastAsia="仿宋_GB2312" w:cs="Times New Roman"/>
          <w:b/>
          <w:color w:val="000000"/>
          <w:sz w:val="24"/>
          <w:szCs w:val="32"/>
        </w:rPr>
      </w:pPr>
    </w:p>
    <w:p>
      <w:pPr>
        <w:spacing w:beforeLines="50" w:line="580" w:lineRule="exact"/>
        <w:outlineLvl w:val="1"/>
        <w:rPr>
          <w:rFonts w:ascii="宋体" w:hAnsi="宋体" w:eastAsia="仿宋_GB2312" w:cs="Times New Roman"/>
          <w:b/>
          <w:color w:val="000000"/>
          <w:sz w:val="24"/>
          <w:szCs w:val="32"/>
        </w:rPr>
      </w:pPr>
    </w:p>
    <w:p>
      <w:pPr>
        <w:spacing w:beforeLines="50" w:line="580" w:lineRule="exact"/>
        <w:outlineLvl w:val="1"/>
        <w:rPr>
          <w:rFonts w:ascii="宋体" w:hAnsi="宋体" w:eastAsia="仿宋_GB2312" w:cs="Times New Roman"/>
          <w:b/>
          <w:color w:val="000000"/>
          <w:sz w:val="24"/>
          <w:szCs w:val="32"/>
        </w:rPr>
      </w:pPr>
    </w:p>
    <w:p>
      <w:pPr>
        <w:spacing w:beforeLines="50" w:line="580" w:lineRule="exact"/>
        <w:outlineLvl w:val="1"/>
        <w:rPr>
          <w:rFonts w:ascii="宋体" w:hAnsi="宋体" w:eastAsia="仿宋_GB2312" w:cs="Times New Roman"/>
          <w:b/>
          <w:color w:val="000000"/>
          <w:sz w:val="24"/>
          <w:szCs w:val="32"/>
        </w:rPr>
      </w:pPr>
    </w:p>
    <w:p>
      <w:pPr>
        <w:adjustRightInd w:val="0"/>
        <w:spacing w:after="120" w:line="360" w:lineRule="auto"/>
        <w:ind w:firstLine="420"/>
        <w:textAlignment w:val="baseline"/>
        <w:rPr>
          <w:rFonts w:ascii="宋体" w:hAnsi="宋体" w:eastAsia="等线" w:cs="Times New Roman"/>
          <w:b/>
          <w:color w:val="000000"/>
          <w:sz w:val="24"/>
          <w:szCs w:val="24"/>
        </w:rPr>
      </w:pPr>
    </w:p>
    <w:p>
      <w:pPr>
        <w:adjustRightInd w:val="0"/>
        <w:spacing w:after="120" w:line="360" w:lineRule="auto"/>
        <w:ind w:firstLine="420"/>
        <w:textAlignment w:val="baseline"/>
        <w:rPr>
          <w:rFonts w:ascii="宋体" w:hAnsi="宋体" w:eastAsia="等线" w:cs="Times New Roman"/>
          <w:b/>
          <w:color w:val="000000"/>
          <w:sz w:val="24"/>
          <w:szCs w:val="24"/>
        </w:rPr>
      </w:pPr>
    </w:p>
    <w:p>
      <w:pPr>
        <w:adjustRightInd w:val="0"/>
        <w:spacing w:after="120" w:line="360" w:lineRule="auto"/>
        <w:ind w:firstLine="420"/>
        <w:textAlignment w:val="baseline"/>
        <w:rPr>
          <w:rFonts w:ascii="宋体" w:hAnsi="宋体" w:eastAsia="等线" w:cs="Times New Roman"/>
          <w:b/>
          <w:color w:val="000000"/>
          <w:sz w:val="24"/>
          <w:szCs w:val="24"/>
        </w:rPr>
      </w:pPr>
    </w:p>
    <w:p>
      <w:pPr>
        <w:adjustRightInd w:val="0"/>
        <w:spacing w:after="120" w:line="360" w:lineRule="auto"/>
        <w:ind w:firstLine="420"/>
        <w:textAlignment w:val="baseline"/>
        <w:rPr>
          <w:rFonts w:ascii="宋体" w:hAnsi="宋体" w:eastAsia="等线" w:cs="Times New Roman"/>
          <w:b/>
          <w:color w:val="000000"/>
          <w:sz w:val="24"/>
          <w:szCs w:val="24"/>
        </w:rPr>
      </w:pPr>
    </w:p>
    <w:p>
      <w:pPr>
        <w:adjustRightInd w:val="0"/>
        <w:spacing w:after="120" w:line="360" w:lineRule="auto"/>
        <w:ind w:firstLine="420"/>
        <w:textAlignment w:val="baseline"/>
        <w:rPr>
          <w:rFonts w:ascii="宋体" w:hAnsi="宋体" w:eastAsia="等线" w:cs="Times New Roman"/>
          <w:b/>
          <w:color w:val="000000"/>
          <w:sz w:val="24"/>
          <w:szCs w:val="24"/>
        </w:rPr>
      </w:pPr>
    </w:p>
    <w:p>
      <w:pPr>
        <w:adjustRightInd w:val="0"/>
        <w:spacing w:after="120" w:line="360" w:lineRule="auto"/>
        <w:ind w:firstLine="420"/>
        <w:textAlignment w:val="baseline"/>
        <w:rPr>
          <w:rFonts w:ascii="宋体" w:hAnsi="宋体" w:eastAsia="等线" w:cs="Times New Roman"/>
          <w:b/>
          <w:color w:val="000000"/>
          <w:sz w:val="24"/>
          <w:szCs w:val="24"/>
        </w:rPr>
      </w:pPr>
    </w:p>
    <w:p>
      <w:pPr>
        <w:adjustRightInd w:val="0"/>
        <w:spacing w:after="120" w:line="360" w:lineRule="auto"/>
        <w:ind w:firstLine="420"/>
        <w:textAlignment w:val="baseline"/>
        <w:rPr>
          <w:rFonts w:ascii="宋体" w:hAnsi="宋体" w:eastAsia="等线" w:cs="Times New Roman"/>
          <w:b/>
          <w:color w:val="000000"/>
          <w:sz w:val="24"/>
          <w:szCs w:val="24"/>
        </w:rPr>
      </w:pPr>
    </w:p>
    <w:p>
      <w:pPr>
        <w:adjustRightInd w:val="0"/>
        <w:spacing w:after="120" w:line="360" w:lineRule="auto"/>
        <w:ind w:firstLine="420"/>
        <w:textAlignment w:val="baseline"/>
        <w:rPr>
          <w:rFonts w:ascii="宋体" w:hAnsi="宋体" w:eastAsia="等线" w:cs="Times New Roman"/>
          <w:b/>
          <w:color w:val="000000"/>
          <w:sz w:val="24"/>
          <w:szCs w:val="24"/>
        </w:rPr>
      </w:pPr>
    </w:p>
    <w:p>
      <w:pPr>
        <w:adjustRightInd w:val="0"/>
        <w:spacing w:after="120" w:line="360" w:lineRule="auto"/>
        <w:ind w:firstLine="420"/>
        <w:textAlignment w:val="baseline"/>
        <w:rPr>
          <w:rFonts w:ascii="宋体" w:hAnsi="宋体" w:eastAsia="等线" w:cs="Times New Roman"/>
          <w:b/>
          <w:color w:val="000000"/>
          <w:sz w:val="24"/>
          <w:szCs w:val="24"/>
        </w:rPr>
      </w:pPr>
    </w:p>
    <w:p>
      <w:pPr>
        <w:adjustRightInd w:val="0"/>
        <w:spacing w:after="120" w:line="360" w:lineRule="auto"/>
        <w:ind w:firstLine="420"/>
        <w:textAlignment w:val="baseline"/>
        <w:rPr>
          <w:rFonts w:ascii="宋体" w:hAnsi="宋体" w:eastAsia="等线" w:cs="Times New Roman"/>
          <w:b/>
          <w:color w:val="000000"/>
          <w:sz w:val="24"/>
          <w:szCs w:val="24"/>
        </w:rPr>
      </w:pPr>
    </w:p>
    <w:p>
      <w:pPr>
        <w:spacing w:beforeLines="50" w:line="580" w:lineRule="exact"/>
        <w:outlineLvl w:val="1"/>
        <w:rPr>
          <w:rFonts w:ascii="宋体" w:hAnsi="宋体" w:eastAsia="仿宋_GB2312" w:cs="Times New Roman"/>
          <w:b/>
          <w:color w:val="000000"/>
          <w:sz w:val="24"/>
          <w:szCs w:val="32"/>
        </w:rPr>
      </w:pPr>
    </w:p>
    <w:p>
      <w:pPr>
        <w:spacing w:beforeLines="50" w:line="580" w:lineRule="exact"/>
        <w:outlineLvl w:val="1"/>
        <w:rPr>
          <w:rFonts w:ascii="宋体" w:hAnsi="宋体" w:eastAsia="仿宋_GB2312" w:cs="Times New Roman"/>
          <w:b/>
          <w:color w:val="000000"/>
          <w:sz w:val="24"/>
          <w:szCs w:val="32"/>
        </w:rPr>
      </w:pPr>
    </w:p>
    <w:p>
      <w:pPr>
        <w:spacing w:beforeLines="50" w:line="580" w:lineRule="exact"/>
        <w:outlineLvl w:val="1"/>
        <w:rPr>
          <w:rFonts w:ascii="宋体" w:hAnsi="宋体" w:eastAsia="仿宋_GB2312" w:cs="Times New Roman"/>
          <w:b/>
          <w:color w:val="000000"/>
          <w:sz w:val="24"/>
          <w:szCs w:val="32"/>
        </w:rPr>
      </w:pPr>
    </w:p>
    <w:p>
      <w:pPr>
        <w:pStyle w:val="2"/>
        <w:rPr>
          <w:rFonts w:ascii="宋体" w:hAnsi="宋体" w:eastAsia="仿宋_GB2312" w:cs="Times New Roman"/>
          <w:b/>
          <w:color w:val="000000"/>
          <w:sz w:val="24"/>
          <w:szCs w:val="32"/>
        </w:rPr>
      </w:pPr>
    </w:p>
    <w:p>
      <w:pPr>
        <w:pStyle w:val="2"/>
        <w:rPr>
          <w:rFonts w:ascii="宋体" w:hAnsi="宋体" w:eastAsia="仿宋_GB2312" w:cs="Times New Roman"/>
          <w:b/>
          <w:color w:val="000000"/>
          <w:sz w:val="24"/>
          <w:szCs w:val="32"/>
        </w:rPr>
      </w:pPr>
    </w:p>
    <w:p>
      <w:pPr>
        <w:spacing w:beforeLines="50" w:line="400" w:lineRule="exact"/>
        <w:outlineLvl w:val="1"/>
        <w:rPr>
          <w:rFonts w:ascii="仿宋_GB2312" w:hAnsi="Times New Roman" w:eastAsia="仿宋_GB2312" w:cs="Times New Roman"/>
          <w:sz w:val="32"/>
          <w:szCs w:val="32"/>
        </w:rPr>
      </w:pPr>
      <w:r>
        <w:rPr>
          <w:rFonts w:hint="eastAsia" w:ascii="宋体" w:hAnsi="宋体" w:eastAsia="仿宋_GB2312" w:cs="Times New Roman"/>
          <w:b/>
          <w:color w:val="000000"/>
          <w:sz w:val="24"/>
          <w:szCs w:val="32"/>
        </w:rPr>
        <w:t>附件2：工程质量保修书</w:t>
      </w:r>
    </w:p>
    <w:p>
      <w:pPr>
        <w:autoSpaceDE w:val="0"/>
        <w:autoSpaceDN w:val="0"/>
        <w:adjustRightInd w:val="0"/>
        <w:spacing w:before="100" w:after="100" w:line="400" w:lineRule="exact"/>
        <w:ind w:left="250" w:right="-26"/>
        <w:jc w:val="center"/>
        <w:rPr>
          <w:rFonts w:ascii="宋体" w:hAnsi="宋体" w:eastAsia="宋体" w:cs="宋体"/>
          <w:color w:val="000000"/>
          <w:kern w:val="0"/>
          <w:sz w:val="24"/>
          <w:szCs w:val="32"/>
        </w:rPr>
      </w:pPr>
      <w:r>
        <w:rPr>
          <w:rFonts w:hint="eastAsia" w:ascii="宋体" w:hAnsi="宋体" w:eastAsia="宋体" w:cs="宋体"/>
          <w:b/>
          <w:bCs/>
          <w:color w:val="000000"/>
          <w:kern w:val="0"/>
          <w:sz w:val="24"/>
          <w:szCs w:val="32"/>
        </w:rPr>
        <w:t>工程质量保修书</w:t>
      </w:r>
    </w:p>
    <w:p>
      <w:pPr>
        <w:autoSpaceDE w:val="0"/>
        <w:autoSpaceDN w:val="0"/>
        <w:adjustRightInd w:val="0"/>
        <w:spacing w:before="100" w:after="100" w:line="400" w:lineRule="exact"/>
        <w:ind w:right="-26"/>
        <w:jc w:val="left"/>
        <w:rPr>
          <w:rFonts w:ascii="宋体" w:hAnsi="宋体" w:eastAsia="宋体" w:cs="宋体"/>
          <w:color w:val="000000"/>
          <w:kern w:val="0"/>
          <w:sz w:val="24"/>
          <w:szCs w:val="32"/>
        </w:rPr>
      </w:pPr>
    </w:p>
    <w:p>
      <w:pPr>
        <w:autoSpaceDE w:val="0"/>
        <w:autoSpaceDN w:val="0"/>
        <w:adjustRightInd w:val="0"/>
        <w:spacing w:before="100" w:after="100" w:line="400" w:lineRule="exact"/>
        <w:ind w:right="-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承包人（甲方）：广州市净水有限公司</w:t>
      </w:r>
    </w:p>
    <w:p>
      <w:pPr>
        <w:autoSpaceDE w:val="0"/>
        <w:autoSpaceDN w:val="0"/>
        <w:adjustRightInd w:val="0"/>
        <w:spacing w:before="100" w:after="100" w:line="400" w:lineRule="exact"/>
        <w:ind w:right="-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发包人（乙方）： </w:t>
      </w:r>
    </w:p>
    <w:p>
      <w:pPr>
        <w:spacing w:line="400" w:lineRule="exact"/>
        <w:rPr>
          <w:rFonts w:ascii="宋体" w:hAnsi="宋体" w:eastAsia="宋体" w:cs="宋体"/>
          <w:color w:val="000000"/>
          <w:sz w:val="24"/>
          <w:szCs w:val="24"/>
        </w:rPr>
      </w:pPr>
    </w:p>
    <w:p>
      <w:pPr>
        <w:spacing w:line="4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为保证</w:t>
      </w:r>
      <w:r>
        <w:rPr>
          <w:rFonts w:hint="eastAsia" w:ascii="宋体" w:hAnsi="宋体" w:eastAsia="宋体" w:cs="宋体"/>
          <w:color w:val="000000"/>
          <w:sz w:val="24"/>
          <w:szCs w:val="24"/>
          <w:u w:val="single"/>
        </w:rPr>
        <w:t>广州市净水有限公司猎德分公司广场</w:t>
      </w:r>
      <w:r>
        <w:rPr>
          <w:rFonts w:hint="eastAsia" w:ascii="宋体" w:hAnsi="宋体" w:eastAsia="宋体" w:cs="宋体"/>
          <w:color w:val="000000"/>
          <w:sz w:val="24"/>
          <w:szCs w:val="24"/>
          <w:u w:val="single"/>
          <w:lang w:eastAsia="zh-CN"/>
        </w:rPr>
        <w:t>及四期周边道路与路侧石维修</w:t>
      </w:r>
      <w:r>
        <w:rPr>
          <w:rFonts w:hint="eastAsia" w:ascii="宋体" w:hAnsi="宋体" w:eastAsia="宋体" w:cs="宋体"/>
          <w:color w:val="000000"/>
          <w:sz w:val="24"/>
          <w:szCs w:val="24"/>
          <w:u w:val="single"/>
        </w:rPr>
        <w:t>项目</w:t>
      </w:r>
      <w:r>
        <w:rPr>
          <w:rFonts w:hint="eastAsia" w:ascii="宋体" w:hAnsi="宋体" w:eastAsia="宋体" w:cs="宋体"/>
          <w:color w:val="000000"/>
          <w:sz w:val="24"/>
          <w:szCs w:val="24"/>
        </w:rPr>
        <w:t>在合理使用期限内正常使用，甲方、乙方协商一致签订工程质量保修书。乙方在质量保修期内按照有关管理规定及双方约定承担工程质量保修责任。</w:t>
      </w:r>
    </w:p>
    <w:p>
      <w:pPr>
        <w:autoSpaceDE w:val="0"/>
        <w:autoSpaceDN w:val="0"/>
        <w:adjustRightInd w:val="0"/>
        <w:spacing w:before="100" w:after="100" w:line="400" w:lineRule="exact"/>
        <w:ind w:left="250" w:right="-26"/>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一、工程质量保修范围和内容</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质量保修范围双方约定如下：</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u w:val="single"/>
        </w:rPr>
        <w:t>即乙方施工的工程范围。</w:t>
      </w:r>
    </w:p>
    <w:p>
      <w:pPr>
        <w:autoSpaceDE w:val="0"/>
        <w:autoSpaceDN w:val="0"/>
        <w:adjustRightInd w:val="0"/>
        <w:spacing w:before="100" w:after="100" w:line="400" w:lineRule="exact"/>
        <w:ind w:left="250" w:right="-26"/>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二、质量保修期</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质量保修期从工程实际竣工之日算起。分单项竣工验收的工程，按单项工程分别计算质量保修期。</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双方根据国家有关规定，结合具体工程约定本工程的质量保修期如下：</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1、土建工程为</w:t>
      </w:r>
      <w:r>
        <w:rPr>
          <w:rFonts w:hint="eastAsia" w:ascii="宋体" w:hAnsi="宋体" w:eastAsia="宋体" w:cs="宋体"/>
          <w:color w:val="000000"/>
          <w:kern w:val="0"/>
          <w:sz w:val="24"/>
          <w:szCs w:val="24"/>
          <w:u w:val="single"/>
        </w:rPr>
        <w:t>2</w:t>
      </w:r>
      <w:r>
        <w:rPr>
          <w:rFonts w:hint="eastAsia" w:ascii="宋体" w:hAnsi="宋体" w:eastAsia="宋体" w:cs="宋体"/>
          <w:color w:val="000000"/>
          <w:kern w:val="0"/>
          <w:sz w:val="24"/>
          <w:szCs w:val="24"/>
        </w:rPr>
        <w:t>年，屋面防水工程为</w:t>
      </w:r>
      <w:r>
        <w:rPr>
          <w:rFonts w:hint="eastAsia" w:ascii="宋体" w:hAnsi="宋体" w:eastAsia="宋体" w:cs="宋体"/>
          <w:color w:val="000000"/>
          <w:kern w:val="0"/>
          <w:sz w:val="24"/>
          <w:szCs w:val="24"/>
          <w:u w:val="single"/>
        </w:rPr>
        <w:t>5</w:t>
      </w:r>
      <w:r>
        <w:rPr>
          <w:rFonts w:hint="eastAsia" w:ascii="宋体" w:hAnsi="宋体" w:eastAsia="宋体" w:cs="宋体"/>
          <w:color w:val="000000"/>
          <w:kern w:val="0"/>
          <w:sz w:val="24"/>
          <w:szCs w:val="24"/>
        </w:rPr>
        <w:t>年；</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2、电气管线、上下水管线安装工程为</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rPr>
        <w:t>年；</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3、供热及供冷为为</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rPr>
        <w:t xml:space="preserve">个采暖期及供冷期； </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4、室外的上下水和小区道路等市政公用工程为</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rPr>
        <w:t>年；</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5、其他约定：</w:t>
      </w:r>
      <w:r>
        <w:rPr>
          <w:rFonts w:hint="eastAsia" w:ascii="宋体" w:hAnsi="宋体" w:eastAsia="宋体" w:cs="宋体"/>
          <w:color w:val="000000"/>
          <w:kern w:val="0"/>
          <w:sz w:val="24"/>
          <w:szCs w:val="24"/>
          <w:u w:val="single"/>
        </w:rPr>
        <w:t>/  .</w:t>
      </w:r>
    </w:p>
    <w:p>
      <w:pPr>
        <w:autoSpaceDE w:val="0"/>
        <w:autoSpaceDN w:val="0"/>
        <w:adjustRightInd w:val="0"/>
        <w:spacing w:before="100" w:after="100" w:line="400" w:lineRule="exact"/>
        <w:ind w:left="250" w:right="-26"/>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三、质量保修责任</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1、属于保修范围、内容的项目，乙方应当在接到保修通知之日起48小时内派人修理。乙方不在约定期限内派人修理，甲方可以委托其他人员修理，保修费用从质量保修金内扣除。</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2、发生紧急抢修事故的（如上水跑水、暖气漏水漏气、燃气漏气等），乙方在接到事故通知后，应当立即到达事故现场抢修。非乙方施工质量引起的事故，抢修费用由甲方承担。</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3、在国家规定的工程合理使用期限内，乙方确保地基基础工程和主体结构的质量。因乙方原因致使工程在合理使用期限内造成人身和财产损害的，乙方应承担损害赔偿责任。</w:t>
      </w:r>
    </w:p>
    <w:p>
      <w:pPr>
        <w:autoSpaceDE w:val="0"/>
        <w:autoSpaceDN w:val="0"/>
        <w:adjustRightInd w:val="0"/>
        <w:spacing w:before="100" w:after="100" w:line="400" w:lineRule="exact"/>
        <w:ind w:left="250" w:right="-26"/>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四、质量保修金的支付</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工程质量保修金一般不超过施工合同价款的</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％，本工程约定的工程质量保修金为合同暂定总价/合同结算审定价的</w:t>
      </w:r>
      <w:r>
        <w:rPr>
          <w:rFonts w:hint="eastAsia" w:ascii="宋体" w:hAnsi="宋体" w:eastAsia="宋体" w:cs="宋体"/>
          <w:b/>
          <w:bCs/>
          <w:color w:val="000000"/>
          <w:kern w:val="0"/>
          <w:sz w:val="24"/>
          <w:szCs w:val="24"/>
          <w:u w:val="single"/>
        </w:rPr>
        <w:t xml:space="preserve">5%   </w:t>
      </w:r>
      <w:r>
        <w:rPr>
          <w:rFonts w:hint="eastAsia" w:ascii="宋体" w:hAnsi="宋体" w:eastAsia="宋体" w:cs="宋体"/>
          <w:color w:val="000000"/>
          <w:kern w:val="0"/>
          <w:sz w:val="24"/>
          <w:szCs w:val="24"/>
        </w:rPr>
        <w:t>。</w:t>
      </w:r>
    </w:p>
    <w:p>
      <w:pPr>
        <w:autoSpaceDE w:val="0"/>
        <w:autoSpaceDN w:val="0"/>
        <w:adjustRightInd w:val="0"/>
        <w:spacing w:before="100" w:after="100" w:line="400" w:lineRule="exact"/>
        <w:ind w:left="250" w:right="-26"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本工程双方约定乙方向甲方支付工程质量保修金金额</w:t>
      </w:r>
      <w:r>
        <w:rPr>
          <w:rFonts w:hint="eastAsia" w:ascii="宋体" w:hAnsi="宋体" w:eastAsia="宋体" w:cs="宋体"/>
          <w:color w:val="000000"/>
          <w:kern w:val="0"/>
          <w:sz w:val="24"/>
          <w:szCs w:val="24"/>
          <w:u w:val="single"/>
        </w:rPr>
        <w:t>详见《广州市净水有限公司猎德分公司广场</w:t>
      </w:r>
      <w:r>
        <w:rPr>
          <w:rFonts w:hint="eastAsia" w:ascii="宋体" w:hAnsi="宋体" w:eastAsia="宋体" w:cs="宋体"/>
          <w:color w:val="000000"/>
          <w:kern w:val="0"/>
          <w:sz w:val="24"/>
          <w:szCs w:val="24"/>
          <w:u w:val="single"/>
          <w:lang w:eastAsia="zh-CN"/>
        </w:rPr>
        <w:t>及四期周边道路与路侧石维修</w:t>
      </w:r>
      <w:r>
        <w:rPr>
          <w:rFonts w:hint="eastAsia" w:ascii="宋体" w:hAnsi="宋体" w:eastAsia="宋体" w:cs="宋体"/>
          <w:color w:val="000000"/>
          <w:kern w:val="0"/>
          <w:sz w:val="24"/>
          <w:szCs w:val="24"/>
          <w:u w:val="single"/>
        </w:rPr>
        <w:t>项目（穗净水合〔2023〕   号》</w:t>
      </w:r>
      <w:r>
        <w:rPr>
          <w:rFonts w:hint="eastAsia" w:ascii="宋体" w:hAnsi="宋体" w:eastAsia="宋体" w:cs="宋体"/>
          <w:color w:val="000000"/>
          <w:kern w:val="0"/>
          <w:sz w:val="24"/>
          <w:szCs w:val="24"/>
        </w:rPr>
        <w:t>。质量保修金银行利率为</w:t>
      </w:r>
      <w:r>
        <w:rPr>
          <w:rFonts w:hint="eastAsia" w:ascii="宋体" w:hAnsi="宋体" w:eastAsia="宋体" w:cs="宋体"/>
          <w:color w:val="000000"/>
          <w:kern w:val="0"/>
          <w:sz w:val="24"/>
          <w:szCs w:val="24"/>
          <w:u w:val="single"/>
        </w:rPr>
        <w:t xml:space="preserve"> 零 </w:t>
      </w:r>
      <w:r>
        <w:rPr>
          <w:rFonts w:hint="eastAsia" w:ascii="宋体" w:hAnsi="宋体" w:eastAsia="宋体" w:cs="宋体"/>
          <w:color w:val="000000"/>
          <w:kern w:val="0"/>
          <w:sz w:val="24"/>
          <w:szCs w:val="24"/>
        </w:rPr>
        <w:t>。</w:t>
      </w:r>
    </w:p>
    <w:p>
      <w:pPr>
        <w:autoSpaceDE w:val="0"/>
        <w:autoSpaceDN w:val="0"/>
        <w:adjustRightInd w:val="0"/>
        <w:spacing w:before="100" w:after="100" w:line="400" w:lineRule="exact"/>
        <w:ind w:left="250" w:right="-26"/>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五、其他</w:t>
      </w:r>
    </w:p>
    <w:p>
      <w:pPr>
        <w:autoSpaceDE w:val="0"/>
        <w:autoSpaceDN w:val="0"/>
        <w:adjustRightInd w:val="0"/>
        <w:spacing w:before="100" w:after="100" w:line="400" w:lineRule="exact"/>
        <w:ind w:left="250" w:right="-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双方约定的其他质量保修事项：</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w:t>
      </w:r>
    </w:p>
    <w:p>
      <w:pPr>
        <w:autoSpaceDE w:val="0"/>
        <w:autoSpaceDN w:val="0"/>
        <w:adjustRightInd w:val="0"/>
        <w:spacing w:before="100" w:after="100" w:line="400" w:lineRule="exact"/>
        <w:ind w:left="250" w:right="-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本工程质量保修书作为施工合同附件，由甲方、乙方双方共同签署。</w:t>
      </w:r>
    </w:p>
    <w:p>
      <w:pPr>
        <w:autoSpaceDE w:val="0"/>
        <w:autoSpaceDN w:val="0"/>
        <w:adjustRightInd w:val="0"/>
        <w:spacing w:before="100" w:after="100" w:line="400" w:lineRule="exact"/>
        <w:ind w:left="6698" w:leftChars="104" w:right="360" w:hanging="6480" w:hangingChars="2700"/>
        <w:rPr>
          <w:rFonts w:ascii="宋体" w:hAnsi="宋体" w:eastAsia="宋体" w:cs="宋体"/>
          <w:color w:val="000000"/>
          <w:kern w:val="0"/>
          <w:sz w:val="24"/>
          <w:szCs w:val="24"/>
        </w:rPr>
      </w:pPr>
      <w:r>
        <w:rPr>
          <w:rFonts w:hint="eastAsia" w:ascii="宋体" w:hAnsi="宋体" w:eastAsia="宋体" w:cs="宋体"/>
          <w:color w:val="000000"/>
          <w:kern w:val="0"/>
          <w:sz w:val="24"/>
          <w:szCs w:val="24"/>
        </w:rPr>
        <w:t>甲方（甲方）：                      乙方（乙方）:</w:t>
      </w:r>
    </w:p>
    <w:p>
      <w:pPr>
        <w:autoSpaceDE w:val="0"/>
        <w:autoSpaceDN w:val="0"/>
        <w:adjustRightInd w:val="0"/>
        <w:spacing w:before="100" w:after="100" w:line="400" w:lineRule="exact"/>
        <w:ind w:right="360" w:firstLine="240" w:firstLineChars="100"/>
        <w:rPr>
          <w:rFonts w:ascii="宋体" w:hAnsi="宋体" w:eastAsia="宋体" w:cs="宋体"/>
          <w:color w:val="000000"/>
          <w:sz w:val="24"/>
          <w:szCs w:val="24"/>
        </w:rPr>
      </w:pPr>
      <w:r>
        <w:rPr>
          <w:rFonts w:hint="eastAsia" w:ascii="宋体" w:hAnsi="宋体" w:eastAsia="宋体" w:cs="宋体"/>
          <w:color w:val="000000"/>
          <w:kern w:val="0"/>
          <w:sz w:val="24"/>
          <w:szCs w:val="24"/>
        </w:rPr>
        <w:t xml:space="preserve">广州市净水有限公司                    </w:t>
      </w:r>
    </w:p>
    <w:p>
      <w:pPr>
        <w:autoSpaceDE w:val="0"/>
        <w:autoSpaceDN w:val="0"/>
        <w:adjustRightInd w:val="0"/>
        <w:spacing w:before="100" w:after="100" w:line="400" w:lineRule="exact"/>
        <w:ind w:right="-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（盖章）                           （盖章）</w:t>
      </w:r>
    </w:p>
    <w:p>
      <w:pPr>
        <w:autoSpaceDE w:val="0"/>
        <w:autoSpaceDN w:val="0"/>
        <w:adjustRightInd w:val="0"/>
        <w:spacing w:line="400" w:lineRule="exact"/>
        <w:ind w:left="360" w:right="-17" w:rightChars="-8"/>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经办人：                             经办人：</w:t>
      </w:r>
    </w:p>
    <w:p>
      <w:pPr>
        <w:autoSpaceDE w:val="0"/>
        <w:autoSpaceDN w:val="0"/>
        <w:adjustRightInd w:val="0"/>
        <w:spacing w:line="400" w:lineRule="exact"/>
        <w:ind w:left="360" w:right="-15" w:rightChars="-7"/>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  话：                             电   话：</w:t>
      </w:r>
    </w:p>
    <w:p>
      <w:pPr>
        <w:autoSpaceDE w:val="0"/>
        <w:autoSpaceDN w:val="0"/>
        <w:adjustRightInd w:val="0"/>
        <w:spacing w:before="100" w:after="100" w:line="400" w:lineRule="exact"/>
        <w:ind w:right="-26"/>
        <w:jc w:val="left"/>
        <w:rPr>
          <w:rFonts w:ascii="宋体" w:hAnsi="宋体" w:eastAsia="宋体" w:cs="宋体"/>
          <w:b/>
          <w:bCs/>
          <w:color w:val="000000"/>
          <w:kern w:val="0"/>
          <w:sz w:val="24"/>
          <w:szCs w:val="24"/>
        </w:rPr>
      </w:pPr>
      <w:r>
        <w:rPr>
          <w:rFonts w:hint="eastAsia" w:ascii="宋体" w:hAnsi="宋体" w:eastAsia="宋体" w:cs="宋体"/>
          <w:color w:val="000000"/>
          <w:kern w:val="0"/>
          <w:sz w:val="24"/>
          <w:szCs w:val="24"/>
        </w:rPr>
        <w:t xml:space="preserve">   签订日期：      年   月   日         签订日期：      年   月   日</w:t>
      </w:r>
    </w:p>
    <w:p>
      <w:pPr>
        <w:spacing w:beforeLines="50" w:line="500" w:lineRule="exact"/>
        <w:outlineLvl w:val="1"/>
        <w:rPr>
          <w:rFonts w:ascii="宋体" w:hAnsi="宋体" w:eastAsia="宋体" w:cs="宋体"/>
          <w:b/>
          <w:color w:val="000000"/>
          <w:sz w:val="24"/>
          <w:szCs w:val="32"/>
        </w:rPr>
      </w:pPr>
    </w:p>
    <w:p>
      <w:pPr>
        <w:spacing w:beforeLines="50" w:line="500" w:lineRule="exact"/>
        <w:outlineLvl w:val="1"/>
        <w:rPr>
          <w:rFonts w:ascii="宋体" w:hAnsi="宋体" w:eastAsia="宋体" w:cs="宋体"/>
          <w:b/>
          <w:color w:val="000000"/>
          <w:sz w:val="24"/>
          <w:szCs w:val="32"/>
        </w:rPr>
      </w:pPr>
    </w:p>
    <w:p>
      <w:pPr>
        <w:spacing w:beforeLines="50" w:line="500" w:lineRule="exact"/>
        <w:outlineLvl w:val="1"/>
        <w:rPr>
          <w:rFonts w:ascii="宋体" w:hAnsi="宋体" w:eastAsia="宋体" w:cs="宋体"/>
          <w:b/>
          <w:color w:val="000000"/>
          <w:sz w:val="24"/>
          <w:szCs w:val="32"/>
        </w:rPr>
      </w:pPr>
    </w:p>
    <w:p>
      <w:pPr>
        <w:spacing w:beforeLines="50" w:line="500" w:lineRule="exact"/>
        <w:outlineLvl w:val="1"/>
        <w:rPr>
          <w:rFonts w:ascii="宋体" w:hAnsi="宋体" w:eastAsia="宋体" w:cs="宋体"/>
          <w:b/>
          <w:color w:val="000000"/>
          <w:sz w:val="24"/>
          <w:szCs w:val="32"/>
        </w:rPr>
      </w:pPr>
    </w:p>
    <w:p>
      <w:pPr>
        <w:spacing w:beforeLines="50" w:line="500" w:lineRule="exact"/>
        <w:outlineLvl w:val="1"/>
        <w:rPr>
          <w:rFonts w:ascii="宋体" w:hAnsi="宋体" w:eastAsia="宋体" w:cs="宋体"/>
          <w:b/>
          <w:color w:val="000000"/>
          <w:sz w:val="24"/>
          <w:szCs w:val="32"/>
        </w:rPr>
      </w:pPr>
    </w:p>
    <w:p>
      <w:pPr>
        <w:spacing w:beforeLines="50" w:line="500" w:lineRule="exact"/>
        <w:outlineLvl w:val="1"/>
        <w:rPr>
          <w:rFonts w:ascii="宋体" w:hAnsi="宋体" w:eastAsia="宋体" w:cs="宋体"/>
          <w:b/>
          <w:color w:val="000000"/>
          <w:sz w:val="24"/>
          <w:szCs w:val="32"/>
        </w:rPr>
      </w:pPr>
    </w:p>
    <w:p>
      <w:pPr>
        <w:pStyle w:val="2"/>
        <w:rPr>
          <w:rFonts w:ascii="宋体" w:hAnsi="宋体" w:eastAsia="宋体" w:cs="宋体"/>
          <w:b/>
          <w:color w:val="000000"/>
          <w:sz w:val="24"/>
          <w:szCs w:val="32"/>
        </w:rPr>
      </w:pPr>
    </w:p>
    <w:p>
      <w:pPr>
        <w:pStyle w:val="2"/>
        <w:rPr>
          <w:rFonts w:ascii="宋体" w:hAnsi="宋体" w:eastAsia="宋体" w:cs="宋体"/>
          <w:b/>
          <w:color w:val="000000"/>
          <w:sz w:val="24"/>
          <w:szCs w:val="32"/>
        </w:rPr>
      </w:pPr>
    </w:p>
    <w:p>
      <w:pPr>
        <w:spacing w:beforeLines="50" w:line="500" w:lineRule="exact"/>
        <w:outlineLvl w:val="1"/>
        <w:rPr>
          <w:rFonts w:ascii="宋体" w:hAnsi="宋体" w:eastAsia="宋体" w:cs="宋体"/>
          <w:b/>
          <w:color w:val="000000"/>
          <w:sz w:val="24"/>
          <w:szCs w:val="32"/>
        </w:rPr>
      </w:pPr>
      <w:r>
        <w:rPr>
          <w:rFonts w:hint="eastAsia" w:ascii="宋体" w:hAnsi="宋体" w:eastAsia="宋体" w:cs="宋体"/>
          <w:b/>
          <w:color w:val="000000"/>
          <w:sz w:val="24"/>
          <w:szCs w:val="32"/>
        </w:rPr>
        <w:t>附件3：</w:t>
      </w:r>
    </w:p>
    <w:p>
      <w:pPr>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 xml:space="preserve">(以下称甲方)与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广州市净水有限公司猎德分公司广场</w:t>
      </w:r>
      <w:r>
        <w:rPr>
          <w:rFonts w:hint="eastAsia" w:ascii="仿宋_GB2312" w:hAnsi="仿宋_GB2312" w:eastAsia="仿宋_GB2312" w:cs="仿宋_GB2312"/>
          <w:bCs/>
          <w:sz w:val="28"/>
          <w:szCs w:val="28"/>
          <w:u w:val="single"/>
          <w:lang w:eastAsia="zh-CN"/>
        </w:rPr>
        <w:t>及四期周边道路与路侧石维修</w:t>
      </w:r>
      <w:r>
        <w:rPr>
          <w:rFonts w:hint="eastAsia" w:ascii="仿宋_GB2312" w:hAnsi="仿宋_GB2312" w:eastAsia="仿宋_GB2312" w:cs="仿宋_GB2312"/>
          <w:bCs/>
          <w:sz w:val="28"/>
          <w:szCs w:val="28"/>
          <w:u w:val="single"/>
        </w:rPr>
        <w:t>项目</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spacing w:after="120" w:line="520" w:lineRule="exact"/>
        <w:ind w:left="420" w:left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widowControl/>
        <w:spacing w:before="100" w:after="100" w:afterAutospacing="1" w:line="52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after="100" w:afterAutospacing="1" w:line="52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1、扣除主合同的全部履约保证金；</w:t>
      </w:r>
    </w:p>
    <w:p>
      <w:pPr>
        <w:widowControl/>
        <w:spacing w:before="100" w:after="100" w:afterAutospacing="1" w:line="52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2、解除主合同；</w:t>
      </w:r>
    </w:p>
    <w:p>
      <w:pPr>
        <w:widowControl/>
        <w:spacing w:before="100" w:after="100" w:afterAutospacing="1" w:line="52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3、追究乙方其他违约责任；</w:t>
      </w:r>
    </w:p>
    <w:p>
      <w:pPr>
        <w:widowControl/>
        <w:spacing w:before="100" w:after="100" w:afterAutospacing="1" w:line="52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4、根据甲方的有关规章制度，在一定时间内暂停乙方参与甲方及下属单位所有项目的交易资格；</w:t>
      </w:r>
    </w:p>
    <w:p>
      <w:pPr>
        <w:widowControl/>
        <w:spacing w:before="100" w:after="100" w:afterAutospacing="1" w:line="52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5、根据甲方的有关规章制度，将乙方清退出甲方相关企业库；</w:t>
      </w:r>
    </w:p>
    <w:p>
      <w:pPr>
        <w:widowControl/>
        <w:spacing w:before="100" w:after="100" w:afterAutospacing="1" w:line="52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6、根据甲方上级单位、行政主管部门的意见、决定执行；</w:t>
      </w:r>
    </w:p>
    <w:p>
      <w:pPr>
        <w:widowControl/>
        <w:spacing w:before="100" w:after="100" w:afterAutospacing="1" w:line="52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 xml:space="preserve">  《广州市净水有限公司猎德分公司广场</w:t>
      </w:r>
      <w:r>
        <w:rPr>
          <w:rFonts w:hint="eastAsia" w:ascii="仿宋_GB2312" w:hAnsi="仿宋_GB2312" w:eastAsia="仿宋_GB2312" w:cs="仿宋_GB2312"/>
          <w:bCs/>
          <w:sz w:val="28"/>
          <w:szCs w:val="28"/>
          <w:u w:val="single"/>
          <w:lang w:eastAsia="zh-CN"/>
        </w:rPr>
        <w:t>及四期周边道路与路侧石维修</w:t>
      </w:r>
      <w:r>
        <w:rPr>
          <w:rFonts w:hint="eastAsia" w:ascii="仿宋_GB2312" w:hAnsi="仿宋_GB2312" w:eastAsia="仿宋_GB2312" w:cs="仿宋_GB2312"/>
          <w:bCs/>
          <w:sz w:val="28"/>
          <w:szCs w:val="28"/>
          <w:u w:val="single"/>
        </w:rPr>
        <w:t>项目》（穗净水合〔2023〕   号</w:t>
      </w:r>
      <w:r>
        <w:rPr>
          <w:rFonts w:hint="eastAsia" w:ascii="仿宋_GB2312" w:hAnsi="仿宋_GB2312" w:eastAsia="仿宋_GB2312" w:cs="仿宋_GB2312"/>
          <w:bCs/>
          <w:sz w:val="28"/>
          <w:szCs w:val="28"/>
          <w:u w:val="single"/>
          <w:lang w:eastAsia="zh-CN"/>
        </w:rPr>
        <w:t>）</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贰</w:t>
      </w:r>
      <w:r>
        <w:rPr>
          <w:rFonts w:hint="eastAsia" w:ascii="仿宋_GB2312" w:hAnsi="仿宋_GB2312" w:eastAsia="仿宋_GB2312" w:cs="仿宋_GB2312"/>
          <w:bCs/>
          <w:sz w:val="28"/>
          <w:szCs w:val="28"/>
        </w:rPr>
        <w:t>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textWrapping"/>
      </w:r>
      <w:r>
        <w:rPr>
          <w:rFonts w:hint="eastAsia" w:ascii="仿宋_GB2312" w:hAnsi="仿宋_GB2312" w:eastAsia="仿宋_GB2312" w:cs="仿宋_GB2312"/>
          <w:bCs/>
          <w:sz w:val="28"/>
          <w:szCs w:val="28"/>
        </w:rPr>
        <w:t>甲方（章）：广州市净水有限公司   乙方（章）：</w:t>
      </w:r>
    </w:p>
    <w:p>
      <w:pPr>
        <w:tabs>
          <w:tab w:val="left" w:pos="5100"/>
        </w:tabs>
        <w:spacing w:line="520" w:lineRule="exact"/>
        <w:ind w:left="720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spacing w:beforeLines="50" w:line="500" w:lineRule="exact"/>
        <w:outlineLvl w:val="1"/>
        <w:rPr>
          <w:rFonts w:ascii="宋体" w:hAnsi="宋体" w:eastAsia="宋体" w:cs="宋体"/>
          <w:b/>
          <w:color w:val="000000"/>
          <w:sz w:val="24"/>
          <w:szCs w:val="32"/>
        </w:rPr>
      </w:pPr>
    </w:p>
    <w:p>
      <w:pPr>
        <w:spacing w:beforeLines="50" w:line="500" w:lineRule="exact"/>
        <w:outlineLvl w:val="1"/>
        <w:rPr>
          <w:rFonts w:ascii="宋体" w:hAnsi="宋体" w:eastAsia="宋体" w:cs="宋体"/>
          <w:b/>
          <w:color w:val="000000"/>
          <w:sz w:val="24"/>
          <w:szCs w:val="32"/>
        </w:rPr>
      </w:pPr>
    </w:p>
    <w:p>
      <w:pPr>
        <w:spacing w:beforeLines="50" w:line="500" w:lineRule="exact"/>
        <w:outlineLvl w:val="1"/>
        <w:rPr>
          <w:rFonts w:ascii="宋体" w:hAnsi="宋体" w:eastAsia="宋体" w:cs="宋体"/>
          <w:b/>
          <w:color w:val="000000"/>
          <w:sz w:val="24"/>
          <w:szCs w:val="32"/>
        </w:rPr>
      </w:pPr>
    </w:p>
    <w:p>
      <w:pPr>
        <w:pStyle w:val="2"/>
        <w:rPr>
          <w:rFonts w:ascii="宋体" w:hAnsi="宋体" w:eastAsia="宋体" w:cs="宋体"/>
          <w:b/>
          <w:color w:val="000000"/>
          <w:sz w:val="24"/>
          <w:szCs w:val="32"/>
        </w:rPr>
      </w:pPr>
    </w:p>
    <w:p>
      <w:pPr>
        <w:pStyle w:val="2"/>
        <w:rPr>
          <w:rFonts w:ascii="宋体" w:hAnsi="宋体" w:eastAsia="宋体" w:cs="宋体"/>
          <w:b/>
          <w:color w:val="000000"/>
          <w:sz w:val="24"/>
          <w:szCs w:val="32"/>
        </w:rPr>
      </w:pPr>
    </w:p>
    <w:p>
      <w:pPr>
        <w:pStyle w:val="2"/>
        <w:rPr>
          <w:rFonts w:ascii="宋体" w:hAnsi="宋体" w:eastAsia="宋体" w:cs="宋体"/>
          <w:b/>
          <w:color w:val="000000"/>
          <w:sz w:val="24"/>
          <w:szCs w:val="32"/>
        </w:rPr>
      </w:pPr>
    </w:p>
    <w:p>
      <w:pPr>
        <w:pStyle w:val="2"/>
        <w:rPr>
          <w:rFonts w:ascii="宋体" w:hAnsi="宋体" w:eastAsia="宋体" w:cs="宋体"/>
          <w:b/>
          <w:color w:val="000000"/>
          <w:sz w:val="24"/>
          <w:szCs w:val="32"/>
        </w:rPr>
      </w:pPr>
    </w:p>
    <w:p>
      <w:pPr>
        <w:spacing w:beforeLines="50" w:line="500" w:lineRule="exact"/>
        <w:outlineLvl w:val="1"/>
        <w:rPr>
          <w:rFonts w:ascii="宋体" w:hAnsi="宋体" w:eastAsia="宋体" w:cs="宋体"/>
          <w:b/>
          <w:color w:val="000000"/>
          <w:sz w:val="24"/>
          <w:szCs w:val="32"/>
        </w:rPr>
      </w:pPr>
    </w:p>
    <w:p>
      <w:pPr>
        <w:spacing w:beforeLines="50" w:line="500" w:lineRule="exact"/>
        <w:outlineLvl w:val="1"/>
        <w:rPr>
          <w:rFonts w:ascii="宋体" w:hAnsi="宋体" w:eastAsia="宋体" w:cs="宋体"/>
          <w:b/>
          <w:color w:val="000000"/>
          <w:sz w:val="24"/>
          <w:szCs w:val="32"/>
        </w:rPr>
      </w:pPr>
    </w:p>
    <w:p>
      <w:pPr>
        <w:spacing w:beforeLines="50" w:line="500" w:lineRule="exact"/>
        <w:outlineLvl w:val="1"/>
        <w:rPr>
          <w:rFonts w:ascii="宋体" w:hAnsi="宋体" w:eastAsia="宋体" w:cs="宋体"/>
          <w:b/>
          <w:color w:val="000000"/>
          <w:sz w:val="24"/>
          <w:szCs w:val="32"/>
        </w:rPr>
      </w:pPr>
    </w:p>
    <w:p>
      <w:pPr>
        <w:spacing w:beforeLines="50" w:line="440" w:lineRule="exact"/>
        <w:outlineLvl w:val="1"/>
        <w:rPr>
          <w:rFonts w:ascii="宋体" w:hAnsi="宋体" w:eastAsia="宋体" w:cs="宋体"/>
          <w:b/>
          <w:color w:val="000000"/>
          <w:sz w:val="24"/>
          <w:szCs w:val="32"/>
        </w:rPr>
      </w:pPr>
      <w:r>
        <w:rPr>
          <w:rFonts w:hint="eastAsia" w:ascii="宋体" w:hAnsi="宋体" w:eastAsia="宋体" w:cs="宋体"/>
          <w:b/>
          <w:color w:val="000000"/>
          <w:sz w:val="24"/>
          <w:szCs w:val="32"/>
        </w:rPr>
        <w:t xml:space="preserve">附件4：                                                     </w:t>
      </w:r>
    </w:p>
    <w:p>
      <w:pPr>
        <w:spacing w:line="44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440" w:lineRule="exact"/>
        <w:rPr>
          <w:rFonts w:ascii="宋体" w:hAnsi="宋体" w:eastAsia="宋体" w:cs="宋体"/>
          <w:color w:val="000000"/>
          <w:sz w:val="24"/>
          <w:szCs w:val="32"/>
        </w:rPr>
      </w:pPr>
    </w:p>
    <w:p>
      <w:pPr>
        <w:spacing w:line="44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甲方：</w:t>
      </w:r>
      <w:r>
        <w:rPr>
          <w:rFonts w:hint="eastAsia" w:ascii="宋体" w:hAnsi="宋体" w:eastAsia="宋体" w:cs="宋体"/>
          <w:color w:val="000000"/>
          <w:sz w:val="24"/>
          <w:szCs w:val="24"/>
        </w:rPr>
        <w:t>广州市净水有限公司</w:t>
      </w:r>
    </w:p>
    <w:p>
      <w:pPr>
        <w:spacing w:line="44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乙方： </w:t>
      </w:r>
    </w:p>
    <w:p>
      <w:pPr>
        <w:adjustRightInd w:val="0"/>
        <w:snapToGrid w:val="0"/>
        <w:spacing w:line="440" w:lineRule="exact"/>
        <w:jc w:val="left"/>
        <w:rPr>
          <w:rStyle w:val="25"/>
          <w:rFonts w:ascii="宋体" w:hAnsi="宋体" w:eastAsia="宋体" w:cs="宋体"/>
          <w:b w:val="0"/>
          <w:color w:val="000000"/>
          <w:sz w:val="24"/>
          <w:szCs w:val="24"/>
          <w:u w:val="single"/>
        </w:rPr>
      </w:pPr>
    </w:p>
    <w:p>
      <w:pPr>
        <w:adjustRightInd w:val="0"/>
        <w:snapToGrid w:val="0"/>
        <w:spacing w:line="44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82" w:firstLineChars="200"/>
        <w:jc w:val="left"/>
        <w:rPr>
          <w:rFonts w:ascii="宋体" w:hAnsi="宋体" w:eastAsia="宋体" w:cs="宋体"/>
          <w:b/>
          <w:color w:val="000000"/>
          <w:sz w:val="24"/>
          <w:szCs w:val="24"/>
        </w:rPr>
      </w:pPr>
      <w:r>
        <w:rPr>
          <w:rFonts w:hint="eastAsia" w:ascii="宋体" w:hAnsi="宋体" w:eastAsia="宋体" w:cs="宋体"/>
          <w:b/>
          <w:color w:val="000000"/>
          <w:sz w:val="24"/>
          <w:szCs w:val="24"/>
        </w:rPr>
        <w:t>一、本协议与主合同的关系</w:t>
      </w:r>
    </w:p>
    <w:p>
      <w:pPr>
        <w:adjustRightInd w:val="0"/>
        <w:snapToGrid w:val="0"/>
        <w:spacing w:line="440" w:lineRule="exact"/>
        <w:ind w:left="105"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本协议作为</w:t>
      </w:r>
      <w:r>
        <w:rPr>
          <w:rFonts w:hint="eastAsia" w:ascii="宋体" w:hAnsi="宋体" w:eastAsia="宋体" w:cs="宋体"/>
          <w:color w:val="000000"/>
          <w:sz w:val="24"/>
          <w:szCs w:val="24"/>
          <w:u w:val="single"/>
        </w:rPr>
        <w:t>广州市净水有限公司猎德分公司广场</w:t>
      </w:r>
      <w:r>
        <w:rPr>
          <w:rFonts w:hint="eastAsia" w:ascii="宋体" w:hAnsi="宋体" w:eastAsia="宋体" w:cs="宋体"/>
          <w:color w:val="000000"/>
          <w:sz w:val="24"/>
          <w:szCs w:val="24"/>
          <w:u w:val="single"/>
          <w:lang w:eastAsia="zh-CN"/>
        </w:rPr>
        <w:t>及四期周边道路与路侧石维修</w:t>
      </w:r>
      <w:r>
        <w:rPr>
          <w:rFonts w:hint="eastAsia" w:ascii="宋体" w:hAnsi="宋体" w:eastAsia="宋体" w:cs="宋体"/>
          <w:color w:val="000000"/>
          <w:sz w:val="24"/>
          <w:szCs w:val="24"/>
          <w:u w:val="single"/>
        </w:rPr>
        <w:t>项目</w:t>
      </w:r>
      <w:r>
        <w:rPr>
          <w:rFonts w:hint="eastAsia" w:ascii="宋体" w:hAnsi="宋体" w:eastAsia="宋体" w:cs="宋体"/>
          <w:color w:val="000000"/>
          <w:sz w:val="24"/>
          <w:szCs w:val="24"/>
        </w:rPr>
        <w:t>的组成部分，与主合同具有同等法律。</w:t>
      </w:r>
    </w:p>
    <w:p>
      <w:pPr>
        <w:adjustRightInd w:val="0"/>
        <w:snapToGrid w:val="0"/>
        <w:spacing w:line="440" w:lineRule="exact"/>
        <w:ind w:firstLine="482" w:firstLineChars="200"/>
        <w:jc w:val="left"/>
        <w:rPr>
          <w:rFonts w:ascii="宋体" w:hAnsi="宋体" w:eastAsia="宋体" w:cs="Times New Roman"/>
          <w:b/>
          <w:sz w:val="24"/>
        </w:rPr>
      </w:pPr>
      <w:r>
        <w:rPr>
          <w:rFonts w:ascii="宋体" w:hAnsi="宋体" w:eastAsia="宋体" w:cs="Times New Roman"/>
          <w:b/>
          <w:sz w:val="24"/>
        </w:rPr>
        <w:t>二、</w:t>
      </w:r>
      <w:r>
        <w:rPr>
          <w:rFonts w:hint="eastAsia" w:ascii="宋体" w:hAnsi="宋体" w:eastAsia="宋体" w:cs="Times New Roman"/>
          <w:b/>
          <w:sz w:val="24"/>
        </w:rPr>
        <w:t>甲方权责</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（一）在甲方生产营运场所内施工的，告知乙方该场所已知存在的安全风险，并要求乙方在作业前应重新识别现场的安全风险并采取措施进行管控。</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（二）落实生产营运等相关配合措施，提供必要的施工条件。</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（三）要求乙方遵守的甲方安全管理要求。</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（四）有权对乙方安全措施投入、现场安全施工情况等进行安全监督检查，并提出整改。</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（五）按照《广州市净水有限公司工程项目安全管理规范》等办法对乙方进行施工安全管理评价。</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（六）对于乙方不服从甲方管理，违反安全生产管理规定等违约行为的，甲方有权对乙方采取以下一种或以上的方式处理：</w:t>
      </w:r>
    </w:p>
    <w:p>
      <w:pPr>
        <w:adjustRightInd w:val="0"/>
        <w:snapToGrid w:val="0"/>
        <w:spacing w:line="440" w:lineRule="exact"/>
        <w:ind w:firstLine="480" w:firstLineChars="200"/>
        <w:jc w:val="left"/>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按主合同相关条款进行经济扣罚；</w:t>
      </w:r>
    </w:p>
    <w:p>
      <w:pPr>
        <w:adjustRightInd w:val="0"/>
        <w:snapToGrid w:val="0"/>
        <w:spacing w:line="440" w:lineRule="exact"/>
        <w:ind w:firstLine="480" w:firstLineChars="200"/>
        <w:jc w:val="left"/>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根据《广州市水务局关于印发广州市水务工程施工和监理企业诚信评价管理办法的通知》（穗水建设〔2</w:t>
      </w:r>
      <w:r>
        <w:rPr>
          <w:rFonts w:ascii="宋体" w:hAnsi="宋体" w:eastAsia="宋体" w:cs="Times New Roman"/>
          <w:sz w:val="24"/>
        </w:rPr>
        <w:t>014</w:t>
      </w:r>
      <w:r>
        <w:rPr>
          <w:rFonts w:hint="eastAsia" w:ascii="宋体" w:hAnsi="宋体" w:eastAsia="宋体" w:cs="Times New Roman"/>
          <w:sz w:val="24"/>
        </w:rPr>
        <w:t>〕1</w:t>
      </w:r>
      <w:r>
        <w:rPr>
          <w:rFonts w:ascii="宋体" w:hAnsi="宋体" w:eastAsia="宋体" w:cs="Times New Roman"/>
          <w:sz w:val="24"/>
        </w:rPr>
        <w:t>0</w:t>
      </w:r>
      <w:r>
        <w:rPr>
          <w:rFonts w:hint="eastAsia" w:ascii="宋体" w:hAnsi="宋体" w:eastAsia="宋体" w:cs="Times New Roman"/>
          <w:sz w:val="24"/>
        </w:rPr>
        <w:t>号）、《市净水公司关于印发施工和监理企业诚信评价工作实施办法的通知》（穗净水〔201</w:t>
      </w:r>
      <w:r>
        <w:rPr>
          <w:rFonts w:ascii="宋体" w:hAnsi="宋体" w:eastAsia="宋体" w:cs="Times New Roman"/>
          <w:sz w:val="24"/>
        </w:rPr>
        <w:t>5</w:t>
      </w:r>
      <w:r>
        <w:rPr>
          <w:rFonts w:hint="eastAsia" w:ascii="宋体" w:hAnsi="宋体" w:eastAsia="宋体" w:cs="Times New Roman"/>
          <w:sz w:val="24"/>
        </w:rPr>
        <w:t>〕2</w:t>
      </w:r>
      <w:r>
        <w:rPr>
          <w:rFonts w:ascii="宋体" w:hAnsi="宋体" w:eastAsia="宋体" w:cs="Times New Roman"/>
          <w:sz w:val="24"/>
        </w:rPr>
        <w:t>40</w:t>
      </w:r>
      <w:r>
        <w:rPr>
          <w:rFonts w:hint="eastAsia" w:ascii="宋体" w:hAnsi="宋体" w:eastAsia="宋体" w:cs="Times New Roman"/>
          <w:sz w:val="24"/>
        </w:rPr>
        <w:t>号），进行诚信扣分（合同期内有新的文件印发的，按照最新的文件执行）；</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3</w:t>
      </w:r>
      <w:r>
        <w:rPr>
          <w:rFonts w:ascii="宋体" w:hAnsi="宋体" w:eastAsia="宋体" w:cs="Times New Roman"/>
          <w:sz w:val="24"/>
        </w:rPr>
        <w:t>.</w:t>
      </w:r>
      <w:r>
        <w:rPr>
          <w:rFonts w:hint="eastAsia" w:ascii="宋体" w:hAnsi="宋体" w:eastAsia="宋体" w:cs="Times New Roman"/>
          <w:sz w:val="24"/>
        </w:rPr>
        <w:t>限制投保，或经其他单位承包后以分别方参与项目实施；</w:t>
      </w:r>
    </w:p>
    <w:p>
      <w:pPr>
        <w:adjustRightInd w:val="0"/>
        <w:snapToGrid w:val="0"/>
        <w:spacing w:line="440" w:lineRule="exact"/>
        <w:ind w:firstLine="480" w:firstLineChars="200"/>
        <w:jc w:val="left"/>
        <w:rPr>
          <w:rFonts w:ascii="宋体" w:hAnsi="宋体" w:eastAsia="宋体" w:cs="Times New Roman"/>
          <w:sz w:val="24"/>
        </w:rPr>
      </w:pPr>
      <w:r>
        <w:rPr>
          <w:rFonts w:ascii="宋体" w:hAnsi="宋体" w:eastAsia="宋体" w:cs="Times New Roman"/>
          <w:sz w:val="24"/>
        </w:rPr>
        <w:t>4.</w:t>
      </w:r>
      <w:r>
        <w:rPr>
          <w:rFonts w:hint="eastAsia" w:ascii="宋体" w:hAnsi="宋体" w:eastAsia="宋体" w:cs="Times New Roman"/>
          <w:sz w:val="24"/>
        </w:rPr>
        <w:t>向上级进行反映，包括但不限于广东省市政行业协会、广州市市政公路协会等。</w:t>
      </w:r>
    </w:p>
    <w:p>
      <w:pPr>
        <w:spacing w:line="440" w:lineRule="exact"/>
        <w:ind w:firstLine="480" w:firstLineChars="200"/>
        <w:rPr>
          <w:rFonts w:ascii="宋体" w:hAnsi="宋体" w:eastAsia="宋体" w:cs="Arial"/>
          <w:kern w:val="0"/>
          <w:sz w:val="24"/>
        </w:rPr>
      </w:pPr>
      <w:r>
        <w:rPr>
          <w:rFonts w:hint="eastAsia" w:ascii="宋体" w:hAnsi="宋体" w:eastAsia="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440" w:lineRule="exact"/>
        <w:ind w:firstLine="482" w:firstLineChars="200"/>
        <w:jc w:val="left"/>
        <w:rPr>
          <w:rFonts w:ascii="宋体" w:hAnsi="宋体" w:eastAsia="宋体" w:cs="Times New Roman"/>
          <w:b/>
          <w:sz w:val="24"/>
        </w:rPr>
      </w:pPr>
      <w:r>
        <w:rPr>
          <w:rFonts w:hint="eastAsia" w:ascii="宋体" w:hAnsi="宋体" w:eastAsia="宋体" w:cs="Times New Roman"/>
          <w:b/>
          <w:sz w:val="24"/>
        </w:rPr>
        <w:t>三、乙方权责</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（二）严格执行国家、地方和行业主管部门关于施工的强制性标准、地方行政法规、管理要求。</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依法为施工现场作业的人员办理意外伤害保险、购买安全生产责任保险。</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（三）乙方应在合同签订后</w:t>
      </w:r>
      <w:r>
        <w:rPr>
          <w:rFonts w:hint="eastAsia" w:ascii="宋体" w:hAnsi="宋体" w:eastAsia="宋体" w:cs="Times New Roman"/>
          <w:sz w:val="24"/>
          <w:u w:val="single"/>
        </w:rPr>
        <w:t>20</w:t>
      </w:r>
      <w:r>
        <w:rPr>
          <w:rFonts w:hint="eastAsia" w:ascii="宋体" w:hAnsi="宋体" w:eastAsia="宋体" w:cs="Times New Roman"/>
          <w:sz w:val="24"/>
        </w:rPr>
        <w:t>日内制定安全生产文明施工措施费投入使用计划，并提交甲方备案，保证施工安全措施投入。</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（四）严格按照甲方制定的《广州市净水有限公司工程项目安全管理规范》要求，落实各项安全管理工作。</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根据当前国家、行业或甲方近期安全管理的突出方面，或针对项目实际，有针对性地开展安全管理工作，接受甲方的安全管理评价。</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配合甲方的安全监督检查，并立即对提出的问题隐患进行整改。</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乙方该项目的管理人员、作业人员（包括分包人员）每年由乙方单位依法开展安全生产教育培训，并保存好相关培训证明备查。</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施工过程中，项目管理人员、作业人员（包括分包人员）需进行调整的，必须书面向甲方请示，并获得甲方批准后方可执行变更。</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（七）发生突发事件时，应立即报甲方，并同时积极主动地开展应急救援，采取有效措施将事故影响控制在最小范围内。</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（八）严格履行本协议，遵守甲方各项管理规定，服从管理。</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（九）对甲方的违章指挥，拒绝执行，但需书面明确指出甲方所违反的具体法律法规、标准规范等。</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（十）乙方委托的第三方运输单位或个人，违反本协议的，全部责任均由乙方承担。</w:t>
      </w:r>
    </w:p>
    <w:p>
      <w:pPr>
        <w:adjustRightInd w:val="0"/>
        <w:snapToGrid w:val="0"/>
        <w:spacing w:line="440" w:lineRule="exact"/>
        <w:ind w:firstLine="482" w:firstLineChars="200"/>
        <w:jc w:val="left"/>
        <w:rPr>
          <w:rFonts w:ascii="宋体" w:hAnsi="宋体" w:eastAsia="宋体" w:cs="Times New Roman"/>
          <w:b/>
          <w:sz w:val="24"/>
        </w:rPr>
      </w:pPr>
      <w:r>
        <w:rPr>
          <w:rFonts w:hint="eastAsia" w:ascii="宋体" w:hAnsi="宋体" w:eastAsia="宋体" w:cs="Times New Roman"/>
          <w:b/>
          <w:sz w:val="24"/>
        </w:rPr>
        <w:t>四、事故责任</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（一）在乙方承包范围内，由于乙方责任发生生产安全事故时，造成的甲方、乙方或者第三方人身伤害事故，乙方负全部责任。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（二）乙方人员违规进入甲方或第三方承包区域，造成事故的，乙方负全部事故责任；乙方人员遭受人身伤害的，乙方负全部责任。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（四）乙方在甲方生产区域内发生生产安全事故后，必须在第一时间向甲方报告，迟报或者隐瞒不报生产安全事故，承担事故的全部责任。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（五）乙方各类人员在甲方生产区域内发生人身伤害事故和其他事故，乙方应开展调查、处理、统计、上报并向甲方报告，配合甲方及有关部门开展事故调查。</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440" w:lineRule="exact"/>
        <w:ind w:firstLine="482" w:firstLineChars="200"/>
        <w:rPr>
          <w:rFonts w:ascii="宋体" w:hAnsi="宋体" w:eastAsia="宋体" w:cs="Times New Roman"/>
          <w:sz w:val="24"/>
        </w:rPr>
      </w:pPr>
      <w:r>
        <w:rPr>
          <w:rFonts w:hint="eastAsia" w:ascii="宋体" w:hAnsi="宋体" w:eastAsia="宋体" w:cs="Times New Roman"/>
          <w:b/>
          <w:sz w:val="24"/>
        </w:rPr>
        <w:t>五、补充条款：</w:t>
      </w:r>
      <w:r>
        <w:rPr>
          <w:rFonts w:hint="eastAsia" w:ascii="宋体" w:hAnsi="宋体" w:eastAsia="宋体" w:cs="Times New Roman"/>
          <w:sz w:val="24"/>
          <w:u w:val="single"/>
        </w:rPr>
        <w:t>无</w:t>
      </w:r>
      <w:r>
        <w:rPr>
          <w:rFonts w:hint="eastAsia" w:ascii="宋体" w:hAnsi="宋体" w:eastAsia="宋体" w:cs="Times New Roman"/>
          <w:sz w:val="24"/>
        </w:rPr>
        <w:t>。</w:t>
      </w:r>
    </w:p>
    <w:p>
      <w:pPr>
        <w:adjustRightInd w:val="0"/>
        <w:snapToGrid w:val="0"/>
        <w:spacing w:line="440" w:lineRule="exact"/>
        <w:ind w:firstLine="482" w:firstLineChars="200"/>
        <w:jc w:val="left"/>
        <w:rPr>
          <w:rFonts w:ascii="宋体" w:hAnsi="宋体" w:eastAsia="宋体" w:cs="Times New Roman"/>
          <w:b/>
          <w:sz w:val="24"/>
        </w:rPr>
      </w:pPr>
      <w:r>
        <w:rPr>
          <w:rFonts w:hint="eastAsia" w:ascii="宋体" w:hAnsi="宋体" w:eastAsia="宋体" w:cs="Times New Roman"/>
          <w:b/>
          <w:sz w:val="24"/>
        </w:rPr>
        <w:t>六、附则</w:t>
      </w:r>
    </w:p>
    <w:p>
      <w:pPr>
        <w:adjustRightInd w:val="0"/>
        <w:snapToGrid w:val="0"/>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（一）本协议未尽事宜，依据有关法律、法规、规章处理。法律、法规、规章没有明确规定的，经双方协商处理解决。</w:t>
      </w:r>
    </w:p>
    <w:p>
      <w:pPr>
        <w:adjustRightInd w:val="0"/>
        <w:snapToGrid w:val="0"/>
        <w:spacing w:line="440" w:lineRule="exact"/>
        <w:ind w:firstLine="480" w:firstLineChars="200"/>
        <w:jc w:val="left"/>
        <w:rPr>
          <w:rFonts w:ascii="宋体" w:hAnsi="宋体" w:eastAsia="宋体" w:cs="宋体"/>
          <w:color w:val="000000"/>
          <w:sz w:val="24"/>
          <w:szCs w:val="24"/>
        </w:rPr>
      </w:pPr>
      <w:r>
        <w:rPr>
          <w:rFonts w:hint="eastAsia" w:ascii="宋体" w:hAnsi="宋体" w:eastAsia="宋体" w:cs="Times New Roman"/>
          <w:sz w:val="24"/>
        </w:rPr>
        <w:t>（二）本协议与主合同同时签订、同时终止、同时生效，具有相同的法律效力，自甲方、乙方双方签字、盖章生效，甲方、乙方双方执持数量与主合同一致。</w:t>
      </w:r>
    </w:p>
    <w:p>
      <w:pPr>
        <w:adjustRightInd w:val="0"/>
        <w:snapToGrid w:val="0"/>
        <w:spacing w:line="440" w:lineRule="exact"/>
        <w:rPr>
          <w:rFonts w:ascii="宋体" w:hAnsi="宋体" w:eastAsia="宋体" w:cs="宋体"/>
          <w:color w:val="000000"/>
          <w:sz w:val="24"/>
          <w:szCs w:val="24"/>
        </w:rPr>
      </w:pPr>
    </w:p>
    <w:p>
      <w:pPr>
        <w:spacing w:line="440" w:lineRule="exact"/>
        <w:ind w:left="5490" w:leftChars="100" w:hanging="5280" w:hangingChars="2200"/>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甲方：　                              乙方： </w:t>
      </w:r>
    </w:p>
    <w:p>
      <w:pPr>
        <w:adjustRightInd w:val="0"/>
        <w:snapToGrid w:val="0"/>
        <w:spacing w:line="440" w:lineRule="exact"/>
        <w:ind w:left="1290" w:leftChars="100" w:hanging="1080" w:hangingChars="450"/>
        <w:rPr>
          <w:rFonts w:ascii="宋体" w:hAnsi="宋体" w:eastAsia="宋体" w:cs="宋体"/>
          <w:color w:val="000000"/>
          <w:sz w:val="24"/>
          <w:szCs w:val="24"/>
        </w:rPr>
      </w:pPr>
      <w:r>
        <w:rPr>
          <w:rFonts w:hint="eastAsia" w:ascii="宋体" w:hAnsi="宋体" w:eastAsia="宋体" w:cs="宋体"/>
          <w:color w:val="000000"/>
          <w:sz w:val="24"/>
          <w:szCs w:val="24"/>
        </w:rPr>
        <w:t>负责人（签名）：                      负责人（签名）：</w:t>
      </w:r>
    </w:p>
    <w:p>
      <w:pPr>
        <w:widowControl/>
        <w:spacing w:line="44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地址：    　                          地址： </w:t>
      </w:r>
    </w:p>
    <w:p>
      <w:pPr>
        <w:widowControl/>
        <w:spacing w:line="44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电话：                            　　电话：</w:t>
      </w:r>
    </w:p>
    <w:p>
      <w:pPr>
        <w:widowControl/>
        <w:spacing w:line="440" w:lineRule="exact"/>
        <w:ind w:firstLine="1560" w:firstLineChars="6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 xml:space="preserve">                年   月    日</w:t>
      </w:r>
    </w:p>
    <w:p>
      <w:pPr>
        <w:adjustRightInd w:val="0"/>
        <w:snapToGrid w:val="0"/>
        <w:spacing w:line="500" w:lineRule="exact"/>
        <w:ind w:left="1320" w:hanging="1320" w:hangingChars="550"/>
        <w:rPr>
          <w:rFonts w:ascii="宋体" w:hAnsi="宋体" w:eastAsia="宋体" w:cs="宋体"/>
          <w:color w:val="000000"/>
          <w:sz w:val="24"/>
          <w:szCs w:val="24"/>
        </w:rPr>
      </w:pPr>
    </w:p>
    <w:p>
      <w:pPr>
        <w:widowControl/>
        <w:spacing w:line="500" w:lineRule="exact"/>
        <w:jc w:val="left"/>
        <w:rPr>
          <w:rFonts w:ascii="宋体" w:hAnsi="宋体" w:eastAsia="仿宋_GB2312" w:cs="宋体"/>
          <w:b/>
          <w:color w:val="000000"/>
          <w:sz w:val="24"/>
          <w:szCs w:val="32"/>
        </w:rPr>
      </w:pPr>
      <w:r>
        <w:rPr>
          <w:rFonts w:hint="eastAsia" w:ascii="宋体" w:hAnsi="宋体" w:eastAsia="宋体" w:cs="宋体"/>
          <w:b/>
          <w:color w:val="000000"/>
          <w:sz w:val="24"/>
          <w:szCs w:val="24"/>
        </w:rPr>
        <w:br w:type="page"/>
      </w:r>
      <w:r>
        <w:rPr>
          <w:rFonts w:hint="eastAsia" w:ascii="宋体" w:hAnsi="宋体" w:eastAsia="宋体" w:cs="宋体"/>
          <w:b/>
          <w:color w:val="000000"/>
          <w:sz w:val="24"/>
          <w:szCs w:val="32"/>
        </w:rPr>
        <w:t>附件5：</w:t>
      </w:r>
    </w:p>
    <w:p>
      <w:pPr>
        <w:adjustRightInd w:val="0"/>
        <w:snapToGrid w:val="0"/>
        <w:spacing w:line="500" w:lineRule="exact"/>
        <w:rPr>
          <w:rFonts w:ascii="宋体" w:hAnsi="宋体" w:eastAsia="宋体" w:cs="宋体"/>
          <w:color w:val="000000"/>
          <w:sz w:val="24"/>
        </w:rPr>
      </w:pPr>
    </w:p>
    <w:p>
      <w:pPr>
        <w:spacing w:line="500" w:lineRule="exact"/>
        <w:jc w:val="center"/>
        <w:rPr>
          <w:rFonts w:ascii="宋体" w:hAnsi="宋体" w:eastAsia="宋体" w:cs="宋体"/>
          <w:b/>
          <w:color w:val="000000"/>
          <w:sz w:val="24"/>
          <w:szCs w:val="32"/>
        </w:rPr>
      </w:pPr>
      <w:r>
        <w:rPr>
          <w:rFonts w:hint="eastAsia" w:ascii="宋体" w:hAnsi="宋体" w:eastAsia="宋体" w:cs="宋体"/>
          <w:b/>
          <w:color w:val="000000"/>
          <w:sz w:val="24"/>
          <w:szCs w:val="32"/>
        </w:rPr>
        <w:t>安全生产承诺书</w:t>
      </w:r>
    </w:p>
    <w:p>
      <w:pPr>
        <w:spacing w:line="500" w:lineRule="exact"/>
        <w:rPr>
          <w:rFonts w:ascii="宋体" w:hAnsi="宋体" w:eastAsia="宋体" w:cs="宋体"/>
          <w:color w:val="000000"/>
          <w:sz w:val="24"/>
          <w:szCs w:val="32"/>
        </w:rPr>
      </w:pPr>
    </w:p>
    <w:p>
      <w:pPr>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致：广州市净水有限公司</w:t>
      </w:r>
    </w:p>
    <w:p>
      <w:pPr>
        <w:spacing w:line="500" w:lineRule="exact"/>
        <w:rPr>
          <w:rFonts w:ascii="宋体" w:hAnsi="宋体" w:eastAsia="宋体" w:cs="宋体"/>
          <w:color w:val="000000"/>
          <w:sz w:val="24"/>
          <w:szCs w:val="24"/>
        </w:rPr>
      </w:pP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为确保我公司承包的</w:t>
      </w:r>
      <w:r>
        <w:rPr>
          <w:rFonts w:hint="eastAsia" w:ascii="宋体" w:hAnsi="宋体" w:eastAsia="宋体" w:cs="宋体"/>
          <w:b/>
          <w:bCs/>
          <w:color w:val="000000"/>
          <w:sz w:val="24"/>
          <w:szCs w:val="24"/>
          <w:u w:val="single"/>
        </w:rPr>
        <w:t>广州市净水有限公司猎德分公司广场</w:t>
      </w:r>
      <w:r>
        <w:rPr>
          <w:rFonts w:hint="eastAsia" w:ascii="宋体" w:hAnsi="宋体" w:eastAsia="宋体" w:cs="宋体"/>
          <w:b/>
          <w:bCs/>
          <w:color w:val="000000"/>
          <w:sz w:val="24"/>
          <w:szCs w:val="24"/>
          <w:u w:val="single"/>
          <w:lang w:eastAsia="zh-CN"/>
        </w:rPr>
        <w:t>及四期周边道路与路侧石维修</w:t>
      </w:r>
      <w:r>
        <w:rPr>
          <w:rFonts w:hint="eastAsia" w:ascii="宋体" w:hAnsi="宋体" w:eastAsia="宋体" w:cs="宋体"/>
          <w:b/>
          <w:bCs/>
          <w:color w:val="000000"/>
          <w:sz w:val="24"/>
          <w:szCs w:val="24"/>
          <w:u w:val="single"/>
        </w:rPr>
        <w:t>项目</w:t>
      </w:r>
      <w:r>
        <w:rPr>
          <w:rFonts w:hint="eastAsia" w:ascii="宋体" w:hAnsi="宋体" w:eastAsia="宋体" w:cs="宋体"/>
          <w:color w:val="000000"/>
          <w:sz w:val="24"/>
          <w:szCs w:val="24"/>
        </w:rPr>
        <w:t>项目在施工期间的施工安全，特郑重承诺如下：</w:t>
      </w: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一、认真组织施工人员、管理人员学习有关施工安全的知识，争取做到人人懂安全，事事保安全。</w:t>
      </w:r>
    </w:p>
    <w:p>
      <w:pPr>
        <w:adjustRightInd w:val="0"/>
        <w:snapToGrid w:val="0"/>
        <w:spacing w:line="500" w:lineRule="exact"/>
        <w:ind w:left="480"/>
        <w:rPr>
          <w:rFonts w:ascii="宋体" w:hAnsi="宋体" w:eastAsia="宋体" w:cs="宋体"/>
          <w:color w:val="000000"/>
          <w:sz w:val="24"/>
          <w:szCs w:val="24"/>
        </w:rPr>
      </w:pPr>
      <w:r>
        <w:rPr>
          <w:rFonts w:hint="eastAsia" w:ascii="宋体" w:hAnsi="宋体" w:eastAsia="宋体" w:cs="宋体"/>
          <w:color w:val="000000"/>
          <w:sz w:val="24"/>
          <w:szCs w:val="24"/>
        </w:rPr>
        <w:t>二、严格执行安全施工的有关规定和规程，文明施工，安全施工。</w:t>
      </w:r>
    </w:p>
    <w:p>
      <w:pPr>
        <w:adjustRightInd w:val="0"/>
        <w:snapToGrid w:val="0"/>
        <w:spacing w:line="500" w:lineRule="exact"/>
        <w:ind w:left="480"/>
        <w:rPr>
          <w:rFonts w:ascii="宋体" w:hAnsi="宋体" w:eastAsia="宋体" w:cs="宋体"/>
          <w:color w:val="000000"/>
          <w:sz w:val="24"/>
          <w:szCs w:val="24"/>
        </w:rPr>
      </w:pPr>
      <w:r>
        <w:rPr>
          <w:rFonts w:hint="eastAsia" w:ascii="宋体" w:hAnsi="宋体" w:eastAsia="宋体" w:cs="宋体"/>
          <w:color w:val="000000"/>
          <w:sz w:val="24"/>
          <w:szCs w:val="24"/>
        </w:rPr>
        <w:t>三、切实履行施工安全协议书规定的各项安全管理职责。</w:t>
      </w: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adjustRightInd w:val="0"/>
        <w:snapToGrid w:val="0"/>
        <w:spacing w:line="500" w:lineRule="exact"/>
        <w:ind w:firstLine="480" w:firstLineChars="200"/>
        <w:rPr>
          <w:rFonts w:ascii="宋体" w:hAnsi="宋体" w:eastAsia="宋体" w:cs="宋体"/>
          <w:color w:val="000000"/>
          <w:sz w:val="24"/>
          <w:szCs w:val="24"/>
        </w:rPr>
      </w:pPr>
    </w:p>
    <w:p>
      <w:pPr>
        <w:tabs>
          <w:tab w:val="left" w:pos="2352"/>
        </w:tabs>
        <w:adjustRightInd w:val="0"/>
        <w:snapToGrid w:val="0"/>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ab/>
      </w:r>
    </w:p>
    <w:p>
      <w:pPr>
        <w:tabs>
          <w:tab w:val="left" w:pos="2224"/>
          <w:tab w:val="left" w:pos="7152"/>
        </w:tabs>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ab/>
      </w:r>
      <w:r>
        <w:rPr>
          <w:rFonts w:hint="eastAsia" w:ascii="宋体" w:hAnsi="宋体" w:eastAsia="宋体" w:cs="宋体"/>
          <w:color w:val="000000"/>
          <w:sz w:val="24"/>
          <w:szCs w:val="24"/>
        </w:rPr>
        <w:tab/>
      </w:r>
    </w:p>
    <w:p>
      <w:pPr>
        <w:spacing w:line="500" w:lineRule="exact"/>
        <w:ind w:left="3840"/>
        <w:rPr>
          <w:rFonts w:ascii="宋体" w:hAnsi="宋体" w:eastAsia="宋体" w:cs="宋体"/>
          <w:color w:val="000000"/>
          <w:sz w:val="24"/>
          <w:szCs w:val="24"/>
        </w:rPr>
      </w:pPr>
      <w:r>
        <w:rPr>
          <w:rFonts w:hint="eastAsia" w:ascii="宋体" w:hAnsi="宋体" w:eastAsia="宋体" w:cs="宋体"/>
          <w:color w:val="000000"/>
          <w:sz w:val="24"/>
          <w:szCs w:val="24"/>
        </w:rPr>
        <w:t>施工单位：（盖章）</w:t>
      </w:r>
    </w:p>
    <w:p>
      <w:pPr>
        <w:spacing w:line="500" w:lineRule="exact"/>
        <w:ind w:left="3840"/>
        <w:rPr>
          <w:rFonts w:ascii="宋体" w:hAnsi="宋体" w:eastAsia="宋体" w:cs="宋体"/>
          <w:color w:val="000000"/>
          <w:sz w:val="24"/>
          <w:szCs w:val="24"/>
        </w:rPr>
      </w:pPr>
    </w:p>
    <w:p>
      <w:pPr>
        <w:spacing w:line="500" w:lineRule="exact"/>
        <w:ind w:firstLine="4440" w:firstLineChars="1850"/>
        <w:rPr>
          <w:rFonts w:ascii="宋体" w:hAnsi="宋体" w:eastAsia="宋体" w:cs="宋体"/>
          <w:color w:val="000000"/>
          <w:sz w:val="24"/>
          <w:szCs w:val="24"/>
        </w:rPr>
      </w:pPr>
      <w:r>
        <w:rPr>
          <w:rFonts w:hint="eastAsia" w:ascii="宋体" w:hAnsi="宋体" w:eastAsia="宋体" w:cs="宋体"/>
          <w:color w:val="000000"/>
          <w:sz w:val="24"/>
          <w:szCs w:val="24"/>
        </w:rPr>
        <w:t>年   月   日</w:t>
      </w:r>
    </w:p>
    <w:p>
      <w:pPr>
        <w:adjustRightInd w:val="0"/>
        <w:snapToGrid w:val="0"/>
        <w:spacing w:line="500" w:lineRule="exact"/>
        <w:rPr>
          <w:rFonts w:ascii="宋体" w:hAnsi="宋体" w:eastAsia="宋体" w:cs="宋体"/>
          <w:color w:val="000000"/>
          <w:sz w:val="24"/>
        </w:rPr>
      </w:pPr>
    </w:p>
    <w:p>
      <w:pPr>
        <w:adjustRightInd w:val="0"/>
        <w:snapToGrid w:val="0"/>
        <w:spacing w:line="500" w:lineRule="exact"/>
        <w:rPr>
          <w:rFonts w:ascii="宋体" w:hAnsi="宋体" w:eastAsia="宋体" w:cs="宋体"/>
          <w:color w:val="000000"/>
          <w:sz w:val="24"/>
        </w:rPr>
      </w:pPr>
    </w:p>
    <w:p>
      <w:pPr>
        <w:adjustRightInd w:val="0"/>
        <w:snapToGrid w:val="0"/>
        <w:spacing w:line="500" w:lineRule="exact"/>
        <w:rPr>
          <w:rFonts w:ascii="宋体" w:hAnsi="宋体" w:eastAsia="宋体" w:cs="宋体"/>
          <w:color w:val="000000"/>
          <w:sz w:val="24"/>
        </w:rPr>
      </w:pPr>
    </w:p>
    <w:p>
      <w:pPr>
        <w:spacing w:line="360" w:lineRule="auto"/>
        <w:rPr>
          <w:rFonts w:ascii="宋体" w:hAnsi="宋体" w:eastAsia="宋体" w:cs="宋体"/>
          <w:b/>
          <w:bCs/>
          <w:szCs w:val="21"/>
        </w:rPr>
      </w:pPr>
      <w:r>
        <w:rPr>
          <w:rFonts w:hint="eastAsia" w:ascii="宋体" w:hAnsi="宋体" w:eastAsia="宋体" w:cs="宋体"/>
          <w:b/>
          <w:color w:val="000000"/>
          <w:sz w:val="24"/>
          <w:szCs w:val="32"/>
        </w:rPr>
        <w:t>附件6：投入工程人员架构表</w:t>
      </w:r>
    </w:p>
    <w:p>
      <w:pPr>
        <w:spacing w:line="360" w:lineRule="auto"/>
        <w:outlineLvl w:val="3"/>
        <w:rPr>
          <w:rFonts w:ascii="宋体" w:hAnsi="宋体" w:eastAsia="宋体" w:cs="宋体"/>
          <w:b/>
          <w:sz w:val="24"/>
          <w:szCs w:val="24"/>
        </w:rPr>
      </w:pPr>
    </w:p>
    <w:p>
      <w:pPr>
        <w:spacing w:line="360" w:lineRule="auto"/>
        <w:jc w:val="center"/>
        <w:outlineLvl w:val="3"/>
        <w:rPr>
          <w:rFonts w:ascii="宋体" w:hAnsi="宋体" w:eastAsia="宋体" w:cs="宋体"/>
          <w:b/>
          <w:bCs/>
          <w:sz w:val="24"/>
          <w:szCs w:val="24"/>
        </w:rPr>
      </w:pPr>
      <w:r>
        <w:rPr>
          <w:rFonts w:hint="eastAsia" w:ascii="宋体" w:hAnsi="宋体" w:eastAsia="宋体" w:cs="宋体"/>
          <w:b/>
          <w:sz w:val="24"/>
          <w:szCs w:val="24"/>
        </w:rPr>
        <w:t>投入工程人员架构表</w:t>
      </w:r>
    </w:p>
    <w:tbl>
      <w:tblPr>
        <w:tblStyle w:val="22"/>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05"/>
        <w:gridCol w:w="738"/>
        <w:gridCol w:w="2487"/>
        <w:gridCol w:w="2713"/>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姓名</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性别</w:t>
            </w:r>
          </w:p>
        </w:tc>
        <w:tc>
          <w:tcPr>
            <w:tcW w:w="24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身份证号</w:t>
            </w:r>
          </w:p>
        </w:tc>
        <w:tc>
          <w:tcPr>
            <w:tcW w:w="27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执业或职业资格证明</w:t>
            </w:r>
          </w:p>
        </w:tc>
        <w:tc>
          <w:tcPr>
            <w:tcW w:w="87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4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7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87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4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7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87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4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7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87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4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7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87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4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7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87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4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7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87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4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7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87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4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27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c>
          <w:tcPr>
            <w:tcW w:w="87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p>
        </w:tc>
      </w:tr>
    </w:tbl>
    <w:p>
      <w:pPr>
        <w:spacing w:line="360" w:lineRule="auto"/>
        <w:rPr>
          <w:rFonts w:ascii="宋体" w:hAnsi="宋体" w:eastAsia="宋体" w:cs="宋体"/>
          <w:color w:val="000000"/>
          <w:sz w:val="24"/>
          <w:szCs w:val="32"/>
        </w:rPr>
      </w:pPr>
      <w:r>
        <w:rPr>
          <w:rFonts w:hint="eastAsia" w:ascii="宋体" w:hAnsi="宋体" w:eastAsia="宋体" w:cs="宋体"/>
          <w:b/>
          <w:bCs/>
          <w:sz w:val="24"/>
          <w:szCs w:val="24"/>
        </w:rPr>
        <w:t>注： 本表作为合同附件，其内容必须是真实有效。</w:t>
      </w:r>
    </w:p>
    <w:p>
      <w:pPr>
        <w:adjustRightInd w:val="0"/>
        <w:spacing w:after="120" w:line="360" w:lineRule="auto"/>
        <w:textAlignment w:val="baseline"/>
        <w:rPr>
          <w:rFonts w:ascii="宋体" w:hAnsi="宋体" w:eastAsia="宋体" w:cs="宋体"/>
          <w:color w:val="000000"/>
          <w:sz w:val="24"/>
          <w:szCs w:val="24"/>
        </w:rPr>
      </w:pPr>
    </w:p>
    <w:p>
      <w:pPr>
        <w:adjustRightInd w:val="0"/>
        <w:spacing w:after="120" w:line="360" w:lineRule="auto"/>
        <w:textAlignment w:val="baseline"/>
        <w:rPr>
          <w:rFonts w:ascii="宋体" w:hAnsi="宋体" w:eastAsia="宋体" w:cs="宋体"/>
          <w:color w:val="000000"/>
          <w:sz w:val="24"/>
          <w:szCs w:val="24"/>
        </w:rPr>
      </w:pPr>
    </w:p>
    <w:p>
      <w:pPr>
        <w:adjustRightInd w:val="0"/>
        <w:spacing w:after="120" w:line="360" w:lineRule="auto"/>
        <w:textAlignment w:val="baseline"/>
        <w:rPr>
          <w:rFonts w:ascii="宋体" w:hAnsi="宋体" w:eastAsia="等线" w:cs="宋体"/>
          <w:b/>
          <w:bCs/>
          <w:color w:val="000000"/>
          <w:sz w:val="24"/>
          <w:szCs w:val="24"/>
        </w:rPr>
      </w:pPr>
    </w:p>
    <w:p>
      <w:pPr>
        <w:adjustRightInd w:val="0"/>
        <w:spacing w:after="120" w:line="360" w:lineRule="auto"/>
        <w:textAlignment w:val="baseline"/>
        <w:rPr>
          <w:rFonts w:ascii="宋体" w:hAnsi="宋体" w:eastAsia="等线" w:cs="宋体"/>
          <w:b/>
          <w:bCs/>
          <w:color w:val="000000"/>
          <w:sz w:val="24"/>
          <w:szCs w:val="24"/>
        </w:rPr>
      </w:pPr>
    </w:p>
    <w:p>
      <w:pPr>
        <w:spacing w:line="360" w:lineRule="exact"/>
        <w:rPr>
          <w:rFonts w:ascii="宋体" w:hAnsi="宋体" w:eastAsia="宋体" w:cs="宋体"/>
          <w:color w:val="000000"/>
          <w:sz w:val="24"/>
          <w:szCs w:val="24"/>
        </w:rPr>
      </w:pPr>
    </w:p>
    <w:p>
      <w:pPr>
        <w:adjustRightInd w:val="0"/>
        <w:spacing w:after="120" w:line="360" w:lineRule="auto"/>
        <w:textAlignment w:val="baseline"/>
        <w:rPr>
          <w:rFonts w:ascii="宋体" w:hAnsi="宋体" w:eastAsia="宋体" w:cs="宋体"/>
          <w:color w:val="000000"/>
          <w:sz w:val="24"/>
          <w:szCs w:val="24"/>
        </w:rPr>
      </w:pPr>
    </w:p>
    <w:p>
      <w:pPr>
        <w:adjustRightInd w:val="0"/>
        <w:spacing w:after="120" w:line="360" w:lineRule="auto"/>
        <w:textAlignment w:val="baseline"/>
        <w:rPr>
          <w:rFonts w:ascii="宋体" w:hAnsi="宋体" w:eastAsia="宋体" w:cs="宋体"/>
          <w:color w:val="000000"/>
          <w:sz w:val="24"/>
          <w:szCs w:val="24"/>
        </w:rPr>
      </w:pPr>
    </w:p>
    <w:p>
      <w:pPr>
        <w:adjustRightInd w:val="0"/>
        <w:spacing w:after="120" w:line="360" w:lineRule="auto"/>
        <w:textAlignment w:val="baseline"/>
        <w:rPr>
          <w:rFonts w:ascii="宋体" w:hAnsi="宋体" w:eastAsia="宋体" w:cs="宋体"/>
          <w:color w:val="000000"/>
          <w:sz w:val="24"/>
          <w:szCs w:val="24"/>
        </w:rPr>
      </w:pPr>
    </w:p>
    <w:p>
      <w:pPr>
        <w:adjustRightInd w:val="0"/>
        <w:spacing w:after="120" w:line="360" w:lineRule="auto"/>
        <w:textAlignment w:val="baseline"/>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pStyle w:val="2"/>
        <w:rPr>
          <w:rFonts w:ascii="宋体" w:hAnsi="宋体" w:eastAsia="宋体" w:cs="宋体"/>
          <w:color w:val="000000"/>
          <w:sz w:val="24"/>
          <w:szCs w:val="24"/>
        </w:rPr>
      </w:pPr>
    </w:p>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r>
        <w:rPr>
          <w:rFonts w:hint="eastAsia" w:ascii="宋体" w:hAnsi="宋体" w:eastAsia="仿宋_GB2312" w:cs="Times New Roman"/>
          <w:b/>
          <w:color w:val="000000"/>
          <w:sz w:val="24"/>
          <w:szCs w:val="32"/>
        </w:rPr>
        <w:t>附件7：工程量清单/报价</w:t>
      </w:r>
    </w:p>
    <w:tbl>
      <w:tblPr>
        <w:tblStyle w:val="22"/>
        <w:tblpPr w:leftFromText="180" w:rightFromText="180" w:vertAnchor="text" w:horzAnchor="page" w:tblpX="937" w:tblpY="539"/>
        <w:tblOverlap w:val="never"/>
        <w:tblW w:w="10240" w:type="dxa"/>
        <w:tblInd w:w="0" w:type="dxa"/>
        <w:tblLayout w:type="autofit"/>
        <w:tblCellMar>
          <w:top w:w="0" w:type="dxa"/>
          <w:left w:w="108" w:type="dxa"/>
          <w:bottom w:w="0" w:type="dxa"/>
          <w:right w:w="108" w:type="dxa"/>
        </w:tblCellMar>
      </w:tblPr>
      <w:tblGrid>
        <w:gridCol w:w="1134"/>
        <w:gridCol w:w="3649"/>
        <w:gridCol w:w="1876"/>
        <w:gridCol w:w="1025"/>
        <w:gridCol w:w="617"/>
        <w:gridCol w:w="1939"/>
      </w:tblGrid>
      <w:tr>
        <w:tblPrEx>
          <w:tblCellMar>
            <w:top w:w="0" w:type="dxa"/>
            <w:left w:w="108" w:type="dxa"/>
            <w:bottom w:w="0" w:type="dxa"/>
            <w:right w:w="108" w:type="dxa"/>
          </w:tblCellMar>
        </w:tblPrEx>
        <w:trPr>
          <w:trHeight w:val="899" w:hRule="atLeast"/>
        </w:trPr>
        <w:tc>
          <w:tcPr>
            <w:tcW w:w="10240" w:type="dxa"/>
            <w:gridSpan w:val="6"/>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单位工程预算汇总表</w:t>
            </w:r>
          </w:p>
        </w:tc>
      </w:tr>
      <w:tr>
        <w:tblPrEx>
          <w:tblCellMar>
            <w:top w:w="0" w:type="dxa"/>
            <w:left w:w="108" w:type="dxa"/>
            <w:bottom w:w="0" w:type="dxa"/>
            <w:right w:w="108" w:type="dxa"/>
          </w:tblCellMar>
        </w:tblPrEx>
        <w:trPr>
          <w:trHeight w:val="899" w:hRule="atLeast"/>
        </w:trPr>
        <w:tc>
          <w:tcPr>
            <w:tcW w:w="6659" w:type="dxa"/>
            <w:gridSpan w:val="3"/>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w:t>
            </w:r>
            <w:r>
              <w:rPr>
                <w:rFonts w:hint="eastAsia" w:ascii="宋体" w:hAnsi="宋体" w:eastAsia="宋体" w:cs="宋体"/>
                <w:color w:val="000000"/>
                <w:kern w:val="0"/>
                <w:sz w:val="20"/>
                <w:szCs w:val="20"/>
                <w:lang w:eastAsia="zh-CN"/>
              </w:rPr>
              <w:t>及四期周边道路与路侧石维修</w:t>
            </w:r>
            <w:r>
              <w:rPr>
                <w:rFonts w:hint="eastAsia" w:ascii="宋体" w:hAnsi="宋体" w:eastAsia="宋体" w:cs="宋体"/>
                <w:color w:val="000000"/>
                <w:kern w:val="0"/>
                <w:sz w:val="20"/>
                <w:szCs w:val="20"/>
              </w:rPr>
              <w:t>项目</w:t>
            </w:r>
          </w:p>
        </w:tc>
        <w:tc>
          <w:tcPr>
            <w:tcW w:w="1025" w:type="dxa"/>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556" w:type="dxa"/>
            <w:gridSpan w:val="2"/>
            <w:tcBorders>
              <w:top w:val="nil"/>
              <w:left w:val="nil"/>
              <w:bottom w:val="nil"/>
              <w:right w:val="nil"/>
            </w:tcBorders>
            <w:shd w:val="clear" w:color="FFFFFF" w:fill="FFFFFF"/>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737" w:hRule="atLeast"/>
        </w:trPr>
        <w:tc>
          <w:tcPr>
            <w:tcW w:w="1134" w:type="dxa"/>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3649"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汇总内容</w:t>
            </w:r>
          </w:p>
        </w:tc>
        <w:tc>
          <w:tcPr>
            <w:tcW w:w="3518" w:type="dxa"/>
            <w:gridSpan w:val="3"/>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c>
          <w:tcPr>
            <w:tcW w:w="1939" w:type="dxa"/>
            <w:tcBorders>
              <w:top w:val="single" w:color="000000" w:sz="8" w:space="0"/>
              <w:left w:val="single" w:color="000000" w:sz="4" w:space="0"/>
              <w:bottom w:val="single" w:color="000000" w:sz="4" w:space="0"/>
              <w:right w:val="single" w:color="000000" w:sz="8"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其中：暂估价(元)</w:t>
            </w: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分部分项合计</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措施合计</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绿色施工安全防护措施费</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25933.32</w:t>
            </w: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其他措施费</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其他项目</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暂列金额</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66067.72</w:t>
            </w: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暂估价</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计日工</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总承包服务费</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预算包干费</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工程优质费</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概算幅度差</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索赔费用</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现场签证费用</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其他费用</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税前工程造价</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增值税销项税额</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总造价</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人工费</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jc w:val="center"/>
              <w:rPr>
                <w:rFonts w:ascii="宋体" w:hAnsi="宋体" w:eastAsia="宋体" w:cs="宋体"/>
                <w:color w:val="000000"/>
                <w:sz w:val="20"/>
                <w:szCs w:val="20"/>
              </w:rPr>
            </w:pP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ascii="宋体" w:hAnsi="宋体" w:eastAsia="宋体" w:cs="宋体"/>
                <w:color w:val="000000"/>
                <w:sz w:val="20"/>
                <w:szCs w:val="20"/>
              </w:rPr>
            </w:pP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jc w:val="center"/>
              <w:rPr>
                <w:rFonts w:ascii="宋体" w:hAnsi="宋体" w:eastAsia="宋体" w:cs="宋体"/>
                <w:color w:val="000000"/>
                <w:sz w:val="20"/>
                <w:szCs w:val="20"/>
              </w:rPr>
            </w:pP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ascii="宋体" w:hAnsi="宋体" w:eastAsia="宋体" w:cs="宋体"/>
                <w:color w:val="000000"/>
                <w:sz w:val="20"/>
                <w:szCs w:val="20"/>
              </w:rPr>
            </w:pP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4783" w:type="dxa"/>
            <w:gridSpan w:val="2"/>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预算价合计=1+2+3+5</w:t>
            </w:r>
          </w:p>
        </w:tc>
        <w:tc>
          <w:tcPr>
            <w:tcW w:w="3518" w:type="dxa"/>
            <w:gridSpan w:val="3"/>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09" w:hRule="atLeast"/>
        </w:trPr>
        <w:tc>
          <w:tcPr>
            <w:tcW w:w="10240" w:type="dxa"/>
            <w:gridSpan w:val="6"/>
            <w:tcBorders>
              <w:top w:val="nil"/>
              <w:left w:val="nil"/>
              <w:bottom w:val="nil"/>
              <w:right w:val="nil"/>
            </w:tcBorders>
            <w:shd w:val="clear" w:color="FFFFFF" w:fill="FFFFFF"/>
            <w:noWrap/>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注：本表适用于单位工程招标控制价或投标报价的汇总，如无单位工程划分，单项工程也使用本表汇总</w:t>
            </w:r>
          </w:p>
        </w:tc>
      </w:tr>
    </w:tbl>
    <w:p>
      <w:pPr>
        <w:rPr>
          <w:rFonts w:ascii="宋体" w:hAnsi="宋体" w:eastAsia="仿宋_GB2312" w:cs="Times New Roman"/>
          <w:b/>
          <w:color w:val="000000"/>
          <w:sz w:val="24"/>
          <w:szCs w:val="32"/>
        </w:rPr>
      </w:pPr>
    </w:p>
    <w:tbl>
      <w:tblPr>
        <w:tblStyle w:val="22"/>
        <w:tblW w:w="10266" w:type="dxa"/>
        <w:tblInd w:w="-652" w:type="dxa"/>
        <w:tblLayout w:type="autofit"/>
        <w:tblCellMar>
          <w:top w:w="0" w:type="dxa"/>
          <w:left w:w="108" w:type="dxa"/>
          <w:bottom w:w="0" w:type="dxa"/>
          <w:right w:w="108" w:type="dxa"/>
        </w:tblCellMar>
      </w:tblPr>
      <w:tblGrid>
        <w:gridCol w:w="550"/>
        <w:gridCol w:w="1584"/>
        <w:gridCol w:w="1050"/>
        <w:gridCol w:w="2511"/>
        <w:gridCol w:w="88"/>
        <w:gridCol w:w="487"/>
        <w:gridCol w:w="791"/>
        <w:gridCol w:w="231"/>
        <w:gridCol w:w="691"/>
        <w:gridCol w:w="1136"/>
        <w:gridCol w:w="1147"/>
      </w:tblGrid>
      <w:tr>
        <w:tblPrEx>
          <w:tblCellMar>
            <w:top w:w="0" w:type="dxa"/>
            <w:left w:w="108" w:type="dxa"/>
            <w:bottom w:w="0" w:type="dxa"/>
            <w:right w:w="108" w:type="dxa"/>
          </w:tblCellMar>
        </w:tblPrEx>
        <w:tc>
          <w:tcPr>
            <w:tcW w:w="10266" w:type="dxa"/>
            <w:gridSpan w:val="11"/>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c>
          <w:tcPr>
            <w:tcW w:w="5695" w:type="dxa"/>
            <w:gridSpan w:val="4"/>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w:t>
            </w:r>
            <w:r>
              <w:rPr>
                <w:rFonts w:hint="eastAsia" w:ascii="宋体" w:hAnsi="宋体" w:eastAsia="宋体" w:cs="宋体"/>
                <w:color w:val="000000"/>
                <w:kern w:val="0"/>
                <w:sz w:val="20"/>
                <w:szCs w:val="20"/>
                <w:lang w:eastAsia="zh-CN"/>
              </w:rPr>
              <w:t>及四期周边道路与路侧石维修</w:t>
            </w:r>
            <w:r>
              <w:rPr>
                <w:rFonts w:hint="eastAsia" w:ascii="宋体" w:hAnsi="宋体" w:eastAsia="宋体" w:cs="宋体"/>
                <w:color w:val="000000"/>
                <w:kern w:val="0"/>
                <w:sz w:val="20"/>
                <w:szCs w:val="20"/>
              </w:rPr>
              <w:t>项目</w:t>
            </w:r>
          </w:p>
        </w:tc>
        <w:tc>
          <w:tcPr>
            <w:tcW w:w="1597" w:type="dxa"/>
            <w:gridSpan w:val="4"/>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974" w:type="dxa"/>
            <w:gridSpan w:val="3"/>
            <w:tcBorders>
              <w:top w:val="nil"/>
              <w:left w:val="nil"/>
              <w:bottom w:val="nil"/>
              <w:right w:val="nil"/>
            </w:tcBorders>
            <w:shd w:val="clear" w:color="FFFFFF" w:fill="FFFFFF"/>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2 页</w:t>
            </w:r>
          </w:p>
        </w:tc>
      </w:tr>
      <w:tr>
        <w:tblPrEx>
          <w:tblCellMar>
            <w:top w:w="0" w:type="dxa"/>
            <w:left w:w="108" w:type="dxa"/>
            <w:bottom w:w="0" w:type="dxa"/>
            <w:right w:w="108" w:type="dxa"/>
          </w:tblCellMar>
        </w:tblPrEx>
        <w:tc>
          <w:tcPr>
            <w:tcW w:w="550" w:type="dxa"/>
            <w:vMerge w:val="restart"/>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584"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项目编码</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25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项目特征描述</w:t>
            </w:r>
          </w:p>
        </w:tc>
        <w:tc>
          <w:tcPr>
            <w:tcW w:w="487"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计量单位</w:t>
            </w:r>
          </w:p>
        </w:tc>
        <w:tc>
          <w:tcPr>
            <w:tcW w:w="791"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工程量</w:t>
            </w:r>
          </w:p>
        </w:tc>
        <w:tc>
          <w:tcPr>
            <w:tcW w:w="3205" w:type="dxa"/>
            <w:gridSpan w:val="4"/>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c>
          <w:tcPr>
            <w:tcW w:w="55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5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25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4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79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92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综合单价</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综合合价</w:t>
            </w: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w:t>
            </w:r>
          </w:p>
        </w:tc>
      </w:tr>
      <w:tr>
        <w:tblPrEx>
          <w:tblCellMar>
            <w:top w:w="0" w:type="dxa"/>
            <w:left w:w="108" w:type="dxa"/>
            <w:bottom w:w="0" w:type="dxa"/>
            <w:right w:w="108" w:type="dxa"/>
          </w:tblCellMar>
        </w:tblPrEx>
        <w:tc>
          <w:tcPr>
            <w:tcW w:w="55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5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25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4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79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暂估价</w:t>
            </w: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整个项目</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040203006001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沥青混凝土</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1.沥青品种:细粒式改性沥青混凝土面层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2.沥青混凝土种类:AC-13C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3.厚度:4cm</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040203006002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沥青混凝土</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1.沥青品种:细粒式改性沥青混凝土面层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2.沥青混凝土种类:AC-13C</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3.厚度:1~4cm</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040201021001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聚酯玻纤布</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1.材料品种、规格:聚酯玻纤布</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040203004001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封层</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1.材料品种:PC-2喷洒型改性乳化沥青（1.0L/m2)</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040203007001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水泥混凝土</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1.混凝土强度等级:商品混凝土 C35</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2.厚度:25cm（暂定，砼板厚度以现场为准）</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1450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粤R1-4-33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裂缝注浆</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1.填充板底脱空、加固路基、止水防渗漏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2.材料：快硬聚合物掺合料</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041001001002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拆除路面</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1.材质:C35混凝土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2.厚度:25cm（暂定，砼板厚度以现场为准）</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448</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041001004001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铣刨路面</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1.材质:沥青混凝土面层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2.厚度:4cm</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041001003001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拆除基层</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1.材质:贫砼基层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2.厚度:20cm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3.部位:基层</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040203007002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水泥混凝土</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1.混凝土强度等级:商品混凝土C20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2.厚度:20cm</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040205006001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标线</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1.材料品种:常温溶剂型漆</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040204004001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安砌侧(平、缘)石</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1.材料品种:C35预制混凝土路侧石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2.规格:1000mm*120mm*500mm高</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041001005001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拆除侧、平(缘)石</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1.材质:预制混凝土路侧石</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分部分项合计</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7983" w:type="dxa"/>
            <w:gridSpan w:val="9"/>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本页小计</w:t>
            </w:r>
          </w:p>
        </w:tc>
        <w:tc>
          <w:tcPr>
            <w:tcW w:w="1136"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10266" w:type="dxa"/>
            <w:gridSpan w:val="11"/>
            <w:tcBorders>
              <w:top w:val="nil"/>
              <w:left w:val="nil"/>
              <w:bottom w:val="nil"/>
              <w:right w:val="nil"/>
            </w:tcBorders>
            <w:shd w:val="clear" w:color="FFFFFF" w:fill="FFFFFF"/>
            <w:noWrap/>
          </w:tcPr>
          <w:p>
            <w:pPr>
              <w:widowControl/>
              <w:spacing w:line="240" w:lineRule="exact"/>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注：为计取规费等的使用，可在表中增设其中：“定额人工费”。</w:t>
            </w:r>
          </w:p>
        </w:tc>
      </w:tr>
    </w:tbl>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tbl>
      <w:tblPr>
        <w:tblStyle w:val="22"/>
        <w:tblW w:w="10100" w:type="dxa"/>
        <w:tblInd w:w="-567" w:type="dxa"/>
        <w:tblLayout w:type="autofit"/>
        <w:tblCellMar>
          <w:top w:w="0" w:type="dxa"/>
          <w:left w:w="108" w:type="dxa"/>
          <w:bottom w:w="0" w:type="dxa"/>
          <w:right w:w="108" w:type="dxa"/>
        </w:tblCellMar>
      </w:tblPr>
      <w:tblGrid>
        <w:gridCol w:w="640"/>
        <w:gridCol w:w="1295"/>
        <w:gridCol w:w="1295"/>
        <w:gridCol w:w="2590"/>
        <w:gridCol w:w="101"/>
        <w:gridCol w:w="524"/>
        <w:gridCol w:w="902"/>
        <w:gridCol w:w="234"/>
        <w:gridCol w:w="726"/>
        <w:gridCol w:w="961"/>
        <w:gridCol w:w="832"/>
      </w:tblGrid>
      <w:tr>
        <w:tblPrEx>
          <w:tblCellMar>
            <w:top w:w="0" w:type="dxa"/>
            <w:left w:w="108" w:type="dxa"/>
            <w:bottom w:w="0" w:type="dxa"/>
            <w:right w:w="108" w:type="dxa"/>
          </w:tblCellMar>
        </w:tblPrEx>
        <w:trPr>
          <w:trHeight w:val="866" w:hRule="atLeast"/>
        </w:trPr>
        <w:tc>
          <w:tcPr>
            <w:tcW w:w="10100" w:type="dxa"/>
            <w:gridSpan w:val="11"/>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c>
          <w:tcPr>
            <w:tcW w:w="5820" w:type="dxa"/>
            <w:gridSpan w:val="4"/>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w:t>
            </w:r>
            <w:r>
              <w:rPr>
                <w:rFonts w:hint="eastAsia" w:ascii="宋体" w:hAnsi="宋体" w:eastAsia="宋体" w:cs="宋体"/>
                <w:color w:val="000000"/>
                <w:kern w:val="0"/>
                <w:sz w:val="20"/>
                <w:szCs w:val="20"/>
                <w:lang w:eastAsia="zh-CN"/>
              </w:rPr>
              <w:t>及四期周边道路与路侧石维修</w:t>
            </w:r>
            <w:r>
              <w:rPr>
                <w:rFonts w:hint="eastAsia" w:ascii="宋体" w:hAnsi="宋体" w:eastAsia="宋体" w:cs="宋体"/>
                <w:color w:val="000000"/>
                <w:kern w:val="0"/>
                <w:sz w:val="20"/>
                <w:szCs w:val="20"/>
              </w:rPr>
              <w:t>项目</w:t>
            </w:r>
          </w:p>
        </w:tc>
        <w:tc>
          <w:tcPr>
            <w:tcW w:w="1761" w:type="dxa"/>
            <w:gridSpan w:val="4"/>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519" w:type="dxa"/>
            <w:gridSpan w:val="3"/>
            <w:tcBorders>
              <w:top w:val="nil"/>
              <w:left w:val="nil"/>
              <w:bottom w:val="nil"/>
              <w:right w:val="nil"/>
            </w:tcBorders>
            <w:shd w:val="clear" w:color="FFFFFF" w:fill="FFFFFF"/>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2 页  共 2 页</w:t>
            </w:r>
          </w:p>
        </w:tc>
      </w:tr>
      <w:tr>
        <w:tblPrEx>
          <w:tblCellMar>
            <w:top w:w="0" w:type="dxa"/>
            <w:left w:w="108" w:type="dxa"/>
            <w:bottom w:w="0" w:type="dxa"/>
            <w:right w:w="108" w:type="dxa"/>
          </w:tblCellMar>
        </w:tblPrEx>
        <w:tc>
          <w:tcPr>
            <w:tcW w:w="640" w:type="dxa"/>
            <w:vMerge w:val="restart"/>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295"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1295"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269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项目特征描述</w:t>
            </w:r>
          </w:p>
        </w:tc>
        <w:tc>
          <w:tcPr>
            <w:tcW w:w="524"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计量单位</w:t>
            </w:r>
          </w:p>
        </w:tc>
        <w:tc>
          <w:tcPr>
            <w:tcW w:w="902"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工程量</w:t>
            </w:r>
          </w:p>
        </w:tc>
        <w:tc>
          <w:tcPr>
            <w:tcW w:w="2753" w:type="dxa"/>
            <w:gridSpan w:val="4"/>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c>
          <w:tcPr>
            <w:tcW w:w="64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269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52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0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综合单价</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综合合价</w:t>
            </w: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w:t>
            </w:r>
          </w:p>
        </w:tc>
      </w:tr>
      <w:tr>
        <w:tblPrEx>
          <w:tblCellMar>
            <w:top w:w="0" w:type="dxa"/>
            <w:left w:w="108" w:type="dxa"/>
            <w:bottom w:w="0" w:type="dxa"/>
            <w:right w:w="108" w:type="dxa"/>
          </w:tblCellMar>
        </w:tblPrEx>
        <w:tc>
          <w:tcPr>
            <w:tcW w:w="64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269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52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0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暂估价</w:t>
            </w:r>
          </w:p>
        </w:tc>
      </w:tr>
      <w:tr>
        <w:tblPrEx>
          <w:tblCellMar>
            <w:top w:w="0" w:type="dxa"/>
            <w:left w:w="108" w:type="dxa"/>
            <w:bottom w:w="0" w:type="dxa"/>
            <w:right w:w="108" w:type="dxa"/>
          </w:tblCellMar>
        </w:tblPrEx>
        <w:tc>
          <w:tcPr>
            <w:tcW w:w="64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措施项目</w:t>
            </w: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5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64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单价措施合计</w:t>
            </w: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5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64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5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64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5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8307" w:type="dxa"/>
            <w:gridSpan w:val="9"/>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本页小计</w:t>
            </w:r>
          </w:p>
        </w:tc>
        <w:tc>
          <w:tcPr>
            <w:tcW w:w="96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8307" w:type="dxa"/>
            <w:gridSpan w:val="9"/>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961"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10100" w:type="dxa"/>
            <w:gridSpan w:val="11"/>
            <w:tcBorders>
              <w:top w:val="nil"/>
              <w:left w:val="nil"/>
              <w:bottom w:val="nil"/>
              <w:right w:val="nil"/>
            </w:tcBorders>
            <w:shd w:val="clear" w:color="FFFFFF" w:fill="FFFFFF"/>
            <w:noWrap/>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注：为计取规费等的使用，可在表中增设其中：“定额人工费”。</w:t>
            </w:r>
          </w:p>
        </w:tc>
      </w:tr>
    </w:tbl>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tbl>
      <w:tblPr>
        <w:tblStyle w:val="22"/>
        <w:tblW w:w="9980" w:type="dxa"/>
        <w:tblInd w:w="-505" w:type="dxa"/>
        <w:tblLayout w:type="autofit"/>
        <w:tblCellMar>
          <w:top w:w="0" w:type="dxa"/>
          <w:left w:w="108" w:type="dxa"/>
          <w:bottom w:w="0" w:type="dxa"/>
          <w:right w:w="108" w:type="dxa"/>
        </w:tblCellMar>
      </w:tblPr>
      <w:tblGrid>
        <w:gridCol w:w="652"/>
        <w:gridCol w:w="1416"/>
        <w:gridCol w:w="1611"/>
        <w:gridCol w:w="1292"/>
        <w:gridCol w:w="743"/>
        <w:gridCol w:w="72"/>
        <w:gridCol w:w="1059"/>
        <w:gridCol w:w="880"/>
        <w:gridCol w:w="828"/>
        <w:gridCol w:w="1427"/>
      </w:tblGrid>
      <w:tr>
        <w:tc>
          <w:tcPr>
            <w:tcW w:w="9980" w:type="dxa"/>
            <w:gridSpan w:val="10"/>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总价措施项目清单与计价表</w:t>
            </w:r>
          </w:p>
        </w:tc>
      </w:tr>
      <w:tr>
        <w:tblPrEx>
          <w:tblCellMar>
            <w:top w:w="0" w:type="dxa"/>
            <w:left w:w="108" w:type="dxa"/>
            <w:bottom w:w="0" w:type="dxa"/>
            <w:right w:w="108" w:type="dxa"/>
          </w:tblCellMar>
        </w:tblPrEx>
        <w:tc>
          <w:tcPr>
            <w:tcW w:w="5786" w:type="dxa"/>
            <w:gridSpan w:val="6"/>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w:t>
            </w:r>
            <w:r>
              <w:rPr>
                <w:rFonts w:hint="eastAsia" w:ascii="宋体" w:hAnsi="宋体" w:eastAsia="宋体" w:cs="宋体"/>
                <w:color w:val="000000"/>
                <w:kern w:val="0"/>
                <w:sz w:val="20"/>
                <w:szCs w:val="20"/>
                <w:lang w:eastAsia="zh-CN"/>
              </w:rPr>
              <w:t>及四期周边道路与路侧石维修</w:t>
            </w:r>
            <w:r>
              <w:rPr>
                <w:rFonts w:hint="eastAsia" w:ascii="宋体" w:hAnsi="宋体" w:eastAsia="宋体" w:cs="宋体"/>
                <w:color w:val="000000"/>
                <w:kern w:val="0"/>
                <w:sz w:val="20"/>
                <w:szCs w:val="20"/>
              </w:rPr>
              <w:t>项目</w:t>
            </w:r>
          </w:p>
        </w:tc>
        <w:tc>
          <w:tcPr>
            <w:tcW w:w="1939" w:type="dxa"/>
            <w:gridSpan w:val="2"/>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255" w:type="dxa"/>
            <w:gridSpan w:val="2"/>
            <w:tcBorders>
              <w:top w:val="nil"/>
              <w:left w:val="nil"/>
              <w:bottom w:val="nil"/>
              <w:right w:val="nil"/>
            </w:tcBorders>
            <w:shd w:val="clear" w:color="FFFFFF" w:fill="FFFFFF"/>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2 页</w:t>
            </w:r>
          </w:p>
        </w:tc>
      </w:tr>
      <w:tr>
        <w:tblPrEx>
          <w:tblCellMar>
            <w:top w:w="0" w:type="dxa"/>
            <w:left w:w="108" w:type="dxa"/>
            <w:bottom w:w="0" w:type="dxa"/>
            <w:right w:w="108" w:type="dxa"/>
          </w:tblCellMar>
        </w:tblPrEx>
        <w:tc>
          <w:tcPr>
            <w:tcW w:w="652" w:type="dxa"/>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1611"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1292"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计算基础</w:t>
            </w:r>
          </w:p>
        </w:tc>
        <w:tc>
          <w:tcPr>
            <w:tcW w:w="743"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费率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p>
        </w:tc>
        <w:tc>
          <w:tcPr>
            <w:tcW w:w="1131"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(元)</w:t>
            </w:r>
          </w:p>
        </w:tc>
        <w:tc>
          <w:tcPr>
            <w:tcW w:w="880"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调整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费率(%)</w:t>
            </w:r>
          </w:p>
        </w:tc>
        <w:tc>
          <w:tcPr>
            <w:tcW w:w="828"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调整后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金额(元)</w:t>
            </w:r>
          </w:p>
        </w:tc>
        <w:tc>
          <w:tcPr>
            <w:tcW w:w="1427" w:type="dxa"/>
            <w:tcBorders>
              <w:top w:val="single" w:color="000000" w:sz="8"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5994"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LSSGCSF00001</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绿色施工安全防护措施费</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分部分项人工费+分部分项机具费</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以分部分项的人工费与施工机具费之和为计算基础；以专业工程类型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区分不同费率计算；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单独场地平整工程费率为4.35%；</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道路、管网工程费率为16.50%；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桥涵、隧道、水处理构筑物工程费率为14.50%；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分部分项工程总费用在300 万元以内（含300 万元）的项目按基本费率乘以1.20；</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粤041109009001</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文明工地增加费</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分部分项人工费+分部分项机具费</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以分部分项的人工费与施工机具费之和为计算基础；市级文明工地0.60%；省级文明工地1.20%</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041109002001</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夜间施工增加费</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以夜间施工项目人工费的20%计算</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041109005001</w:t>
            </w:r>
          </w:p>
        </w:tc>
        <w:tc>
          <w:tcPr>
            <w:tcW w:w="1611"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交通疏解员增加费</w:t>
            </w:r>
          </w:p>
        </w:tc>
        <w:tc>
          <w:tcPr>
            <w:tcW w:w="1292"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743"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按照项目分部分项人工费的15%计算（有方案的按照方案计算），</w:t>
            </w:r>
          </w:p>
        </w:tc>
      </w:tr>
      <w:tr>
        <w:tblPrEx>
          <w:tblCellMar>
            <w:top w:w="0" w:type="dxa"/>
            <w:left w:w="108" w:type="dxa"/>
            <w:bottom w:w="0" w:type="dxa"/>
            <w:right w:w="108" w:type="dxa"/>
          </w:tblCellMar>
        </w:tblPrEx>
        <w:tc>
          <w:tcPr>
            <w:tcW w:w="5786" w:type="dxa"/>
            <w:gridSpan w:val="6"/>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编制人（造价人员）：</w:t>
            </w:r>
          </w:p>
        </w:tc>
        <w:tc>
          <w:tcPr>
            <w:tcW w:w="4194" w:type="dxa"/>
            <w:gridSpan w:val="4"/>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复核人（造价工程师）：</w:t>
            </w:r>
          </w:p>
        </w:tc>
      </w:tr>
      <w:tr>
        <w:tblPrEx>
          <w:tblCellMar>
            <w:top w:w="0" w:type="dxa"/>
            <w:left w:w="108" w:type="dxa"/>
            <w:bottom w:w="0" w:type="dxa"/>
            <w:right w:w="108" w:type="dxa"/>
          </w:tblCellMar>
        </w:tblPrEx>
        <w:tc>
          <w:tcPr>
            <w:tcW w:w="9980" w:type="dxa"/>
            <w:gridSpan w:val="10"/>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kern w:val="0"/>
                <w:sz w:val="40"/>
                <w:szCs w:val="40"/>
              </w:rPr>
            </w:pPr>
          </w:p>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总价措施项目清单与计价表</w:t>
            </w:r>
          </w:p>
        </w:tc>
      </w:tr>
      <w:tr>
        <w:tblPrEx>
          <w:tblCellMar>
            <w:top w:w="0" w:type="dxa"/>
            <w:left w:w="108" w:type="dxa"/>
            <w:bottom w:w="0" w:type="dxa"/>
            <w:right w:w="108" w:type="dxa"/>
          </w:tblCellMar>
        </w:tblPrEx>
        <w:tc>
          <w:tcPr>
            <w:tcW w:w="5786" w:type="dxa"/>
            <w:gridSpan w:val="6"/>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w:t>
            </w:r>
            <w:r>
              <w:rPr>
                <w:rFonts w:hint="eastAsia" w:ascii="宋体" w:hAnsi="宋体" w:eastAsia="宋体" w:cs="宋体"/>
                <w:color w:val="000000"/>
                <w:kern w:val="0"/>
                <w:sz w:val="20"/>
                <w:szCs w:val="20"/>
                <w:lang w:eastAsia="zh-CN"/>
              </w:rPr>
              <w:t>及四期周边道路与路侧石维修</w:t>
            </w:r>
            <w:r>
              <w:rPr>
                <w:rFonts w:hint="eastAsia" w:ascii="宋体" w:hAnsi="宋体" w:eastAsia="宋体" w:cs="宋体"/>
                <w:color w:val="000000"/>
                <w:kern w:val="0"/>
                <w:sz w:val="20"/>
                <w:szCs w:val="20"/>
              </w:rPr>
              <w:t>项目</w:t>
            </w:r>
          </w:p>
        </w:tc>
        <w:tc>
          <w:tcPr>
            <w:tcW w:w="1939" w:type="dxa"/>
            <w:gridSpan w:val="2"/>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255" w:type="dxa"/>
            <w:gridSpan w:val="2"/>
            <w:tcBorders>
              <w:top w:val="nil"/>
              <w:left w:val="nil"/>
              <w:bottom w:val="nil"/>
              <w:right w:val="nil"/>
            </w:tcBorders>
            <w:shd w:val="clear" w:color="FFFFFF" w:fill="FFFFFF"/>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2 页  共 2 页</w:t>
            </w:r>
          </w:p>
        </w:tc>
      </w:tr>
      <w:tr>
        <w:tblPrEx>
          <w:tblCellMar>
            <w:top w:w="0" w:type="dxa"/>
            <w:left w:w="108" w:type="dxa"/>
            <w:bottom w:w="0" w:type="dxa"/>
            <w:right w:w="108" w:type="dxa"/>
          </w:tblCellMar>
        </w:tblPrEx>
        <w:tc>
          <w:tcPr>
            <w:tcW w:w="652" w:type="dxa"/>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1611"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1292"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计算基础</w:t>
            </w:r>
          </w:p>
        </w:tc>
        <w:tc>
          <w:tcPr>
            <w:tcW w:w="743"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费率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p>
        </w:tc>
        <w:tc>
          <w:tcPr>
            <w:tcW w:w="1131"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(元)</w:t>
            </w:r>
          </w:p>
        </w:tc>
        <w:tc>
          <w:tcPr>
            <w:tcW w:w="880"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调整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费率(%)</w:t>
            </w:r>
          </w:p>
        </w:tc>
        <w:tc>
          <w:tcPr>
            <w:tcW w:w="828"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调整后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金额(元)</w:t>
            </w:r>
          </w:p>
        </w:tc>
        <w:tc>
          <w:tcPr>
            <w:tcW w:w="1427" w:type="dxa"/>
            <w:tcBorders>
              <w:top w:val="single" w:color="000000" w:sz="8"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结算时据实结算。</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041108001001</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地下管线交叉降效费</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按实际发生或经批准的施工方案计算</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粤041109008001</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赶工措施费</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分部分项人工费+分部分项机具费</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赶工措施费=（1-δ）*分部分项的（人工费+施工机具费）*0.30 （0.8≤δ＜1   式中：δ=合同工期/定额工期）</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QTFY00000001</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其他费用</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按实际发生或经批准的施工组织设计方案计算</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5714" w:type="dxa"/>
            <w:gridSpan w:val="5"/>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1131" w:type="dxa"/>
            <w:gridSpan w:val="2"/>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5786" w:type="dxa"/>
            <w:gridSpan w:val="6"/>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编制人（造价人员）：</w:t>
            </w:r>
          </w:p>
        </w:tc>
        <w:tc>
          <w:tcPr>
            <w:tcW w:w="4194" w:type="dxa"/>
            <w:gridSpan w:val="4"/>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复核人（造价工程师）：</w:t>
            </w:r>
          </w:p>
        </w:tc>
      </w:tr>
    </w:tbl>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rPr>
          <w:rFonts w:ascii="宋体" w:hAnsi="宋体" w:eastAsia="仿宋_GB2312" w:cs="Times New Roman"/>
          <w:b/>
          <w:color w:val="000000"/>
          <w:sz w:val="24"/>
          <w:szCs w:val="32"/>
        </w:rPr>
      </w:pPr>
    </w:p>
    <w:tbl>
      <w:tblPr>
        <w:tblStyle w:val="22"/>
        <w:tblW w:w="9980" w:type="dxa"/>
        <w:tblInd w:w="-469" w:type="dxa"/>
        <w:tblLayout w:type="autofit"/>
        <w:tblCellMar>
          <w:top w:w="0" w:type="dxa"/>
          <w:left w:w="108" w:type="dxa"/>
          <w:bottom w:w="0" w:type="dxa"/>
          <w:right w:w="108" w:type="dxa"/>
        </w:tblCellMar>
      </w:tblPr>
      <w:tblGrid>
        <w:gridCol w:w="1020"/>
        <w:gridCol w:w="3824"/>
        <w:gridCol w:w="907"/>
        <w:gridCol w:w="905"/>
        <w:gridCol w:w="836"/>
        <w:gridCol w:w="789"/>
        <w:gridCol w:w="1699"/>
      </w:tblGrid>
      <w:tr>
        <w:tblPrEx>
          <w:tblCellMar>
            <w:top w:w="0" w:type="dxa"/>
            <w:left w:w="108" w:type="dxa"/>
            <w:bottom w:w="0" w:type="dxa"/>
            <w:right w:w="108" w:type="dxa"/>
          </w:tblCellMar>
        </w:tblPrEx>
        <w:trPr>
          <w:trHeight w:val="959" w:hRule="atLeast"/>
        </w:trPr>
        <w:tc>
          <w:tcPr>
            <w:tcW w:w="9980" w:type="dxa"/>
            <w:gridSpan w:val="7"/>
            <w:tcBorders>
              <w:top w:val="nil"/>
              <w:left w:val="nil"/>
              <w:bottom w:val="nil"/>
              <w:right w:val="nil"/>
            </w:tcBorders>
            <w:shd w:val="clear" w:color="FFFFFF" w:fill="FFFFFF"/>
            <w:noWrap/>
            <w:vAlign w:val="center"/>
          </w:tcPr>
          <w:p>
            <w:pPr>
              <w:widowControl/>
              <w:spacing w:line="720" w:lineRule="auto"/>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其他项目清单与计价汇总表</w:t>
            </w:r>
          </w:p>
        </w:tc>
      </w:tr>
      <w:tr>
        <w:tblPrEx>
          <w:tblCellMar>
            <w:top w:w="0" w:type="dxa"/>
            <w:left w:w="108" w:type="dxa"/>
            <w:bottom w:w="0" w:type="dxa"/>
            <w:right w:w="108" w:type="dxa"/>
          </w:tblCellMar>
        </w:tblPrEx>
        <w:trPr>
          <w:trHeight w:val="611" w:hRule="atLeast"/>
        </w:trPr>
        <w:tc>
          <w:tcPr>
            <w:tcW w:w="5751" w:type="dxa"/>
            <w:gridSpan w:val="3"/>
            <w:tcBorders>
              <w:top w:val="nil"/>
              <w:left w:val="nil"/>
              <w:bottom w:val="nil"/>
              <w:right w:val="nil"/>
            </w:tcBorders>
            <w:shd w:val="clear" w:color="FFFFFF" w:fill="FFFFFF"/>
            <w:noWrap/>
            <w:vAlign w:val="bottom"/>
          </w:tcPr>
          <w:p>
            <w:pPr>
              <w:widowControl/>
              <w:spacing w:line="24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w:t>
            </w:r>
            <w:r>
              <w:rPr>
                <w:rFonts w:hint="eastAsia" w:ascii="宋体" w:hAnsi="宋体" w:eastAsia="宋体" w:cs="宋体"/>
                <w:color w:val="000000"/>
                <w:kern w:val="0"/>
                <w:sz w:val="20"/>
                <w:szCs w:val="20"/>
                <w:lang w:eastAsia="zh-CN"/>
              </w:rPr>
              <w:t>及四期周边道路与路侧石维修</w:t>
            </w:r>
            <w:r>
              <w:rPr>
                <w:rFonts w:hint="eastAsia" w:ascii="宋体" w:hAnsi="宋体" w:eastAsia="宋体" w:cs="宋体"/>
                <w:color w:val="000000"/>
                <w:kern w:val="0"/>
                <w:sz w:val="20"/>
                <w:szCs w:val="20"/>
              </w:rPr>
              <w:t>项目</w:t>
            </w:r>
          </w:p>
        </w:tc>
        <w:tc>
          <w:tcPr>
            <w:tcW w:w="1741" w:type="dxa"/>
            <w:gridSpan w:val="2"/>
            <w:tcBorders>
              <w:top w:val="nil"/>
              <w:left w:val="nil"/>
              <w:bottom w:val="nil"/>
              <w:right w:val="nil"/>
            </w:tcBorders>
            <w:shd w:val="clear" w:color="FFFFFF" w:fill="FFFFFF"/>
            <w:noWrap/>
            <w:vAlign w:val="bottom"/>
          </w:tcPr>
          <w:p>
            <w:pPr>
              <w:widowControl/>
              <w:spacing w:line="24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488" w:type="dxa"/>
            <w:gridSpan w:val="2"/>
            <w:tcBorders>
              <w:top w:val="nil"/>
              <w:left w:val="nil"/>
              <w:bottom w:val="nil"/>
              <w:right w:val="nil"/>
            </w:tcBorders>
            <w:shd w:val="clear" w:color="FFFFFF" w:fill="FFFFFF"/>
            <w:noWrap/>
            <w:vAlign w:val="bottom"/>
          </w:tcPr>
          <w:p>
            <w:pPr>
              <w:widowControl/>
              <w:spacing w:line="24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500" w:hRule="atLeast"/>
        </w:trPr>
        <w:tc>
          <w:tcPr>
            <w:tcW w:w="1020" w:type="dxa"/>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3824"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1812"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c>
          <w:tcPr>
            <w:tcW w:w="1625"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结算金额（元）</w:t>
            </w:r>
          </w:p>
        </w:tc>
        <w:tc>
          <w:tcPr>
            <w:tcW w:w="1699" w:type="dxa"/>
            <w:tcBorders>
              <w:top w:val="single" w:color="000000" w:sz="8"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暂列金额</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66067.72</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暂估价</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材料暂估价</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专业工程暂估价</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计日工</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总承包服务费</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预算包干费</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工程优质费</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概算幅度差</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现场签证费用</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索赔费用</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其他费用</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18"/>
                <w:szCs w:val="18"/>
              </w:rPr>
            </w:pPr>
          </w:p>
        </w:tc>
        <w:tc>
          <w:tcPr>
            <w:tcW w:w="3824"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  计</w:t>
            </w:r>
          </w:p>
        </w:tc>
        <w:tc>
          <w:tcPr>
            <w:tcW w:w="1812" w:type="dxa"/>
            <w:gridSpan w:val="2"/>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18"/>
                <w:szCs w:val="18"/>
              </w:rPr>
            </w:pPr>
          </w:p>
        </w:tc>
        <w:tc>
          <w:tcPr>
            <w:tcW w:w="1699"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108" w:type="dxa"/>
            <w:bottom w:w="0" w:type="dxa"/>
            <w:right w:w="108" w:type="dxa"/>
          </w:tblCellMar>
        </w:tblPrEx>
        <w:trPr>
          <w:trHeight w:val="500" w:hRule="atLeast"/>
        </w:trPr>
        <w:tc>
          <w:tcPr>
            <w:tcW w:w="9980" w:type="dxa"/>
            <w:gridSpan w:val="7"/>
            <w:tcBorders>
              <w:top w:val="nil"/>
              <w:left w:val="nil"/>
              <w:bottom w:val="nil"/>
              <w:right w:val="nil"/>
            </w:tcBorders>
            <w:shd w:val="clear" w:color="FFFFFF" w:fill="FFFFFF"/>
            <w:noWrap/>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注：材料（工程设备）暂估单价进入清单项目综合单价，此处不汇总。</w:t>
            </w:r>
          </w:p>
        </w:tc>
      </w:tr>
    </w:tbl>
    <w:p>
      <w:pPr>
        <w:rPr>
          <w:rFonts w:ascii="宋体" w:hAnsi="宋体" w:eastAsia="仿宋_GB2312" w:cs="Times New Roman"/>
          <w:b/>
          <w:color w:val="000000"/>
          <w:sz w:val="24"/>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p>
      <w:pPr>
        <w:pStyle w:val="2"/>
        <w:rPr>
          <w:rFonts w:eastAsia="仿宋_GB2312"/>
          <w:b/>
          <w:szCs w:val="32"/>
        </w:rPr>
      </w:pPr>
    </w:p>
    <w:tbl>
      <w:tblPr>
        <w:tblStyle w:val="22"/>
        <w:tblW w:w="9940" w:type="dxa"/>
        <w:tblInd w:w="-601" w:type="dxa"/>
        <w:tblLayout w:type="autofit"/>
        <w:tblCellMar>
          <w:top w:w="0" w:type="dxa"/>
          <w:left w:w="108" w:type="dxa"/>
          <w:bottom w:w="0" w:type="dxa"/>
          <w:right w:w="108" w:type="dxa"/>
        </w:tblCellMar>
      </w:tblPr>
      <w:tblGrid>
        <w:gridCol w:w="1117"/>
        <w:gridCol w:w="4424"/>
        <w:gridCol w:w="187"/>
        <w:gridCol w:w="801"/>
        <w:gridCol w:w="932"/>
        <w:gridCol w:w="944"/>
        <w:gridCol w:w="1535"/>
      </w:tblGrid>
      <w:tr>
        <w:tblPrEx>
          <w:tblCellMar>
            <w:top w:w="0" w:type="dxa"/>
            <w:left w:w="108" w:type="dxa"/>
            <w:bottom w:w="0" w:type="dxa"/>
            <w:right w:w="108" w:type="dxa"/>
          </w:tblCellMar>
        </w:tblPrEx>
        <w:trPr>
          <w:trHeight w:val="1564" w:hRule="atLeast"/>
        </w:trPr>
        <w:tc>
          <w:tcPr>
            <w:tcW w:w="9940" w:type="dxa"/>
            <w:gridSpan w:val="7"/>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暂列金额明细表</w:t>
            </w:r>
          </w:p>
        </w:tc>
      </w:tr>
      <w:tr>
        <w:tblPrEx>
          <w:tblCellMar>
            <w:top w:w="0" w:type="dxa"/>
            <w:left w:w="108" w:type="dxa"/>
            <w:bottom w:w="0" w:type="dxa"/>
            <w:right w:w="108" w:type="dxa"/>
          </w:tblCellMar>
        </w:tblPrEx>
        <w:tc>
          <w:tcPr>
            <w:tcW w:w="5728" w:type="dxa"/>
            <w:gridSpan w:val="3"/>
            <w:tcBorders>
              <w:top w:val="nil"/>
              <w:left w:val="nil"/>
              <w:bottom w:val="nil"/>
              <w:right w:val="nil"/>
            </w:tcBorders>
            <w:shd w:val="clear" w:color="FFFFFF" w:fill="FFFFFF"/>
            <w:noWrap/>
            <w:vAlign w:val="bottom"/>
          </w:tcPr>
          <w:p>
            <w:pPr>
              <w:widowControl/>
              <w:spacing w:line="24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w:t>
            </w:r>
            <w:r>
              <w:rPr>
                <w:rFonts w:hint="eastAsia" w:ascii="宋体" w:hAnsi="宋体" w:eastAsia="宋体" w:cs="宋体"/>
                <w:color w:val="000000"/>
                <w:kern w:val="0"/>
                <w:sz w:val="20"/>
                <w:szCs w:val="20"/>
                <w:lang w:eastAsia="zh-CN"/>
              </w:rPr>
              <w:t>及四期周边道路与路侧石维修</w:t>
            </w:r>
            <w:r>
              <w:rPr>
                <w:rFonts w:hint="eastAsia" w:ascii="宋体" w:hAnsi="宋体" w:eastAsia="宋体" w:cs="宋体"/>
                <w:color w:val="000000"/>
                <w:kern w:val="0"/>
                <w:sz w:val="20"/>
                <w:szCs w:val="20"/>
              </w:rPr>
              <w:t>项目</w:t>
            </w:r>
          </w:p>
        </w:tc>
        <w:tc>
          <w:tcPr>
            <w:tcW w:w="1733" w:type="dxa"/>
            <w:gridSpan w:val="2"/>
            <w:tcBorders>
              <w:top w:val="nil"/>
              <w:left w:val="nil"/>
              <w:bottom w:val="nil"/>
              <w:right w:val="nil"/>
            </w:tcBorders>
            <w:shd w:val="clear" w:color="FFFFFF" w:fill="FFFFFF"/>
            <w:noWrap/>
            <w:vAlign w:val="bottom"/>
          </w:tcPr>
          <w:p>
            <w:pPr>
              <w:widowControl/>
              <w:spacing w:line="24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479" w:type="dxa"/>
            <w:gridSpan w:val="2"/>
            <w:tcBorders>
              <w:top w:val="nil"/>
              <w:left w:val="nil"/>
              <w:bottom w:val="nil"/>
              <w:right w:val="nil"/>
            </w:tcBorders>
            <w:shd w:val="clear" w:color="FFFFFF" w:fill="FFFFFF"/>
            <w:noWrap/>
            <w:vAlign w:val="bottom"/>
          </w:tcPr>
          <w:p>
            <w:pPr>
              <w:widowControl/>
              <w:spacing w:line="24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c>
          <w:tcPr>
            <w:tcW w:w="1117" w:type="dxa"/>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4424"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名称</w:t>
            </w:r>
          </w:p>
        </w:tc>
        <w:tc>
          <w:tcPr>
            <w:tcW w:w="988"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计量单位</w:t>
            </w:r>
          </w:p>
        </w:tc>
        <w:tc>
          <w:tcPr>
            <w:tcW w:w="1876"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暂定金额（元）</w:t>
            </w:r>
          </w:p>
        </w:tc>
        <w:tc>
          <w:tcPr>
            <w:tcW w:w="1535" w:type="dxa"/>
            <w:tcBorders>
              <w:top w:val="single" w:color="000000" w:sz="8"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c>
          <w:tcPr>
            <w:tcW w:w="1117"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4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66067.72</w:t>
            </w:r>
          </w:p>
        </w:tc>
        <w:tc>
          <w:tcPr>
            <w:tcW w:w="1535"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r>
      <w:tr>
        <w:tblPrEx>
          <w:tblCellMar>
            <w:top w:w="0" w:type="dxa"/>
            <w:left w:w="108" w:type="dxa"/>
            <w:bottom w:w="0" w:type="dxa"/>
            <w:right w:w="108" w:type="dxa"/>
          </w:tblCellMar>
        </w:tblPrEx>
        <w:tc>
          <w:tcPr>
            <w:tcW w:w="1117"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44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535"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r>
      <w:tr>
        <w:tblPrEx>
          <w:tblCellMar>
            <w:top w:w="0" w:type="dxa"/>
            <w:left w:w="108" w:type="dxa"/>
            <w:bottom w:w="0" w:type="dxa"/>
            <w:right w:w="108" w:type="dxa"/>
          </w:tblCellMar>
        </w:tblPrEx>
        <w:tc>
          <w:tcPr>
            <w:tcW w:w="6529" w:type="dxa"/>
            <w:gridSpan w:val="4"/>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    计</w:t>
            </w:r>
          </w:p>
        </w:tc>
        <w:tc>
          <w:tcPr>
            <w:tcW w:w="1876" w:type="dxa"/>
            <w:gridSpan w:val="2"/>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535"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c>
          <w:tcPr>
            <w:tcW w:w="9940" w:type="dxa"/>
            <w:gridSpan w:val="7"/>
            <w:tcBorders>
              <w:top w:val="nil"/>
              <w:left w:val="nil"/>
              <w:bottom w:val="nil"/>
              <w:right w:val="nil"/>
            </w:tcBorders>
            <w:shd w:val="clear" w:color="FFFFFF" w:fill="FFFFFF"/>
            <w:noWrap/>
          </w:tcPr>
          <w:p>
            <w:pPr>
              <w:widowControl/>
              <w:spacing w:line="240" w:lineRule="exact"/>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注：此表由招标人填写，如不能详列，也可只列暂列金额总额，投标人应将上述暂列金额计入投标总价中。</w:t>
            </w:r>
          </w:p>
        </w:tc>
      </w:tr>
    </w:tbl>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tbl>
      <w:tblPr>
        <w:tblStyle w:val="22"/>
        <w:tblW w:w="9780" w:type="dxa"/>
        <w:tblInd w:w="-352" w:type="dxa"/>
        <w:tblLayout w:type="autofit"/>
        <w:tblCellMar>
          <w:top w:w="0" w:type="dxa"/>
          <w:left w:w="108" w:type="dxa"/>
          <w:bottom w:w="0" w:type="dxa"/>
          <w:right w:w="108" w:type="dxa"/>
        </w:tblCellMar>
      </w:tblPr>
      <w:tblGrid>
        <w:gridCol w:w="859"/>
        <w:gridCol w:w="2267"/>
        <w:gridCol w:w="2508"/>
        <w:gridCol w:w="183"/>
        <w:gridCol w:w="1508"/>
        <w:gridCol w:w="15"/>
        <w:gridCol w:w="944"/>
        <w:gridCol w:w="1496"/>
      </w:tblGrid>
      <w:tr>
        <w:tblPrEx>
          <w:tblCellMar>
            <w:top w:w="0" w:type="dxa"/>
            <w:left w:w="108" w:type="dxa"/>
            <w:bottom w:w="0" w:type="dxa"/>
            <w:right w:w="108" w:type="dxa"/>
          </w:tblCellMar>
        </w:tblPrEx>
        <w:trPr>
          <w:trHeight w:val="1007" w:hRule="atLeast"/>
        </w:trPr>
        <w:tc>
          <w:tcPr>
            <w:tcW w:w="9780" w:type="dxa"/>
            <w:gridSpan w:val="8"/>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规费、税金项目清单与计价表</w:t>
            </w:r>
          </w:p>
        </w:tc>
      </w:tr>
      <w:tr>
        <w:tblPrEx>
          <w:tblCellMar>
            <w:top w:w="0" w:type="dxa"/>
            <w:left w:w="108" w:type="dxa"/>
            <w:bottom w:w="0" w:type="dxa"/>
            <w:right w:w="108" w:type="dxa"/>
          </w:tblCellMar>
        </w:tblPrEx>
        <w:trPr>
          <w:trHeight w:val="642" w:hRule="atLeast"/>
        </w:trPr>
        <w:tc>
          <w:tcPr>
            <w:tcW w:w="5634" w:type="dxa"/>
            <w:gridSpan w:val="3"/>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w:t>
            </w:r>
            <w:r>
              <w:rPr>
                <w:rFonts w:hint="eastAsia" w:ascii="宋体" w:hAnsi="宋体" w:eastAsia="宋体" w:cs="宋体"/>
                <w:color w:val="000000"/>
                <w:kern w:val="0"/>
                <w:sz w:val="20"/>
                <w:szCs w:val="20"/>
                <w:lang w:eastAsia="zh-CN"/>
              </w:rPr>
              <w:t>及四期周边道路与路侧石维修</w:t>
            </w:r>
            <w:r>
              <w:rPr>
                <w:rFonts w:hint="eastAsia" w:ascii="宋体" w:hAnsi="宋体" w:eastAsia="宋体" w:cs="宋体"/>
                <w:color w:val="000000"/>
                <w:kern w:val="0"/>
                <w:sz w:val="20"/>
                <w:szCs w:val="20"/>
              </w:rPr>
              <w:t>项目</w:t>
            </w:r>
          </w:p>
        </w:tc>
        <w:tc>
          <w:tcPr>
            <w:tcW w:w="1706" w:type="dxa"/>
            <w:gridSpan w:val="3"/>
            <w:tcBorders>
              <w:top w:val="nil"/>
              <w:left w:val="nil"/>
              <w:bottom w:val="nil"/>
              <w:right w:val="nil"/>
            </w:tcBorders>
            <w:shd w:val="clear" w:color="FFFFFF" w:fill="FFFFFF"/>
            <w:noWrap/>
            <w:vAlign w:val="bottom"/>
          </w:tcPr>
          <w:p>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440" w:type="dxa"/>
            <w:gridSpan w:val="2"/>
            <w:tcBorders>
              <w:top w:val="nil"/>
              <w:left w:val="nil"/>
              <w:bottom w:val="nil"/>
              <w:right w:val="nil"/>
            </w:tcBorders>
            <w:shd w:val="clear" w:color="FFFFFF" w:fill="FFFFFF"/>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1029" w:hRule="atLeast"/>
        </w:trPr>
        <w:tc>
          <w:tcPr>
            <w:tcW w:w="859" w:type="dxa"/>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2267"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2691"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计算基础</w:t>
            </w:r>
          </w:p>
        </w:tc>
        <w:tc>
          <w:tcPr>
            <w:tcW w:w="1508"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取费基数</w:t>
            </w:r>
          </w:p>
        </w:tc>
        <w:tc>
          <w:tcPr>
            <w:tcW w:w="959"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计算费率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p>
        </w:tc>
        <w:tc>
          <w:tcPr>
            <w:tcW w:w="1496" w:type="dxa"/>
            <w:tcBorders>
              <w:top w:val="single" w:color="000000" w:sz="8" w:space="0"/>
              <w:left w:val="single" w:color="000000" w:sz="4" w:space="0"/>
              <w:bottom w:val="single" w:color="000000" w:sz="4" w:space="0"/>
              <w:right w:val="single" w:color="000000" w:sz="8"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653"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2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增值税销项税额</w:t>
            </w: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分部分项合计+措施合计+其他项目</w:t>
            </w:r>
          </w:p>
        </w:tc>
        <w:tc>
          <w:tcPr>
            <w:tcW w:w="150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496"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14"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jc w:val="center"/>
              <w:rPr>
                <w:rFonts w:ascii="宋体" w:hAnsi="宋体" w:eastAsia="宋体" w:cs="宋体"/>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ascii="宋体" w:hAnsi="宋体" w:eastAsia="宋体" w:cs="宋体"/>
                <w:color w:val="000000"/>
                <w:sz w:val="20"/>
                <w:szCs w:val="20"/>
              </w:rPr>
            </w:pP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ascii="宋体" w:hAnsi="宋体" w:eastAsia="宋体" w:cs="宋体"/>
                <w:color w:val="000000"/>
                <w:sz w:val="20"/>
                <w:szCs w:val="20"/>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496"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514"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jc w:val="center"/>
              <w:rPr>
                <w:rFonts w:ascii="宋体" w:hAnsi="宋体" w:eastAsia="宋体" w:cs="宋体"/>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ascii="宋体" w:hAnsi="宋体" w:eastAsia="宋体" w:cs="宋体"/>
                <w:color w:val="000000"/>
                <w:sz w:val="20"/>
                <w:szCs w:val="20"/>
              </w:rPr>
            </w:pP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ascii="宋体" w:hAnsi="宋体" w:eastAsia="宋体" w:cs="宋体"/>
                <w:color w:val="000000"/>
                <w:sz w:val="20"/>
                <w:szCs w:val="20"/>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496"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514" w:hRule="atLeast"/>
        </w:trPr>
        <w:tc>
          <w:tcPr>
            <w:tcW w:w="8284" w:type="dxa"/>
            <w:gridSpan w:val="7"/>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    计</w:t>
            </w:r>
          </w:p>
        </w:tc>
        <w:tc>
          <w:tcPr>
            <w:tcW w:w="1496"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jc w:val="right"/>
              <w:textAlignment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526" w:hRule="atLeast"/>
        </w:trPr>
        <w:tc>
          <w:tcPr>
            <w:tcW w:w="5634" w:type="dxa"/>
            <w:gridSpan w:val="3"/>
            <w:tcBorders>
              <w:top w:val="nil"/>
              <w:left w:val="nil"/>
              <w:bottom w:val="nil"/>
              <w:right w:val="nil"/>
            </w:tcBorders>
            <w:shd w:val="clear" w:color="FFFFFF" w:fill="FFFFFF"/>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编制人（造价人员）：</w:t>
            </w:r>
          </w:p>
        </w:tc>
        <w:tc>
          <w:tcPr>
            <w:tcW w:w="4146" w:type="dxa"/>
            <w:gridSpan w:val="5"/>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复核人（造价工程师）：</w:t>
            </w:r>
          </w:p>
        </w:tc>
      </w:tr>
    </w:tbl>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
      <w:pPr>
        <w:pStyle w:val="2"/>
        <w:rPr>
          <w:rFonts w:ascii="宋体" w:hAnsi="宋体" w:eastAsia="宋体" w:cs="宋体"/>
          <w:b/>
          <w:color w:val="000000"/>
          <w:sz w:val="30"/>
          <w:szCs w:val="30"/>
          <w:lang w:val="zh-CN"/>
        </w:rPr>
        <w:sectPr>
          <w:headerReference r:id="rId13" w:type="default"/>
          <w:footerReference r:id="rId14" w:type="default"/>
          <w:footerReference r:id="rId15" w:type="even"/>
          <w:pgSz w:w="11906" w:h="16838"/>
          <w:pgMar w:top="1644" w:right="1588" w:bottom="1644" w:left="1588" w:header="851" w:footer="992" w:gutter="0"/>
          <w:pgNumType w:fmt="numberInDash" w:start="1"/>
          <w:cols w:space="720" w:num="1"/>
          <w:docGrid w:type="lines" w:linePitch="312" w:charSpace="0"/>
        </w:sectPr>
      </w:pPr>
    </w:p>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pStyle w:val="2"/>
      </w:pPr>
    </w:p>
    <w:p>
      <w:pPr>
        <w:rPr>
          <w:rFonts w:ascii="宋体" w:hAnsi="宋体" w:eastAsia="仿宋_GB2312" w:cs="Times New Roman"/>
          <w:b/>
          <w:color w:val="000000"/>
          <w:sz w:val="24"/>
          <w:szCs w:val="32"/>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2337435</wp:posOffset>
                </wp:positionH>
                <wp:positionV relativeFrom="paragraph">
                  <wp:posOffset>217170</wp:posOffset>
                </wp:positionV>
                <wp:extent cx="958850" cy="0"/>
                <wp:effectExtent l="0" t="4445" r="0" b="5080"/>
                <wp:wrapNone/>
                <wp:docPr id="15"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4.05pt;margin-top:17.1pt;height:0pt;width:75.5pt;z-index:251673600;mso-width-relative:page;mso-height-relative:page;" filled="f" stroked="t" coordsize="21600,21600" o:gfxdata="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Xv8RvWAAAACQEAAA8AAAAAAAAAAQAgAAAAIgAAAGRycy9kb3ducmV2LnhtbFBLAQIUABQA&#10;AAAIAIdO4kDUhW1U8gEAAOQDAAAOAAAAAAAAAAEAIAAAACU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2324100</wp:posOffset>
                </wp:positionH>
                <wp:positionV relativeFrom="paragraph">
                  <wp:posOffset>749935</wp:posOffset>
                </wp:positionV>
                <wp:extent cx="958850" cy="0"/>
                <wp:effectExtent l="0" t="4445" r="0" b="5080"/>
                <wp:wrapNone/>
                <wp:docPr id="16"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3pt;margin-top:59.05pt;height:0pt;width:75.5pt;z-index:251674624;mso-width-relative:page;mso-height-relative:page;" filled="f" stroked="t" coordsize="21600,21600" o:gfxdata="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Z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O6fl1gAAAAkBAAAPAAAAAAAAAAEAIAAAACIAAABkcnMvZG93bnJldi54bWxQSwECFAAU&#10;AAAACACHTuJAocCuu/MBAADkAwAADgAAAAAAAAABACAAAAAlAQAAZHJzL2Uyb0RvYy54bWxQSwUG&#10;AAAAAAYABgBZAQAAigUAAAAA&#10;">
                <v:fill on="f" focussize="0,0"/>
                <v:stroke color="#000000" joinstyle="round"/>
                <v:imagedata o:title=""/>
                <o:lock v:ext="edit" aspectratio="f"/>
              </v:shape>
            </w:pict>
          </mc:Fallback>
        </mc:AlternateContent>
      </w:r>
      <w:r>
        <w:rPr>
          <w:rFonts w:hint="eastAsia"/>
        </w:rPr>
        <w:t>第七章</w:t>
      </w:r>
    </w:p>
    <w:p>
      <w:pPr>
        <w:pStyle w:val="38"/>
      </w:pPr>
    </w:p>
    <w:p>
      <w:pPr>
        <w:pStyle w:val="4"/>
      </w:pPr>
      <w:bookmarkStart w:id="85" w:name="_Toc17119"/>
      <w:bookmarkStart w:id="86" w:name="_Toc24815"/>
      <w:bookmarkStart w:id="87" w:name="_Toc12769"/>
      <w:bookmarkStart w:id="88" w:name="_Toc10840"/>
      <w:bookmarkStart w:id="89" w:name="_Toc5342"/>
      <w:bookmarkStart w:id="90" w:name="_Toc88209951"/>
      <w:bookmarkStart w:id="91" w:name="_Toc87616388"/>
      <w:bookmarkStart w:id="92" w:name="_Toc24490"/>
      <w:bookmarkStart w:id="93" w:name="_Toc21675"/>
      <w:bookmarkStart w:id="94" w:name="_Toc12610"/>
      <w:bookmarkStart w:id="95" w:name="_Toc30157"/>
      <w:bookmarkStart w:id="96" w:name="_Toc31564"/>
      <w:bookmarkStart w:id="97" w:name="_Toc22764"/>
      <w:r>
        <w:rPr>
          <w:rFonts w:hint="eastAsia"/>
        </w:rPr>
        <w:t>响应文件格式要求</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98" w:name="_Toc87616389"/>
      <w:bookmarkStart w:id="99" w:name="_Toc88209952"/>
      <w:r>
        <w:rPr>
          <w:rFonts w:hint="eastAsia" w:ascii="仿宋_GB2312" w:eastAsia="仿宋_GB2312"/>
          <w:sz w:val="28"/>
          <w:szCs w:val="28"/>
        </w:rPr>
        <w:t>1.响应函</w:t>
      </w:r>
      <w:bookmarkEnd w:id="98"/>
      <w:bookmarkEnd w:id="99"/>
    </w:p>
    <w:p>
      <w:pPr>
        <w:spacing w:line="600" w:lineRule="exact"/>
        <w:rPr>
          <w:rFonts w:ascii="仿宋_GB2312" w:eastAsia="仿宋_GB2312"/>
          <w:sz w:val="28"/>
          <w:szCs w:val="28"/>
        </w:rPr>
      </w:pPr>
      <w:bookmarkStart w:id="100" w:name="_Toc88209953"/>
      <w:bookmarkStart w:id="101" w:name="_Toc87616390"/>
      <w:r>
        <w:rPr>
          <w:rFonts w:hint="eastAsia" w:ascii="仿宋_GB2312" w:eastAsia="仿宋_GB2312"/>
          <w:sz w:val="28"/>
          <w:szCs w:val="28"/>
        </w:rPr>
        <w:t>2.法定代表人证明或授权委托书</w:t>
      </w:r>
      <w:bookmarkEnd w:id="100"/>
      <w:bookmarkEnd w:id="101"/>
      <w:bookmarkStart w:id="102" w:name="_Toc88209956"/>
      <w:bookmarkStart w:id="103"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02"/>
      <w:bookmarkEnd w:id="103"/>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color w:val="auto"/>
        </w:rPr>
      </w:pPr>
    </w:p>
    <w:p>
      <w:pPr>
        <w:adjustRightInd w:val="0"/>
        <w:snapToGrid w:val="0"/>
        <w:spacing w:beforeLines="50" w:afterLines="50" w:line="600" w:lineRule="exact"/>
        <w:rPr>
          <w:rFonts w:ascii="方正小标宋简体" w:eastAsia="方正小标宋简体"/>
          <w:sz w:val="44"/>
          <w:szCs w:val="44"/>
        </w:rPr>
      </w:pPr>
    </w:p>
    <w:p>
      <w:pPr>
        <w:pStyle w:val="2"/>
      </w:pPr>
    </w:p>
    <w:p>
      <w:pPr>
        <w:adjustRightInd w:val="0"/>
        <w:snapToGrid w:val="0"/>
        <w:spacing w:beforeLines="50" w:afterLines="50" w:line="600" w:lineRule="exact"/>
        <w:rPr>
          <w:rFonts w:ascii="方正小标宋简体" w:eastAsia="方正小标宋简体"/>
          <w:sz w:val="44"/>
          <w:szCs w:val="44"/>
        </w:rPr>
      </w:pPr>
    </w:p>
    <w:p>
      <w:pPr>
        <w:pStyle w:val="6"/>
        <w:rPr>
          <w:rFonts w:asciiTheme="minorEastAsia" w:hAnsiTheme="minorEastAsia" w:eastAsiaTheme="minorEastAsia"/>
          <w:sz w:val="28"/>
          <w:szCs w:val="28"/>
        </w:rPr>
      </w:pPr>
      <w:bookmarkStart w:id="104" w:name="_Toc87616394"/>
      <w:bookmarkStart w:id="105" w:name="_Toc12665"/>
      <w:bookmarkStart w:id="106" w:name="_Toc88209957"/>
      <w:bookmarkStart w:id="107" w:name="_Toc6313"/>
      <w:bookmarkStart w:id="108" w:name="_Toc28619645"/>
      <w:r>
        <w:rPr>
          <w:rFonts w:hint="eastAsia" w:asciiTheme="minorEastAsia" w:hAnsiTheme="minorEastAsia" w:eastAsiaTheme="minorEastAsia"/>
          <w:sz w:val="28"/>
          <w:szCs w:val="28"/>
        </w:rPr>
        <w:t>1.响应函</w:t>
      </w:r>
      <w:bookmarkEnd w:id="104"/>
      <w:bookmarkEnd w:id="105"/>
      <w:bookmarkEnd w:id="106"/>
      <w:bookmarkEnd w:id="107"/>
      <w:bookmarkEnd w:id="108"/>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      ）</w:t>
      </w:r>
      <w:r>
        <w:rPr>
          <w:rFonts w:hint="eastAsia" w:ascii="仿宋_GB2312" w:hAnsi="黑体" w:eastAsia="仿宋_GB2312"/>
          <w:sz w:val="28"/>
          <w:szCs w:val="28"/>
        </w:rPr>
        <w:t>的报价（其中，不含税价为；增值税为）完成/提供本项目</w:t>
      </w:r>
      <w:r>
        <w:rPr>
          <w:rFonts w:hint="eastAsia" w:ascii="仿宋_GB2312" w:hAnsi="黑体" w:eastAsia="仿宋_GB2312"/>
          <w:sz w:val="28"/>
          <w:szCs w:val="28"/>
          <w:lang w:eastAsia="zh-CN"/>
        </w:rPr>
        <w:t>☑</w:t>
      </w:r>
      <w:r>
        <w:rPr>
          <w:rFonts w:hint="eastAsia" w:ascii="仿宋_GB2312" w:hAnsi="黑体" w:eastAsia="仿宋_GB2312"/>
          <w:sz w:val="28"/>
          <w:szCs w:val="28"/>
        </w:rPr>
        <w:t>工程 □货物□服务并按合同约定履行义务。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29"/>
        <w:ind w:firstLine="560" w:firstLineChars="200"/>
      </w:pPr>
      <w:r>
        <w:rPr>
          <w:rFonts w:hint="eastAsia" w:ascii="仿宋_GB2312" w:hAnsi="黑体"/>
          <w:color w:val="auto"/>
          <w:sz w:val="28"/>
          <w:szCs w:val="28"/>
        </w:rPr>
        <w:t>（5</w:t>
      </w:r>
      <w:r>
        <w:rPr>
          <w:rFonts w:ascii="仿宋_GB2312" w:hAnsi="黑体"/>
          <w:color w:val="auto"/>
          <w:sz w:val="28"/>
          <w:szCs w:val="28"/>
        </w:rPr>
        <w:t>）如放弃成交，我方依法</w:t>
      </w:r>
      <w:r>
        <w:rPr>
          <w:rFonts w:hint="eastAsia" w:ascii="仿宋_GB2312" w:hAnsi="黑体"/>
          <w:color w:val="auto"/>
          <w:sz w:val="28"/>
          <w:szCs w:val="28"/>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年月日</w:t>
      </w:r>
    </w:p>
    <w:p>
      <w:pPr>
        <w:adjustRightInd w:val="0"/>
        <w:snapToGrid w:val="0"/>
        <w:spacing w:line="600" w:lineRule="exact"/>
        <w:ind w:left="1" w:firstLine="551" w:firstLineChars="197"/>
        <w:jc w:val="right"/>
        <w:rPr>
          <w:rFonts w:asciiTheme="minorEastAsia" w:hAnsiTheme="minorEastAsia"/>
          <w:sz w:val="28"/>
          <w:szCs w:val="28"/>
        </w:rPr>
      </w:pPr>
      <w:bookmarkStart w:id="109" w:name="_Toc88209958"/>
      <w:bookmarkStart w:id="110" w:name="_Toc87616395"/>
      <w:bookmarkStart w:id="111" w:name="_Toc22527"/>
      <w:bookmarkStart w:id="112" w:name="_Toc29833"/>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09"/>
      <w:bookmarkEnd w:id="110"/>
      <w:bookmarkEnd w:id="111"/>
      <w:bookmarkEnd w:id="112"/>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0"/>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0"/>
          <w:szCs w:val="30"/>
        </w:rPr>
        <w:t>供应商名称：</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p>
    <w:p>
      <w:pPr>
        <w:pStyle w:val="39"/>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成立时间：年月日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 性别： 年龄： 身份证号码：</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期：年月日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rYdJEk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62HSR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pStyle w:val="38"/>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附：1.委托代理人身份证(正反两面)复印件，提供授权委托代理人身份证原件备查。</w:t>
      </w:r>
    </w:p>
    <w:p>
      <w:pPr>
        <w:pStyle w:val="38"/>
        <w:numPr>
          <w:ilvl w:val="255"/>
          <w:numId w:val="0"/>
        </w:numPr>
        <w:ind w:firstLine="600" w:firstLineChars="2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2.提供授权委托人在本单位近三个月社保记录（以加盖社会保险基金管理中心印章的《缴费历史明细表》或《社会保险参保人员证明》为准），否则为无效代理人，响应文件无效。</w:t>
      </w:r>
    </w:p>
    <w:p>
      <w:pPr>
        <w:pStyle w:val="38"/>
        <w:numPr>
          <w:ilvl w:val="255"/>
          <w:numId w:val="0"/>
        </w:numPr>
        <w:rPr>
          <w:rFonts w:ascii="仿宋_GB2312" w:hAnsi="宋体" w:eastAsia="仿宋_GB2312"/>
          <w:sz w:val="30"/>
          <w:szCs w:val="30"/>
        </w:rPr>
      </w:pP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期：年月日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643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6"/>
        <w:rPr>
          <w:rFonts w:asciiTheme="minorEastAsia" w:hAnsiTheme="minorEastAsia" w:eastAsiaTheme="minorEastAsia"/>
          <w:sz w:val="28"/>
          <w:szCs w:val="28"/>
        </w:rPr>
      </w:pPr>
      <w:bookmarkStart w:id="113" w:name="_Toc88209963"/>
      <w:bookmarkStart w:id="114" w:name="_Toc87616400"/>
      <w:bookmarkStart w:id="115" w:name="_Toc19830"/>
      <w:bookmarkStart w:id="116" w:name="_Toc8086"/>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13"/>
      <w:bookmarkEnd w:id="114"/>
      <w:bookmarkEnd w:id="115"/>
      <w:bookmarkEnd w:id="116"/>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cs="Times New Roman" w:asciiTheme="minorEastAsia" w:hAnsiTheme="minorEastAsia"/>
          <w:b/>
          <w:bCs/>
          <w:sz w:val="28"/>
          <w:szCs w:val="28"/>
        </w:rPr>
      </w:pPr>
      <w:bookmarkStart w:id="117" w:name="_Hlk59025866"/>
      <w:r>
        <w:rPr>
          <w:rFonts w:hint="eastAsia" w:ascii="宋体" w:hAnsi="宋体" w:eastAsia="宋体" w:cs="宋体"/>
          <w:sz w:val="24"/>
          <w:szCs w:val="24"/>
          <w:lang w:val="en-GB"/>
        </w:rPr>
        <w:t>供应商名称（加盖公章）：</w:t>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17"/>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u w:val="single"/>
          <w:lang w:val="en-GB"/>
        </w:rPr>
        <w:t>广州市净水有限公司</w:t>
      </w:r>
      <w:r>
        <w:rPr>
          <w:rFonts w:hint="eastAsia" w:ascii="宋体" w:hAnsi="宋体" w:cs="宋体"/>
          <w:sz w:val="24"/>
          <w:szCs w:val="24"/>
          <w:u w:val="single"/>
        </w:rPr>
        <w:t xml:space="preserve">猎德分公司广场及四期周边道路与路侧石维修项目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w:t>
      </w:r>
      <w:r>
        <w:rPr>
          <w:rFonts w:hint="eastAsia" w:ascii="宋体" w:hAnsi="宋体" w:cs="宋体"/>
          <w:sz w:val="24"/>
          <w:szCs w:val="24"/>
        </w:rPr>
        <w:t>或</w:t>
      </w:r>
      <w:r>
        <w:rPr>
          <w:rFonts w:hint="eastAsia" w:ascii="宋体" w:hAnsi="宋体" w:cs="宋体"/>
          <w:sz w:val="24"/>
          <w:szCs w:val="24"/>
          <w:lang w:val="en-GB"/>
        </w:rPr>
        <w:t>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3</w:t>
      </w:r>
      <w:r>
        <w:rPr>
          <w:rFonts w:hint="eastAsia" w:ascii="宋体" w:hAnsi="宋体" w:cs="宋体"/>
          <w:sz w:val="24"/>
          <w:szCs w:val="24"/>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4</w:t>
      </w:r>
      <w:r>
        <w:rPr>
          <w:rFonts w:hint="eastAsia" w:ascii="宋体" w:hAnsi="宋体" w:cs="宋体"/>
          <w:sz w:val="24"/>
          <w:szCs w:val="24"/>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5</w:t>
      </w:r>
      <w:r>
        <w:rPr>
          <w:rFonts w:hint="eastAsia" w:ascii="宋体" w:hAnsi="宋体" w:cs="宋体"/>
          <w:sz w:val="24"/>
          <w:szCs w:val="24"/>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6</w:t>
      </w:r>
      <w:r>
        <w:rPr>
          <w:rFonts w:hint="eastAsia" w:ascii="宋体" w:hAnsi="宋体" w:cs="宋体"/>
          <w:sz w:val="24"/>
          <w:szCs w:val="24"/>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7</w:t>
      </w:r>
      <w:r>
        <w:rPr>
          <w:rFonts w:hint="eastAsia" w:ascii="宋体" w:hAnsi="宋体" w:cs="宋体"/>
          <w:sz w:val="24"/>
          <w:szCs w:val="24"/>
          <w:lang w:val="en-GB"/>
        </w:rPr>
        <w:t>）被最高人民法院在“信用中国”网站（www.creditchina.gov.cn）或各级信用信息共享平台中列入失信被执行人名单。</w:t>
      </w:r>
    </w:p>
    <w:p>
      <w:pPr>
        <w:pStyle w:val="2"/>
        <w:ind w:firstLine="480" w:firstLineChars="200"/>
        <w:rPr>
          <w:rFonts w:cs="宋体" w:eastAsiaTheme="minorEastAsia"/>
          <w:color w:val="auto"/>
          <w:kern w:val="2"/>
          <w:lang w:val="en-GB"/>
        </w:rPr>
      </w:pPr>
      <w:r>
        <w:rPr>
          <w:rFonts w:hint="eastAsia" w:cs="宋体" w:eastAsiaTheme="minorEastAsia"/>
          <w:color w:val="auto"/>
          <w:lang w:val="en-GB"/>
        </w:rPr>
        <w:t>（</w:t>
      </w:r>
      <w:r>
        <w:rPr>
          <w:rFonts w:hint="eastAsia" w:cs="宋体"/>
          <w:color w:val="auto"/>
        </w:rPr>
        <w:t>8</w:t>
      </w:r>
      <w:r>
        <w:rPr>
          <w:rFonts w:hint="eastAsia" w:cs="宋体" w:eastAsiaTheme="minorEastAsia"/>
          <w:color w:val="auto"/>
          <w:lang w:val="en-GB"/>
        </w:rPr>
        <w:t>）</w:t>
      </w:r>
      <w:r>
        <w:rPr>
          <w:rFonts w:hint="eastAsia" w:cs="宋体" w:eastAsiaTheme="minorEastAsia"/>
          <w:color w:val="auto"/>
          <w:kern w:val="2"/>
          <w:lang w:val="en-GB"/>
        </w:rPr>
        <w:t>被“全国企业信用信息公示系统”（网址：http://www.gsxt.gov.cn/）</w:t>
      </w:r>
    </w:p>
    <w:p>
      <w:pPr>
        <w:pStyle w:val="2"/>
        <w:rPr>
          <w:rFonts w:cs="宋体" w:eastAsiaTheme="minorEastAsia"/>
          <w:color w:val="auto"/>
          <w:kern w:val="2"/>
          <w:lang w:val="en-GB"/>
        </w:rPr>
      </w:pPr>
      <w:r>
        <w:rPr>
          <w:rFonts w:hint="eastAsia" w:cs="宋体" w:eastAsiaTheme="minorEastAsia"/>
          <w:color w:val="auto"/>
          <w:kern w:val="2"/>
          <w:lang w:val="en-GB"/>
        </w:rPr>
        <w:t>列入经营异常名录和严重违法企业名单。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9</w:t>
      </w:r>
      <w:r>
        <w:rPr>
          <w:rFonts w:hint="eastAsia" w:ascii="宋体" w:hAnsi="宋体" w:cs="宋体"/>
          <w:sz w:val="24"/>
          <w:szCs w:val="24"/>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Cs w:val="21"/>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right"/>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p>
    <w:p>
      <w:pPr>
        <w:pStyle w:val="7"/>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r>
        <w:rPr>
          <w:rFonts w:hint="eastAsia" w:ascii="仿宋_GB2312" w:eastAsia="仿宋_GB2312" w:hAnsiTheme="minorEastAsia"/>
          <w:color w:val="auto"/>
          <w:sz w:val="28"/>
          <w:szCs w:val="28"/>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bookmarkStart w:id="118" w:name="_Toc19423"/>
            <w:bookmarkStart w:id="119" w:name="_Toc32430"/>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电工</w:t>
            </w: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焊工</w:t>
            </w: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普工</w:t>
            </w: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p>
        </w:tc>
      </w:tr>
    </w:tbl>
    <w:p>
      <w:pPr>
        <w:pStyle w:val="6"/>
        <w:rPr>
          <w:rFonts w:ascii="仿宋_GB2312" w:eastAsia="仿宋_GB2312" w:hAnsiTheme="minorEastAsia"/>
          <w:sz w:val="28"/>
          <w:szCs w:val="28"/>
        </w:rPr>
      </w:pPr>
    </w:p>
    <w:p>
      <w:pPr>
        <w:pStyle w:val="6"/>
        <w:rPr>
          <w:rFonts w:ascii="仿宋_GB2312" w:eastAsia="仿宋_GB2312" w:hAnsiTheme="minorEastAsia"/>
          <w:sz w:val="28"/>
          <w:szCs w:val="28"/>
        </w:rPr>
      </w:pPr>
    </w:p>
    <w:p>
      <w:pPr>
        <w:pStyle w:val="6"/>
        <w:rPr>
          <w:rFonts w:ascii="仿宋_GB2312" w:eastAsia="仿宋_GB2312" w:hAnsiTheme="minorEastAsia"/>
          <w:sz w:val="28"/>
          <w:szCs w:val="28"/>
        </w:rPr>
      </w:pPr>
    </w:p>
    <w:p>
      <w:pPr>
        <w:pStyle w:val="6"/>
        <w:rPr>
          <w:rFonts w:ascii="仿宋_GB2312" w:eastAsia="仿宋_GB2312" w:hAnsiTheme="minorEastAsia"/>
          <w:sz w:val="28"/>
          <w:szCs w:val="28"/>
        </w:rPr>
      </w:pPr>
    </w:p>
    <w:p>
      <w:pPr>
        <w:pStyle w:val="6"/>
        <w:rPr>
          <w:rFonts w:ascii="仿宋_GB2312" w:eastAsia="仿宋_GB2312" w:hAnsiTheme="minorEastAsia"/>
          <w:sz w:val="28"/>
          <w:szCs w:val="28"/>
        </w:rPr>
      </w:pPr>
    </w:p>
    <w:p>
      <w:pPr>
        <w:pStyle w:val="6"/>
        <w:rPr>
          <w:rFonts w:ascii="仿宋_GB2312" w:eastAsia="仿宋_GB2312" w:hAnsiTheme="minorEastAsia"/>
          <w:sz w:val="28"/>
          <w:szCs w:val="28"/>
        </w:rPr>
      </w:pPr>
    </w:p>
    <w:p>
      <w:pPr>
        <w:pStyle w:val="6"/>
        <w:rPr>
          <w:rFonts w:ascii="仿宋_GB2312" w:eastAsia="仿宋_GB2312" w:hAnsiTheme="minorEastAsia"/>
          <w:sz w:val="28"/>
          <w:szCs w:val="28"/>
        </w:rPr>
      </w:pPr>
    </w:p>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18"/>
      <w:bookmarkEnd w:id="119"/>
    </w:p>
    <w:tbl>
      <w:tblPr>
        <w:tblStyle w:val="22"/>
        <w:tblpPr w:leftFromText="180" w:rightFromText="180" w:vertAnchor="text" w:horzAnchor="page" w:tblpX="937" w:tblpY="539"/>
        <w:tblOverlap w:val="never"/>
        <w:tblW w:w="10240" w:type="dxa"/>
        <w:tblInd w:w="0" w:type="dxa"/>
        <w:tblLayout w:type="autofit"/>
        <w:tblCellMar>
          <w:top w:w="0" w:type="dxa"/>
          <w:left w:w="108" w:type="dxa"/>
          <w:bottom w:w="0" w:type="dxa"/>
          <w:right w:w="108" w:type="dxa"/>
        </w:tblCellMar>
      </w:tblPr>
      <w:tblGrid>
        <w:gridCol w:w="1134"/>
        <w:gridCol w:w="3649"/>
        <w:gridCol w:w="1876"/>
        <w:gridCol w:w="1025"/>
        <w:gridCol w:w="617"/>
        <w:gridCol w:w="1939"/>
      </w:tblGrid>
      <w:tr>
        <w:tblPrEx>
          <w:tblCellMar>
            <w:top w:w="0" w:type="dxa"/>
            <w:left w:w="108" w:type="dxa"/>
            <w:bottom w:w="0" w:type="dxa"/>
            <w:right w:w="108" w:type="dxa"/>
          </w:tblCellMar>
        </w:tblPrEx>
        <w:trPr>
          <w:trHeight w:val="719" w:hRule="atLeast"/>
        </w:trPr>
        <w:tc>
          <w:tcPr>
            <w:tcW w:w="10240" w:type="dxa"/>
            <w:gridSpan w:val="6"/>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单位工程预算汇总表</w:t>
            </w:r>
          </w:p>
        </w:tc>
      </w:tr>
      <w:tr>
        <w:tblPrEx>
          <w:tblCellMar>
            <w:top w:w="0" w:type="dxa"/>
            <w:left w:w="108" w:type="dxa"/>
            <w:bottom w:w="0" w:type="dxa"/>
            <w:right w:w="108" w:type="dxa"/>
          </w:tblCellMar>
        </w:tblPrEx>
        <w:trPr>
          <w:trHeight w:val="674" w:hRule="atLeast"/>
        </w:trPr>
        <w:tc>
          <w:tcPr>
            <w:tcW w:w="6659" w:type="dxa"/>
            <w:gridSpan w:val="3"/>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工程名称：猎德分公司广场及四期周边道路与路侧石维修项目</w:t>
            </w:r>
          </w:p>
        </w:tc>
        <w:tc>
          <w:tcPr>
            <w:tcW w:w="1025" w:type="dxa"/>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556" w:type="dxa"/>
            <w:gridSpan w:val="2"/>
            <w:tcBorders>
              <w:top w:val="nil"/>
              <w:left w:val="nil"/>
              <w:bottom w:val="nil"/>
              <w:right w:val="nil"/>
            </w:tcBorders>
            <w:shd w:val="clear" w:color="FFFFFF" w:fill="FFFFFF"/>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737" w:hRule="atLeast"/>
        </w:trPr>
        <w:tc>
          <w:tcPr>
            <w:tcW w:w="1134" w:type="dxa"/>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3649"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汇总内容</w:t>
            </w:r>
          </w:p>
        </w:tc>
        <w:tc>
          <w:tcPr>
            <w:tcW w:w="3518" w:type="dxa"/>
            <w:gridSpan w:val="3"/>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c>
          <w:tcPr>
            <w:tcW w:w="1939" w:type="dxa"/>
            <w:tcBorders>
              <w:top w:val="single" w:color="000000" w:sz="8" w:space="0"/>
              <w:left w:val="single" w:color="000000" w:sz="4" w:space="0"/>
              <w:bottom w:val="single" w:color="000000" w:sz="4" w:space="0"/>
              <w:right w:val="single" w:color="000000" w:sz="8"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其中：暂估价(元)</w:t>
            </w: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分部分项合计</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措施合计</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绿色施工安全防护措施费</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其他措施费</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其他项目</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暂列金额</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66067.72</w:t>
            </w: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暂估价</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计日工</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总承包服务费</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预算包干费</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工程优质费</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概算幅度差</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索赔费用</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现场签证费用</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其他费用</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税前工程造价</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增值税销项税额</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总造价</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人工费</w:t>
            </w: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1134"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jc w:val="center"/>
              <w:rPr>
                <w:rFonts w:ascii="宋体" w:hAnsi="宋体" w:eastAsia="宋体" w:cs="宋体"/>
                <w:color w:val="000000"/>
                <w:sz w:val="20"/>
                <w:szCs w:val="20"/>
              </w:rPr>
            </w:pPr>
          </w:p>
        </w:tc>
        <w:tc>
          <w:tcPr>
            <w:tcW w:w="364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ascii="宋体" w:hAnsi="宋体" w:eastAsia="宋体" w:cs="宋体"/>
                <w:color w:val="000000"/>
                <w:sz w:val="20"/>
                <w:szCs w:val="20"/>
              </w:rPr>
            </w:pPr>
          </w:p>
        </w:tc>
        <w:tc>
          <w:tcPr>
            <w:tcW w:w="35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97" w:hRule="exact"/>
        </w:trPr>
        <w:tc>
          <w:tcPr>
            <w:tcW w:w="4783" w:type="dxa"/>
            <w:gridSpan w:val="2"/>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预算价合计=1+2+3+5</w:t>
            </w:r>
          </w:p>
        </w:tc>
        <w:tc>
          <w:tcPr>
            <w:tcW w:w="3518" w:type="dxa"/>
            <w:gridSpan w:val="3"/>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939"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09" w:hRule="atLeast"/>
        </w:trPr>
        <w:tc>
          <w:tcPr>
            <w:tcW w:w="10240" w:type="dxa"/>
            <w:gridSpan w:val="6"/>
            <w:tcBorders>
              <w:top w:val="nil"/>
              <w:left w:val="nil"/>
              <w:bottom w:val="nil"/>
              <w:right w:val="nil"/>
            </w:tcBorders>
            <w:shd w:val="clear" w:color="FFFFFF" w:fill="FFFFFF"/>
            <w:noWrap/>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注：本表适用于单位工程招标控制价或投标报价的汇总，如无单位工程划分，单项工程也使用本表汇总</w:t>
            </w:r>
          </w:p>
        </w:tc>
      </w:tr>
    </w:tbl>
    <w:p>
      <w:pPr>
        <w:rPr>
          <w:rFonts w:ascii="宋体" w:hAnsi="宋体" w:eastAsia="仿宋_GB2312" w:cs="Times New Roman"/>
          <w:b/>
          <w:color w:val="000000"/>
          <w:sz w:val="24"/>
          <w:szCs w:val="32"/>
        </w:rPr>
      </w:pPr>
    </w:p>
    <w:tbl>
      <w:tblPr>
        <w:tblStyle w:val="22"/>
        <w:tblW w:w="10266" w:type="dxa"/>
        <w:tblInd w:w="-652" w:type="dxa"/>
        <w:tblLayout w:type="autofit"/>
        <w:tblCellMar>
          <w:top w:w="0" w:type="dxa"/>
          <w:left w:w="108" w:type="dxa"/>
          <w:bottom w:w="0" w:type="dxa"/>
          <w:right w:w="108" w:type="dxa"/>
        </w:tblCellMar>
      </w:tblPr>
      <w:tblGrid>
        <w:gridCol w:w="550"/>
        <w:gridCol w:w="1584"/>
        <w:gridCol w:w="1050"/>
        <w:gridCol w:w="2511"/>
        <w:gridCol w:w="88"/>
        <w:gridCol w:w="487"/>
        <w:gridCol w:w="791"/>
        <w:gridCol w:w="231"/>
        <w:gridCol w:w="691"/>
        <w:gridCol w:w="1136"/>
        <w:gridCol w:w="1147"/>
      </w:tblGrid>
      <w:tr>
        <w:tblPrEx>
          <w:tblCellMar>
            <w:top w:w="0" w:type="dxa"/>
            <w:left w:w="108" w:type="dxa"/>
            <w:bottom w:w="0" w:type="dxa"/>
            <w:right w:w="108" w:type="dxa"/>
          </w:tblCellMar>
        </w:tblPrEx>
        <w:tc>
          <w:tcPr>
            <w:tcW w:w="10266" w:type="dxa"/>
            <w:gridSpan w:val="11"/>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c>
          <w:tcPr>
            <w:tcW w:w="5695" w:type="dxa"/>
            <w:gridSpan w:val="4"/>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工程名称：猎德分公司广场及四期周边道路与路侧石维修项目</w:t>
            </w:r>
          </w:p>
        </w:tc>
        <w:tc>
          <w:tcPr>
            <w:tcW w:w="1597" w:type="dxa"/>
            <w:gridSpan w:val="4"/>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974" w:type="dxa"/>
            <w:gridSpan w:val="3"/>
            <w:tcBorders>
              <w:top w:val="nil"/>
              <w:left w:val="nil"/>
              <w:bottom w:val="nil"/>
              <w:right w:val="nil"/>
            </w:tcBorders>
            <w:shd w:val="clear" w:color="FFFFFF" w:fill="FFFFFF"/>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2 页</w:t>
            </w:r>
          </w:p>
        </w:tc>
      </w:tr>
      <w:tr>
        <w:tblPrEx>
          <w:tblCellMar>
            <w:top w:w="0" w:type="dxa"/>
            <w:left w:w="108" w:type="dxa"/>
            <w:bottom w:w="0" w:type="dxa"/>
            <w:right w:w="108" w:type="dxa"/>
          </w:tblCellMar>
        </w:tblPrEx>
        <w:tc>
          <w:tcPr>
            <w:tcW w:w="550" w:type="dxa"/>
            <w:vMerge w:val="restart"/>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584"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项目编码</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259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项目特征描述</w:t>
            </w:r>
          </w:p>
        </w:tc>
        <w:tc>
          <w:tcPr>
            <w:tcW w:w="487"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计量单位</w:t>
            </w:r>
          </w:p>
        </w:tc>
        <w:tc>
          <w:tcPr>
            <w:tcW w:w="791"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工程量</w:t>
            </w:r>
          </w:p>
        </w:tc>
        <w:tc>
          <w:tcPr>
            <w:tcW w:w="3205" w:type="dxa"/>
            <w:gridSpan w:val="4"/>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c>
          <w:tcPr>
            <w:tcW w:w="55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5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25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4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79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92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综合单价</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综合合价</w:t>
            </w: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w:t>
            </w:r>
          </w:p>
        </w:tc>
      </w:tr>
      <w:tr>
        <w:tblPrEx>
          <w:tblCellMar>
            <w:top w:w="0" w:type="dxa"/>
            <w:left w:w="108" w:type="dxa"/>
            <w:bottom w:w="0" w:type="dxa"/>
            <w:right w:w="108" w:type="dxa"/>
          </w:tblCellMar>
        </w:tblPrEx>
        <w:tc>
          <w:tcPr>
            <w:tcW w:w="55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5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259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4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79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暂估价</w:t>
            </w: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整个项目</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040203006001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沥青混凝土</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1.沥青品种:细粒式改性沥青混凝土面层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2.沥青混凝土种类:AC-13C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3.厚度:4cm</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040203006002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沥青混凝土</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1.沥青品种:细粒式改性沥青混凝土面层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2.沥青混凝土种类:AC-13C</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3.厚度:1~4cm</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040201021001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聚酯玻纤布</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1.材料品种、规格:聚酯玻纤布</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040203004001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封层</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1.材料品种:PC-2喷洒型改性乳化沥青（1.0L/m2)</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040203007001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水泥混凝土</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1.混凝土强度等级:商品混凝土 C35</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2.厚度:25cm（暂定，砼板厚度以现场为准）</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1450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粤R1-4-33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裂缝注浆</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1.填充板底脱空、加固路基、止水防渗漏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2.材料：快硬聚合物掺合料</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041001001002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拆除路面</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1.材质:C35混凝土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2.厚度:25cm（暂定，砼板厚度以现场为准）</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448</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041001004001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铣刨路面</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1.材质:沥青混凝土面层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2.厚度:4cm</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041001003001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拆除基层</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1.材质:贫砼基层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2.厚度:20cm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3.部位:基层</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040203007002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水泥混凝土</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1.混凝土强度等级:商品混凝土C20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2.厚度:20cm</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040205006001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标线</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1.材料品种:常温溶剂型漆</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m2</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040204004001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安砌侧(平、缘)石</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1.材料品种:C35预制混凝土路侧石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2.规格:1000mm*120mm*500mm高</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041001005001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拆除侧、平(缘)石</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1.材质:预制混凝土路侧石</w:t>
            </w: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55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58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分部分项合计</w:t>
            </w:r>
          </w:p>
        </w:tc>
        <w:tc>
          <w:tcPr>
            <w:tcW w:w="259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48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7983" w:type="dxa"/>
            <w:gridSpan w:val="9"/>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本页小计</w:t>
            </w:r>
          </w:p>
        </w:tc>
        <w:tc>
          <w:tcPr>
            <w:tcW w:w="1136"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147"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r>
      <w:tr>
        <w:tblPrEx>
          <w:tblCellMar>
            <w:top w:w="0" w:type="dxa"/>
            <w:left w:w="108" w:type="dxa"/>
            <w:bottom w:w="0" w:type="dxa"/>
            <w:right w:w="108" w:type="dxa"/>
          </w:tblCellMar>
        </w:tblPrEx>
        <w:tc>
          <w:tcPr>
            <w:tcW w:w="10266" w:type="dxa"/>
            <w:gridSpan w:val="11"/>
            <w:tcBorders>
              <w:top w:val="nil"/>
              <w:left w:val="nil"/>
              <w:bottom w:val="nil"/>
              <w:right w:val="nil"/>
            </w:tcBorders>
            <w:shd w:val="clear" w:color="FFFFFF" w:fill="FFFFFF"/>
            <w:noWrap/>
          </w:tcPr>
          <w:p>
            <w:pPr>
              <w:widowControl/>
              <w:spacing w:line="240" w:lineRule="exact"/>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注：为计取规费等的使用，可在表中增设其中：“定额人工费”。</w:t>
            </w:r>
          </w:p>
        </w:tc>
      </w:tr>
    </w:tbl>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tbl>
      <w:tblPr>
        <w:tblStyle w:val="22"/>
        <w:tblW w:w="10100" w:type="dxa"/>
        <w:tblInd w:w="-567" w:type="dxa"/>
        <w:tblLayout w:type="autofit"/>
        <w:tblCellMar>
          <w:top w:w="0" w:type="dxa"/>
          <w:left w:w="108" w:type="dxa"/>
          <w:bottom w:w="0" w:type="dxa"/>
          <w:right w:w="108" w:type="dxa"/>
        </w:tblCellMar>
      </w:tblPr>
      <w:tblGrid>
        <w:gridCol w:w="640"/>
        <w:gridCol w:w="1295"/>
        <w:gridCol w:w="1295"/>
        <w:gridCol w:w="2590"/>
        <w:gridCol w:w="101"/>
        <w:gridCol w:w="524"/>
        <w:gridCol w:w="902"/>
        <w:gridCol w:w="234"/>
        <w:gridCol w:w="726"/>
        <w:gridCol w:w="961"/>
        <w:gridCol w:w="832"/>
      </w:tblGrid>
      <w:tr>
        <w:tblPrEx>
          <w:tblCellMar>
            <w:top w:w="0" w:type="dxa"/>
            <w:left w:w="108" w:type="dxa"/>
            <w:bottom w:w="0" w:type="dxa"/>
            <w:right w:w="108" w:type="dxa"/>
          </w:tblCellMar>
        </w:tblPrEx>
        <w:trPr>
          <w:trHeight w:val="90" w:hRule="atLeast"/>
        </w:trPr>
        <w:tc>
          <w:tcPr>
            <w:tcW w:w="10100" w:type="dxa"/>
            <w:gridSpan w:val="11"/>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分部分项工程和单价措施项目清单与计价表</w:t>
            </w:r>
          </w:p>
        </w:tc>
      </w:tr>
      <w:tr>
        <w:tblPrEx>
          <w:tblCellMar>
            <w:top w:w="0" w:type="dxa"/>
            <w:left w:w="108" w:type="dxa"/>
            <w:bottom w:w="0" w:type="dxa"/>
            <w:right w:w="108" w:type="dxa"/>
          </w:tblCellMar>
        </w:tblPrEx>
        <w:tc>
          <w:tcPr>
            <w:tcW w:w="5820" w:type="dxa"/>
            <w:gridSpan w:val="4"/>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工程名称：猎德分公司广场及四期周边道路与路侧石维修项目</w:t>
            </w:r>
          </w:p>
        </w:tc>
        <w:tc>
          <w:tcPr>
            <w:tcW w:w="1761" w:type="dxa"/>
            <w:gridSpan w:val="4"/>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519" w:type="dxa"/>
            <w:gridSpan w:val="3"/>
            <w:tcBorders>
              <w:top w:val="nil"/>
              <w:left w:val="nil"/>
              <w:bottom w:val="nil"/>
              <w:right w:val="nil"/>
            </w:tcBorders>
            <w:shd w:val="clear" w:color="FFFFFF" w:fill="FFFFFF"/>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2 页  共 2 页</w:t>
            </w:r>
          </w:p>
        </w:tc>
      </w:tr>
      <w:tr>
        <w:tblPrEx>
          <w:tblCellMar>
            <w:top w:w="0" w:type="dxa"/>
            <w:left w:w="108" w:type="dxa"/>
            <w:bottom w:w="0" w:type="dxa"/>
            <w:right w:w="108" w:type="dxa"/>
          </w:tblCellMar>
        </w:tblPrEx>
        <w:tc>
          <w:tcPr>
            <w:tcW w:w="640" w:type="dxa"/>
            <w:vMerge w:val="restart"/>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295"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1295"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269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项目特征描述</w:t>
            </w:r>
          </w:p>
        </w:tc>
        <w:tc>
          <w:tcPr>
            <w:tcW w:w="524"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计量单位</w:t>
            </w:r>
          </w:p>
        </w:tc>
        <w:tc>
          <w:tcPr>
            <w:tcW w:w="902" w:type="dxa"/>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工程量</w:t>
            </w:r>
          </w:p>
        </w:tc>
        <w:tc>
          <w:tcPr>
            <w:tcW w:w="2753" w:type="dxa"/>
            <w:gridSpan w:val="4"/>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c>
          <w:tcPr>
            <w:tcW w:w="64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269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52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0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综合单价</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综合合价</w:t>
            </w: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w:t>
            </w:r>
          </w:p>
        </w:tc>
      </w:tr>
      <w:tr>
        <w:tblPrEx>
          <w:tblCellMar>
            <w:top w:w="0" w:type="dxa"/>
            <w:left w:w="108" w:type="dxa"/>
            <w:bottom w:w="0" w:type="dxa"/>
            <w:right w:w="108" w:type="dxa"/>
          </w:tblCellMar>
        </w:tblPrEx>
        <w:tc>
          <w:tcPr>
            <w:tcW w:w="64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269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52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0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暂估价</w:t>
            </w:r>
          </w:p>
        </w:tc>
      </w:tr>
      <w:tr>
        <w:tblPrEx>
          <w:tblCellMar>
            <w:top w:w="0" w:type="dxa"/>
            <w:left w:w="108" w:type="dxa"/>
            <w:bottom w:w="0" w:type="dxa"/>
            <w:right w:w="108" w:type="dxa"/>
          </w:tblCellMar>
        </w:tblPrEx>
        <w:tc>
          <w:tcPr>
            <w:tcW w:w="64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措施项目</w:t>
            </w: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5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64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单价措施合计</w:t>
            </w: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5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64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5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64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5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8307" w:type="dxa"/>
            <w:gridSpan w:val="9"/>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本页小计</w:t>
            </w:r>
          </w:p>
        </w:tc>
        <w:tc>
          <w:tcPr>
            <w:tcW w:w="96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8307" w:type="dxa"/>
            <w:gridSpan w:val="9"/>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961"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32"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10100" w:type="dxa"/>
            <w:gridSpan w:val="11"/>
            <w:tcBorders>
              <w:top w:val="nil"/>
              <w:left w:val="nil"/>
              <w:bottom w:val="nil"/>
              <w:right w:val="nil"/>
            </w:tcBorders>
            <w:shd w:val="clear" w:color="FFFFFF" w:fill="FFFFFF"/>
            <w:noWrap/>
          </w:tcPr>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注：为计取规费等的使用，可在表中增设其中：“定额人工费”。</w:t>
            </w:r>
          </w:p>
        </w:tc>
      </w:tr>
    </w:tbl>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tbl>
      <w:tblPr>
        <w:tblStyle w:val="22"/>
        <w:tblW w:w="9980" w:type="dxa"/>
        <w:tblInd w:w="-505" w:type="dxa"/>
        <w:tblLayout w:type="autofit"/>
        <w:tblCellMar>
          <w:top w:w="0" w:type="dxa"/>
          <w:left w:w="108" w:type="dxa"/>
          <w:bottom w:w="0" w:type="dxa"/>
          <w:right w:w="108" w:type="dxa"/>
        </w:tblCellMar>
      </w:tblPr>
      <w:tblGrid>
        <w:gridCol w:w="652"/>
        <w:gridCol w:w="1416"/>
        <w:gridCol w:w="1611"/>
        <w:gridCol w:w="1292"/>
        <w:gridCol w:w="743"/>
        <w:gridCol w:w="72"/>
        <w:gridCol w:w="1059"/>
        <w:gridCol w:w="880"/>
        <w:gridCol w:w="828"/>
        <w:gridCol w:w="1427"/>
      </w:tblGrid>
      <w:tr>
        <w:tblPrEx>
          <w:tblCellMar>
            <w:top w:w="0" w:type="dxa"/>
            <w:left w:w="108" w:type="dxa"/>
            <w:bottom w:w="0" w:type="dxa"/>
            <w:right w:w="108" w:type="dxa"/>
          </w:tblCellMar>
        </w:tblPrEx>
        <w:tc>
          <w:tcPr>
            <w:tcW w:w="9980" w:type="dxa"/>
            <w:gridSpan w:val="10"/>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总价措施项目清单与计价表</w:t>
            </w:r>
          </w:p>
        </w:tc>
      </w:tr>
      <w:tr>
        <w:tblPrEx>
          <w:tblCellMar>
            <w:top w:w="0" w:type="dxa"/>
            <w:left w:w="108" w:type="dxa"/>
            <w:bottom w:w="0" w:type="dxa"/>
            <w:right w:w="108" w:type="dxa"/>
          </w:tblCellMar>
        </w:tblPrEx>
        <w:tc>
          <w:tcPr>
            <w:tcW w:w="5786" w:type="dxa"/>
            <w:gridSpan w:val="6"/>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工程名称：猎德分公司广场及四期周边道路与路侧石维修项目</w:t>
            </w:r>
          </w:p>
        </w:tc>
        <w:tc>
          <w:tcPr>
            <w:tcW w:w="1939" w:type="dxa"/>
            <w:gridSpan w:val="2"/>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255" w:type="dxa"/>
            <w:gridSpan w:val="2"/>
            <w:tcBorders>
              <w:top w:val="nil"/>
              <w:left w:val="nil"/>
              <w:bottom w:val="nil"/>
              <w:right w:val="nil"/>
            </w:tcBorders>
            <w:shd w:val="clear" w:color="FFFFFF" w:fill="FFFFFF"/>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2 页</w:t>
            </w:r>
          </w:p>
        </w:tc>
      </w:tr>
      <w:tr>
        <w:tblPrEx>
          <w:tblCellMar>
            <w:top w:w="0" w:type="dxa"/>
            <w:left w:w="108" w:type="dxa"/>
            <w:bottom w:w="0" w:type="dxa"/>
            <w:right w:w="108" w:type="dxa"/>
          </w:tblCellMar>
        </w:tblPrEx>
        <w:tc>
          <w:tcPr>
            <w:tcW w:w="652" w:type="dxa"/>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1611"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1292"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计算基础</w:t>
            </w:r>
          </w:p>
        </w:tc>
        <w:tc>
          <w:tcPr>
            <w:tcW w:w="743"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费率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p>
        </w:tc>
        <w:tc>
          <w:tcPr>
            <w:tcW w:w="1131"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(元)</w:t>
            </w:r>
          </w:p>
        </w:tc>
        <w:tc>
          <w:tcPr>
            <w:tcW w:w="880"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调整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费率(%)</w:t>
            </w:r>
          </w:p>
        </w:tc>
        <w:tc>
          <w:tcPr>
            <w:tcW w:w="828"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调整后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金额(元)</w:t>
            </w:r>
          </w:p>
        </w:tc>
        <w:tc>
          <w:tcPr>
            <w:tcW w:w="1427" w:type="dxa"/>
            <w:tcBorders>
              <w:top w:val="single" w:color="000000" w:sz="8"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5994"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LSSGCSF00001</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绿色施工安全防护措施费</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分部分项人工费+分部分项机具费</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25933.32</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粤041109009001</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文明工地增加费</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分部分项人工费+分部分项机具费</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以分部分项的人工费与施工机具费之和为计算基础；市级文明工地0.60%；省级文明工地1.20%</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041109002001</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夜间施工增加费</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以夜间施工项目人工费的20%计算</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041109005001</w:t>
            </w:r>
          </w:p>
        </w:tc>
        <w:tc>
          <w:tcPr>
            <w:tcW w:w="1611"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交通疏解员增加费</w:t>
            </w:r>
          </w:p>
        </w:tc>
        <w:tc>
          <w:tcPr>
            <w:tcW w:w="1292"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743"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按照项目分部分项人工费的15%计算（有方案的按照方案计算），</w:t>
            </w:r>
          </w:p>
        </w:tc>
      </w:tr>
      <w:tr>
        <w:tblPrEx>
          <w:tblCellMar>
            <w:top w:w="0" w:type="dxa"/>
            <w:left w:w="108" w:type="dxa"/>
            <w:bottom w:w="0" w:type="dxa"/>
            <w:right w:w="108" w:type="dxa"/>
          </w:tblCellMar>
        </w:tblPrEx>
        <w:tc>
          <w:tcPr>
            <w:tcW w:w="5786" w:type="dxa"/>
            <w:gridSpan w:val="6"/>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编制人（造价人员）：</w:t>
            </w:r>
          </w:p>
        </w:tc>
        <w:tc>
          <w:tcPr>
            <w:tcW w:w="4194" w:type="dxa"/>
            <w:gridSpan w:val="4"/>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复核人（造价工程师）：</w:t>
            </w:r>
          </w:p>
        </w:tc>
      </w:tr>
      <w:tr>
        <w:tblPrEx>
          <w:tblCellMar>
            <w:top w:w="0" w:type="dxa"/>
            <w:left w:w="108" w:type="dxa"/>
            <w:bottom w:w="0" w:type="dxa"/>
            <w:right w:w="108" w:type="dxa"/>
          </w:tblCellMar>
        </w:tblPrEx>
        <w:tc>
          <w:tcPr>
            <w:tcW w:w="9980" w:type="dxa"/>
            <w:gridSpan w:val="10"/>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kern w:val="0"/>
                <w:sz w:val="40"/>
                <w:szCs w:val="40"/>
              </w:rPr>
            </w:pPr>
          </w:p>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总价措施项目清单与计价表</w:t>
            </w:r>
          </w:p>
        </w:tc>
      </w:tr>
      <w:tr>
        <w:tblPrEx>
          <w:tblCellMar>
            <w:top w:w="0" w:type="dxa"/>
            <w:left w:w="108" w:type="dxa"/>
            <w:bottom w:w="0" w:type="dxa"/>
            <w:right w:w="108" w:type="dxa"/>
          </w:tblCellMar>
        </w:tblPrEx>
        <w:tc>
          <w:tcPr>
            <w:tcW w:w="5786" w:type="dxa"/>
            <w:gridSpan w:val="6"/>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工程名称：猎德分公司广场及四期周边道路与路侧石维修项目</w:t>
            </w:r>
          </w:p>
        </w:tc>
        <w:tc>
          <w:tcPr>
            <w:tcW w:w="1939" w:type="dxa"/>
            <w:gridSpan w:val="2"/>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255" w:type="dxa"/>
            <w:gridSpan w:val="2"/>
            <w:tcBorders>
              <w:top w:val="nil"/>
              <w:left w:val="nil"/>
              <w:bottom w:val="nil"/>
              <w:right w:val="nil"/>
            </w:tcBorders>
            <w:shd w:val="clear" w:color="FFFFFF" w:fill="FFFFFF"/>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2 页  共 2 页</w:t>
            </w:r>
          </w:p>
        </w:tc>
      </w:tr>
      <w:tr>
        <w:tblPrEx>
          <w:tblCellMar>
            <w:top w:w="0" w:type="dxa"/>
            <w:left w:w="108" w:type="dxa"/>
            <w:bottom w:w="0" w:type="dxa"/>
            <w:right w:w="108" w:type="dxa"/>
          </w:tblCellMar>
        </w:tblPrEx>
        <w:tc>
          <w:tcPr>
            <w:tcW w:w="652" w:type="dxa"/>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1611"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1292"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计算基础</w:t>
            </w:r>
          </w:p>
        </w:tc>
        <w:tc>
          <w:tcPr>
            <w:tcW w:w="743"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费率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p>
        </w:tc>
        <w:tc>
          <w:tcPr>
            <w:tcW w:w="1131"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(元)</w:t>
            </w:r>
          </w:p>
        </w:tc>
        <w:tc>
          <w:tcPr>
            <w:tcW w:w="880"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调整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费率(%)</w:t>
            </w:r>
          </w:p>
        </w:tc>
        <w:tc>
          <w:tcPr>
            <w:tcW w:w="828"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调整后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金额(元)</w:t>
            </w:r>
          </w:p>
        </w:tc>
        <w:tc>
          <w:tcPr>
            <w:tcW w:w="1427" w:type="dxa"/>
            <w:tcBorders>
              <w:top w:val="single" w:color="000000" w:sz="8"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结算时据实结算。</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041108001001</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地下管线交叉降效费</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按实际发生或经批准的施工方案计算</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粤041109008001</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赶工措施费</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分部分项人工费+分部分项机具费</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赶工措施费=（1-δ）*分部分项的（人工费+施工机具费）*0.30 （0.8≤δ＜1   式中：δ=合同工期/定额工期）</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QTFY00000001</w:t>
            </w: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其他费用</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按实际发生或经批准的施工组织设计方案计算</w:t>
            </w:r>
          </w:p>
        </w:tc>
      </w:tr>
      <w:tr>
        <w:tblPrEx>
          <w:tblCellMar>
            <w:top w:w="0" w:type="dxa"/>
            <w:left w:w="108" w:type="dxa"/>
            <w:bottom w:w="0" w:type="dxa"/>
            <w:right w:w="108" w:type="dxa"/>
          </w:tblCellMar>
        </w:tblPrEx>
        <w:tc>
          <w:tcPr>
            <w:tcW w:w="652"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6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5714" w:type="dxa"/>
            <w:gridSpan w:val="5"/>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1131" w:type="dxa"/>
            <w:gridSpan w:val="2"/>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80"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828"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c>
          <w:tcPr>
            <w:tcW w:w="1427"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c>
          <w:tcPr>
            <w:tcW w:w="5786" w:type="dxa"/>
            <w:gridSpan w:val="6"/>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编制人（造价人员）：</w:t>
            </w:r>
          </w:p>
        </w:tc>
        <w:tc>
          <w:tcPr>
            <w:tcW w:w="4194" w:type="dxa"/>
            <w:gridSpan w:val="4"/>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复核人（造价工程师）：</w:t>
            </w:r>
          </w:p>
        </w:tc>
      </w:tr>
    </w:tbl>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rPr>
          <w:rFonts w:ascii="宋体" w:hAnsi="宋体" w:eastAsia="仿宋_GB2312" w:cs="Times New Roman"/>
          <w:b/>
          <w:color w:val="000000"/>
          <w:sz w:val="24"/>
          <w:szCs w:val="32"/>
        </w:rPr>
      </w:pPr>
    </w:p>
    <w:tbl>
      <w:tblPr>
        <w:tblStyle w:val="22"/>
        <w:tblW w:w="9980" w:type="dxa"/>
        <w:tblInd w:w="-469" w:type="dxa"/>
        <w:tblLayout w:type="autofit"/>
        <w:tblCellMar>
          <w:top w:w="0" w:type="dxa"/>
          <w:left w:w="108" w:type="dxa"/>
          <w:bottom w:w="0" w:type="dxa"/>
          <w:right w:w="108" w:type="dxa"/>
        </w:tblCellMar>
      </w:tblPr>
      <w:tblGrid>
        <w:gridCol w:w="1020"/>
        <w:gridCol w:w="3824"/>
        <w:gridCol w:w="907"/>
        <w:gridCol w:w="905"/>
        <w:gridCol w:w="836"/>
        <w:gridCol w:w="789"/>
        <w:gridCol w:w="1699"/>
      </w:tblGrid>
      <w:tr>
        <w:tblPrEx>
          <w:tblCellMar>
            <w:top w:w="0" w:type="dxa"/>
            <w:left w:w="108" w:type="dxa"/>
            <w:bottom w:w="0" w:type="dxa"/>
            <w:right w:w="108" w:type="dxa"/>
          </w:tblCellMar>
        </w:tblPrEx>
        <w:trPr>
          <w:trHeight w:val="959" w:hRule="atLeast"/>
        </w:trPr>
        <w:tc>
          <w:tcPr>
            <w:tcW w:w="9980" w:type="dxa"/>
            <w:gridSpan w:val="7"/>
            <w:tcBorders>
              <w:top w:val="nil"/>
              <w:left w:val="nil"/>
              <w:bottom w:val="nil"/>
              <w:right w:val="nil"/>
            </w:tcBorders>
            <w:shd w:val="clear" w:color="FFFFFF" w:fill="FFFFFF"/>
            <w:noWrap/>
            <w:vAlign w:val="center"/>
          </w:tcPr>
          <w:p>
            <w:pPr>
              <w:widowControl/>
              <w:spacing w:line="720" w:lineRule="auto"/>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其他项目清单与计价汇总表</w:t>
            </w:r>
          </w:p>
        </w:tc>
      </w:tr>
      <w:tr>
        <w:tblPrEx>
          <w:tblCellMar>
            <w:top w:w="0" w:type="dxa"/>
            <w:left w:w="108" w:type="dxa"/>
            <w:bottom w:w="0" w:type="dxa"/>
            <w:right w:w="108" w:type="dxa"/>
          </w:tblCellMar>
        </w:tblPrEx>
        <w:trPr>
          <w:trHeight w:val="611" w:hRule="atLeast"/>
        </w:trPr>
        <w:tc>
          <w:tcPr>
            <w:tcW w:w="5751" w:type="dxa"/>
            <w:gridSpan w:val="3"/>
            <w:tcBorders>
              <w:top w:val="nil"/>
              <w:left w:val="nil"/>
              <w:bottom w:val="nil"/>
              <w:right w:val="nil"/>
            </w:tcBorders>
            <w:shd w:val="clear" w:color="FFFFFF" w:fill="FFFFFF"/>
            <w:noWrap/>
            <w:vAlign w:val="bottom"/>
          </w:tcPr>
          <w:p>
            <w:pPr>
              <w:widowControl/>
              <w:spacing w:line="24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工程名称：猎德分公司广场及四期周边道路与路侧石维修项目</w:t>
            </w:r>
          </w:p>
        </w:tc>
        <w:tc>
          <w:tcPr>
            <w:tcW w:w="1741" w:type="dxa"/>
            <w:gridSpan w:val="2"/>
            <w:tcBorders>
              <w:top w:val="nil"/>
              <w:left w:val="nil"/>
              <w:bottom w:val="nil"/>
              <w:right w:val="nil"/>
            </w:tcBorders>
            <w:shd w:val="clear" w:color="FFFFFF" w:fill="FFFFFF"/>
            <w:noWrap/>
            <w:vAlign w:val="bottom"/>
          </w:tcPr>
          <w:p>
            <w:pPr>
              <w:widowControl/>
              <w:spacing w:line="24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488" w:type="dxa"/>
            <w:gridSpan w:val="2"/>
            <w:tcBorders>
              <w:top w:val="nil"/>
              <w:left w:val="nil"/>
              <w:bottom w:val="nil"/>
              <w:right w:val="nil"/>
            </w:tcBorders>
            <w:shd w:val="clear" w:color="FFFFFF" w:fill="FFFFFF"/>
            <w:noWrap/>
            <w:vAlign w:val="bottom"/>
          </w:tcPr>
          <w:p>
            <w:pPr>
              <w:widowControl/>
              <w:spacing w:line="24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500" w:hRule="atLeast"/>
        </w:trPr>
        <w:tc>
          <w:tcPr>
            <w:tcW w:w="1020" w:type="dxa"/>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3824"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1812"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c>
          <w:tcPr>
            <w:tcW w:w="1625"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结算金额（元）</w:t>
            </w:r>
          </w:p>
        </w:tc>
        <w:tc>
          <w:tcPr>
            <w:tcW w:w="1699" w:type="dxa"/>
            <w:tcBorders>
              <w:top w:val="single" w:color="000000" w:sz="8"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暂列金额</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66067.72</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暂估价</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材料暂估价</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专业工程暂估价</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计日工</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总承包服务费</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预算包干费</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工程优质费</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概算幅度差</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现场签证费用</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索赔费用</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38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其他费用</w:t>
            </w:r>
          </w:p>
        </w:tc>
        <w:tc>
          <w:tcPr>
            <w:tcW w:w="18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90" w:hRule="atLeast"/>
        </w:trPr>
        <w:tc>
          <w:tcPr>
            <w:tcW w:w="1020" w:type="dxa"/>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18"/>
                <w:szCs w:val="18"/>
              </w:rPr>
            </w:pPr>
          </w:p>
        </w:tc>
        <w:tc>
          <w:tcPr>
            <w:tcW w:w="3824" w:type="dxa"/>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  计</w:t>
            </w:r>
          </w:p>
        </w:tc>
        <w:tc>
          <w:tcPr>
            <w:tcW w:w="1812" w:type="dxa"/>
            <w:gridSpan w:val="2"/>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625" w:type="dxa"/>
            <w:gridSpan w:val="2"/>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18"/>
                <w:szCs w:val="18"/>
              </w:rPr>
            </w:pPr>
          </w:p>
        </w:tc>
        <w:tc>
          <w:tcPr>
            <w:tcW w:w="1699"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108" w:type="dxa"/>
            <w:bottom w:w="0" w:type="dxa"/>
            <w:right w:w="108" w:type="dxa"/>
          </w:tblCellMar>
        </w:tblPrEx>
        <w:trPr>
          <w:trHeight w:val="500" w:hRule="atLeast"/>
        </w:trPr>
        <w:tc>
          <w:tcPr>
            <w:tcW w:w="9980" w:type="dxa"/>
            <w:gridSpan w:val="7"/>
            <w:tcBorders>
              <w:top w:val="nil"/>
              <w:left w:val="nil"/>
              <w:bottom w:val="nil"/>
              <w:right w:val="nil"/>
            </w:tcBorders>
            <w:shd w:val="clear" w:color="FFFFFF" w:fill="FFFFFF"/>
            <w:noWrap/>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注：材料（工程设备）暂估单价进入清单项目综合单价，此处不汇总。</w:t>
            </w:r>
          </w:p>
        </w:tc>
      </w:tr>
    </w:tbl>
    <w:p>
      <w:pPr>
        <w:rPr>
          <w:rFonts w:ascii="宋体" w:hAnsi="宋体" w:eastAsia="仿宋_GB2312" w:cs="Times New Roman"/>
          <w:b/>
          <w:color w:val="00000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p>
      <w:pPr>
        <w:adjustRightInd w:val="0"/>
        <w:snapToGrid w:val="0"/>
        <w:spacing w:line="360" w:lineRule="auto"/>
        <w:ind w:firstLine="420"/>
        <w:textAlignment w:val="baseline"/>
        <w:rPr>
          <w:rFonts w:ascii="宋体" w:hAnsi="宋体" w:eastAsia="仿宋_GB2312" w:cs="Times New Roman"/>
          <w:b/>
          <w:color w:val="000000"/>
          <w:kern w:val="0"/>
          <w:sz w:val="24"/>
          <w:szCs w:val="32"/>
        </w:rPr>
      </w:pPr>
    </w:p>
    <w:tbl>
      <w:tblPr>
        <w:tblStyle w:val="22"/>
        <w:tblW w:w="9940" w:type="dxa"/>
        <w:tblInd w:w="-601" w:type="dxa"/>
        <w:tblLayout w:type="autofit"/>
        <w:tblCellMar>
          <w:top w:w="0" w:type="dxa"/>
          <w:left w:w="108" w:type="dxa"/>
          <w:bottom w:w="0" w:type="dxa"/>
          <w:right w:w="108" w:type="dxa"/>
        </w:tblCellMar>
      </w:tblPr>
      <w:tblGrid>
        <w:gridCol w:w="1117"/>
        <w:gridCol w:w="4424"/>
        <w:gridCol w:w="187"/>
        <w:gridCol w:w="801"/>
        <w:gridCol w:w="932"/>
        <w:gridCol w:w="944"/>
        <w:gridCol w:w="1535"/>
      </w:tblGrid>
      <w:tr>
        <w:tblPrEx>
          <w:tblCellMar>
            <w:top w:w="0" w:type="dxa"/>
            <w:left w:w="108" w:type="dxa"/>
            <w:bottom w:w="0" w:type="dxa"/>
            <w:right w:w="108" w:type="dxa"/>
          </w:tblCellMar>
        </w:tblPrEx>
        <w:trPr>
          <w:trHeight w:val="1369" w:hRule="atLeast"/>
        </w:trPr>
        <w:tc>
          <w:tcPr>
            <w:tcW w:w="9940" w:type="dxa"/>
            <w:gridSpan w:val="7"/>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暂列金额明细表</w:t>
            </w:r>
          </w:p>
        </w:tc>
      </w:tr>
      <w:tr>
        <w:tblPrEx>
          <w:tblCellMar>
            <w:top w:w="0" w:type="dxa"/>
            <w:left w:w="108" w:type="dxa"/>
            <w:bottom w:w="0" w:type="dxa"/>
            <w:right w:w="108" w:type="dxa"/>
          </w:tblCellMar>
        </w:tblPrEx>
        <w:trPr>
          <w:trHeight w:val="345" w:hRule="atLeast"/>
        </w:trPr>
        <w:tc>
          <w:tcPr>
            <w:tcW w:w="5728" w:type="dxa"/>
            <w:gridSpan w:val="3"/>
            <w:tcBorders>
              <w:top w:val="nil"/>
              <w:left w:val="nil"/>
              <w:bottom w:val="nil"/>
              <w:right w:val="nil"/>
            </w:tcBorders>
            <w:shd w:val="clear" w:color="FFFFFF" w:fill="FFFFFF"/>
            <w:noWrap/>
            <w:vAlign w:val="bottom"/>
          </w:tcPr>
          <w:p>
            <w:pPr>
              <w:widowControl/>
              <w:spacing w:line="24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工程名称：猎德分公司广场及四期周边道路与路侧石维修项目</w:t>
            </w:r>
          </w:p>
        </w:tc>
        <w:tc>
          <w:tcPr>
            <w:tcW w:w="1733" w:type="dxa"/>
            <w:gridSpan w:val="2"/>
            <w:tcBorders>
              <w:top w:val="nil"/>
              <w:left w:val="nil"/>
              <w:bottom w:val="nil"/>
              <w:right w:val="nil"/>
            </w:tcBorders>
            <w:shd w:val="clear" w:color="FFFFFF" w:fill="FFFFFF"/>
            <w:noWrap/>
            <w:vAlign w:val="bottom"/>
          </w:tcPr>
          <w:p>
            <w:pPr>
              <w:widowControl/>
              <w:spacing w:line="24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479" w:type="dxa"/>
            <w:gridSpan w:val="2"/>
            <w:tcBorders>
              <w:top w:val="nil"/>
              <w:left w:val="nil"/>
              <w:bottom w:val="nil"/>
              <w:right w:val="nil"/>
            </w:tcBorders>
            <w:shd w:val="clear" w:color="FFFFFF" w:fill="FFFFFF"/>
            <w:noWrap/>
            <w:vAlign w:val="bottom"/>
          </w:tcPr>
          <w:p>
            <w:pPr>
              <w:widowControl/>
              <w:spacing w:line="24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c>
          <w:tcPr>
            <w:tcW w:w="1117" w:type="dxa"/>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4424"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名称</w:t>
            </w:r>
          </w:p>
        </w:tc>
        <w:tc>
          <w:tcPr>
            <w:tcW w:w="988"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计量单位</w:t>
            </w:r>
          </w:p>
        </w:tc>
        <w:tc>
          <w:tcPr>
            <w:tcW w:w="1876"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暂定金额（元）</w:t>
            </w:r>
          </w:p>
        </w:tc>
        <w:tc>
          <w:tcPr>
            <w:tcW w:w="1535" w:type="dxa"/>
            <w:tcBorders>
              <w:top w:val="single" w:color="000000" w:sz="8"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c>
          <w:tcPr>
            <w:tcW w:w="1117"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4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69544.97</w:t>
            </w:r>
          </w:p>
        </w:tc>
        <w:tc>
          <w:tcPr>
            <w:tcW w:w="1535"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r>
      <w:tr>
        <w:tblPrEx>
          <w:tblCellMar>
            <w:top w:w="0" w:type="dxa"/>
            <w:left w:w="108" w:type="dxa"/>
            <w:bottom w:w="0" w:type="dxa"/>
            <w:right w:w="108" w:type="dxa"/>
          </w:tblCellMar>
        </w:tblPrEx>
        <w:tc>
          <w:tcPr>
            <w:tcW w:w="1117"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442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left"/>
              <w:rPr>
                <w:rFonts w:ascii="宋体" w:hAnsi="宋体" w:eastAsia="宋体" w:cs="宋体"/>
                <w:color w:val="000000"/>
                <w:sz w:val="20"/>
                <w:szCs w:val="20"/>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spacing w:line="240" w:lineRule="exact"/>
              <w:jc w:val="right"/>
              <w:rPr>
                <w:rFonts w:ascii="宋体" w:hAnsi="宋体" w:eastAsia="宋体" w:cs="宋体"/>
                <w:color w:val="000000"/>
                <w:sz w:val="20"/>
                <w:szCs w:val="20"/>
              </w:rPr>
            </w:pPr>
          </w:p>
        </w:tc>
        <w:tc>
          <w:tcPr>
            <w:tcW w:w="1535"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spacing w:line="240" w:lineRule="exact"/>
              <w:jc w:val="center"/>
              <w:rPr>
                <w:rFonts w:ascii="宋体" w:hAnsi="宋体" w:eastAsia="宋体" w:cs="宋体"/>
                <w:color w:val="000000"/>
                <w:sz w:val="20"/>
                <w:szCs w:val="20"/>
              </w:rPr>
            </w:pPr>
          </w:p>
        </w:tc>
      </w:tr>
      <w:tr>
        <w:tblPrEx>
          <w:tblCellMar>
            <w:top w:w="0" w:type="dxa"/>
            <w:left w:w="108" w:type="dxa"/>
            <w:bottom w:w="0" w:type="dxa"/>
            <w:right w:w="108" w:type="dxa"/>
          </w:tblCellMar>
        </w:tblPrEx>
        <w:tc>
          <w:tcPr>
            <w:tcW w:w="6529" w:type="dxa"/>
            <w:gridSpan w:val="4"/>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    计</w:t>
            </w:r>
          </w:p>
        </w:tc>
        <w:tc>
          <w:tcPr>
            <w:tcW w:w="1876" w:type="dxa"/>
            <w:gridSpan w:val="2"/>
            <w:tcBorders>
              <w:top w:val="single" w:color="000000" w:sz="4" w:space="0"/>
              <w:left w:val="single" w:color="000000" w:sz="4" w:space="0"/>
              <w:bottom w:val="single" w:color="000000" w:sz="8" w:space="0"/>
              <w:right w:val="single" w:color="000000" w:sz="4" w:space="0"/>
            </w:tcBorders>
            <w:shd w:val="clear" w:color="FFFFFF" w:fill="FFFFFF"/>
            <w:noWrap/>
            <w:vAlign w:val="center"/>
          </w:tcPr>
          <w:p>
            <w:pPr>
              <w:widowControl/>
              <w:spacing w:line="240" w:lineRule="exact"/>
              <w:jc w:val="right"/>
              <w:textAlignment w:val="center"/>
              <w:rPr>
                <w:rFonts w:ascii="宋体" w:hAnsi="宋体" w:eastAsia="宋体" w:cs="宋体"/>
                <w:color w:val="000000"/>
                <w:sz w:val="20"/>
                <w:szCs w:val="20"/>
              </w:rPr>
            </w:pPr>
          </w:p>
        </w:tc>
        <w:tc>
          <w:tcPr>
            <w:tcW w:w="1535"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c>
          <w:tcPr>
            <w:tcW w:w="9940" w:type="dxa"/>
            <w:gridSpan w:val="7"/>
            <w:tcBorders>
              <w:top w:val="nil"/>
              <w:left w:val="nil"/>
              <w:bottom w:val="nil"/>
              <w:right w:val="nil"/>
            </w:tcBorders>
            <w:shd w:val="clear" w:color="FFFFFF" w:fill="FFFFFF"/>
            <w:noWrap/>
          </w:tcPr>
          <w:p>
            <w:pPr>
              <w:widowControl/>
              <w:spacing w:line="240" w:lineRule="exact"/>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注：此表由招标人填写，如不能详列，也可只列暂列金额总额，投标人应将上述暂列金额计入投标总价中。</w:t>
            </w:r>
          </w:p>
        </w:tc>
      </w:tr>
    </w:tbl>
    <w:p>
      <w:pPr>
        <w:rPr>
          <w:rFonts w:ascii="宋体" w:hAnsi="宋体" w:eastAsia="仿宋_GB2312" w:cs="Times New Roman"/>
          <w:b/>
          <w:color w:val="000000"/>
          <w:sz w:val="24"/>
          <w:szCs w:val="32"/>
        </w:rPr>
      </w:pPr>
    </w:p>
    <w:p>
      <w:pPr>
        <w:rPr>
          <w:rFonts w:ascii="宋体" w:hAnsi="宋体" w:eastAsia="仿宋_GB2312" w:cs="Times New Roman"/>
          <w:b/>
          <w:color w:val="000000"/>
          <w:sz w:val="24"/>
          <w:szCs w:val="32"/>
        </w:rPr>
      </w:pPr>
    </w:p>
    <w:tbl>
      <w:tblPr>
        <w:tblStyle w:val="22"/>
        <w:tblW w:w="9780" w:type="dxa"/>
        <w:tblInd w:w="-352" w:type="dxa"/>
        <w:tblLayout w:type="autofit"/>
        <w:tblCellMar>
          <w:top w:w="0" w:type="dxa"/>
          <w:left w:w="108" w:type="dxa"/>
          <w:bottom w:w="0" w:type="dxa"/>
          <w:right w:w="108" w:type="dxa"/>
        </w:tblCellMar>
      </w:tblPr>
      <w:tblGrid>
        <w:gridCol w:w="859"/>
        <w:gridCol w:w="2267"/>
        <w:gridCol w:w="2508"/>
        <w:gridCol w:w="183"/>
        <w:gridCol w:w="1508"/>
        <w:gridCol w:w="15"/>
        <w:gridCol w:w="944"/>
        <w:gridCol w:w="1496"/>
      </w:tblGrid>
      <w:tr>
        <w:tblPrEx>
          <w:tblCellMar>
            <w:top w:w="0" w:type="dxa"/>
            <w:left w:w="108" w:type="dxa"/>
            <w:bottom w:w="0" w:type="dxa"/>
            <w:right w:w="108" w:type="dxa"/>
          </w:tblCellMar>
        </w:tblPrEx>
        <w:trPr>
          <w:trHeight w:val="1007" w:hRule="atLeast"/>
        </w:trPr>
        <w:tc>
          <w:tcPr>
            <w:tcW w:w="9780" w:type="dxa"/>
            <w:gridSpan w:val="8"/>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规费、税金项目清单与计价表</w:t>
            </w:r>
          </w:p>
        </w:tc>
      </w:tr>
      <w:tr>
        <w:tblPrEx>
          <w:tblCellMar>
            <w:top w:w="0" w:type="dxa"/>
            <w:left w:w="108" w:type="dxa"/>
            <w:bottom w:w="0" w:type="dxa"/>
            <w:right w:w="108" w:type="dxa"/>
          </w:tblCellMar>
        </w:tblPrEx>
        <w:trPr>
          <w:trHeight w:val="642" w:hRule="atLeast"/>
        </w:trPr>
        <w:tc>
          <w:tcPr>
            <w:tcW w:w="5634" w:type="dxa"/>
            <w:gridSpan w:val="3"/>
            <w:tcBorders>
              <w:top w:val="nil"/>
              <w:left w:val="nil"/>
              <w:bottom w:val="nil"/>
              <w:right w:val="nil"/>
            </w:tcBorders>
            <w:shd w:val="clear" w:color="FFFFFF" w:fill="FFFFFF"/>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工程名称：猎德分公司广场及四期周边道路与路侧石维修项目</w:t>
            </w:r>
          </w:p>
        </w:tc>
        <w:tc>
          <w:tcPr>
            <w:tcW w:w="1706" w:type="dxa"/>
            <w:gridSpan w:val="3"/>
            <w:tcBorders>
              <w:top w:val="nil"/>
              <w:left w:val="nil"/>
              <w:bottom w:val="nil"/>
              <w:right w:val="nil"/>
            </w:tcBorders>
            <w:shd w:val="clear" w:color="FFFFFF" w:fill="FFFFFF"/>
            <w:noWrap/>
            <w:vAlign w:val="bottom"/>
          </w:tcPr>
          <w:p>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标段：</w:t>
            </w:r>
          </w:p>
        </w:tc>
        <w:tc>
          <w:tcPr>
            <w:tcW w:w="2440" w:type="dxa"/>
            <w:gridSpan w:val="2"/>
            <w:tcBorders>
              <w:top w:val="nil"/>
              <w:left w:val="nil"/>
              <w:bottom w:val="nil"/>
              <w:right w:val="nil"/>
            </w:tcBorders>
            <w:shd w:val="clear" w:color="FFFFFF" w:fill="FFFFFF"/>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第 1 页  共 1 页</w:t>
            </w:r>
          </w:p>
        </w:tc>
      </w:tr>
      <w:tr>
        <w:tblPrEx>
          <w:tblCellMar>
            <w:top w:w="0" w:type="dxa"/>
            <w:left w:w="108" w:type="dxa"/>
            <w:bottom w:w="0" w:type="dxa"/>
            <w:right w:w="108" w:type="dxa"/>
          </w:tblCellMar>
        </w:tblPrEx>
        <w:trPr>
          <w:trHeight w:val="1029" w:hRule="atLeast"/>
        </w:trPr>
        <w:tc>
          <w:tcPr>
            <w:tcW w:w="859" w:type="dxa"/>
            <w:tcBorders>
              <w:top w:val="single" w:color="000000" w:sz="8"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2267"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2691"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计算基础</w:t>
            </w:r>
          </w:p>
        </w:tc>
        <w:tc>
          <w:tcPr>
            <w:tcW w:w="1508" w:type="dxa"/>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取费基数</w:t>
            </w:r>
          </w:p>
        </w:tc>
        <w:tc>
          <w:tcPr>
            <w:tcW w:w="959" w:type="dxa"/>
            <w:gridSpan w:val="2"/>
            <w:tcBorders>
              <w:top w:val="single" w:color="000000" w:sz="8"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计算费率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t>
            </w:r>
          </w:p>
        </w:tc>
        <w:tc>
          <w:tcPr>
            <w:tcW w:w="1496" w:type="dxa"/>
            <w:tcBorders>
              <w:top w:val="single" w:color="000000" w:sz="8" w:space="0"/>
              <w:left w:val="single" w:color="000000" w:sz="4" w:space="0"/>
              <w:bottom w:val="single" w:color="000000" w:sz="4" w:space="0"/>
              <w:right w:val="single" w:color="000000" w:sz="8"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金额(元)</w:t>
            </w:r>
          </w:p>
        </w:tc>
      </w:tr>
      <w:tr>
        <w:tblPrEx>
          <w:tblCellMar>
            <w:top w:w="0" w:type="dxa"/>
            <w:left w:w="108" w:type="dxa"/>
            <w:bottom w:w="0" w:type="dxa"/>
            <w:right w:w="108" w:type="dxa"/>
          </w:tblCellMar>
        </w:tblPrEx>
        <w:trPr>
          <w:trHeight w:val="653"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2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增值税销项税额</w:t>
            </w: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分部分项合计+措施合计+其他项目</w:t>
            </w:r>
          </w:p>
        </w:tc>
        <w:tc>
          <w:tcPr>
            <w:tcW w:w="150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c>
          <w:tcPr>
            <w:tcW w:w="1496"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widowControl/>
              <w:jc w:val="righ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14"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jc w:val="center"/>
              <w:rPr>
                <w:rFonts w:ascii="宋体" w:hAnsi="宋体" w:eastAsia="宋体" w:cs="宋体"/>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ascii="宋体" w:hAnsi="宋体" w:eastAsia="宋体" w:cs="宋体"/>
                <w:color w:val="000000"/>
                <w:sz w:val="20"/>
                <w:szCs w:val="20"/>
              </w:rPr>
            </w:pP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ascii="宋体" w:hAnsi="宋体" w:eastAsia="宋体" w:cs="宋体"/>
                <w:color w:val="000000"/>
                <w:sz w:val="20"/>
                <w:szCs w:val="20"/>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496"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514" w:hRule="atLeast"/>
        </w:trPr>
        <w:tc>
          <w:tcPr>
            <w:tcW w:w="859"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pPr>
              <w:jc w:val="center"/>
              <w:rPr>
                <w:rFonts w:ascii="宋体" w:hAnsi="宋体" w:eastAsia="宋体" w:cs="宋体"/>
                <w:color w:val="000000"/>
                <w:sz w:val="20"/>
                <w:szCs w:val="20"/>
              </w:rPr>
            </w:pPr>
          </w:p>
        </w:tc>
        <w:tc>
          <w:tcPr>
            <w:tcW w:w="22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ascii="宋体" w:hAnsi="宋体" w:eastAsia="宋体" w:cs="宋体"/>
                <w:color w:val="000000"/>
                <w:sz w:val="20"/>
                <w:szCs w:val="20"/>
              </w:rPr>
            </w:pPr>
          </w:p>
        </w:tc>
        <w:tc>
          <w:tcPr>
            <w:tcW w:w="2691"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ascii="宋体" w:hAnsi="宋体" w:eastAsia="宋体" w:cs="宋体"/>
                <w:color w:val="000000"/>
                <w:sz w:val="20"/>
                <w:szCs w:val="20"/>
              </w:rPr>
            </w:pPr>
          </w:p>
        </w:tc>
        <w:tc>
          <w:tcPr>
            <w:tcW w:w="150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ascii="宋体" w:hAnsi="宋体" w:eastAsia="宋体" w:cs="宋体"/>
                <w:color w:val="000000"/>
                <w:sz w:val="20"/>
                <w:szCs w:val="20"/>
              </w:rPr>
            </w:pPr>
          </w:p>
        </w:tc>
        <w:tc>
          <w:tcPr>
            <w:tcW w:w="1496" w:type="dxa"/>
            <w:tcBorders>
              <w:top w:val="single" w:color="000000" w:sz="4" w:space="0"/>
              <w:left w:val="single" w:color="000000" w:sz="4" w:space="0"/>
              <w:bottom w:val="single" w:color="000000" w:sz="4" w:space="0"/>
              <w:right w:val="single" w:color="000000" w:sz="8" w:space="0"/>
            </w:tcBorders>
            <w:shd w:val="clear" w:color="FFFFFF"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514" w:hRule="atLeast"/>
        </w:trPr>
        <w:tc>
          <w:tcPr>
            <w:tcW w:w="8284" w:type="dxa"/>
            <w:gridSpan w:val="7"/>
            <w:tcBorders>
              <w:top w:val="single" w:color="000000" w:sz="4" w:space="0"/>
              <w:left w:val="single" w:color="000000" w:sz="8" w:space="0"/>
              <w:bottom w:val="single" w:color="000000" w:sz="8" w:space="0"/>
              <w:right w:val="single" w:color="000000" w:sz="4" w:space="0"/>
            </w:tcBorders>
            <w:shd w:val="clear" w:color="FFFFFF"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    计</w:t>
            </w:r>
          </w:p>
        </w:tc>
        <w:tc>
          <w:tcPr>
            <w:tcW w:w="1496" w:type="dxa"/>
            <w:tcBorders>
              <w:top w:val="single" w:color="000000" w:sz="4" w:space="0"/>
              <w:left w:val="single" w:color="000000" w:sz="4" w:space="0"/>
              <w:bottom w:val="single" w:color="000000" w:sz="8" w:space="0"/>
              <w:right w:val="single" w:color="000000" w:sz="8" w:space="0"/>
            </w:tcBorders>
            <w:shd w:val="clear" w:color="FFFFFF" w:fill="FFFFFF"/>
            <w:noWrap/>
            <w:vAlign w:val="center"/>
          </w:tcPr>
          <w:p>
            <w:pPr>
              <w:widowControl/>
              <w:jc w:val="right"/>
              <w:textAlignment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526" w:hRule="atLeast"/>
        </w:trPr>
        <w:tc>
          <w:tcPr>
            <w:tcW w:w="5634" w:type="dxa"/>
            <w:gridSpan w:val="3"/>
            <w:tcBorders>
              <w:top w:val="nil"/>
              <w:left w:val="nil"/>
              <w:bottom w:val="nil"/>
              <w:right w:val="nil"/>
            </w:tcBorders>
            <w:shd w:val="clear" w:color="FFFFFF" w:fill="FFFFFF"/>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编制人（造价人员）：</w:t>
            </w:r>
          </w:p>
        </w:tc>
        <w:tc>
          <w:tcPr>
            <w:tcW w:w="4146" w:type="dxa"/>
            <w:gridSpan w:val="5"/>
            <w:tcBorders>
              <w:top w:val="nil"/>
              <w:left w:val="nil"/>
              <w:bottom w:val="nil"/>
              <w:right w:val="nil"/>
            </w:tcBorders>
            <w:shd w:val="clear" w:color="FFFFFF"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复核人（造价工程师）：</w:t>
            </w:r>
          </w:p>
        </w:tc>
      </w:tr>
    </w:tbl>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6"/>
        <w:rPr>
          <w:rFonts w:asciiTheme="majorEastAsia" w:hAnsiTheme="majorEastAsia" w:eastAsiaTheme="majorEastAsia"/>
          <w:sz w:val="28"/>
          <w:szCs w:val="28"/>
        </w:rPr>
      </w:pPr>
      <w:bookmarkStart w:id="120" w:name="_Toc87616402"/>
      <w:bookmarkStart w:id="121" w:name="_Toc88209965"/>
      <w:bookmarkStart w:id="122" w:name="_Toc6058"/>
      <w:bookmarkStart w:id="123" w:name="_Toc16386"/>
      <w:r>
        <w:rPr>
          <w:rFonts w:hint="eastAsia" w:eastAsiaTheme="majorEastAsia"/>
        </w:rPr>
        <w:t>6</w:t>
      </w:r>
      <w:r>
        <w:rPr>
          <w:rFonts w:hint="eastAsia" w:asciiTheme="majorEastAsia" w:hAnsiTheme="majorEastAsia" w:eastAsiaTheme="majorEastAsia"/>
          <w:sz w:val="28"/>
          <w:szCs w:val="28"/>
        </w:rPr>
        <w:t>.其他资料</w:t>
      </w:r>
      <w:bookmarkEnd w:id="120"/>
      <w:bookmarkEnd w:id="121"/>
      <w:bookmarkEnd w:id="122"/>
      <w:bookmarkEnd w:id="123"/>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17" w:type="first"/>
      <w:footerReference r:id="rId19" w:type="first"/>
      <w:headerReference r:id="rId16" w:type="default"/>
      <w:footerReference r:id="rId18" w:type="default"/>
      <w:pgSz w:w="11906" w:h="16838"/>
      <w:pgMar w:top="2098" w:right="1474" w:bottom="1985"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hAnsi="Times New Roman" w:eastAsia="仿宋_GB2312" w:cs="Times New Roman"/>
        <w:sz w:val="18"/>
        <w:szCs w:val="18"/>
      </w:rPr>
    </w:pPr>
  </w:p>
  <w:p>
    <w:pPr>
      <w:snapToGrid w:val="0"/>
      <w:ind w:right="360" w:firstLine="360"/>
      <w:jc w:val="left"/>
      <w:rPr>
        <w:rFonts w:ascii="仿宋_GB2312" w:hAnsi="Times New Roman" w:eastAsia="仿宋_GB2312"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- 97 -</w:t>
                          </w:r>
                          <w: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30eRcsBAACbAwAADgAAAGRycy9lMm9Eb2MueG1srVNLbtswEN0XyB0I&#10;7mPKKlA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3Lt5RYbnDi5+/fzj9+nX9+&#10;JWWZGtR7qDDvyWNmHO7cgGsz+wGdSffQBpO+qIhgHNt7urRXDpGI9GhVrlYFhgTG5gvis+fnPkB8&#10;L50hyahpwPnltvLjI8QxdU5J1ay7V1rnGWr7lwMxk4cl7iPHZMVhN0yCdq45oZ4eR19Ti5tOiX6w&#10;2Nm0JbMRZmM3Gwcf1L5DasvMC/ztISKJzC1VGGGnwjizrG7ar7QUf95z1vM/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N9HkXLAQAAmwMAAA4AAAAAAAAAAQAgAAAAHgEAAGRycy9lMm9E&#10;b2MueG1sUEsFBgAAAAAGAAYAWQEAAFs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- 97 -</w:t>
                    </w:r>
                    <w:r>
                      <w:fldChar w:fldCharType="end"/>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qSRQMg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uDcHbc48cv3b5cfvy4/v5I3&#10;uT99gBrTHgImpuHOD5g7+wGdWfagos1fFEQwjt09X7srh0REfrRerdcVhgTG5gvis8fnIUJ6K70l&#10;2WhoxPGVrvLTe0hj6pySqzl/r40pIzTuLwdiZg/L3EeO2UrDfpgE7X17Rj09Tr6hDhedEvPOYWPz&#10;ksxGnI39bBxD1IcOqS0LLwi3x4QkCrdcYYSdCuPIirppvfJO/HkvWY+/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qkkUD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- 45 -</w:t>
                          </w:r>
                          <w: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7DPEbLAQAAmwMAAA4AAAAAAAAAAQAgAAAAHgEAAGRycy9lMm9E&#10;b2MueG1sUEsFBgAAAAAGAAYAWQEAAFs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rStyle w:val="26"/>
        <w:rFonts w:ascii="仿宋_GB2312" w:hAnsi="Times New Roman" w:eastAsia="仿宋_GB2312" w:cs="Times New Roman"/>
        <w:sz w:val="18"/>
        <w:szCs w:val="18"/>
      </w:rPr>
    </w:pPr>
    <w:r>
      <w:rPr>
        <w:rFonts w:ascii="仿宋_GB2312" w:hAnsi="Times New Roman" w:eastAsia="仿宋_GB2312" w:cs="Times New Roman"/>
        <w:sz w:val="18"/>
        <w:szCs w:val="18"/>
      </w:rPr>
      <w:fldChar w:fldCharType="begin"/>
    </w:r>
    <w:r>
      <w:rPr>
        <w:rStyle w:val="26"/>
        <w:rFonts w:ascii="Times New Roman" w:hAnsi="Times New Roman" w:eastAsia="宋体" w:cs="Times New Roman"/>
        <w:sz w:val="18"/>
        <w:szCs w:val="18"/>
      </w:rPr>
      <w:instrText xml:space="preserve">PAGE  </w:instrText>
    </w:r>
    <w:r>
      <w:rPr>
        <w:rFonts w:ascii="仿宋_GB2312" w:hAnsi="Times New Roman" w:eastAsia="仿宋_GB2312" w:cs="Times New Roman"/>
        <w:sz w:val="18"/>
        <w:szCs w:val="18"/>
      </w:rPr>
      <w:fldChar w:fldCharType="end"/>
    </w:r>
  </w:p>
  <w:p>
    <w:pPr>
      <w:snapToGrid w:val="0"/>
      <w:ind w:right="360" w:firstLine="360"/>
      <w:jc w:val="left"/>
      <w:rPr>
        <w:rFonts w:ascii="仿宋_GB2312" w:hAnsi="Times New Roman" w:eastAsia="仿宋_GB2312"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hAnsi="Times New Roman" w:eastAsia="仿宋_GB2312"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- 42 -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5pz98k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pt6Aotcdzixi8/f1x+/bn8/k4w&#10;hwb1AWrsuw/YmYZ3fsBrM+cBk1n3oKLNb1REsI5Y56u9ckhE5I/Wq/W6wpLA2nxAfPbweYiQ3ktv&#10;SQ4aGnF/xVZ++ghpbJ1b8jTn77QxZYfG/ZNAzJxhmfvIMUdp2A+ToL1vz6inx9U31OFNp8R8cOgs&#10;8ktzEOdgPwfHEPWhQ2rLwgvC7TEhicItTxhhp8G4s6Juul/5Ujw+l66Hf2r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mnP3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- 42 -</w:t>
                    </w:r>
                    <w:r>
                      <w:fldChar w:fldCharType="end"/>
                    </w:r>
                  </w:p>
                </w:txbxContent>
              </v:textbox>
            </v:shape>
          </w:pict>
        </mc:Fallback>
      </mc:AlternateContent>
    </w:r>
  </w:p>
  <w:p>
    <w:pPr>
      <w:snapToGrid w:val="0"/>
      <w:ind w:right="360" w:firstLine="360"/>
      <w:jc w:val="left"/>
      <w:rPr>
        <w:rFonts w:ascii="仿宋_GB2312" w:hAnsi="Times New Roman" w:eastAsia="仿宋_GB2312"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ascii="仿宋_GB2312" w:hAnsi="Times New Roman" w:eastAsia="仿宋_GB2312"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- 43 -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q6r8oBAACb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PWGEsctTvzy/dvlx6/Lz68E&#10;fdigPkCNeQ8BM9Nw5wdcm9kP6My6BxVt/qIignFs7/naXjkkIvKj9Wq9rjAkMDZfEJ89Pg8R0lvp&#10;LclGQyPOr7SVn95DGlPnlFzN+XttTJmhcX85EDN7WOY+csxWGvbDJGjv2zPq6XH0DXW46ZSYdw47&#10;m7dkNuJs7GfjGKI+dEhtWXhBuD0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Lq6r8oBAACbAwAADgAAAAAAAAABACAAAAAeAQAAZHJzL2Uyb0Rv&#10;Yy54bWxQSwUGAAAAAAYABgBZAQAAWg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nSvL8kBAACb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Gu0xHGLG798/3b58evy8yvB&#10;HBrUB6ix7yFgZxru/IDXZs4DJrPuQUWb36iIYB2xzld75ZCIyB+tV+t1hSWBtfmA+Ozx8xAhvZXe&#10;khw0NOL+iq389B7S2Dq35GnO32tjyg6N+yuBmDnDMveRY47SsB8mQXvfnlFPj6tvqMObTol559BZ&#10;5JfmIM7Bfg6OIepDh9SWhReE22NCEoVbnjDCToNxZ0XddL/ypfjzXLoe/6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dK8v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hdq/soBAACb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dLShy3OPHL92+XH78uP78S&#10;9GGD+gA15j0EzEzDnR9wbWY/oDPrHlS0+YuKCMaxvedre+WQiMiP1qv1usKQwNh8QXz2+DxESG+l&#10;tyQbDY04v9JWfnoPaUydU3I15++1MWWGxv3lQMzsYZn7yDFbadgPk6C9b8+op8fRN9ThplNi3jns&#10;bN6S2YizsZ+NY4j60CG1ZeEF4faYkEThliuMsFNhnFlRN+1XXoo/7yXr8Z/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hdq/soBAACbAwAADgAAAAAAAAABACAAAAAeAQAAZHJzL2Uyb0Rv&#10;Yy54bWxQSwUGAAAAAAYABgBZAQAAWg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- 44 -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jtz8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XO3XGLE7/8/HH59efy+ztB&#10;HzaoD1Bj3n3AzDS88wOuzewHdGbdg4o2f1ERwTi293xtrxwSEfnRerVeVxgSGJsviM8enocI6b30&#10;lmSjoRHnV9rKTx8hjalzSq7m/J02pszQuH8ciJk9LHMfOWYrDfthErT37Rn19Dj6hjrcdErMB4ed&#10;zVsyG3E29rNxDFEfOqS2LLwg3B4TkijccoURdiqMMyvqpv3KS/H4XrIe/qnt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OmO3P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hAnsi="Times New Roman" w:eastAsia="仿宋_GB2312"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- 42 -</w:t>
                          </w:r>
                          <w: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Ytvt8oBAACbAwAADgAAAAAAAAABACAAAAAeAQAAZHJzL2Uyb0Rv&#10;Yy54bWxQSwUGAAAAAAYABgBZAQAAWg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- 42 -</w:t>
                    </w:r>
                    <w:r>
                      <w:fldChar w:fldCharType="end"/>
                    </w:r>
                  </w:p>
                </w:txbxContent>
              </v:textbox>
            </v:shape>
          </w:pict>
        </mc:Fallback>
      </mc:AlternateContent>
    </w:r>
  </w:p>
  <w:p>
    <w:pPr>
      <w:snapToGrid w:val="0"/>
      <w:ind w:right="360" w:firstLine="360"/>
      <w:jc w:val="left"/>
      <w:rPr>
        <w:rFonts w:ascii="仿宋_GB2312" w:hAnsi="Times New Roman" w:eastAsia="仿宋_GB2312"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rStyle w:val="26"/>
        <w:rFonts w:ascii="仿宋_GB2312" w:hAnsi="Times New Roman" w:eastAsia="仿宋_GB2312" w:cs="Times New Roman"/>
        <w:sz w:val="18"/>
        <w:szCs w:val="18"/>
      </w:rPr>
    </w:pPr>
    <w:r>
      <w:rPr>
        <w:rFonts w:ascii="仿宋_GB2312" w:hAnsi="Times New Roman" w:eastAsia="仿宋_GB2312" w:cs="Times New Roman"/>
        <w:sz w:val="18"/>
        <w:szCs w:val="18"/>
      </w:rPr>
      <w:fldChar w:fldCharType="begin"/>
    </w:r>
    <w:r>
      <w:rPr>
        <w:rStyle w:val="26"/>
        <w:rFonts w:ascii="Times New Roman" w:hAnsi="Times New Roman" w:eastAsia="宋体" w:cs="Times New Roman"/>
        <w:sz w:val="18"/>
        <w:szCs w:val="18"/>
      </w:rPr>
      <w:instrText xml:space="preserve">PAGE  </w:instrText>
    </w:r>
    <w:r>
      <w:rPr>
        <w:rFonts w:ascii="仿宋_GB2312" w:hAnsi="Times New Roman" w:eastAsia="仿宋_GB2312" w:cs="Times New Roman"/>
        <w:sz w:val="18"/>
        <w:szCs w:val="18"/>
      </w:rPr>
      <w:fldChar w:fldCharType="end"/>
    </w:r>
  </w:p>
  <w:p>
    <w:pPr>
      <w:snapToGrid w:val="0"/>
      <w:ind w:right="360" w:firstLine="360"/>
      <w:jc w:val="left"/>
      <w:rPr>
        <w:rFonts w:ascii="仿宋_GB2312" w:hAnsi="Times New Roman" w:eastAsia="仿宋_GB2312"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hAnsi="Times New Roman" w:eastAsia="仿宋_GB2312"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hAnsi="Times New Roman" w:eastAsia="仿宋_GB2312"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7B0D2"/>
    <w:multiLevelType w:val="singleLevel"/>
    <w:tmpl w:val="9327B0D2"/>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491C3F6"/>
    <w:multiLevelType w:val="singleLevel"/>
    <w:tmpl w:val="1491C3F6"/>
    <w:lvl w:ilvl="0" w:tentative="0">
      <w:start w:val="2"/>
      <w:numFmt w:val="decimal"/>
      <w:suff w:val="nothing"/>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A90D308"/>
    <w:multiLevelType w:val="singleLevel"/>
    <w:tmpl w:val="5A90D308"/>
    <w:lvl w:ilvl="0" w:tentative="0">
      <w:start w:val="1"/>
      <w:numFmt w:val="decimal"/>
      <w:suff w:val="nothing"/>
      <w:lvlText w:val="（%1）"/>
      <w:lvlJc w:val="left"/>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107A13"/>
    <w:rsid w:val="001416D2"/>
    <w:rsid w:val="003D60BA"/>
    <w:rsid w:val="00411689"/>
    <w:rsid w:val="004D3801"/>
    <w:rsid w:val="004E6DDB"/>
    <w:rsid w:val="00522521"/>
    <w:rsid w:val="005D618A"/>
    <w:rsid w:val="00647557"/>
    <w:rsid w:val="00741225"/>
    <w:rsid w:val="0076405C"/>
    <w:rsid w:val="00911ECD"/>
    <w:rsid w:val="009A7E2B"/>
    <w:rsid w:val="00A01480"/>
    <w:rsid w:val="00A042E0"/>
    <w:rsid w:val="00B26BB1"/>
    <w:rsid w:val="00B26E21"/>
    <w:rsid w:val="00B741D7"/>
    <w:rsid w:val="00CB3927"/>
    <w:rsid w:val="00D4533C"/>
    <w:rsid w:val="00DA3EA5"/>
    <w:rsid w:val="00E12D76"/>
    <w:rsid w:val="00F83B64"/>
    <w:rsid w:val="01317047"/>
    <w:rsid w:val="013E3461"/>
    <w:rsid w:val="01645294"/>
    <w:rsid w:val="016D4D19"/>
    <w:rsid w:val="01BB0F13"/>
    <w:rsid w:val="02090C75"/>
    <w:rsid w:val="02A23A3C"/>
    <w:rsid w:val="02FB196F"/>
    <w:rsid w:val="035D130A"/>
    <w:rsid w:val="039110A9"/>
    <w:rsid w:val="03AC246A"/>
    <w:rsid w:val="03AE6061"/>
    <w:rsid w:val="03B23056"/>
    <w:rsid w:val="03BB3B4F"/>
    <w:rsid w:val="03D66BA6"/>
    <w:rsid w:val="03DA023E"/>
    <w:rsid w:val="03DC3EBA"/>
    <w:rsid w:val="03F9794D"/>
    <w:rsid w:val="04463D2B"/>
    <w:rsid w:val="046A2461"/>
    <w:rsid w:val="051C2970"/>
    <w:rsid w:val="054D0727"/>
    <w:rsid w:val="060C3611"/>
    <w:rsid w:val="06C64829"/>
    <w:rsid w:val="070E7B6E"/>
    <w:rsid w:val="071D62B7"/>
    <w:rsid w:val="077D16D2"/>
    <w:rsid w:val="077F3896"/>
    <w:rsid w:val="082A69F3"/>
    <w:rsid w:val="08626C5A"/>
    <w:rsid w:val="08675FC8"/>
    <w:rsid w:val="08CD21D6"/>
    <w:rsid w:val="08DC6A50"/>
    <w:rsid w:val="0972111F"/>
    <w:rsid w:val="09B713FD"/>
    <w:rsid w:val="09E31BDE"/>
    <w:rsid w:val="09EF6ACC"/>
    <w:rsid w:val="0A315056"/>
    <w:rsid w:val="0A3E3B7B"/>
    <w:rsid w:val="0A516CCE"/>
    <w:rsid w:val="0A694621"/>
    <w:rsid w:val="0AA213B4"/>
    <w:rsid w:val="0AF61C7E"/>
    <w:rsid w:val="0AFB45AD"/>
    <w:rsid w:val="0B351E9B"/>
    <w:rsid w:val="0B4C50D3"/>
    <w:rsid w:val="0B806B92"/>
    <w:rsid w:val="0B827E94"/>
    <w:rsid w:val="0B842F76"/>
    <w:rsid w:val="0BD070E1"/>
    <w:rsid w:val="0BD65B6B"/>
    <w:rsid w:val="0BF00A21"/>
    <w:rsid w:val="0C0C0C04"/>
    <w:rsid w:val="0C2361E7"/>
    <w:rsid w:val="0C247926"/>
    <w:rsid w:val="0CC06645"/>
    <w:rsid w:val="0CD21ED4"/>
    <w:rsid w:val="0D794204"/>
    <w:rsid w:val="0D9D13BC"/>
    <w:rsid w:val="0DD71E98"/>
    <w:rsid w:val="0E2125D1"/>
    <w:rsid w:val="0E214211"/>
    <w:rsid w:val="0E5F2769"/>
    <w:rsid w:val="0ED8332F"/>
    <w:rsid w:val="0F4D75A3"/>
    <w:rsid w:val="0F5B2DCA"/>
    <w:rsid w:val="0F714D08"/>
    <w:rsid w:val="0FA20605"/>
    <w:rsid w:val="0FE30229"/>
    <w:rsid w:val="0FED051E"/>
    <w:rsid w:val="0FEE4C29"/>
    <w:rsid w:val="0FFD33F6"/>
    <w:rsid w:val="10031608"/>
    <w:rsid w:val="10046082"/>
    <w:rsid w:val="104974DD"/>
    <w:rsid w:val="10CF50A9"/>
    <w:rsid w:val="10FE3359"/>
    <w:rsid w:val="111703D2"/>
    <w:rsid w:val="112B101A"/>
    <w:rsid w:val="11877731"/>
    <w:rsid w:val="119B53FC"/>
    <w:rsid w:val="11F954F0"/>
    <w:rsid w:val="1215733B"/>
    <w:rsid w:val="12280E6F"/>
    <w:rsid w:val="12424CDC"/>
    <w:rsid w:val="129A2738"/>
    <w:rsid w:val="12B56BF1"/>
    <w:rsid w:val="12CB1A89"/>
    <w:rsid w:val="131840FB"/>
    <w:rsid w:val="131D7D22"/>
    <w:rsid w:val="13467417"/>
    <w:rsid w:val="136E76CF"/>
    <w:rsid w:val="13AD7CBC"/>
    <w:rsid w:val="1424395D"/>
    <w:rsid w:val="145F08C6"/>
    <w:rsid w:val="149F643D"/>
    <w:rsid w:val="14E43F59"/>
    <w:rsid w:val="14F04E1E"/>
    <w:rsid w:val="15776308"/>
    <w:rsid w:val="15973CBB"/>
    <w:rsid w:val="15BC6B3C"/>
    <w:rsid w:val="15C72DBA"/>
    <w:rsid w:val="15EC2C59"/>
    <w:rsid w:val="16360A7B"/>
    <w:rsid w:val="16442095"/>
    <w:rsid w:val="164D40B0"/>
    <w:rsid w:val="1694429A"/>
    <w:rsid w:val="173D678F"/>
    <w:rsid w:val="17625A30"/>
    <w:rsid w:val="17635326"/>
    <w:rsid w:val="178D4AD1"/>
    <w:rsid w:val="17B803EA"/>
    <w:rsid w:val="17D336D0"/>
    <w:rsid w:val="1815096B"/>
    <w:rsid w:val="18236EFD"/>
    <w:rsid w:val="18377249"/>
    <w:rsid w:val="185D743E"/>
    <w:rsid w:val="18791BA2"/>
    <w:rsid w:val="189D5B1F"/>
    <w:rsid w:val="18A34CD0"/>
    <w:rsid w:val="191A08D1"/>
    <w:rsid w:val="19481E9C"/>
    <w:rsid w:val="19A53EA8"/>
    <w:rsid w:val="19B64DBC"/>
    <w:rsid w:val="19E47FB9"/>
    <w:rsid w:val="19E90135"/>
    <w:rsid w:val="19EC6A4A"/>
    <w:rsid w:val="1A373ACF"/>
    <w:rsid w:val="1A7B10BA"/>
    <w:rsid w:val="1A895341"/>
    <w:rsid w:val="1B0D071F"/>
    <w:rsid w:val="1B2A49A0"/>
    <w:rsid w:val="1B4568CE"/>
    <w:rsid w:val="1B9015B7"/>
    <w:rsid w:val="1B950DA6"/>
    <w:rsid w:val="1BF54245"/>
    <w:rsid w:val="1C762AA7"/>
    <w:rsid w:val="1C8256C5"/>
    <w:rsid w:val="1CB3587E"/>
    <w:rsid w:val="1CF10C8A"/>
    <w:rsid w:val="1D047E88"/>
    <w:rsid w:val="1D0E6976"/>
    <w:rsid w:val="1D5A79EE"/>
    <w:rsid w:val="1DEC2AC7"/>
    <w:rsid w:val="1E0E2CD0"/>
    <w:rsid w:val="1E164317"/>
    <w:rsid w:val="1E831280"/>
    <w:rsid w:val="1EBC4704"/>
    <w:rsid w:val="1ED27114"/>
    <w:rsid w:val="1EE522C8"/>
    <w:rsid w:val="1F112DAC"/>
    <w:rsid w:val="1F172EB5"/>
    <w:rsid w:val="1F22070B"/>
    <w:rsid w:val="1F282554"/>
    <w:rsid w:val="1F94592D"/>
    <w:rsid w:val="1FB860DE"/>
    <w:rsid w:val="203C5A02"/>
    <w:rsid w:val="2059673D"/>
    <w:rsid w:val="209D4C94"/>
    <w:rsid w:val="20B44FCD"/>
    <w:rsid w:val="20E84705"/>
    <w:rsid w:val="2129610F"/>
    <w:rsid w:val="218400BA"/>
    <w:rsid w:val="21937A2C"/>
    <w:rsid w:val="21AB1E2F"/>
    <w:rsid w:val="21D40498"/>
    <w:rsid w:val="220156A3"/>
    <w:rsid w:val="22493963"/>
    <w:rsid w:val="22664BFA"/>
    <w:rsid w:val="22767047"/>
    <w:rsid w:val="22F0620E"/>
    <w:rsid w:val="23294E72"/>
    <w:rsid w:val="2355768F"/>
    <w:rsid w:val="23A05588"/>
    <w:rsid w:val="240476A1"/>
    <w:rsid w:val="245C4A92"/>
    <w:rsid w:val="24E953B9"/>
    <w:rsid w:val="2540485E"/>
    <w:rsid w:val="25431AEB"/>
    <w:rsid w:val="25B875EB"/>
    <w:rsid w:val="25BE3BFB"/>
    <w:rsid w:val="25BF43FD"/>
    <w:rsid w:val="25F86BCD"/>
    <w:rsid w:val="2605748B"/>
    <w:rsid w:val="260B2287"/>
    <w:rsid w:val="26396D26"/>
    <w:rsid w:val="264544A6"/>
    <w:rsid w:val="265E5CB6"/>
    <w:rsid w:val="267702FB"/>
    <w:rsid w:val="269E416A"/>
    <w:rsid w:val="26C11C6B"/>
    <w:rsid w:val="272100D3"/>
    <w:rsid w:val="272C72FC"/>
    <w:rsid w:val="275131CB"/>
    <w:rsid w:val="275B78FF"/>
    <w:rsid w:val="276179C9"/>
    <w:rsid w:val="278F6521"/>
    <w:rsid w:val="27E62DC5"/>
    <w:rsid w:val="27EB149D"/>
    <w:rsid w:val="27FD3E52"/>
    <w:rsid w:val="28247FAD"/>
    <w:rsid w:val="282F6F6D"/>
    <w:rsid w:val="284130B3"/>
    <w:rsid w:val="2891378A"/>
    <w:rsid w:val="28926C90"/>
    <w:rsid w:val="28A27541"/>
    <w:rsid w:val="28E03E9F"/>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BDD6474"/>
    <w:rsid w:val="2C4E52E4"/>
    <w:rsid w:val="2C615D26"/>
    <w:rsid w:val="2CB679ED"/>
    <w:rsid w:val="2CB73169"/>
    <w:rsid w:val="2CE83C37"/>
    <w:rsid w:val="2CEB2FFC"/>
    <w:rsid w:val="2D173C07"/>
    <w:rsid w:val="2D265BF9"/>
    <w:rsid w:val="2D424A86"/>
    <w:rsid w:val="2DAD1E76"/>
    <w:rsid w:val="2DDA66B7"/>
    <w:rsid w:val="2E2D63BA"/>
    <w:rsid w:val="2E6F2D11"/>
    <w:rsid w:val="2E7B52DB"/>
    <w:rsid w:val="2E8D6C8C"/>
    <w:rsid w:val="2ED60115"/>
    <w:rsid w:val="2F324CFE"/>
    <w:rsid w:val="2FBA09F1"/>
    <w:rsid w:val="2FEF2ACF"/>
    <w:rsid w:val="2FF93D20"/>
    <w:rsid w:val="30540211"/>
    <w:rsid w:val="30E45100"/>
    <w:rsid w:val="31112A0D"/>
    <w:rsid w:val="3113638E"/>
    <w:rsid w:val="3118711F"/>
    <w:rsid w:val="311F4B20"/>
    <w:rsid w:val="312D7741"/>
    <w:rsid w:val="316F137F"/>
    <w:rsid w:val="31815AF3"/>
    <w:rsid w:val="31DF525F"/>
    <w:rsid w:val="31EC162B"/>
    <w:rsid w:val="32324C2E"/>
    <w:rsid w:val="327171DF"/>
    <w:rsid w:val="32CE39C8"/>
    <w:rsid w:val="32DB1233"/>
    <w:rsid w:val="3391569E"/>
    <w:rsid w:val="341E3434"/>
    <w:rsid w:val="34BB4442"/>
    <w:rsid w:val="352F00C8"/>
    <w:rsid w:val="3584136B"/>
    <w:rsid w:val="35FF5AA4"/>
    <w:rsid w:val="360B7EBA"/>
    <w:rsid w:val="36416867"/>
    <w:rsid w:val="367D5DD4"/>
    <w:rsid w:val="369C32FD"/>
    <w:rsid w:val="36EE03B6"/>
    <w:rsid w:val="373553B6"/>
    <w:rsid w:val="37666E72"/>
    <w:rsid w:val="37A91900"/>
    <w:rsid w:val="37DB4F05"/>
    <w:rsid w:val="37F7266B"/>
    <w:rsid w:val="38081EA3"/>
    <w:rsid w:val="38167A04"/>
    <w:rsid w:val="381C3783"/>
    <w:rsid w:val="38DD5D05"/>
    <w:rsid w:val="39201B10"/>
    <w:rsid w:val="394B167A"/>
    <w:rsid w:val="39AD34EA"/>
    <w:rsid w:val="39DA2868"/>
    <w:rsid w:val="39DF6BF2"/>
    <w:rsid w:val="3A055F4B"/>
    <w:rsid w:val="3A4E4336"/>
    <w:rsid w:val="3A6007FE"/>
    <w:rsid w:val="3A802587"/>
    <w:rsid w:val="3A852164"/>
    <w:rsid w:val="3A8A5A19"/>
    <w:rsid w:val="3A8C4D8A"/>
    <w:rsid w:val="3AA709EB"/>
    <w:rsid w:val="3AF93D6C"/>
    <w:rsid w:val="3AFD06C8"/>
    <w:rsid w:val="3B477B26"/>
    <w:rsid w:val="3B7C2CE4"/>
    <w:rsid w:val="3BAF716B"/>
    <w:rsid w:val="3C0B5355"/>
    <w:rsid w:val="3C7E7F35"/>
    <w:rsid w:val="3CD4176B"/>
    <w:rsid w:val="3D1F44D9"/>
    <w:rsid w:val="3D5C38CD"/>
    <w:rsid w:val="3DB50FFF"/>
    <w:rsid w:val="3E5070F1"/>
    <w:rsid w:val="3E7569E0"/>
    <w:rsid w:val="3E946E66"/>
    <w:rsid w:val="3EC370CB"/>
    <w:rsid w:val="3EF33B9B"/>
    <w:rsid w:val="3F6C3589"/>
    <w:rsid w:val="3F850180"/>
    <w:rsid w:val="3F9004D6"/>
    <w:rsid w:val="3FEE7CFA"/>
    <w:rsid w:val="400E4D5E"/>
    <w:rsid w:val="40E1138C"/>
    <w:rsid w:val="413814BA"/>
    <w:rsid w:val="41872511"/>
    <w:rsid w:val="41DF1251"/>
    <w:rsid w:val="41FF32C7"/>
    <w:rsid w:val="424236D9"/>
    <w:rsid w:val="42466655"/>
    <w:rsid w:val="42C82F57"/>
    <w:rsid w:val="433F712F"/>
    <w:rsid w:val="435707E5"/>
    <w:rsid w:val="439927E1"/>
    <w:rsid w:val="43B14353"/>
    <w:rsid w:val="43C76AF7"/>
    <w:rsid w:val="43D54C8A"/>
    <w:rsid w:val="43E97E4A"/>
    <w:rsid w:val="440D65DA"/>
    <w:rsid w:val="445D5F4C"/>
    <w:rsid w:val="446828F0"/>
    <w:rsid w:val="45093E85"/>
    <w:rsid w:val="450B3BFA"/>
    <w:rsid w:val="4533010C"/>
    <w:rsid w:val="45C13B4D"/>
    <w:rsid w:val="46020A7F"/>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1728B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CB00B3"/>
    <w:rsid w:val="4ADA1F63"/>
    <w:rsid w:val="4AE23D89"/>
    <w:rsid w:val="4B2038D0"/>
    <w:rsid w:val="4B296E7D"/>
    <w:rsid w:val="4B79394E"/>
    <w:rsid w:val="4B877F28"/>
    <w:rsid w:val="4C7F3552"/>
    <w:rsid w:val="4CD200BA"/>
    <w:rsid w:val="4D2044E7"/>
    <w:rsid w:val="4D916BA6"/>
    <w:rsid w:val="4DC44169"/>
    <w:rsid w:val="4DE24E21"/>
    <w:rsid w:val="4E1B19A3"/>
    <w:rsid w:val="4E48787F"/>
    <w:rsid w:val="4E8D5680"/>
    <w:rsid w:val="4EE67B0A"/>
    <w:rsid w:val="4EF0709E"/>
    <w:rsid w:val="4F0469A4"/>
    <w:rsid w:val="4FBF5D0D"/>
    <w:rsid w:val="500E56F4"/>
    <w:rsid w:val="50540C73"/>
    <w:rsid w:val="50752AF8"/>
    <w:rsid w:val="50E97F21"/>
    <w:rsid w:val="513C6A7B"/>
    <w:rsid w:val="517300C9"/>
    <w:rsid w:val="51B31D16"/>
    <w:rsid w:val="525D5136"/>
    <w:rsid w:val="52EC6EC2"/>
    <w:rsid w:val="532D486F"/>
    <w:rsid w:val="5333545B"/>
    <w:rsid w:val="538D0E89"/>
    <w:rsid w:val="5437184A"/>
    <w:rsid w:val="5450213C"/>
    <w:rsid w:val="545C1D7C"/>
    <w:rsid w:val="546711F3"/>
    <w:rsid w:val="546C3825"/>
    <w:rsid w:val="54D062C6"/>
    <w:rsid w:val="54D24048"/>
    <w:rsid w:val="54D64CD5"/>
    <w:rsid w:val="5532287C"/>
    <w:rsid w:val="554A6079"/>
    <w:rsid w:val="55887D69"/>
    <w:rsid w:val="558E2703"/>
    <w:rsid w:val="55EE5D11"/>
    <w:rsid w:val="561A0928"/>
    <w:rsid w:val="56423872"/>
    <w:rsid w:val="5662044A"/>
    <w:rsid w:val="569E06BC"/>
    <w:rsid w:val="56B279F0"/>
    <w:rsid w:val="56F20F86"/>
    <w:rsid w:val="570F757A"/>
    <w:rsid w:val="579D710E"/>
    <w:rsid w:val="581F22F6"/>
    <w:rsid w:val="584E7C2E"/>
    <w:rsid w:val="586E1E17"/>
    <w:rsid w:val="58861193"/>
    <w:rsid w:val="58862C35"/>
    <w:rsid w:val="58C14957"/>
    <w:rsid w:val="58CC23D2"/>
    <w:rsid w:val="58D81BED"/>
    <w:rsid w:val="58E66050"/>
    <w:rsid w:val="59254E33"/>
    <w:rsid w:val="596B36B6"/>
    <w:rsid w:val="59B11656"/>
    <w:rsid w:val="59E63F07"/>
    <w:rsid w:val="59FC7994"/>
    <w:rsid w:val="5AE83A50"/>
    <w:rsid w:val="5B353193"/>
    <w:rsid w:val="5B442D1C"/>
    <w:rsid w:val="5B623DEA"/>
    <w:rsid w:val="5BAB2917"/>
    <w:rsid w:val="5BFC33FA"/>
    <w:rsid w:val="5C3107A4"/>
    <w:rsid w:val="5C337866"/>
    <w:rsid w:val="5C3B1B93"/>
    <w:rsid w:val="5C9220DF"/>
    <w:rsid w:val="5CDB1A84"/>
    <w:rsid w:val="5CF600C3"/>
    <w:rsid w:val="5D4A15F3"/>
    <w:rsid w:val="5D5A0A83"/>
    <w:rsid w:val="5D69542A"/>
    <w:rsid w:val="5D783B72"/>
    <w:rsid w:val="5E0930EF"/>
    <w:rsid w:val="5E3D4D53"/>
    <w:rsid w:val="5E4717E6"/>
    <w:rsid w:val="5E500991"/>
    <w:rsid w:val="5E55774C"/>
    <w:rsid w:val="5E8A70FF"/>
    <w:rsid w:val="5EE035AA"/>
    <w:rsid w:val="60045F96"/>
    <w:rsid w:val="60104DDC"/>
    <w:rsid w:val="605C0804"/>
    <w:rsid w:val="60783CF7"/>
    <w:rsid w:val="60913E6F"/>
    <w:rsid w:val="610D04E1"/>
    <w:rsid w:val="611F0045"/>
    <w:rsid w:val="61733C3E"/>
    <w:rsid w:val="6189617B"/>
    <w:rsid w:val="61B52BB6"/>
    <w:rsid w:val="61B749C2"/>
    <w:rsid w:val="61EC5AEA"/>
    <w:rsid w:val="62280D20"/>
    <w:rsid w:val="625450AD"/>
    <w:rsid w:val="62B4786E"/>
    <w:rsid w:val="62CA2457"/>
    <w:rsid w:val="631303F2"/>
    <w:rsid w:val="631A1FB0"/>
    <w:rsid w:val="638240A1"/>
    <w:rsid w:val="63833423"/>
    <w:rsid w:val="63A5257B"/>
    <w:rsid w:val="63BD3DCC"/>
    <w:rsid w:val="63C61741"/>
    <w:rsid w:val="64560967"/>
    <w:rsid w:val="64921199"/>
    <w:rsid w:val="653E102A"/>
    <w:rsid w:val="656B1D10"/>
    <w:rsid w:val="65921AA2"/>
    <w:rsid w:val="65B841F9"/>
    <w:rsid w:val="65EC0325"/>
    <w:rsid w:val="65FE0BB9"/>
    <w:rsid w:val="66022B28"/>
    <w:rsid w:val="664A38E2"/>
    <w:rsid w:val="66581E87"/>
    <w:rsid w:val="666F1DE3"/>
    <w:rsid w:val="66766EBB"/>
    <w:rsid w:val="66FA11D5"/>
    <w:rsid w:val="674302C7"/>
    <w:rsid w:val="6779459B"/>
    <w:rsid w:val="677A13E7"/>
    <w:rsid w:val="67BE3E10"/>
    <w:rsid w:val="67CB09D8"/>
    <w:rsid w:val="67EE3B0F"/>
    <w:rsid w:val="680A5986"/>
    <w:rsid w:val="680D5F4B"/>
    <w:rsid w:val="68113F51"/>
    <w:rsid w:val="68667E50"/>
    <w:rsid w:val="68B272C7"/>
    <w:rsid w:val="68E94770"/>
    <w:rsid w:val="68EC1CEF"/>
    <w:rsid w:val="68F949C9"/>
    <w:rsid w:val="695A4290"/>
    <w:rsid w:val="696F3649"/>
    <w:rsid w:val="69E46644"/>
    <w:rsid w:val="69ED3DE4"/>
    <w:rsid w:val="6A267606"/>
    <w:rsid w:val="6A334932"/>
    <w:rsid w:val="6A3353FF"/>
    <w:rsid w:val="6A5D63E6"/>
    <w:rsid w:val="6A5F24D1"/>
    <w:rsid w:val="6A8120E5"/>
    <w:rsid w:val="6AA81420"/>
    <w:rsid w:val="6ACA70C4"/>
    <w:rsid w:val="6AE347EB"/>
    <w:rsid w:val="6B330365"/>
    <w:rsid w:val="6B3506F9"/>
    <w:rsid w:val="6B434AF0"/>
    <w:rsid w:val="6B57675A"/>
    <w:rsid w:val="6B87098A"/>
    <w:rsid w:val="6BDD7B4D"/>
    <w:rsid w:val="6C8A78E5"/>
    <w:rsid w:val="6CE56A62"/>
    <w:rsid w:val="6D52013C"/>
    <w:rsid w:val="6D8B64D6"/>
    <w:rsid w:val="6EBC0B3A"/>
    <w:rsid w:val="6EE14747"/>
    <w:rsid w:val="6EED597D"/>
    <w:rsid w:val="6EF51C7D"/>
    <w:rsid w:val="6F3A75AA"/>
    <w:rsid w:val="6F8363E5"/>
    <w:rsid w:val="6F841DCF"/>
    <w:rsid w:val="6FA80CCD"/>
    <w:rsid w:val="6FAC3CC5"/>
    <w:rsid w:val="6FC746F5"/>
    <w:rsid w:val="6FE33EF5"/>
    <w:rsid w:val="70317AC6"/>
    <w:rsid w:val="703A1C21"/>
    <w:rsid w:val="7047792D"/>
    <w:rsid w:val="704B26F7"/>
    <w:rsid w:val="70697B21"/>
    <w:rsid w:val="70863262"/>
    <w:rsid w:val="70A76ED3"/>
    <w:rsid w:val="70B91FB9"/>
    <w:rsid w:val="71211937"/>
    <w:rsid w:val="713C664E"/>
    <w:rsid w:val="71860B17"/>
    <w:rsid w:val="723B27CC"/>
    <w:rsid w:val="72565C05"/>
    <w:rsid w:val="72687227"/>
    <w:rsid w:val="72A03FD9"/>
    <w:rsid w:val="73406CFF"/>
    <w:rsid w:val="7383028C"/>
    <w:rsid w:val="73A25E44"/>
    <w:rsid w:val="741F68CF"/>
    <w:rsid w:val="74A92964"/>
    <w:rsid w:val="74B035A9"/>
    <w:rsid w:val="74DD0860"/>
    <w:rsid w:val="75252DF3"/>
    <w:rsid w:val="75523613"/>
    <w:rsid w:val="75621536"/>
    <w:rsid w:val="75695C4F"/>
    <w:rsid w:val="75BF3154"/>
    <w:rsid w:val="75DA4A2D"/>
    <w:rsid w:val="764A07CF"/>
    <w:rsid w:val="764F6B3D"/>
    <w:rsid w:val="76CD2B7B"/>
    <w:rsid w:val="76D80645"/>
    <w:rsid w:val="76E03371"/>
    <w:rsid w:val="771211AA"/>
    <w:rsid w:val="77736C04"/>
    <w:rsid w:val="780E5898"/>
    <w:rsid w:val="782642CC"/>
    <w:rsid w:val="7894095E"/>
    <w:rsid w:val="78964555"/>
    <w:rsid w:val="78CF4963"/>
    <w:rsid w:val="78EF4F2A"/>
    <w:rsid w:val="79000679"/>
    <w:rsid w:val="7916258F"/>
    <w:rsid w:val="791C0FE5"/>
    <w:rsid w:val="79974C49"/>
    <w:rsid w:val="79A416F0"/>
    <w:rsid w:val="79B03EB6"/>
    <w:rsid w:val="79B61437"/>
    <w:rsid w:val="79EC1EE7"/>
    <w:rsid w:val="7A4F26D7"/>
    <w:rsid w:val="7A7844E0"/>
    <w:rsid w:val="7A9B5E53"/>
    <w:rsid w:val="7AE15A5C"/>
    <w:rsid w:val="7AF37579"/>
    <w:rsid w:val="7AF87F64"/>
    <w:rsid w:val="7B1C0C84"/>
    <w:rsid w:val="7B5A62DF"/>
    <w:rsid w:val="7B7A04A8"/>
    <w:rsid w:val="7B8E4662"/>
    <w:rsid w:val="7B977C61"/>
    <w:rsid w:val="7BD75497"/>
    <w:rsid w:val="7BFC5A6F"/>
    <w:rsid w:val="7C0C3F6D"/>
    <w:rsid w:val="7C22163C"/>
    <w:rsid w:val="7C457B4B"/>
    <w:rsid w:val="7C595075"/>
    <w:rsid w:val="7C6B07B2"/>
    <w:rsid w:val="7D0B704E"/>
    <w:rsid w:val="7D133243"/>
    <w:rsid w:val="7D945420"/>
    <w:rsid w:val="7D997857"/>
    <w:rsid w:val="7DD07A4B"/>
    <w:rsid w:val="7E394207"/>
    <w:rsid w:val="7E4007A2"/>
    <w:rsid w:val="7E791CAD"/>
    <w:rsid w:val="7E901553"/>
    <w:rsid w:val="7EA50DFB"/>
    <w:rsid w:val="7EC032DD"/>
    <w:rsid w:val="7EC86878"/>
    <w:rsid w:val="7F16390D"/>
    <w:rsid w:val="7F752917"/>
    <w:rsid w:val="7FD10FC1"/>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2"/>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spacing w:after="120" w:line="480" w:lineRule="auto"/>
      <w:ind w:left="420" w:leftChars="200"/>
    </w:p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4"/>
    <w:link w:val="18"/>
    <w:semiHidden/>
    <w:qFormat/>
    <w:uiPriority w:val="99"/>
    <w:rPr>
      <w:sz w:val="18"/>
      <w:szCs w:val="18"/>
    </w:rPr>
  </w:style>
  <w:style w:type="character" w:customStyle="1" w:styleId="31">
    <w:name w:val="页脚 Char"/>
    <w:basedOn w:val="24"/>
    <w:link w:val="17"/>
    <w:qFormat/>
    <w:uiPriority w:val="99"/>
    <w:rPr>
      <w:sz w:val="18"/>
      <w:szCs w:val="18"/>
    </w:rPr>
  </w:style>
  <w:style w:type="character" w:customStyle="1" w:styleId="32">
    <w:name w:val="标题 1 Char"/>
    <w:basedOn w:val="24"/>
    <w:link w:val="4"/>
    <w:qFormat/>
    <w:uiPriority w:val="9"/>
    <w:rPr>
      <w:rFonts w:eastAsia="方正小标宋简体"/>
      <w:bCs/>
      <w:kern w:val="44"/>
      <w:sz w:val="44"/>
      <w:szCs w:val="44"/>
    </w:rPr>
  </w:style>
  <w:style w:type="character" w:customStyle="1" w:styleId="33">
    <w:name w:val="标题 2 Char"/>
    <w:basedOn w:val="24"/>
    <w:link w:val="5"/>
    <w:qFormat/>
    <w:uiPriority w:val="9"/>
    <w:rPr>
      <w:rFonts w:eastAsia="方正小标宋简体" w:asciiTheme="majorHAnsi" w:hAnsiTheme="majorHAnsi" w:cstheme="majorBidi"/>
      <w:bCs/>
      <w:sz w:val="36"/>
      <w:szCs w:val="32"/>
    </w:rPr>
  </w:style>
  <w:style w:type="character" w:customStyle="1" w:styleId="34">
    <w:name w:val="标题 3 Char"/>
    <w:basedOn w:val="24"/>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4"/>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link w:val="8"/>
    <w:qFormat/>
    <w:uiPriority w:val="99"/>
    <w:rPr>
      <w:sz w:val="16"/>
      <w:szCs w:val="16"/>
    </w:rPr>
  </w:style>
  <w:style w:type="character" w:customStyle="1" w:styleId="42">
    <w:name w:val="正文文本 3 Char1"/>
    <w:basedOn w:val="24"/>
    <w:link w:val="8"/>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8">
    <w:name w:val="p15"/>
    <w:basedOn w:val="1"/>
    <w:qFormat/>
    <w:uiPriority w:val="0"/>
    <w:pPr>
      <w:widowControl/>
      <w:spacing w:before="100" w:after="100"/>
      <w:ind w:firstLine="3584"/>
    </w:pPr>
    <w:rPr>
      <w:rFonts w:ascii="Tahoma"/>
    </w:rPr>
  </w:style>
  <w:style w:type="paragraph" w:customStyle="1" w:styleId="49">
    <w:name w:val="_Style 4"/>
    <w:basedOn w:val="4"/>
    <w:next w:val="1"/>
    <w:qFormat/>
    <w:uiPriority w:val="0"/>
    <w:pPr>
      <w:spacing w:line="576" w:lineRule="auto"/>
      <w:outlineLvl w:val="9"/>
    </w:pPr>
    <w:rPr>
      <w:rFonts w:ascii="Calibri" w:hAnsi="Calibri"/>
    </w:rPr>
  </w:style>
  <w:style w:type="paragraph" w:customStyle="1" w:styleId="5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97</Pages>
  <Words>6163</Words>
  <Characters>35134</Characters>
  <Lines>292</Lines>
  <Paragraphs>82</Paragraphs>
  <TotalTime>2</TotalTime>
  <ScaleCrop>false</ScaleCrop>
  <LinksUpToDate>false</LinksUpToDate>
  <CharactersWithSpaces>41215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2023-09-01T07:39:30Z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73DE22EEEA4448ECB33CE7C122E384DD</vt:lpwstr>
  </property>
</Properties>
</file>