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广州净水公司2023年污水处理厂</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功率因素提升项目</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31938"/>
      <w:bookmarkStart w:id="5" w:name="_Toc19609"/>
      <w:bookmarkStart w:id="6" w:name="_Toc1669"/>
      <w:bookmarkStart w:id="7" w:name="_Toc7519"/>
      <w:bookmarkStart w:id="8" w:name="_Toc4275"/>
      <w:bookmarkStart w:id="9" w:name="_Toc11322"/>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2346325</wp:posOffset>
                </wp:positionH>
                <wp:positionV relativeFrom="paragraph">
                  <wp:posOffset>510540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75pt;margin-top:40.2pt;height:0pt;width:75.5pt;z-index:251671552;mso-width-relative:page;mso-height-relative:page;" filled="f" stroked="t" coordsize="21600,21600" o:gfxdata="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ADzO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广州净水公司2023年污水处理厂功率因素提升项目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广州净水公司2023年污水处理厂功率因素提升项目</w:t>
      </w: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XJ-20230831-1</w:t>
      </w:r>
      <w:bookmarkStart w:id="135" w:name="_GoBack"/>
      <w:bookmarkEnd w:id="135"/>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988451</w:t>
      </w:r>
      <w:r>
        <w:rPr>
          <w:rFonts w:hint="eastAsia" w:ascii="仿宋_GB2312" w:eastAsia="仿宋_GB2312"/>
          <w:color w:val="auto"/>
          <w:sz w:val="28"/>
          <w:szCs w:val="28"/>
          <w:highlight w:val="none"/>
          <w:u w:val="single"/>
          <w:lang w:val="en-US" w:eastAsia="zh-CN"/>
        </w:rPr>
        <w:t>元</w:t>
      </w:r>
    </w:p>
    <w:p>
      <w:pPr>
        <w:pStyle w:val="2"/>
        <w:rPr>
          <w:rFonts w:hint="eastAsia" w:ascii="仿宋_GB2312"/>
          <w:color w:val="auto"/>
          <w:sz w:val="28"/>
          <w:szCs w:val="28"/>
          <w:highlight w:val="none"/>
          <w:u w:val="single"/>
          <w:lang w:val="en-US" w:eastAsia="zh-CN"/>
        </w:rPr>
      </w:pPr>
      <w:r>
        <w:rPr>
          <w:rFonts w:hint="eastAsia" w:ascii="仿宋_GB2312"/>
          <w:color w:val="auto"/>
          <w:sz w:val="28"/>
          <w:szCs w:val="28"/>
          <w:highlight w:val="none"/>
          <w:u w:val="single"/>
          <w:lang w:val="en-US" w:eastAsia="zh-CN"/>
        </w:rPr>
        <w:t>各分公司限价金额如下：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4183"/>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序号</w:t>
            </w:r>
          </w:p>
        </w:tc>
        <w:tc>
          <w:tcPr>
            <w:tcW w:w="4183"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子项</w:t>
            </w:r>
          </w:p>
        </w:tc>
        <w:tc>
          <w:tcPr>
            <w:tcW w:w="4024"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1</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大坦沙分公司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360207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2</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猎德分公司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61018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3</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京溪分公司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20991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4</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龙归分公司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5804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5</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竹料分公司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27352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6</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石井分公司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73514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7</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石井净水分公司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宋体" w:hAnsi="宋体" w:eastAsia="宋体" w:cs="宋体"/>
                <w:vertAlign w:val="baseline"/>
              </w:rPr>
              <w:t>439565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32" w:type="dxa"/>
            <w:gridSpan w:val="2"/>
            <w:noWrap w:val="0"/>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合计：</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r>
              <w:rPr>
                <w:rFonts w:hint="eastAsia" w:ascii="仿宋_GB2312" w:eastAsia="仿宋_GB2312"/>
                <w:color w:val="auto"/>
                <w:sz w:val="28"/>
                <w:szCs w:val="28"/>
                <w:highlight w:val="none"/>
                <w:u w:val="single"/>
              </w:rPr>
              <w:t>988451</w:t>
            </w:r>
          </w:p>
        </w:tc>
      </w:tr>
    </w:tbl>
    <w:p>
      <w:pPr>
        <w:pStyle w:val="2"/>
        <w:rPr>
          <w:rFonts w:hint="default" w:ascii="仿宋_GB2312"/>
          <w:color w:val="auto"/>
          <w:sz w:val="28"/>
          <w:szCs w:val="28"/>
          <w:highlight w:val="none"/>
          <w:u w:val="single"/>
          <w:lang w:val="en-US" w:eastAsia="zh-CN"/>
        </w:rPr>
      </w:pPr>
    </w:p>
    <w:p>
      <w:pPr>
        <w:pStyle w:val="22"/>
        <w:spacing w:after="0" w:line="360" w:lineRule="auto"/>
        <w:ind w:firstLine="420"/>
        <w:jc w:val="both"/>
        <w:rPr>
          <w:rFonts w:hint="eastAsia"/>
        </w:rPr>
      </w:pPr>
      <w:r>
        <w:rPr>
          <w:rFonts w:hint="eastAsia" w:ascii="仿宋_GB2312" w:hAnsi="仿宋_GB2312" w:eastAsia="仿宋_GB2312" w:cs="仿宋_GB2312"/>
          <w:b/>
          <w:bCs/>
          <w:color w:val="auto"/>
          <w:kern w:val="2"/>
          <w:sz w:val="28"/>
          <w:szCs w:val="28"/>
          <w:lang w:val="en-US" w:eastAsia="zh-CN" w:bidi="ar-SA"/>
        </w:rPr>
        <w:t>△注：各项目税率为13%。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1"/>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对广州净水公司属下污水处理厂功率因素进行提升。主要涉及大坦沙分公司、猎德分公司、京溪分公司、龙归分公司、竹料分公司、石井分公司、石井净水分公司七个厂区。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自合同签订之日起15天</w:t>
      </w:r>
    </w:p>
    <w:p>
      <w:pPr>
        <w:adjustRightInd w:val="0"/>
        <w:snapToGrid w:val="0"/>
        <w:spacing w:line="600" w:lineRule="exact"/>
        <w:jc w:val="left"/>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大坦沙分公司、猎德分公司、京溪分公司、龙归分公司、竹料分公司、石井分公司、石井净水分公司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w:t>
      </w:r>
      <w:r>
        <w:rPr>
          <w:rFonts w:hint="eastAsia" w:ascii="仿宋_GB2312" w:eastAsia="仿宋_GB2312"/>
          <w:sz w:val="28"/>
          <w:szCs w:val="28"/>
          <w:highlight w:val="none"/>
          <w:u w:val="single"/>
        </w:rPr>
        <w:t>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遵守各项安全生产法律法规、安全生产条例、</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安全规章制度及行业标准，落实全员履责。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报价单位应当具备</w:t>
      </w:r>
      <w:r>
        <w:rPr>
          <w:rFonts w:hint="eastAsia" w:ascii="仿宋_GB2312" w:eastAsia="仿宋_GB2312"/>
          <w:color w:val="auto"/>
          <w:sz w:val="28"/>
          <w:szCs w:val="28"/>
          <w:highlight w:val="none"/>
          <w:lang w:val="en-US" w:eastAsia="zh-CN"/>
        </w:rPr>
        <w:t>机电工程施工总承包（三级或以上）或</w:t>
      </w:r>
      <w:r>
        <w:rPr>
          <w:rFonts w:hint="eastAsia" w:ascii="仿宋_GB2312" w:eastAsia="仿宋_GB2312"/>
          <w:color w:val="auto"/>
          <w:sz w:val="28"/>
          <w:szCs w:val="28"/>
          <w:highlight w:val="none"/>
          <w:u w:val="none"/>
        </w:rPr>
        <w:t>建筑机电安装工程专业承包（</w:t>
      </w:r>
      <w:r>
        <w:rPr>
          <w:rFonts w:hint="eastAsia" w:ascii="仿宋_GB2312" w:eastAsia="仿宋_GB2312"/>
          <w:color w:val="auto"/>
          <w:sz w:val="28"/>
          <w:szCs w:val="28"/>
          <w:highlight w:val="none"/>
          <w:u w:val="none"/>
          <w:lang w:val="en-US" w:eastAsia="zh-CN"/>
        </w:rPr>
        <w:t>三级</w:t>
      </w:r>
      <w:r>
        <w:rPr>
          <w:rFonts w:hint="eastAsia" w:ascii="仿宋_GB2312" w:eastAsia="仿宋_GB2312"/>
          <w:color w:val="auto"/>
          <w:sz w:val="28"/>
          <w:szCs w:val="28"/>
          <w:highlight w:val="none"/>
          <w:u w:val="none"/>
        </w:rPr>
        <w:t>或以上）和建设主管部门颁发且在有效期内的《安全生产许可证》</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，同时具备《承装(修、试)电力设施许可证》五级（或以上）资格。</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eastAsia="zh-CN"/>
        </w:rPr>
        <w:t>机电</w:t>
      </w:r>
      <w:r>
        <w:rPr>
          <w:rFonts w:hint="eastAsia" w:ascii="仿宋_GB2312" w:eastAsia="仿宋_GB2312"/>
          <w:color w:val="auto"/>
          <w:sz w:val="28"/>
          <w:szCs w:val="28"/>
          <w:highlight w:val="none"/>
          <w:u w:val="none"/>
        </w:rPr>
        <w:t>工程专业二级（或以上级别）的注册建造师，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3"/>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6 </w:t>
      </w:r>
      <w:r>
        <w:rPr>
          <w:rFonts w:hint="eastAsia" w:ascii="仿宋_GB2312" w:eastAsia="仿宋_GB2312"/>
          <w:sz w:val="28"/>
          <w:szCs w:val="28"/>
          <w:highlight w:val="none"/>
          <w:u w:val="single"/>
        </w:rPr>
        <w:t> </w:t>
      </w:r>
      <w:r>
        <w:rPr>
          <w:rFonts w:hint="eastAsia" w:ascii="仿宋_GB2312" w:eastAsia="仿宋_GB2312"/>
          <w:sz w:val="28"/>
          <w:szCs w:val="28"/>
          <w:highlight w:val="none"/>
        </w:rPr>
        <w:t>日</w:t>
      </w:r>
      <w:r>
        <w:rPr>
          <w:rFonts w:hint="eastAsia" w:ascii="仿宋_GB2312" w:eastAsia="仿宋_GB2312"/>
          <w:sz w:val="28"/>
          <w:szCs w:val="28"/>
          <w:highlight w:val="none"/>
          <w:u w:val="single"/>
        </w:rPr>
        <w:t>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sz w:val="28"/>
          <w:szCs w:val="28"/>
        </w:rPr>
        <w:t>6.2</w:t>
      </w:r>
      <w:r>
        <w:rPr>
          <w:rFonts w:hint="eastAsia" w:ascii="仿宋_GB2312" w:eastAsia="仿宋_GB2312"/>
          <w:sz w:val="28"/>
          <w:szCs w:val="28"/>
          <w:highlight w:val="none"/>
        </w:rPr>
        <w:t>递交地址：广州市天河区临江大道501号广州市净水有限公司6楼招标部。</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3"/>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5603"/>
      <w:bookmarkStart w:id="15" w:name="_Toc2324"/>
      <w:bookmarkStart w:id="16" w:name="_Toc16557"/>
      <w:bookmarkStart w:id="17" w:name="_Toc9448"/>
      <w:bookmarkStart w:id="18" w:name="_Toc2331"/>
      <w:bookmarkStart w:id="19" w:name="_Toc16705"/>
      <w:bookmarkStart w:id="20" w:name="_Toc7340"/>
      <w:bookmarkStart w:id="21" w:name="_Toc19295"/>
      <w:bookmarkStart w:id="22" w:name="_Toc32588"/>
      <w:bookmarkStart w:id="23" w:name="_Toc23749"/>
    </w:p>
    <w:p>
      <w:pPr>
        <w:pStyle w:val="3"/>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2329180</wp:posOffset>
                </wp:positionH>
                <wp:positionV relativeFrom="paragraph">
                  <wp:posOffset>554990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4pt;margin-top:43.7pt;height:0pt;width:75.5pt;z-index:251673600;mso-width-relative:page;mso-height-relative:page;" filled="f" stroked="t" coordsize="21600,21600" o:gfxdata="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2mVS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jc w:val="both"/>
        <w:rPr>
          <w:rFonts w:hint="eastAsia"/>
          <w:color w:val="auto"/>
          <w:highlight w:val="none"/>
        </w:rPr>
      </w:pPr>
      <w:bookmarkStart w:id="34" w:name="_Toc7437"/>
      <w:bookmarkStart w:id="35" w:name="_Toc23581"/>
      <w:bookmarkStart w:id="36" w:name="_Toc19759"/>
      <w:bookmarkStart w:id="37" w:name="_Toc19050"/>
      <w:bookmarkStart w:id="38" w:name="_Toc10930"/>
      <w:bookmarkStart w:id="39" w:name="_Toc3156"/>
      <w:bookmarkStart w:id="40" w:name="_Toc14552"/>
      <w:bookmarkStart w:id="41" w:name="_Toc20594"/>
      <w:bookmarkStart w:id="42" w:name="_Toc14870"/>
      <w:bookmarkStart w:id="43" w:name="_Toc4952"/>
      <w:bookmarkStart w:id="44" w:name="_Toc7118"/>
    </w:p>
    <w:p>
      <w:pPr>
        <w:rPr>
          <w:rFonts w:hint="eastAsia"/>
          <w:color w:val="auto"/>
          <w:highlight w:val="none"/>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6308"/>
      <w:bookmarkStart w:id="46" w:name="_Toc22212"/>
      <w:bookmarkStart w:id="47" w:name="_Toc21079"/>
      <w:bookmarkStart w:id="48" w:name="_Toc30530"/>
      <w:bookmarkStart w:id="49" w:name="_Toc29345"/>
      <w:bookmarkStart w:id="50" w:name="_Toc32607"/>
      <w:bookmarkStart w:id="51" w:name="_Toc88209941"/>
      <w:bookmarkStart w:id="52" w:name="_Toc7831"/>
      <w:bookmarkStart w:id="53" w:name="_Toc29484"/>
      <w:bookmarkStart w:id="54" w:name="_Toc12177"/>
      <w:bookmarkStart w:id="55" w:name="_Toc21840"/>
      <w:bookmarkStart w:id="56" w:name="_Toc13898"/>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13"/>
        <w:adjustRightInd w:val="0"/>
        <w:snapToGrid w:val="0"/>
        <w:spacing w:line="520" w:lineRule="exact"/>
        <w:rPr>
          <w:rFonts w:hint="eastAsia" w:ascii="仿宋_GB2312" w:hAnsi="仿宋_GB2312" w:eastAsia="仿宋_GB2312" w:cs="仿宋_GB2312"/>
          <w:b/>
          <w:sz w:val="28"/>
          <w:szCs w:val="28"/>
          <w:highlight w:val="none"/>
          <w:lang w:val="zh-CN"/>
        </w:rPr>
      </w:pPr>
    </w:p>
    <w:p>
      <w:pPr>
        <w:numPr>
          <w:ilvl w:val="0"/>
          <w:numId w:val="4"/>
        </w:numPr>
        <w:spacing w:line="360" w:lineRule="auto"/>
        <w:ind w:left="0" w:firstLine="562" w:firstLineChars="200"/>
        <w:rPr>
          <w:rFonts w:hint="eastAsia" w:ascii="仿宋_GB2312" w:hAnsi="仿宋_GB2312" w:eastAsia="仿宋_GB2312" w:cs="仿宋_GB2312"/>
          <w:b/>
          <w:bCs w:val="0"/>
          <w:i w:val="0"/>
          <w:iCs w:val="0"/>
          <w:sz w:val="28"/>
          <w:szCs w:val="28"/>
          <w:lang w:val="en-US" w:eastAsia="zh-CN"/>
        </w:rPr>
      </w:pPr>
      <w:r>
        <w:rPr>
          <w:rFonts w:hint="eastAsia" w:ascii="仿宋_GB2312" w:hAnsi="仿宋_GB2312" w:eastAsia="仿宋_GB2312" w:cs="仿宋_GB2312"/>
          <w:b/>
          <w:bCs w:val="0"/>
          <w:i w:val="0"/>
          <w:iCs w:val="0"/>
          <w:sz w:val="28"/>
          <w:szCs w:val="28"/>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本</w:t>
      </w: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主要对广州净水公司属下污水处理厂功率因素进行提升。主要涉及大坦沙分公司、猎德分公司、京溪分公司、龙归分公司、竹料分公司、石井分公司、石井净水分公司七个厂区。</w:t>
      </w:r>
    </w:p>
    <w:p>
      <w:pPr>
        <w:pStyle w:val="2"/>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二、实施方案</w:t>
      </w:r>
    </w:p>
    <w:p>
      <w:pPr>
        <w:pStyle w:val="2"/>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经过对以上涉及厂区进行前期摸查，各厂功率因素提升方法主要为以下：</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1、调整电容补偿目标值；</w:t>
      </w:r>
    </w:p>
    <w:p>
      <w:pPr>
        <w:pStyle w:val="2"/>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2、更换缺陷和损耗严重的电容器，并根据现场情况，调整部分电容器的配置；</w:t>
      </w:r>
    </w:p>
    <w:p>
      <w:pPr>
        <w:pStyle w:val="2"/>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3、更换缺陷和损耗严重的电抗器、熔芯、可控硅开关/调节器等配件，并优化老旧线路；</w:t>
      </w:r>
    </w:p>
    <w:p>
      <w:pPr>
        <w:pStyle w:val="2"/>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4、更换缺陷和损耗严重的有源滤波器、电能质量测控终端，并根据现场的情况，重新配置合适的有源滤波器等；</w:t>
      </w:r>
    </w:p>
    <w:p>
      <w:pPr>
        <w:pStyle w:val="2"/>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5、对部分谐波比较大的线路，增加有源滤波器，提高电能质量。</w:t>
      </w:r>
    </w:p>
    <w:p>
      <w:pPr>
        <w:pStyle w:val="2"/>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更换及安装配件清单如下：</w:t>
      </w:r>
    </w:p>
    <w:p>
      <w:pPr>
        <w:pStyle w:val="2"/>
        <w:numPr>
          <w:ilvl w:val="0"/>
          <w:numId w:val="0"/>
        </w:numPr>
        <w:rPr>
          <w:rFonts w:hint="eastAsia" w:ascii="仿宋_GB2312" w:hAnsi="仿宋_GB2312" w:eastAsia="仿宋_GB2312" w:cs="仿宋_GB2312"/>
          <w:sz w:val="28"/>
          <w:szCs w:val="28"/>
          <w:lang w:val="en-US" w:eastAsia="zh-CN"/>
        </w:rPr>
      </w:pP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661"/>
        <w:gridCol w:w="1101"/>
        <w:gridCol w:w="2491"/>
        <w:gridCol w:w="717"/>
        <w:gridCol w:w="506"/>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分公司</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变压器</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产品名称</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规格型号</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数量</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w:t>
            </w: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猎德四期风机2#变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猎德四期风机1#变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猎德四期脱水低压房2#变-主辅柜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猎德四期脱水低压房1#变-主辅柜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猎德1#生化池1#变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猎德1#生化池2#变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猎德2#生化池1#变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猎德2#生化池2#变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猎德3#生化池1#变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猎德3#生化池2#变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猎德加药间2#变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猎德加药间1#变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京溪</w:t>
            </w: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京溪2#变主辅柜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京溪1#变主辅柜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大坦沙一二期沉池</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大坦沙一期滤池-7#8#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SKES-ASVG-100-400-4WG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原有滤波柜改造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大坦沙二期滤池-两台变压器</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SKES-ASVG-100-400-4WG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原有滤波柜改造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大坦沙三期滤池-4#5#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SKES-ASVG-100-400-4WG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原有滤波柜改造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大坦沙二期低压房3#变-主辅柜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CKSGL-480-30-7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大坦沙二期低压房2#变-主辅柜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CKSGL-480-30-7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大坦沙二期低压房1#变-主辅柜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CKSGL-480-30-7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大坦沙6#配电</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MKP-480-25-3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拆1路50的，                                         更换成2路25的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CKSGL-480-25-7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大坦沙三期低压1#变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大坦沙三期低压2#变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大坦沙三期1#线泵房南北动力</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BKMJ-450-15-3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更换，两台柜均需更换导线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w:t>
            </w: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石井1#低压配电1#变-主辅柜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石井1#低压配电2#变-主辅柜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JKWD-16-SBY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石井2#低压配电2#变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JKWD-16-SBY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石井3#反应池</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BKMJ-450-20-3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CJ19-40/21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石井4#反应池</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BKMJ-450-20-3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CJ19-40/21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石井粗格栅提升泵6#主辅柜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BKMJ-450-15-3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CJ19-32/20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石井粗格栅提升泵5#主辅柜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BKMJ-450-15-3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CJ19-32/20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7" w:type="pct"/>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龙归</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龙归低压配电9#主辅柜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7" w:type="pct"/>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w:t>
            </w: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竹料低压配电1#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竹料低压配电2#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还需更换一个72的三相电流表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竹料一期扩建电房3#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竹料一期扩建电房4#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30</w:t>
            </w:r>
          </w:p>
        </w:tc>
        <w:tc>
          <w:tcPr>
            <w:tcW w:w="105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105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restart"/>
            <w:tcBorders>
              <w:top w:val="single" w:color="000000" w:sz="4" w:space="0"/>
              <w:left w:val="single" w:color="000000" w:sz="4" w:space="0"/>
              <w:bottom w:val="nil"/>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lang w:val="en-US"/>
              </w:rPr>
            </w:pPr>
            <w:r>
              <w:rPr>
                <w:rFonts w:hint="eastAsia" w:ascii="微软雅黑" w:hAnsi="微软雅黑" w:eastAsia="微软雅黑" w:cs="微软雅黑"/>
                <w:i w:val="0"/>
                <w:iCs w:val="0"/>
                <w:color w:val="auto"/>
                <w:kern w:val="0"/>
                <w:sz w:val="18"/>
                <w:szCs w:val="18"/>
                <w:u w:val="none"/>
                <w:lang w:val="en-US" w:eastAsia="zh-CN" w:bidi="ar"/>
              </w:rPr>
              <w:t>石井净水</w:t>
            </w: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石井净水一期1#低压配电2#变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SKES-APF-150-400-4WG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增加3个互感器4000：5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石井净水一期1#低压配电1#变</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SKES-APF-150-400-4WG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增加3个互感器4000：5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石井净水一期2#低压配电5#一主两辅</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MKP-480-25-3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MKP-480-25-3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石井净水一期2#电压配电3#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石井净水一期2#电压配电4#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石井净水二期低压配电8#-主辅柜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BKMJ-480-50-3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BKMJ-480-25-3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石井净水二期低压配电7#-主辅柜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BKMJ-480-50-3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BKMJ-480-25-3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石井净水一期北线电房</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BKMJ-480-40-3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CKSGL-480-40-7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BKMJ-480-20-3</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CKSGL-480-20-7</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SCR-S-40-B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SCR-S-20-B</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石井净水一期南线电房</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静止无功发生器SVG</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SKES-SVG-100-400-4WG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互感器3台，变比参考进线柜的互感器。其余附件拆除。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SVG柜</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石井净水预处理电房排空池2#电源</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静止无功发生器SVG</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SKES-SVG-100-400-4WG</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互感器3台，变比参考进线柜的互感器。其余附件拆除。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01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7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SVG柜</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10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18</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47" w:type="pct"/>
            <w:vMerge w:val="continue"/>
            <w:tcBorders>
              <w:top w:val="single" w:color="000000" w:sz="4" w:space="0"/>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171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rPr>
                <w:rFonts w:hint="eastAsia" w:ascii="微软雅黑" w:hAnsi="微软雅黑" w:eastAsia="微软雅黑" w:cs="微软雅黑"/>
                <w:i w:val="0"/>
                <w:iCs w:val="0"/>
                <w:color w:val="auto"/>
                <w:sz w:val="18"/>
                <w:szCs w:val="18"/>
                <w:u w:val="none"/>
              </w:rPr>
            </w:pPr>
          </w:p>
        </w:tc>
        <w:tc>
          <w:tcPr>
            <w:tcW w:w="1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检测服务费</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7</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7间厂</w:t>
            </w:r>
          </w:p>
        </w:tc>
      </w:tr>
    </w:tbl>
    <w:p>
      <w:pPr>
        <w:pStyle w:val="14"/>
        <w:rPr>
          <w:rFonts w:hint="eastAsia"/>
          <w:lang w:val="zh-CN"/>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1.工期：自合同签订之日起15天，具体开工时间视厂区生产情况确定，以厂区通知为准。具</w:t>
      </w:r>
      <w:r>
        <w:rPr>
          <w:rFonts w:hint="eastAsia" w:ascii="仿宋_GB2312" w:hAnsi="仿宋_GB2312" w:eastAsia="仿宋_GB2312" w:cs="仿宋_GB2312"/>
          <w:sz w:val="28"/>
          <w:szCs w:val="28"/>
          <w:highlight w:val="none"/>
        </w:rPr>
        <w:t>体施工日期及工期调整根据实际计划时间而定。</w:t>
      </w:r>
    </w:p>
    <w:p>
      <w:pPr>
        <w:numPr>
          <w:ilvl w:val="0"/>
          <w:numId w:val="3"/>
        </w:numPr>
        <w:autoSpaceDE w:val="0"/>
        <w:autoSpaceDN w:val="0"/>
        <w:spacing w:line="520" w:lineRule="exact"/>
        <w:ind w:left="643" w:hanging="560" w:hanging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质量要求：</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在质保期期间如因施工和材质质量问题产生的损坏及设备故障，报价人必须在48小时内到达现场处理。</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本项目开展期间，承包方必须整理好本项目的所有的技术、质量资料，不限于项目施工图、竣工图、设备技术说明书、产品合格证等。项目竣工后，承包方将所有关于本项目的技术资料整理好并交至项目承办单位。</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（5）周边环境恢复。</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6"/>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w:t>
      </w:r>
      <w:r>
        <w:rPr>
          <w:rFonts w:hint="eastAsia" w:ascii="仿宋_GB2312" w:hAnsi="仿宋_GB2312" w:eastAsia="仿宋_GB2312" w:cs="仿宋_GB2312"/>
          <w:kern w:val="2"/>
          <w:sz w:val="28"/>
          <w:szCs w:val="28"/>
          <w:highlight w:val="none"/>
          <w:lang w:val="en-US" w:eastAsia="zh-CN"/>
        </w:rPr>
        <w:t>30</w:t>
      </w:r>
      <w:r>
        <w:rPr>
          <w:rFonts w:hint="eastAsia" w:ascii="仿宋_GB2312" w:hAnsi="仿宋_GB2312" w:eastAsia="仿宋_GB2312" w:cs="仿宋_GB2312"/>
          <w:kern w:val="2"/>
          <w:sz w:val="28"/>
          <w:szCs w:val="28"/>
          <w:highlight w:val="none"/>
        </w:rPr>
        <w:t>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i w:val="0"/>
          <w:caps w:val="0"/>
          <w:color w:val="auto"/>
          <w:spacing w:val="0"/>
          <w:sz w:val="28"/>
          <w:szCs w:val="28"/>
          <w:highlight w:val="none"/>
          <w:shd w:val="clear" w:color="auto" w:fill="FFFFFF"/>
        </w:rPr>
      </w:pPr>
      <w:r>
        <w:rPr>
          <w:rFonts w:hint="eastAsia" w:ascii="仿宋_GB2312" w:hAnsi="仿宋_GB2312" w:eastAsia="仿宋_GB2312" w:cs="仿宋_GB2312"/>
          <w:i w:val="0"/>
          <w:caps w:val="0"/>
          <w:color w:val="auto"/>
          <w:spacing w:val="0"/>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i w:val="0"/>
          <w:caps w:val="0"/>
          <w:color w:val="auto"/>
          <w:spacing w:val="0"/>
          <w:sz w:val="28"/>
          <w:szCs w:val="28"/>
          <w:highlight w:val="none"/>
          <w:shd w:val="clear" w:color="auto" w:fill="FFFFFF"/>
        </w:rPr>
      </w:pPr>
      <w:r>
        <w:rPr>
          <w:rFonts w:hint="eastAsia" w:ascii="仿宋_GB2312" w:hAnsi="仿宋_GB2312" w:eastAsia="仿宋_GB2312" w:cs="仿宋_GB2312"/>
          <w:i w:val="0"/>
          <w:caps w:val="0"/>
          <w:color w:val="auto"/>
          <w:spacing w:val="0"/>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6"/>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hint="eastAsia"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pStyle w:val="4"/>
        <w:jc w:val="both"/>
        <w:rPr>
          <w:rFonts w:hint="eastAsia" w:ascii="仿宋_GB2312" w:hAnsi="仿宋_GB2312" w:eastAsia="仿宋_GB2312" w:cs="仿宋_GB2312"/>
          <w:b/>
          <w:bCs w:val="0"/>
          <w:color w:val="auto"/>
          <w:sz w:val="32"/>
          <w:szCs w:val="40"/>
          <w:highlight w:val="none"/>
          <w:lang w:val="en-US" w:eastAsia="zh-CN"/>
        </w:rPr>
      </w:pPr>
    </w:p>
    <w:bookmarkEnd w:id="60"/>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25925"/>
      <w:bookmarkStart w:id="62" w:name="_Toc29835"/>
      <w:bookmarkStart w:id="63" w:name="_Toc537"/>
      <w:bookmarkStart w:id="64" w:name="_Toc18538"/>
      <w:bookmarkStart w:id="65" w:name="_Toc23330"/>
      <w:bookmarkStart w:id="66" w:name="_Toc23353"/>
      <w:bookmarkStart w:id="67" w:name="_Toc1284"/>
      <w:bookmarkStart w:id="68" w:name="_Toc4680"/>
      <w:bookmarkStart w:id="69" w:name="_Toc12135"/>
      <w:bookmarkStart w:id="70" w:name="_Toc15570"/>
      <w:bookmarkStart w:id="71"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12980"/>
      <w:bookmarkStart w:id="73" w:name="_Toc22797"/>
      <w:bookmarkStart w:id="74" w:name="_Toc1375"/>
      <w:bookmarkStart w:id="75" w:name="_Toc8183"/>
      <w:bookmarkStart w:id="76" w:name="_Toc12721"/>
      <w:bookmarkStart w:id="77" w:name="_Toc22501"/>
      <w:bookmarkStart w:id="78" w:name="_Toc323"/>
      <w:bookmarkStart w:id="79" w:name="_Toc87616386"/>
      <w:bookmarkStart w:id="80" w:name="_Toc19686"/>
      <w:bookmarkStart w:id="81" w:name="_Toc19088"/>
      <w:bookmarkStart w:id="82" w:name="_Toc12968"/>
      <w:bookmarkStart w:id="83" w:name="_Toc13309"/>
      <w:bookmarkStart w:id="84" w:name="_Toc8820994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spacing w:line="400" w:lineRule="atLeast"/>
        <w:jc w:val="center"/>
        <w:rPr>
          <w:rFonts w:hint="eastAsia" w:ascii="宋体" w:hAnsi="宋体" w:cs="宋体"/>
          <w:b/>
          <w:bCs/>
          <w:sz w:val="48"/>
          <w:szCs w:val="48"/>
          <w:highlight w:val="none"/>
        </w:rPr>
      </w:pPr>
    </w:p>
    <w:p>
      <w:pPr>
        <w:spacing w:line="400" w:lineRule="atLeast"/>
        <w:jc w:val="center"/>
        <w:rPr>
          <w:rFonts w:hint="eastAsia" w:ascii="宋体" w:hAnsi="宋体" w:cs="宋体"/>
          <w:b/>
          <w:bCs/>
          <w:sz w:val="48"/>
          <w:szCs w:val="48"/>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Cambria" w:hAnsi="Cambria" w:eastAsia="宋体"/>
          <w:b/>
          <w:bCs/>
          <w:sz w:val="52"/>
          <w:szCs w:val="52"/>
          <w:highlight w:val="none"/>
        </w:rPr>
      </w:pPr>
      <w:r>
        <w:rPr>
          <w:rFonts w:hint="eastAsia" w:ascii="宋体" w:hAnsi="宋体" w:cs="宋体"/>
          <w:b/>
          <w:bCs/>
          <w:sz w:val="48"/>
          <w:szCs w:val="48"/>
          <w:highlight w:val="none"/>
        </w:rPr>
        <w:t>设备维修维护项目合同</w:t>
      </w: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hint="eastAsia" w:ascii="宋体" w:hAnsi="宋体" w:eastAsia="宋体" w:cs="宋体"/>
          <w:b/>
          <w:bCs w:val="0"/>
          <w:color w:val="000000"/>
          <w:sz w:val="30"/>
          <w:szCs w:val="30"/>
          <w:highlight w:val="none"/>
          <w:u w:val="none"/>
          <w:lang w:val="en-US" w:eastAsia="zh-CN"/>
        </w:rPr>
      </w:pPr>
      <w:r>
        <w:rPr>
          <w:rFonts w:hint="eastAsia" w:ascii="宋体" w:hAnsi="宋体" w:cs="宋体"/>
          <w:b/>
          <w:sz w:val="30"/>
          <w:szCs w:val="30"/>
          <w:highlight w:val="none"/>
        </w:rPr>
        <w:t>项目名称: 广州净水公司2023年污水处理厂功率因素提升项目</w:t>
      </w:r>
    </w:p>
    <w:p>
      <w:pPr>
        <w:pStyle w:val="2"/>
        <w:rPr>
          <w:rFonts w:hint="eastAsia" w:ascii="宋体" w:hAnsi="宋体" w:eastAsia="宋体" w:cs="宋体"/>
          <w:b/>
          <w:sz w:val="30"/>
          <w:szCs w:val="30"/>
          <w:highlight w:val="none"/>
          <w:lang w:val="en-US" w:eastAsia="zh-CN"/>
        </w:rPr>
      </w:pPr>
    </w:p>
    <w:p>
      <w:pPr>
        <w:pStyle w:val="2"/>
        <w:rPr>
          <w:rFonts w:hint="eastAsia" w:ascii="宋体" w:hAnsi="宋体" w:eastAsia="宋体" w:cs="宋体"/>
          <w:b/>
          <w:sz w:val="30"/>
          <w:szCs w:val="30"/>
          <w:highlight w:val="none"/>
          <w:lang w:val="en-US" w:eastAsia="zh-CN"/>
        </w:rPr>
      </w:pPr>
    </w:p>
    <w:p>
      <w:pPr>
        <w:spacing w:line="0" w:lineRule="atLeast"/>
        <w:ind w:left="1506" w:hanging="1506" w:hangingChars="500"/>
        <w:rPr>
          <w:rFonts w:hint="default" w:ascii="宋体" w:hAnsi="宋体" w:eastAsia="宋体" w:cs="宋体"/>
          <w:highlight w:val="none"/>
          <w:lang w:val="en-US" w:eastAsia="zh-CN"/>
        </w:rPr>
      </w:pPr>
      <w:r>
        <w:rPr>
          <w:rFonts w:hint="eastAsia" w:ascii="宋体" w:hAnsi="宋体" w:eastAsia="宋体" w:cs="宋体"/>
          <w:b/>
          <w:sz w:val="30"/>
          <w:szCs w:val="30"/>
          <w:highlight w:val="none"/>
          <w:lang w:val="en-US" w:eastAsia="zh-CN"/>
        </w:rPr>
        <w:t>项目编号：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hint="eastAsia" w:ascii="宋体" w:hAnsi="宋体" w:cs="宋体"/>
          <w:b/>
          <w:sz w:val="30"/>
          <w:highlight w:val="none"/>
        </w:rPr>
      </w:pPr>
    </w:p>
    <w:p>
      <w:pPr>
        <w:spacing w:line="400" w:lineRule="atLeast"/>
        <w:rPr>
          <w:rFonts w:hint="eastAsia" w:ascii="宋体" w:hAnsi="宋体" w:cs="宋体"/>
          <w:sz w:val="24"/>
          <w:highlight w:val="none"/>
        </w:rPr>
      </w:pPr>
      <w:r>
        <w:rPr>
          <w:rFonts w:hint="eastAsia" w:ascii="宋体" w:hAnsi="宋体" w:cs="宋体"/>
          <w:b/>
          <w:sz w:val="30"/>
          <w:highlight w:val="none"/>
        </w:rPr>
        <w:t>签约地点：广州市</w:t>
      </w:r>
    </w:p>
    <w:p>
      <w:pPr>
        <w:spacing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rPr>
        <w:t>》及其他有关法律、行政法规，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lang w:eastAsia="zh-CN"/>
        </w:rPr>
        <w:t>…</w:t>
      </w:r>
      <w:r>
        <w:rPr>
          <w:rFonts w:hint="eastAsia" w:ascii="宋体" w:hAnsi="宋体" w:cs="宋体"/>
          <w:sz w:val="24"/>
          <w:highlight w:val="none"/>
        </w:rPr>
        <w:t>（以下简称“乙方”）就</w:t>
      </w:r>
      <w:r>
        <w:rPr>
          <w:rFonts w:hint="eastAsia" w:ascii="宋体" w:hAnsi="宋体" w:cs="宋体"/>
          <w:sz w:val="24"/>
          <w:highlight w:val="none"/>
          <w:u w:val="single"/>
        </w:rPr>
        <w:t>广州净水公司2023年污水处理厂功率因素提升项目</w:t>
      </w:r>
      <w:r>
        <w:rPr>
          <w:rFonts w:hint="eastAsia" w:ascii="宋体" w:hAnsi="宋体" w:cs="宋体"/>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w:t>
      </w:r>
      <w:r>
        <w:rPr>
          <w:rFonts w:hint="eastAsia" w:ascii="宋体" w:hAnsi="宋体" w:cs="宋体"/>
          <w:bCs/>
          <w:sz w:val="24"/>
          <w:highlight w:val="none"/>
          <w:lang w:val="en-US" w:eastAsia="zh-CN"/>
        </w:rPr>
        <w:t>成交通知书/</w:t>
      </w:r>
      <w:r>
        <w:rPr>
          <w:rFonts w:hint="eastAsia" w:ascii="宋体" w:hAnsi="宋体" w:cs="宋体"/>
          <w:bCs/>
          <w:sz w:val="24"/>
          <w:highlight w:val="none"/>
        </w:rPr>
        <w:t>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广州净水公司2023年污水处理厂功率因素提升项目</w:t>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highlight w:val="none"/>
          <w:lang w:val="en-US" w:eastAsia="zh-CN"/>
        </w:rPr>
        <w:t>2.2项目地点：</w:t>
      </w:r>
      <w:r>
        <w:rPr>
          <w:rFonts w:hint="eastAsia" w:ascii="宋体" w:hAnsi="宋体" w:eastAsia="宋体" w:cs="宋体"/>
          <w:sz w:val="24"/>
          <w:highlight w:val="none"/>
          <w:u w:val="single"/>
          <w:lang w:val="en-US" w:eastAsia="zh-CN"/>
        </w:rPr>
        <w:t>大坦沙分公司、猎德分公司、京溪分公司、龙归分公司、竹料分公司、石井分公司、石井净水分公司</w:t>
      </w:r>
    </w:p>
    <w:p>
      <w:pPr>
        <w:pStyle w:val="23"/>
        <w:ind w:left="0" w:leftChars="0"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2.3项目内容：</w:t>
      </w:r>
    </w:p>
    <w:p>
      <w:pPr>
        <w:pStyle w:val="23"/>
        <w:ind w:left="0" w:leftChars="0" w:firstLine="480" w:firstLineChars="200"/>
        <w:rPr>
          <w:rFonts w:hint="default" w:eastAsia="宋体" w:cs="宋体"/>
          <w:color w:val="auto"/>
          <w:kern w:val="2"/>
          <w:sz w:val="24"/>
          <w:szCs w:val="22"/>
          <w:highlight w:val="none"/>
          <w:lang w:val="en-US" w:eastAsia="zh-CN" w:bidi="ar-SA"/>
        </w:rPr>
      </w:pPr>
      <w:r>
        <w:rPr>
          <w:rFonts w:hint="default" w:eastAsia="宋体" w:cs="宋体"/>
          <w:color w:val="auto"/>
          <w:kern w:val="2"/>
          <w:sz w:val="24"/>
          <w:szCs w:val="22"/>
          <w:highlight w:val="none"/>
          <w:lang w:val="en-US" w:eastAsia="zh-CN" w:bidi="ar-SA"/>
        </w:rPr>
        <w:t>对广州净水公司属下污水处理厂功率因素进行提升。主要涉及大坦沙分公司、猎德分公司、京溪分公司、龙归分公司、竹料分公司、石井分公司、石井净水分公司七个厂区。</w:t>
      </w:r>
      <w:r>
        <w:rPr>
          <w:rFonts w:hint="eastAsia" w:eastAsia="宋体" w:cs="宋体"/>
          <w:color w:val="auto"/>
          <w:kern w:val="2"/>
          <w:sz w:val="24"/>
          <w:szCs w:val="22"/>
          <w:highlight w:val="none"/>
          <w:lang w:val="en-US" w:eastAsia="zh-CN" w:bidi="ar-SA"/>
        </w:rPr>
        <w:t>（具体实施内容详见技术需求书及附件工程量清单）</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ascii="宋体" w:hAnsi="宋体" w:cs="宋体"/>
          <w:szCs w:val="21"/>
          <w:highlight w:val="none"/>
        </w:rPr>
        <w:t xml:space="preserve"> </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sym w:font="Wingdings 2" w:char="00A3"/>
      </w:r>
      <w:r>
        <w:rPr>
          <w:rFonts w:ascii="宋体" w:hAnsi="宋体" w:cs="宋体"/>
          <w:szCs w:val="21"/>
          <w:highlight w:val="none"/>
        </w:rPr>
        <w:t xml:space="preserve"> </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详见附件4</w:t>
      </w:r>
      <w:r>
        <w:rPr>
          <w:rFonts w:hint="eastAsia" w:ascii="宋体" w:hAnsi="宋体" w:cs="宋体"/>
          <w:sz w:val="24"/>
          <w:highlight w:val="none"/>
        </w:rPr>
        <w:t>。</w:t>
      </w:r>
    </w:p>
    <w:p>
      <w:pPr>
        <w:tabs>
          <w:tab w:val="left" w:pos="0"/>
        </w:tabs>
        <w:adjustRightInd w:val="0"/>
        <w:snapToGrid w:val="0"/>
        <w:spacing w:line="360" w:lineRule="auto"/>
        <w:ind w:firstLine="480" w:firstLineChars="200"/>
        <w:jc w:val="left"/>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13</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val="0"/>
          <w:color w:val="auto"/>
          <w:sz w:val="24"/>
          <w:szCs w:val="24"/>
          <w:highlight w:val="none"/>
          <w:lang w:val="en-US" w:eastAsia="zh-CN"/>
        </w:rPr>
        <w:t>因非乙方原因</w:t>
      </w:r>
      <w:r>
        <w:rPr>
          <w:rFonts w:hint="eastAsia" w:ascii="宋体" w:hAnsi="宋体" w:eastAsia="宋体" w:cs="宋体"/>
          <w:bCs w:val="0"/>
          <w:sz w:val="24"/>
          <w:szCs w:val="24"/>
          <w:highlight w:val="none"/>
          <w:lang w:val="en-US" w:eastAsia="zh-CN"/>
        </w:rPr>
        <w:t>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spacing w:line="360" w:lineRule="auto"/>
        <w:rPr>
          <w:rFonts w:hint="default" w:eastAsia="宋体"/>
          <w:highlight w:val="none"/>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highlight w:val="none"/>
        </w:rPr>
        <w:t>（4）通过市场询价双方协商确定。</w:t>
      </w:r>
    </w:p>
    <w:p>
      <w:pPr>
        <w:spacing w:line="360" w:lineRule="auto"/>
        <w:rPr>
          <w:rFonts w:hint="eastAsia" w:ascii="宋体" w:hAnsi="宋体" w:cs="宋体"/>
          <w:b/>
          <w:bCs/>
          <w:sz w:val="24"/>
          <w:highlight w:val="none"/>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w:t>
      </w:r>
      <w:r>
        <w:rPr>
          <w:rFonts w:hint="eastAsia" w:ascii="宋体" w:hAnsi="宋体" w:cs="宋体"/>
          <w:sz w:val="24"/>
          <w:highlight w:val="none"/>
          <w:u w:val="single"/>
          <w:lang w:val="en-US" w:eastAsia="zh-CN"/>
        </w:rPr>
        <w:t>如下表</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15 </w:t>
      </w:r>
      <w:r>
        <w:rPr>
          <w:rFonts w:hint="eastAsia" w:ascii="宋体" w:hAnsi="宋体" w:cs="宋体"/>
          <w:sz w:val="24"/>
          <w:highlight w:val="none"/>
        </w:rPr>
        <w:t>天</w:t>
      </w:r>
      <w:r>
        <w:rPr>
          <w:rFonts w:hint="eastAsia" w:ascii="宋体" w:hAnsi="宋体" w:cs="宋体"/>
          <w:sz w:val="24"/>
          <w:highlight w:val="none"/>
          <w:lang w:eastAsia="zh-CN"/>
        </w:rPr>
        <w:t>（</w:t>
      </w:r>
      <w:r>
        <w:rPr>
          <w:rFonts w:hint="eastAsia" w:ascii="宋体" w:hAnsi="宋体" w:cs="宋体"/>
          <w:sz w:val="24"/>
          <w:highlight w:val="none"/>
          <w:lang w:val="en-US" w:eastAsia="zh-CN"/>
        </w:rPr>
        <w:t>各项目工期如下表</w:t>
      </w:r>
      <w:r>
        <w:rPr>
          <w:rFonts w:hint="eastAsia" w:ascii="宋体" w:hAnsi="宋体" w:cs="宋体"/>
          <w:sz w:val="24"/>
          <w:highlight w:val="none"/>
          <w:lang w:eastAsia="zh-CN"/>
        </w:rPr>
        <w:t>）</w:t>
      </w:r>
      <w:r>
        <w:rPr>
          <w:rFonts w:hint="eastAsia" w:ascii="宋体" w:hAnsi="宋体" w:cs="宋体"/>
          <w:sz w:val="24"/>
          <w:highlight w:val="none"/>
        </w:rPr>
        <w:t>。乙方未能按合同工期竣工验收的，每逾期一天，甲方有权要求乙方按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20</w:t>
      </w:r>
      <w:r>
        <w:rPr>
          <w:rFonts w:ascii="宋体" w:hAnsi="宋体" w:cs="宋体"/>
          <w:sz w:val="24"/>
          <w:highlight w:val="none"/>
          <w:u w:val="single"/>
        </w:rPr>
        <w:t xml:space="preserve">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pStyle w:val="2"/>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4183"/>
        <w:gridCol w:w="2500"/>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序号</w:t>
            </w:r>
          </w:p>
        </w:tc>
        <w:tc>
          <w:tcPr>
            <w:tcW w:w="4183"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子项</w:t>
            </w:r>
          </w:p>
        </w:tc>
        <w:tc>
          <w:tcPr>
            <w:tcW w:w="2500"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暂定开工日期</w:t>
            </w:r>
          </w:p>
        </w:tc>
        <w:tc>
          <w:tcPr>
            <w:tcW w:w="1528"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1</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大坦沙分公司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u w:val="none"/>
                <w:vertAlign w:val="baseline"/>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2</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猎德分公司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vertAlign w:val="baseline"/>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3</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京溪分公司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vertAlign w:val="baseline"/>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4</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龙归分公司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vertAlign w:val="baseline"/>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5</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竹料分公司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6</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石井分公司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7</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石井净水分公司</w:t>
            </w:r>
            <w:r>
              <w:rPr>
                <w:rFonts w:hint="eastAsia" w:ascii="宋体" w:hAnsi="宋体" w:eastAsia="宋体" w:cs="宋体"/>
                <w:sz w:val="24"/>
                <w:szCs w:val="24"/>
                <w:vertAlign w:val="baseline"/>
                <w:lang w:val="en-US" w:eastAsia="zh-CN"/>
              </w:rPr>
              <w:t>项目</w:t>
            </w:r>
          </w:p>
        </w:tc>
        <w:tc>
          <w:tcPr>
            <w:tcW w:w="2500"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c>
          <w:tcPr>
            <w:tcW w:w="1528" w:type="dxa"/>
            <w:noWrap w:val="0"/>
            <w:vAlign w:val="center"/>
          </w:tcPr>
          <w:p>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eastAsia="宋体" w:cs="宋体"/>
                <w:color w:val="auto"/>
                <w:kern w:val="2"/>
                <w:sz w:val="24"/>
                <w:szCs w:val="24"/>
                <w:highlight w:val="none"/>
                <w:u w:val="none"/>
                <w:vertAlign w:val="baseline"/>
                <w:lang w:val="en-US" w:eastAsia="zh-CN" w:bidi="ar-SA"/>
              </w:rPr>
              <w:t>3天</w:t>
            </w:r>
          </w:p>
        </w:tc>
      </w:tr>
    </w:tbl>
    <w:p>
      <w:pPr>
        <w:widowControl/>
        <w:spacing w:line="384"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5.</w:t>
      </w:r>
      <w:r>
        <w:rPr>
          <w:rFonts w:ascii="宋体" w:hAnsi="宋体" w:cs="宋体"/>
          <w:bCs/>
          <w:sz w:val="24"/>
          <w:highlight w:val="none"/>
        </w:rPr>
        <w:t>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0"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30</w:t>
      </w:r>
      <w:r>
        <w:rPr>
          <w:rFonts w:ascii="宋体" w:hAnsi="宋体" w:cs="宋体"/>
          <w:bCs/>
          <w:sz w:val="24"/>
          <w:highlight w:val="none"/>
          <w:u w:val="single"/>
        </w:rPr>
        <w:t xml:space="preserve"> </w:t>
      </w:r>
      <w:r>
        <w:rPr>
          <w:rFonts w:hint="eastAsia" w:ascii="宋体" w:hAnsi="宋体" w:cs="宋体"/>
          <w:bCs/>
          <w:sz w:val="24"/>
          <w:highlight w:val="none"/>
        </w:rPr>
        <w:t>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w:t>
      </w:r>
      <w:r>
        <w:rPr>
          <w:rFonts w:ascii="宋体" w:hAnsi="宋体" w:cs="宋体"/>
          <w:bCs/>
          <w:sz w:val="24"/>
          <w:highlight w:val="none"/>
          <w:u w:val="none"/>
        </w:rPr>
        <w:t>_</w:t>
      </w:r>
      <w:r>
        <w:rPr>
          <w:rFonts w:hint="eastAsia" w:ascii="宋体" w:hAnsi="宋体" w:cs="宋体"/>
          <w:bCs/>
          <w:sz w:val="24"/>
          <w:highlight w:val="none"/>
          <w:u w:val="none"/>
          <w:lang w:val="en-US" w:eastAsia="zh-CN"/>
        </w:rPr>
        <w:t xml:space="preserve"> 20</w:t>
      </w:r>
      <w:r>
        <w:rPr>
          <w:rFonts w:ascii="宋体" w:hAnsi="宋体" w:cs="宋体"/>
          <w:bCs/>
          <w:sz w:val="24"/>
          <w:highlight w:val="none"/>
          <w:u w:val="none"/>
        </w:rPr>
        <w:t>_</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宋体" w:hAnsi="宋体" w:eastAsia="宋体"/>
          <w:bCs/>
          <w:sz w:val="24"/>
          <w:highlight w:val="none"/>
        </w:rPr>
        <w:t>（</w:t>
      </w:r>
      <w:r>
        <w:rPr>
          <w:rFonts w:hint="eastAsia" w:cs="宋体"/>
          <w:sz w:val="24"/>
          <w:highlight w:val="none"/>
        </w:rPr>
        <w:t>如合同另行约定违约责任，从其约定</w:t>
      </w:r>
      <w:r>
        <w:rPr>
          <w:rFonts w:hint="eastAsia" w:ascii="宋体" w:hAnsi="宋体" w:eastAsia="宋体"/>
          <w:bCs/>
          <w:sz w:val="24"/>
          <w:highlight w:val="none"/>
        </w:rPr>
        <w:t>）</w:t>
      </w:r>
      <w:r>
        <w:rPr>
          <w:rFonts w:ascii="宋体" w:hAnsi="宋体" w:cs="宋体"/>
          <w:bCs/>
          <w:sz w:val="24"/>
          <w:highlight w:val="none"/>
        </w:rPr>
        <w:t>。</w:t>
      </w:r>
    </w:p>
    <w:p>
      <w:pPr>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5.6乙方不得随意更换项目负责人及</w:t>
      </w:r>
      <w:r>
        <w:rPr>
          <w:rFonts w:hint="eastAsia" w:ascii="宋体" w:hAnsi="宋体" w:eastAsia="宋体" w:cs="宋体"/>
          <w:sz w:val="24"/>
          <w:szCs w:val="24"/>
          <w:highlight w:val="none"/>
          <w:lang w:val="en-US" w:eastAsia="zh-CN"/>
        </w:rPr>
        <w:t>附件5中的</w:t>
      </w:r>
      <w:r>
        <w:rPr>
          <w:rFonts w:hint="eastAsia" w:ascii="宋体" w:hAnsi="宋体" w:eastAsia="宋体" w:cs="宋体"/>
          <w:sz w:val="24"/>
          <w:szCs w:val="24"/>
          <w:highlight w:val="none"/>
        </w:rPr>
        <w:t>相关人员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人员名单应与乙方在响应文件中所载明的人员一致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，如确须更换，应提前征得甲方同意。如有违反，甲方有权解除合同并要求乙方支付</w:t>
      </w:r>
      <w:r>
        <w:rPr>
          <w:rFonts w:hint="eastAsia" w:ascii="宋体" w:hAnsi="宋体" w:eastAsia="宋体" w:cs="宋体"/>
          <w:sz w:val="24"/>
          <w:szCs w:val="24"/>
          <w:highlight w:val="none"/>
          <w:u w:val="single"/>
          <w:lang w:val="en-US" w:eastAsia="zh-CN"/>
        </w:rPr>
        <w:t>5000</w:t>
      </w:r>
      <w:r>
        <w:rPr>
          <w:rFonts w:hint="eastAsia" w:ascii="宋体" w:hAnsi="宋体" w:eastAsia="宋体" w:cs="宋体"/>
          <w:sz w:val="24"/>
          <w:szCs w:val="24"/>
          <w:highlight w:val="none"/>
          <w:u w:val="single"/>
        </w:rPr>
        <w:t>元/人次</w:t>
      </w:r>
      <w:r>
        <w:rPr>
          <w:rFonts w:hint="eastAsia" w:ascii="宋体" w:hAnsi="宋体" w:eastAsia="宋体" w:cs="宋体"/>
          <w:sz w:val="24"/>
          <w:szCs w:val="24"/>
          <w:highlight w:val="none"/>
        </w:rPr>
        <w:t>作为违约金，以及赔偿由此造成的一切损失(包含质量安全事故、工期延误、增加投资等)。</w:t>
      </w:r>
      <w:r>
        <w:rPr>
          <w:rFonts w:hint="eastAsia" w:ascii="宋体" w:hAnsi="宋体" w:eastAsia="宋体" w:cs="宋体"/>
          <w:sz w:val="24"/>
          <w:szCs w:val="24"/>
          <w:highlight w:val="none"/>
          <w:lang w:val="en-US" w:eastAsia="zh-CN"/>
        </w:rPr>
        <w:t xml:space="preserve"> </w:t>
      </w:r>
    </w:p>
    <w:p>
      <w:pPr>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5.7施工过程中，项目负责人应驻场管理，否则甲方有权要求乙方支付违约</w:t>
      </w:r>
      <w:r>
        <w:rPr>
          <w:rFonts w:hint="eastAsia" w:ascii="宋体" w:hAnsi="宋体" w:eastAsia="宋体" w:cs="宋体"/>
          <w:sz w:val="24"/>
          <w:szCs w:val="24"/>
          <w:highlight w:val="none"/>
          <w:u w:val="single"/>
          <w:lang w:val="en-US" w:eastAsia="zh-CN"/>
        </w:rPr>
        <w:t xml:space="preserve"> 1000元/天</w:t>
      </w:r>
      <w:r>
        <w:rPr>
          <w:rFonts w:hint="eastAsia" w:ascii="宋体" w:hAnsi="宋体" w:eastAsia="宋体" w:cs="宋体"/>
          <w:sz w:val="24"/>
          <w:szCs w:val="24"/>
          <w:highlight w:val="none"/>
          <w:lang w:val="en-US" w:eastAsia="zh-CN"/>
        </w:rPr>
        <w:t>，因此造成损失的，按实际发生额赔偿。</w:t>
      </w:r>
    </w:p>
    <w:p>
      <w:pPr>
        <w:pStyle w:val="2"/>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5.9在合同有效期内，乙方自愿接受甲方按《广州净水公司工程项目承包单位质量安全考评细则（试行）》处理，具体处理标准详见附件6。</w:t>
      </w:r>
    </w:p>
    <w:p>
      <w:pPr>
        <w:spacing w:line="384" w:lineRule="auto"/>
        <w:rPr>
          <w:rFonts w:ascii="宋体" w:hAnsi="宋体" w:cs="宋体"/>
          <w:b/>
          <w:sz w:val="24"/>
          <w:highlight w:val="none"/>
        </w:rPr>
      </w:pPr>
      <w:r>
        <w:rPr>
          <w:rFonts w:ascii="宋体" w:hAnsi="宋体" w:cs="宋体"/>
          <w:b/>
          <w:sz w:val="24"/>
          <w:highlight w:val="none"/>
        </w:rPr>
        <w:t xml:space="preserve">    </w:t>
      </w: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rPr>
        <w:t>）</w:t>
      </w:r>
      <w:r>
        <w:rPr>
          <w:rFonts w:hint="eastAsia" w:ascii="宋体" w:hAnsi="宋体" w:cs="宋体"/>
          <w:sz w:val="24"/>
          <w:highlight w:val="none"/>
        </w:rPr>
        <w:t>方式执行。</w:t>
      </w:r>
    </w:p>
    <w:p>
      <w:pPr>
        <w:spacing w:line="384" w:lineRule="auto"/>
        <w:ind w:firstLine="480" w:firstLineChars="200"/>
        <w:rPr>
          <w:color w:val="FF0000"/>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w:t>
      </w:r>
      <w:r>
        <w:rPr>
          <w:rFonts w:hint="eastAsia" w:ascii="宋体" w:hAnsi="宋体" w:cs="宋体"/>
          <w:sz w:val="24"/>
          <w:highlight w:val="none"/>
          <w:lang w:val="en-US" w:eastAsia="zh-CN"/>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w:t>
      </w:r>
      <w:r>
        <w:rPr>
          <w:rFonts w:ascii="宋体" w:hAnsi="宋体" w:cs="宋体"/>
          <w:sz w:val="24"/>
          <w:highlight w:val="none"/>
        </w:rPr>
        <w:t>0-1</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w:t>
      </w:r>
      <w:r>
        <w:rPr>
          <w:rFonts w:ascii="宋体" w:hAnsi="宋体" w:cs="宋体"/>
          <w:sz w:val="24"/>
          <w:highlight w:val="none"/>
        </w:rPr>
        <w:t>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384" w:lineRule="auto"/>
        <w:rPr>
          <w:rFonts w:hAnsi="宋体" w:cs="宋体"/>
          <w:b/>
          <w:bCs/>
          <w:sz w:val="24"/>
          <w:szCs w:val="24"/>
          <w:highlight w:val="none"/>
        </w:rPr>
      </w:pPr>
      <w:r>
        <w:rPr>
          <w:rFonts w:hAnsi="宋体" w:cs="宋体"/>
          <w:sz w:val="24"/>
          <w:szCs w:val="24"/>
          <w:highlight w:val="none"/>
        </w:rPr>
        <w:t xml:space="preserve">    </w:t>
      </w: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line="384" w:lineRule="auto"/>
        <w:ind w:firstLine="480" w:firstLineChars="200"/>
        <w:rPr>
          <w:rFonts w:hint="eastAsia" w:ascii="宋体" w:hAnsi="宋体" w:cs="宋体"/>
          <w:sz w:val="24"/>
          <w:highlight w:val="non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ascii="宋体" w:hAnsi="宋体" w:cs="宋体"/>
          <w:bCs/>
          <w:sz w:val="24"/>
          <w:highlight w:val="none"/>
        </w:rPr>
        <w:sym w:font="Wingdings" w:char="00A8"/>
      </w:r>
      <w:r>
        <w:rPr>
          <w:rFonts w:hint="eastAsia" w:ascii="宋体" w:hAnsi="宋体" w:cs="宋体"/>
          <w:bCs/>
          <w:sz w:val="24"/>
          <w:highlight w:val="none"/>
        </w:rPr>
        <w:t>合同签订后，乙方开具等额的增值税专用发票及提交</w:t>
      </w:r>
      <w:r>
        <w:rPr>
          <w:rFonts w:hint="eastAsia" w:ascii="宋体" w:hAnsi="宋体" w:cs="宋体"/>
          <w:bCs/>
          <w:sz w:val="24"/>
          <w:highlight w:val="none"/>
          <w:lang w:val="en-US" w:eastAsia="zh-CN"/>
        </w:rPr>
        <w:t>等额预付款</w:t>
      </w:r>
      <w:r>
        <w:rPr>
          <w:rFonts w:hint="eastAsia" w:ascii="宋体" w:hAnsi="宋体" w:cs="宋体"/>
          <w:bCs/>
          <w:sz w:val="24"/>
          <w:highlight w:val="none"/>
        </w:rPr>
        <w:t>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ascii="宋体" w:hAnsi="宋体" w:cs="宋体"/>
          <w:bCs/>
          <w:sz w:val="24"/>
          <w:highlight w:val="none"/>
          <w:u w:val="single"/>
        </w:rPr>
        <w:t>30%</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spacing w:line="384" w:lineRule="auto"/>
        <w:ind w:firstLine="420" w:firstLineChars="200"/>
      </w:pPr>
    </w:p>
    <w:p>
      <w:pPr>
        <w:pStyle w:val="13"/>
        <w:spacing w:line="384" w:lineRule="auto"/>
        <w:ind w:firstLine="480" w:firstLineChars="200"/>
        <w:outlineLvl w:val="1"/>
        <w:rPr>
          <w:rFonts w:hint="eastAsia" w:hAnsi="宋体" w:cs="宋体"/>
          <w:sz w:val="24"/>
          <w:szCs w:val="24"/>
          <w:highlight w:val="none"/>
          <w:u w:val="single"/>
        </w:rPr>
      </w:pPr>
      <w:r>
        <w:rPr>
          <w:rFonts w:hAnsi="宋体" w:cs="宋体"/>
          <w:sz w:val="24"/>
          <w:szCs w:val="24"/>
          <w:highlight w:val="none"/>
        </w:rPr>
        <w:t>8.2</w:t>
      </w:r>
      <w:r>
        <w:rPr>
          <w:rFonts w:hint="eastAsia" w:hAnsi="宋体" w:cs="宋体"/>
          <w:sz w:val="24"/>
          <w:szCs w:val="24"/>
          <w:highlight w:val="none"/>
          <w:u w:val="single"/>
          <w:lang w:val="en-US" w:eastAsia="zh-CN"/>
        </w:rPr>
        <w:t>各分公司项目验收合格后，由乙方提交申请支付资料 15 个工作日内，甲方各分公司支付至对应分项项目合同暂定总价的80％即      万元给乙方</w:t>
      </w:r>
      <w:r>
        <w:rPr>
          <w:rFonts w:hint="eastAsia" w:hAnsi="宋体" w:cs="宋体"/>
          <w:sz w:val="24"/>
          <w:szCs w:val="24"/>
          <w:highlight w:val="none"/>
          <w:u w:val="single"/>
        </w:rPr>
        <w:t>。</w:t>
      </w:r>
    </w:p>
    <w:p>
      <w:pPr>
        <w:tabs>
          <w:tab w:val="left" w:pos="0"/>
        </w:tabs>
        <w:adjustRightInd w:val="0"/>
        <w:snapToGrid w:val="0"/>
        <w:spacing w:line="360" w:lineRule="auto"/>
        <w:ind w:firstLine="480" w:firstLineChars="200"/>
        <w:jc w:val="left"/>
        <w:rPr>
          <w:color w:val="FF0000"/>
          <w:highlight w:val="none"/>
        </w:rPr>
      </w:pPr>
      <w:r>
        <w:rPr>
          <w:rFonts w:ascii="宋体" w:hAnsi="宋体" w:cs="宋体"/>
          <w:sz w:val="24"/>
          <w:highlight w:val="none"/>
        </w:rPr>
        <w:t>8.</w:t>
      </w:r>
      <w:r>
        <w:rPr>
          <w:rFonts w:hint="eastAsia" w:ascii="宋体" w:hAnsi="宋体" w:cs="宋体"/>
          <w:sz w:val="24"/>
          <w:highlight w:val="none"/>
          <w:lang w:val="en-US" w:eastAsia="zh-CN"/>
        </w:rPr>
        <w:t>3</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个工作日内，甲方各分公司支付至对应分项项目合同结算价的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4</w:t>
      </w:r>
      <w:r>
        <w:rPr>
          <w:rFonts w:hAnsi="宋体" w:cs="宋体"/>
          <w:sz w:val="24"/>
          <w:highlight w:val="none"/>
        </w:rPr>
        <w:t xml:space="preserve"> </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w:t>
      </w:r>
      <w:r>
        <w:rPr>
          <w:rFonts w:hint="eastAsia" w:hAnsi="宋体" w:cs="宋体"/>
          <w:sz w:val="24"/>
          <w:szCs w:val="24"/>
          <w:highlight w:val="none"/>
          <w:u w:val="single"/>
          <w:lang w:val="en-US" w:eastAsia="zh-CN"/>
        </w:rPr>
        <w:t>各分公司支付对应分项项目</w:t>
      </w:r>
      <w:r>
        <w:rPr>
          <w:rFonts w:hint="eastAsia" w:hAnsi="宋体" w:cs="宋体"/>
          <w:sz w:val="24"/>
          <w:highlight w:val="none"/>
        </w:rPr>
        <w:t>合同结算价的</w:t>
      </w:r>
      <w:r>
        <w:rPr>
          <w:rFonts w:hAnsi="宋体" w:cs="宋体"/>
          <w:sz w:val="24"/>
          <w:highlight w:val="none"/>
        </w:rPr>
        <w:t>5</w:t>
      </w:r>
      <w:r>
        <w:rPr>
          <w:rFonts w:hint="eastAsia" w:hAnsi="宋体" w:cs="宋体"/>
          <w:sz w:val="24"/>
          <w:highlight w:val="none"/>
        </w:rPr>
        <w:t>％（质保金）给乙方（无息）。</w:t>
      </w:r>
    </w:p>
    <w:p>
      <w:pPr>
        <w:pStyle w:val="13"/>
        <w:spacing w:line="384" w:lineRule="auto"/>
        <w:ind w:firstLine="480" w:firstLineChars="200"/>
        <w:outlineLvl w:val="1"/>
        <w:rPr>
          <w:rFonts w:hAnsi="宋体" w:eastAsia="宋体" w:cs="宋体"/>
          <w:sz w:val="24"/>
          <w:szCs w:val="24"/>
        </w:rPr>
      </w:pPr>
      <w:r>
        <w:rPr>
          <w:rFonts w:hint="eastAsia" w:hAnsi="宋体" w:cs="宋体"/>
          <w:sz w:val="24"/>
          <w:szCs w:val="24"/>
        </w:rPr>
        <w:t>8.</w:t>
      </w:r>
      <w:r>
        <w:rPr>
          <w:rFonts w:hint="eastAsia" w:hAnsi="宋体" w:cs="宋体"/>
          <w:sz w:val="24"/>
          <w:szCs w:val="24"/>
          <w:lang w:val="en-US" w:eastAsia="zh-CN"/>
        </w:rPr>
        <w:t>5</w:t>
      </w:r>
      <w:r>
        <w:rPr>
          <w:rFonts w:hint="eastAsia" w:hAnsi="宋体" w:cs="宋体"/>
          <w:sz w:val="24"/>
          <w:szCs w:val="24"/>
        </w:rPr>
        <w:t>本项目工程款的支付单位为：</w:t>
      </w:r>
      <w:r>
        <w:rPr>
          <w:rFonts w:hint="eastAsia" w:hAnsi="宋体" w:cs="宋体"/>
          <w:sz w:val="24"/>
          <w:szCs w:val="24"/>
          <w:u w:val="single"/>
        </w:rPr>
        <w:t xml:space="preserve"> 大坦沙分公司、猎德分公司、京溪分公司、龙归分公司、竹料分公司、石井分公司、石井净水分公司</w:t>
      </w:r>
    </w:p>
    <w:p>
      <w:pPr>
        <w:spacing w:line="384" w:lineRule="auto"/>
        <w:ind w:firstLine="480" w:firstLineChars="200"/>
        <w:rPr>
          <w:rFonts w:ascii="宋体" w:hAnsi="宋体" w:cs="宋体"/>
          <w:sz w:val="24"/>
          <w:u w:val="single"/>
        </w:rPr>
      </w:pPr>
      <w:r>
        <w:rPr>
          <w:rFonts w:ascii="宋体" w:hAnsi="宋体" w:cs="宋体"/>
          <w:sz w:val="24"/>
        </w:rPr>
        <w:t>8.</w:t>
      </w:r>
      <w:r>
        <w:rPr>
          <w:rFonts w:hint="eastAsia" w:ascii="宋体" w:hAnsi="宋体" w:cs="宋体"/>
          <w:sz w:val="24"/>
          <w:lang w:val="en-US" w:eastAsia="zh-CN"/>
        </w:rPr>
        <w:t>6</w:t>
      </w:r>
      <w:r>
        <w:rPr>
          <w:rFonts w:hint="eastAsia" w:ascii="宋体" w:hAnsi="宋体" w:cs="宋体"/>
          <w:sz w:val="24"/>
        </w:rPr>
        <w:t>乙方收款账户：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w:t>
      </w:r>
      <w:r>
        <w:rPr>
          <w:rFonts w:hint="eastAsia" w:ascii="宋体" w:hAnsi="宋体" w:cs="宋体"/>
          <w:sz w:val="24"/>
          <w:lang w:val="en-US" w:eastAsia="zh-CN"/>
        </w:rPr>
        <w:t>7</w:t>
      </w:r>
      <w:r>
        <w:rPr>
          <w:rFonts w:hint="eastAsia" w:ascii="宋体" w:hAnsi="宋体" w:cs="宋体"/>
          <w:sz w:val="24"/>
        </w:rPr>
        <w:t>乙方在收款前需提交等额增值税专用发票给甲方。增值税专用发票信息：</w:t>
      </w:r>
    </w:p>
    <w:p>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91440101755584729Q</w:t>
      </w:r>
    </w:p>
    <w:p>
      <w:pPr>
        <w:spacing w:line="52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地址及电话：</w:t>
      </w:r>
      <w:r>
        <w:rPr>
          <w:rFonts w:hint="eastAsia" w:ascii="宋体" w:hAnsi="宋体" w:cs="宋体"/>
          <w:color w:val="auto"/>
          <w:sz w:val="24"/>
          <w:highlight w:val="none"/>
          <w:u w:val="single"/>
        </w:rPr>
        <w:t>广州市天河区临江大道501号 020-38890283</w:t>
      </w:r>
      <w:r>
        <w:rPr>
          <w:rFonts w:hint="eastAsia" w:ascii="宋体" w:hAnsi="宋体" w:cs="宋体"/>
          <w:color w:val="auto"/>
          <w:sz w:val="24"/>
          <w:highlight w:val="none"/>
        </w:rPr>
        <w:t>；</w:t>
      </w:r>
    </w:p>
    <w:p>
      <w:pPr>
        <w:spacing w:line="384" w:lineRule="auto"/>
        <w:ind w:firstLine="480" w:firstLineChars="200"/>
        <w:outlineLvl w:val="0"/>
        <w:rPr>
          <w:rFonts w:ascii="宋体" w:hAnsi="宋体" w:cs="宋体"/>
          <w:sz w:val="24"/>
          <w:highlight w:val="none"/>
        </w:rPr>
      </w:pPr>
      <w:r>
        <w:rPr>
          <w:rFonts w:hint="eastAsia" w:ascii="宋体" w:hAnsi="宋体" w:cs="宋体"/>
          <w:color w:val="auto"/>
          <w:sz w:val="24"/>
          <w:highlight w:val="none"/>
        </w:rPr>
        <w:t>开户行/账号：</w:t>
      </w:r>
      <w:r>
        <w:rPr>
          <w:rFonts w:hint="eastAsia" w:ascii="宋体" w:hAnsi="宋体" w:cs="宋体"/>
          <w:color w:val="auto"/>
          <w:sz w:val="24"/>
          <w:highlight w:val="none"/>
          <w:u w:val="single"/>
        </w:rPr>
        <w:t>民生银行广州分行0301014140006932</w:t>
      </w:r>
      <w:r>
        <w:rPr>
          <w:rFonts w:hint="eastAsia" w:ascii="宋体" w:hAnsi="宋体" w:cs="宋体"/>
          <w:color w:val="auto"/>
          <w:sz w:val="24"/>
          <w:highlight w:val="none"/>
        </w:rPr>
        <w:t>。</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8</w:t>
      </w:r>
      <w:r>
        <w:rPr>
          <w:rFonts w:hint="eastAsia" w:ascii="宋体" w:hAnsi="宋体" w:cs="宋体"/>
          <w:sz w:val="24"/>
          <w:highlight w:val="none"/>
        </w:rPr>
        <w:t>履约担保：</w:t>
      </w:r>
      <w:r>
        <w:rPr>
          <w:rFonts w:hint="eastAsia" w:ascii="宋体" w:hAnsi="宋体" w:eastAsia="宋体" w:cs="宋体"/>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lang w:eastAsia="zh-CN"/>
        </w:rPr>
        <w:sym w:font="Wingdings 2" w:char="00A3"/>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384" w:lineRule="auto"/>
        <w:ind w:firstLine="480" w:firstLineChars="200"/>
        <w:rPr>
          <w:highlight w:val="none"/>
        </w:rPr>
      </w:pPr>
      <w:r>
        <w:rPr>
          <w:rFonts w:cs="宋体"/>
          <w:color w:val="auto"/>
          <w:highlight w:val="none"/>
        </w:rPr>
        <w:t>8.</w:t>
      </w:r>
      <w:r>
        <w:rPr>
          <w:rFonts w:hint="eastAsia" w:cs="宋体"/>
          <w:color w:val="auto"/>
          <w:highlight w:val="none"/>
          <w:lang w:val="en-US" w:eastAsia="zh-CN"/>
        </w:rPr>
        <w:t>8</w:t>
      </w:r>
      <w:r>
        <w:rPr>
          <w:rFonts w:cs="宋体"/>
          <w:color w:val="auto"/>
          <w:highlight w:val="none"/>
        </w:rPr>
        <w:t>.1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360" w:lineRule="auto"/>
        <w:ind w:firstLine="480"/>
        <w:rPr>
          <w:highlight w:val="none"/>
        </w:rPr>
      </w:pPr>
      <w:r>
        <w:rPr>
          <w:rFonts w:hint="eastAsia"/>
          <w:highlight w:val="none"/>
        </w:rPr>
        <w:t>（1）符合甲方要求的银行独立保函，</w:t>
      </w:r>
    </w:p>
    <w:p>
      <w:pPr>
        <w:pStyle w:val="22"/>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8</w:t>
      </w:r>
      <w:r>
        <w:rPr>
          <w:rFonts w:ascii="宋体" w:hAnsi="宋体" w:cs="宋体"/>
          <w:sz w:val="24"/>
          <w:highlight w:val="none"/>
        </w:rPr>
        <w:t>.2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⑵</w:t>
      </w:r>
      <w:r>
        <w:rPr>
          <w:rFonts w:ascii="宋体" w:hAnsi="宋体" w:cs="宋体"/>
          <w:sz w:val="24"/>
          <w:highlight w:val="none"/>
        </w:rPr>
        <w:t xml:space="preserve"> </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w:t>
      </w:r>
      <w:r>
        <w:rPr>
          <w:rFonts w:ascii="宋体" w:hAnsi="宋体" w:cs="宋体"/>
          <w:sz w:val="24"/>
          <w:highlight w:val="none"/>
        </w:rPr>
        <w:t xml:space="preserve"> </w:t>
      </w:r>
      <w:r>
        <w:rPr>
          <w:rFonts w:hint="eastAsia" w:ascii="宋体" w:hAnsi="宋体" w:cs="宋体"/>
          <w:sz w:val="24"/>
          <w:highlight w:val="none"/>
        </w:rPr>
        <w:t>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8</w:t>
      </w:r>
      <w:r>
        <w:rPr>
          <w:rFonts w:ascii="宋体" w:hAnsi="宋体" w:cs="宋体"/>
          <w:sz w:val="24"/>
          <w:highlight w:val="none"/>
        </w:rPr>
        <w:t>.3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highlight w:val="none"/>
          <w:bdr w:val="single" w:color="auto" w:sz="4" w:space="0"/>
        </w:rPr>
      </w:pPr>
      <w:r>
        <w:rPr>
          <w:rFonts w:hint="eastAsia" w:ascii="宋体" w:hAnsi="宋体" w:cs="宋体"/>
          <w:sz w:val="24"/>
          <w:highlight w:val="none"/>
        </w:rPr>
        <w:t>8.</w:t>
      </w:r>
      <w:r>
        <w:rPr>
          <w:rFonts w:hint="eastAsia" w:ascii="宋体" w:hAnsi="宋体" w:cs="宋体"/>
          <w:sz w:val="24"/>
          <w:highlight w:val="none"/>
          <w:lang w:val="en-US" w:eastAsia="zh-CN"/>
        </w:rPr>
        <w:t>9</w:t>
      </w:r>
      <w:r>
        <w:rPr>
          <w:rFonts w:hint="eastAsia" w:ascii="宋体" w:hAnsi="宋体" w:eastAsia="宋体" w:cs="宋体"/>
          <w:sz w:val="24"/>
          <w:highlight w:val="none"/>
        </w:rPr>
        <w:t xml:space="preserve">付款方式： </w:t>
      </w:r>
      <w:r>
        <w:rPr>
          <w:rFonts w:hint="eastAsia" w:ascii="宋体" w:hAnsi="宋体" w:eastAsia="宋体" w:cs="宋体"/>
          <w:sz w:val="24"/>
          <w:highlight w:val="none"/>
        </w:rPr>
        <w:sym w:font="Wingdings" w:char="00FE"/>
      </w:r>
      <w:r>
        <w:rPr>
          <w:rFonts w:hint="eastAsia" w:ascii="宋体" w:hAnsi="宋体" w:eastAsia="宋体" w:cs="宋体"/>
          <w:sz w:val="24"/>
          <w:highlight w:val="none"/>
        </w:rPr>
        <w:t xml:space="preserve">网银支付；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支票；   </w:t>
      </w:r>
      <w:r>
        <w:rPr>
          <w:rFonts w:hint="eastAsia" w:ascii="宋体" w:hAnsi="宋体" w:eastAsia="宋体" w:cs="宋体"/>
          <w:sz w:val="24"/>
          <w:highlight w:val="none"/>
        </w:rPr>
        <w:sym w:font="Wingdings" w:char="00A8"/>
      </w:r>
      <w:r>
        <w:rPr>
          <w:rFonts w:hint="eastAsia" w:ascii="宋体" w:hAnsi="宋体" w:eastAsia="宋体" w:cs="宋体"/>
          <w:sz w:val="24"/>
          <w:highlight w:val="none"/>
        </w:rPr>
        <w:t>其他：</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bdr w:val="single" w:color="auto" w:sz="4" w:space="0"/>
        </w:rPr>
        <w:t xml:space="preserve">     </w:t>
      </w:r>
      <w:r>
        <w:rPr>
          <w:rFonts w:hint="eastAsia" w:ascii="宋体" w:hAnsi="宋体" w:eastAsia="宋体" w:cs="宋体"/>
          <w:bCs/>
          <w:sz w:val="24"/>
          <w:highlight w:val="none"/>
          <w:bdr w:val="single" w:color="auto" w:sz="4" w:space="0"/>
        </w:rPr>
        <w:t xml:space="preserve"> </w:t>
      </w:r>
    </w:p>
    <w:p>
      <w:pPr>
        <w:pStyle w:val="14"/>
        <w:rPr>
          <w:rFonts w:hAnsi="Calibri" w:cs="宋体"/>
          <w:sz w:val="24"/>
          <w:szCs w:val="24"/>
          <w:highlight w:val="none"/>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pStyle w:val="23"/>
        <w:rPr>
          <w:rFonts w:ascii="宋体" w:hAnsi="宋体" w:cs="宋体"/>
          <w:sz w:val="24"/>
          <w:highlight w:val="none"/>
        </w:rPr>
      </w:pPr>
      <w:r>
        <w:rPr>
          <w:rFonts w:hint="eastAsia" w:ascii="宋体" w:hAnsi="宋体" w:eastAsia="宋体" w:cs="宋体"/>
          <w:color w:val="auto"/>
          <w:kern w:val="2"/>
          <w:sz w:val="24"/>
          <w:szCs w:val="22"/>
          <w:highlight w:val="none"/>
        </w:rPr>
        <w:t>电子版施工图和电子版竣工图的知识产权归属甲方所有，非经甲方许可，乙方不得以任何方式复制、备份、转让和利用。否则，由此引起的任何纠纷和责任由乙方承担。</w:t>
      </w:r>
      <w:r>
        <w:rPr>
          <w:rFonts w:hint="eastAsia" w:ascii="宋体" w:hAnsi="宋体" w:eastAsia="宋体" w:cs="宋体"/>
          <w:color w:val="auto"/>
          <w:kern w:val="2"/>
          <w:sz w:val="24"/>
          <w:szCs w:val="22"/>
          <w:highlight w:val="none"/>
          <w:lang w:val="en-US" w:eastAsia="zh-CN" w:bidi="ar-SA"/>
        </w:rPr>
        <w:t xml:space="preserve">  </w:t>
      </w:r>
    </w:p>
    <w:p>
      <w:pPr>
        <w:numPr>
          <w:ilvl w:val="0"/>
          <w:numId w:val="5"/>
        </w:numPr>
        <w:spacing w:before="120" w:after="156" w:afterLines="50"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ascii="宋体" w:hAnsi="宋体" w:cs="宋体"/>
          <w:kern w:val="0"/>
          <w:sz w:val="24"/>
          <w:highlight w:val="none"/>
          <w:u w:val="single"/>
          <w:lang w:val="zh-CN"/>
        </w:rPr>
        <w:t xml:space="preserve">   </w:t>
      </w:r>
      <w:r>
        <w:rPr>
          <w:rFonts w:hint="eastAsia" w:ascii="宋体" w:hAnsi="宋体" w:cs="宋体"/>
          <w:kern w:val="0"/>
          <w:sz w:val="24"/>
          <w:highlight w:val="none"/>
          <w:u w:val="single"/>
          <w:lang w:val="en-US" w:eastAsia="zh-CN"/>
        </w:rPr>
        <w:t>1</w:t>
      </w:r>
      <w:r>
        <w:rPr>
          <w:rFonts w:ascii="宋体" w:hAnsi="宋体" w:cs="宋体"/>
          <w:kern w:val="0"/>
          <w:sz w:val="24"/>
          <w:highlight w:val="none"/>
          <w:u w:val="single"/>
          <w:lang w:val="zh-CN"/>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且不得低于法定保修期限</w:t>
      </w:r>
      <w:r>
        <w:rPr>
          <w:rFonts w:hint="eastAsia" w:ascii="宋体" w:hAnsi="宋体" w:cs="宋体"/>
          <w:kern w:val="0"/>
          <w:sz w:val="24"/>
          <w:highlight w:val="none"/>
          <w:lang w:val="zh-CN"/>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10.3质量保修期期间，本项目的质量问题由乙方免费提供保修服务，乙方应在收到甲方通知后</w:t>
      </w:r>
      <w:r>
        <w:rPr>
          <w:rFonts w:hint="eastAsia" w:ascii="宋体" w:hAnsi="宋体" w:cs="宋体"/>
          <w:bCs/>
          <w:sz w:val="24"/>
          <w:highlight w:val="none"/>
          <w:u w:val="single"/>
          <w:lang w:val="en-US" w:eastAsia="zh-CN"/>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合同暂定总价的10%/次</w:t>
      </w:r>
      <w:r>
        <w:rPr>
          <w:rFonts w:hint="eastAsia" w:ascii="宋体" w:hAnsi="宋体" w:cs="宋体"/>
          <w:bCs/>
          <w:sz w:val="24"/>
          <w:highlight w:val="none"/>
        </w:rPr>
        <w:t>作为违约金。</w:t>
      </w:r>
    </w:p>
    <w:p>
      <w:pPr>
        <w:spacing w:before="156" w:beforeLines="50" w:after="156" w:afterLines="50" w:line="384" w:lineRule="auto"/>
        <w:ind w:firstLine="422" w:firstLineChars="175"/>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line="384" w:lineRule="auto"/>
        <w:ind w:firstLine="482"/>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份，其中：甲方</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份，乙方</w:t>
      </w:r>
      <w:r>
        <w:rPr>
          <w:rFonts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ascii="宋体" w:hAnsi="宋体" w:cs="宋体"/>
          <w:sz w:val="24"/>
          <w:highlight w:val="none"/>
          <w:u w:val="single"/>
        </w:rPr>
        <w:t xml:space="preserve"> </w:t>
      </w:r>
      <w:r>
        <w:rPr>
          <w:rFonts w:hint="eastAsia" w:ascii="宋体" w:hAnsi="宋体" w:cs="宋体"/>
          <w:sz w:val="24"/>
          <w:highlight w:val="none"/>
        </w:rPr>
        <w:t>份。</w:t>
      </w:r>
    </w:p>
    <w:p>
      <w:pPr>
        <w:spacing w:line="384" w:lineRule="auto"/>
        <w:ind w:firstLine="480"/>
        <w:rPr>
          <w:rFonts w:hint="eastAsia"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pStyle w:val="23"/>
        <w:ind w:left="0" w:leftChars="0" w:firstLine="0" w:firstLineChars="0"/>
        <w:rPr>
          <w:rFonts w:ascii="宋体" w:hAnsi="宋体" w:cs="Times New Roman"/>
          <w:sz w:val="24"/>
        </w:rPr>
      </w:pPr>
    </w:p>
    <w:p>
      <w:pPr>
        <w:pStyle w:val="23"/>
        <w:ind w:left="0" w:leftChars="0" w:firstLine="0" w:firstLineChars="0"/>
        <w:rPr>
          <w:rFonts w:ascii="宋体" w:hAnsi="宋体" w:cs="Times New Roman"/>
          <w:sz w:val="24"/>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成交</w:t>
      </w:r>
      <w:r>
        <w:rPr>
          <w:rFonts w:hint="eastAsia" w:ascii="宋体" w:hAnsi="宋体" w:cs="宋体"/>
          <w:sz w:val="24"/>
          <w:highlight w:val="none"/>
        </w:rPr>
        <w:t>通知书</w:t>
      </w:r>
    </w:p>
    <w:p>
      <w:pPr>
        <w:numPr>
          <w:ilvl w:val="0"/>
          <w:numId w:val="0"/>
        </w:numPr>
        <w:spacing w:line="46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84" w:lineRule="auto"/>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ascii="宋体" w:hAnsi="宋体" w:cs="宋体"/>
          <w:sz w:val="24"/>
          <w:highlight w:val="none"/>
        </w:rPr>
        <w:t>.</w:t>
      </w:r>
      <w:r>
        <w:rPr>
          <w:rFonts w:hint="eastAsia" w:ascii="宋体" w:hAnsi="宋体" w:cs="宋体"/>
          <w:sz w:val="24"/>
          <w:highlight w:val="none"/>
          <w:lang w:val="en-US" w:eastAsia="zh-CN"/>
        </w:rPr>
        <w:t>营运场所施工安全协议书</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 xml:space="preserve"> 4</w:t>
      </w:r>
      <w:r>
        <w:rPr>
          <w:rFonts w:ascii="宋体" w:hAnsi="宋体" w:cs="宋体"/>
          <w:sz w:val="24"/>
          <w:highlight w:val="none"/>
        </w:rPr>
        <w:t>.</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 xml:space="preserve"> 5</w:t>
      </w:r>
      <w:r>
        <w:rPr>
          <w:rFonts w:ascii="宋体" w:hAnsi="宋体" w:cs="宋体"/>
          <w:sz w:val="24"/>
          <w:highlight w:val="none"/>
        </w:rPr>
        <w:t>.</w:t>
      </w:r>
      <w:r>
        <w:rPr>
          <w:rFonts w:hint="eastAsia" w:ascii="宋体" w:hAnsi="宋体" w:cs="宋体"/>
          <w:sz w:val="24"/>
          <w:highlight w:val="none"/>
        </w:rPr>
        <w:t>项目投入人员架构表</w:t>
      </w:r>
    </w:p>
    <w:p>
      <w:pPr>
        <w:spacing w:line="384" w:lineRule="auto"/>
        <w:rPr>
          <w:rFonts w:ascii="宋体" w:hAnsi="宋体" w:cs="宋体"/>
          <w:sz w:val="24"/>
          <w:highlight w:val="none"/>
        </w:rPr>
      </w:pPr>
      <w:r>
        <w:rPr>
          <w:rFonts w:hint="eastAsia" w:ascii="宋体" w:hAnsi="宋体" w:cs="宋体"/>
          <w:sz w:val="24"/>
          <w:highlight w:val="none"/>
          <w:lang w:val="en-US" w:eastAsia="zh-CN"/>
        </w:rPr>
        <w:t xml:space="preserve">      6.</w:t>
      </w:r>
      <w:r>
        <w:rPr>
          <w:rFonts w:hint="eastAsia" w:ascii="宋体" w:hAnsi="宋体" w:eastAsia="宋体" w:cs="宋体"/>
          <w:color w:val="000000"/>
          <w:sz w:val="24"/>
          <w:szCs w:val="24"/>
          <w:highlight w:val="none"/>
          <w:lang w:val="en-US" w:eastAsia="zh-CN"/>
        </w:rPr>
        <w:t>营运项目承包单位日常履约考评参照表（安全）、营运项目承包单位综合履约考评表（安全）</w:t>
      </w:r>
      <w:r>
        <w:rPr>
          <w:rFonts w:ascii="宋体" w:hAnsi="宋体" w:cs="宋体"/>
          <w:sz w:val="24"/>
          <w:highlight w:val="none"/>
        </w:rPr>
        <w:t xml:space="preserve"> </w:t>
      </w:r>
    </w:p>
    <w:p>
      <w:pPr>
        <w:pStyle w:val="23"/>
        <w:ind w:left="0" w:leftChars="0" w:firstLine="480" w:firstLineChars="200"/>
        <w:rPr>
          <w:rFonts w:hint="default" w:ascii="宋体" w:hAnsi="宋体" w:eastAsia="宋体" w:cs="宋体"/>
          <w:color w:val="auto"/>
          <w:sz w:val="24"/>
          <w:szCs w:val="22"/>
          <w:highlight w:val="none"/>
          <w:lang w:val="en-US" w:eastAsia="zh-CN"/>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w:t>
      </w:r>
      <w:r>
        <w:rPr>
          <w:rFonts w:hint="eastAsia" w:ascii="宋体" w:hAnsi="宋体" w:cs="宋体"/>
          <w:sz w:val="24"/>
          <w:highlight w:val="none"/>
          <w:lang w:val="en-US" w:eastAsia="zh-CN"/>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w:t>
      </w:r>
      <w:r>
        <w:rPr>
          <w:rFonts w:hint="eastAsia" w:ascii="宋体" w:hAnsi="宋体" w:cs="宋体"/>
          <w:sz w:val="24"/>
          <w:highlight w:val="none"/>
          <w:lang w:val="en-US" w:eastAsia="zh-CN"/>
        </w:rPr>
        <w:t>人</w:t>
      </w:r>
      <w:r>
        <w:rPr>
          <w:rFonts w:hint="eastAsia" w:ascii="宋体" w:hAnsi="宋体" w:cs="宋体"/>
          <w:sz w:val="24"/>
          <w:highlight w:val="none"/>
        </w:rPr>
        <w:t>或</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hint="eastAsia" w:ascii="宋体" w:hAnsi="宋体" w:cs="宋体"/>
          <w:sz w:val="24"/>
          <w:highlight w:val="none"/>
          <w:lang w:val="en-US" w:eastAsia="zh-CN"/>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w:t>
      </w:r>
      <w:r>
        <w:rPr>
          <w:rFonts w:hint="eastAsia" w:ascii="宋体" w:hAnsi="宋体" w:cs="宋体"/>
          <w:sz w:val="24"/>
          <w:highlight w:val="none"/>
          <w:lang w:val="en-US" w:eastAsia="zh-CN"/>
        </w:rPr>
        <w:t xml:space="preserve">                                    </w:t>
      </w:r>
      <w:r>
        <w:rPr>
          <w:rFonts w:hint="eastAsia" w:ascii="宋体" w:hAnsi="宋体" w:cs="宋体"/>
          <w:sz w:val="24"/>
          <w:highlight w:val="none"/>
        </w:rPr>
        <w:t>传真：</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pPr>
        <w:pStyle w:val="6"/>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成交</w:t>
      </w:r>
      <w:r>
        <w:rPr>
          <w:rFonts w:hint="eastAsia" w:ascii="宋体" w:hAnsi="宋体" w:cs="宋体"/>
          <w:b/>
          <w:bCs/>
          <w:szCs w:val="21"/>
          <w:highlight w:val="none"/>
        </w:rPr>
        <w:t>通知书</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pStyle w:val="23"/>
        <w:rPr>
          <w:rFonts w:hint="eastAsia" w:ascii="仿宋_GB2312" w:hAnsi="仿宋_GB2312" w:eastAsia="仿宋_GB2312" w:cs="仿宋_GB2312"/>
          <w:b w:val="0"/>
          <w:bCs/>
          <w:color w:val="auto"/>
          <w:sz w:val="28"/>
          <w:szCs w:val="28"/>
          <w:highlight w:val="none"/>
        </w:rPr>
      </w:pPr>
    </w:p>
    <w:p>
      <w:pPr>
        <w:pStyle w:val="23"/>
        <w:rPr>
          <w:rFonts w:hint="eastAsia" w:ascii="仿宋_GB2312" w:hAnsi="仿宋_GB2312" w:eastAsia="仿宋_GB2312" w:cs="仿宋_GB2312"/>
          <w:b w:val="0"/>
          <w:bCs/>
          <w:color w:val="auto"/>
          <w:sz w:val="28"/>
          <w:szCs w:val="28"/>
          <w:highlight w:val="none"/>
        </w:rPr>
      </w:pPr>
    </w:p>
    <w:p>
      <w:pPr>
        <w:pStyle w:val="23"/>
        <w:ind w:firstLine="0"/>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7"/>
          <w:rFonts w:ascii="宋体" w:hAnsi="宋体" w:eastAsia="宋体"/>
          <w:b w:val="0"/>
          <w:highlight w:val="none"/>
          <w:u w:val="single"/>
        </w:rPr>
      </w:pP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一、本协议与主合同的关系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本协议作为</w:t>
      </w:r>
      <w:r>
        <w:rPr>
          <w:rFonts w:hint="eastAsia" w:ascii="宋体" w:hAnsi="宋体" w:eastAsia="宋体"/>
          <w:sz w:val="24"/>
          <w:highlight w:val="none"/>
          <w:u w:val="single"/>
        </w:rPr>
        <w:t xml:space="preserve">                          </w:t>
      </w:r>
      <w:r>
        <w:rPr>
          <w:rFonts w:hint="eastAsia" w:ascii="宋体" w:hAnsi="宋体" w:eastAsia="宋体"/>
          <w:sz w:val="24"/>
          <w:highlight w:val="none"/>
        </w:rPr>
        <w:t>的组成部分，与主合同具有同等法律效力。</w:t>
      </w:r>
    </w:p>
    <w:p>
      <w:pPr>
        <w:adjustRightInd w:val="0"/>
        <w:snapToGrid w:val="0"/>
        <w:spacing w:line="560" w:lineRule="exact"/>
        <w:ind w:firstLine="482" w:firstLineChars="200"/>
        <w:jc w:val="left"/>
        <w:rPr>
          <w:rFonts w:ascii="宋体" w:hAnsi="宋体" w:eastAsia="宋体"/>
          <w:b/>
          <w:sz w:val="24"/>
          <w:highlight w:val="none"/>
        </w:rPr>
      </w:pPr>
      <w:r>
        <w:rPr>
          <w:rFonts w:ascii="宋体" w:hAnsi="宋体" w:eastAsia="宋体"/>
          <w:b/>
          <w:sz w:val="24"/>
          <w:highlight w:val="none"/>
        </w:rPr>
        <w:t xml:space="preserve"> 二、</w:t>
      </w:r>
      <w:r>
        <w:rPr>
          <w:rFonts w:hint="eastAsia" w:ascii="宋体" w:hAnsi="宋体" w:eastAsia="宋体"/>
          <w:b/>
          <w:sz w:val="24"/>
          <w:highlight w:val="none"/>
        </w:rPr>
        <w:t>甲方权责</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（三）要求乙方遵守的甲方安全管理要求。</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按主合同相关条款进行经济扣罚；</w:t>
      </w:r>
    </w:p>
    <w:p>
      <w:pPr>
        <w:adjustRightInd w:val="0"/>
        <w:snapToGrid w:val="0"/>
        <w:spacing w:line="560" w:lineRule="exact"/>
        <w:ind w:firstLine="480" w:firstLineChars="200"/>
        <w:jc w:val="left"/>
        <w:rPr>
          <w:rFonts w:ascii="宋体" w:hAnsi="宋体" w:eastAsia="宋体"/>
          <w:sz w:val="24"/>
          <w:highlight w:val="none"/>
        </w:rPr>
      </w:pPr>
      <w:r>
        <w:rPr>
          <w:rFonts w:ascii="宋体" w:hAnsi="宋体" w:eastAsia="宋体"/>
          <w:sz w:val="24"/>
          <w:highlight w:val="none"/>
        </w:rPr>
        <w:t>2.</w:t>
      </w:r>
      <w:r>
        <w:rPr>
          <w:rFonts w:hint="eastAsia" w:ascii="宋体" w:hAnsi="宋体" w:eastAsia="宋体"/>
          <w:sz w:val="24"/>
          <w:highlight w:val="none"/>
        </w:rPr>
        <w:t>根据《广州市水务局关于印发广州市水务工程施工和监理企业诚信评价管理办法的通知》（穗水建设〔2</w:t>
      </w:r>
      <w:r>
        <w:rPr>
          <w:rFonts w:ascii="宋体" w:hAnsi="宋体" w:eastAsia="宋体"/>
          <w:sz w:val="24"/>
          <w:highlight w:val="none"/>
        </w:rPr>
        <w:t>014</w:t>
      </w:r>
      <w:r>
        <w:rPr>
          <w:rFonts w:hint="eastAsia" w:ascii="宋体" w:hAnsi="宋体" w:eastAsia="宋体"/>
          <w:sz w:val="24"/>
          <w:highlight w:val="none"/>
        </w:rPr>
        <w:t>〕1</w:t>
      </w:r>
      <w:r>
        <w:rPr>
          <w:rFonts w:ascii="宋体" w:hAnsi="宋体" w:eastAsia="宋体"/>
          <w:sz w:val="24"/>
          <w:highlight w:val="none"/>
        </w:rPr>
        <w:t>0</w:t>
      </w:r>
      <w:r>
        <w:rPr>
          <w:rFonts w:hint="eastAsia" w:ascii="宋体" w:hAnsi="宋体" w:eastAsia="宋体"/>
          <w:sz w:val="24"/>
          <w:highlight w:val="none"/>
        </w:rPr>
        <w:t>号）、《市净水公司关于印发施工和监理企业诚信评价工作实施办法的通知》（穗净水〔201</w:t>
      </w:r>
      <w:r>
        <w:rPr>
          <w:rFonts w:ascii="宋体" w:hAnsi="宋体" w:eastAsia="宋体"/>
          <w:sz w:val="24"/>
          <w:highlight w:val="none"/>
        </w:rPr>
        <w:t>5</w:t>
      </w:r>
      <w:r>
        <w:rPr>
          <w:rFonts w:hint="eastAsia" w:ascii="宋体" w:hAnsi="宋体" w:eastAsia="宋体"/>
          <w:sz w:val="24"/>
          <w:highlight w:val="none"/>
        </w:rPr>
        <w:t>〕2</w:t>
      </w:r>
      <w:r>
        <w:rPr>
          <w:rFonts w:ascii="宋体" w:hAnsi="宋体" w:eastAsia="宋体"/>
          <w:sz w:val="24"/>
          <w:highlight w:val="none"/>
        </w:rPr>
        <w:t>40</w:t>
      </w:r>
      <w:r>
        <w:rPr>
          <w:rFonts w:hint="eastAsia" w:ascii="宋体" w:hAnsi="宋体" w:eastAsia="宋体"/>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w:t>
      </w:r>
      <w:r>
        <w:rPr>
          <w:rFonts w:hint="eastAsia" w:ascii="宋体" w:hAnsi="宋体" w:eastAsia="宋体"/>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三、乙方权责</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（三）乙方应在合同签订后</w:t>
      </w:r>
      <w:r>
        <w:rPr>
          <w:rFonts w:ascii="宋体" w:hAnsi="宋体" w:eastAsia="宋体"/>
          <w:sz w:val="24"/>
          <w:highlight w:val="none"/>
          <w:u w:val="single"/>
        </w:rPr>
        <w:t xml:space="preserve">  </w:t>
      </w:r>
      <w:r>
        <w:rPr>
          <w:rFonts w:hint="eastAsia" w:ascii="宋体" w:hAnsi="宋体" w:eastAsia="宋体"/>
          <w:sz w:val="24"/>
          <w:highlight w:val="none"/>
          <w:u w:val="single"/>
          <w:lang w:val="en-US" w:eastAsia="zh-CN"/>
        </w:rPr>
        <w:t>30</w:t>
      </w:r>
      <w:r>
        <w:rPr>
          <w:rFonts w:ascii="宋体" w:hAnsi="宋体" w:eastAsia="宋体"/>
          <w:sz w:val="24"/>
          <w:highlight w:val="none"/>
          <w:u w:val="single"/>
        </w:rPr>
        <w:t xml:space="preserve">  </w:t>
      </w:r>
      <w:r>
        <w:rPr>
          <w:rFonts w:hint="eastAsia" w:ascii="宋体" w:hAnsi="宋体" w:eastAsia="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四、事故责任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highlight w:val="none"/>
        </w:rPr>
      </w:pPr>
      <w:r>
        <w:rPr>
          <w:rFonts w:hint="eastAsia" w:ascii="宋体" w:hAnsi="宋体" w:eastAsia="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sz w:val="24"/>
          <w:highlight w:val="none"/>
        </w:rPr>
      </w:pPr>
      <w:r>
        <w:rPr>
          <w:rFonts w:hint="eastAsia" w:ascii="宋体" w:hAnsi="宋体" w:eastAsia="宋体"/>
          <w:b/>
          <w:sz w:val="24"/>
          <w:highlight w:val="none"/>
        </w:rPr>
        <w:t>五、补充条款：</w:t>
      </w:r>
      <w:r>
        <w:rPr>
          <w:rFonts w:ascii="宋体" w:hAnsi="宋体" w:eastAsia="宋体"/>
          <w:sz w:val="24"/>
          <w:highlight w:val="none"/>
          <w:u w:val="single"/>
        </w:rPr>
        <w:t xml:space="preserve">                 </w:t>
      </w:r>
      <w:r>
        <w:rPr>
          <w:rFonts w:hint="eastAsia" w:ascii="宋体" w:hAnsi="宋体" w:eastAsia="宋体"/>
          <w:sz w:val="24"/>
          <w:highlight w:val="none"/>
        </w:rPr>
        <w:t>。</w:t>
      </w:r>
    </w:p>
    <w:p>
      <w:pPr>
        <w:adjustRightInd w:val="0"/>
        <w:snapToGrid w:val="0"/>
        <w:spacing w:line="560" w:lineRule="exact"/>
        <w:ind w:firstLine="482" w:firstLineChars="200"/>
        <w:jc w:val="left"/>
        <w:rPr>
          <w:rFonts w:ascii="宋体" w:hAnsi="宋体" w:eastAsia="宋体"/>
          <w:b/>
          <w:sz w:val="24"/>
          <w:highlight w:val="none"/>
        </w:rPr>
      </w:pPr>
      <w:r>
        <w:rPr>
          <w:rFonts w:hint="eastAsia" w:ascii="宋体" w:hAnsi="宋体" w:eastAsia="宋体"/>
          <w:b/>
          <w:sz w:val="24"/>
          <w:highlight w:val="none"/>
        </w:rPr>
        <w:t>六、附则</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甲方：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ind w:firstLine="240" w:firstLineChars="100"/>
              <w:jc w:val="right"/>
              <w:rPr>
                <w:rFonts w:ascii="宋体" w:hAnsi="宋体" w:eastAsia="宋体"/>
                <w:sz w:val="24"/>
                <w:highlight w:val="none"/>
              </w:rPr>
            </w:pP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日</w:t>
            </w:r>
          </w:p>
        </w:tc>
        <w:tc>
          <w:tcPr>
            <w:tcW w:w="4474" w:type="dxa"/>
            <w:noWrap w:val="0"/>
            <w:vAlign w:val="top"/>
          </w:tcPr>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乙方：</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签约代表：</w:t>
            </w:r>
          </w:p>
          <w:p>
            <w:pPr>
              <w:adjustRightInd w:val="0"/>
              <w:snapToGrid w:val="0"/>
              <w:spacing w:line="560" w:lineRule="exact"/>
              <w:rPr>
                <w:rFonts w:ascii="宋体" w:hAnsi="宋体" w:eastAsia="宋体"/>
                <w:sz w:val="24"/>
                <w:highlight w:val="none"/>
              </w:rPr>
            </w:pPr>
            <w:r>
              <w:rPr>
                <w:rFonts w:hint="eastAsia" w:ascii="宋体" w:hAnsi="宋体" w:eastAsia="宋体"/>
                <w:sz w:val="24"/>
                <w:highlight w:val="none"/>
              </w:rPr>
              <w:t>联系电话：</w:t>
            </w:r>
          </w:p>
          <w:p>
            <w:pPr>
              <w:adjustRightInd w:val="0"/>
              <w:snapToGrid w:val="0"/>
              <w:spacing w:line="560" w:lineRule="exact"/>
              <w:jc w:val="right"/>
              <w:rPr>
                <w:rFonts w:ascii="宋体" w:hAnsi="宋体" w:eastAsia="宋体"/>
                <w:sz w:val="24"/>
                <w:highlight w:val="none"/>
              </w:rPr>
            </w:pP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pStyle w:val="23"/>
        <w:ind w:left="0" w:leftChars="0" w:firstLine="480" w:firstLineChars="200"/>
        <w:rPr>
          <w:rFonts w:hint="default" w:eastAsia="宋体" w:cs="宋体"/>
          <w:color w:val="auto"/>
          <w:szCs w:val="22"/>
          <w:highlight w:val="none"/>
          <w:lang w:val="en-US" w:eastAsia="zh-CN"/>
        </w:rPr>
      </w:pPr>
    </w:p>
    <w:p>
      <w:pPr>
        <w:spacing w:line="360" w:lineRule="auto"/>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hint="eastAsia" w:ascii="宋体" w:hAnsi="宋体" w:cs="宋体"/>
          <w:b/>
          <w:bCs/>
          <w:szCs w:val="21"/>
          <w:highlight w:val="none"/>
          <w:lang w:val="en-US" w:eastAsia="zh-CN"/>
        </w:rPr>
        <w:t>工程量清单/报价</w:t>
      </w:r>
    </w:p>
    <w:p>
      <w:pPr>
        <w:pStyle w:val="23"/>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详见第七章工程量清单/报价</w:t>
      </w:r>
    </w:p>
    <w:p>
      <w:pPr>
        <w:pStyle w:val="23"/>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5</w:t>
      </w:r>
      <w:r>
        <w:rPr>
          <w:rFonts w:hint="eastAsia" w:ascii="宋体" w:hAnsi="宋体" w:cs="宋体"/>
          <w:b/>
          <w:bCs/>
          <w:szCs w:val="21"/>
          <w:highlight w:val="none"/>
        </w:rPr>
        <w:t xml:space="preserve"> ：项目投入人员架构表</w:t>
      </w:r>
      <w:r>
        <w:rPr>
          <w:rFonts w:hint="eastAsia" w:ascii="宋体" w:hAnsi="宋体" w:cs="宋体"/>
          <w:b/>
          <w:bCs/>
          <w:szCs w:val="21"/>
          <w:highlight w:val="none"/>
          <w:lang w:val="en-US" w:eastAsia="zh-CN"/>
        </w:rPr>
        <w:t>附件</w:t>
      </w:r>
    </w:p>
    <w:p>
      <w:pPr>
        <w:pStyle w:val="23"/>
        <w:rPr>
          <w:rFonts w:hint="eastAsia" w:ascii="宋体" w:hAnsi="宋体" w:eastAsia="宋体" w:cs="宋体"/>
          <w:color w:val="000000"/>
          <w:sz w:val="24"/>
          <w:szCs w:val="24"/>
          <w:highlight w:val="none"/>
          <w:lang w:val="en-US" w:eastAsia="zh-CN"/>
        </w:rPr>
      </w:pPr>
      <w:r>
        <w:rPr>
          <w:rFonts w:hint="eastAsia" w:cs="宋体"/>
          <w:b/>
          <w:bCs/>
          <w:szCs w:val="21"/>
          <w:highlight w:val="none"/>
          <w:lang w:val="en-US" w:eastAsia="zh-CN"/>
        </w:rPr>
        <w:t>附件</w:t>
      </w:r>
      <w:r>
        <w:rPr>
          <w:rFonts w:hint="eastAsia" w:ascii="宋体" w:hAnsi="宋体" w:cs="宋体"/>
          <w:b/>
          <w:bCs/>
          <w:szCs w:val="21"/>
          <w:highlight w:val="none"/>
          <w:lang w:val="en-US" w:eastAsia="zh-CN"/>
        </w:rPr>
        <w:t>6：营运项目承包单位日常履约考评参照表（安全）、营运项目承包单位综合履约考评表（安全）</w:t>
      </w:r>
      <w:r>
        <w:rPr>
          <w:rFonts w:hint="eastAsia" w:ascii="宋体" w:hAnsi="宋体" w:eastAsia="宋体" w:cs="宋体"/>
          <w:color w:val="000000"/>
          <w:sz w:val="24"/>
          <w:szCs w:val="24"/>
          <w:highlight w:val="none"/>
          <w:lang w:val="en-US" w:eastAsia="zh-CN"/>
        </w:rPr>
        <w:t>评表（安全）</w:t>
      </w:r>
    </w:p>
    <w:tbl>
      <w:tblPr>
        <w:tblStyle w:val="24"/>
        <w:tblW w:w="0" w:type="auto"/>
        <w:tblInd w:w="0" w:type="dxa"/>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rPr>
          <w:trHeight w:val="1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rPr>
          <w:trHeight w:val="7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rPr>
          <w:trHeight w:val="7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trPr>
        <w:tc>
          <w:tcPr>
            <w:tcW w:w="0" w:type="auto"/>
            <w:gridSpan w:val="8"/>
            <w:tcBorders>
              <w:top w:val="nil"/>
              <w:left w:val="nil"/>
              <w:bottom w:val="nil"/>
              <w:right w:val="nil"/>
            </w:tcBorders>
            <w:noWrap w:val="0"/>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3"/>
              <w:ind w:firstLine="1126"/>
              <w:rPr>
                <w:rFonts w:hint="default" w:eastAsia="仿宋_GB2312"/>
                <w:lang w:val="en-US" w:eastAsia="zh-CN"/>
              </w:rPr>
            </w:pPr>
          </w:p>
        </w:tc>
      </w:tr>
    </w:tbl>
    <w:p>
      <w:pPr>
        <w:pStyle w:val="23"/>
        <w:rPr>
          <w:rFonts w:hint="default" w:ascii="宋体" w:hAnsi="宋体" w:eastAsia="宋体" w:cs="宋体"/>
          <w:color w:val="000000"/>
          <w:sz w:val="24"/>
          <w:szCs w:val="24"/>
          <w:highlight w:val="none"/>
          <w:lang w:val="en-US" w:eastAsia="zh-CN"/>
        </w:rPr>
      </w:pPr>
    </w:p>
    <w:tbl>
      <w:tblPr>
        <w:tblStyle w:val="24"/>
        <w:tblW w:w="10161"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000000"/>
                <w:sz w:val="16"/>
                <w:szCs w:val="16"/>
                <w:lang w:eastAsia="zh-CN"/>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6"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49"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10161" w:type="dxa"/>
            <w:gridSpan w:val="10"/>
            <w:tcBorders>
              <w:top w:val="nil"/>
              <w:left w:val="nil"/>
              <w:bottom w:val="nil"/>
              <w:right w:val="nil"/>
            </w:tcBorders>
            <w:noWrap w:val="0"/>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p>
            <w:pPr>
              <w:pStyle w:val="23"/>
              <w:ind w:firstLine="1126"/>
            </w:pPr>
          </w:p>
        </w:tc>
      </w:tr>
    </w:tbl>
    <w:p>
      <w:pPr>
        <w:pStyle w:val="8"/>
        <w:rPr>
          <w:rFonts w:ascii="方正小标宋简体" w:eastAsia="方正小标宋简体"/>
          <w:color w:val="auto"/>
          <w:sz w:val="44"/>
          <w:szCs w:val="44"/>
          <w:highlight w:val="none"/>
        </w:rPr>
      </w:pPr>
    </w:p>
    <w:p>
      <w:pPr>
        <w:pStyle w:val="3"/>
        <w:rPr>
          <w:color w:val="auto"/>
          <w:highlight w:val="none"/>
        </w:rPr>
      </w:pPr>
      <w:bookmarkStart w:id="85" w:name="_Toc3723"/>
      <w:bookmarkStart w:id="86" w:name="_Toc8147"/>
      <w:bookmarkStart w:id="87" w:name="_Toc21847"/>
      <w:bookmarkStart w:id="88" w:name="_Toc6230"/>
      <w:bookmarkStart w:id="89" w:name="_Toc1563"/>
      <w:bookmarkStart w:id="90" w:name="_Toc5129"/>
      <w:bookmarkStart w:id="91" w:name="_Toc12169"/>
      <w:bookmarkStart w:id="92" w:name="_Toc23515"/>
      <w:bookmarkStart w:id="93" w:name="_Toc28358"/>
      <w:bookmarkStart w:id="94" w:name="_Toc16552"/>
      <w:bookmarkStart w:id="95"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
        <w:jc w:val="center"/>
        <w:rPr>
          <w:color w:val="auto"/>
          <w:highlight w:val="none"/>
        </w:rPr>
      </w:pPr>
      <w:bookmarkStart w:id="96" w:name="_Toc17119"/>
      <w:bookmarkStart w:id="97" w:name="_Toc21675"/>
      <w:bookmarkStart w:id="98" w:name="_Toc12610"/>
      <w:bookmarkStart w:id="99" w:name="_Toc10840"/>
      <w:bookmarkStart w:id="100" w:name="_Toc22764"/>
      <w:bookmarkStart w:id="101" w:name="_Toc24815"/>
      <w:bookmarkStart w:id="102" w:name="_Toc24490"/>
      <w:bookmarkStart w:id="103" w:name="_Toc87616388"/>
      <w:bookmarkStart w:id="104" w:name="_Toc30157"/>
      <w:bookmarkStart w:id="105" w:name="_Toc12769"/>
      <w:bookmarkStart w:id="106" w:name="_Toc5342"/>
      <w:bookmarkStart w:id="107" w:name="_Toc88209951"/>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7616394"/>
      <w:bookmarkStart w:id="116" w:name="_Toc12665"/>
      <w:bookmarkStart w:id="117" w:name="_Toc28619645"/>
      <w:bookmarkStart w:id="118" w:name="_Toc6313"/>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工程 □货物</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88209958"/>
      <w:bookmarkStart w:id="122" w:name="_Toc29833"/>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52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2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52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2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19830"/>
      <w:bookmarkStart w:id="126" w:name="_Toc8086"/>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 xml:space="preserve">广州净水公司2023年污水处理厂功率因素提升项目（项目编号：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6"/>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bookmarkStart w:id="131" w:name="_Toc88209965"/>
      <w:bookmarkStart w:id="132" w:name="_Toc16386"/>
      <w:bookmarkStart w:id="133" w:name="_Toc87616402"/>
      <w:bookmarkStart w:id="134" w:name="_Toc6058"/>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4183"/>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3"/>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b/>
                <w:bCs/>
                <w:color w:val="auto"/>
                <w:sz w:val="32"/>
                <w:szCs w:val="32"/>
                <w:highlight w:val="none"/>
                <w:u w:val="none"/>
                <w:vertAlign w:val="baseline"/>
                <w:lang w:val="en-US" w:eastAsia="zh-CN"/>
              </w:rPr>
              <w:t>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序号</w:t>
            </w:r>
          </w:p>
        </w:tc>
        <w:tc>
          <w:tcPr>
            <w:tcW w:w="4183"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子项</w:t>
            </w:r>
          </w:p>
        </w:tc>
        <w:tc>
          <w:tcPr>
            <w:tcW w:w="4024"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1</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大坦沙分公司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eastAsia" w:ascii="宋体" w:hAnsi="宋体" w:eastAsia="宋体" w:cs="宋体"/>
                <w:vertAlign w:val="baseline"/>
              </w:rPr>
            </w:pPr>
            <w:r>
              <w:rPr>
                <w:rFonts w:hint="eastAsia" w:ascii="宋体" w:hAnsi="宋体" w:eastAsia="宋体" w:cs="宋体"/>
                <w:color w:val="auto"/>
                <w:sz w:val="24"/>
                <w:szCs w:val="24"/>
                <w:highlight w:val="none"/>
                <w:u w:val="none"/>
                <w:vertAlign w:val="baseline"/>
                <w:lang w:val="en-US" w:eastAsia="zh-CN"/>
              </w:rPr>
              <w:t>2</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猎德分公司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3</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京溪分公司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4</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龙归分公司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5</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竹料分公司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6</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石井分公司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pPr>
              <w:adjustRightInd w:val="0"/>
              <w:snapToGrid w:val="0"/>
              <w:spacing w:line="600" w:lineRule="exact"/>
              <w:jc w:val="center"/>
              <w:rPr>
                <w:rFonts w:hint="default"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7</w:t>
            </w:r>
          </w:p>
        </w:tc>
        <w:tc>
          <w:tcPr>
            <w:tcW w:w="4183"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石井净水分公司</w:t>
            </w:r>
            <w:r>
              <w:rPr>
                <w:rFonts w:hint="eastAsia" w:ascii="宋体" w:hAnsi="宋体" w:eastAsia="宋体" w:cs="宋体"/>
                <w:sz w:val="24"/>
                <w:szCs w:val="24"/>
                <w:vertAlign w:val="baseline"/>
                <w:lang w:val="en-US" w:eastAsia="zh-CN"/>
              </w:rPr>
              <w:t>项目</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32" w:type="dxa"/>
            <w:gridSpan w:val="2"/>
            <w:noWrap w:val="0"/>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合计：</w:t>
            </w:r>
          </w:p>
        </w:tc>
        <w:tc>
          <w:tcPr>
            <w:tcW w:w="4024" w:type="dxa"/>
            <w:noWrap w:val="0"/>
            <w:vAlign w:val="center"/>
          </w:tcPr>
          <w:p>
            <w:pPr>
              <w:keepNext w:val="0"/>
              <w:keepLines w:val="0"/>
              <w:widowControl/>
              <w:suppressLineNumbers w:val="0"/>
              <w:jc w:val="center"/>
              <w:textAlignment w:val="center"/>
              <w:rPr>
                <w:rFonts w:hint="eastAsia" w:ascii="宋体" w:hAnsi="宋体" w:eastAsia="宋体" w:cs="宋体"/>
                <w:vertAlign w:val="baseline"/>
              </w:rPr>
            </w:pPr>
          </w:p>
        </w:tc>
      </w:tr>
    </w:tbl>
    <w:p>
      <w:pPr>
        <w:rPr>
          <w:rFonts w:hint="eastAsia" w:asciiTheme="minorEastAsia" w:hAnsiTheme="minorEastAsia" w:eastAsiaTheme="minorEastAsia"/>
          <w:color w:val="auto"/>
          <w:sz w:val="28"/>
          <w:szCs w:val="28"/>
          <w:highlight w:val="none"/>
        </w:rPr>
      </w:pPr>
    </w:p>
    <w:p>
      <w:pPr>
        <w:pStyle w:val="2"/>
        <w:rPr>
          <w:rFonts w:hint="eastAsia"/>
        </w:rPr>
      </w:pP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019"/>
        <w:gridCol w:w="606"/>
        <w:gridCol w:w="2491"/>
        <w:gridCol w:w="396"/>
        <w:gridCol w:w="428"/>
        <w:gridCol w:w="1089"/>
        <w:gridCol w:w="1092"/>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分公司</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变压器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产品名称</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规格型号</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单位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数量</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u w:val="none"/>
                <w:lang w:val="en-US" w:eastAsia="zh-CN" w:bidi="ar"/>
              </w:rPr>
            </w:pPr>
            <w:r>
              <w:rPr>
                <w:rFonts w:hint="eastAsia" w:ascii="微软雅黑" w:hAnsi="微软雅黑" w:eastAsia="微软雅黑" w:cs="微软雅黑"/>
                <w:b/>
                <w:bCs/>
                <w:i w:val="0"/>
                <w:iCs w:val="0"/>
                <w:color w:val="auto"/>
                <w:kern w:val="0"/>
                <w:sz w:val="18"/>
                <w:szCs w:val="18"/>
                <w:u w:val="none"/>
                <w:lang w:val="en-US" w:eastAsia="zh-CN" w:bidi="ar"/>
              </w:rPr>
              <w:t>单价（元）</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18"/>
                <w:szCs w:val="18"/>
                <w:u w:val="none"/>
                <w:lang w:val="en-US" w:eastAsia="zh-CN" w:bidi="ar"/>
              </w:rPr>
            </w:pPr>
            <w:r>
              <w:rPr>
                <w:rFonts w:hint="eastAsia" w:ascii="微软雅黑" w:hAnsi="微软雅黑" w:eastAsia="微软雅黑" w:cs="微软雅黑"/>
                <w:b/>
                <w:bCs/>
                <w:i w:val="0"/>
                <w:iCs w:val="0"/>
                <w:color w:val="auto"/>
                <w:kern w:val="0"/>
                <w:sz w:val="18"/>
                <w:szCs w:val="18"/>
                <w:u w:val="none"/>
                <w:lang w:val="en-US" w:eastAsia="zh-CN" w:bidi="ar"/>
              </w:rPr>
              <w:t>合价（元）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u w:val="none"/>
              </w:rPr>
            </w:pPr>
            <w:r>
              <w:rPr>
                <w:rFonts w:hint="eastAsia" w:ascii="微软雅黑" w:hAnsi="微软雅黑" w:eastAsia="微软雅黑" w:cs="微软雅黑"/>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猎德四期风机2#变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猎德四期风机1#变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猎德四期脱水低压房2#变-主辅柜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猎德四期脱水低压房1#变-主辅柜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猎德1#生化池1#变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猎德1#生化池2#变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猎德2#生化池1#变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猎德2#生化池2#变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猎德3#生化池1#变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猎德3#生化池2#变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猎德加药间2#变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猎德加药间1#变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检测服务费</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京溪</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京溪2#变主辅柜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京溪1#变主辅柜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16</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检测服务费</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大坦沙一二期沉池</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大坦沙一期滤池-7#8#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SKES-ASVG-100-400-4WG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原有滤波柜改造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大坦沙二期滤池-两台变压器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SKES-ASVG-100-400-4WG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原有滤波柜改造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大坦沙三期滤池-4#5#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SKES-ASVG-100-400-4WG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原有滤波柜改造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大坦沙二期低压房3#变-主辅柜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CKSGL-480-30-7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大坦沙二期低压房2#变-主辅柜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CKSGL-480-30-7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大坦沙二期低压房1#变-主辅柜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CKSGL-480-30-7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大坦沙6#配电</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MKP-480-25-3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拆1路50的，                                         更换成2路25的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CKSGL-480-25-7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大坦沙三期低压1#变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大坦沙三期低压2#变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大坦沙三期1#线泵房南北动力</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BKMJ-450-15-3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更换，两台柜均需更换导线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检测服务费</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石井1#低压配电1#变-主辅柜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石井1#低压配电2#变-主辅柜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JKWD-16-SBY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石井2#低压配电2#变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JKWD-16-SBY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石井3#反应池</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BKMJ-450-20-3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CJ19-40/21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石井4#反应池</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BKMJ-450-20-3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CJ19-80/21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CJ19-40/21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石井粗格栅提升泵6#主辅柜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BKMJ-450-15-3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CJ19-32/20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石井粗格栅提升泵5#主辅柜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JKWD-12-SAY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BKMJ-450-15-3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CJ19-32/20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14</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检测服务费</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龙归</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龙归低压配电9#主辅柜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3" w:type="pct"/>
            <w:vMerge w:val="continue"/>
            <w:tcBorders>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检测服务费</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竹料低压配电1#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竹料低压配电2#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接触器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CJ19-65/21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还需更换一个72的三相电流表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竹料一期扩建电房3#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竹料一期扩建电房4#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SCR-S-30-B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BKMJ-450-30-3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30</w:t>
            </w:r>
          </w:p>
        </w:tc>
        <w:tc>
          <w:tcPr>
            <w:tcW w:w="5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10</w:t>
            </w:r>
          </w:p>
        </w:tc>
        <w:tc>
          <w:tcPr>
            <w:tcW w:w="5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bottom w:val="nil"/>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检测服务费</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restart"/>
            <w:tcBorders>
              <w:top w:val="single" w:color="000000" w:sz="4" w:space="0"/>
              <w:left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18"/>
                <w:szCs w:val="18"/>
                <w:u w:val="none"/>
                <w:lang w:val="en-US"/>
              </w:rPr>
            </w:pPr>
            <w:r>
              <w:rPr>
                <w:rFonts w:hint="eastAsia" w:ascii="微软雅黑" w:hAnsi="微软雅黑" w:eastAsia="微软雅黑" w:cs="微软雅黑"/>
                <w:i w:val="0"/>
                <w:iCs w:val="0"/>
                <w:color w:val="auto"/>
                <w:kern w:val="0"/>
                <w:sz w:val="18"/>
                <w:szCs w:val="18"/>
                <w:u w:val="none"/>
                <w:lang w:val="en-US" w:eastAsia="zh-CN" w:bidi="ar"/>
              </w:rPr>
              <w:t>石井净水</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石井净水一期1#低压配电2#变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SKES-APF-150-400-4WG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增加3个互感器4000：5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石井净水一期1#低压配电1#变</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SKES-APF-150-400-4WG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增加3个互感器4000：5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石井净水一期2#低压配电5#一主两辅</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MKP-480-25-3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MKP-480-25-3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石井净水一期2#电压配电3#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石井净水一期2#电压配电4#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有源滤波器APF</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SKES-APF-100-400-4WG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滤波器柜</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石井净水二期低压配电8#-主辅柜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BKMJ-480-50-3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BKMJ-480-25-3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石井净水二期低压配电7#-主辅柜</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BKMJ-480-50-3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BKMJ-480-25-3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CKSGL-480-50-7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SCR-S-50-B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SCR-S-25-B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石井净水一期北线电房</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CKSGL-480-40-7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电容器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BKMJ-480-20-3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电抗器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CKSGL-480-20-7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SCR-S-40-B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可控硅开关/调节器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SCR-S-20-B</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控制器</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JKWD-12-SBY</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石井净水一期南线电房</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静止无功发生器SVG</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SKES-SVG-100-400-4WG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互感器3台，变比参考进线柜的互感器。其余附件拆除。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SVG柜</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石井净水预处理电房排空池2#电源</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静止无功发生器SVG</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SKES-SVG-100-400-4WG</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互感器3台，变比参考进线柜的互感器。其余附件拆除。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电能质量测控终端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SKES-PC-2200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56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3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SVG柜</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根据现场位置定制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熔芯</w:t>
            </w: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90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NT00-80A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18</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continue"/>
            <w:tcBorders>
              <w:left w:val="single" w:color="000000"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RT18-63A</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continue"/>
            <w:tcBorders>
              <w:left w:val="single" w:color="000000" w:sz="4" w:space="0"/>
              <w:bottom w:val="single" w:color="auto" w:sz="4" w:space="0"/>
              <w:right w:val="single" w:color="000000" w:sz="4" w:space="0"/>
            </w:tcBorders>
            <w:shd w:val="clear" w:color="auto" w:fill="auto"/>
            <w:noWrap/>
            <w:textDirection w:val="tbRlV"/>
            <w:vAlign w:val="center"/>
          </w:tcPr>
          <w:p>
            <w:pPr>
              <w:jc w:val="center"/>
              <w:rPr>
                <w:rFonts w:hint="eastAsia" w:ascii="微软雅黑" w:hAnsi="微软雅黑" w:eastAsia="微软雅黑" w:cs="微软雅黑"/>
                <w:i w:val="0"/>
                <w:iCs w:val="0"/>
                <w:color w:val="auto"/>
                <w:sz w:val="18"/>
                <w:szCs w:val="18"/>
                <w:u w:val="none"/>
              </w:rPr>
            </w:pPr>
          </w:p>
        </w:tc>
        <w:tc>
          <w:tcPr>
            <w:tcW w:w="898"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检测服务费</w:t>
            </w:r>
          </w:p>
        </w:tc>
        <w:tc>
          <w:tcPr>
            <w:tcW w:w="137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21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项</w:t>
            </w:r>
          </w:p>
        </w:tc>
        <w:tc>
          <w:tcPr>
            <w:tcW w:w="23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w:t>
            </w:r>
          </w:p>
        </w:tc>
        <w:tc>
          <w:tcPr>
            <w:tcW w:w="59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18"/>
                <w:szCs w:val="18"/>
                <w:u w:val="none"/>
                <w:lang w:val="en-US" w:eastAsia="zh-CN" w:bidi="ar"/>
              </w:rPr>
            </w:pP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92"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合计（元）</w:t>
            </w:r>
          </w:p>
        </w:tc>
        <w:tc>
          <w:tcPr>
            <w:tcW w:w="12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92"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税费（元）</w:t>
            </w:r>
          </w:p>
        </w:tc>
        <w:tc>
          <w:tcPr>
            <w:tcW w:w="12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i w:val="0"/>
                <w:iCs w:val="0"/>
                <w:color w:val="auto"/>
                <w:sz w:val="18"/>
                <w:szCs w:val="18"/>
                <w:u w:val="none"/>
                <w:lang w:val="en-US" w:eastAsia="zh-CN"/>
              </w:rPr>
            </w:pPr>
            <w:r>
              <w:rPr>
                <w:rFonts w:hint="eastAsia" w:ascii="微软雅黑" w:hAnsi="微软雅黑" w:eastAsia="微软雅黑" w:cs="微软雅黑"/>
                <w:i w:val="0"/>
                <w:iCs w:val="0"/>
                <w:color w:val="auto"/>
                <w:sz w:val="18"/>
                <w:szCs w:val="18"/>
                <w:u w:val="none"/>
                <w:lang w:val="en-US" w:eastAsia="zh-CN"/>
              </w:rPr>
              <w:t>备注</w:t>
            </w:r>
          </w:p>
        </w:tc>
        <w:tc>
          <w:tcPr>
            <w:tcW w:w="4536"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sz w:val="18"/>
                <w:szCs w:val="18"/>
                <w:u w:val="none"/>
              </w:rPr>
              <w:t xml:space="preserve">1、含安装施工费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i w:val="0"/>
                <w:iCs w:val="0"/>
                <w:color w:val="auto"/>
                <w:sz w:val="18"/>
                <w:szCs w:val="18"/>
                <w:u w:val="none"/>
              </w:rPr>
            </w:pPr>
          </w:p>
        </w:tc>
        <w:tc>
          <w:tcPr>
            <w:tcW w:w="4536"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sz w:val="18"/>
                <w:szCs w:val="18"/>
                <w:u w:val="none"/>
              </w:rPr>
              <w:t>2、税率：13%增值税</w:t>
            </w:r>
          </w:p>
        </w:tc>
      </w:tr>
    </w:tbl>
    <w:p>
      <w:pPr>
        <w:rPr>
          <w:rFonts w:hint="eastAsia"/>
        </w:rPr>
      </w:pPr>
    </w:p>
    <w:p>
      <w:pPr>
        <w:pStyle w:val="5"/>
        <w:numPr>
          <w:ilvl w:val="0"/>
          <w:numId w:val="6"/>
        </w:numPr>
        <w:rPr>
          <w:rFonts w:hint="eastAsia" w:asciiTheme="majorEastAsia" w:hAnsiTheme="major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rPr>
        <w:t>其他资料</w:t>
      </w:r>
      <w:bookmarkEnd w:id="131"/>
      <w:bookmarkEnd w:id="132"/>
      <w:bookmarkEnd w:id="133"/>
      <w:bookmarkEnd w:id="134"/>
      <w:r>
        <w:rPr>
          <w:rFonts w:hint="eastAsia" w:asciiTheme="majorEastAsia" w:hAnsiTheme="majorEastAsia" w:eastAsiaTheme="majorEastAsia"/>
          <w:color w:val="auto"/>
          <w:sz w:val="28"/>
          <w:szCs w:val="28"/>
          <w:highlight w:val="none"/>
          <w:lang w:val="en-US" w:eastAsia="zh-CN"/>
        </w:rPr>
        <w:t xml:space="preserve"> </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LSqsg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s3EIUe+7skW5HoR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7S0qr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13175C3"/>
    <w:multiLevelType w:val="singleLevel"/>
    <w:tmpl w:val="D13175C3"/>
    <w:lvl w:ilvl="0" w:tentative="0">
      <w:start w:val="1"/>
      <w:numFmt w:val="chineseCounting"/>
      <w:suff w:val="nothing"/>
      <w:lvlText w:val="%1、"/>
      <w:lvlJc w:val="left"/>
      <w:rPr>
        <w:rFonts w:hint="eastAsia"/>
        <w:b/>
        <w:bCs/>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D28FED7"/>
    <w:multiLevelType w:val="singleLevel"/>
    <w:tmpl w:val="5D28FED7"/>
    <w:lvl w:ilvl="0" w:tentative="0">
      <w:start w:val="5"/>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jYwN2NjN2I2MmQwOTMwNmY5NWFjYzIzOGNmYzIifQ=="/>
  </w:docVars>
  <w:rsids>
    <w:rsidRoot w:val="005D618A"/>
    <w:rsid w:val="00226B30"/>
    <w:rsid w:val="003D60BA"/>
    <w:rsid w:val="00411689"/>
    <w:rsid w:val="005D618A"/>
    <w:rsid w:val="00911ECD"/>
    <w:rsid w:val="00A042E0"/>
    <w:rsid w:val="00B26BB1"/>
    <w:rsid w:val="00B26E21"/>
    <w:rsid w:val="00B741D7"/>
    <w:rsid w:val="00D4533C"/>
    <w:rsid w:val="00F83B64"/>
    <w:rsid w:val="013E3461"/>
    <w:rsid w:val="01BB0F13"/>
    <w:rsid w:val="02090C75"/>
    <w:rsid w:val="021E1686"/>
    <w:rsid w:val="02A23A3C"/>
    <w:rsid w:val="02FB196F"/>
    <w:rsid w:val="035D130A"/>
    <w:rsid w:val="039110A9"/>
    <w:rsid w:val="03AC246A"/>
    <w:rsid w:val="03AE6061"/>
    <w:rsid w:val="03B23056"/>
    <w:rsid w:val="03DA023E"/>
    <w:rsid w:val="03DC3EBA"/>
    <w:rsid w:val="03F9794D"/>
    <w:rsid w:val="046A2461"/>
    <w:rsid w:val="04780DE9"/>
    <w:rsid w:val="051C2970"/>
    <w:rsid w:val="060C3611"/>
    <w:rsid w:val="06C64829"/>
    <w:rsid w:val="070E7B6E"/>
    <w:rsid w:val="071D62B7"/>
    <w:rsid w:val="07584F67"/>
    <w:rsid w:val="077D16D2"/>
    <w:rsid w:val="082A69F3"/>
    <w:rsid w:val="08675FC8"/>
    <w:rsid w:val="08973524"/>
    <w:rsid w:val="0992559E"/>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BFA5F9E"/>
    <w:rsid w:val="0C2361E7"/>
    <w:rsid w:val="0C247926"/>
    <w:rsid w:val="0D794204"/>
    <w:rsid w:val="0E2125D1"/>
    <w:rsid w:val="0E214211"/>
    <w:rsid w:val="0E5F2769"/>
    <w:rsid w:val="0E8A15F5"/>
    <w:rsid w:val="0ED8332F"/>
    <w:rsid w:val="0F4D75A3"/>
    <w:rsid w:val="0F5B2DCA"/>
    <w:rsid w:val="0F714D08"/>
    <w:rsid w:val="0FA20605"/>
    <w:rsid w:val="0FED051E"/>
    <w:rsid w:val="0FEE4C29"/>
    <w:rsid w:val="0FFD33F6"/>
    <w:rsid w:val="10031608"/>
    <w:rsid w:val="10046082"/>
    <w:rsid w:val="104974DD"/>
    <w:rsid w:val="1109202B"/>
    <w:rsid w:val="110A6ED7"/>
    <w:rsid w:val="111703D2"/>
    <w:rsid w:val="112B101A"/>
    <w:rsid w:val="119B53FC"/>
    <w:rsid w:val="1215733B"/>
    <w:rsid w:val="12424CDC"/>
    <w:rsid w:val="129A2738"/>
    <w:rsid w:val="129D6EDF"/>
    <w:rsid w:val="12B56BF1"/>
    <w:rsid w:val="12B771D8"/>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A53EA8"/>
    <w:rsid w:val="19B64DBC"/>
    <w:rsid w:val="19EC6A4A"/>
    <w:rsid w:val="1A373ACF"/>
    <w:rsid w:val="1A7B10BA"/>
    <w:rsid w:val="1A895341"/>
    <w:rsid w:val="1ABE226B"/>
    <w:rsid w:val="1B0D071F"/>
    <w:rsid w:val="1B4568CE"/>
    <w:rsid w:val="1B9015B7"/>
    <w:rsid w:val="1B950DA6"/>
    <w:rsid w:val="1BF54245"/>
    <w:rsid w:val="1D0E6976"/>
    <w:rsid w:val="1D5A79EE"/>
    <w:rsid w:val="1DC42063"/>
    <w:rsid w:val="1E0E2CD0"/>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841CE3"/>
    <w:rsid w:val="22D85D93"/>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EE868C9"/>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0935E0"/>
    <w:rsid w:val="3391569E"/>
    <w:rsid w:val="341E3434"/>
    <w:rsid w:val="34BB4442"/>
    <w:rsid w:val="3584136B"/>
    <w:rsid w:val="35FF5AA4"/>
    <w:rsid w:val="360B7EBA"/>
    <w:rsid w:val="36416867"/>
    <w:rsid w:val="367D5DD4"/>
    <w:rsid w:val="369C32FD"/>
    <w:rsid w:val="37666E72"/>
    <w:rsid w:val="38081EA3"/>
    <w:rsid w:val="38167A04"/>
    <w:rsid w:val="381C3783"/>
    <w:rsid w:val="38C10714"/>
    <w:rsid w:val="38CF03B9"/>
    <w:rsid w:val="394B167A"/>
    <w:rsid w:val="39AD34EA"/>
    <w:rsid w:val="39DA2868"/>
    <w:rsid w:val="39DF6BF2"/>
    <w:rsid w:val="3A055F4B"/>
    <w:rsid w:val="3A4E4336"/>
    <w:rsid w:val="3A6007FE"/>
    <w:rsid w:val="3A802587"/>
    <w:rsid w:val="3A852164"/>
    <w:rsid w:val="3AEB7A38"/>
    <w:rsid w:val="3AF93D6C"/>
    <w:rsid w:val="3AFD06C8"/>
    <w:rsid w:val="3B477B26"/>
    <w:rsid w:val="3B4D1B23"/>
    <w:rsid w:val="3B6A7F86"/>
    <w:rsid w:val="3B7C2CE4"/>
    <w:rsid w:val="3BAF716B"/>
    <w:rsid w:val="3C0B5355"/>
    <w:rsid w:val="3CD4176B"/>
    <w:rsid w:val="3D1F44D9"/>
    <w:rsid w:val="3D5C38CD"/>
    <w:rsid w:val="3E5070F1"/>
    <w:rsid w:val="3E7569E0"/>
    <w:rsid w:val="3EC0264C"/>
    <w:rsid w:val="3EC370CB"/>
    <w:rsid w:val="3F6C3589"/>
    <w:rsid w:val="3F850180"/>
    <w:rsid w:val="3F9004D6"/>
    <w:rsid w:val="3FEE7CFA"/>
    <w:rsid w:val="400E4D5E"/>
    <w:rsid w:val="40E1138C"/>
    <w:rsid w:val="413814BA"/>
    <w:rsid w:val="41872511"/>
    <w:rsid w:val="41DF1251"/>
    <w:rsid w:val="41F33743"/>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6F554B6"/>
    <w:rsid w:val="4703508A"/>
    <w:rsid w:val="475023F8"/>
    <w:rsid w:val="479A1E7B"/>
    <w:rsid w:val="479D361E"/>
    <w:rsid w:val="47B74789"/>
    <w:rsid w:val="48032A55"/>
    <w:rsid w:val="480F2B9D"/>
    <w:rsid w:val="48102176"/>
    <w:rsid w:val="48282920"/>
    <w:rsid w:val="483E1347"/>
    <w:rsid w:val="485321E0"/>
    <w:rsid w:val="48546AD3"/>
    <w:rsid w:val="48CA4868"/>
    <w:rsid w:val="48D6398B"/>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0D70000"/>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796CA5"/>
    <w:rsid w:val="569E06BC"/>
    <w:rsid w:val="56B279F0"/>
    <w:rsid w:val="56F20F86"/>
    <w:rsid w:val="579D710E"/>
    <w:rsid w:val="581F22F6"/>
    <w:rsid w:val="586E1E17"/>
    <w:rsid w:val="58862C35"/>
    <w:rsid w:val="58C14957"/>
    <w:rsid w:val="58CC23D2"/>
    <w:rsid w:val="58DB69CD"/>
    <w:rsid w:val="58E66050"/>
    <w:rsid w:val="596B36B6"/>
    <w:rsid w:val="59E63F07"/>
    <w:rsid w:val="59FC7994"/>
    <w:rsid w:val="5A1A59E2"/>
    <w:rsid w:val="5A9D6A76"/>
    <w:rsid w:val="5AE83A50"/>
    <w:rsid w:val="5B353193"/>
    <w:rsid w:val="5B4E4360"/>
    <w:rsid w:val="5BAB2917"/>
    <w:rsid w:val="5BFC33FA"/>
    <w:rsid w:val="5C3107A4"/>
    <w:rsid w:val="5C3B1B93"/>
    <w:rsid w:val="5C9220DF"/>
    <w:rsid w:val="5D403D6E"/>
    <w:rsid w:val="5D4A15F3"/>
    <w:rsid w:val="5D69542A"/>
    <w:rsid w:val="5D783B72"/>
    <w:rsid w:val="5DEB2F1E"/>
    <w:rsid w:val="5E0930EF"/>
    <w:rsid w:val="5E3D4D53"/>
    <w:rsid w:val="5E4717E6"/>
    <w:rsid w:val="5E55774C"/>
    <w:rsid w:val="5E8A70FF"/>
    <w:rsid w:val="60045F96"/>
    <w:rsid w:val="60104DDC"/>
    <w:rsid w:val="605C0804"/>
    <w:rsid w:val="60913E6F"/>
    <w:rsid w:val="61733C3E"/>
    <w:rsid w:val="6189617B"/>
    <w:rsid w:val="61B52BB6"/>
    <w:rsid w:val="61B749C2"/>
    <w:rsid w:val="621E66FA"/>
    <w:rsid w:val="62280D20"/>
    <w:rsid w:val="62B4786E"/>
    <w:rsid w:val="62CA2457"/>
    <w:rsid w:val="62D208D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4E14B2"/>
    <w:rsid w:val="67CB09D8"/>
    <w:rsid w:val="67EE3B0F"/>
    <w:rsid w:val="680A5986"/>
    <w:rsid w:val="680D5F4B"/>
    <w:rsid w:val="68113F51"/>
    <w:rsid w:val="68B272C7"/>
    <w:rsid w:val="68E94770"/>
    <w:rsid w:val="68EC1CEF"/>
    <w:rsid w:val="68F949C9"/>
    <w:rsid w:val="692D5055"/>
    <w:rsid w:val="695A4290"/>
    <w:rsid w:val="696F3649"/>
    <w:rsid w:val="69CC6378"/>
    <w:rsid w:val="6A267606"/>
    <w:rsid w:val="6A334932"/>
    <w:rsid w:val="6A3353FF"/>
    <w:rsid w:val="6A5D63E6"/>
    <w:rsid w:val="6A5F24D1"/>
    <w:rsid w:val="6ACA70C4"/>
    <w:rsid w:val="6AE347EB"/>
    <w:rsid w:val="6B216FA4"/>
    <w:rsid w:val="6B330365"/>
    <w:rsid w:val="6B434AF0"/>
    <w:rsid w:val="6B57675A"/>
    <w:rsid w:val="6B87098A"/>
    <w:rsid w:val="6BCB6771"/>
    <w:rsid w:val="6BDD7B4D"/>
    <w:rsid w:val="6DA63CA5"/>
    <w:rsid w:val="6E4459F8"/>
    <w:rsid w:val="6EBC0B3A"/>
    <w:rsid w:val="6EF51C7D"/>
    <w:rsid w:val="6F7E5733"/>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2D006FC"/>
    <w:rsid w:val="73406CFF"/>
    <w:rsid w:val="7383028C"/>
    <w:rsid w:val="73A25E44"/>
    <w:rsid w:val="741F68CF"/>
    <w:rsid w:val="747F0DB0"/>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A42EF5"/>
    <w:rsid w:val="78CF4963"/>
    <w:rsid w:val="79000679"/>
    <w:rsid w:val="7916258F"/>
    <w:rsid w:val="791C0FE5"/>
    <w:rsid w:val="79A416F0"/>
    <w:rsid w:val="79B03EB6"/>
    <w:rsid w:val="79B61437"/>
    <w:rsid w:val="79FF47C4"/>
    <w:rsid w:val="7AE15A5C"/>
    <w:rsid w:val="7AF37579"/>
    <w:rsid w:val="7AF87F64"/>
    <w:rsid w:val="7B1C0C84"/>
    <w:rsid w:val="7B5A62DF"/>
    <w:rsid w:val="7B7A04A8"/>
    <w:rsid w:val="7B8E4662"/>
    <w:rsid w:val="7BC96CA5"/>
    <w:rsid w:val="7C0C3F6D"/>
    <w:rsid w:val="7C22163C"/>
    <w:rsid w:val="7C457B4B"/>
    <w:rsid w:val="7C595075"/>
    <w:rsid w:val="7C6B07B2"/>
    <w:rsid w:val="7C9B4EB9"/>
    <w:rsid w:val="7D133243"/>
    <w:rsid w:val="7D945420"/>
    <w:rsid w:val="7D997857"/>
    <w:rsid w:val="7DD07A4B"/>
    <w:rsid w:val="7DD41D21"/>
    <w:rsid w:val="7DDD2E3C"/>
    <w:rsid w:val="7E394207"/>
    <w:rsid w:val="7E4007A2"/>
    <w:rsid w:val="7E791CAD"/>
    <w:rsid w:val="7EA50DFB"/>
    <w:rsid w:val="7EC86878"/>
    <w:rsid w:val="7F16390D"/>
    <w:rsid w:val="7F490E0C"/>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pPr>
    <w:rPr>
      <w:rFonts w:ascii="宋体" w:hAnsi="宋体" w:cs="宋体"/>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3"/>
    <w:qFormat/>
    <w:uiPriority w:val="9"/>
    <w:rPr>
      <w:rFonts w:eastAsia="方正小标宋简体"/>
      <w:bCs/>
      <w:kern w:val="44"/>
      <w:sz w:val="44"/>
      <w:szCs w:val="44"/>
    </w:rPr>
  </w:style>
  <w:style w:type="character" w:customStyle="1" w:styleId="32">
    <w:name w:val="标题 2 Char"/>
    <w:basedOn w:val="26"/>
    <w:link w:val="4"/>
    <w:qFormat/>
    <w:uiPriority w:val="9"/>
    <w:rPr>
      <w:rFonts w:eastAsia="方正小标宋简体" w:asciiTheme="majorHAnsi" w:hAnsiTheme="majorHAnsi" w:cstheme="majorBidi"/>
      <w:bCs/>
      <w:sz w:val="36"/>
      <w:szCs w:val="32"/>
    </w:rPr>
  </w:style>
  <w:style w:type="character" w:customStyle="1" w:styleId="33">
    <w:name w:val="标题 3 Char"/>
    <w:basedOn w:val="26"/>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6"/>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character" w:customStyle="1" w:styleId="47">
    <w:name w:val="font51"/>
    <w:basedOn w:val="26"/>
    <w:qFormat/>
    <w:uiPriority w:val="0"/>
    <w:rPr>
      <w:rFonts w:ascii="Microsoft JhengHei" w:hAnsi="Microsoft JhengHei" w:eastAsia="Microsoft JhengHei" w:cs="Microsoft JhengHei"/>
      <w:b/>
      <w:bCs/>
      <w:color w:val="000000"/>
      <w:sz w:val="21"/>
      <w:szCs w:val="21"/>
      <w:u w:val="none"/>
    </w:rPr>
  </w:style>
  <w:style w:type="character" w:customStyle="1" w:styleId="48">
    <w:name w:val="font31"/>
    <w:basedOn w:val="26"/>
    <w:qFormat/>
    <w:uiPriority w:val="0"/>
    <w:rPr>
      <w:rFonts w:hint="eastAsia" w:ascii="宋体" w:hAnsi="宋体" w:eastAsia="宋体" w:cs="宋体"/>
      <w:color w:val="000000"/>
      <w:sz w:val="21"/>
      <w:szCs w:val="21"/>
      <w:u w:val="none"/>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38247</Words>
  <Characters>42433</Characters>
  <Lines>300</Lines>
  <Paragraphs>84</Paragraphs>
  <TotalTime>2</TotalTime>
  <ScaleCrop>false</ScaleCrop>
  <LinksUpToDate>false</LinksUpToDate>
  <CharactersWithSpaces>45666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2023-04-26T03:08:00Z</cp:lastPrinted>
  <dcterms:modified xsi:type="dcterms:W3CDTF">2023-08-31T08:30:53Z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BFD13397B2544442835952416EEA282A</vt:lpwstr>
  </property>
</Properties>
</file>