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广州城市水处理设备有限公司2023-2024年车辆运输服务项目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广州城市水处理设备有限公司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八</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7519"/>
      <w:bookmarkStart w:id="5" w:name="_Toc4275"/>
      <w:bookmarkStart w:id="6" w:name="_Toc31938"/>
      <w:bookmarkStart w:id="7" w:name="_Toc19609"/>
      <w:bookmarkStart w:id="8" w:name="_Toc1669"/>
      <w:bookmarkStart w:id="9" w:name="_Toc11322"/>
      <w:bookmarkStart w:id="10" w:name="_Toc17801"/>
    </w:p>
    <w:p>
      <w:pPr>
        <w:pStyle w:val="4"/>
        <w:rPr>
          <w:rFonts w:hint="eastAsia"/>
          <w:color w:val="auto"/>
          <w:highlight w:val="none"/>
        </w:rPr>
      </w:pPr>
    </w:p>
    <w:p>
      <w:pPr>
        <w:pStyle w:val="4"/>
        <w:rPr>
          <w:rFonts w:hint="eastAsia"/>
          <w:color w:val="auto"/>
          <w:highlight w:val="none"/>
        </w:rPr>
      </w:pPr>
    </w:p>
    <w:p>
      <w:pPr>
        <w:pStyle w:val="4"/>
        <w:ind w:firstLine="3960" w:firstLineChars="900"/>
        <w:jc w:val="both"/>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2454910</wp:posOffset>
                </wp:positionH>
                <wp:positionV relativeFrom="paragraph">
                  <wp:posOffset>574040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93.3pt;margin-top:45.2pt;height:0pt;width:75.5pt;z-index:251672576;mso-width-relative:page;mso-height-relative:page;" filled="f" stroked="t" coordsize="21600,21600" o:gfxdata="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LjrP0N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2433955</wp:posOffset>
                </wp:positionH>
                <wp:positionV relativeFrom="paragraph">
                  <wp:posOffset>31750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91.65pt;margin-top:2.5pt;height:0pt;width:75.5pt;z-index:251671552;mso-width-relative:page;mso-height-relative:page;" filled="f" stroked="t" coordsize="21600,21600" o:gfxdata="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HkzSLVAAAABwEAAA8AAAAAAAAAAQAgAAAAIgAAAGRycy9kb3ducmV2LnhtbFBLAQIUABQA&#10;AAAIAIdO4kAPrIeI8wEAAOQDAAAOAAAAAAAAAAEAIAAAACQ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eastAsia="zh-CN"/>
        </w:rPr>
        <w:t>广州城市水处理设备有限公司2023-2024年车辆运输服务项目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 xml:space="preserve">货物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lang w:eastAsia="zh-CN"/>
        </w:rPr>
        <w:t>□</w:t>
      </w:r>
      <w:r>
        <w:rPr>
          <w:rFonts w:hint="eastAsia" w:ascii="仿宋_GB2312" w:eastAsia="仿宋_GB2312"/>
          <w:sz w:val="28"/>
          <w:szCs w:val="28"/>
          <w:highlight w:val="none"/>
          <w:u w:val="single"/>
          <w:lang w:val="en-US" w:eastAsia="zh-CN"/>
        </w:rPr>
        <w:t xml:space="preserve">邀请采购 </w:t>
      </w:r>
      <w:r>
        <w:rPr>
          <w:rFonts w:hint="eastAsia" w:ascii="仿宋_GB2312" w:eastAsia="仿宋_GB2312"/>
          <w:sz w:val="28"/>
          <w:szCs w:val="28"/>
          <w:highlight w:val="none"/>
          <w:u w:val="single"/>
          <w:lang w:eastAsia="zh-CN"/>
        </w:rPr>
        <w:t>☑</w:t>
      </w:r>
      <w:r>
        <w:rPr>
          <w:rFonts w:hint="eastAsia" w:ascii="仿宋_GB2312" w:eastAsia="仿宋_GB2312"/>
          <w:sz w:val="28"/>
          <w:szCs w:val="28"/>
          <w:highlight w:val="none"/>
          <w:u w:val="single"/>
          <w:lang w:val="en-US" w:eastAsia="zh-CN"/>
        </w:rPr>
        <w:t>公开采购</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广州城市水处理设备有限公司2023-2024年车辆运输服务项目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穗净水设备询[2023]009号</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263550.00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lang w:val="en-US" w:eastAsia="zh-CN"/>
        </w:rPr>
        <w:t>为广州城市水处理设备有限公司提供包含司机的包车服务，具体需求详见第五章采购需求</w:t>
      </w:r>
      <w:r>
        <w:rPr>
          <w:rFonts w:hint="eastAsia" w:ascii="仿宋_GB2312" w:eastAsia="仿宋_GB2312"/>
          <w:color w:val="auto"/>
          <w:sz w:val="28"/>
          <w:szCs w:val="28"/>
          <w:highlight w:val="none"/>
          <w:u w:val="single"/>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lang w:val="en-US" w:eastAsia="zh-CN"/>
        </w:rPr>
        <w:t>合同签订起1年</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广州城市水处理设备有限公司指定位置。（具体位置由广州城市水处理设备有限公司通知）    </w:t>
      </w:r>
    </w:p>
    <w:p>
      <w:pPr>
        <w:adjustRightInd w:val="0"/>
        <w:snapToGrid w:val="0"/>
        <w:spacing w:line="600" w:lineRule="exact"/>
        <w:ind w:left="0" w:leftChars="0" w:right="-369" w:rightChars="-176" w:firstLine="0" w:firstLineChars="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满足询价文件中所有要求。                              </w:t>
      </w:r>
      <w:r>
        <w:rPr>
          <w:rFonts w:hint="eastAsia" w:ascii="仿宋_GB2312" w:eastAsia="仿宋_GB2312"/>
          <w:color w:val="auto"/>
          <w:sz w:val="28"/>
          <w:szCs w:val="28"/>
          <w:highlight w:val="non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u w:val="single"/>
        </w:rPr>
        <w:t>应为具有独立法人资格的公司或经其唯一授权的分公司（或分支机构），分公司须获得总公司同意分公司针对本项目的独家授权书，并加盖总公司公章。（注：一个主体仅允许一家机构参与，如出现一个主体有两个及以上机构授权的，询价人有权取消该保险主体的所有机构报价资格。）</w:t>
      </w:r>
      <w:r>
        <w:rPr>
          <w:rFonts w:hint="eastAsia" w:ascii="仿宋_GB2312" w:eastAsia="仿宋_GB2312"/>
          <w:color w:val="auto"/>
          <w:sz w:val="28"/>
          <w:szCs w:val="28"/>
          <w:highlight w:val="none"/>
          <w:u w:val="single"/>
          <w:lang w:val="en-US" w:eastAsia="zh-CN"/>
        </w:rPr>
        <w:t>供应商应具备</w:t>
      </w:r>
      <w:r>
        <w:rPr>
          <w:rFonts w:hint="eastAsia" w:ascii="仿宋_GB2312" w:eastAsia="仿宋_GB2312"/>
          <w:color w:val="auto"/>
          <w:sz w:val="28"/>
          <w:szCs w:val="28"/>
          <w:highlight w:val="none"/>
          <w:u w:val="single"/>
        </w:rPr>
        <w:t xml:space="preserve">本公司的《中华人民共和国道路运输经营许可证》（提供资格证复印件，加盖单位公章）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2019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一项车辆服务</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.1递交响应文件集合时间：2023年</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lang w:val="en-US" w:eastAsia="zh-CN"/>
        </w:rPr>
        <w:t>30</w:t>
      </w:r>
      <w:r>
        <w:rPr>
          <w:rFonts w:hint="eastAsia" w:ascii="仿宋_GB2312" w:eastAsia="仿宋_GB2312"/>
          <w:color w:val="auto"/>
          <w:sz w:val="28"/>
          <w:szCs w:val="28"/>
          <w:highlight w:val="none"/>
        </w:rPr>
        <w:t>分至2023年</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lang w:val="en-US" w:eastAsia="zh-CN"/>
        </w:rPr>
        <w:t>59</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sz w:val="28"/>
          <w:szCs w:val="28"/>
          <w:highlight w:val="none"/>
        </w:rPr>
        <w:t>广州市</w:t>
      </w:r>
      <w:r>
        <w:rPr>
          <w:rFonts w:hint="eastAsia" w:ascii="仿宋_GB2312" w:eastAsia="仿宋_GB2312"/>
          <w:sz w:val="28"/>
          <w:szCs w:val="28"/>
          <w:highlight w:val="none"/>
          <w:lang w:val="en-US" w:eastAsia="zh-CN"/>
        </w:rPr>
        <w:t>海珠区南洲路1375号</w:t>
      </w:r>
      <w:r>
        <w:rPr>
          <w:rFonts w:hint="eastAsia" w:ascii="仿宋_GB2312" w:eastAsia="仿宋_GB2312"/>
          <w:color w:val="auto"/>
          <w:sz w:val="28"/>
          <w:szCs w:val="28"/>
          <w:highlight w:val="none"/>
        </w:rPr>
        <w:t>。</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2"/>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w:t>
      </w:r>
      <w:r>
        <w:rPr>
          <w:rFonts w:hint="eastAsia" w:ascii="仿宋_GB2312" w:eastAsia="仿宋_GB2312"/>
          <w:color w:val="auto"/>
          <w:sz w:val="28"/>
          <w:szCs w:val="28"/>
          <w:highlight w:val="none"/>
          <w:lang w:val="en-US" w:eastAsia="zh-CN"/>
        </w:rPr>
        <w:t>设备维修公司</w:t>
      </w:r>
      <w:r>
        <w:rPr>
          <w:rFonts w:hint="eastAsia" w:ascii="仿宋_GB2312" w:eastAsia="仿宋_GB2312"/>
          <w:color w:val="auto"/>
          <w:sz w:val="28"/>
          <w:szCs w:val="28"/>
          <w:highlight w:val="none"/>
        </w:rPr>
        <w:t>”，“部门”选择“</w:t>
      </w:r>
      <w:r>
        <w:rPr>
          <w:rFonts w:hint="eastAsia" w:ascii="仿宋_GB2312" w:eastAsia="仿宋_GB2312"/>
          <w:color w:val="auto"/>
          <w:sz w:val="28"/>
          <w:szCs w:val="28"/>
          <w:highlight w:val="none"/>
          <w:lang w:val="en-US" w:eastAsia="zh-CN"/>
        </w:rPr>
        <w:t>技术部</w:t>
      </w:r>
      <w:r>
        <w:rPr>
          <w:rFonts w:hint="eastAsia" w:ascii="仿宋_GB2312" w:eastAsia="仿宋_GB2312"/>
          <w:color w:val="auto"/>
          <w:sz w:val="28"/>
          <w:szCs w:val="28"/>
          <w:highlight w:val="none"/>
        </w:rPr>
        <w:t>”。</w:t>
      </w:r>
    </w:p>
    <w:p>
      <w:pPr>
        <w:pStyle w:val="2"/>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w:t>
      </w:r>
      <w:r>
        <w:rPr>
          <w:rFonts w:hint="eastAsia" w:ascii="仿宋_GB2312" w:eastAsia="仿宋_GB2312"/>
          <w:color w:val="auto"/>
          <w:sz w:val="28"/>
          <w:szCs w:val="28"/>
          <w:highlight w:val="none"/>
          <w:lang w:val="en-US" w:eastAsia="zh-CN"/>
        </w:rPr>
        <w:t>填写</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莫颖妍</w:t>
      </w:r>
      <w:r>
        <w:rPr>
          <w:rFonts w:hint="eastAsia" w:ascii="仿宋_GB2312" w:eastAsia="仿宋_GB2312"/>
          <w:color w:val="auto"/>
          <w:sz w:val="28"/>
          <w:szCs w:val="28"/>
          <w:highlight w:val="none"/>
        </w:rPr>
        <w:t>”，“手机号”：“</w:t>
      </w:r>
      <w:r>
        <w:rPr>
          <w:rFonts w:hint="eastAsia" w:ascii="仿宋_GB2312" w:eastAsia="仿宋_GB2312"/>
          <w:color w:val="auto"/>
          <w:sz w:val="28"/>
          <w:szCs w:val="28"/>
          <w:highlight w:val="none"/>
          <w:lang w:val="en-US" w:eastAsia="zh-CN"/>
        </w:rPr>
        <w:t>17702083779</w:t>
      </w:r>
      <w:r>
        <w:rPr>
          <w:rFonts w:hint="eastAsia" w:ascii="仿宋_GB2312" w:eastAsia="仿宋_GB2312"/>
          <w:color w:val="auto"/>
          <w:sz w:val="28"/>
          <w:szCs w:val="28"/>
          <w:highlight w:val="none"/>
        </w:rPr>
        <w:t>”。</w:t>
      </w:r>
    </w:p>
    <w:p>
      <w:pPr>
        <w:pStyle w:val="2"/>
        <w:rPr>
          <w:rFonts w:hint="default" w:eastAsia="仿宋_GB2312"/>
          <w:color w:val="auto"/>
          <w:highlight w:val="none"/>
          <w:lang w:val="en-US" w:eastAsia="zh-CN"/>
        </w:rPr>
      </w:pPr>
      <w:r>
        <w:rPr>
          <w:rFonts w:hint="eastAsia" w:ascii="仿宋_GB2312" w:eastAsia="仿宋_GB2312"/>
          <w:color w:val="auto"/>
          <w:sz w:val="28"/>
          <w:szCs w:val="28"/>
          <w:highlight w:val="none"/>
        </w:rPr>
        <w:t>（4）“详细描述”：递交XX项目响应文件。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广州城市水处理设备有限公司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rPr>
        <w:t>020-81761207</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广州市海珠区南洲路1375号</w:t>
      </w:r>
      <w:r>
        <w:rPr>
          <w:rFonts w:hint="eastAsia" w:ascii="仿宋_GB2312" w:hAnsi="仿宋" w:eastAsia="仿宋_GB2312"/>
          <w:color w:val="auto"/>
          <w:sz w:val="28"/>
          <w:szCs w:val="28"/>
          <w:highlight w:val="none"/>
          <w:u w:val="single"/>
          <w:lang w:val="en-US" w:eastAsia="zh-CN"/>
        </w:rPr>
        <w:t>广州城市水处理设备有限公司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vAlign w:val="top"/>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：广州城市水处理设备有限公司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vAlign w:val="top"/>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：广州市海珠区南洲路1375号广州城市水处理设备有限公司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vAlign w:val="top"/>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莫工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vAlign w:val="top"/>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17702083779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bookmarkStart w:id="163" w:name="_GoBack"/>
            <w:bookmarkEnd w:id="163"/>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2324"/>
      <w:bookmarkStart w:id="15" w:name="_Toc2331"/>
      <w:bookmarkStart w:id="16" w:name="_Toc9448"/>
      <w:bookmarkStart w:id="17" w:name="_Toc32588"/>
      <w:bookmarkStart w:id="18" w:name="_Toc7340"/>
      <w:bookmarkStart w:id="19" w:name="_Toc25603"/>
      <w:bookmarkStart w:id="20" w:name="_Toc23749"/>
      <w:bookmarkStart w:id="21" w:name="_Toc16557"/>
      <w:bookmarkStart w:id="22" w:name="_Toc19295"/>
      <w:bookmarkStart w:id="23" w:name="_Toc16705"/>
    </w:p>
    <w:p>
      <w:pPr>
        <w:rPr>
          <w:rFonts w:hint="eastAsia"/>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2129155</wp:posOffset>
                </wp:positionH>
                <wp:positionV relativeFrom="paragraph">
                  <wp:posOffset>735965</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67.65pt;margin-top:57.95pt;height:0pt;width:75.5pt;z-index:251674624;mso-width-relative:page;mso-height-relative:page;" filled="f" stroked="t" coordsize="21600,21600" o:gfxdata="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iSMN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2112010</wp:posOffset>
                </wp:positionH>
                <wp:positionV relativeFrom="paragraph">
                  <wp:posOffset>212725</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66.3pt;margin-top:16.75pt;height:0pt;width:75.5pt;z-index:251673600;mso-width-relative:page;mso-height-relative:page;" filled="f" stroked="t" coordsize="21600,21600" o:gfxdata="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33+y9cAAAAJAQAADwAAAAAAAAABACAAAAAiAAAAZHJzL2Rvd25yZXYueG1sUEsBAhQA&#10;FAAAAAgAh07iQPZi7er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
        <w:rPr>
          <w:rFonts w:hint="eastAsia"/>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rFonts w:hint="eastAsia"/>
          <w:highlight w:val="none"/>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ind w:left="0" w:leftChars="0" w:firstLine="0" w:firstLineChars="0"/>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3"/>
        <w:gridCol w:w="2639"/>
        <w:gridCol w:w="1166"/>
        <w:gridCol w:w="1900"/>
        <w:gridCol w:w="1598"/>
        <w:gridCol w:w="66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adjustRightInd w:val="0"/>
              <w:snapToGrid w:val="0"/>
              <w:spacing w:line="600" w:lineRule="exact"/>
              <w:jc w:val="center"/>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lang w:eastAsia="zh-CN"/>
              </w:rPr>
              <w:t xml:space="preserve"> </w:t>
            </w: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7"/>
        <w:rPr>
          <w:rFonts w:asciiTheme="majorEastAsia" w:hAnsiTheme="majorEastAsia" w:eastAsiaTheme="majorEastAsia"/>
          <w:b/>
          <w:color w:val="auto"/>
          <w:sz w:val="28"/>
          <w:szCs w:val="28"/>
          <w:highlight w:val="none"/>
        </w:rPr>
      </w:pPr>
    </w:p>
    <w:p>
      <w:pPr>
        <w:pStyle w:val="7"/>
        <w:rPr>
          <w:rFonts w:asciiTheme="majorEastAsia" w:hAnsiTheme="majorEastAsia" w:eastAsiaTheme="majorEastAsia"/>
          <w:b/>
          <w:color w:val="auto"/>
          <w:sz w:val="28"/>
          <w:szCs w:val="28"/>
          <w:highlight w:val="none"/>
        </w:rPr>
      </w:pPr>
    </w:p>
    <w:p>
      <w:pPr>
        <w:pStyle w:val="7"/>
        <w:rPr>
          <w:rFonts w:asciiTheme="majorEastAsia" w:hAnsiTheme="majorEastAsia" w:eastAsiaTheme="majorEastAsia"/>
          <w:b/>
          <w:color w:val="auto"/>
          <w:sz w:val="28"/>
          <w:szCs w:val="28"/>
          <w:highlight w:val="none"/>
        </w:rPr>
      </w:pPr>
    </w:p>
    <w:p>
      <w:pPr>
        <w:pStyle w:val="7"/>
        <w:rPr>
          <w:rFonts w:asciiTheme="majorEastAsia" w:hAnsiTheme="majorEastAsia" w:eastAsiaTheme="majorEastAsia"/>
          <w:b/>
          <w:color w:val="auto"/>
          <w:sz w:val="28"/>
          <w:szCs w:val="28"/>
          <w:highlight w:val="none"/>
        </w:rPr>
      </w:pPr>
    </w:p>
    <w:p>
      <w:pPr>
        <w:pStyle w:val="7"/>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8" w:leftChars="47" w:firstLine="1960" w:firstLineChars="700"/>
        <w:jc w:val="left"/>
        <w:rPr>
          <w:rFonts w:hAnsi="宋体" w:cs="仿宋_GB2312"/>
          <w:kern w:val="0"/>
          <w:sz w:val="28"/>
          <w:szCs w:val="28"/>
          <w:highlight w:val="none"/>
        </w:rPr>
      </w:pPr>
    </w:p>
    <w:p>
      <w:pPr>
        <w:widowControl/>
        <w:ind w:left="98"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8"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Pr>
        <w:rPr>
          <w:highlight w:val="none"/>
        </w:rPr>
      </w:pPr>
    </w:p>
    <w:p>
      <w:pPr>
        <w:pStyle w:val="2"/>
        <w:rPr>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p>
    <w:p>
      <w:pPr>
        <w:rPr>
          <w:rFonts w:hint="eastAsia" w:asciiTheme="minorHAnsi" w:hAnsiTheme="minorHAnsi" w:cstheme="minorBidi"/>
          <w:color w:val="auto"/>
          <w:kern w:val="44"/>
          <w:sz w:val="44"/>
          <w:szCs w:val="44"/>
          <w:highlight w:val="none"/>
        </w:rPr>
      </w:pPr>
    </w:p>
    <w:p>
      <w:pPr>
        <w:pStyle w:val="2"/>
        <w:rPr>
          <w:rFonts w:hint="eastAsia" w:asciiTheme="minorHAnsi" w:hAnsiTheme="minorHAnsi" w:cstheme="minorBidi"/>
          <w:color w:val="auto"/>
          <w:kern w:val="44"/>
          <w:sz w:val="44"/>
          <w:szCs w:val="44"/>
          <w:highlight w:val="none"/>
        </w:rPr>
      </w:pPr>
    </w:p>
    <w:p>
      <w:pPr>
        <w:pStyle w:val="2"/>
        <w:ind w:left="0" w:leftChars="0" w:firstLine="0" w:firstLineChars="0"/>
        <w:rPr>
          <w:rFonts w:hint="eastAsia" w:asciiTheme="minorHAnsi" w:hAnsiTheme="minorHAnsi" w:cstheme="minorBidi"/>
          <w:color w:val="auto"/>
          <w:kern w:val="44"/>
          <w:sz w:val="44"/>
          <w:szCs w:val="44"/>
          <w:highlight w:val="none"/>
        </w:rPr>
      </w:pPr>
    </w:p>
    <w:p>
      <w:pPr>
        <w:pStyle w:val="5"/>
        <w:jc w:val="center"/>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2165985</wp:posOffset>
                </wp:positionH>
                <wp:positionV relativeFrom="paragraph">
                  <wp:posOffset>692150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0.55pt;margin-top:54.5pt;height:0pt;width:75.5pt;z-index:251662336;mso-width-relative:page;mso-height-relative:page;" filled="f" stroked="t" coordsize="21600,21600" o:gfxdata="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21BbANYAAAAL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2106295</wp:posOffset>
                </wp:positionH>
                <wp:positionV relativeFrom="paragraph">
                  <wp:posOffset>175895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65.85pt;margin-top:13.85pt;height:0pt;width:75.5pt;z-index:251661312;mso-width-relative:page;mso-height-relative:page;" filled="f" stroked="t" coordsize="21600,21600" o:gfxdata="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nDmwdOF3&#10;n7//+vTl9uvP2x/f2POsUB+wpsCV28TTDsMmZrqHNtr8JyLsUFQ9nlVVh8QEHb6czecz0lvcu6qH&#10;vBAxvVbesmw0HFMEvevSyjtHV+fjpIgK+zeYqDIl3ifkosaxPsNPZwQONIotjQCZNhAddLuSi95o&#10;ea2NyRkYd9uViWwPeRzKl/kR7l9hucgasBviimsYlE6BfOUkS8dAQjl6Hzy3YJXkzCh6TtkiQKgT&#10;aHNJJJU2jjrIEg+iZmvr5bFoXc7p6kuPpzHNs/XnvmQ/PM3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S37AbXAAAACQEAAA8AAAAAAAAAAQAgAAAAIgAAAGRycy9kb3ducmV2LnhtbFBLAQIUABQA&#10;AAAIAIdO4kAXIMW5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5"/>
        <w:rPr>
          <w:color w:val="auto"/>
          <w:highlight w:val="none"/>
        </w:rPr>
      </w:pPr>
      <w:bookmarkStart w:id="28" w:name="_Toc87616371"/>
      <w:bookmarkStart w:id="29" w:name="_Toc7303"/>
      <w:bookmarkStart w:id="30" w:name="_Toc7040"/>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ind w:firstLine="560" w:firstLineChars="200"/>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jc w:val="center"/>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hint="default" w:ascii="仿宋_GB2312" w:eastAsia="仿宋_GB2312"/>
                <w:color w:val="auto"/>
                <w:sz w:val="24"/>
                <w:szCs w:val="24"/>
                <w:highlight w:val="none"/>
                <w:u w:val="single"/>
                <w:lang w:val="en-US"/>
              </w:rPr>
            </w:pPr>
            <w:r>
              <w:rPr>
                <w:rFonts w:hint="eastAsia" w:ascii="仿宋_GB2312" w:eastAsia="仿宋_GB2312" w:hAnsiTheme="minorEastAsia"/>
                <w:color w:val="auto"/>
                <w:sz w:val="24"/>
                <w:szCs w:val="24"/>
                <w:highlight w:val="none"/>
                <w:u w:val="single"/>
                <w:lang w:val="en-US" w:eastAsia="zh-CN"/>
              </w:rPr>
              <w:t>广州市海珠区南洲路1375号广州城市水处理设备有限公司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20594"/>
      <w:bookmarkStart w:id="35" w:name="_Toc3156"/>
      <w:bookmarkStart w:id="36" w:name="_Toc7437"/>
      <w:bookmarkStart w:id="37" w:name="_Toc14870"/>
      <w:bookmarkStart w:id="38" w:name="_Toc10930"/>
      <w:bookmarkStart w:id="39" w:name="_Toc4952"/>
      <w:bookmarkStart w:id="40" w:name="_Toc23581"/>
      <w:bookmarkStart w:id="41" w:name="_Toc19050"/>
      <w:bookmarkStart w:id="42" w:name="_Toc19759"/>
      <w:bookmarkStart w:id="43" w:name="_Toc14552"/>
      <w:bookmarkStart w:id="44" w:name="_Toc7118"/>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2161540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70.2pt;margin-top:56.7pt;height:0pt;width:75.5pt;z-index:251664384;mso-width-relative:page;mso-height-relative:page;" filled="f" stroked="t" coordsize="21600,21600" o:gfxdata="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ivqrm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2102485</wp:posOffset>
                </wp:positionH>
                <wp:positionV relativeFrom="paragraph">
                  <wp:posOffset>251460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65.55pt;margin-top:19.8pt;height:0pt;width:75.5pt;z-index:251663360;mso-width-relative:page;mso-height-relative:page;" filled="f" stroked="t" coordsize="21600,21600" o:gfxdata="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3yRln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4"/>
        <w:rPr>
          <w:color w:val="auto"/>
          <w:highlight w:val="none"/>
        </w:rPr>
      </w:pPr>
      <w:bookmarkStart w:id="45" w:name="_Toc29345"/>
      <w:bookmarkStart w:id="46" w:name="_Toc21840"/>
      <w:bookmarkStart w:id="47" w:name="_Toc88209941"/>
      <w:bookmarkStart w:id="48" w:name="_Toc12177"/>
      <w:bookmarkStart w:id="49" w:name="_Toc32607"/>
      <w:bookmarkStart w:id="50" w:name="_Toc7831"/>
      <w:bookmarkStart w:id="51" w:name="_Toc6308"/>
      <w:bookmarkStart w:id="52" w:name="_Toc29484"/>
      <w:bookmarkStart w:id="53" w:name="_Toc30530"/>
      <w:bookmarkStart w:id="54" w:name="_Toc21079"/>
      <w:bookmarkStart w:id="55" w:name="_Toc87616378"/>
      <w:bookmarkStart w:id="56" w:name="_Toc22212"/>
      <w:bookmarkStart w:id="57" w:name="_Toc1389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2017"/>
        <w:gridCol w:w="520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pStyle w:val="5"/>
        <w:rPr>
          <w:color w:val="auto"/>
          <w:highlight w:val="none"/>
        </w:rPr>
      </w:pPr>
      <w:r>
        <w:rPr>
          <w:rFonts w:hint="eastAsia"/>
          <w:color w:val="auto"/>
          <w:highlight w:val="none"/>
          <w:lang w:eastAsia="zh-CN"/>
        </w:rPr>
        <w:t>☑</w:t>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2017"/>
        <w:gridCol w:w="520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hint="default" w:ascii="仿宋_GB2312" w:eastAsia="宋体"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r>
              <w:rPr>
                <w:rFonts w:hint="eastAsia" w:ascii="仿宋_GB2312" w:eastAsia="仿宋_GB2312"/>
                <w:color w:val="auto"/>
                <w:sz w:val="24"/>
                <w:szCs w:val="24"/>
                <w:highlight w:val="none"/>
                <w:lang w:val="en-US" w:eastAsia="zh-CN"/>
              </w:rPr>
              <w:t>及投标文件实质性响应采购文件要求（★号条款）所需的资料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2004"/>
        <w:gridCol w:w="1479"/>
        <w:gridCol w:w="374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投标人综合实力</w:t>
            </w:r>
          </w:p>
        </w:tc>
        <w:tc>
          <w:tcPr>
            <w:tcW w:w="1559"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12</w:t>
            </w:r>
          </w:p>
        </w:tc>
        <w:tc>
          <w:tcPr>
            <w:tcW w:w="3969" w:type="dxa"/>
            <w:tcBorders>
              <w:top w:val="single" w:color="auto" w:sz="4" w:space="0"/>
              <w:bottom w:val="single" w:color="auto" w:sz="4" w:space="0"/>
            </w:tcBorders>
            <w:vAlign w:val="center"/>
          </w:tcPr>
          <w:p>
            <w:pPr>
              <w:numPr>
                <w:ilvl w:val="0"/>
                <w:numId w:val="4"/>
              </w:numPr>
              <w:adjustRightInd w:val="0"/>
              <w:snapToGrid w:val="0"/>
              <w:jc w:val="left"/>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拥有城市公共交通、小微型客车或以上租赁工商登记范围的，每个加1.5分；</w:t>
            </w:r>
            <w:r>
              <w:rPr>
                <w:rFonts w:hint="eastAsia" w:ascii="仿宋_GB2312" w:hAnsi="宋体" w:eastAsia="仿宋_GB2312" w:cs="Times New Roman"/>
                <w:color w:val="auto"/>
                <w:kern w:val="0"/>
                <w:sz w:val="24"/>
                <w:szCs w:val="24"/>
                <w:highlight w:val="none"/>
                <w:lang w:val="en-US" w:eastAsia="zh-CN" w:bidi="ar-SA"/>
              </w:rPr>
              <w:br w:type="textWrapping"/>
            </w:r>
            <w:r>
              <w:rPr>
                <w:rFonts w:hint="eastAsia" w:ascii="仿宋_GB2312" w:hAnsi="宋体" w:eastAsia="仿宋_GB2312" w:cs="Times New Roman"/>
                <w:color w:val="auto"/>
                <w:kern w:val="0"/>
                <w:sz w:val="24"/>
                <w:szCs w:val="24"/>
                <w:highlight w:val="none"/>
                <w:lang w:val="en-US" w:eastAsia="zh-CN" w:bidi="ar-SA"/>
              </w:rPr>
              <w:t>（2）企业300辆以上营运客车得5分、100-300辆营运客车得3分，100辆以下营运客车得1分。</w:t>
            </w:r>
            <w:r>
              <w:rPr>
                <w:rFonts w:hint="eastAsia" w:ascii="仿宋_GB2312" w:hAnsi="宋体" w:eastAsia="仿宋_GB2312" w:cs="Times New Roman"/>
                <w:color w:val="auto"/>
                <w:kern w:val="0"/>
                <w:sz w:val="24"/>
                <w:szCs w:val="24"/>
                <w:highlight w:val="none"/>
                <w:lang w:val="en-US" w:eastAsia="zh-CN" w:bidi="ar-SA"/>
              </w:rPr>
              <w:br w:type="textWrapping"/>
            </w:r>
            <w:r>
              <w:rPr>
                <w:rFonts w:hint="eastAsia" w:ascii="仿宋_GB2312" w:hAnsi="宋体" w:eastAsia="仿宋_GB2312" w:cs="Times New Roman"/>
                <w:color w:val="auto"/>
                <w:kern w:val="0"/>
                <w:sz w:val="24"/>
                <w:szCs w:val="24"/>
                <w:highlight w:val="none"/>
                <w:lang w:val="en-US" w:eastAsia="zh-CN" w:bidi="ar-SA"/>
              </w:rPr>
              <w:t>（3）企业人员300名以上得4分，100-200名得2分，100名以下得1分。</w:t>
            </w:r>
          </w:p>
          <w:p>
            <w:pPr>
              <w:pStyle w:val="2"/>
              <w:numPr>
                <w:ilvl w:val="0"/>
                <w:numId w:val="0"/>
              </w:numPr>
              <w:rPr>
                <w:rFonts w:hint="eastAsia"/>
                <w:highlight w:val="none"/>
                <w:lang w:val="en-US" w:eastAsia="zh-CN"/>
              </w:rPr>
            </w:pPr>
            <w:r>
              <w:rPr>
                <w:rFonts w:hint="eastAsia" w:ascii="仿宋_GB2312" w:eastAsia="仿宋_GB2312" w:cs="Times New Roman"/>
                <w:b/>
                <w:bCs/>
                <w:color w:val="auto"/>
                <w:kern w:val="0"/>
                <w:sz w:val="24"/>
                <w:szCs w:val="24"/>
                <w:highlight w:val="none"/>
                <w:lang w:val="en-US" w:eastAsia="zh-CN" w:bidi="ar-SA"/>
              </w:rPr>
              <w:t>注：</w:t>
            </w:r>
            <w:r>
              <w:rPr>
                <w:rFonts w:hint="eastAsia" w:ascii="仿宋_GB2312" w:hAnsi="宋体" w:eastAsia="仿宋_GB2312" w:cs="Times New Roman"/>
                <w:b/>
                <w:bCs/>
                <w:color w:val="auto"/>
                <w:kern w:val="0"/>
                <w:sz w:val="24"/>
                <w:szCs w:val="24"/>
                <w:highlight w:val="none"/>
                <w:lang w:val="en-US" w:eastAsia="zh-CN" w:bidi="ar-SA"/>
              </w:rPr>
              <w:t>需提供营业执照经营范围、政府主管部门平台展示信息或营运车行驶证，企业花名册及近三个月社保缴纳、或政府主管部门平台展示信息。上述材料均需加盖投标公司公章。</w:t>
            </w:r>
            <w:r>
              <w:rPr>
                <w:rFonts w:hint="eastAsia" w:ascii="仿宋_GB2312" w:eastAsia="仿宋_GB2312" w:hAnsiTheme="minorHAnsi" w:cstheme="minorBidi"/>
                <w:b/>
                <w:bCs/>
                <w:color w:val="auto"/>
                <w:kern w:val="2"/>
                <w:sz w:val="24"/>
                <w:szCs w:val="24"/>
                <w:highlight w:val="none"/>
                <w:lang w:val="en-US" w:eastAsia="zh-CN" w:bidi="ar-SA"/>
              </w:rPr>
              <w:t>无提供的不得分。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投标人同类业绩</w:t>
            </w:r>
          </w:p>
        </w:tc>
        <w:tc>
          <w:tcPr>
            <w:tcW w:w="1559" w:type="dxa"/>
            <w:tcBorders>
              <w:top w:val="single" w:color="auto" w:sz="4" w:space="0"/>
              <w:bottom w:val="single" w:color="auto" w:sz="4" w:space="0"/>
            </w:tcBorders>
            <w:vAlign w:val="center"/>
          </w:tcPr>
          <w:p>
            <w:pPr>
              <w:adjustRightInd w:val="0"/>
              <w:snapToGrid w:val="0"/>
              <w:jc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8</w:t>
            </w:r>
          </w:p>
        </w:tc>
        <w:tc>
          <w:tcPr>
            <w:tcW w:w="3969" w:type="dxa"/>
            <w:tcBorders>
              <w:top w:val="single" w:color="auto" w:sz="4" w:space="0"/>
              <w:bottom w:val="single" w:color="auto" w:sz="4" w:space="0"/>
            </w:tcBorders>
            <w:vAlign w:val="center"/>
          </w:tcPr>
          <w:p>
            <w:pPr>
              <w:adjustRightInd w:val="0"/>
              <w:snapToGrid w:val="0"/>
              <w:jc w:val="left"/>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2019年1月至今每份合同工作日运力达20辆或年度结算金额达600万的加8分（至少拥有2份业务合同）、每份合同工作日运力15辆或以上或年度结算金额达300万的加5分（至少拥有4份业务合同），每份合同工作日运力达10辆或以上或年度结算金额达150的加4分（至少拥有4份业务合同），每份合同工作日运力5辆以下或年度结算金额达25万的加2分（至少拥有2份业务合同）。无不得分。</w:t>
            </w:r>
          </w:p>
          <w:p>
            <w:pPr>
              <w:pStyle w:val="2"/>
              <w:ind w:left="0" w:leftChars="0" w:firstLine="0" w:firstLineChars="0"/>
              <w:rPr>
                <w:rFonts w:hint="eastAsia" w:ascii="仿宋_GB2312" w:hAnsi="宋体" w:eastAsia="仿宋_GB2312" w:cs="Times New Roman"/>
                <w:b/>
                <w:bCs/>
                <w:color w:val="auto"/>
                <w:kern w:val="0"/>
                <w:sz w:val="24"/>
                <w:szCs w:val="24"/>
                <w:highlight w:val="none"/>
                <w:lang w:val="en-US" w:eastAsia="zh-CN" w:bidi="ar-SA"/>
              </w:rPr>
            </w:pPr>
            <w:r>
              <w:rPr>
                <w:rFonts w:hint="eastAsia" w:ascii="仿宋_GB2312" w:eastAsia="仿宋_GB2312" w:cs="Times New Roman"/>
                <w:b/>
                <w:bCs/>
                <w:color w:val="auto"/>
                <w:kern w:val="0"/>
                <w:sz w:val="24"/>
                <w:szCs w:val="24"/>
                <w:highlight w:val="none"/>
                <w:lang w:val="en-US" w:eastAsia="zh-CN" w:bidi="ar-SA"/>
              </w:rPr>
              <w:t>注：</w:t>
            </w:r>
            <w:r>
              <w:rPr>
                <w:rFonts w:hint="eastAsia" w:ascii="仿宋_GB2312" w:hAnsi="宋体" w:eastAsia="仿宋_GB2312" w:cs="Times New Roman"/>
                <w:b/>
                <w:bCs/>
                <w:color w:val="auto"/>
                <w:kern w:val="0"/>
                <w:sz w:val="24"/>
                <w:szCs w:val="24"/>
                <w:highlight w:val="none"/>
                <w:lang w:val="en-US" w:eastAsia="zh-CN" w:bidi="ar-SA"/>
              </w:rPr>
              <w:t>需提供加盖投标公司公章的服务合同。</w:t>
            </w:r>
            <w:r>
              <w:rPr>
                <w:rFonts w:hint="eastAsia" w:ascii="仿宋_GB2312" w:eastAsia="仿宋_GB2312" w:hAnsiTheme="minorHAnsi" w:cstheme="minorBidi"/>
                <w:b/>
                <w:bCs/>
                <w:color w:val="auto"/>
                <w:kern w:val="2"/>
                <w:sz w:val="24"/>
                <w:szCs w:val="24"/>
                <w:highlight w:val="none"/>
                <w:lang w:val="en-US" w:eastAsia="zh-CN" w:bidi="ar-SA"/>
              </w:rPr>
              <w:t>无提供的不得分。</w:t>
            </w:r>
          </w:p>
          <w:p>
            <w:pPr>
              <w:adjustRightInd w:val="0"/>
              <w:snapToGrid w:val="0"/>
              <w:jc w:val="left"/>
              <w:rPr>
                <w:rFonts w:hint="default" w:ascii="仿宋_GB2312" w:hAnsi="宋体" w:eastAsia="仿宋_GB2312" w:cs="Times New Roman"/>
                <w:color w:val="auto"/>
                <w:kern w:val="0"/>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投标人体系认证</w:t>
            </w:r>
          </w:p>
        </w:tc>
        <w:tc>
          <w:tcPr>
            <w:tcW w:w="1559"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5</w:t>
            </w:r>
          </w:p>
        </w:tc>
        <w:tc>
          <w:tcPr>
            <w:tcW w:w="3969" w:type="dxa"/>
            <w:tcBorders>
              <w:top w:val="single" w:color="auto" w:sz="4" w:space="0"/>
              <w:bottom w:val="single" w:color="auto" w:sz="4" w:space="0"/>
            </w:tcBorders>
            <w:vAlign w:val="center"/>
          </w:tcPr>
          <w:p>
            <w:pPr>
              <w:adjustRightInd w:val="0"/>
              <w:snapToGrid w:val="0"/>
              <w:jc w:val="left"/>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投标人同时具备有效期内的质量管理体系认证、环境管理体系认证、职业健康安全管理体系认证，有1个得2分，有2个得3分，全有得5分</w:t>
            </w:r>
          </w:p>
          <w:p>
            <w:pPr>
              <w:pStyle w:val="2"/>
              <w:ind w:left="0" w:leftChars="0" w:firstLine="0" w:firstLineChars="0"/>
              <w:rPr>
                <w:rFonts w:hint="default"/>
                <w:highlight w:val="none"/>
                <w:lang w:val="en-US" w:eastAsia="zh-CN"/>
              </w:rPr>
            </w:pPr>
            <w:r>
              <w:rPr>
                <w:rFonts w:hint="eastAsia" w:ascii="仿宋_GB2312" w:eastAsia="仿宋_GB2312" w:cs="Times New Roman"/>
                <w:b/>
                <w:bCs/>
                <w:color w:val="auto"/>
                <w:kern w:val="0"/>
                <w:sz w:val="24"/>
                <w:szCs w:val="24"/>
                <w:highlight w:val="none"/>
                <w:lang w:val="en-US" w:eastAsia="zh-CN" w:bidi="ar-SA"/>
              </w:rPr>
              <w:t>注：</w:t>
            </w:r>
            <w:r>
              <w:rPr>
                <w:rFonts w:hint="eastAsia" w:ascii="仿宋_GB2312" w:hAnsi="宋体" w:eastAsia="仿宋_GB2312" w:cs="Times New Roman"/>
                <w:b/>
                <w:bCs/>
                <w:color w:val="auto"/>
                <w:kern w:val="0"/>
                <w:sz w:val="24"/>
                <w:szCs w:val="24"/>
                <w:highlight w:val="none"/>
                <w:lang w:val="en-US" w:eastAsia="zh-CN" w:bidi="ar-SA"/>
              </w:rPr>
              <w:t>需提供加盖投标人公章的体系认证复印件</w:t>
            </w:r>
            <w:r>
              <w:rPr>
                <w:rFonts w:hint="eastAsia" w:ascii="仿宋_GB2312" w:eastAsia="仿宋_GB2312" w:cs="Times New Roman"/>
                <w:b/>
                <w:bCs/>
                <w:color w:val="auto"/>
                <w:kern w:val="0"/>
                <w:sz w:val="24"/>
                <w:szCs w:val="24"/>
                <w:highlight w:val="none"/>
                <w:lang w:val="en-US" w:eastAsia="zh-CN" w:bidi="ar-SA"/>
              </w:rPr>
              <w:t>。</w:t>
            </w:r>
            <w:r>
              <w:rPr>
                <w:rFonts w:hint="eastAsia" w:ascii="仿宋_GB2312" w:eastAsia="仿宋_GB2312" w:hAnsiTheme="minorHAnsi" w:cstheme="minorBidi"/>
                <w:b/>
                <w:bCs/>
                <w:color w:val="auto"/>
                <w:kern w:val="2"/>
                <w:sz w:val="24"/>
                <w:szCs w:val="24"/>
                <w:highlight w:val="none"/>
                <w:lang w:val="en-US" w:eastAsia="zh-CN" w:bidi="ar-SA"/>
              </w:rPr>
              <w:t>无提供的不得分。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lang w:val="en-US" w:eastAsia="zh-CN"/>
              </w:rPr>
              <w:t>4</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投标人客户评价</w:t>
            </w:r>
          </w:p>
        </w:tc>
        <w:tc>
          <w:tcPr>
            <w:tcW w:w="1559"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10</w:t>
            </w:r>
          </w:p>
        </w:tc>
        <w:tc>
          <w:tcPr>
            <w:tcW w:w="3969" w:type="dxa"/>
            <w:tcBorders>
              <w:top w:val="single" w:color="auto" w:sz="4" w:space="0"/>
              <w:bottom w:val="single" w:color="auto" w:sz="4" w:space="0"/>
            </w:tcBorders>
            <w:vAlign w:val="center"/>
          </w:tcPr>
          <w:p>
            <w:pPr>
              <w:adjustRightInd w:val="0"/>
              <w:snapToGrid w:val="0"/>
              <w:jc w:val="left"/>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2019年至今获得政府部门或企事业单位服务保障相关奖项或表扬，获国家及或省级奖项每个加2分，4分封顶；</w:t>
            </w:r>
            <w:r>
              <w:rPr>
                <w:rFonts w:hint="eastAsia" w:ascii="仿宋_GB2312" w:hAnsi="宋体" w:eastAsia="仿宋_GB2312" w:cs="Times New Roman"/>
                <w:color w:val="auto"/>
                <w:kern w:val="0"/>
                <w:sz w:val="24"/>
                <w:szCs w:val="24"/>
                <w:highlight w:val="none"/>
                <w:lang w:val="en-US" w:eastAsia="zh-CN" w:bidi="ar-SA"/>
              </w:rPr>
              <w:br w:type="textWrapping"/>
            </w:r>
            <w:r>
              <w:rPr>
                <w:rFonts w:hint="eastAsia" w:ascii="仿宋_GB2312" w:hAnsi="宋体" w:eastAsia="仿宋_GB2312" w:cs="Times New Roman"/>
                <w:color w:val="auto"/>
                <w:kern w:val="0"/>
                <w:sz w:val="24"/>
                <w:szCs w:val="24"/>
                <w:highlight w:val="none"/>
                <w:lang w:val="en-US" w:eastAsia="zh-CN" w:bidi="ar-SA"/>
              </w:rPr>
              <w:t>获市县区级奖项每个加1.5分，3分封顶；</w:t>
            </w:r>
            <w:r>
              <w:rPr>
                <w:rFonts w:hint="eastAsia" w:ascii="仿宋_GB2312" w:hAnsi="宋体" w:eastAsia="仿宋_GB2312" w:cs="Times New Roman"/>
                <w:color w:val="auto"/>
                <w:kern w:val="0"/>
                <w:sz w:val="24"/>
                <w:szCs w:val="24"/>
                <w:highlight w:val="none"/>
                <w:lang w:val="en-US" w:eastAsia="zh-CN" w:bidi="ar-SA"/>
              </w:rPr>
              <w:br w:type="textWrapping"/>
            </w:r>
            <w:r>
              <w:rPr>
                <w:rFonts w:hint="eastAsia" w:ascii="仿宋_GB2312" w:hAnsi="宋体" w:eastAsia="仿宋_GB2312" w:cs="Times New Roman"/>
                <w:color w:val="auto"/>
                <w:kern w:val="0"/>
                <w:sz w:val="24"/>
                <w:szCs w:val="24"/>
                <w:highlight w:val="none"/>
                <w:lang w:val="en-US" w:eastAsia="zh-CN" w:bidi="ar-SA"/>
              </w:rPr>
              <w:t>企事业单位书面的每个加1分，3分封顶。</w:t>
            </w:r>
            <w:r>
              <w:rPr>
                <w:rFonts w:hint="eastAsia" w:ascii="仿宋_GB2312" w:hAnsi="宋体" w:eastAsia="仿宋_GB2312" w:cs="Times New Roman"/>
                <w:color w:val="auto"/>
                <w:kern w:val="0"/>
                <w:sz w:val="24"/>
                <w:szCs w:val="24"/>
                <w:highlight w:val="none"/>
                <w:lang w:val="en-US" w:eastAsia="zh-CN" w:bidi="ar-SA"/>
              </w:rPr>
              <w:br w:type="textWrapping"/>
            </w:r>
            <w:r>
              <w:rPr>
                <w:rFonts w:hint="eastAsia" w:ascii="仿宋_GB2312" w:hAnsi="宋体" w:eastAsia="仿宋_GB2312" w:cs="Times New Roman"/>
                <w:color w:val="auto"/>
                <w:kern w:val="0"/>
                <w:sz w:val="24"/>
                <w:szCs w:val="24"/>
                <w:highlight w:val="none"/>
                <w:lang w:val="en-US" w:eastAsia="zh-CN" w:bidi="ar-SA"/>
              </w:rPr>
              <w:t>无不得分。</w:t>
            </w:r>
          </w:p>
          <w:p>
            <w:pPr>
              <w:pStyle w:val="2"/>
              <w:ind w:left="0" w:leftChars="0" w:firstLine="0" w:firstLineChars="0"/>
              <w:rPr>
                <w:rFonts w:hint="default"/>
                <w:highlight w:val="none"/>
                <w:lang w:val="en-US" w:eastAsia="zh-CN"/>
              </w:rPr>
            </w:pPr>
            <w:r>
              <w:rPr>
                <w:rFonts w:hint="eastAsia" w:ascii="仿宋_GB2312" w:eastAsia="仿宋_GB2312" w:cs="Times New Roman"/>
                <w:b/>
                <w:bCs/>
                <w:color w:val="auto"/>
                <w:kern w:val="0"/>
                <w:sz w:val="24"/>
                <w:szCs w:val="24"/>
                <w:highlight w:val="none"/>
                <w:lang w:val="en-US" w:eastAsia="zh-CN" w:bidi="ar-SA"/>
              </w:rPr>
              <w:t>注：</w:t>
            </w:r>
            <w:r>
              <w:rPr>
                <w:rFonts w:hint="eastAsia" w:ascii="仿宋_GB2312" w:hAnsi="宋体" w:eastAsia="仿宋_GB2312" w:cs="Times New Roman"/>
                <w:b/>
                <w:bCs/>
                <w:color w:val="auto"/>
                <w:kern w:val="0"/>
                <w:sz w:val="24"/>
                <w:szCs w:val="24"/>
                <w:highlight w:val="none"/>
                <w:lang w:val="en-US" w:eastAsia="zh-CN" w:bidi="ar-SA"/>
              </w:rPr>
              <w:t>需提供加盖投标人公章</w:t>
            </w:r>
            <w:r>
              <w:rPr>
                <w:rFonts w:hint="eastAsia" w:ascii="仿宋_GB2312" w:eastAsia="仿宋_GB2312" w:cs="Times New Roman"/>
                <w:b/>
                <w:bCs/>
                <w:color w:val="auto"/>
                <w:kern w:val="0"/>
                <w:sz w:val="24"/>
                <w:szCs w:val="24"/>
                <w:highlight w:val="none"/>
                <w:lang w:val="en-US" w:eastAsia="zh-CN" w:bidi="ar-SA"/>
              </w:rPr>
              <w:t>及嘉奖单位公章的</w:t>
            </w:r>
            <w:r>
              <w:rPr>
                <w:rFonts w:hint="eastAsia" w:ascii="仿宋_GB2312" w:hAnsi="宋体" w:eastAsia="仿宋_GB2312" w:cs="Times New Roman"/>
                <w:b/>
                <w:bCs/>
                <w:color w:val="auto"/>
                <w:kern w:val="0"/>
                <w:sz w:val="24"/>
                <w:szCs w:val="24"/>
                <w:highlight w:val="none"/>
                <w:lang w:val="en-US" w:eastAsia="zh-CN" w:bidi="ar-SA"/>
              </w:rPr>
              <w:t>的嘉奖材料</w:t>
            </w:r>
            <w:r>
              <w:rPr>
                <w:rFonts w:hint="eastAsia" w:ascii="仿宋_GB2312" w:eastAsia="仿宋_GB2312" w:cs="Times New Roman"/>
                <w:b/>
                <w:bCs/>
                <w:color w:val="auto"/>
                <w:kern w:val="0"/>
                <w:sz w:val="24"/>
                <w:szCs w:val="24"/>
                <w:highlight w:val="none"/>
                <w:lang w:val="en-US" w:eastAsia="zh-CN" w:bidi="ar-SA"/>
              </w:rPr>
              <w:t>。</w:t>
            </w:r>
            <w:r>
              <w:rPr>
                <w:rFonts w:hint="eastAsia" w:ascii="仿宋_GB2312" w:eastAsia="仿宋_GB2312" w:hAnsiTheme="minorHAnsi" w:cstheme="minorBidi"/>
                <w:b/>
                <w:bCs/>
                <w:color w:val="auto"/>
                <w:kern w:val="2"/>
                <w:sz w:val="24"/>
                <w:szCs w:val="24"/>
                <w:highlight w:val="none"/>
                <w:lang w:val="en-US" w:eastAsia="zh-CN" w:bidi="ar-SA"/>
              </w:rPr>
              <w:t>无提供的不得分。</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2"/>
        <w:gridCol w:w="2006"/>
        <w:gridCol w:w="1480"/>
        <w:gridCol w:w="3745"/>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投标人企业管理水平</w:t>
            </w:r>
          </w:p>
        </w:tc>
        <w:tc>
          <w:tcPr>
            <w:tcW w:w="1559"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10</w:t>
            </w:r>
          </w:p>
        </w:tc>
        <w:tc>
          <w:tcPr>
            <w:tcW w:w="3969" w:type="dxa"/>
            <w:tcBorders>
              <w:top w:val="single" w:color="auto" w:sz="4" w:space="0"/>
              <w:bottom w:val="single" w:color="auto" w:sz="4" w:space="0"/>
            </w:tcBorders>
            <w:vAlign w:val="center"/>
          </w:tcPr>
          <w:p>
            <w:pPr>
              <w:adjustRightInd w:val="0"/>
              <w:snapToGrid w:val="0"/>
              <w:jc w:val="left"/>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汽车维修工技师或以上2名加2分，中级汽车维修工或以上4名加2分。</w:t>
            </w:r>
            <w:r>
              <w:rPr>
                <w:rFonts w:hint="eastAsia" w:ascii="仿宋_GB2312" w:hAnsi="宋体" w:eastAsia="仿宋_GB2312" w:cs="Times New Roman"/>
                <w:color w:val="auto"/>
                <w:kern w:val="0"/>
                <w:sz w:val="24"/>
                <w:szCs w:val="24"/>
                <w:highlight w:val="none"/>
                <w:lang w:val="en-US" w:eastAsia="zh-CN" w:bidi="ar-SA"/>
              </w:rPr>
              <w:br w:type="textWrapping"/>
            </w:r>
            <w:r>
              <w:rPr>
                <w:rFonts w:hint="eastAsia" w:ascii="仿宋_GB2312" w:hAnsi="宋体" w:eastAsia="仿宋_GB2312" w:cs="Times New Roman"/>
                <w:color w:val="auto"/>
                <w:kern w:val="0"/>
                <w:sz w:val="24"/>
                <w:szCs w:val="24"/>
                <w:highlight w:val="none"/>
                <w:lang w:val="en-US" w:eastAsia="zh-CN" w:bidi="ar-SA"/>
              </w:rPr>
              <w:t>无不得分。</w:t>
            </w:r>
            <w:r>
              <w:rPr>
                <w:rFonts w:hint="eastAsia" w:ascii="仿宋_GB2312" w:hAnsi="宋体" w:eastAsia="仿宋_GB2312" w:cs="Times New Roman"/>
                <w:color w:val="auto"/>
                <w:kern w:val="0"/>
                <w:sz w:val="24"/>
                <w:szCs w:val="24"/>
                <w:highlight w:val="none"/>
                <w:lang w:val="en-US" w:eastAsia="zh-CN" w:bidi="ar-SA"/>
              </w:rPr>
              <w:br w:type="textWrapping"/>
            </w:r>
            <w:r>
              <w:rPr>
                <w:rFonts w:hint="eastAsia" w:ascii="仿宋_GB2312" w:hAnsi="宋体" w:eastAsia="仿宋_GB2312" w:cs="Times New Roman"/>
                <w:color w:val="auto"/>
                <w:kern w:val="0"/>
                <w:sz w:val="24"/>
                <w:szCs w:val="24"/>
                <w:highlight w:val="none"/>
                <w:lang w:val="en-US" w:eastAsia="zh-CN" w:bidi="ar-SA"/>
              </w:rPr>
              <w:t>安全管理证书人数5名或以上得3分，2-4名得2分，2名以下得1分，0人不得分；客运调度证书人数</w:t>
            </w:r>
            <w:r>
              <w:rPr>
                <w:rFonts w:hint="eastAsia" w:ascii="仿宋_GB2312" w:hAnsi="宋体" w:eastAsia="仿宋_GB2312" w:cs="Times New Roman"/>
                <w:color w:val="FF0000"/>
                <w:kern w:val="0"/>
                <w:sz w:val="24"/>
                <w:szCs w:val="24"/>
                <w:highlight w:val="none"/>
                <w:lang w:val="en-US" w:eastAsia="zh-CN" w:bidi="ar-SA"/>
              </w:rPr>
              <w:t>5</w:t>
            </w:r>
            <w:r>
              <w:rPr>
                <w:rFonts w:hint="eastAsia" w:ascii="仿宋_GB2312" w:hAnsi="宋体" w:eastAsia="仿宋_GB2312" w:cs="Times New Roman"/>
                <w:color w:val="auto"/>
                <w:kern w:val="0"/>
                <w:sz w:val="24"/>
                <w:szCs w:val="24"/>
                <w:highlight w:val="none"/>
                <w:lang w:val="en-US" w:eastAsia="zh-CN" w:bidi="ar-SA"/>
              </w:rPr>
              <w:t>名或以上得3分，2-4名得2分，2名以下得1分。</w:t>
            </w:r>
            <w:r>
              <w:rPr>
                <w:rFonts w:hint="eastAsia" w:ascii="仿宋_GB2312" w:hAnsi="宋体" w:eastAsia="仿宋_GB2312" w:cs="Times New Roman"/>
                <w:color w:val="auto"/>
                <w:kern w:val="0"/>
                <w:sz w:val="24"/>
                <w:szCs w:val="24"/>
                <w:highlight w:val="none"/>
                <w:lang w:val="en-US" w:eastAsia="zh-CN" w:bidi="ar-SA"/>
              </w:rPr>
              <w:br w:type="textWrapping"/>
            </w:r>
            <w:r>
              <w:rPr>
                <w:rFonts w:hint="eastAsia" w:ascii="仿宋_GB2312" w:hAnsi="宋体" w:eastAsia="仿宋_GB2312" w:cs="Times New Roman"/>
                <w:color w:val="auto"/>
                <w:kern w:val="0"/>
                <w:sz w:val="24"/>
                <w:szCs w:val="24"/>
                <w:highlight w:val="none"/>
                <w:lang w:val="en-US" w:eastAsia="zh-CN" w:bidi="ar-SA"/>
              </w:rPr>
              <w:t>无不得分。</w:t>
            </w:r>
          </w:p>
          <w:p>
            <w:pPr>
              <w:pStyle w:val="2"/>
              <w:ind w:left="0" w:leftChars="0" w:firstLine="0" w:firstLineChars="0"/>
              <w:rPr>
                <w:rFonts w:hint="eastAsia"/>
                <w:highlight w:val="none"/>
                <w:lang w:val="en-US" w:eastAsia="zh-CN"/>
              </w:rPr>
            </w:pPr>
            <w:r>
              <w:rPr>
                <w:rFonts w:hint="eastAsia" w:ascii="仿宋_GB2312" w:eastAsia="仿宋_GB2312" w:hAnsiTheme="minorHAnsi" w:cstheme="minorBidi"/>
                <w:b/>
                <w:bCs/>
                <w:color w:val="auto"/>
                <w:kern w:val="2"/>
                <w:sz w:val="24"/>
                <w:szCs w:val="24"/>
                <w:highlight w:val="none"/>
                <w:lang w:val="en-US" w:eastAsia="zh-CN" w:bidi="ar-SA"/>
              </w:rPr>
              <w:t>注：须提供以上人员的证书证明材料及在投标人服务的证明材料扫描件，如投标截止日之前近半年的连续三个月的代缴个税税单或参加社会保险的《投保单》或《社会保险参保人员证明》或相关合同等。无提供的不得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投标人机动车应急基地情况</w:t>
            </w:r>
          </w:p>
        </w:tc>
        <w:tc>
          <w:tcPr>
            <w:tcW w:w="1559"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5</w:t>
            </w:r>
          </w:p>
        </w:tc>
        <w:tc>
          <w:tcPr>
            <w:tcW w:w="3969" w:type="dxa"/>
            <w:tcBorders>
              <w:top w:val="single" w:color="auto" w:sz="4" w:space="0"/>
              <w:bottom w:val="single" w:color="auto" w:sz="4" w:space="0"/>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综合考虑投标人机动车应急基地数量及分布，横向比较：</w:t>
            </w:r>
            <w:r>
              <w:rPr>
                <w:rFonts w:hint="eastAsia" w:ascii="仿宋_GB2312" w:eastAsia="仿宋_GB2312"/>
                <w:color w:val="auto"/>
                <w:sz w:val="24"/>
                <w:szCs w:val="24"/>
                <w:highlight w:val="none"/>
                <w:lang w:val="en-US" w:eastAsia="zh-CN"/>
              </w:rPr>
              <w:br w:type="textWrapping"/>
            </w:r>
            <w:r>
              <w:rPr>
                <w:rFonts w:hint="eastAsia" w:ascii="仿宋_GB2312" w:eastAsia="仿宋_GB2312"/>
                <w:color w:val="auto"/>
                <w:sz w:val="24"/>
                <w:szCs w:val="24"/>
                <w:highlight w:val="none"/>
                <w:lang w:val="en-US" w:eastAsia="zh-CN"/>
              </w:rPr>
              <w:t>行驶路线附近机动车应急基地数量最多，应急基地离行驶路线最短，得5分。</w:t>
            </w:r>
            <w:r>
              <w:rPr>
                <w:rFonts w:hint="eastAsia" w:ascii="仿宋_GB2312" w:eastAsia="仿宋_GB2312"/>
                <w:color w:val="auto"/>
                <w:sz w:val="24"/>
                <w:szCs w:val="24"/>
                <w:highlight w:val="none"/>
                <w:lang w:val="en-US" w:eastAsia="zh-CN"/>
              </w:rPr>
              <w:br w:type="textWrapping"/>
            </w:r>
            <w:r>
              <w:rPr>
                <w:rFonts w:hint="eastAsia" w:ascii="仿宋_GB2312" w:eastAsia="仿宋_GB2312"/>
                <w:color w:val="auto"/>
                <w:sz w:val="24"/>
                <w:szCs w:val="24"/>
                <w:highlight w:val="none"/>
                <w:lang w:val="en-US" w:eastAsia="zh-CN"/>
              </w:rPr>
              <w:t>行驶路线附近机动车应急基地数量较多，应急基地离行驶路线较短，得4分。</w:t>
            </w:r>
            <w:r>
              <w:rPr>
                <w:rFonts w:hint="eastAsia" w:ascii="仿宋_GB2312" w:eastAsia="仿宋_GB2312"/>
                <w:color w:val="auto"/>
                <w:sz w:val="24"/>
                <w:szCs w:val="24"/>
                <w:highlight w:val="none"/>
                <w:lang w:val="en-US" w:eastAsia="zh-CN"/>
              </w:rPr>
              <w:br w:type="textWrapping"/>
            </w:r>
            <w:r>
              <w:rPr>
                <w:rFonts w:hint="eastAsia" w:ascii="仿宋_GB2312" w:eastAsia="仿宋_GB2312"/>
                <w:color w:val="auto"/>
                <w:sz w:val="24"/>
                <w:szCs w:val="24"/>
                <w:highlight w:val="none"/>
                <w:lang w:val="en-US" w:eastAsia="zh-CN"/>
              </w:rPr>
              <w:t>行驶路线附近机动车应急基地数量合理，应急基地离行驶路线合理，得3分。</w:t>
            </w:r>
            <w:r>
              <w:rPr>
                <w:rFonts w:hint="eastAsia" w:ascii="仿宋_GB2312" w:eastAsia="仿宋_GB2312"/>
                <w:color w:val="auto"/>
                <w:sz w:val="24"/>
                <w:szCs w:val="24"/>
                <w:highlight w:val="none"/>
                <w:lang w:val="en-US" w:eastAsia="zh-CN"/>
              </w:rPr>
              <w:br w:type="textWrapping"/>
            </w:r>
            <w:r>
              <w:rPr>
                <w:rFonts w:hint="eastAsia" w:ascii="仿宋_GB2312" w:eastAsia="仿宋_GB2312"/>
                <w:color w:val="auto"/>
                <w:sz w:val="24"/>
                <w:szCs w:val="24"/>
                <w:highlight w:val="none"/>
                <w:lang w:val="en-US" w:eastAsia="zh-CN"/>
              </w:rPr>
              <w:t>行驶路线附近机动车应急基地数量较少，应急基地离行驶路线较长，得2分。</w:t>
            </w:r>
            <w:r>
              <w:rPr>
                <w:rFonts w:hint="eastAsia" w:ascii="仿宋_GB2312" w:eastAsia="仿宋_GB2312"/>
                <w:color w:val="auto"/>
                <w:sz w:val="24"/>
                <w:szCs w:val="24"/>
                <w:highlight w:val="none"/>
                <w:lang w:val="en-US" w:eastAsia="zh-CN"/>
              </w:rPr>
              <w:br w:type="textWrapping"/>
            </w:r>
            <w:r>
              <w:rPr>
                <w:rFonts w:hint="eastAsia" w:ascii="仿宋_GB2312" w:eastAsia="仿宋_GB2312"/>
                <w:color w:val="auto"/>
                <w:sz w:val="24"/>
                <w:szCs w:val="24"/>
                <w:highlight w:val="none"/>
                <w:lang w:val="en-US" w:eastAsia="zh-CN"/>
              </w:rPr>
              <w:t>无不得分。数量与路线分数比值为1：1。</w:t>
            </w:r>
          </w:p>
          <w:p>
            <w:pPr>
              <w:pStyle w:val="2"/>
              <w:ind w:left="0" w:leftChars="0" w:firstLine="0" w:firstLineChars="0"/>
              <w:rPr>
                <w:rFonts w:hint="default"/>
                <w:highlight w:val="none"/>
                <w:lang w:val="en-US" w:eastAsia="zh-CN"/>
              </w:rPr>
            </w:pPr>
            <w:r>
              <w:rPr>
                <w:rFonts w:hint="eastAsia" w:ascii="仿宋_GB2312" w:eastAsia="仿宋_GB2312" w:hAnsiTheme="minorHAnsi" w:cstheme="minorBidi"/>
                <w:b/>
                <w:bCs/>
                <w:color w:val="auto"/>
                <w:kern w:val="2"/>
                <w:sz w:val="24"/>
                <w:szCs w:val="24"/>
                <w:highlight w:val="none"/>
                <w:lang w:val="en-US" w:eastAsia="zh-CN" w:bidi="ar-SA"/>
              </w:rPr>
              <w:t>注：需同时提供相关证明材料（包括但不限于投标人应急基地地点清单、导航地图截图、产权证明或租赁合同），不符合或不提供不得分。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3</w:t>
            </w: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投标人车况</w:t>
            </w:r>
          </w:p>
        </w:tc>
        <w:tc>
          <w:tcPr>
            <w:tcW w:w="1559"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5</w:t>
            </w:r>
          </w:p>
        </w:tc>
        <w:tc>
          <w:tcPr>
            <w:tcW w:w="3969" w:type="dxa"/>
            <w:tcBorders>
              <w:top w:val="single" w:color="auto" w:sz="4" w:space="0"/>
              <w:bottom w:val="single" w:color="auto" w:sz="4" w:space="0"/>
            </w:tcBorders>
            <w:vAlign w:val="center"/>
          </w:tcPr>
          <w:p>
            <w:pPr>
              <w:adjustRightInd w:val="0"/>
              <w:snapToGrid w:val="0"/>
              <w:jc w:val="left"/>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拟投入车辆使用时间不超过5年，行驶路程不超过40万公里，得5分。</w:t>
            </w:r>
            <w:r>
              <w:rPr>
                <w:rFonts w:hint="eastAsia" w:ascii="仿宋_GB2312" w:eastAsia="仿宋_GB2312"/>
                <w:color w:val="auto"/>
                <w:sz w:val="24"/>
                <w:szCs w:val="24"/>
                <w:highlight w:val="none"/>
                <w:lang w:val="en-US" w:eastAsia="zh-CN"/>
              </w:rPr>
              <w:br w:type="textWrapping"/>
            </w:r>
            <w:r>
              <w:rPr>
                <w:rFonts w:hint="eastAsia" w:ascii="仿宋_GB2312" w:eastAsia="仿宋_GB2312"/>
                <w:color w:val="auto"/>
                <w:sz w:val="24"/>
                <w:szCs w:val="24"/>
                <w:highlight w:val="none"/>
                <w:lang w:val="en-US" w:eastAsia="zh-CN"/>
              </w:rPr>
              <w:t>拟投入车辆使用时间不超过7年，行驶路程不超过60万公里，得3分。</w:t>
            </w:r>
            <w:r>
              <w:rPr>
                <w:rFonts w:hint="eastAsia" w:ascii="仿宋_GB2312" w:eastAsia="仿宋_GB2312"/>
                <w:color w:val="auto"/>
                <w:sz w:val="24"/>
                <w:szCs w:val="24"/>
                <w:highlight w:val="none"/>
                <w:lang w:val="en-US" w:eastAsia="zh-CN"/>
              </w:rPr>
              <w:br w:type="textWrapping"/>
            </w:r>
            <w:r>
              <w:rPr>
                <w:rFonts w:hint="eastAsia" w:ascii="仿宋_GB2312" w:eastAsia="仿宋_GB2312"/>
                <w:color w:val="auto"/>
                <w:sz w:val="24"/>
                <w:szCs w:val="24"/>
                <w:highlight w:val="none"/>
                <w:lang w:val="en-US" w:eastAsia="zh-CN"/>
              </w:rPr>
              <w:t>拟投入车辆使用时间不超过10年，行驶路程不超过80万公里，得1分。</w:t>
            </w:r>
            <w:r>
              <w:rPr>
                <w:rFonts w:hint="eastAsia" w:ascii="仿宋_GB2312" w:eastAsia="仿宋_GB2312"/>
                <w:color w:val="auto"/>
                <w:sz w:val="24"/>
                <w:szCs w:val="24"/>
                <w:highlight w:val="none"/>
                <w:lang w:val="en-US" w:eastAsia="zh-CN"/>
              </w:rPr>
              <w:br w:type="textWrapping"/>
            </w:r>
            <w:r>
              <w:rPr>
                <w:rFonts w:hint="eastAsia" w:ascii="仿宋_GB2312" w:eastAsia="仿宋_GB2312"/>
                <w:color w:val="auto"/>
                <w:sz w:val="24"/>
                <w:szCs w:val="24"/>
                <w:highlight w:val="none"/>
                <w:lang w:val="en-US" w:eastAsia="zh-CN"/>
              </w:rPr>
              <w:t>使用时间超过10年或行驶路程超过80万公里不得分。</w:t>
            </w:r>
          </w:p>
          <w:p>
            <w:pPr>
              <w:pStyle w:val="2"/>
              <w:ind w:left="0" w:leftChars="0" w:firstLine="0" w:firstLineChars="0"/>
              <w:rPr>
                <w:rFonts w:hint="eastAsia"/>
                <w:highlight w:val="none"/>
                <w:lang w:val="en-US" w:eastAsia="zh-CN"/>
              </w:rPr>
            </w:pPr>
            <w:r>
              <w:rPr>
                <w:rFonts w:hint="eastAsia" w:ascii="仿宋_GB2312" w:eastAsia="仿宋_GB2312" w:hAnsiTheme="minorHAnsi" w:cstheme="minorBidi"/>
                <w:b/>
                <w:bCs/>
                <w:color w:val="auto"/>
                <w:kern w:val="2"/>
                <w:sz w:val="24"/>
                <w:szCs w:val="24"/>
                <w:highlight w:val="none"/>
                <w:lang w:val="en-US" w:eastAsia="zh-CN" w:bidi="ar-SA"/>
              </w:rPr>
              <w:t>注：需同时提供相关证明材料（包括但不限于投标人车辆维护记录、行车记录仪照片截图等并加盖投标人公章），不符合或不提供不得分。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4</w:t>
            </w: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突发应急方案</w:t>
            </w:r>
          </w:p>
        </w:tc>
        <w:tc>
          <w:tcPr>
            <w:tcW w:w="1559"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5</w:t>
            </w:r>
          </w:p>
        </w:tc>
        <w:tc>
          <w:tcPr>
            <w:tcW w:w="3969" w:type="dxa"/>
            <w:tcBorders>
              <w:top w:val="single" w:color="auto" w:sz="4" w:space="0"/>
              <w:bottom w:val="single" w:color="auto" w:sz="4" w:space="0"/>
            </w:tcBorders>
            <w:vAlign w:val="center"/>
          </w:tcPr>
          <w:p>
            <w:pPr>
              <w:adjustRightInd w:val="0"/>
              <w:snapToGrid w:val="0"/>
              <w:jc w:val="left"/>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保证车辆抛锚急救、发生交通事故的响应时间最快，并能立即做出有效可行的处理措施，得5分；</w:t>
            </w:r>
            <w:r>
              <w:rPr>
                <w:rFonts w:hint="eastAsia" w:ascii="仿宋_GB2312" w:eastAsia="仿宋_GB2312"/>
                <w:color w:val="auto"/>
                <w:sz w:val="24"/>
                <w:szCs w:val="24"/>
                <w:highlight w:val="none"/>
                <w:lang w:val="en-US" w:eastAsia="zh-CN"/>
              </w:rPr>
              <w:br w:type="textWrapping"/>
            </w:r>
            <w:r>
              <w:rPr>
                <w:rFonts w:hint="eastAsia" w:ascii="仿宋_GB2312" w:eastAsia="仿宋_GB2312"/>
                <w:color w:val="auto"/>
                <w:sz w:val="24"/>
                <w:szCs w:val="24"/>
                <w:highlight w:val="none"/>
                <w:lang w:val="en-US" w:eastAsia="zh-CN"/>
              </w:rPr>
              <w:t>保证车辆抛锚急救、发生交通事故的响应时间较快，并能立即做出较有效可行的处理措施，得3分；</w:t>
            </w:r>
            <w:r>
              <w:rPr>
                <w:rFonts w:hint="eastAsia" w:ascii="仿宋_GB2312" w:eastAsia="仿宋_GB2312"/>
                <w:color w:val="auto"/>
                <w:sz w:val="24"/>
                <w:szCs w:val="24"/>
                <w:highlight w:val="none"/>
                <w:lang w:val="en-US" w:eastAsia="zh-CN"/>
              </w:rPr>
              <w:br w:type="textWrapping"/>
            </w:r>
            <w:r>
              <w:rPr>
                <w:rFonts w:hint="eastAsia" w:ascii="仿宋_GB2312" w:eastAsia="仿宋_GB2312"/>
                <w:color w:val="auto"/>
                <w:sz w:val="24"/>
                <w:szCs w:val="24"/>
                <w:highlight w:val="none"/>
                <w:lang w:val="en-US" w:eastAsia="zh-CN"/>
              </w:rPr>
              <w:t>保证车辆抛锚急救、发生交通事故的响应时间合理，无法立即做出有效可行的处理措施，得2分；</w:t>
            </w:r>
            <w:r>
              <w:rPr>
                <w:rFonts w:hint="eastAsia" w:ascii="仿宋_GB2312" w:eastAsia="仿宋_GB2312"/>
                <w:color w:val="auto"/>
                <w:sz w:val="24"/>
                <w:szCs w:val="24"/>
                <w:highlight w:val="none"/>
                <w:lang w:val="en-US" w:eastAsia="zh-CN"/>
              </w:rPr>
              <w:br w:type="textWrapping"/>
            </w:r>
            <w:r>
              <w:rPr>
                <w:rFonts w:hint="eastAsia" w:ascii="仿宋_GB2312" w:eastAsia="仿宋_GB2312"/>
                <w:color w:val="auto"/>
                <w:sz w:val="24"/>
                <w:szCs w:val="24"/>
                <w:highlight w:val="none"/>
                <w:lang w:val="en-US" w:eastAsia="zh-CN"/>
              </w:rPr>
              <w:t>保证车辆抛锚急救、发生交通事故的响应时间较慢，处理措施可行性低，得1分。</w:t>
            </w:r>
            <w:r>
              <w:rPr>
                <w:rFonts w:hint="eastAsia" w:ascii="仿宋_GB2312" w:eastAsia="仿宋_GB2312"/>
                <w:color w:val="auto"/>
                <w:sz w:val="24"/>
                <w:szCs w:val="24"/>
                <w:highlight w:val="none"/>
                <w:lang w:val="en-US" w:eastAsia="zh-CN"/>
              </w:rPr>
              <w:br w:type="textWrapping"/>
            </w:r>
            <w:r>
              <w:rPr>
                <w:rFonts w:hint="eastAsia" w:ascii="仿宋_GB2312" w:eastAsia="仿宋_GB2312"/>
                <w:color w:val="auto"/>
                <w:sz w:val="24"/>
                <w:szCs w:val="24"/>
                <w:highlight w:val="none"/>
                <w:lang w:val="en-US" w:eastAsia="zh-CN"/>
              </w:rPr>
              <w:t>无不得分。</w:t>
            </w:r>
          </w:p>
          <w:p>
            <w:pPr>
              <w:pStyle w:val="2"/>
              <w:ind w:left="0" w:leftChars="0" w:firstLine="0" w:firstLineChars="0"/>
              <w:rPr>
                <w:rFonts w:hint="eastAsia"/>
                <w:highlight w:val="none"/>
                <w:lang w:val="en-US" w:eastAsia="zh-CN"/>
              </w:rPr>
            </w:pPr>
            <w:r>
              <w:rPr>
                <w:rFonts w:hint="eastAsia" w:ascii="仿宋_GB2312" w:eastAsia="仿宋_GB2312" w:hAnsiTheme="minorHAnsi" w:cstheme="minorBidi"/>
                <w:b/>
                <w:bCs/>
                <w:color w:val="auto"/>
                <w:kern w:val="2"/>
                <w:sz w:val="24"/>
                <w:szCs w:val="24"/>
                <w:highlight w:val="none"/>
                <w:lang w:val="en-US" w:eastAsia="zh-CN" w:bidi="ar-SA"/>
              </w:rPr>
              <w:t>注：需提供突发应急方案或相关资料并加盖投标人公章，不符合或不提供不得分。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lang w:val="en-US" w:eastAsia="zh-CN"/>
              </w:rPr>
              <w:t>5</w:t>
            </w: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安全营运服务方案</w:t>
            </w:r>
          </w:p>
        </w:tc>
        <w:tc>
          <w:tcPr>
            <w:tcW w:w="1559"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5</w:t>
            </w:r>
          </w:p>
        </w:tc>
        <w:tc>
          <w:tcPr>
            <w:tcW w:w="3969" w:type="dxa"/>
            <w:tcBorders>
              <w:top w:val="single" w:color="auto" w:sz="4" w:space="0"/>
              <w:bottom w:val="single" w:color="auto" w:sz="4" w:space="0"/>
            </w:tcBorders>
            <w:vAlign w:val="center"/>
          </w:tcPr>
          <w:p>
            <w:pPr>
              <w:adjustRightInd w:val="0"/>
              <w:snapToGrid w:val="0"/>
              <w:jc w:val="left"/>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安全营运服务方案详细、可行性强的，得5分；</w:t>
            </w:r>
            <w:r>
              <w:rPr>
                <w:rFonts w:hint="eastAsia" w:ascii="仿宋_GB2312" w:eastAsia="仿宋_GB2312"/>
                <w:color w:val="auto"/>
                <w:sz w:val="24"/>
                <w:szCs w:val="24"/>
                <w:highlight w:val="none"/>
                <w:lang w:val="en-US" w:eastAsia="zh-CN"/>
              </w:rPr>
              <w:br w:type="textWrapping"/>
            </w:r>
            <w:r>
              <w:rPr>
                <w:rFonts w:hint="eastAsia" w:ascii="仿宋_GB2312" w:eastAsia="仿宋_GB2312"/>
                <w:color w:val="auto"/>
                <w:sz w:val="24"/>
                <w:szCs w:val="24"/>
                <w:highlight w:val="none"/>
                <w:lang w:val="en-US" w:eastAsia="zh-CN"/>
              </w:rPr>
              <w:t>安全营运服务方案较详细、可行性较强的，得3分；</w:t>
            </w:r>
            <w:r>
              <w:rPr>
                <w:rFonts w:hint="eastAsia" w:ascii="仿宋_GB2312" w:eastAsia="仿宋_GB2312"/>
                <w:color w:val="auto"/>
                <w:sz w:val="24"/>
                <w:szCs w:val="24"/>
                <w:highlight w:val="none"/>
                <w:lang w:val="en-US" w:eastAsia="zh-CN"/>
              </w:rPr>
              <w:br w:type="textWrapping"/>
            </w:r>
            <w:r>
              <w:rPr>
                <w:rFonts w:hint="eastAsia" w:ascii="仿宋_GB2312" w:eastAsia="仿宋_GB2312"/>
                <w:color w:val="auto"/>
                <w:sz w:val="24"/>
                <w:szCs w:val="24"/>
                <w:highlight w:val="none"/>
                <w:lang w:val="en-US" w:eastAsia="zh-CN"/>
              </w:rPr>
              <w:t>安全营运服务方案一般，可行性一般的，得2分；</w:t>
            </w:r>
            <w:r>
              <w:rPr>
                <w:rFonts w:hint="eastAsia" w:ascii="仿宋_GB2312" w:eastAsia="仿宋_GB2312"/>
                <w:color w:val="auto"/>
                <w:sz w:val="24"/>
                <w:szCs w:val="24"/>
                <w:highlight w:val="none"/>
                <w:lang w:val="en-US" w:eastAsia="zh-CN"/>
              </w:rPr>
              <w:br w:type="textWrapping"/>
            </w:r>
            <w:r>
              <w:rPr>
                <w:rFonts w:hint="eastAsia" w:ascii="仿宋_GB2312" w:eastAsia="仿宋_GB2312"/>
                <w:color w:val="auto"/>
                <w:sz w:val="24"/>
                <w:szCs w:val="24"/>
                <w:highlight w:val="none"/>
                <w:lang w:val="en-US" w:eastAsia="zh-CN"/>
              </w:rPr>
              <w:t>不提供方案不得分。</w:t>
            </w:r>
          </w:p>
          <w:p>
            <w:pPr>
              <w:pStyle w:val="2"/>
              <w:ind w:left="0" w:leftChars="0" w:firstLine="0" w:firstLineChars="0"/>
              <w:rPr>
                <w:rFonts w:hint="eastAsia"/>
                <w:highlight w:val="none"/>
                <w:lang w:val="en-US" w:eastAsia="zh-CN"/>
              </w:rPr>
            </w:pPr>
            <w:r>
              <w:rPr>
                <w:rFonts w:hint="eastAsia" w:ascii="仿宋_GB2312" w:eastAsia="仿宋_GB2312" w:hAnsiTheme="minorHAnsi" w:cstheme="minorBidi"/>
                <w:b/>
                <w:bCs/>
                <w:color w:val="auto"/>
                <w:kern w:val="2"/>
                <w:sz w:val="24"/>
                <w:szCs w:val="24"/>
                <w:highlight w:val="none"/>
                <w:lang w:val="en-US" w:eastAsia="zh-CN" w:bidi="ar-SA"/>
              </w:rPr>
              <w:t>注：需提供安全营运服务方案或相关资料并加盖投标人公章，不符合或不提供不得分。</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hint="default" w:ascii="仿宋_GB2312" w:eastAsia="仿宋_GB2312" w:hAnsiTheme="minorEastAsia"/>
          <w:color w:val="auto"/>
          <w:sz w:val="28"/>
          <w:szCs w:val="28"/>
          <w:highlight w:val="none"/>
          <w:lang w:val="en-US" w:eastAsia="zh-CN"/>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35分）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5"/>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bookmarkStart w:id="60" w:name="OLE_LINK5"/>
            <w:bookmarkStart w:id="61" w:name="OLE_LINK6"/>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其他方法</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合格供应商的价格折算分=合格供应商报价的最低价/合格供应商报价</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其中22座和33座各占价格总分的50%</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4" w:leftChars="7" w:firstLine="526" w:firstLineChars="188"/>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评审得分=商务分+技术分+价格分</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rPr>
          <w:rFonts w:ascii="仿宋_GB2312" w:eastAsia="仿宋_GB2312" w:hAnsiTheme="minorEastAsia"/>
          <w:color w:val="auto"/>
          <w:szCs w:val="21"/>
          <w:highlight w:val="none"/>
        </w:rPr>
      </w:pPr>
    </w:p>
    <w:p>
      <w:pPr>
        <w:pStyle w:val="7"/>
        <w:rPr>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rFonts w:hint="eastAsia"/>
          <w:color w:val="auto"/>
          <w:highlight w:val="none"/>
        </w:rPr>
      </w:pPr>
      <w:bookmarkStart w:id="62" w:name="_Toc88209947"/>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2148205</wp:posOffset>
                </wp:positionH>
                <wp:positionV relativeFrom="paragraph">
                  <wp:posOffset>526415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69.15pt;margin-top:41.45pt;height:0pt;width:75.5pt;z-index:251676672;mso-width-relative:page;mso-height-relative:page;" filled="f" stroked="t" coordsize="21600,21600" o:gfxdata="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eZQ8h1gAAAAkBAAAPAAAAAAAAAAEAIAAAACIAAABkcnMvZG93bnJldi54bWxQSwECFAAU&#10;AAAACACHTuJAKY52sP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2106295</wp:posOffset>
                </wp:positionH>
                <wp:positionV relativeFrom="paragraph">
                  <wp:posOffset>12700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65.85pt;margin-top:1pt;height:0pt;width:75.5pt;z-index:251675648;mso-width-relative:page;mso-height-relative:page;" filled="f" stroked="t" coordsize="21600,21600" o:gfxdata="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WY9tUAAAAHAQAADwAAAAAAAAABACAAAAAiAAAAZHJzL2Rvd25yZXYueG1sUEsBAhQAFAAA&#10;AAgAh07iQFzLtV/yAQAA5AMAAA4AAAAAAAAAAQAgAAAAJA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bookmarkEnd w:id="62"/>
    <w:p>
      <w:pPr>
        <w:ind w:firstLine="560" w:firstLineChars="200"/>
        <w:rPr>
          <w:rFonts w:hint="eastAsia" w:ascii="仿宋_GB2312" w:eastAsia="仿宋_GB2312"/>
          <w:color w:val="auto"/>
          <w:sz w:val="28"/>
          <w:szCs w:val="28"/>
          <w:highlight w:val="none"/>
        </w:rPr>
      </w:pPr>
    </w:p>
    <w:p>
      <w:pPr>
        <w:pStyle w:val="7"/>
        <w:rPr>
          <w:rFonts w:hint="eastAsia" w:ascii="仿宋_GB2312" w:eastAsia="仿宋_GB2312"/>
          <w:color w:val="auto"/>
          <w:sz w:val="28"/>
          <w:szCs w:val="28"/>
          <w:highlight w:val="none"/>
        </w:rPr>
      </w:pPr>
    </w:p>
    <w:p>
      <w:pPr>
        <w:pStyle w:val="7"/>
        <w:rPr>
          <w:rFonts w:hint="eastAsia" w:ascii="仿宋_GB2312" w:eastAsia="仿宋_GB2312"/>
          <w:color w:val="auto"/>
          <w:sz w:val="28"/>
          <w:szCs w:val="28"/>
          <w:highlight w:val="none"/>
        </w:rPr>
      </w:pPr>
    </w:p>
    <w:p>
      <w:pPr>
        <w:pStyle w:val="7"/>
        <w:rPr>
          <w:rFonts w:hint="eastAsia" w:ascii="仿宋_GB2312" w:eastAsia="仿宋_GB2312"/>
          <w:color w:val="auto"/>
          <w:sz w:val="28"/>
          <w:szCs w:val="28"/>
          <w:highlight w:val="none"/>
        </w:rPr>
      </w:pPr>
    </w:p>
    <w:p>
      <w:pPr>
        <w:pStyle w:val="7"/>
        <w:rPr>
          <w:rFonts w:hint="eastAsia" w:ascii="仿宋_GB2312" w:eastAsia="仿宋_GB2312"/>
          <w:color w:val="auto"/>
          <w:sz w:val="28"/>
          <w:szCs w:val="28"/>
          <w:highlight w:val="none"/>
        </w:rPr>
      </w:pPr>
    </w:p>
    <w:p>
      <w:pPr>
        <w:pStyle w:val="7"/>
        <w:rPr>
          <w:rFonts w:hint="eastAsia" w:ascii="仿宋_GB2312" w:eastAsia="仿宋_GB2312"/>
          <w:color w:val="auto"/>
          <w:sz w:val="28"/>
          <w:szCs w:val="28"/>
          <w:highlight w:val="none"/>
        </w:rPr>
      </w:pPr>
    </w:p>
    <w:p>
      <w:pPr>
        <w:pStyle w:val="7"/>
        <w:rPr>
          <w:rFonts w:hint="eastAsia" w:ascii="仿宋_GB2312" w:eastAsia="仿宋_GB2312"/>
          <w:color w:val="auto"/>
          <w:sz w:val="28"/>
          <w:szCs w:val="28"/>
          <w:highlight w:val="none"/>
        </w:rPr>
      </w:pPr>
    </w:p>
    <w:p>
      <w:pPr>
        <w:pStyle w:val="7"/>
        <w:rPr>
          <w:rFonts w:hint="eastAsia" w:ascii="仿宋_GB2312" w:eastAsia="仿宋_GB2312"/>
          <w:color w:val="auto"/>
          <w:sz w:val="28"/>
          <w:szCs w:val="28"/>
          <w:highlight w:val="none"/>
        </w:rPr>
      </w:pPr>
    </w:p>
    <w:p>
      <w:pPr>
        <w:pStyle w:val="7"/>
        <w:rPr>
          <w:rFonts w:hint="eastAsia" w:ascii="仿宋_GB2312" w:eastAsia="仿宋_GB2312"/>
          <w:color w:val="auto"/>
          <w:sz w:val="28"/>
          <w:szCs w:val="28"/>
          <w:highlight w:val="none"/>
        </w:rPr>
      </w:pPr>
    </w:p>
    <w:p>
      <w:pPr>
        <w:pStyle w:val="7"/>
        <w:rPr>
          <w:rFonts w:hint="eastAsia" w:ascii="仿宋_GB2312" w:eastAsia="仿宋_GB2312"/>
          <w:color w:val="auto"/>
          <w:sz w:val="28"/>
          <w:szCs w:val="28"/>
          <w:highlight w:val="none"/>
        </w:rPr>
      </w:pPr>
    </w:p>
    <w:p>
      <w:pPr>
        <w:pStyle w:val="7"/>
        <w:rPr>
          <w:rFonts w:hint="eastAsia" w:ascii="仿宋_GB2312" w:eastAsia="仿宋_GB2312"/>
          <w:color w:val="auto"/>
          <w:sz w:val="28"/>
          <w:szCs w:val="28"/>
          <w:highlight w:val="none"/>
        </w:rPr>
      </w:pPr>
    </w:p>
    <w:p>
      <w:pPr>
        <w:pStyle w:val="1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一、项目情况介绍</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left"/>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我司需车辆运输服务来满足日常业务需求</w:t>
      </w:r>
      <w:r>
        <w:rPr>
          <w:rFonts w:hint="eastAsia" w:ascii="仿宋" w:hAnsi="仿宋" w:eastAsia="仿宋" w:cs="仿宋"/>
          <w:bCs/>
          <w:color w:val="auto"/>
          <w:sz w:val="28"/>
          <w:szCs w:val="28"/>
          <w:highlight w:val="none"/>
          <w:lang w:eastAsia="zh-CN"/>
        </w:rPr>
        <w:t>。</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baseline"/>
        <w:rPr>
          <w:rFonts w:hint="eastAsia"/>
          <w:highlight w:val="none"/>
          <w:lang w:eastAsia="zh-CN"/>
        </w:rPr>
      </w:pPr>
      <w:r>
        <w:rPr>
          <w:rFonts w:hint="eastAsia" w:ascii="仿宋" w:hAnsi="仿宋" w:eastAsia="仿宋" w:cs="仿宋"/>
          <w:bCs/>
          <w:color w:val="auto"/>
          <w:kern w:val="2"/>
          <w:sz w:val="28"/>
          <w:szCs w:val="28"/>
          <w:highlight w:val="none"/>
          <w:lang w:val="en-US" w:eastAsia="zh-CN" w:bidi="ar-SA"/>
        </w:rPr>
        <w:t>1、车辆状况要求：供应商必须保证提供的车辆手续完备、证件及各种备件齐全，车况良好，无违章、违法、及法律纠纷；</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baseline"/>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r>
        <w:rPr>
          <w:rFonts w:hint="eastAsia" w:ascii="仿宋" w:hAnsi="仿宋" w:eastAsia="仿宋" w:cs="仿宋"/>
          <w:bCs/>
          <w:color w:val="auto"/>
          <w:sz w:val="28"/>
          <w:szCs w:val="28"/>
          <w:highlight w:val="none"/>
          <w:lang w:val="en-US" w:eastAsia="zh-CN"/>
        </w:rPr>
        <w:t>服务</w:t>
      </w:r>
      <w:r>
        <w:rPr>
          <w:rFonts w:hint="eastAsia" w:ascii="仿宋" w:hAnsi="仿宋" w:eastAsia="仿宋" w:cs="仿宋"/>
          <w:bCs/>
          <w:color w:val="auto"/>
          <w:kern w:val="2"/>
          <w:sz w:val="28"/>
          <w:szCs w:val="28"/>
          <w:highlight w:val="none"/>
          <w:lang w:val="en-US" w:eastAsia="zh-CN" w:bidi="ar-SA"/>
        </w:rPr>
        <w:t>期限：自合同签订之日起1年，服务期内，供应商负责缴纳服务车辆的各种保险费和税费，包括强制保险、车船税等附加险；项目要求中选方提供服务的时间为每年251天（按工作日计算）。采购人有权根据实际情况适时调整服务车辆及服务天数，中选方应当根据要求及时调整。</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baseline"/>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3、</w:t>
      </w:r>
      <w:r>
        <w:rPr>
          <w:rFonts w:hint="eastAsia" w:ascii="仿宋" w:hAnsi="仿宋" w:eastAsia="仿宋" w:cs="仿宋"/>
          <w:bCs/>
          <w:color w:val="auto"/>
          <w:sz w:val="28"/>
          <w:szCs w:val="28"/>
          <w:highlight w:val="none"/>
          <w:lang w:val="en-US" w:eastAsia="zh-CN"/>
        </w:rPr>
        <w:t>服务</w:t>
      </w:r>
      <w:r>
        <w:rPr>
          <w:rFonts w:hint="eastAsia" w:ascii="仿宋" w:hAnsi="仿宋" w:eastAsia="仿宋" w:cs="仿宋"/>
          <w:bCs/>
          <w:color w:val="auto"/>
          <w:kern w:val="2"/>
          <w:sz w:val="28"/>
          <w:szCs w:val="28"/>
          <w:highlight w:val="none"/>
          <w:lang w:val="en-US" w:eastAsia="zh-CN" w:bidi="ar-SA"/>
        </w:rPr>
        <w:t>期内，供应商负责车辆的年检、环保检测、维修和保养、驾驶员的薪酬福利，劳动保护用品等，并承担费用。</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baseline"/>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4、车辆服务时间：具体车辆使用时间时间以采购人通知为准。采购人如需增减发车班次，提前三天知会中选供应商。</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baseline"/>
        <w:rPr>
          <w:rFonts w:hint="eastAsia"/>
          <w:highlight w:val="none"/>
        </w:rPr>
      </w:pPr>
      <w:r>
        <w:rPr>
          <w:rFonts w:hint="eastAsia" w:ascii="仿宋" w:hAnsi="仿宋" w:eastAsia="仿宋" w:cs="仿宋"/>
          <w:bCs/>
          <w:color w:val="auto"/>
          <w:kern w:val="2"/>
          <w:sz w:val="28"/>
          <w:szCs w:val="28"/>
          <w:highlight w:val="none"/>
          <w:lang w:val="en-US" w:eastAsia="zh-CN" w:bidi="ar-SA"/>
        </w:rPr>
        <w:t>5、其他要求：中选供应商在车辆运输服务合同签订后，在合同期内，不得更换中选车辆；要求保持车内环境清洁、无异味；驾驶员应具备与驾驶车辆相应的资格资质。</w:t>
      </w:r>
      <w:r>
        <w:rPr>
          <w:rFonts w:hint="eastAsia"/>
          <w:highlight w:val="none"/>
          <w:lang w:eastAsia="zh-CN"/>
        </w:rPr>
        <w:t xml:space="preserve"> </w:t>
      </w:r>
    </w:p>
    <w:p>
      <w:pPr>
        <w:widowControl/>
        <w:spacing w:line="360" w:lineRule="auto"/>
        <w:ind w:firstLine="560" w:firstLineChars="200"/>
        <w:jc w:val="left"/>
        <w:rPr>
          <w:rFonts w:hint="eastAsia" w:ascii="仿宋" w:hAnsi="仿宋" w:eastAsia="仿宋" w:cs="仿宋"/>
          <w:b/>
          <w:color w:val="auto"/>
          <w:kern w:val="2"/>
          <w:sz w:val="28"/>
          <w:szCs w:val="28"/>
          <w:highlight w:val="none"/>
          <w:lang w:val="zh-CN" w:eastAsia="zh-CN" w:bidi="ar-SA"/>
        </w:rPr>
      </w:pPr>
      <w:r>
        <w:rPr>
          <w:rFonts w:hint="eastAsia" w:ascii="仿宋" w:hAnsi="仿宋" w:eastAsia="仿宋" w:cs="仿宋"/>
          <w:b/>
          <w:color w:val="auto"/>
          <w:kern w:val="2"/>
          <w:sz w:val="28"/>
          <w:szCs w:val="28"/>
          <w:highlight w:val="none"/>
          <w:lang w:val="zh-CN" w:eastAsia="zh-CN" w:bidi="ar-SA"/>
        </w:rPr>
        <w:t>二 、</w:t>
      </w:r>
      <w:r>
        <w:rPr>
          <w:rFonts w:hint="eastAsia" w:ascii="仿宋" w:hAnsi="仿宋" w:eastAsia="仿宋" w:cs="仿宋"/>
          <w:b/>
          <w:color w:val="auto"/>
          <w:kern w:val="2"/>
          <w:sz w:val="28"/>
          <w:szCs w:val="28"/>
          <w:highlight w:val="none"/>
          <w:lang w:val="en-US" w:eastAsia="zh-CN" w:bidi="ar-SA"/>
        </w:rPr>
        <w:t>服务路线</w:t>
      </w:r>
    </w:p>
    <w:p>
      <w:pPr>
        <w:pStyle w:val="2"/>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7：25-18：10，坦尾地铁站-沥滘地铁站-广州城市水处理设备有限公司（往返）</w:t>
      </w:r>
    </w:p>
    <w:p>
      <w:pPr>
        <w:pStyle w:val="2"/>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注：时间均为暂定，采购人有权根据实际情况进行调整。</w:t>
      </w:r>
    </w:p>
    <w:p>
      <w:pPr>
        <w:widowControl/>
        <w:spacing w:line="360" w:lineRule="auto"/>
        <w:ind w:firstLine="560" w:firstLineChars="200"/>
        <w:jc w:val="left"/>
        <w:rPr>
          <w:rFonts w:hint="default" w:ascii="仿宋" w:hAnsi="仿宋" w:eastAsia="仿宋" w:cs="仿宋"/>
          <w:b/>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en-US" w:eastAsia="zh-CN" w:bidi="ar-SA"/>
        </w:rPr>
        <w:t>三、服务要求</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560" w:firstLineChars="200"/>
        <w:jc w:val="both"/>
        <w:textAlignment w:val="baseline"/>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★（一）供应商必须在投标前，实地考察现场，特别是线路的公里数、车辆停放地点、司机用餐休息等情况，确保中选后安全正常运作。</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560" w:firstLineChars="200"/>
        <w:jc w:val="both"/>
        <w:textAlignment w:val="baseline"/>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二）供应商须承诺，如获中选资格，中选方须为车辆购买必要的商业险种包括但不限于交强险、承运人责任险（座位险）（每个座位保险赔偿限额不低于40万）等，保险期限至少应涵盖服务期。供应商拟投入的车辆必须装有行车记录仪及GPS（动态定位系统),投标时提交提供车辆GPS行驶轨迹的承诺函及车辆装有GPS、行车记录仪的证明材料。</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560" w:firstLineChars="200"/>
        <w:jc w:val="both"/>
        <w:textAlignment w:val="baseline"/>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三）供应商需提供拟投入司机的相关资料[包括但不限于劳动合同及对应的合法社保证明、身份证复印件、驾驶执照、身体健康证明（由正规医院出具）、道路交通监管部门开具的3年内无重大以上交通责任事故证明（复印件加盖公章）]交由采购人备存。司机持有A1驾驶执照，年龄在55岁（含）以下，精神风貌好，责任心强，遵纪守法，身体健康，无不良嗜好，具备5年或以上驾驶大巴驾龄，经过岗前培训，持有《道路运输从业人员从业资格证》或其他相关运输从业资格证件。</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560" w:firstLineChars="200"/>
        <w:jc w:val="both"/>
        <w:textAlignment w:val="baseline"/>
        <w:rPr>
          <w:rFonts w:hint="default" w:ascii="仿宋" w:hAnsi="仿宋" w:eastAsia="仿宋" w:cs="仿宋"/>
          <w:bCs/>
          <w:color w:val="auto"/>
          <w:kern w:val="2"/>
          <w:sz w:val="28"/>
          <w:szCs w:val="28"/>
          <w:highlight w:val="none"/>
          <w:lang w:val="en-US" w:eastAsia="zh-CN" w:bidi="ar-SA"/>
        </w:rPr>
        <w:sectPr>
          <w:footerReference r:id="rId3" w:type="default"/>
          <w:pgSz w:w="11907" w:h="16840"/>
          <w:pgMar w:top="1440" w:right="1800" w:bottom="1440" w:left="1800" w:header="737" w:footer="454" w:gutter="0"/>
          <w:cols w:space="720" w:num="1"/>
          <w:docGrid w:type="linesAndChars" w:linePitch="312" w:charSpace="0"/>
        </w:sectPr>
      </w:pPr>
    </w:p>
    <w:p>
      <w:pPr>
        <w:pStyle w:val="2"/>
        <w:rPr>
          <w:color w:val="auto"/>
          <w:highlight w:val="none"/>
        </w:rPr>
      </w:pPr>
    </w:p>
    <w:p>
      <w:pPr>
        <w:pStyle w:val="4"/>
        <w:rPr>
          <w:rFonts w:hint="eastAsia"/>
          <w:color w:val="auto"/>
          <w:highlight w:val="none"/>
        </w:rPr>
      </w:pPr>
      <w:bookmarkStart w:id="63" w:name="_Toc1284"/>
      <w:bookmarkStart w:id="64" w:name="_Toc12135"/>
      <w:bookmarkStart w:id="65" w:name="_Toc537"/>
      <w:bookmarkStart w:id="66" w:name="_Toc23330"/>
      <w:bookmarkStart w:id="67" w:name="_Toc4680"/>
      <w:bookmarkStart w:id="68" w:name="_Toc15570"/>
      <w:bookmarkStart w:id="69" w:name="_Toc23353"/>
      <w:bookmarkStart w:id="70" w:name="_Toc18538"/>
      <w:bookmarkStart w:id="71" w:name="_Toc25925"/>
      <w:bookmarkStart w:id="72" w:name="_Toc29835"/>
      <w:bookmarkStart w:id="73" w:name="_Toc1496"/>
    </w:p>
    <w:p>
      <w:pPr>
        <w:pStyle w:val="4"/>
        <w:jc w:val="center"/>
        <w:rPr>
          <w:color w:val="auto"/>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2447290</wp:posOffset>
                </wp:positionH>
                <wp:positionV relativeFrom="paragraph">
                  <wp:posOffset>521970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92.7pt;margin-top:41.1pt;height:0pt;width:75.5pt;z-index:251666432;mso-width-relative:page;mso-height-relative:page;" filled="f" stroked="t" coordsize="21600,21600" o:gfxdata="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AI+gx1wAAAAk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2441575</wp:posOffset>
                </wp:positionH>
                <wp:positionV relativeFrom="paragraph">
                  <wp:posOffset>11430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92.25pt;margin-top:0.9pt;height:0pt;width:75.5pt;z-index:251665408;mso-width-relative:page;mso-height-relative:page;" filled="f" stroked="t" coordsize="21600,21600" o:gfxdata="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n9u7jUAAAABwEAAA8AAAAAAAAAAQAgAAAAIgAAAGRycy9kb3ducmV2LnhtbFBLAQIUABQAAAAI&#10;AIdO4kBjZm8c8QEAAOIDAAAOAAAAAAAAAAEAIAAAACMBAABkcnMvZTJvRG9jLnhtbFBLBQYAAAAA&#10;BgAGAFkBAACGBQAAAAA=&#10;">
                <v:fill on="f" focussize="0,0"/>
                <v:stroke color="#000000" joinstyle="round"/>
                <v:imagedata o:title=""/>
                <o:lock v:ext="edit" aspectratio="f"/>
              </v:shape>
            </w:pict>
          </mc:Fallback>
        </mc:AlternateConten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pPr>
        <w:pStyle w:val="37"/>
        <w:rPr>
          <w:color w:val="auto"/>
          <w:highlight w:val="none"/>
        </w:rPr>
      </w:pPr>
    </w:p>
    <w:p>
      <w:pPr>
        <w:pStyle w:val="4"/>
        <w:rPr>
          <w:color w:val="auto"/>
          <w:highlight w:val="none"/>
        </w:rPr>
      </w:pPr>
      <w:bookmarkStart w:id="74" w:name="_Toc12721"/>
      <w:bookmarkStart w:id="75" w:name="_Toc19088"/>
      <w:bookmarkStart w:id="76" w:name="_Toc12980"/>
      <w:bookmarkStart w:id="77" w:name="_Toc1375"/>
      <w:bookmarkStart w:id="78" w:name="_Toc19686"/>
      <w:bookmarkStart w:id="79" w:name="_Toc12968"/>
      <w:bookmarkStart w:id="80" w:name="_Toc87616386"/>
      <w:bookmarkStart w:id="81" w:name="_Toc88209949"/>
      <w:bookmarkStart w:id="82" w:name="_Toc323"/>
      <w:bookmarkStart w:id="83" w:name="_Toc22501"/>
      <w:bookmarkStart w:id="84" w:name="_Toc13309"/>
      <w:bookmarkStart w:id="85" w:name="_Toc22797"/>
      <w:bookmarkStart w:id="86" w:name="_Toc8183"/>
      <w:r>
        <w:rPr>
          <w:rFonts w:hint="eastAsia"/>
          <w:color w:val="auto"/>
          <w:highlight w:val="none"/>
        </w:rPr>
        <w:t>合同</w:t>
      </w:r>
      <w:bookmarkEnd w:id="74"/>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rPr>
          <w:rFonts w:hint="eastAsia" w:ascii="宋体" w:hAnsi="宋体" w:eastAsia="宋体" w:cs="宋体"/>
          <w:b/>
          <w:color w:val="000000"/>
          <w:sz w:val="44"/>
          <w:szCs w:val="44"/>
          <w:highlight w:val="none"/>
        </w:rPr>
      </w:pPr>
      <w:r>
        <w:rPr>
          <w:rFonts w:hint="eastAsia" w:ascii="宋体" w:hAnsi="宋体" w:eastAsia="宋体" w:cs="宋体"/>
          <w:b/>
          <w:color w:val="000000"/>
          <w:sz w:val="44"/>
          <w:szCs w:val="44"/>
          <w:highlight w:val="none"/>
        </w:rPr>
        <w:br w:type="page"/>
      </w:r>
    </w:p>
    <w:p>
      <w:pPr>
        <w:spacing w:line="400" w:lineRule="atLeast"/>
        <w:jc w:val="center"/>
        <w:rPr>
          <w:rFonts w:ascii="宋体" w:hAnsi="宋体" w:cs="宋体"/>
          <w:b/>
          <w:bCs/>
          <w:sz w:val="48"/>
          <w:szCs w:val="48"/>
          <w:highlight w:val="none"/>
        </w:rPr>
      </w:pPr>
      <w:r>
        <w:rPr>
          <w:rFonts w:hint="eastAsia" w:ascii="宋体" w:hAnsi="宋体" w:cs="宋体"/>
          <w:b/>
          <w:bCs/>
          <w:sz w:val="48"/>
          <w:szCs w:val="48"/>
          <w:highlight w:val="none"/>
        </w:rPr>
        <w:t>广州</w:t>
      </w:r>
      <w:r>
        <w:rPr>
          <w:rFonts w:hint="eastAsia" w:ascii="宋体" w:hAnsi="宋体" w:cs="宋体"/>
          <w:b/>
          <w:bCs/>
          <w:sz w:val="48"/>
          <w:szCs w:val="48"/>
          <w:highlight w:val="none"/>
          <w:lang w:val="en-US" w:eastAsia="zh-CN"/>
        </w:rPr>
        <w:t>城市水处理设备</w:t>
      </w:r>
      <w:r>
        <w:rPr>
          <w:rFonts w:hint="eastAsia" w:ascii="宋体" w:hAnsi="宋体" w:cs="宋体"/>
          <w:b/>
          <w:bCs/>
          <w:sz w:val="48"/>
          <w:szCs w:val="48"/>
          <w:highlight w:val="none"/>
        </w:rPr>
        <w:t>有限公司</w:t>
      </w:r>
    </w:p>
    <w:p>
      <w:pPr>
        <w:spacing w:line="400" w:lineRule="atLeast"/>
        <w:jc w:val="center"/>
        <w:rPr>
          <w:rFonts w:ascii="Cambria" w:hAnsi="Cambria"/>
          <w:b/>
          <w:bCs/>
          <w:sz w:val="52"/>
          <w:szCs w:val="52"/>
          <w:highlight w:val="none"/>
        </w:rPr>
      </w:pPr>
      <w:r>
        <w:rPr>
          <w:rFonts w:hint="eastAsia" w:ascii="宋体" w:hAnsi="宋体" w:cs="宋体"/>
          <w:b/>
          <w:bCs/>
          <w:sz w:val="48"/>
          <w:szCs w:val="48"/>
          <w:highlight w:val="none"/>
          <w:lang w:val="en-US" w:eastAsia="zh-CN"/>
        </w:rPr>
        <w:t>车辆运输服务</w:t>
      </w:r>
      <w:r>
        <w:rPr>
          <w:rFonts w:hint="eastAsia" w:ascii="宋体" w:hAnsi="宋体" w:cs="宋体"/>
          <w:b/>
          <w:bCs/>
          <w:sz w:val="48"/>
          <w:szCs w:val="48"/>
          <w:highlight w:val="none"/>
        </w:rPr>
        <w:t>合同</w:t>
      </w:r>
    </w:p>
    <w:p>
      <w:pPr>
        <w:spacing w:line="400" w:lineRule="atLeast"/>
        <w:jc w:val="center"/>
        <w:rPr>
          <w:rFonts w:ascii="宋体" w:hAnsi="宋体"/>
          <w:b/>
          <w:sz w:val="28"/>
          <w:highlight w:val="none"/>
        </w:rPr>
      </w:pPr>
    </w:p>
    <w:p>
      <w:pPr>
        <w:pStyle w:val="2"/>
        <w:rPr>
          <w:highlight w:val="none"/>
        </w:rPr>
      </w:pPr>
    </w:p>
    <w:p>
      <w:pPr>
        <w:spacing w:line="400" w:lineRule="atLeast"/>
        <w:jc w:val="center"/>
        <w:rPr>
          <w:rFonts w:ascii="宋体" w:hAnsi="宋体"/>
          <w:b/>
          <w:sz w:val="28"/>
          <w:highlight w:val="none"/>
        </w:rPr>
      </w:pPr>
    </w:p>
    <w:p>
      <w:pPr>
        <w:spacing w:line="0" w:lineRule="atLeast"/>
        <w:rPr>
          <w:rFonts w:ascii="宋体" w:hAnsi="宋体"/>
          <w:b/>
          <w:sz w:val="30"/>
          <w:highlight w:val="none"/>
        </w:rPr>
      </w:pPr>
    </w:p>
    <w:p>
      <w:pPr>
        <w:spacing w:line="480" w:lineRule="auto"/>
        <w:rPr>
          <w:rFonts w:hint="eastAsia" w:ascii="宋体" w:hAnsi="宋体" w:cs="宋体" w:eastAsiaTheme="minorEastAsia"/>
          <w:b/>
          <w:bCs/>
          <w:color w:val="auto"/>
          <w:sz w:val="30"/>
          <w:highlight w:val="none"/>
          <w:lang w:eastAsia="zh-CN"/>
        </w:rPr>
      </w:pPr>
      <w:r>
        <w:rPr>
          <w:rFonts w:hint="eastAsia" w:ascii="宋体" w:hAnsi="宋体" w:cs="宋体"/>
          <w:b/>
          <w:bCs/>
          <w:color w:val="auto"/>
          <w:sz w:val="30"/>
          <w:highlight w:val="none"/>
        </w:rPr>
        <w:t>项目名称：</w:t>
      </w:r>
      <w:r>
        <w:rPr>
          <w:rFonts w:hint="eastAsia" w:ascii="宋体" w:hAnsi="宋体" w:cs="宋体"/>
          <w:b/>
          <w:bCs/>
          <w:color w:val="auto"/>
          <w:sz w:val="30"/>
          <w:highlight w:val="none"/>
          <w:lang w:eastAsia="zh-CN"/>
        </w:rPr>
        <w:t>广州城市水处理设备有限公司2023-2024年车辆运输服务项目</w:t>
      </w:r>
    </w:p>
    <w:p>
      <w:pPr>
        <w:spacing w:line="480" w:lineRule="auto"/>
        <w:rPr>
          <w:rFonts w:hint="default" w:ascii="宋体" w:hAnsi="宋体" w:eastAsia="宋体" w:cs="宋体"/>
          <w:b/>
          <w:bCs/>
          <w:color w:val="auto"/>
          <w:sz w:val="30"/>
          <w:highlight w:val="none"/>
          <w:lang w:val="en-US" w:eastAsia="zh-CN"/>
        </w:rPr>
      </w:pPr>
      <w:r>
        <w:rPr>
          <w:rFonts w:hint="eastAsia" w:ascii="宋体" w:hAnsi="宋体" w:cs="宋体"/>
          <w:b/>
          <w:bCs/>
          <w:color w:val="auto"/>
          <w:sz w:val="30"/>
          <w:highlight w:val="none"/>
          <w:lang w:val="en-US" w:eastAsia="zh-CN"/>
        </w:rPr>
        <w:t>项目编号：</w:t>
      </w:r>
    </w:p>
    <w:p>
      <w:pPr>
        <w:spacing w:line="480" w:lineRule="auto"/>
        <w:rPr>
          <w:rFonts w:ascii="宋体" w:hAnsi="宋体" w:cs="宋体"/>
          <w:b/>
          <w:bCs/>
          <w:color w:val="auto"/>
          <w:sz w:val="30"/>
          <w:highlight w:val="none"/>
        </w:rPr>
      </w:pPr>
    </w:p>
    <w:p>
      <w:pPr>
        <w:spacing w:line="480" w:lineRule="auto"/>
        <w:rPr>
          <w:rFonts w:ascii="宋体" w:hAnsi="宋体" w:cs="宋体"/>
          <w:b/>
          <w:bCs/>
          <w:color w:val="auto"/>
          <w:sz w:val="30"/>
          <w:szCs w:val="30"/>
          <w:highlight w:val="none"/>
        </w:rPr>
      </w:pPr>
      <w:r>
        <w:rPr>
          <w:rFonts w:hint="eastAsia" w:ascii="宋体" w:hAnsi="宋体" w:cs="宋体"/>
          <w:b/>
          <w:bCs/>
          <w:color w:val="auto"/>
          <w:sz w:val="30"/>
          <w:highlight w:val="none"/>
        </w:rPr>
        <w:t>合同编号：</w:t>
      </w:r>
      <w:r>
        <w:rPr>
          <w:rFonts w:hint="eastAsia" w:ascii="宋体" w:hAnsi="宋体" w:cs="宋体"/>
          <w:b/>
          <w:bCs/>
          <w:color w:val="auto"/>
          <w:sz w:val="30"/>
          <w:szCs w:val="30"/>
          <w:highlight w:val="none"/>
        </w:rPr>
        <w:t>穗净水</w:t>
      </w:r>
      <w:r>
        <w:rPr>
          <w:rFonts w:hint="eastAsia" w:ascii="宋体" w:hAnsi="宋体" w:cs="宋体"/>
          <w:b/>
          <w:bCs/>
          <w:color w:val="auto"/>
          <w:sz w:val="30"/>
          <w:szCs w:val="30"/>
          <w:highlight w:val="none"/>
          <w:lang w:val="en-US" w:eastAsia="zh-CN"/>
        </w:rPr>
        <w:t>设备</w:t>
      </w:r>
      <w:r>
        <w:rPr>
          <w:rFonts w:hint="eastAsia" w:ascii="宋体" w:hAnsi="宋体" w:cs="宋体"/>
          <w:b/>
          <w:bCs/>
          <w:color w:val="auto"/>
          <w:sz w:val="30"/>
          <w:szCs w:val="30"/>
          <w:highlight w:val="none"/>
        </w:rPr>
        <w:t>合[     ]    号</w:t>
      </w:r>
    </w:p>
    <w:p>
      <w:pPr>
        <w:spacing w:line="480" w:lineRule="auto"/>
        <w:rPr>
          <w:rFonts w:ascii="宋体" w:hAnsi="宋体" w:cs="宋体"/>
          <w:b/>
          <w:bCs/>
          <w:color w:val="auto"/>
          <w:sz w:val="30"/>
          <w:highlight w:val="none"/>
        </w:rPr>
      </w:pPr>
    </w:p>
    <w:p>
      <w:pPr>
        <w:spacing w:line="480" w:lineRule="auto"/>
        <w:rPr>
          <w:rFonts w:hint="default" w:ascii="宋体" w:hAnsi="宋体" w:cs="宋体" w:eastAsiaTheme="minorEastAsia"/>
          <w:b/>
          <w:bCs/>
          <w:color w:val="auto"/>
          <w:sz w:val="30"/>
          <w:highlight w:val="none"/>
          <w:lang w:val="en-US" w:eastAsia="zh-CN"/>
        </w:rPr>
      </w:pPr>
      <w:r>
        <w:rPr>
          <w:rFonts w:hint="eastAsia" w:ascii="宋体" w:hAnsi="宋体" w:cs="宋体"/>
          <w:b/>
          <w:bCs/>
          <w:color w:val="auto"/>
          <w:sz w:val="30"/>
          <w:highlight w:val="none"/>
        </w:rPr>
        <w:t>甲方：</w:t>
      </w:r>
      <w:r>
        <w:rPr>
          <w:rFonts w:hint="eastAsia" w:ascii="宋体" w:hAnsi="宋体" w:cs="宋体"/>
          <w:b/>
          <w:bCs/>
          <w:color w:val="auto"/>
          <w:sz w:val="30"/>
          <w:highlight w:val="none"/>
          <w:lang w:val="en-US" w:eastAsia="zh-CN"/>
        </w:rPr>
        <w:t>广州城市水处理设备有限公司</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乙方：</w:t>
      </w:r>
      <w:r>
        <w:rPr>
          <w:rFonts w:hint="eastAsia" w:ascii="宋体" w:hAnsi="宋体" w:cs="宋体"/>
          <w:b/>
          <w:bCs/>
          <w:color w:val="auto"/>
          <w:sz w:val="30"/>
          <w:highlight w:val="none"/>
          <w:u w:val="single"/>
        </w:rPr>
        <w:t xml:space="preserve">                                          </w:t>
      </w:r>
      <w:r>
        <w:rPr>
          <w:rFonts w:hint="eastAsia" w:ascii="宋体" w:hAnsi="宋体" w:cs="宋体"/>
          <w:b/>
          <w:bCs/>
          <w:color w:val="auto"/>
          <w:sz w:val="30"/>
          <w:highlight w:val="none"/>
        </w:rPr>
        <w:t xml:space="preserve"> </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签订日期：    年  月  日</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签约地点：广州市</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p>
    <w:p>
      <w:pPr>
        <w:pStyle w:val="51"/>
        <w:spacing w:line="500" w:lineRule="exact"/>
        <w:jc w:val="center"/>
        <w:rPr>
          <w:rFonts w:hint="eastAsia" w:ascii="宋体" w:hAnsi="宋体"/>
          <w:b/>
          <w:sz w:val="52"/>
          <w:highlight w:val="none"/>
          <w:lang w:eastAsia="zh-CN"/>
        </w:rPr>
      </w:pPr>
    </w:p>
    <w:p>
      <w:pPr>
        <w:rPr>
          <w:rFonts w:hint="eastAsia" w:ascii="宋体" w:hAnsi="宋体"/>
          <w:b/>
          <w:sz w:val="52"/>
          <w:highlight w:val="none"/>
          <w:lang w:eastAsia="zh-CN"/>
        </w:rPr>
      </w:pPr>
    </w:p>
    <w:p>
      <w:pPr>
        <w:pStyle w:val="2"/>
        <w:rPr>
          <w:rFonts w:hint="eastAsia"/>
          <w:highlight w:val="none"/>
          <w:lang w:eastAsia="zh-CN"/>
        </w:rPr>
      </w:pPr>
    </w:p>
    <w:p>
      <w:pPr>
        <w:rPr>
          <w:rFonts w:ascii="宋体" w:hAnsi="宋体" w:cs="宋体"/>
          <w:b/>
          <w:bCs/>
          <w:sz w:val="24"/>
          <w:highlight w:val="none"/>
          <w:lang w:val="zh-CN"/>
        </w:rPr>
      </w:pPr>
      <w:r>
        <w:rPr>
          <w:rFonts w:hint="eastAsia" w:ascii="宋体" w:hAnsi="宋体"/>
          <w:b/>
          <w:sz w:val="52"/>
          <w:highlight w:val="none"/>
        </w:rPr>
        <w:br w:type="textWrapping"/>
      </w:r>
      <w:r>
        <w:rPr>
          <w:rFonts w:hint="eastAsia" w:ascii="宋体" w:hAnsi="宋体"/>
          <w:b/>
          <w:sz w:val="28"/>
          <w:szCs w:val="28"/>
          <w:highlight w:val="none"/>
        </w:rPr>
        <w:t xml:space="preserve">  </w:t>
      </w:r>
    </w:p>
    <w:p>
      <w:pPr>
        <w:pStyle w:val="51"/>
        <w:spacing w:line="500" w:lineRule="exact"/>
        <w:jc w:val="center"/>
        <w:rPr>
          <w:rFonts w:hint="eastAsia" w:ascii="宋体" w:hAnsi="宋体" w:eastAsia="宋体" w:cs="宋体"/>
          <w:b/>
          <w:bCs/>
          <w:sz w:val="24"/>
          <w:szCs w:val="24"/>
          <w:highlight w:val="none"/>
          <w:lang w:val="zh-CN" w:eastAsia="zh-CN"/>
        </w:rPr>
      </w:pPr>
    </w:p>
    <w:p>
      <w:pPr>
        <w:spacing w:before="93" w:beforeLines="30" w:line="384" w:lineRule="auto"/>
        <w:rPr>
          <w:rFonts w:hint="eastAsia" w:ascii="宋体" w:hAnsi="宋体" w:cs="宋体"/>
          <w:sz w:val="24"/>
          <w:highlight w:val="none"/>
        </w:rPr>
      </w:pPr>
    </w:p>
    <w:p>
      <w:pPr>
        <w:spacing w:before="93" w:beforeLines="30" w:line="384" w:lineRule="auto"/>
        <w:ind w:left="210" w:leftChars="100" w:firstLine="600" w:firstLineChars="250"/>
        <w:rPr>
          <w:rFonts w:ascii="宋体" w:hAnsi="宋体" w:cs="宋体"/>
          <w:sz w:val="24"/>
          <w:highlight w:val="none"/>
        </w:rPr>
      </w:pPr>
      <w:r>
        <w:rPr>
          <w:rFonts w:hint="eastAsia" w:ascii="宋体" w:hAnsi="宋体" w:cs="宋体"/>
          <w:sz w:val="24"/>
          <w:highlight w:val="none"/>
        </w:rPr>
        <w:t>根据相关法律、行政法规，</w:t>
      </w:r>
      <w:r>
        <w:rPr>
          <w:rFonts w:hint="eastAsia" w:ascii="宋体" w:hAnsi="宋体" w:cs="宋体"/>
          <w:sz w:val="24"/>
          <w:highlight w:val="none"/>
          <w:u w:val="single"/>
        </w:rPr>
        <w:t>广州城市水处理设备有限公司</w:t>
      </w:r>
      <w:r>
        <w:rPr>
          <w:rFonts w:hint="eastAsia" w:ascii="宋体" w:hAnsi="宋体" w:cs="宋体"/>
          <w:sz w:val="24"/>
          <w:highlight w:val="none"/>
        </w:rPr>
        <w:t xml:space="preserve"> （以下简称“甲方”）与</w:t>
      </w:r>
      <w:r>
        <w:rPr>
          <w:rFonts w:hint="eastAsia" w:ascii="宋体" w:hAnsi="宋体" w:cs="宋体"/>
          <w:sz w:val="24"/>
          <w:highlight w:val="none"/>
          <w:u w:val="single"/>
        </w:rPr>
        <w:t xml:space="preserve">…          </w:t>
      </w:r>
      <w:r>
        <w:rPr>
          <w:rFonts w:hint="eastAsia" w:ascii="宋体" w:hAnsi="宋体" w:cs="宋体"/>
          <w:sz w:val="24"/>
          <w:highlight w:val="none"/>
        </w:rPr>
        <w:t xml:space="preserve"> （以下简称“乙方”）就</w:t>
      </w:r>
      <w:r>
        <w:rPr>
          <w:rFonts w:hint="eastAsia" w:ascii="宋体" w:hAnsi="宋体" w:cs="宋体"/>
          <w:sz w:val="24"/>
          <w:highlight w:val="none"/>
          <w:u w:val="single"/>
          <w:lang w:val="en-US" w:eastAsia="zh-CN"/>
        </w:rPr>
        <w:t>包车运输服务</w:t>
      </w:r>
      <w:r>
        <w:rPr>
          <w:rFonts w:hint="eastAsia" w:ascii="宋体" w:hAnsi="宋体" w:cs="宋体"/>
          <w:sz w:val="24"/>
          <w:highlight w:val="none"/>
          <w:u w:val="single"/>
        </w:rPr>
        <w:t>（以下简称“</w:t>
      </w:r>
      <w:r>
        <w:rPr>
          <w:rFonts w:hint="eastAsia" w:ascii="宋体" w:hAnsi="宋体" w:cs="宋体"/>
          <w:sz w:val="24"/>
          <w:highlight w:val="none"/>
          <w:u w:val="single"/>
          <w:lang w:val="en-US" w:eastAsia="zh-CN"/>
        </w:rPr>
        <w:t>包车</w:t>
      </w:r>
      <w:r>
        <w:rPr>
          <w:rFonts w:hint="eastAsia" w:ascii="宋体" w:hAnsi="宋体" w:cs="宋体"/>
          <w:sz w:val="24"/>
          <w:highlight w:val="none"/>
          <w:u w:val="single"/>
        </w:rPr>
        <w:t>”）工作</w:t>
      </w:r>
      <w:r>
        <w:rPr>
          <w:rFonts w:hint="eastAsia" w:ascii="宋体" w:hAnsi="宋体" w:cs="宋体"/>
          <w:sz w:val="24"/>
          <w:highlight w:val="none"/>
        </w:rPr>
        <w:t>事宜，遵循平等、自愿、公平和诚实信用的原则，双方协商一致，订立本合同。</w:t>
      </w:r>
    </w:p>
    <w:p>
      <w:pPr>
        <w:spacing w:before="93" w:beforeLines="30" w:line="480" w:lineRule="exact"/>
        <w:ind w:left="630" w:leftChars="300"/>
        <w:rPr>
          <w:rFonts w:ascii="宋体" w:hAnsi="宋体" w:cs="宋体"/>
          <w:b/>
          <w:bCs/>
          <w:sz w:val="24"/>
          <w:highlight w:val="none"/>
        </w:rPr>
      </w:pPr>
      <w:r>
        <w:rPr>
          <w:rFonts w:hint="eastAsia" w:ascii="宋体" w:hAnsi="宋体" w:cs="宋体"/>
          <w:b/>
          <w:bCs/>
          <w:sz w:val="24"/>
          <w:highlight w:val="none"/>
        </w:rPr>
        <w:t>一、 组成合同的文件及优先顺序</w:t>
      </w:r>
    </w:p>
    <w:p>
      <w:pPr>
        <w:spacing w:line="480" w:lineRule="exact"/>
        <w:ind w:firstLine="482"/>
        <w:rPr>
          <w:rFonts w:ascii="宋体" w:hAnsi="宋体" w:cs="宋体"/>
          <w:bCs/>
          <w:sz w:val="24"/>
          <w:highlight w:val="none"/>
        </w:rPr>
      </w:pPr>
      <w:r>
        <w:rPr>
          <w:rFonts w:hint="eastAsia" w:ascii="宋体" w:hAnsi="宋体" w:cs="宋体"/>
          <w:bCs/>
          <w:sz w:val="24"/>
          <w:highlight w:val="none"/>
        </w:rPr>
        <w:t xml:space="preserve"> 下列文件（如有）均为本合同的组成部分，可视为能相互说明和补充的，如果合同文件存在歧义或相矛盾的地方，则根据以下次序判断：</w:t>
      </w:r>
    </w:p>
    <w:p>
      <w:pPr>
        <w:spacing w:line="480" w:lineRule="exact"/>
        <w:ind w:firstLine="482"/>
        <w:rPr>
          <w:rFonts w:ascii="宋体" w:hAnsi="宋体" w:cs="宋体"/>
          <w:bCs/>
          <w:sz w:val="24"/>
          <w:highlight w:val="none"/>
        </w:rPr>
      </w:pPr>
      <w:r>
        <w:rPr>
          <w:rFonts w:hint="eastAsia" w:ascii="宋体" w:hAnsi="宋体" w:cs="宋体"/>
          <w:bCs/>
          <w:sz w:val="24"/>
          <w:highlight w:val="none"/>
        </w:rPr>
        <w:t>（1）</w:t>
      </w:r>
      <w:r>
        <w:rPr>
          <w:rFonts w:hint="eastAsia" w:ascii="宋体" w:hAnsi="宋体" w:cs="宋体"/>
          <w:sz w:val="24"/>
          <w:highlight w:val="none"/>
        </w:rPr>
        <w:t>在本合同实施过程双方签署的补充与修正文件</w:t>
      </w:r>
      <w:r>
        <w:rPr>
          <w:rFonts w:hint="eastAsia" w:ascii="宋体" w:hAnsi="宋体" w:cs="宋体"/>
          <w:bCs/>
          <w:sz w:val="24"/>
          <w:highlight w:val="none"/>
        </w:rPr>
        <w:t>；</w:t>
      </w:r>
    </w:p>
    <w:p>
      <w:pPr>
        <w:spacing w:line="480" w:lineRule="exact"/>
        <w:ind w:firstLine="482"/>
        <w:rPr>
          <w:rFonts w:ascii="宋体" w:hAnsi="宋体" w:cs="宋体"/>
          <w:bCs/>
          <w:sz w:val="24"/>
          <w:highlight w:val="none"/>
        </w:rPr>
      </w:pPr>
      <w:r>
        <w:rPr>
          <w:rFonts w:hint="eastAsia" w:ascii="宋体" w:hAnsi="宋体" w:cs="宋体"/>
          <w:bCs/>
          <w:sz w:val="24"/>
          <w:highlight w:val="none"/>
        </w:rPr>
        <w:t>（2）本合同书；</w:t>
      </w:r>
    </w:p>
    <w:p>
      <w:pPr>
        <w:spacing w:line="480" w:lineRule="exact"/>
        <w:ind w:firstLine="480" w:firstLineChars="200"/>
        <w:rPr>
          <w:rFonts w:hint="eastAsia" w:ascii="宋体" w:hAnsi="宋体" w:cs="宋体"/>
          <w:bCs/>
          <w:sz w:val="24"/>
          <w:highlight w:val="none"/>
        </w:rPr>
      </w:pPr>
      <w:r>
        <w:rPr>
          <w:rFonts w:hint="eastAsia" w:ascii="宋体" w:hAnsi="宋体" w:cs="宋体"/>
          <w:bCs/>
          <w:sz w:val="24"/>
          <w:highlight w:val="none"/>
        </w:rPr>
        <w:t>（3）合同附件</w:t>
      </w:r>
    </w:p>
    <w:p>
      <w:pPr>
        <w:pStyle w:val="3"/>
        <w:spacing w:line="450" w:lineRule="exact"/>
        <w:ind w:firstLine="482"/>
        <w:rPr>
          <w:rFonts w:hint="eastAsia"/>
          <w:b/>
          <w:bCs/>
          <w:highlight w:val="none"/>
          <w:lang w:val="en-US" w:eastAsia="zh-CN"/>
        </w:rPr>
      </w:pPr>
    </w:p>
    <w:p>
      <w:pPr>
        <w:pStyle w:val="3"/>
        <w:spacing w:line="450" w:lineRule="exact"/>
        <w:ind w:firstLine="482"/>
        <w:rPr>
          <w:rFonts w:hint="eastAsia"/>
          <w:b/>
          <w:bCs/>
          <w:highlight w:val="none"/>
          <w:lang w:val="en-US" w:eastAsia="zh-CN"/>
        </w:rPr>
      </w:pPr>
      <w:r>
        <w:rPr>
          <w:rFonts w:hint="eastAsia"/>
          <w:b/>
          <w:bCs/>
          <w:highlight w:val="none"/>
          <w:lang w:val="en-US" w:eastAsia="zh-CN"/>
        </w:rPr>
        <w:t>二、合同预算金额</w:t>
      </w:r>
    </w:p>
    <w:tbl>
      <w:tblPr>
        <w:tblStyle w:val="22"/>
        <w:tblW w:w="10930" w:type="dxa"/>
        <w:jc w:val="center"/>
        <w:tblLayout w:type="fixed"/>
        <w:tblCellMar>
          <w:top w:w="0" w:type="dxa"/>
          <w:left w:w="0" w:type="dxa"/>
          <w:bottom w:w="0" w:type="dxa"/>
          <w:right w:w="0" w:type="dxa"/>
        </w:tblCellMar>
      </w:tblPr>
      <w:tblGrid>
        <w:gridCol w:w="785"/>
        <w:gridCol w:w="840"/>
        <w:gridCol w:w="3921"/>
        <w:gridCol w:w="1440"/>
        <w:gridCol w:w="1440"/>
        <w:gridCol w:w="1252"/>
        <w:gridCol w:w="1252"/>
      </w:tblGrid>
      <w:tr>
        <w:tblPrEx>
          <w:tblCellMar>
            <w:top w:w="0" w:type="dxa"/>
            <w:left w:w="0" w:type="dxa"/>
            <w:bottom w:w="0" w:type="dxa"/>
            <w:right w:w="0" w:type="dxa"/>
          </w:tblCellMar>
        </w:tblPrEx>
        <w:trPr>
          <w:trHeight w:val="54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bCs/>
                <w:sz w:val="24"/>
                <w:highlight w:val="none"/>
              </w:rPr>
            </w:pPr>
            <w:bookmarkStart w:id="87" w:name="_Hlk104974133"/>
            <w:r>
              <w:rPr>
                <w:rFonts w:hint="eastAsia" w:ascii="宋体" w:hAnsi="宋体" w:cs="宋体"/>
                <w:bCs/>
                <w:sz w:val="24"/>
                <w:highlight w:val="none"/>
              </w:rPr>
              <w:t>序号</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eastAsiaTheme="minorEastAsia"/>
                <w:bCs/>
                <w:sz w:val="24"/>
                <w:highlight w:val="none"/>
                <w:lang w:eastAsia="zh-CN"/>
              </w:rPr>
            </w:pPr>
            <w:r>
              <w:rPr>
                <w:rFonts w:hint="eastAsia" w:ascii="宋体" w:hAnsi="宋体" w:cs="宋体"/>
                <w:bCs/>
                <w:sz w:val="24"/>
                <w:highlight w:val="none"/>
                <w:lang w:val="en-US" w:eastAsia="zh-CN"/>
              </w:rPr>
              <w:t>车型</w:t>
            </w:r>
          </w:p>
        </w:tc>
        <w:tc>
          <w:tcPr>
            <w:tcW w:w="3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eastAsiaTheme="minorEastAsia"/>
                <w:bCs/>
                <w:sz w:val="24"/>
                <w:highlight w:val="none"/>
                <w:lang w:eastAsia="zh-CN"/>
              </w:rPr>
            </w:pPr>
            <w:r>
              <w:rPr>
                <w:rFonts w:hint="eastAsia" w:ascii="宋体" w:hAnsi="宋体" w:cs="宋体"/>
                <w:bCs/>
                <w:sz w:val="24"/>
                <w:highlight w:val="none"/>
                <w:lang w:val="en-US" w:eastAsia="zh-CN"/>
              </w:rPr>
              <w:t>路线</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exact"/>
              <w:jc w:val="center"/>
              <w:rPr>
                <w:rFonts w:hint="default" w:ascii="宋体" w:hAnsi="宋体" w:cs="宋体" w:eastAsiaTheme="minorEastAsia"/>
                <w:bCs/>
                <w:sz w:val="24"/>
                <w:highlight w:val="none"/>
                <w:lang w:val="en-US" w:eastAsia="zh-CN"/>
              </w:rPr>
            </w:pPr>
            <w:r>
              <w:rPr>
                <w:rFonts w:hint="eastAsia" w:ascii="宋体" w:hAnsi="宋体" w:cs="宋体"/>
                <w:bCs/>
                <w:sz w:val="24"/>
                <w:highlight w:val="none"/>
                <w:lang w:val="en-US" w:eastAsia="zh-CN"/>
              </w:rPr>
              <w:t>车辆数（台）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exact"/>
              <w:jc w:val="center"/>
              <w:rPr>
                <w:rFonts w:hint="eastAsia" w:ascii="宋体" w:hAnsi="宋体" w:cs="宋体"/>
                <w:bCs/>
                <w:sz w:val="24"/>
                <w:highlight w:val="none"/>
              </w:rPr>
            </w:pPr>
            <w:r>
              <w:rPr>
                <w:rFonts w:hint="eastAsia" w:ascii="宋体" w:hAnsi="宋体" w:cs="宋体"/>
                <w:bCs/>
                <w:sz w:val="24"/>
                <w:highlight w:val="none"/>
              </w:rPr>
              <w:t>单价</w:t>
            </w:r>
            <w:r>
              <w:rPr>
                <w:rFonts w:hint="eastAsia" w:ascii="宋体" w:hAnsi="宋体" w:cs="宋体"/>
                <w:bCs/>
                <w:sz w:val="24"/>
                <w:highlight w:val="none"/>
              </w:rPr>
              <w:br w:type="textWrapping"/>
            </w:r>
            <w:r>
              <w:rPr>
                <w:rFonts w:hint="eastAsia" w:ascii="宋体" w:hAnsi="宋体" w:cs="宋体"/>
                <w:bCs/>
                <w:sz w:val="24"/>
                <w:highlight w:val="none"/>
              </w:rPr>
              <w:t>（元</w:t>
            </w:r>
            <w:r>
              <w:rPr>
                <w:rFonts w:hint="eastAsia" w:ascii="宋体" w:hAnsi="宋体" w:cs="宋体"/>
                <w:bCs/>
                <w:sz w:val="24"/>
                <w:highlight w:val="none"/>
                <w:lang w:val="en-US" w:eastAsia="zh-CN"/>
              </w:rPr>
              <w:t>/天</w:t>
            </w:r>
            <w:r>
              <w:rPr>
                <w:rFonts w:hint="eastAsia" w:ascii="宋体" w:hAnsi="宋体" w:cs="宋体"/>
                <w:bCs/>
                <w:sz w:val="24"/>
                <w:highlight w:val="none"/>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default" w:ascii="宋体" w:hAnsi="宋体" w:cs="宋体" w:eastAsiaTheme="minorEastAsia"/>
                <w:bCs/>
                <w:sz w:val="24"/>
                <w:highlight w:val="none"/>
                <w:lang w:val="en-US" w:eastAsia="zh-CN"/>
              </w:rPr>
            </w:pPr>
            <w:r>
              <w:rPr>
                <w:rFonts w:hint="eastAsia" w:ascii="宋体" w:hAnsi="宋体" w:cs="宋体"/>
                <w:bCs/>
                <w:sz w:val="24"/>
                <w:highlight w:val="none"/>
                <w:lang w:val="en-US" w:eastAsia="zh-CN"/>
              </w:rPr>
              <w:t>预估总价</w:t>
            </w:r>
            <w:r>
              <w:rPr>
                <w:rFonts w:hint="eastAsia" w:ascii="宋体" w:hAnsi="宋体" w:cs="宋体"/>
                <w:bCs/>
                <w:sz w:val="24"/>
                <w:highlight w:val="none"/>
              </w:rPr>
              <w:t>（元）</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eastAsiaTheme="minorEastAsia"/>
                <w:bCs/>
                <w:sz w:val="24"/>
                <w:highlight w:val="none"/>
                <w:lang w:val="en-US" w:eastAsia="zh-CN"/>
              </w:rPr>
            </w:pPr>
            <w:r>
              <w:rPr>
                <w:rFonts w:hint="eastAsia" w:ascii="宋体" w:hAnsi="宋体" w:cs="宋体"/>
                <w:bCs/>
                <w:sz w:val="24"/>
                <w:highlight w:val="none"/>
                <w:lang w:val="en-US" w:eastAsia="zh-CN"/>
              </w:rPr>
              <w:t>备注</w:t>
            </w:r>
          </w:p>
        </w:tc>
      </w:tr>
      <w:tr>
        <w:tblPrEx>
          <w:tblCellMar>
            <w:top w:w="0" w:type="dxa"/>
            <w:left w:w="0" w:type="dxa"/>
            <w:bottom w:w="0" w:type="dxa"/>
            <w:right w:w="0" w:type="dxa"/>
          </w:tblCellMar>
        </w:tblPrEx>
        <w:trPr>
          <w:trHeight w:val="680" w:hRule="atLeast"/>
          <w:jc w:val="center"/>
        </w:trPr>
        <w:tc>
          <w:tcPr>
            <w:tcW w:w="785"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eastAsiaTheme="minorEastAsia"/>
                <w:bCs/>
                <w:sz w:val="24"/>
                <w:highlight w:val="none"/>
                <w:lang w:val="en-US" w:eastAsia="zh-CN"/>
              </w:rPr>
            </w:pPr>
            <w:r>
              <w:rPr>
                <w:rFonts w:hint="eastAsia" w:ascii="宋体" w:hAnsi="宋体" w:cs="宋体"/>
                <w:bCs/>
                <w:sz w:val="24"/>
                <w:highlight w:val="none"/>
              </w:rPr>
              <w:t>1</w:t>
            </w:r>
          </w:p>
        </w:tc>
        <w:tc>
          <w:tcPr>
            <w:tcW w:w="84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bCs/>
                <w:sz w:val="24"/>
                <w:highlight w:val="none"/>
              </w:rPr>
            </w:pPr>
            <w:r>
              <w:rPr>
                <w:rFonts w:hint="eastAsia" w:ascii="宋体" w:hAnsi="宋体" w:cs="宋体"/>
                <w:bCs/>
                <w:sz w:val="24"/>
                <w:highlight w:val="none"/>
                <w:lang w:val="en-US" w:eastAsia="zh-CN"/>
              </w:rPr>
              <w:t>22</w:t>
            </w:r>
            <w:r>
              <w:rPr>
                <w:rFonts w:hint="eastAsia" w:ascii="宋体" w:hAnsi="宋体" w:cs="宋体"/>
                <w:bCs/>
                <w:sz w:val="24"/>
                <w:highlight w:val="none"/>
              </w:rPr>
              <w:t>座</w:t>
            </w:r>
          </w:p>
        </w:tc>
        <w:tc>
          <w:tcPr>
            <w:tcW w:w="3921"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default" w:ascii="宋体" w:hAnsi="宋体" w:cs="宋体" w:eastAsiaTheme="minorEastAsia"/>
                <w:bCs/>
                <w:sz w:val="24"/>
                <w:highlight w:val="none"/>
                <w:lang w:val="en-US" w:eastAsia="zh-CN"/>
              </w:rPr>
            </w:pPr>
            <w:r>
              <w:rPr>
                <w:rFonts w:hint="eastAsia" w:ascii="宋体" w:hAnsi="宋体" w:cs="宋体"/>
                <w:bCs/>
                <w:sz w:val="24"/>
                <w:highlight w:val="none"/>
              </w:rPr>
              <w:t>坦尾地铁站--沥滘地铁站--广州城市水处理设备有限公司</w:t>
            </w:r>
            <w:r>
              <w:rPr>
                <w:rFonts w:hint="eastAsia" w:ascii="宋体" w:hAnsi="宋体" w:cs="宋体"/>
                <w:bCs/>
                <w:sz w:val="24"/>
                <w:highlight w:val="none"/>
                <w:lang w:val="en-US" w:eastAsia="zh-CN"/>
              </w:rPr>
              <w:t>(往返）</w:t>
            </w:r>
          </w:p>
        </w:tc>
        <w:tc>
          <w:tcPr>
            <w:tcW w:w="144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eastAsiaTheme="minorEastAsia"/>
                <w:bCs/>
                <w:sz w:val="24"/>
                <w:highlight w:val="none"/>
                <w:lang w:val="en-US" w:eastAsia="zh-CN"/>
              </w:rPr>
            </w:pPr>
            <w:r>
              <w:rPr>
                <w:rFonts w:hint="eastAsia" w:ascii="宋体" w:hAnsi="宋体" w:cs="宋体"/>
                <w:bCs/>
                <w:sz w:val="24"/>
                <w:highlight w:val="none"/>
                <w:lang w:val="en-US" w:eastAsia="zh-CN"/>
              </w:rPr>
              <w:t>1</w:t>
            </w:r>
          </w:p>
        </w:tc>
        <w:tc>
          <w:tcPr>
            <w:tcW w:w="144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c>
          <w:tcPr>
            <w:tcW w:w="1252"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r>
      <w:tr>
        <w:tblPrEx>
          <w:tblCellMar>
            <w:top w:w="0" w:type="dxa"/>
            <w:left w:w="0" w:type="dxa"/>
            <w:bottom w:w="0" w:type="dxa"/>
            <w:right w:w="0" w:type="dxa"/>
          </w:tblCellMar>
        </w:tblPrEx>
        <w:trPr>
          <w:trHeight w:val="680" w:hRule="atLeast"/>
          <w:jc w:val="center"/>
        </w:trPr>
        <w:tc>
          <w:tcPr>
            <w:tcW w:w="785"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eastAsiaTheme="minorEastAsia"/>
                <w:bCs/>
                <w:sz w:val="24"/>
                <w:highlight w:val="none"/>
                <w:lang w:val="en-US" w:eastAsia="zh-CN"/>
              </w:rPr>
            </w:pPr>
          </w:p>
        </w:tc>
        <w:tc>
          <w:tcPr>
            <w:tcW w:w="84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bCs/>
                <w:sz w:val="24"/>
                <w:highlight w:val="none"/>
              </w:rPr>
            </w:pPr>
          </w:p>
        </w:tc>
        <w:tc>
          <w:tcPr>
            <w:tcW w:w="3921"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default" w:ascii="宋体" w:hAnsi="宋体" w:cs="宋体" w:eastAsiaTheme="minorEastAsia"/>
                <w:bCs/>
                <w:sz w:val="24"/>
                <w:highlight w:val="none"/>
                <w:lang w:val="en-US" w:eastAsia="zh-CN"/>
              </w:rPr>
            </w:pPr>
          </w:p>
        </w:tc>
        <w:tc>
          <w:tcPr>
            <w:tcW w:w="144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c>
          <w:tcPr>
            <w:tcW w:w="144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c>
          <w:tcPr>
            <w:tcW w:w="1252"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r>
      <w:tr>
        <w:tblPrEx>
          <w:tblCellMar>
            <w:top w:w="0" w:type="dxa"/>
            <w:left w:w="0" w:type="dxa"/>
            <w:bottom w:w="0" w:type="dxa"/>
            <w:right w:w="0" w:type="dxa"/>
          </w:tblCellMar>
        </w:tblPrEx>
        <w:trPr>
          <w:trHeight w:val="540" w:hRule="atLeast"/>
          <w:jc w:val="center"/>
        </w:trPr>
        <w:tc>
          <w:tcPr>
            <w:tcW w:w="785"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eastAsiaTheme="minorEastAsia"/>
                <w:bCs/>
                <w:sz w:val="24"/>
                <w:highlight w:val="none"/>
                <w:lang w:val="en-US" w:eastAsia="zh-CN"/>
              </w:rPr>
            </w:pPr>
            <w:r>
              <w:rPr>
                <w:rFonts w:hint="eastAsia" w:ascii="宋体" w:hAnsi="宋体" w:cs="宋体"/>
                <w:bCs/>
                <w:sz w:val="24"/>
                <w:highlight w:val="none"/>
                <w:lang w:val="en-US" w:eastAsia="zh-CN"/>
              </w:rPr>
              <w:t>2</w:t>
            </w:r>
          </w:p>
        </w:tc>
        <w:tc>
          <w:tcPr>
            <w:tcW w:w="84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bCs/>
                <w:sz w:val="24"/>
                <w:highlight w:val="none"/>
              </w:rPr>
            </w:pPr>
            <w:r>
              <w:rPr>
                <w:rFonts w:hint="eastAsia" w:ascii="宋体" w:hAnsi="宋体" w:cs="宋体"/>
                <w:bCs/>
                <w:sz w:val="24"/>
                <w:highlight w:val="none"/>
                <w:lang w:val="en-US" w:eastAsia="zh-CN"/>
              </w:rPr>
              <w:t>33座</w:t>
            </w:r>
          </w:p>
        </w:tc>
        <w:tc>
          <w:tcPr>
            <w:tcW w:w="3921"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bCs/>
                <w:sz w:val="24"/>
                <w:highlight w:val="none"/>
              </w:rPr>
            </w:pPr>
            <w:r>
              <w:rPr>
                <w:rFonts w:hint="eastAsia" w:ascii="宋体" w:hAnsi="宋体" w:cs="宋体"/>
                <w:bCs/>
                <w:sz w:val="24"/>
                <w:highlight w:val="none"/>
              </w:rPr>
              <w:t>坦尾地铁站--沥滘地铁站--广州城市水处理设备有限公司</w:t>
            </w:r>
            <w:r>
              <w:rPr>
                <w:rFonts w:hint="eastAsia" w:ascii="宋体" w:hAnsi="宋体" w:cs="宋体"/>
                <w:bCs/>
                <w:sz w:val="24"/>
                <w:highlight w:val="none"/>
                <w:lang w:val="en-US" w:eastAsia="zh-CN"/>
              </w:rPr>
              <w:t>(往返）</w:t>
            </w:r>
          </w:p>
        </w:tc>
        <w:tc>
          <w:tcPr>
            <w:tcW w:w="144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eastAsiaTheme="minorEastAsia"/>
                <w:bCs/>
                <w:sz w:val="24"/>
                <w:highlight w:val="none"/>
                <w:lang w:val="en-US" w:eastAsia="zh-CN"/>
              </w:rPr>
            </w:pPr>
            <w:r>
              <w:rPr>
                <w:rFonts w:hint="eastAsia" w:ascii="宋体" w:hAnsi="宋体" w:cs="宋体"/>
                <w:bCs/>
                <w:sz w:val="24"/>
                <w:highlight w:val="none"/>
                <w:lang w:val="en-US" w:eastAsia="zh-CN"/>
              </w:rPr>
              <w:t>1</w:t>
            </w:r>
          </w:p>
        </w:tc>
        <w:tc>
          <w:tcPr>
            <w:tcW w:w="144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c>
          <w:tcPr>
            <w:tcW w:w="1252"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r>
      <w:tr>
        <w:tblPrEx>
          <w:tblCellMar>
            <w:top w:w="0" w:type="dxa"/>
            <w:left w:w="0" w:type="dxa"/>
            <w:bottom w:w="0" w:type="dxa"/>
            <w:right w:w="0" w:type="dxa"/>
          </w:tblCellMar>
        </w:tblPrEx>
        <w:trPr>
          <w:trHeight w:val="540" w:hRule="atLeast"/>
          <w:jc w:val="center"/>
        </w:trPr>
        <w:tc>
          <w:tcPr>
            <w:tcW w:w="785"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eastAsiaTheme="minorEastAsia"/>
                <w:bCs/>
                <w:sz w:val="24"/>
                <w:highlight w:val="none"/>
                <w:lang w:val="en-US" w:eastAsia="zh-CN"/>
              </w:rPr>
            </w:pPr>
          </w:p>
        </w:tc>
        <w:tc>
          <w:tcPr>
            <w:tcW w:w="84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bCs/>
                <w:sz w:val="24"/>
                <w:highlight w:val="none"/>
              </w:rPr>
            </w:pPr>
          </w:p>
        </w:tc>
        <w:tc>
          <w:tcPr>
            <w:tcW w:w="3921"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bCs/>
                <w:sz w:val="24"/>
                <w:highlight w:val="none"/>
              </w:rPr>
            </w:pPr>
          </w:p>
        </w:tc>
        <w:tc>
          <w:tcPr>
            <w:tcW w:w="144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c>
          <w:tcPr>
            <w:tcW w:w="144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c>
          <w:tcPr>
            <w:tcW w:w="1252"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r>
      <w:tr>
        <w:tblPrEx>
          <w:tblCellMar>
            <w:top w:w="0" w:type="dxa"/>
            <w:left w:w="0" w:type="dxa"/>
            <w:bottom w:w="0" w:type="dxa"/>
            <w:right w:w="0" w:type="dxa"/>
          </w:tblCellMar>
        </w:tblPrEx>
        <w:trPr>
          <w:trHeight w:val="540" w:hRule="atLeast"/>
          <w:jc w:val="center"/>
        </w:trPr>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bCs/>
                <w:sz w:val="24"/>
                <w:highlight w:val="none"/>
                <w:lang w:val="en-US" w:eastAsia="zh-CN"/>
              </w:rPr>
            </w:pPr>
            <w:r>
              <w:rPr>
                <w:rFonts w:hint="eastAsia" w:ascii="宋体" w:hAnsi="宋体" w:cs="宋体"/>
                <w:bCs/>
                <w:sz w:val="24"/>
                <w:highlight w:val="none"/>
                <w:lang w:val="en-US" w:eastAsia="zh-CN"/>
              </w:rPr>
              <w:t>合同费用总计</w:t>
            </w:r>
          </w:p>
        </w:tc>
        <w:tc>
          <w:tcPr>
            <w:tcW w:w="930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default" w:ascii="宋体" w:hAnsi="宋体" w:cs="宋体" w:eastAsiaTheme="minorEastAsia"/>
                <w:bCs/>
                <w:sz w:val="24"/>
                <w:highlight w:val="none"/>
                <w:lang w:val="en-US" w:eastAsia="zh-CN"/>
              </w:rPr>
            </w:pPr>
            <w:r>
              <w:rPr>
                <w:rFonts w:hint="eastAsia"/>
                <w:sz w:val="22"/>
                <w:szCs w:val="22"/>
                <w:highlight w:val="none"/>
              </w:rPr>
              <w:t>…（大写：…）</w:t>
            </w:r>
            <w:r>
              <w:rPr>
                <w:rFonts w:hint="eastAsia"/>
                <w:sz w:val="22"/>
                <w:szCs w:val="22"/>
                <w:highlight w:val="none"/>
                <w:lang w:eastAsia="zh-CN"/>
              </w:rPr>
              <w:t>，</w:t>
            </w:r>
            <w:r>
              <w:rPr>
                <w:rFonts w:hint="eastAsia"/>
                <w:sz w:val="22"/>
                <w:szCs w:val="22"/>
                <w:highlight w:val="none"/>
                <w:lang w:val="en-US" w:eastAsia="zh-CN"/>
              </w:rPr>
              <w:t>税率**%</w:t>
            </w:r>
          </w:p>
        </w:tc>
      </w:tr>
      <w:bookmarkEnd w:id="87"/>
    </w:tbl>
    <w:p>
      <w:pPr>
        <w:spacing w:line="360" w:lineRule="auto"/>
        <w:ind w:left="420" w:leftChars="0" w:hanging="420" w:hangingChars="175"/>
        <w:jc w:val="left"/>
        <w:rPr>
          <w:rFonts w:hint="eastAsia" w:ascii="宋体" w:hAnsi="宋体" w:cs="宋体" w:eastAsiaTheme="minorEastAsia"/>
          <w:bCs/>
          <w:color w:val="auto"/>
          <w:kern w:val="2"/>
          <w:sz w:val="24"/>
          <w:szCs w:val="22"/>
          <w:highlight w:val="none"/>
          <w:lang w:val="en-US" w:eastAsia="zh-CN" w:bidi="ar-SA"/>
        </w:rPr>
      </w:pPr>
      <w:r>
        <w:rPr>
          <w:rFonts w:hint="eastAsia" w:ascii="宋体" w:hAnsi="宋体" w:cs="宋体" w:eastAsiaTheme="minorEastAsia"/>
          <w:bCs/>
          <w:color w:val="auto"/>
          <w:kern w:val="2"/>
          <w:sz w:val="24"/>
          <w:szCs w:val="22"/>
          <w:highlight w:val="none"/>
          <w:lang w:val="en-US" w:eastAsia="zh-CN" w:bidi="ar-SA"/>
        </w:rPr>
        <w:t>注：1、以实际用车为依据进行结算。过路费过桥费由甲方负责（路桥费先由乙方垫付，</w:t>
      </w:r>
      <w:r>
        <w:rPr>
          <w:rFonts w:hint="eastAsia" w:ascii="宋体" w:hAnsi="宋体" w:cs="宋体"/>
          <w:bCs/>
          <w:color w:val="auto"/>
          <w:kern w:val="2"/>
          <w:sz w:val="24"/>
          <w:szCs w:val="22"/>
          <w:highlight w:val="none"/>
          <w:lang w:val="en-US" w:eastAsia="zh-CN" w:bidi="ar-SA"/>
        </w:rPr>
        <w:t>凭发票</w:t>
      </w:r>
      <w:r>
        <w:rPr>
          <w:rFonts w:hint="eastAsia" w:ascii="宋体" w:hAnsi="宋体" w:cs="宋体" w:eastAsiaTheme="minorEastAsia"/>
          <w:bCs/>
          <w:color w:val="auto"/>
          <w:kern w:val="2"/>
          <w:sz w:val="24"/>
          <w:szCs w:val="22"/>
          <w:highlight w:val="none"/>
          <w:lang w:val="en-US" w:eastAsia="zh-CN" w:bidi="ar-SA"/>
        </w:rPr>
        <w:t>与单次用车费用一起结算）</w:t>
      </w:r>
    </w:p>
    <w:p>
      <w:pPr>
        <w:spacing w:line="360" w:lineRule="auto"/>
        <w:ind w:firstLine="480" w:firstLineChars="200"/>
        <w:jc w:val="left"/>
        <w:rPr>
          <w:rFonts w:ascii="宋体"/>
          <w:szCs w:val="21"/>
          <w:highlight w:val="none"/>
        </w:rPr>
      </w:pPr>
      <w:r>
        <w:rPr>
          <w:rFonts w:hint="eastAsia" w:ascii="宋体" w:hAnsi="宋体" w:cs="宋体"/>
          <w:bCs/>
          <w:color w:val="auto"/>
          <w:kern w:val="2"/>
          <w:sz w:val="24"/>
          <w:szCs w:val="22"/>
          <w:highlight w:val="none"/>
          <w:lang w:val="en-US" w:eastAsia="zh-CN" w:bidi="ar-SA"/>
        </w:rPr>
        <w:t>2、</w:t>
      </w:r>
      <w:r>
        <w:rPr>
          <w:rFonts w:hint="eastAsia" w:ascii="宋体" w:hAnsi="宋体" w:cs="宋体" w:eastAsiaTheme="minorEastAsia"/>
          <w:bCs/>
          <w:color w:val="auto"/>
          <w:kern w:val="2"/>
          <w:sz w:val="24"/>
          <w:szCs w:val="22"/>
          <w:highlight w:val="none"/>
          <w:lang w:val="en-US" w:eastAsia="zh-CN" w:bidi="ar-SA"/>
        </w:rPr>
        <w:t>服务单位所提供车辆座位数须大于或等于以上车型要求。</w:t>
      </w:r>
    </w:p>
    <w:p>
      <w:pPr>
        <w:pStyle w:val="2"/>
        <w:ind w:left="420" w:leftChars="200" w:firstLine="36" w:firstLineChars="15"/>
        <w:rPr>
          <w:rFonts w:hint="eastAsia" w:ascii="宋体" w:hAnsi="宋体" w:cs="宋体" w:eastAsiaTheme="minorEastAsia"/>
          <w:bCs/>
          <w:color w:val="auto"/>
          <w:kern w:val="2"/>
          <w:sz w:val="24"/>
          <w:szCs w:val="22"/>
          <w:highlight w:val="none"/>
          <w:lang w:val="en-US" w:eastAsia="zh-CN" w:bidi="ar-SA"/>
        </w:rPr>
      </w:pPr>
      <w:r>
        <w:rPr>
          <w:rFonts w:hint="eastAsia" w:ascii="宋体"/>
          <w:szCs w:val="21"/>
          <w:highlight w:val="none"/>
          <w:lang w:val="en-US" w:eastAsia="zh-CN"/>
        </w:rPr>
        <w:t>3、</w:t>
      </w:r>
      <w:r>
        <w:rPr>
          <w:rFonts w:hint="eastAsia" w:ascii="宋体" w:hAnsi="宋体" w:cs="宋体" w:eastAsiaTheme="minorEastAsia"/>
          <w:bCs/>
          <w:color w:val="auto"/>
          <w:kern w:val="2"/>
          <w:sz w:val="24"/>
          <w:szCs w:val="22"/>
          <w:highlight w:val="none"/>
          <w:lang w:val="en-US" w:eastAsia="zh-CN" w:bidi="ar-SA"/>
        </w:rPr>
        <w:t>甲方有权调整车辆台数、车型、趟次、停靠站点以及取消某</w:t>
      </w:r>
      <w:r>
        <w:rPr>
          <w:rFonts w:hint="eastAsia" w:cs="宋体" w:eastAsiaTheme="minorEastAsia"/>
          <w:bCs/>
          <w:color w:val="auto"/>
          <w:kern w:val="2"/>
          <w:sz w:val="24"/>
          <w:szCs w:val="22"/>
          <w:highlight w:val="none"/>
          <w:lang w:val="en-US" w:eastAsia="zh-CN" w:bidi="ar-SA"/>
        </w:rPr>
        <w:t>线路的</w:t>
      </w:r>
      <w:r>
        <w:rPr>
          <w:rFonts w:hint="eastAsia" w:ascii="宋体" w:hAnsi="宋体" w:cs="宋体" w:eastAsiaTheme="minorEastAsia"/>
          <w:bCs/>
          <w:color w:val="auto"/>
          <w:kern w:val="2"/>
          <w:sz w:val="24"/>
          <w:szCs w:val="22"/>
          <w:highlight w:val="none"/>
          <w:lang w:val="en-US" w:eastAsia="zh-CN" w:bidi="ar-SA"/>
        </w:rPr>
        <w:t>车辆，并应提前三天通知乙方。乙方应无条件配合，并满足甲方要求。</w:t>
      </w:r>
    </w:p>
    <w:p>
      <w:pPr>
        <w:pStyle w:val="2"/>
        <w:ind w:left="420" w:leftChars="200" w:firstLine="36" w:firstLineChars="15"/>
        <w:rPr>
          <w:rFonts w:hint="default" w:ascii="宋体" w:hAnsi="宋体" w:cs="宋体" w:eastAsiaTheme="minorEastAsia"/>
          <w:bCs/>
          <w:color w:val="auto"/>
          <w:kern w:val="2"/>
          <w:sz w:val="24"/>
          <w:szCs w:val="22"/>
          <w:highlight w:val="none"/>
          <w:lang w:val="en-US" w:eastAsia="zh-CN" w:bidi="ar-SA"/>
        </w:rPr>
      </w:pPr>
      <w:r>
        <w:rPr>
          <w:rFonts w:hint="eastAsia" w:cs="宋体" w:eastAsiaTheme="minorEastAsia"/>
          <w:bCs/>
          <w:color w:val="auto"/>
          <w:kern w:val="2"/>
          <w:sz w:val="24"/>
          <w:szCs w:val="22"/>
          <w:highlight w:val="none"/>
          <w:lang w:val="en-US" w:eastAsia="zh-CN" w:bidi="ar-SA"/>
        </w:rPr>
        <w:t>4、该价格含司机费用，开发票时需注明司机服务费用金额。</w:t>
      </w:r>
    </w:p>
    <w:p>
      <w:pPr>
        <w:pStyle w:val="3"/>
        <w:spacing w:line="450" w:lineRule="exact"/>
        <w:ind w:firstLine="482"/>
        <w:rPr>
          <w:rFonts w:hint="default"/>
          <w:b/>
          <w:bCs/>
          <w:highlight w:val="none"/>
          <w:lang w:val="en-US" w:eastAsia="zh-CN"/>
        </w:rPr>
      </w:pPr>
    </w:p>
    <w:p>
      <w:pPr>
        <w:pStyle w:val="3"/>
        <w:spacing w:line="450" w:lineRule="exact"/>
        <w:ind w:firstLine="482"/>
        <w:rPr>
          <w:rFonts w:hint="default" w:eastAsiaTheme="minorEastAsia"/>
          <w:b/>
          <w:bCs/>
          <w:highlight w:val="none"/>
          <w:lang w:val="en-US" w:eastAsia="zh-CN"/>
        </w:rPr>
      </w:pPr>
      <w:r>
        <w:rPr>
          <w:rFonts w:hint="eastAsia"/>
          <w:b/>
          <w:bCs/>
          <w:highlight w:val="none"/>
          <w:lang w:val="en-US" w:eastAsia="zh-CN"/>
        </w:rPr>
        <w:t>三</w:t>
      </w:r>
      <w:r>
        <w:rPr>
          <w:rFonts w:hint="eastAsia"/>
          <w:b/>
          <w:bCs/>
          <w:highlight w:val="none"/>
        </w:rPr>
        <w:t xml:space="preserve"> 、</w:t>
      </w:r>
      <w:r>
        <w:rPr>
          <w:rFonts w:hint="eastAsia"/>
          <w:b/>
          <w:bCs/>
          <w:highlight w:val="none"/>
          <w:lang w:val="en-US" w:eastAsia="zh-CN"/>
        </w:rPr>
        <w:t>服务内容</w:t>
      </w:r>
    </w:p>
    <w:p>
      <w:pPr>
        <w:spacing w:line="480" w:lineRule="exact"/>
        <w:ind w:firstLine="482"/>
        <w:rPr>
          <w:rFonts w:hint="eastAsia" w:ascii="宋体" w:hAnsi="宋体" w:eastAsia="宋体" w:cs="宋体"/>
          <w:bCs/>
          <w:sz w:val="24"/>
          <w:highlight w:val="none"/>
        </w:rPr>
      </w:pPr>
      <w:r>
        <w:rPr>
          <w:rFonts w:hint="eastAsia" w:ascii="宋体" w:hAnsi="宋体" w:eastAsia="宋体" w:cs="宋体"/>
          <w:color w:val="auto"/>
          <w:kern w:val="2"/>
          <w:sz w:val="24"/>
          <w:szCs w:val="22"/>
          <w:highlight w:val="none"/>
          <w:lang w:val="en-US" w:eastAsia="zh-CN" w:bidi="ar-SA"/>
        </w:rPr>
        <w:t>3.1</w:t>
      </w:r>
      <w:r>
        <w:rPr>
          <w:rFonts w:hint="eastAsia" w:ascii="宋体" w:hAnsi="宋体" w:eastAsia="宋体" w:cs="宋体"/>
          <w:bCs/>
          <w:sz w:val="24"/>
          <w:highlight w:val="none"/>
          <w:lang w:val="en-US" w:eastAsia="zh-CN"/>
        </w:rPr>
        <w:t xml:space="preserve"> </w:t>
      </w:r>
      <w:r>
        <w:rPr>
          <w:rFonts w:hint="eastAsia" w:ascii="宋体" w:hAnsi="宋体" w:eastAsia="宋体" w:cs="宋体"/>
          <w:bCs/>
          <w:sz w:val="24"/>
          <w:highlight w:val="none"/>
        </w:rPr>
        <w:t>服务线路：</w:t>
      </w:r>
    </w:p>
    <w:p>
      <w:pPr>
        <w:spacing w:line="480" w:lineRule="exact"/>
        <w:ind w:firstLine="482"/>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7：25-18：10，坦尾地铁站-沥滘地铁站-广州城市水处理设备有限公司（往返1次）</w:t>
      </w:r>
    </w:p>
    <w:p>
      <w:pPr>
        <w:spacing w:line="480" w:lineRule="exact"/>
        <w:ind w:firstLine="482"/>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注：时间均为暂定，采购人有权根据实际情况进行调整。</w:t>
      </w:r>
    </w:p>
    <w:p>
      <w:pPr>
        <w:spacing w:line="480" w:lineRule="exact"/>
        <w:ind w:firstLine="482"/>
        <w:rPr>
          <w:rFonts w:hint="eastAsia" w:ascii="宋体" w:hAnsi="宋体" w:eastAsia="宋体" w:cs="宋体"/>
          <w:bCs/>
          <w:sz w:val="24"/>
          <w:highlight w:val="none"/>
        </w:rPr>
      </w:pPr>
      <w:r>
        <w:rPr>
          <w:rFonts w:hint="eastAsia" w:ascii="宋体" w:hAnsi="宋体" w:eastAsia="宋体" w:cs="宋体"/>
          <w:color w:val="auto"/>
          <w:kern w:val="2"/>
          <w:sz w:val="24"/>
          <w:szCs w:val="22"/>
          <w:highlight w:val="none"/>
          <w:lang w:val="en-US" w:eastAsia="zh-CN" w:bidi="ar-SA"/>
        </w:rPr>
        <w:t>3.2</w:t>
      </w:r>
      <w:r>
        <w:rPr>
          <w:rFonts w:hint="eastAsia" w:ascii="宋体" w:hAnsi="宋体" w:eastAsia="宋体" w:cs="宋体"/>
          <w:bCs/>
          <w:sz w:val="24"/>
          <w:highlight w:val="none"/>
          <w:lang w:val="en-US" w:eastAsia="zh-CN"/>
        </w:rPr>
        <w:t xml:space="preserve"> </w:t>
      </w:r>
      <w:r>
        <w:rPr>
          <w:rFonts w:hint="eastAsia" w:ascii="宋体" w:hAnsi="宋体" w:eastAsia="宋体" w:cs="宋体"/>
          <w:bCs/>
          <w:sz w:val="24"/>
          <w:highlight w:val="none"/>
        </w:rPr>
        <w:t>服务时间：本项目服务期</w:t>
      </w:r>
      <w:r>
        <w:rPr>
          <w:rFonts w:hint="eastAsia" w:ascii="宋体" w:hAnsi="宋体" w:eastAsia="宋体" w:cs="宋体"/>
          <w:bCs/>
          <w:sz w:val="24"/>
          <w:highlight w:val="none"/>
          <w:u w:val="single"/>
        </w:rPr>
        <w:t>自</w:t>
      </w:r>
      <w:r>
        <w:rPr>
          <w:rFonts w:hint="eastAsia" w:ascii="宋体" w:hAnsi="宋体" w:eastAsia="宋体" w:cs="宋体"/>
          <w:bCs/>
          <w:sz w:val="24"/>
          <w:highlight w:val="none"/>
          <w:u w:val="single"/>
          <w:lang w:val="en-US" w:eastAsia="zh-CN"/>
        </w:rPr>
        <w:t>合同签订日期起一年</w:t>
      </w:r>
      <w:r>
        <w:rPr>
          <w:rFonts w:hint="eastAsia" w:ascii="宋体" w:hAnsi="宋体" w:eastAsia="宋体" w:cs="宋体"/>
          <w:bCs/>
          <w:sz w:val="24"/>
          <w:highlight w:val="none"/>
        </w:rPr>
        <w:t>。甲方要求乙方提供服务的时间为</w:t>
      </w:r>
      <w:r>
        <w:rPr>
          <w:rFonts w:hint="eastAsia" w:ascii="宋体" w:hAnsi="宋体" w:eastAsia="宋体" w:cs="宋体"/>
          <w:b/>
          <w:bCs w:val="0"/>
          <w:sz w:val="24"/>
          <w:highlight w:val="none"/>
          <w:lang w:val="en-US" w:eastAsia="zh-CN"/>
        </w:rPr>
        <w:t>工作日，共计</w:t>
      </w:r>
      <w:r>
        <w:rPr>
          <w:rFonts w:hint="eastAsia" w:ascii="宋体" w:hAnsi="宋体" w:eastAsia="宋体" w:cs="宋体"/>
          <w:b/>
          <w:bCs w:val="0"/>
          <w:sz w:val="24"/>
          <w:highlight w:val="none"/>
        </w:rPr>
        <w:t>2</w:t>
      </w:r>
      <w:r>
        <w:rPr>
          <w:rFonts w:hint="eastAsia" w:ascii="宋体" w:hAnsi="宋体" w:eastAsia="宋体" w:cs="宋体"/>
          <w:b/>
          <w:bCs w:val="0"/>
          <w:sz w:val="24"/>
          <w:highlight w:val="none"/>
          <w:lang w:val="en-US" w:eastAsia="zh-CN"/>
        </w:rPr>
        <w:t>5</w:t>
      </w:r>
      <w:r>
        <w:rPr>
          <w:rFonts w:hint="eastAsia" w:ascii="宋体" w:hAnsi="宋体" w:eastAsia="宋体" w:cs="宋体"/>
          <w:b/>
          <w:bCs w:val="0"/>
          <w:sz w:val="24"/>
          <w:highlight w:val="none"/>
        </w:rPr>
        <w:t>1天</w:t>
      </w:r>
      <w:r>
        <w:rPr>
          <w:rFonts w:hint="eastAsia" w:ascii="宋体" w:hAnsi="宋体" w:eastAsia="宋体" w:cs="宋体"/>
          <w:bCs/>
          <w:sz w:val="24"/>
          <w:highlight w:val="none"/>
        </w:rPr>
        <w:t>。甲方有权根据各项目运营的实际情况适时调整服务车辆及服务天数，乙方应当根据甲方的要求及时调整。</w:t>
      </w:r>
    </w:p>
    <w:p>
      <w:pPr>
        <w:spacing w:line="480" w:lineRule="exact"/>
        <w:ind w:firstLine="482"/>
        <w:rPr>
          <w:rFonts w:hint="eastAsia" w:ascii="宋体" w:hAnsi="宋体" w:eastAsia="宋体" w:cs="宋体"/>
          <w:highlight w:val="none"/>
        </w:rPr>
      </w:pPr>
      <w:r>
        <w:rPr>
          <w:rFonts w:hint="eastAsia" w:ascii="宋体" w:hAnsi="宋体" w:eastAsia="宋体" w:cs="宋体"/>
          <w:bCs/>
          <w:sz w:val="24"/>
          <w:highlight w:val="none"/>
        </w:rPr>
        <w:t>具体</w:t>
      </w:r>
      <w:r>
        <w:rPr>
          <w:rFonts w:hint="eastAsia" w:ascii="宋体" w:hAnsi="宋体" w:eastAsia="宋体" w:cs="宋体"/>
          <w:bCs/>
          <w:sz w:val="24"/>
          <w:highlight w:val="none"/>
          <w:lang w:val="en-US" w:eastAsia="zh-CN"/>
        </w:rPr>
        <w:t>车辆运输服务</w:t>
      </w:r>
      <w:r>
        <w:rPr>
          <w:rFonts w:hint="eastAsia" w:ascii="宋体" w:hAnsi="宋体" w:eastAsia="宋体" w:cs="宋体"/>
          <w:bCs/>
          <w:sz w:val="24"/>
          <w:highlight w:val="none"/>
        </w:rPr>
        <w:t xml:space="preserve">时间以甲方实际的服务需求为准，适时调整。 </w:t>
      </w:r>
    </w:p>
    <w:p>
      <w:pPr>
        <w:spacing w:line="480" w:lineRule="exact"/>
        <w:ind w:firstLine="482"/>
        <w:rPr>
          <w:rFonts w:hint="eastAsia" w:ascii="宋体" w:hAnsi="宋体" w:eastAsia="宋体" w:cs="宋体"/>
          <w:bCs/>
          <w:sz w:val="24"/>
          <w:highlight w:val="none"/>
        </w:rPr>
      </w:pPr>
      <w:r>
        <w:rPr>
          <w:rFonts w:hint="eastAsia" w:ascii="宋体" w:hAnsi="宋体" w:eastAsia="宋体" w:cs="宋体"/>
          <w:color w:val="auto"/>
          <w:kern w:val="2"/>
          <w:sz w:val="24"/>
          <w:szCs w:val="22"/>
          <w:highlight w:val="none"/>
          <w:lang w:val="en-US" w:eastAsia="zh-CN" w:bidi="ar-SA"/>
        </w:rPr>
        <w:t>3.3</w:t>
      </w:r>
      <w:r>
        <w:rPr>
          <w:rFonts w:hint="eastAsia" w:ascii="宋体" w:hAnsi="宋体" w:eastAsia="宋体" w:cs="宋体"/>
          <w:bCs/>
          <w:sz w:val="24"/>
          <w:highlight w:val="none"/>
          <w:lang w:val="en-US" w:eastAsia="zh-CN"/>
        </w:rPr>
        <w:t xml:space="preserve"> 乙方</w:t>
      </w:r>
      <w:r>
        <w:rPr>
          <w:rFonts w:hint="eastAsia" w:ascii="宋体" w:hAnsi="宋体" w:eastAsia="宋体" w:cs="宋体"/>
          <w:bCs/>
          <w:sz w:val="24"/>
          <w:highlight w:val="none"/>
        </w:rPr>
        <w:t>承包费用包含但不限于：</w:t>
      </w:r>
    </w:p>
    <w:p>
      <w:pPr>
        <w:spacing w:line="480" w:lineRule="exact"/>
        <w:ind w:firstLine="482"/>
        <w:rPr>
          <w:rFonts w:hint="eastAsia" w:ascii="宋体" w:hAnsi="宋体" w:eastAsia="宋体" w:cs="宋体"/>
          <w:bCs/>
          <w:sz w:val="24"/>
          <w:highlight w:val="none"/>
        </w:rPr>
      </w:pPr>
      <w:r>
        <w:rPr>
          <w:rFonts w:hint="eastAsia" w:ascii="宋体" w:hAnsi="宋体" w:eastAsia="宋体" w:cs="宋体"/>
          <w:bCs/>
          <w:sz w:val="24"/>
          <w:highlight w:val="none"/>
        </w:rPr>
        <w:t>①车辆费用：车辆购置费、年审、年票、车船税、新能源动力和燃油费、停车费、轮胎、维修保养</w:t>
      </w:r>
      <w:r>
        <w:rPr>
          <w:rFonts w:hint="eastAsia" w:ascii="宋体" w:hAnsi="宋体" w:eastAsia="宋体" w:cs="宋体"/>
          <w:bCs/>
          <w:sz w:val="24"/>
          <w:highlight w:val="none"/>
          <w:lang w:val="en-US" w:eastAsia="zh-CN"/>
        </w:rPr>
        <w:t>费</w:t>
      </w:r>
      <w:r>
        <w:rPr>
          <w:rFonts w:hint="eastAsia" w:ascii="宋体" w:hAnsi="宋体" w:eastAsia="宋体" w:cs="宋体"/>
          <w:bCs/>
          <w:sz w:val="24"/>
          <w:highlight w:val="none"/>
        </w:rPr>
        <w:t>等一切车辆相关费用；</w:t>
      </w:r>
    </w:p>
    <w:p>
      <w:pPr>
        <w:spacing w:line="480" w:lineRule="exact"/>
        <w:ind w:firstLine="482"/>
        <w:rPr>
          <w:rFonts w:hint="eastAsia" w:ascii="宋体" w:hAnsi="宋体" w:eastAsia="宋体" w:cs="宋体"/>
          <w:bCs/>
          <w:sz w:val="24"/>
          <w:highlight w:val="none"/>
        </w:rPr>
      </w:pPr>
      <w:r>
        <w:rPr>
          <w:rFonts w:hint="eastAsia" w:ascii="宋体" w:hAnsi="宋体" w:eastAsia="宋体" w:cs="宋体"/>
          <w:bCs/>
          <w:sz w:val="24"/>
          <w:highlight w:val="none"/>
        </w:rPr>
        <w:t>②行政类费用：服务期间内司机的服装费、业务培训、员工食宿和相关税费等行政管理费用；</w:t>
      </w:r>
    </w:p>
    <w:p>
      <w:pPr>
        <w:spacing w:line="480" w:lineRule="exact"/>
        <w:ind w:firstLine="482"/>
        <w:rPr>
          <w:rFonts w:hint="eastAsia" w:ascii="宋体" w:hAnsi="宋体" w:eastAsia="宋体" w:cs="宋体"/>
          <w:bCs/>
          <w:sz w:val="24"/>
          <w:highlight w:val="none"/>
        </w:rPr>
      </w:pPr>
      <w:r>
        <w:rPr>
          <w:rFonts w:hint="eastAsia" w:ascii="宋体" w:hAnsi="宋体" w:eastAsia="宋体" w:cs="宋体"/>
          <w:bCs/>
          <w:sz w:val="24"/>
          <w:highlight w:val="none"/>
        </w:rPr>
        <w:t>③保险费用：乙方须为车辆购买必要的商业险种包括但不限于交强险、第三者商业责任险、承运人责任险（座位险）</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每座位赔偿金额不低于人民币40万元</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等，保险期限至少应涵盖服务期。</w:t>
      </w:r>
    </w:p>
    <w:p>
      <w:pPr>
        <w:spacing w:line="480" w:lineRule="exact"/>
        <w:ind w:firstLine="482"/>
        <w:rPr>
          <w:rFonts w:hint="eastAsia" w:ascii="宋体" w:hAnsi="宋体" w:eastAsia="宋体" w:cs="宋体"/>
          <w:bCs/>
          <w:sz w:val="24"/>
          <w:highlight w:val="none"/>
        </w:rPr>
      </w:pPr>
      <w:r>
        <w:rPr>
          <w:rFonts w:hint="eastAsia" w:ascii="宋体" w:hAnsi="宋体" w:eastAsia="宋体" w:cs="宋体"/>
          <w:bCs/>
          <w:sz w:val="24"/>
          <w:highlight w:val="none"/>
        </w:rPr>
        <w:t>④合同执行期间，乙方不得以任何理由向甲方索要其他费用。</w:t>
      </w:r>
    </w:p>
    <w:p>
      <w:pPr>
        <w:spacing w:line="360" w:lineRule="auto"/>
        <w:rPr>
          <w:rFonts w:hint="eastAsia" w:ascii="宋体" w:hAnsi="宋体" w:eastAsia="宋体" w:cs="宋体"/>
          <w:szCs w:val="21"/>
          <w:highlight w:val="none"/>
        </w:rPr>
      </w:pP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kern w:val="0"/>
          <w:sz w:val="24"/>
          <w:szCs w:val="20"/>
          <w:highlight w:val="none"/>
          <w:lang w:val="en-US" w:eastAsia="zh-CN" w:bidi="ar-SA"/>
        </w:rPr>
      </w:pPr>
      <w:r>
        <w:rPr>
          <w:rFonts w:hint="eastAsia" w:ascii="宋体" w:hAnsi="宋体" w:eastAsia="宋体" w:cs="宋体"/>
          <w:b/>
          <w:bCs/>
          <w:color w:val="auto"/>
          <w:kern w:val="0"/>
          <w:sz w:val="24"/>
          <w:szCs w:val="20"/>
          <w:highlight w:val="none"/>
          <w:lang w:val="en-US" w:eastAsia="zh-CN" w:bidi="ar-SA"/>
        </w:rPr>
        <w:t>四、费用支付及结算方式</w:t>
      </w:r>
    </w:p>
    <w:p>
      <w:pPr>
        <w:spacing w:line="480" w:lineRule="exact"/>
        <w:ind w:firstLine="482"/>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车辆运输服务单价根据合同第二条按实结算。</w:t>
      </w:r>
      <w:r>
        <w:rPr>
          <w:rFonts w:hint="eastAsia" w:ascii="宋体" w:hAnsi="宋体" w:eastAsia="宋体" w:cs="宋体"/>
          <w:bCs/>
          <w:sz w:val="24"/>
          <w:highlight w:val="none"/>
        </w:rPr>
        <w:t>甲方每</w:t>
      </w:r>
      <w:r>
        <w:rPr>
          <w:rFonts w:hint="eastAsia" w:ascii="宋体" w:hAnsi="宋体" w:eastAsia="宋体" w:cs="宋体"/>
          <w:bCs/>
          <w:sz w:val="24"/>
          <w:highlight w:val="none"/>
          <w:lang w:val="en-US" w:eastAsia="zh-CN"/>
        </w:rPr>
        <w:t>月</w:t>
      </w:r>
      <w:r>
        <w:rPr>
          <w:rFonts w:hint="eastAsia" w:ascii="宋体" w:hAnsi="宋体" w:eastAsia="宋体" w:cs="宋体"/>
          <w:bCs/>
          <w:sz w:val="24"/>
          <w:highlight w:val="none"/>
        </w:rPr>
        <w:t>根据</w:t>
      </w:r>
      <w:r>
        <w:rPr>
          <w:rFonts w:hint="eastAsia" w:ascii="宋体" w:hAnsi="宋体" w:eastAsia="宋体" w:cs="宋体"/>
          <w:bCs/>
          <w:sz w:val="24"/>
          <w:highlight w:val="none"/>
          <w:lang w:val="en-US" w:eastAsia="zh-CN"/>
        </w:rPr>
        <w:t>服务考核表</w:t>
      </w:r>
      <w:r>
        <w:rPr>
          <w:rFonts w:hint="eastAsia" w:ascii="宋体" w:hAnsi="宋体" w:eastAsia="宋体" w:cs="宋体"/>
          <w:bCs/>
          <w:sz w:val="24"/>
          <w:highlight w:val="none"/>
        </w:rPr>
        <w:t>对乙方提供人员服务情况进行考核（自合同签订之日起算）</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考核得分在</w:t>
      </w:r>
      <w:r>
        <w:rPr>
          <w:rFonts w:hint="eastAsia" w:ascii="宋体" w:hAnsi="宋体" w:eastAsia="宋体" w:cs="宋体"/>
          <w:bCs/>
          <w:sz w:val="24"/>
          <w:highlight w:val="none"/>
          <w:lang w:val="en-US" w:eastAsia="zh-CN"/>
        </w:rPr>
        <w:t>80-85分（含85分）的</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甲方有权对乙方进行扣罚，扣罚金额为当月费用的</w:t>
      </w:r>
      <w:r>
        <w:rPr>
          <w:rFonts w:hint="eastAsia" w:ascii="宋体" w:hAnsi="宋体" w:eastAsia="宋体" w:cs="宋体"/>
          <w:bCs/>
          <w:sz w:val="24"/>
          <w:highlight w:val="none"/>
          <w:u w:val="single"/>
          <w:lang w:val="en-US" w:eastAsia="zh-CN"/>
        </w:rPr>
        <w:t>2%</w:t>
      </w:r>
      <w:r>
        <w:rPr>
          <w:rFonts w:hint="eastAsia" w:ascii="宋体" w:hAnsi="宋体" w:eastAsia="宋体" w:cs="宋体"/>
          <w:bCs/>
          <w:sz w:val="24"/>
          <w:highlight w:val="none"/>
          <w:u w:val="none"/>
          <w:lang w:val="en-US" w:eastAsia="zh-CN"/>
        </w:rPr>
        <w:t>，</w:t>
      </w:r>
      <w:r>
        <w:rPr>
          <w:rFonts w:hint="eastAsia" w:ascii="宋体" w:hAnsi="宋体" w:eastAsia="宋体" w:cs="宋体"/>
          <w:bCs/>
          <w:sz w:val="24"/>
          <w:highlight w:val="none"/>
        </w:rPr>
        <w:t>考核得分</w:t>
      </w:r>
      <w:r>
        <w:rPr>
          <w:rFonts w:hint="eastAsia" w:ascii="宋体" w:hAnsi="宋体" w:eastAsia="宋体" w:cs="宋体"/>
          <w:bCs/>
          <w:sz w:val="24"/>
          <w:highlight w:val="none"/>
          <w:lang w:val="en-US" w:eastAsia="zh-CN"/>
        </w:rPr>
        <w:t>低于80分的，</w:t>
      </w:r>
      <w:r>
        <w:rPr>
          <w:rFonts w:hint="eastAsia" w:ascii="宋体" w:hAnsi="宋体" w:eastAsia="宋体" w:cs="宋体"/>
          <w:bCs/>
          <w:sz w:val="24"/>
          <w:highlight w:val="none"/>
        </w:rPr>
        <w:t>甲方有权解除合同，且无需对乙方进行任何补偿。</w:t>
      </w:r>
    </w:p>
    <w:p>
      <w:pPr>
        <w:spacing w:line="384" w:lineRule="auto"/>
        <w:ind w:firstLine="480" w:firstLineChars="200"/>
        <w:rPr>
          <w:rFonts w:hint="eastAsia" w:ascii="宋体" w:hAnsi="宋体" w:eastAsia="宋体" w:cs="宋体"/>
          <w:sz w:val="24"/>
          <w:highlight w:val="none"/>
        </w:rPr>
      </w:pPr>
      <w:r>
        <w:rPr>
          <w:rFonts w:hint="eastAsia" w:ascii="宋体" w:hAnsi="宋体" w:eastAsia="宋体" w:cs="宋体"/>
          <w:color w:val="auto"/>
          <w:kern w:val="2"/>
          <w:sz w:val="24"/>
          <w:szCs w:val="22"/>
          <w:highlight w:val="none"/>
          <w:lang w:val="en-US" w:eastAsia="zh-CN" w:bidi="ar-SA"/>
        </w:rPr>
        <w:t>4.1</w:t>
      </w:r>
      <w:r>
        <w:rPr>
          <w:rFonts w:hint="eastAsia" w:ascii="宋体" w:hAnsi="宋体" w:eastAsia="宋体" w:cs="宋体"/>
          <w:bCs/>
          <w:sz w:val="24"/>
          <w:highlight w:val="none"/>
        </w:rPr>
        <w:t>支付方式</w:t>
      </w:r>
      <w:r>
        <w:rPr>
          <w:rFonts w:hint="eastAsia" w:ascii="宋体" w:hAnsi="宋体" w:eastAsia="宋体" w:cs="宋体"/>
          <w:sz w:val="24"/>
          <w:highlight w:val="none"/>
        </w:rPr>
        <w:t xml:space="preserve">： </w:t>
      </w:r>
    </w:p>
    <w:p>
      <w:pPr>
        <w:spacing w:line="480" w:lineRule="exact"/>
        <w:ind w:firstLine="482"/>
        <w:rPr>
          <w:rFonts w:hint="eastAsia" w:ascii="宋体" w:hAnsi="宋体" w:eastAsia="宋体" w:cs="宋体"/>
          <w:bCs/>
          <w:sz w:val="24"/>
          <w:highlight w:val="none"/>
        </w:rPr>
      </w:pPr>
      <w:r>
        <w:rPr>
          <w:rFonts w:hint="eastAsia" w:ascii="宋体" w:hAnsi="宋体" w:eastAsia="宋体" w:cs="宋体"/>
          <w:bCs/>
          <w:sz w:val="24"/>
          <w:highlight w:val="none"/>
        </w:rPr>
        <w:t>（1）</w:t>
      </w:r>
      <w:r>
        <w:rPr>
          <w:rFonts w:hint="eastAsia" w:ascii="宋体" w:hAnsi="宋体" w:eastAsia="宋体" w:cs="宋体"/>
          <w:bCs/>
          <w:sz w:val="24"/>
          <w:highlight w:val="none"/>
          <w:lang w:val="en-US" w:eastAsia="zh-CN"/>
        </w:rPr>
        <w:t>费用</w:t>
      </w:r>
      <w:r>
        <w:rPr>
          <w:rFonts w:hint="eastAsia" w:ascii="宋体" w:hAnsi="宋体" w:eastAsia="宋体" w:cs="宋体"/>
          <w:bCs/>
          <w:sz w:val="24"/>
          <w:highlight w:val="none"/>
        </w:rPr>
        <w:t>按每月付一次方式足额支付给乙方。</w:t>
      </w:r>
    </w:p>
    <w:p>
      <w:pPr>
        <w:spacing w:line="480" w:lineRule="exact"/>
        <w:ind w:firstLine="482"/>
        <w:rPr>
          <w:rFonts w:hint="eastAsia" w:ascii="宋体" w:hAnsi="宋体" w:eastAsia="宋体" w:cs="宋体"/>
          <w:bCs/>
          <w:sz w:val="24"/>
          <w:highlight w:val="none"/>
        </w:rPr>
      </w:pPr>
      <w:r>
        <w:rPr>
          <w:rFonts w:hint="eastAsia" w:ascii="宋体" w:hAnsi="宋体" w:eastAsia="宋体" w:cs="宋体"/>
          <w:bCs/>
          <w:sz w:val="24"/>
          <w:highlight w:val="none"/>
        </w:rPr>
        <w:t>乙方收款账户：</w:t>
      </w:r>
      <w:r>
        <w:rPr>
          <w:rFonts w:hint="eastAsia" w:ascii="宋体" w:hAnsi="宋体" w:eastAsia="宋体" w:cs="宋体"/>
          <w:bCs/>
          <w:sz w:val="24"/>
          <w:highlight w:val="none"/>
          <w:u w:val="single"/>
        </w:rPr>
        <w:t xml:space="preserve">       …                   </w:t>
      </w:r>
      <w:r>
        <w:rPr>
          <w:rFonts w:hint="eastAsia" w:ascii="宋体" w:hAnsi="宋体" w:eastAsia="宋体" w:cs="宋体"/>
          <w:bCs/>
          <w:sz w:val="24"/>
          <w:highlight w:val="none"/>
        </w:rPr>
        <w:t>；</w:t>
      </w:r>
    </w:p>
    <w:p>
      <w:pPr>
        <w:spacing w:line="480" w:lineRule="exact"/>
        <w:ind w:firstLine="482"/>
        <w:rPr>
          <w:rFonts w:hint="eastAsia" w:ascii="宋体" w:hAnsi="宋体" w:eastAsia="宋体" w:cs="宋体"/>
          <w:bCs/>
          <w:sz w:val="24"/>
          <w:highlight w:val="none"/>
        </w:rPr>
      </w:pPr>
      <w:r>
        <w:rPr>
          <w:rFonts w:hint="eastAsia" w:ascii="宋体" w:hAnsi="宋体" w:eastAsia="宋体" w:cs="宋体"/>
          <w:bCs/>
          <w:sz w:val="24"/>
          <w:highlight w:val="none"/>
        </w:rPr>
        <w:t>收款账号：</w:t>
      </w:r>
      <w:r>
        <w:rPr>
          <w:rFonts w:hint="eastAsia" w:ascii="宋体" w:hAnsi="宋体" w:eastAsia="宋体" w:cs="宋体"/>
          <w:bCs/>
          <w:sz w:val="24"/>
          <w:highlight w:val="none"/>
          <w:u w:val="single"/>
        </w:rPr>
        <w:t xml:space="preserve">         …                  </w:t>
      </w:r>
      <w:r>
        <w:rPr>
          <w:rFonts w:hint="eastAsia" w:ascii="宋体" w:hAnsi="宋体" w:eastAsia="宋体" w:cs="宋体"/>
          <w:bCs/>
          <w:sz w:val="24"/>
          <w:highlight w:val="none"/>
        </w:rPr>
        <w:t>；</w:t>
      </w:r>
    </w:p>
    <w:p>
      <w:pPr>
        <w:spacing w:line="450" w:lineRule="exact"/>
        <w:ind w:firstLine="720" w:firstLineChars="300"/>
        <w:rPr>
          <w:rFonts w:hint="eastAsia" w:ascii="宋体" w:hAnsi="宋体" w:eastAsia="宋体" w:cs="宋体"/>
          <w:sz w:val="24"/>
          <w:highlight w:val="none"/>
        </w:rPr>
      </w:pPr>
      <w:r>
        <w:rPr>
          <w:rFonts w:hint="eastAsia" w:ascii="宋体" w:hAnsi="宋体" w:eastAsia="宋体" w:cs="宋体"/>
          <w:sz w:val="24"/>
          <w:highlight w:val="none"/>
        </w:rPr>
        <w:t>开户行：</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pPr>
        <w:spacing w:line="45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）乙方在每次收款前需提交等额增值税专用发票给甲方。增值税专用发票信息：</w:t>
      </w:r>
    </w:p>
    <w:p>
      <w:pPr>
        <w:spacing w:line="384" w:lineRule="auto"/>
        <w:ind w:firstLine="960" w:firstLineChars="400"/>
        <w:rPr>
          <w:rFonts w:hint="eastAsia" w:ascii="宋体" w:hAnsi="宋体" w:eastAsia="宋体" w:cs="宋体"/>
          <w:bCs/>
          <w:sz w:val="24"/>
          <w:highlight w:val="none"/>
        </w:rPr>
      </w:pP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p>
      <w:pPr>
        <w:spacing w:line="450" w:lineRule="exact"/>
        <w:rPr>
          <w:rFonts w:hint="eastAsia" w:ascii="宋体" w:hAnsi="宋体" w:eastAsia="宋体" w:cs="宋体"/>
          <w:b/>
          <w:bCs/>
          <w:sz w:val="24"/>
          <w:highlight w:val="none"/>
        </w:rPr>
      </w:pPr>
    </w:p>
    <w:p>
      <w:pPr>
        <w:spacing w:line="450" w:lineRule="exact"/>
        <w:ind w:firstLine="480" w:firstLineChars="200"/>
        <w:rPr>
          <w:rFonts w:hint="eastAsia" w:ascii="宋体" w:hAnsi="宋体" w:eastAsia="宋体" w:cs="宋体"/>
          <w:b/>
          <w:bCs/>
          <w:sz w:val="24"/>
          <w:highlight w:val="none"/>
        </w:rPr>
      </w:pPr>
      <w:r>
        <w:rPr>
          <w:rFonts w:hint="eastAsia" w:ascii="宋体" w:hAnsi="宋体" w:eastAsia="宋体" w:cs="宋体"/>
          <w:b/>
          <w:bCs/>
          <w:sz w:val="24"/>
          <w:highlight w:val="none"/>
        </w:rPr>
        <w:t>五、双方权利和义务</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b/>
          <w:bCs/>
          <w:sz w:val="24"/>
          <w:highlight w:val="none"/>
        </w:rPr>
      </w:pPr>
      <w:r>
        <w:rPr>
          <w:rFonts w:hint="eastAsia" w:ascii="宋体" w:hAnsi="宋体" w:eastAsia="宋体" w:cs="宋体"/>
          <w:b/>
          <w:bCs/>
          <w:sz w:val="24"/>
          <w:highlight w:val="none"/>
        </w:rPr>
        <w:t>5.1甲方权利义务</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5.1.1 甲方不得对乙方司机提出违反交通管理规定的不合理要求或违法、违规行为。</w:t>
      </w:r>
    </w:p>
    <w:p>
      <w:pPr>
        <w:pStyle w:val="2"/>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baseline"/>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5.1.2 甲方有义务协调乙方在</w:t>
      </w:r>
      <w:r>
        <w:rPr>
          <w:rFonts w:hint="eastAsia" w:eastAsia="宋体" w:cs="宋体"/>
          <w:color w:val="auto"/>
          <w:kern w:val="2"/>
          <w:sz w:val="24"/>
          <w:szCs w:val="22"/>
          <w:highlight w:val="none"/>
          <w:lang w:val="en-US" w:eastAsia="zh-CN" w:bidi="ar-SA"/>
        </w:rPr>
        <w:t>包车服务</w:t>
      </w:r>
      <w:r>
        <w:rPr>
          <w:rFonts w:hint="eastAsia" w:ascii="宋体" w:hAnsi="宋体" w:eastAsia="宋体" w:cs="宋体"/>
          <w:color w:val="auto"/>
          <w:kern w:val="2"/>
          <w:sz w:val="24"/>
          <w:szCs w:val="22"/>
          <w:highlight w:val="none"/>
          <w:lang w:val="en-US" w:eastAsia="zh-CN" w:bidi="ar-SA"/>
        </w:rPr>
        <w:t>业务开展中的关系和矛盾，与有关部门一起解决、处理汽车</w:t>
      </w:r>
      <w:r>
        <w:rPr>
          <w:rFonts w:hint="eastAsia" w:eastAsia="宋体" w:cs="宋体"/>
          <w:color w:val="auto"/>
          <w:kern w:val="2"/>
          <w:sz w:val="24"/>
          <w:szCs w:val="22"/>
          <w:highlight w:val="none"/>
          <w:lang w:val="en-US" w:eastAsia="zh-CN" w:bidi="ar-SA"/>
        </w:rPr>
        <w:t>包车</w:t>
      </w:r>
      <w:r>
        <w:rPr>
          <w:rFonts w:hint="eastAsia" w:ascii="宋体" w:hAnsi="宋体" w:eastAsia="宋体" w:cs="宋体"/>
          <w:color w:val="auto"/>
          <w:kern w:val="2"/>
          <w:sz w:val="24"/>
          <w:szCs w:val="22"/>
          <w:highlight w:val="none"/>
          <w:lang w:val="en-US" w:eastAsia="zh-CN" w:bidi="ar-SA"/>
        </w:rPr>
        <w:t>服务过程中所发生的纠纷。</w:t>
      </w:r>
    </w:p>
    <w:p>
      <w:pPr>
        <w:pStyle w:val="2"/>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baseline"/>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5.1.3 乙方司机有权拒绝甲方在</w:t>
      </w:r>
      <w:r>
        <w:rPr>
          <w:rFonts w:hint="eastAsia" w:eastAsia="宋体" w:cs="宋体"/>
          <w:color w:val="auto"/>
          <w:kern w:val="2"/>
          <w:sz w:val="24"/>
          <w:szCs w:val="22"/>
          <w:highlight w:val="none"/>
          <w:lang w:val="en-US" w:eastAsia="zh-CN" w:bidi="ar-SA"/>
        </w:rPr>
        <w:t>服务</w:t>
      </w:r>
      <w:r>
        <w:rPr>
          <w:rFonts w:hint="eastAsia" w:ascii="宋体" w:hAnsi="宋体" w:eastAsia="宋体" w:cs="宋体"/>
          <w:color w:val="auto"/>
          <w:kern w:val="2"/>
          <w:sz w:val="24"/>
          <w:szCs w:val="22"/>
          <w:highlight w:val="none"/>
          <w:lang w:val="en-US" w:eastAsia="zh-CN" w:bidi="ar-SA"/>
        </w:rPr>
        <w:t>过程中的不合理要求或违法、违规行为，甲方如因工作需要确须乙方司机违反交通管理规定行驶的，由此产生的一切后果和责任由甲方承担，与乙方无关。</w:t>
      </w:r>
    </w:p>
    <w:p>
      <w:pPr>
        <w:pStyle w:val="2"/>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baseline"/>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5.1.4 甲方负责监管乙方的经营活动和服务质量，甲方对乙方的服务质量进行考核。</w:t>
      </w:r>
    </w:p>
    <w:p>
      <w:pPr>
        <w:spacing w:line="450" w:lineRule="exact"/>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5.2乙方权利义务</w:t>
      </w:r>
    </w:p>
    <w:p>
      <w:pPr>
        <w:spacing w:line="45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5.2.1</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乙方须承诺，如获中标资格，乙方提供的服务车辆不低于最低座位数需求。乙方必须在投标前，实地考察现场，特别是线路的公里数及车辆停放地点，确保中标后安全正常运作。如车辆未能达到甲方需求，甲方有权要求乙方及时更换车辆。</w:t>
      </w:r>
    </w:p>
    <w:p>
      <w:pPr>
        <w:spacing w:line="450" w:lineRule="exact"/>
        <w:ind w:firstLine="480" w:firstLineChars="200"/>
        <w:rPr>
          <w:rFonts w:hint="default" w:ascii="宋体" w:hAnsi="宋体" w:eastAsia="宋体" w:cs="宋体"/>
          <w:sz w:val="24"/>
          <w:highlight w:val="none"/>
          <w:lang w:val="en-US"/>
        </w:rPr>
      </w:pPr>
      <w:r>
        <w:rPr>
          <w:rFonts w:hint="eastAsia" w:ascii="宋体" w:hAnsi="宋体" w:eastAsia="宋体" w:cs="宋体"/>
          <w:sz w:val="24"/>
          <w:highlight w:val="none"/>
          <w:lang w:val="en-US" w:eastAsia="zh-CN"/>
        </w:rPr>
        <w:t>5.2.2 乙方需提供拟投入司机的有效的大客车驾驶证及企业为其购买的近一个月的社保证明材料扫描件，以及拟投入车辆（车辆核定载客人数至少22人）的车辆行驶证扫描件；司机未经甲方同意，不得随意更换。如有违反，甲方有权解除合同并要求乙方支付</w:t>
      </w:r>
      <w:r>
        <w:rPr>
          <w:rFonts w:hint="eastAsia" w:ascii="宋体" w:hAnsi="宋体" w:eastAsia="宋体" w:cs="宋体"/>
          <w:sz w:val="24"/>
          <w:highlight w:val="none"/>
          <w:u w:val="single"/>
          <w:lang w:val="en-US" w:eastAsia="zh-CN"/>
        </w:rPr>
        <w:t>500</w:t>
      </w:r>
      <w:r>
        <w:rPr>
          <w:rFonts w:hint="eastAsia" w:ascii="宋体" w:hAnsi="宋体" w:eastAsia="宋体" w:cs="宋体"/>
          <w:sz w:val="24"/>
          <w:highlight w:val="none"/>
          <w:lang w:val="en-US" w:eastAsia="zh-CN"/>
        </w:rPr>
        <w:t>元/人次作为违约金，以及赔偿由此造成的一切损失。</w:t>
      </w:r>
    </w:p>
    <w:p>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5.2.</w:t>
      </w:r>
      <w:r>
        <w:rPr>
          <w:rFonts w:hint="eastAsia" w:ascii="宋体" w:hAnsi="宋体" w:eastAsia="宋体" w:cs="宋体"/>
          <w:sz w:val="24"/>
          <w:highlight w:val="none"/>
          <w:lang w:val="en-US" w:eastAsia="zh-CN"/>
        </w:rPr>
        <w:t>3 车辆技术等级、装备等级符合国家、省、市的相关要求，车辆符合国家、省、市的安全、技术和环保的各项标准和要求，并经专业机构上线检测合格，车辆空调系统状况良好，噪音低，乘坐舒适，乙方应提前完成对车辆的清洗，消毒，车辆技术状况自检等工作，车辆干净整洁，内饰完好，不能出现磨损、陈旧、老化、功能失效等状况。</w:t>
      </w:r>
    </w:p>
    <w:p>
      <w:pPr>
        <w:keepNext w:val="0"/>
        <w:keepLines w:val="0"/>
        <w:pageBreakBefore w:val="0"/>
        <w:widowControl w:val="0"/>
        <w:tabs>
          <w:tab w:val="left" w:pos="540"/>
        </w:tabs>
        <w:kinsoku/>
        <w:wordWrap/>
        <w:overflowPunct/>
        <w:topLinePunct w:val="0"/>
        <w:autoSpaceDE/>
        <w:autoSpaceDN/>
        <w:bidi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5.2.</w:t>
      </w:r>
      <w:r>
        <w:rPr>
          <w:rFonts w:hint="eastAsia" w:ascii="宋体" w:hAnsi="宋体" w:eastAsia="宋体" w:cs="宋体"/>
          <w:sz w:val="24"/>
          <w:highlight w:val="none"/>
          <w:lang w:val="en-US" w:eastAsia="zh-CN"/>
        </w:rPr>
        <w:t>4 乙方需确保各线路车辆接送服务准时到位，车辆需提前15分钟到达首发站点，并且每日出车的车辆必须通过安全检验，车厢内外整洁卫生。</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宋体" w:hAnsi="宋体" w:eastAsia="宋体" w:cs="宋体"/>
          <w:sz w:val="24"/>
          <w:highlight w:val="none"/>
          <w:lang w:val="en-US" w:eastAsia="zh-CN"/>
        </w:rPr>
      </w:pPr>
      <w:r>
        <w:rPr>
          <w:rFonts w:hint="eastAsia" w:ascii="宋体" w:hAnsi="宋体" w:eastAsia="宋体" w:cs="宋体"/>
          <w:color w:val="auto"/>
          <w:kern w:val="2"/>
          <w:sz w:val="24"/>
          <w:szCs w:val="22"/>
          <w:highlight w:val="none"/>
          <w:lang w:val="en-US" w:eastAsia="zh-CN" w:bidi="ar-SA"/>
        </w:rPr>
        <w:t>5.2.5</w:t>
      </w:r>
      <w:r>
        <w:rPr>
          <w:rFonts w:hint="eastAsia" w:ascii="宋体" w:hAnsi="宋体" w:eastAsia="宋体" w:cs="宋体"/>
          <w:sz w:val="24"/>
          <w:highlight w:val="none"/>
          <w:lang w:val="en-US" w:eastAsia="zh-CN"/>
        </w:rPr>
        <w:t xml:space="preserve"> </w:t>
      </w:r>
      <w:r>
        <w:rPr>
          <w:rFonts w:hint="eastAsia" w:ascii="宋体" w:hAnsi="宋体" w:eastAsia="宋体" w:cs="宋体"/>
          <w:szCs w:val="21"/>
          <w:highlight w:val="none"/>
        </w:rPr>
        <w:t>乙方所提供的车辆必须安装行车记录仪，避免各项交通事故及乘车纠纷；同时车辆必须安装GPS动态定位系统，能够及时反映车辆运行状态。</w:t>
      </w:r>
      <w:r>
        <w:rPr>
          <w:rFonts w:hint="eastAsia" w:ascii="宋体" w:hAnsi="宋体" w:eastAsia="宋体" w:cs="宋体"/>
          <w:color w:val="auto"/>
          <w:kern w:val="2"/>
          <w:sz w:val="24"/>
          <w:szCs w:val="22"/>
          <w:highlight w:val="none"/>
          <w:lang w:val="en-US" w:eastAsia="zh-CN" w:bidi="ar-SA"/>
        </w:rPr>
        <w:t>乙方每月提供车辆GPS行驶轨迹</w:t>
      </w:r>
      <w:r>
        <w:rPr>
          <w:rFonts w:hint="eastAsia" w:ascii="宋体" w:hAnsi="宋体" w:eastAsia="宋体" w:cs="宋体"/>
          <w:sz w:val="24"/>
          <w:highlight w:val="none"/>
          <w:lang w:val="en-US" w:eastAsia="zh-CN"/>
        </w:rPr>
        <w:t>。</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宋体" w:hAnsi="宋体" w:eastAsia="宋体" w:cs="宋体"/>
          <w:szCs w:val="21"/>
          <w:highlight w:val="none"/>
        </w:rPr>
      </w:pPr>
      <w:r>
        <w:rPr>
          <w:rFonts w:hint="eastAsia" w:ascii="宋体" w:hAnsi="宋体" w:eastAsia="宋体" w:cs="宋体"/>
          <w:color w:val="auto"/>
          <w:kern w:val="2"/>
          <w:sz w:val="24"/>
          <w:szCs w:val="22"/>
          <w:highlight w:val="none"/>
          <w:lang w:val="en-US" w:eastAsia="zh-CN" w:bidi="ar-SA"/>
        </w:rPr>
        <w:t>5.2.6</w:t>
      </w:r>
      <w:r>
        <w:rPr>
          <w:rFonts w:hint="eastAsia" w:ascii="宋体" w:hAnsi="宋体" w:eastAsia="宋体" w:cs="宋体"/>
          <w:sz w:val="24"/>
          <w:highlight w:val="none"/>
          <w:lang w:val="en-US" w:eastAsia="zh-CN"/>
        </w:rPr>
        <w:t xml:space="preserve"> </w:t>
      </w:r>
      <w:r>
        <w:rPr>
          <w:rFonts w:hint="eastAsia" w:ascii="宋体" w:hAnsi="宋体" w:eastAsia="宋体" w:cs="宋体"/>
          <w:szCs w:val="21"/>
          <w:highlight w:val="none"/>
        </w:rPr>
        <w:t>各交通路线的服务车辆须基本固定，在服务时段内，车辆如需维修、保养、年审等合理情形时，乙方必须调派同等条件或以上的车辆供甲方使用，并提前二天向甲方提出申请；合同执行期内，乙方应无条件负责服务车辆的保养、修理和配件更换等，每正常行驶6000公里至少进行一次维保，每正常行驶5万公里至少更换轮胎一次，同时将相关记录复印件提交甲方进行备案。</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宋体" w:hAnsi="宋体" w:eastAsia="宋体" w:cs="宋体"/>
          <w:szCs w:val="21"/>
          <w:highlight w:val="none"/>
        </w:rPr>
      </w:pPr>
      <w:r>
        <w:rPr>
          <w:rFonts w:hint="eastAsia" w:ascii="宋体" w:hAnsi="宋体" w:eastAsia="宋体" w:cs="宋体"/>
          <w:color w:val="auto"/>
          <w:kern w:val="2"/>
          <w:sz w:val="24"/>
          <w:szCs w:val="22"/>
          <w:highlight w:val="none"/>
          <w:lang w:val="en-US" w:eastAsia="zh-CN" w:bidi="ar-SA"/>
        </w:rPr>
        <w:t>5.2.7</w:t>
      </w:r>
      <w:r>
        <w:rPr>
          <w:rFonts w:hint="eastAsia" w:eastAsia="宋体" w:cs="宋体"/>
          <w:szCs w:val="21"/>
          <w:highlight w:val="none"/>
          <w:lang w:val="en-US" w:eastAsia="zh-CN"/>
        </w:rPr>
        <w:t xml:space="preserve"> </w:t>
      </w:r>
      <w:r>
        <w:rPr>
          <w:rFonts w:hint="eastAsia" w:ascii="宋体" w:hAnsi="宋体" w:eastAsia="宋体" w:cs="宋体"/>
          <w:szCs w:val="21"/>
          <w:highlight w:val="none"/>
        </w:rPr>
        <w:t>乙方行车载客必须遵守交通规则，如违反交通规则，所有相关罚款及损失由乙方负责，如造成交通事故或乘客损伤，乙方承担所有责任。因交通事故导致员工正常上下班所需产生的额外费用和损失由乙方承担。</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宋体" w:hAnsi="宋体" w:eastAsia="宋体" w:cs="宋体"/>
          <w:szCs w:val="21"/>
          <w:highlight w:val="none"/>
        </w:rPr>
      </w:pPr>
      <w:r>
        <w:rPr>
          <w:rFonts w:hint="eastAsia" w:ascii="宋体" w:hAnsi="宋体" w:eastAsia="宋体" w:cs="宋体"/>
          <w:color w:val="auto"/>
          <w:kern w:val="2"/>
          <w:sz w:val="24"/>
          <w:szCs w:val="22"/>
          <w:highlight w:val="none"/>
          <w:lang w:val="en-US" w:eastAsia="zh-CN" w:bidi="ar-SA"/>
        </w:rPr>
        <w:t>5.2.</w:t>
      </w:r>
      <w:r>
        <w:rPr>
          <w:rFonts w:hint="eastAsia" w:eastAsia="宋体" w:cs="宋体"/>
          <w:color w:val="auto"/>
          <w:kern w:val="2"/>
          <w:sz w:val="24"/>
          <w:szCs w:val="22"/>
          <w:highlight w:val="none"/>
          <w:lang w:val="en-US" w:eastAsia="zh-CN" w:bidi="ar-SA"/>
        </w:rPr>
        <w:t>8</w:t>
      </w:r>
      <w:r>
        <w:rPr>
          <w:rFonts w:hint="eastAsia" w:ascii="宋体" w:hAnsi="宋体" w:eastAsia="宋体" w:cs="宋体"/>
          <w:color w:val="auto"/>
          <w:kern w:val="2"/>
          <w:sz w:val="24"/>
          <w:szCs w:val="22"/>
          <w:highlight w:val="none"/>
          <w:lang w:val="en-US" w:eastAsia="zh-CN" w:bidi="ar-SA"/>
        </w:rPr>
        <w:t xml:space="preserve"> </w:t>
      </w:r>
      <w:r>
        <w:rPr>
          <w:rFonts w:hint="eastAsia" w:ascii="宋体" w:hAnsi="宋体" w:eastAsia="宋体" w:cs="宋体"/>
          <w:szCs w:val="21"/>
          <w:highlight w:val="none"/>
        </w:rPr>
        <w:t>乙方车辆未按规定时间地点接送员工、行车途中因司机原因遗漏接送员工，行车途中车辆出现故障，上述情况导致员工需采取其他交通工具往返公司的，所产生的费用由乙方承担，上述情况每月出现超过三次（含三次），</w:t>
      </w:r>
      <w:r>
        <w:rPr>
          <w:rFonts w:hint="eastAsia" w:eastAsia="宋体" w:cs="宋体"/>
          <w:szCs w:val="21"/>
          <w:highlight w:val="none"/>
          <w:lang w:val="en-US" w:eastAsia="zh-CN"/>
        </w:rPr>
        <w:t>乙方除承担所产生的费用外，还应支付等额的违约金</w:t>
      </w:r>
      <w:r>
        <w:rPr>
          <w:rFonts w:hint="eastAsia" w:ascii="宋体" w:hAnsi="宋体" w:eastAsia="宋体" w:cs="宋体"/>
          <w:szCs w:val="21"/>
          <w:highlight w:val="none"/>
        </w:rPr>
        <w:t>。</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宋体" w:hAnsi="宋体" w:eastAsia="宋体" w:cs="宋体"/>
          <w:szCs w:val="21"/>
          <w:highlight w:val="none"/>
        </w:rPr>
      </w:pPr>
      <w:r>
        <w:rPr>
          <w:rFonts w:hint="eastAsia" w:ascii="宋体" w:hAnsi="宋体" w:eastAsia="宋体" w:cs="宋体"/>
          <w:color w:val="auto"/>
          <w:kern w:val="2"/>
          <w:sz w:val="24"/>
          <w:szCs w:val="22"/>
          <w:highlight w:val="none"/>
          <w:lang w:val="en-US" w:eastAsia="zh-CN" w:bidi="ar-SA"/>
        </w:rPr>
        <w:t>5.2.</w:t>
      </w:r>
      <w:r>
        <w:rPr>
          <w:rFonts w:hint="eastAsia" w:eastAsia="宋体" w:cs="宋体"/>
          <w:color w:val="auto"/>
          <w:kern w:val="2"/>
          <w:sz w:val="24"/>
          <w:szCs w:val="22"/>
          <w:highlight w:val="none"/>
          <w:lang w:val="en-US" w:eastAsia="zh-CN" w:bidi="ar-SA"/>
        </w:rPr>
        <w:t>9</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乙方须按照甲方要求，为专职司机提供必要的餐饮、工作服等其他后勤保障服务，并承担所有费用。</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宋体" w:hAnsi="宋体" w:eastAsia="宋体" w:cs="宋体"/>
          <w:szCs w:val="21"/>
          <w:highlight w:val="none"/>
        </w:rPr>
      </w:pPr>
      <w:r>
        <w:rPr>
          <w:rFonts w:hint="eastAsia" w:ascii="宋体" w:hAnsi="宋体" w:eastAsia="宋体" w:cs="宋体"/>
          <w:color w:val="auto"/>
          <w:kern w:val="2"/>
          <w:sz w:val="24"/>
          <w:szCs w:val="22"/>
          <w:highlight w:val="none"/>
          <w:lang w:val="en-US" w:eastAsia="zh-CN" w:bidi="ar-SA"/>
        </w:rPr>
        <w:t>5.2.</w:t>
      </w:r>
      <w:r>
        <w:rPr>
          <w:rFonts w:hint="eastAsia" w:eastAsia="宋体" w:cs="宋体"/>
          <w:color w:val="auto"/>
          <w:kern w:val="2"/>
          <w:sz w:val="24"/>
          <w:szCs w:val="22"/>
          <w:highlight w:val="none"/>
          <w:lang w:val="en-US" w:eastAsia="zh-CN" w:bidi="ar-SA"/>
        </w:rPr>
        <w:t>10</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各交通路线的专职司机须基本固定，每班按时到岗，如因专职司机罢工、辞工、疾病等原因不能满足服务条件时，乙方应当及时调整补足；如遇专职司机请假、休息时，乙方需做好人员代班安排。以上情形乙方必须提前二天将有关信息、资料报备甲方，否则一切责任与后果乙方自行承担。</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宋体" w:hAnsi="宋体" w:eastAsia="宋体" w:cs="宋体"/>
          <w:szCs w:val="21"/>
          <w:highlight w:val="none"/>
        </w:rPr>
      </w:pPr>
      <w:r>
        <w:rPr>
          <w:rFonts w:hint="eastAsia" w:ascii="宋体" w:hAnsi="宋体" w:eastAsia="宋体" w:cs="宋体"/>
          <w:color w:val="auto"/>
          <w:kern w:val="2"/>
          <w:sz w:val="24"/>
          <w:szCs w:val="22"/>
          <w:highlight w:val="none"/>
          <w:lang w:val="en-US" w:eastAsia="zh-CN" w:bidi="ar-SA"/>
        </w:rPr>
        <w:t>5.2.1</w:t>
      </w:r>
      <w:r>
        <w:rPr>
          <w:rFonts w:hint="eastAsia" w:eastAsia="宋体" w:cs="宋体"/>
          <w:color w:val="auto"/>
          <w:kern w:val="2"/>
          <w:sz w:val="24"/>
          <w:szCs w:val="22"/>
          <w:highlight w:val="none"/>
          <w:lang w:val="en-US" w:eastAsia="zh-CN" w:bidi="ar-SA"/>
        </w:rPr>
        <w:t>1</w:t>
      </w:r>
      <w:r>
        <w:rPr>
          <w:rFonts w:hint="eastAsia" w:ascii="宋体" w:hAnsi="宋体" w:eastAsia="宋体" w:cs="宋体"/>
          <w:color w:val="auto"/>
          <w:kern w:val="2"/>
          <w:sz w:val="24"/>
          <w:szCs w:val="22"/>
          <w:highlight w:val="none"/>
          <w:lang w:val="en-US" w:eastAsia="zh-CN" w:bidi="ar-SA"/>
        </w:rPr>
        <w:t xml:space="preserve"> </w:t>
      </w:r>
      <w:r>
        <w:rPr>
          <w:rFonts w:hint="eastAsia" w:ascii="宋体" w:hAnsi="宋体" w:eastAsia="宋体" w:cs="宋体"/>
          <w:szCs w:val="21"/>
          <w:highlight w:val="none"/>
        </w:rPr>
        <w:t>乙方派出的司机和车辆，其管理工作由乙方负责，如有违反国家的法律、法规等，车辆及驾驶员产生的一切责任均由乙方负责，与甲方无关。</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宋体" w:hAnsi="宋体" w:eastAsia="宋体" w:cs="宋体"/>
          <w:szCs w:val="21"/>
          <w:highlight w:val="none"/>
        </w:rPr>
      </w:pPr>
      <w:r>
        <w:rPr>
          <w:rFonts w:hint="eastAsia" w:ascii="宋体" w:hAnsi="宋体" w:eastAsia="宋体" w:cs="宋体"/>
          <w:color w:val="auto"/>
          <w:kern w:val="2"/>
          <w:sz w:val="24"/>
          <w:szCs w:val="22"/>
          <w:highlight w:val="none"/>
          <w:lang w:val="en-US" w:eastAsia="zh-CN" w:bidi="ar-SA"/>
        </w:rPr>
        <w:t>5.2.1</w:t>
      </w:r>
      <w:r>
        <w:rPr>
          <w:rFonts w:hint="eastAsia" w:eastAsia="宋体" w:cs="宋体"/>
          <w:color w:val="auto"/>
          <w:kern w:val="2"/>
          <w:sz w:val="24"/>
          <w:szCs w:val="22"/>
          <w:highlight w:val="none"/>
          <w:lang w:val="en-US" w:eastAsia="zh-CN" w:bidi="ar-SA"/>
        </w:rPr>
        <w:t>2</w:t>
      </w:r>
      <w:r>
        <w:rPr>
          <w:rFonts w:hint="eastAsia" w:ascii="宋体" w:hAnsi="宋体" w:eastAsia="宋体" w:cs="宋体"/>
          <w:color w:val="auto"/>
          <w:kern w:val="2"/>
          <w:sz w:val="24"/>
          <w:szCs w:val="22"/>
          <w:highlight w:val="none"/>
          <w:lang w:val="en-US" w:eastAsia="zh-CN" w:bidi="ar-SA"/>
        </w:rPr>
        <w:t xml:space="preserve"> </w:t>
      </w:r>
      <w:r>
        <w:rPr>
          <w:rFonts w:hint="eastAsia" w:ascii="宋体" w:hAnsi="宋体" w:eastAsia="宋体" w:cs="宋体"/>
          <w:szCs w:val="21"/>
          <w:highlight w:val="none"/>
          <w:lang w:val="en-US" w:eastAsia="zh-CN"/>
        </w:rPr>
        <w:t>因车辆故障、乙方提前离开站点等乙方原因导致甲方员工无法到达目的地的，</w:t>
      </w:r>
      <w:r>
        <w:rPr>
          <w:rFonts w:hint="eastAsia" w:ascii="宋体" w:hAnsi="宋体" w:eastAsia="宋体" w:cs="宋体"/>
          <w:szCs w:val="21"/>
          <w:highlight w:val="none"/>
        </w:rPr>
        <w:t>甲方可采取其它方式（四人/辆/次搭乘出租车</w:t>
      </w:r>
      <w:r>
        <w:rPr>
          <w:rFonts w:hint="eastAsia" w:ascii="宋体" w:hAnsi="宋体" w:eastAsia="宋体" w:cs="宋体"/>
          <w:szCs w:val="21"/>
          <w:highlight w:val="none"/>
          <w:lang w:val="en-US" w:eastAsia="zh-CN"/>
        </w:rPr>
        <w:t>或网约车</w:t>
      </w:r>
      <w:r>
        <w:rPr>
          <w:rFonts w:hint="eastAsia" w:ascii="宋体" w:hAnsi="宋体" w:eastAsia="宋体" w:cs="宋体"/>
          <w:szCs w:val="21"/>
          <w:highlight w:val="none"/>
        </w:rPr>
        <w:t>）回目的地，所发生费用由乙方负责。</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宋体" w:hAnsi="宋体" w:eastAsia="宋体" w:cs="宋体"/>
          <w:szCs w:val="21"/>
          <w:highlight w:val="none"/>
        </w:rPr>
      </w:pPr>
      <w:r>
        <w:rPr>
          <w:rFonts w:hint="eastAsia" w:ascii="宋体" w:hAnsi="宋体" w:eastAsia="宋体" w:cs="宋体"/>
          <w:color w:val="auto"/>
          <w:kern w:val="2"/>
          <w:sz w:val="24"/>
          <w:szCs w:val="22"/>
          <w:highlight w:val="none"/>
          <w:lang w:val="en-US" w:eastAsia="zh-CN" w:bidi="ar-SA"/>
        </w:rPr>
        <w:t>5.2.1</w:t>
      </w:r>
      <w:r>
        <w:rPr>
          <w:rFonts w:hint="eastAsia" w:eastAsia="宋体" w:cs="宋体"/>
          <w:color w:val="auto"/>
          <w:kern w:val="2"/>
          <w:sz w:val="24"/>
          <w:szCs w:val="22"/>
          <w:highlight w:val="none"/>
          <w:lang w:val="en-US" w:eastAsia="zh-CN" w:bidi="ar-SA"/>
        </w:rPr>
        <w:t>3</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其它与车辆</w:t>
      </w:r>
      <w:r>
        <w:rPr>
          <w:rFonts w:hint="eastAsia" w:eastAsia="宋体" w:cs="宋体"/>
          <w:szCs w:val="21"/>
          <w:highlight w:val="none"/>
          <w:lang w:val="en-US" w:eastAsia="zh-CN"/>
        </w:rPr>
        <w:t>包车运输</w:t>
      </w:r>
      <w:r>
        <w:rPr>
          <w:rFonts w:hint="eastAsia" w:ascii="宋体" w:hAnsi="宋体" w:eastAsia="宋体" w:cs="宋体"/>
          <w:szCs w:val="21"/>
          <w:highlight w:val="none"/>
        </w:rPr>
        <w:t>服务相关的行业要求或未明确项由合同双方协商实施。</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宋体" w:hAnsi="宋体" w:eastAsia="宋体" w:cs="宋体"/>
          <w:szCs w:val="21"/>
          <w:highlight w:val="none"/>
        </w:rPr>
      </w:pPr>
      <w:r>
        <w:rPr>
          <w:rFonts w:hint="eastAsia" w:ascii="宋体" w:hAnsi="宋体" w:eastAsia="宋体" w:cs="宋体"/>
          <w:color w:val="auto"/>
          <w:kern w:val="2"/>
          <w:sz w:val="24"/>
          <w:szCs w:val="22"/>
          <w:highlight w:val="none"/>
          <w:lang w:val="en-US" w:eastAsia="zh-CN" w:bidi="ar-SA"/>
        </w:rPr>
        <w:t>5.2.1</w:t>
      </w:r>
      <w:r>
        <w:rPr>
          <w:rFonts w:hint="eastAsia" w:eastAsia="宋体" w:cs="宋体"/>
          <w:color w:val="auto"/>
          <w:kern w:val="2"/>
          <w:sz w:val="24"/>
          <w:szCs w:val="22"/>
          <w:highlight w:val="none"/>
          <w:lang w:val="en-US" w:eastAsia="zh-CN" w:bidi="ar-SA"/>
        </w:rPr>
        <w:t>4</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乙方必须与专职司机（</w:t>
      </w:r>
      <w:r>
        <w:rPr>
          <w:rFonts w:hint="eastAsia" w:eastAsia="宋体" w:cs="宋体"/>
          <w:szCs w:val="21"/>
          <w:highlight w:val="none"/>
          <w:lang w:val="en-US" w:eastAsia="zh-CN"/>
        </w:rPr>
        <w:t>包车运输</w:t>
      </w:r>
      <w:r>
        <w:rPr>
          <w:rFonts w:hint="eastAsia" w:ascii="宋体" w:hAnsi="宋体" w:eastAsia="宋体" w:cs="宋体"/>
          <w:szCs w:val="21"/>
          <w:highlight w:val="none"/>
        </w:rPr>
        <w:t>司机）签订合法的劳动合同，并负责员工的薪酬管理、社保管理、劳动关系维护、有关法律法规咨询以及处理员工的劳动仲裁、诉讼等事宜。如发生劳资纠纷，由乙方自行解决。在服务合同期内或服务合同结束后，乙方自行处理与专职司机（</w:t>
      </w:r>
      <w:r>
        <w:rPr>
          <w:rFonts w:hint="eastAsia" w:eastAsia="宋体" w:cs="宋体"/>
          <w:szCs w:val="21"/>
          <w:highlight w:val="none"/>
          <w:lang w:val="en-US" w:eastAsia="zh-CN"/>
        </w:rPr>
        <w:t>包车运输</w:t>
      </w:r>
      <w:r>
        <w:rPr>
          <w:rFonts w:hint="eastAsia" w:ascii="宋体" w:hAnsi="宋体" w:eastAsia="宋体" w:cs="宋体"/>
          <w:szCs w:val="21"/>
          <w:highlight w:val="none"/>
        </w:rPr>
        <w:t>司机）劳动关系等事宜，涉及的赔偿、补偿等所需的一切费用均由乙方负责。</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宋体" w:hAnsi="宋体" w:eastAsia="宋体" w:cs="宋体"/>
          <w:szCs w:val="21"/>
          <w:highlight w:val="none"/>
        </w:rPr>
      </w:pPr>
      <w:r>
        <w:rPr>
          <w:rFonts w:hint="eastAsia" w:ascii="宋体" w:hAnsi="宋体" w:eastAsia="宋体" w:cs="宋体"/>
          <w:color w:val="auto"/>
          <w:kern w:val="2"/>
          <w:sz w:val="24"/>
          <w:szCs w:val="22"/>
          <w:highlight w:val="none"/>
          <w:lang w:val="en-US" w:eastAsia="zh-CN" w:bidi="ar-SA"/>
        </w:rPr>
        <w:t>5.2.1</w:t>
      </w:r>
      <w:r>
        <w:rPr>
          <w:rFonts w:hint="eastAsia" w:eastAsia="宋体" w:cs="宋体"/>
          <w:color w:val="auto"/>
          <w:kern w:val="2"/>
          <w:sz w:val="24"/>
          <w:szCs w:val="22"/>
          <w:highlight w:val="none"/>
          <w:lang w:val="en-US" w:eastAsia="zh-CN" w:bidi="ar-SA"/>
        </w:rPr>
        <w:t>5</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如因国家政策原因导致合同终止，甲方应据实支付当月服务费用，乙方不得提出异议。</w:t>
      </w:r>
    </w:p>
    <w:p>
      <w:pPr>
        <w:tabs>
          <w:tab w:val="left" w:pos="540"/>
        </w:tabs>
        <w:spacing w:line="450" w:lineRule="exact"/>
        <w:ind w:firstLine="480" w:firstLineChars="200"/>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六</w:t>
      </w:r>
      <w:r>
        <w:rPr>
          <w:rFonts w:hint="eastAsia" w:ascii="宋体" w:hAnsi="宋体" w:eastAsia="宋体" w:cs="宋体"/>
          <w:b/>
          <w:bCs/>
          <w:sz w:val="24"/>
          <w:highlight w:val="none"/>
        </w:rPr>
        <w:t>、违约责任</w:t>
      </w:r>
    </w:p>
    <w:p>
      <w:pPr>
        <w:tabs>
          <w:tab w:val="left" w:pos="540"/>
        </w:tabs>
        <w:spacing w:line="45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.1合同期间，因乙方原因造成甲方不能正常使用车辆，且乙方未能提供同等条件或以上的替代车辆</w:t>
      </w:r>
      <w:r>
        <w:rPr>
          <w:rFonts w:hint="eastAsia"/>
          <w:sz w:val="24"/>
          <w:highlight w:val="none"/>
        </w:rPr>
        <w:t>的，则视为乙方违约，乙方支付</w:t>
      </w:r>
      <w:r>
        <w:rPr>
          <w:rFonts w:hint="eastAsia"/>
          <w:sz w:val="24"/>
          <w:highlight w:val="none"/>
          <w:u w:val="single"/>
        </w:rPr>
        <w:t>双倍日租金</w:t>
      </w:r>
      <w:r>
        <w:rPr>
          <w:rFonts w:hint="eastAsia"/>
          <w:sz w:val="24"/>
          <w:highlight w:val="none"/>
          <w:u w:val="single"/>
          <w:lang w:val="en-US" w:eastAsia="zh-CN"/>
        </w:rPr>
        <w:t>/天</w:t>
      </w:r>
      <w:r>
        <w:rPr>
          <w:rFonts w:hint="eastAsia"/>
          <w:sz w:val="24"/>
          <w:highlight w:val="none"/>
          <w:u w:val="single"/>
        </w:rPr>
        <w:t>作为违约金</w:t>
      </w:r>
      <w:r>
        <w:rPr>
          <w:rFonts w:hint="eastAsia"/>
          <w:sz w:val="24"/>
          <w:highlight w:val="none"/>
        </w:rPr>
        <w:t>。超过</w:t>
      </w:r>
      <w:r>
        <w:rPr>
          <w:rFonts w:hint="eastAsia"/>
          <w:sz w:val="24"/>
          <w:highlight w:val="none"/>
          <w:u w:val="single"/>
        </w:rPr>
        <w:t>…</w:t>
      </w:r>
      <w:r>
        <w:rPr>
          <w:rFonts w:hint="eastAsia" w:ascii="宋体" w:hAnsi="宋体" w:eastAsia="宋体" w:cs="宋体"/>
          <w:sz w:val="24"/>
          <w:highlight w:val="none"/>
        </w:rPr>
        <w:t>日的，甲方有权解除合同，并要求乙方支付</w:t>
      </w:r>
      <w:r>
        <w:rPr>
          <w:rFonts w:hint="eastAsia" w:ascii="宋体" w:hAnsi="宋体" w:eastAsia="宋体" w:cs="宋体"/>
          <w:sz w:val="24"/>
          <w:highlight w:val="none"/>
          <w:u w:val="single"/>
        </w:rPr>
        <w:t>合同未履行部分总租金的30%</w:t>
      </w:r>
      <w:r>
        <w:rPr>
          <w:rFonts w:hint="eastAsia" w:ascii="宋体" w:hAnsi="宋体" w:eastAsia="宋体" w:cs="宋体"/>
          <w:sz w:val="24"/>
          <w:highlight w:val="none"/>
        </w:rPr>
        <w:t>作为违约金。</w:t>
      </w:r>
    </w:p>
    <w:p>
      <w:pPr>
        <w:spacing w:before="156" w:beforeLines="50" w:after="156" w:afterLines="50" w:line="480" w:lineRule="exact"/>
        <w:ind w:firstLine="420" w:firstLineChars="175"/>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.2任何一方提前终止合同，须向对方支付</w:t>
      </w:r>
      <w:r>
        <w:rPr>
          <w:rFonts w:hint="eastAsia" w:ascii="宋体" w:hAnsi="宋体" w:eastAsia="宋体" w:cs="宋体"/>
          <w:sz w:val="24"/>
          <w:highlight w:val="none"/>
          <w:u w:val="single"/>
        </w:rPr>
        <w:t>合同未履行部分总租金的30%</w:t>
      </w:r>
      <w:r>
        <w:rPr>
          <w:rFonts w:hint="eastAsia" w:ascii="宋体" w:hAnsi="宋体" w:eastAsia="宋体" w:cs="宋体"/>
          <w:sz w:val="24"/>
          <w:highlight w:val="none"/>
        </w:rPr>
        <w:t>作为违约金。</w:t>
      </w:r>
      <w:bookmarkStart w:id="88" w:name="_Toc107446862"/>
      <w:bookmarkStart w:id="89" w:name="_Toc520190040"/>
      <w:bookmarkStart w:id="90" w:name="_Toc474245226"/>
      <w:bookmarkStart w:id="91" w:name="_Toc518993000"/>
      <w:bookmarkStart w:id="92" w:name="_Toc107447255"/>
      <w:bookmarkStart w:id="93" w:name="_Toc19692"/>
      <w:bookmarkStart w:id="94" w:name="_Toc306350467"/>
      <w:bookmarkStart w:id="95" w:name="_Toc183666531"/>
      <w:bookmarkStart w:id="96" w:name="_Toc12010"/>
      <w:bookmarkStart w:id="97" w:name="_Toc107446864"/>
      <w:bookmarkStart w:id="98" w:name="_Toc306350468"/>
      <w:bookmarkStart w:id="99" w:name="_Toc118172294"/>
      <w:bookmarkStart w:id="100" w:name="_Toc474245227"/>
      <w:bookmarkStart w:id="101" w:name="_Toc520190041"/>
      <w:bookmarkStart w:id="102" w:name="_Toc518993001"/>
      <w:bookmarkStart w:id="103" w:name="_Toc107447257"/>
      <w:bookmarkStart w:id="104" w:name="_Toc183666532"/>
    </w:p>
    <w:p>
      <w:pPr>
        <w:spacing w:before="156" w:beforeLines="50" w:after="156" w:afterLines="50" w:line="480" w:lineRule="exact"/>
        <w:ind w:firstLine="420" w:firstLineChars="175"/>
        <w:jc w:val="left"/>
        <w:rPr>
          <w:rFonts w:hint="eastAsia" w:ascii="宋体" w:hAnsi="宋体" w:cs="宋体"/>
          <w:b/>
          <w:bCs/>
          <w:sz w:val="24"/>
          <w:highlight w:val="none"/>
        </w:rPr>
      </w:pPr>
    </w:p>
    <w:p>
      <w:pPr>
        <w:spacing w:before="156" w:beforeLines="50" w:after="156" w:afterLines="50" w:line="480" w:lineRule="exact"/>
        <w:ind w:firstLine="420" w:firstLineChars="175"/>
        <w:jc w:val="left"/>
        <w:rPr>
          <w:rFonts w:ascii="宋体" w:hAnsi="宋体" w:cs="宋体"/>
          <w:sz w:val="24"/>
          <w:highlight w:val="none"/>
        </w:rPr>
      </w:pPr>
      <w:r>
        <w:rPr>
          <w:rFonts w:hint="eastAsia" w:ascii="宋体" w:hAnsi="宋体" w:cs="宋体"/>
          <w:b/>
          <w:bCs/>
          <w:sz w:val="24"/>
          <w:highlight w:val="none"/>
          <w:lang w:val="en-US" w:eastAsia="zh-CN"/>
        </w:rPr>
        <w:t>七</w:t>
      </w:r>
      <w:r>
        <w:rPr>
          <w:rFonts w:hint="eastAsia" w:ascii="宋体" w:hAnsi="宋体" w:cs="宋体"/>
          <w:b/>
          <w:bCs/>
          <w:sz w:val="24"/>
          <w:highlight w:val="none"/>
        </w:rPr>
        <w:t>、不可抗力</w:t>
      </w:r>
      <w:bookmarkEnd w:id="88"/>
      <w:bookmarkEnd w:id="89"/>
      <w:bookmarkEnd w:id="90"/>
      <w:bookmarkEnd w:id="91"/>
      <w:bookmarkEnd w:id="92"/>
      <w:bookmarkEnd w:id="93"/>
      <w:bookmarkEnd w:id="94"/>
      <w:bookmarkEnd w:id="95"/>
    </w:p>
    <w:p>
      <w:pPr>
        <w:widowControl/>
        <w:autoSpaceDE w:val="0"/>
        <w:autoSpaceDN w:val="0"/>
        <w:adjustRightInd w:val="0"/>
        <w:spacing w:line="480" w:lineRule="exact"/>
        <w:ind w:firstLine="480" w:firstLineChars="200"/>
        <w:rPr>
          <w:rFonts w:ascii="宋体" w:hAnsi="宋体" w:cs="宋体"/>
          <w:bCs/>
          <w:sz w:val="24"/>
          <w:highlight w:val="none"/>
        </w:rPr>
      </w:pPr>
      <w:r>
        <w:rPr>
          <w:rFonts w:hint="eastAsia" w:ascii="宋体" w:hAnsi="宋体" w:cs="宋体"/>
          <w:bCs/>
          <w:sz w:val="24"/>
          <w:highlight w:val="none"/>
          <w:lang w:val="en-US" w:eastAsia="zh-CN"/>
        </w:rPr>
        <w:t>7</w:t>
      </w:r>
      <w:r>
        <w:rPr>
          <w:rFonts w:hint="eastAsia" w:ascii="宋体" w:hAnsi="宋体" w:cs="宋体"/>
          <w:bCs/>
          <w:sz w:val="24"/>
          <w:highlight w:val="none"/>
        </w:rPr>
        <w:t>.1</w:t>
      </w:r>
      <w:r>
        <w:rPr>
          <w:rFonts w:hint="eastAsia" w:ascii="宋体" w:hAnsi="宋体" w:cs="宋体"/>
          <w:bCs/>
          <w:sz w:val="24"/>
          <w:highlight w:val="none"/>
          <w:lang w:val="en-US" w:eastAsia="zh-CN"/>
        </w:rPr>
        <w:t xml:space="preserve"> </w:t>
      </w:r>
      <w:r>
        <w:rPr>
          <w:rFonts w:hint="eastAsia" w:ascii="宋体" w:hAnsi="宋体" w:cs="宋体"/>
          <w:bCs/>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480" w:lineRule="exact"/>
        <w:ind w:firstLine="480" w:firstLineChars="200"/>
        <w:rPr>
          <w:rFonts w:ascii="宋体" w:hAnsi="宋体" w:cs="宋体"/>
          <w:bCs/>
          <w:sz w:val="24"/>
          <w:highlight w:val="none"/>
        </w:rPr>
      </w:pPr>
      <w:r>
        <w:rPr>
          <w:rFonts w:hint="eastAsia" w:ascii="宋体" w:hAnsi="宋体" w:cs="宋体"/>
          <w:bCs/>
          <w:sz w:val="24"/>
          <w:highlight w:val="none"/>
        </w:rPr>
        <w:t>⑴ 地震、火山爆发、滑坡、暴雨（橙色预警及以上）、台风（黄色预警及以上）、海啸、龙卷风、大面积流行病(如：非典型性肺炎等)或瘟疫；</w:t>
      </w:r>
    </w:p>
    <w:p>
      <w:pPr>
        <w:widowControl/>
        <w:autoSpaceDE w:val="0"/>
        <w:autoSpaceDN w:val="0"/>
        <w:adjustRightInd w:val="0"/>
        <w:spacing w:line="480" w:lineRule="exact"/>
        <w:ind w:firstLine="480" w:firstLineChars="200"/>
        <w:rPr>
          <w:rFonts w:ascii="宋体" w:hAnsi="宋体" w:cs="宋体"/>
          <w:bCs/>
          <w:sz w:val="24"/>
          <w:highlight w:val="none"/>
        </w:rPr>
      </w:pPr>
      <w:r>
        <w:rPr>
          <w:rFonts w:hint="eastAsia" w:ascii="宋体" w:hAnsi="宋体" w:cs="宋体"/>
          <w:bCs/>
          <w:sz w:val="24"/>
          <w:highlight w:val="none"/>
        </w:rPr>
        <w:t>⑵ 战争行为、入侵、武装冲突或外敌行为、封锁、暴乱、恐怖行为或军事演习；</w:t>
      </w:r>
    </w:p>
    <w:p>
      <w:pPr>
        <w:widowControl/>
        <w:autoSpaceDE w:val="0"/>
        <w:autoSpaceDN w:val="0"/>
        <w:adjustRightInd w:val="0"/>
        <w:spacing w:line="480" w:lineRule="exact"/>
        <w:ind w:firstLine="480" w:firstLineChars="200"/>
        <w:rPr>
          <w:rFonts w:ascii="宋体" w:hAnsi="宋体" w:cs="宋体"/>
          <w:bCs/>
          <w:sz w:val="24"/>
          <w:highlight w:val="none"/>
        </w:rPr>
      </w:pPr>
      <w:r>
        <w:rPr>
          <w:rFonts w:hint="eastAsia" w:ascii="宋体" w:hAnsi="宋体" w:cs="宋体"/>
          <w:bCs/>
          <w:sz w:val="24"/>
          <w:highlight w:val="none"/>
          <w:lang w:val="en-US" w:eastAsia="zh-CN"/>
        </w:rPr>
        <w:t>7</w:t>
      </w:r>
      <w:r>
        <w:rPr>
          <w:rFonts w:hint="eastAsia" w:ascii="宋体" w:hAnsi="宋体" w:cs="宋体"/>
          <w:bCs/>
          <w:sz w:val="24"/>
          <w:highlight w:val="none"/>
        </w:rPr>
        <w:t>.2</w:t>
      </w:r>
      <w:r>
        <w:rPr>
          <w:rFonts w:hint="eastAsia" w:ascii="宋体" w:hAnsi="宋体" w:cs="宋体"/>
          <w:bCs/>
          <w:sz w:val="24"/>
          <w:highlight w:val="none"/>
          <w:lang w:val="en-US" w:eastAsia="zh-CN"/>
        </w:rPr>
        <w:t xml:space="preserve"> </w:t>
      </w:r>
      <w:r>
        <w:rPr>
          <w:rFonts w:hint="eastAsia" w:ascii="宋体" w:hAnsi="宋体" w:cs="宋体"/>
          <w:bCs/>
          <w:sz w:val="24"/>
          <w:highlight w:val="none"/>
        </w:rPr>
        <w:t xml:space="preserve"> 声称受到不可抗力影响的一方，应在发生不可抗力或知道发生不可抗力之后立即通知另一方，详细描述不可抗力的发生情况和对该方履行在本合同项下义务的影响，同时附上此种不可抗力事件及其持续时间的有效证明文件。</w:t>
      </w:r>
    </w:p>
    <w:p>
      <w:pPr>
        <w:spacing w:before="156" w:beforeLines="50" w:after="156" w:afterLines="50" w:line="480" w:lineRule="exact"/>
        <w:ind w:firstLine="482"/>
        <w:jc w:val="left"/>
        <w:rPr>
          <w:rFonts w:ascii="宋体" w:hAnsi="宋体" w:cs="宋体"/>
          <w:bCs/>
          <w:sz w:val="24"/>
          <w:highlight w:val="none"/>
        </w:rPr>
      </w:pPr>
      <w:r>
        <w:rPr>
          <w:rFonts w:hint="eastAsia" w:ascii="宋体" w:hAnsi="宋体" w:cs="宋体"/>
          <w:bCs/>
          <w:sz w:val="24"/>
          <w:highlight w:val="none"/>
          <w:lang w:val="en-US" w:eastAsia="zh-CN"/>
        </w:rPr>
        <w:t>7</w:t>
      </w:r>
      <w:r>
        <w:rPr>
          <w:rFonts w:hint="eastAsia" w:ascii="宋体" w:hAnsi="宋体" w:cs="宋体"/>
          <w:bCs/>
          <w:sz w:val="24"/>
          <w:highlight w:val="none"/>
        </w:rPr>
        <w:t>.3</w:t>
      </w:r>
      <w:r>
        <w:rPr>
          <w:rFonts w:hint="eastAsia" w:ascii="宋体" w:hAnsi="宋体" w:cs="宋体"/>
          <w:bCs/>
          <w:sz w:val="24"/>
          <w:highlight w:val="none"/>
          <w:lang w:val="en-US" w:eastAsia="zh-CN"/>
        </w:rPr>
        <w:t xml:space="preserve"> </w:t>
      </w:r>
      <w:r>
        <w:rPr>
          <w:rFonts w:hint="eastAsia" w:ascii="宋体" w:hAnsi="宋体" w:cs="宋体"/>
          <w:sz w:val="24"/>
          <w:highlight w:val="none"/>
        </w:rPr>
        <w:t>因不可抗力导致不能如期履行的，经双方协商一致，本协议可顺延履行且各方均不被视为违约。因不可抗力致使不能实现协议目的的，经当事人协商一致可以解除协议。</w:t>
      </w:r>
    </w:p>
    <w:p>
      <w:pPr>
        <w:pStyle w:val="12"/>
        <w:spacing w:line="480" w:lineRule="exact"/>
        <w:ind w:firstLine="480" w:firstLineChars="200"/>
        <w:outlineLvl w:val="1"/>
        <w:rPr>
          <w:rFonts w:hAnsi="宋体" w:cs="宋体"/>
          <w:b/>
          <w:bCs/>
          <w:sz w:val="24"/>
          <w:szCs w:val="24"/>
          <w:highlight w:val="none"/>
        </w:rPr>
      </w:pPr>
      <w:r>
        <w:rPr>
          <w:rFonts w:hint="eastAsia" w:hAnsi="宋体" w:cs="宋体"/>
          <w:b/>
          <w:bCs/>
          <w:sz w:val="24"/>
          <w:szCs w:val="24"/>
          <w:highlight w:val="none"/>
          <w:lang w:val="en-US" w:eastAsia="zh-CN"/>
        </w:rPr>
        <w:t>八</w:t>
      </w:r>
      <w:r>
        <w:rPr>
          <w:rFonts w:hint="eastAsia" w:hAnsi="宋体" w:cs="宋体"/>
          <w:b/>
          <w:bCs/>
          <w:sz w:val="24"/>
          <w:szCs w:val="24"/>
          <w:highlight w:val="none"/>
        </w:rPr>
        <w:t>、争议解决</w:t>
      </w:r>
      <w:bookmarkEnd w:id="96"/>
      <w:bookmarkEnd w:id="97"/>
      <w:bookmarkEnd w:id="98"/>
      <w:bookmarkEnd w:id="99"/>
      <w:bookmarkEnd w:id="100"/>
      <w:bookmarkEnd w:id="101"/>
      <w:bookmarkEnd w:id="102"/>
      <w:bookmarkEnd w:id="103"/>
      <w:bookmarkEnd w:id="104"/>
    </w:p>
    <w:p>
      <w:pPr>
        <w:spacing w:line="480" w:lineRule="exact"/>
        <w:ind w:firstLine="482"/>
        <w:rPr>
          <w:rFonts w:ascii="宋体" w:hAnsi="宋体" w:cs="宋体"/>
          <w:bCs/>
          <w:sz w:val="24"/>
          <w:highlight w:val="none"/>
        </w:rPr>
      </w:pPr>
      <w:bookmarkStart w:id="105" w:name="_Toc183666533"/>
      <w:bookmarkStart w:id="106" w:name="_Toc306350469"/>
      <w:r>
        <w:rPr>
          <w:rFonts w:hint="eastAsia" w:ascii="宋体" w:hAnsi="宋体" w:cs="宋体"/>
          <w:bCs/>
          <w:sz w:val="24"/>
          <w:highlight w:val="none"/>
          <w:lang w:val="en-US" w:eastAsia="zh-CN"/>
        </w:rPr>
        <w:t>8</w:t>
      </w:r>
      <w:r>
        <w:rPr>
          <w:rFonts w:hint="eastAsia" w:ascii="宋体" w:hAnsi="宋体" w:cs="宋体"/>
          <w:bCs/>
          <w:sz w:val="24"/>
          <w:highlight w:val="none"/>
        </w:rPr>
        <w:t>.1 甲乙双方应通过友好协商，解决在执行本合同所发生的或与本合同有关的一切争议。如协商不能解决争议，任何一方均可依法向甲方所在地人民法院提起诉讼。</w:t>
      </w:r>
    </w:p>
    <w:p>
      <w:pPr>
        <w:spacing w:line="480" w:lineRule="exact"/>
        <w:ind w:firstLine="482"/>
        <w:jc w:val="left"/>
        <w:rPr>
          <w:rFonts w:ascii="宋体" w:hAnsi="宋体" w:cs="宋体"/>
          <w:sz w:val="24"/>
          <w:highlight w:val="none"/>
        </w:rPr>
      </w:pPr>
      <w:r>
        <w:rPr>
          <w:rFonts w:hint="eastAsia" w:ascii="宋体" w:hAnsi="宋体" w:cs="宋体"/>
          <w:bCs/>
          <w:sz w:val="24"/>
          <w:highlight w:val="none"/>
          <w:lang w:val="en-US" w:eastAsia="zh-CN"/>
        </w:rPr>
        <w:t>8</w:t>
      </w:r>
      <w:r>
        <w:rPr>
          <w:rFonts w:hint="eastAsia" w:ascii="宋体" w:hAnsi="宋体" w:cs="宋体"/>
          <w:bCs/>
          <w:sz w:val="24"/>
          <w:highlight w:val="none"/>
        </w:rPr>
        <w:t xml:space="preserve">.2 </w:t>
      </w:r>
      <w:r>
        <w:rPr>
          <w:rFonts w:hint="eastAsia" w:ascii="宋体" w:hAnsi="宋体" w:cs="宋体"/>
          <w:sz w:val="24"/>
          <w:highlight w:val="none"/>
        </w:rPr>
        <w:t>在甲方同意的情况下，除有争端之外的合同其它部分在争端解决前应继续执行。</w:t>
      </w:r>
      <w:bookmarkEnd w:id="105"/>
      <w:bookmarkEnd w:id="106"/>
      <w:bookmarkStart w:id="107" w:name="_Toc474245229"/>
      <w:bookmarkStart w:id="108" w:name="_Toc518993003"/>
      <w:bookmarkStart w:id="109" w:name="_Toc520190043"/>
    </w:p>
    <w:p>
      <w:pPr>
        <w:spacing w:line="480" w:lineRule="exact"/>
        <w:ind w:firstLine="482"/>
        <w:jc w:val="left"/>
        <w:rPr>
          <w:rFonts w:hint="eastAsia" w:ascii="宋体" w:hAnsi="宋体" w:cs="宋体"/>
          <w:b/>
          <w:bCs/>
          <w:sz w:val="24"/>
          <w:highlight w:val="none"/>
          <w:lang w:val="en-US" w:eastAsia="zh-CN"/>
        </w:rPr>
      </w:pPr>
      <w:bookmarkStart w:id="110" w:name="_Toc107447264"/>
      <w:bookmarkStart w:id="111" w:name="_Toc107446871"/>
    </w:p>
    <w:p>
      <w:pPr>
        <w:spacing w:line="480" w:lineRule="exact"/>
        <w:ind w:firstLine="482"/>
        <w:jc w:val="left"/>
        <w:rPr>
          <w:rFonts w:ascii="宋体" w:hAnsi="宋体" w:cs="宋体"/>
          <w:b/>
          <w:bCs/>
          <w:sz w:val="24"/>
          <w:highlight w:val="none"/>
        </w:rPr>
      </w:pPr>
      <w:r>
        <w:rPr>
          <w:rFonts w:hint="eastAsia" w:ascii="宋体" w:hAnsi="宋体" w:cs="宋体"/>
          <w:b/>
          <w:bCs/>
          <w:sz w:val="24"/>
          <w:highlight w:val="none"/>
          <w:lang w:val="en-US" w:eastAsia="zh-CN"/>
        </w:rPr>
        <w:t>九</w:t>
      </w:r>
      <w:r>
        <w:rPr>
          <w:rFonts w:hint="eastAsia" w:ascii="宋体" w:hAnsi="宋体" w:cs="宋体"/>
          <w:b/>
          <w:bCs/>
          <w:sz w:val="24"/>
          <w:highlight w:val="none"/>
        </w:rPr>
        <w:t>、合同生效及其他</w:t>
      </w:r>
      <w:bookmarkEnd w:id="107"/>
      <w:bookmarkEnd w:id="108"/>
      <w:bookmarkEnd w:id="109"/>
      <w:bookmarkEnd w:id="110"/>
      <w:bookmarkEnd w:id="111"/>
    </w:p>
    <w:p>
      <w:pPr>
        <w:spacing w:line="480" w:lineRule="exact"/>
        <w:ind w:firstLine="480"/>
        <w:rPr>
          <w:rFonts w:hint="eastAsia" w:ascii="宋体" w:hAnsi="宋体" w:cs="宋体" w:eastAsiaTheme="minorEastAsia"/>
          <w:sz w:val="24"/>
          <w:highlight w:val="none"/>
          <w:lang w:eastAsia="zh-CN"/>
        </w:rPr>
      </w:pPr>
      <w:r>
        <w:rPr>
          <w:rFonts w:hint="eastAsia" w:ascii="宋体" w:hAnsi="宋体" w:cs="宋体"/>
          <w:sz w:val="24"/>
          <w:highlight w:val="none"/>
          <w:lang w:val="en-US" w:eastAsia="zh-CN"/>
        </w:rPr>
        <w:t>9</w:t>
      </w:r>
      <w:r>
        <w:rPr>
          <w:rFonts w:hint="eastAsia" w:ascii="宋体" w:hAnsi="宋体" w:cs="宋体"/>
          <w:sz w:val="24"/>
          <w:highlight w:val="none"/>
        </w:rPr>
        <w:t>.1本合同经双方法定代表人或授权代表签字并加盖双方公章</w:t>
      </w:r>
      <w:r>
        <w:rPr>
          <w:rFonts w:hint="eastAsia" w:ascii="宋体" w:hAnsi="宋体" w:cs="宋体"/>
          <w:sz w:val="24"/>
          <w:highlight w:val="none"/>
          <w:lang w:val="en-US" w:eastAsia="zh-CN"/>
        </w:rPr>
        <w:t>或合同章</w:t>
      </w:r>
      <w:r>
        <w:rPr>
          <w:rFonts w:hint="eastAsia" w:ascii="宋体" w:hAnsi="宋体" w:cs="宋体"/>
          <w:sz w:val="24"/>
          <w:highlight w:val="none"/>
        </w:rPr>
        <w:t>后生效</w:t>
      </w:r>
      <w:r>
        <w:rPr>
          <w:rFonts w:hint="eastAsia" w:ascii="宋体" w:hAnsi="宋体" w:cs="宋体"/>
          <w:sz w:val="24"/>
          <w:highlight w:val="none"/>
          <w:lang w:eastAsia="zh-CN"/>
        </w:rPr>
        <w:t>。</w:t>
      </w:r>
    </w:p>
    <w:p>
      <w:pPr>
        <w:spacing w:line="480" w:lineRule="exact"/>
        <w:ind w:firstLine="480"/>
        <w:rPr>
          <w:rFonts w:ascii="宋体" w:hAnsi="宋体" w:cs="宋体"/>
          <w:sz w:val="24"/>
          <w:highlight w:val="none"/>
        </w:rPr>
      </w:pPr>
      <w:r>
        <w:rPr>
          <w:rFonts w:hint="eastAsia" w:ascii="宋体" w:hAnsi="宋体" w:cs="宋体"/>
          <w:sz w:val="24"/>
          <w:highlight w:val="none"/>
          <w:lang w:val="en-US" w:eastAsia="zh-CN"/>
        </w:rPr>
        <w:t>9</w:t>
      </w:r>
      <w:r>
        <w:rPr>
          <w:rFonts w:hint="eastAsia" w:ascii="宋体" w:hAnsi="宋体" w:cs="宋体"/>
          <w:sz w:val="24"/>
          <w:highlight w:val="none"/>
        </w:rPr>
        <w:t>.2本合同正文一式</w:t>
      </w:r>
      <w:r>
        <w:rPr>
          <w:rFonts w:hint="eastAsia" w:ascii="宋体" w:hAnsi="宋体" w:cs="宋体"/>
          <w:sz w:val="24"/>
          <w:highlight w:val="none"/>
          <w:u w:val="single"/>
        </w:rPr>
        <w:t xml:space="preserve"> …</w:t>
      </w:r>
      <w:r>
        <w:rPr>
          <w:rFonts w:hint="eastAsia" w:ascii="宋体" w:hAnsi="宋体" w:cs="宋体"/>
          <w:sz w:val="24"/>
          <w:highlight w:val="none"/>
        </w:rPr>
        <w:t xml:space="preserve"> 份，其中：甲方</w:t>
      </w:r>
      <w:r>
        <w:rPr>
          <w:rFonts w:hint="eastAsia" w:ascii="宋体" w:hAnsi="宋体" w:cs="宋体"/>
          <w:sz w:val="24"/>
          <w:highlight w:val="none"/>
          <w:u w:val="single"/>
        </w:rPr>
        <w:t>…</w:t>
      </w:r>
      <w:r>
        <w:rPr>
          <w:rFonts w:hint="eastAsia" w:ascii="宋体" w:hAnsi="宋体" w:cs="宋体"/>
          <w:sz w:val="24"/>
          <w:highlight w:val="none"/>
        </w:rPr>
        <w:t>份，乙方</w:t>
      </w:r>
      <w:r>
        <w:rPr>
          <w:rFonts w:hint="eastAsia" w:ascii="宋体" w:hAnsi="宋体" w:cs="宋体"/>
          <w:sz w:val="24"/>
          <w:highlight w:val="none"/>
          <w:u w:val="single"/>
        </w:rPr>
        <w:t>…</w:t>
      </w:r>
      <w:r>
        <w:rPr>
          <w:rFonts w:hint="eastAsia" w:ascii="宋体" w:hAnsi="宋体" w:cs="宋体"/>
          <w:sz w:val="24"/>
          <w:highlight w:val="none"/>
        </w:rPr>
        <w:t>份。</w:t>
      </w:r>
    </w:p>
    <w:p>
      <w:pPr>
        <w:spacing w:line="480" w:lineRule="exact"/>
        <w:ind w:firstLine="480"/>
        <w:rPr>
          <w:rFonts w:ascii="宋体" w:hAnsi="宋体" w:cs="宋体"/>
          <w:sz w:val="24"/>
          <w:highlight w:val="none"/>
        </w:rPr>
      </w:pPr>
      <w:r>
        <w:rPr>
          <w:rFonts w:hint="eastAsia" w:ascii="宋体" w:hAnsi="宋体" w:cs="宋体"/>
          <w:sz w:val="24"/>
          <w:highlight w:val="none"/>
          <w:lang w:val="en-US" w:eastAsia="zh-CN"/>
        </w:rPr>
        <w:t>9</w:t>
      </w:r>
      <w:r>
        <w:rPr>
          <w:rFonts w:hint="eastAsia" w:ascii="宋体" w:hAnsi="宋体" w:cs="宋体"/>
          <w:sz w:val="24"/>
          <w:highlight w:val="none"/>
        </w:rPr>
        <w:t>.3补充条款：</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sz w:val="24"/>
          <w:highlight w:val="none"/>
        </w:rPr>
      </w:pP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b/>
          <w:bCs/>
          <w:color w:val="auto"/>
          <w:szCs w:val="21"/>
          <w:highlight w:val="none"/>
        </w:rPr>
      </w:pPr>
      <w:r>
        <w:rPr>
          <w:rFonts w:hint="eastAsia" w:ascii="宋体" w:hAnsi="宋体" w:cs="宋体"/>
          <w:sz w:val="24"/>
          <w:highlight w:val="none"/>
        </w:rPr>
        <w:t>附件：</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发包通知书</w:t>
      </w:r>
    </w:p>
    <w:p>
      <w:pPr>
        <w:keepNext w:val="0"/>
        <w:keepLines w:val="0"/>
        <w:pageBreakBefore w:val="0"/>
        <w:widowControl w:val="0"/>
        <w:kinsoku/>
        <w:wordWrap/>
        <w:overflowPunct/>
        <w:topLinePunct w:val="0"/>
        <w:autoSpaceDE/>
        <w:autoSpaceDN/>
        <w:bidi w:val="0"/>
        <w:spacing w:line="360" w:lineRule="auto"/>
        <w:ind w:firstLine="1200" w:firstLineChars="500"/>
        <w:rPr>
          <w:rFonts w:hint="eastAsia" w:ascii="宋体" w:hAnsi="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.安全协议书</w:t>
      </w:r>
    </w:p>
    <w:p>
      <w:pPr>
        <w:keepNext w:val="0"/>
        <w:keepLines w:val="0"/>
        <w:pageBreakBefore w:val="0"/>
        <w:widowControl w:val="0"/>
        <w:kinsoku/>
        <w:wordWrap/>
        <w:overflowPunct/>
        <w:topLinePunct w:val="0"/>
        <w:autoSpaceDE/>
        <w:autoSpaceDN/>
        <w:bidi w:val="0"/>
        <w:spacing w:line="360" w:lineRule="auto"/>
        <w:ind w:firstLine="1200" w:firstLineChars="500"/>
        <w:rPr>
          <w:rFonts w:hint="eastAsia" w:ascii="宋体" w:hAnsi="宋体" w:cs="宋体"/>
          <w:sz w:val="24"/>
          <w:highlight w:val="none"/>
        </w:rPr>
      </w:pPr>
      <w:r>
        <w:rPr>
          <w:rFonts w:hint="eastAsia" w:ascii="宋体" w:hAnsi="宋体"/>
          <w:sz w:val="24"/>
          <w:highlight w:val="none"/>
          <w:lang w:val="en-US" w:eastAsia="zh-CN"/>
        </w:rPr>
        <w:t>3</w:t>
      </w:r>
      <w:r>
        <w:rPr>
          <w:rFonts w:hint="eastAsia" w:ascii="宋体" w:hAnsi="宋体"/>
          <w:sz w:val="24"/>
          <w:highlight w:val="none"/>
        </w:rPr>
        <w:t>.</w:t>
      </w:r>
      <w:r>
        <w:rPr>
          <w:rFonts w:hint="eastAsia" w:ascii="宋体" w:hAnsi="宋体" w:cs="宋体"/>
          <w:sz w:val="24"/>
          <w:highlight w:val="none"/>
        </w:rPr>
        <w:t>廉洁协议</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baseline"/>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4.采购需求</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baseline"/>
        <w:rPr>
          <w:rFonts w:hint="default"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5.服务考核表</w:t>
      </w:r>
    </w:p>
    <w:p>
      <w:pPr>
        <w:pStyle w:val="2"/>
        <w:rPr>
          <w:rFonts w:hint="default" w:eastAsia="宋体"/>
          <w:highlight w:val="none"/>
          <w:lang w:val="en-US" w:eastAsia="zh-CN"/>
        </w:rPr>
      </w:pPr>
    </w:p>
    <w:p>
      <w:pPr>
        <w:spacing w:line="480" w:lineRule="exact"/>
        <w:rPr>
          <w:rFonts w:ascii="宋体" w:hAnsi="宋体" w:cs="宋体"/>
          <w:sz w:val="24"/>
          <w:highlight w:val="none"/>
        </w:rPr>
      </w:pPr>
      <w:r>
        <w:rPr>
          <w:rFonts w:hint="eastAsia" w:ascii="宋体" w:hAnsi="宋体" w:cs="宋体"/>
          <w:sz w:val="24"/>
          <w:highlight w:val="none"/>
        </w:rPr>
        <w:t>甲方：</w:t>
      </w:r>
      <w:r>
        <w:rPr>
          <w:rFonts w:hint="eastAsia" w:ascii="宋体" w:hAnsi="宋体" w:cs="宋体"/>
          <w:sz w:val="24"/>
          <w:highlight w:val="none"/>
          <w:lang w:val="en-US" w:eastAsia="zh-CN"/>
        </w:rPr>
        <w:t>广州城市水处理设备</w:t>
      </w:r>
      <w:r>
        <w:rPr>
          <w:rFonts w:hint="eastAsia" w:ascii="宋体" w:hAnsi="宋体" w:cs="宋体"/>
          <w:sz w:val="24"/>
          <w:highlight w:val="none"/>
        </w:rPr>
        <w:t>有限公司（盖章）     乙方：（盖章）</w:t>
      </w:r>
    </w:p>
    <w:p>
      <w:pPr>
        <w:spacing w:line="480" w:lineRule="exact"/>
        <w:rPr>
          <w:rFonts w:ascii="宋体" w:hAnsi="宋体" w:cs="宋体"/>
          <w:sz w:val="24"/>
          <w:highlight w:val="none"/>
        </w:rPr>
      </w:pPr>
      <w:r>
        <w:rPr>
          <w:rFonts w:hint="eastAsia" w:ascii="宋体" w:hAnsi="宋体" w:cs="宋体"/>
          <w:sz w:val="24"/>
          <w:highlight w:val="none"/>
        </w:rPr>
        <w:t xml:space="preserve">法定代表人或                         </w:t>
      </w:r>
      <w:r>
        <w:rPr>
          <w:rFonts w:hint="eastAsia" w:ascii="宋体" w:hAnsi="宋体" w:cs="宋体"/>
          <w:sz w:val="24"/>
          <w:highlight w:val="none"/>
          <w:lang w:val="en-US" w:eastAsia="zh-CN"/>
        </w:rPr>
        <w:t xml:space="preserve">        </w:t>
      </w:r>
      <w:r>
        <w:rPr>
          <w:rFonts w:hint="eastAsia" w:ascii="宋体" w:hAnsi="宋体" w:cs="宋体"/>
          <w:sz w:val="24"/>
          <w:highlight w:val="none"/>
        </w:rPr>
        <w:t>法定代表人或</w:t>
      </w:r>
    </w:p>
    <w:p>
      <w:pPr>
        <w:spacing w:line="480" w:lineRule="exact"/>
        <w:rPr>
          <w:rFonts w:ascii="宋体" w:hAnsi="宋体" w:cs="宋体"/>
          <w:sz w:val="24"/>
          <w:highlight w:val="none"/>
        </w:rPr>
      </w:pPr>
      <w:r>
        <w:rPr>
          <w:rFonts w:hint="eastAsia" w:ascii="宋体" w:hAnsi="宋体" w:cs="宋体"/>
          <w:sz w:val="24"/>
          <w:highlight w:val="none"/>
        </w:rPr>
        <w:t xml:space="preserve">授权代理人：                         </w:t>
      </w:r>
      <w:r>
        <w:rPr>
          <w:rFonts w:hint="eastAsia" w:ascii="宋体" w:hAnsi="宋体" w:cs="宋体"/>
          <w:sz w:val="24"/>
          <w:highlight w:val="none"/>
          <w:lang w:val="en-US" w:eastAsia="zh-CN"/>
        </w:rPr>
        <w:t xml:space="preserve">        </w:t>
      </w:r>
      <w:r>
        <w:rPr>
          <w:rFonts w:hint="eastAsia" w:ascii="宋体" w:hAnsi="宋体" w:cs="宋体"/>
          <w:sz w:val="24"/>
          <w:highlight w:val="none"/>
        </w:rPr>
        <w:t>授权代理人：</w:t>
      </w:r>
    </w:p>
    <w:p>
      <w:pPr>
        <w:spacing w:line="480" w:lineRule="exact"/>
        <w:rPr>
          <w:rFonts w:ascii="宋体" w:hAnsi="宋体" w:cs="宋体"/>
          <w:sz w:val="24"/>
          <w:highlight w:val="none"/>
        </w:rPr>
      </w:pPr>
      <w:r>
        <w:rPr>
          <w:rFonts w:hint="eastAsia" w:ascii="宋体" w:hAnsi="宋体" w:cs="宋体"/>
          <w:sz w:val="24"/>
          <w:highlight w:val="none"/>
        </w:rPr>
        <w:t xml:space="preserve">地址：                              </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地址：</w:t>
      </w:r>
    </w:p>
    <w:p>
      <w:pPr>
        <w:spacing w:line="480" w:lineRule="exact"/>
        <w:rPr>
          <w:rFonts w:ascii="宋体" w:hAnsi="宋体" w:cs="宋体"/>
          <w:sz w:val="24"/>
          <w:highlight w:val="none"/>
        </w:rPr>
      </w:pPr>
      <w:r>
        <w:rPr>
          <w:rFonts w:hint="eastAsia" w:ascii="宋体" w:hAnsi="宋体" w:cs="宋体"/>
          <w:sz w:val="24"/>
          <w:highlight w:val="none"/>
        </w:rPr>
        <w:t xml:space="preserve">经办人：                          </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经办人：</w:t>
      </w:r>
    </w:p>
    <w:p>
      <w:pPr>
        <w:spacing w:line="480" w:lineRule="exact"/>
        <w:rPr>
          <w:rFonts w:ascii="宋体" w:hAnsi="宋体" w:cs="宋体"/>
          <w:sz w:val="24"/>
          <w:highlight w:val="none"/>
        </w:rPr>
      </w:pPr>
      <w:r>
        <w:rPr>
          <w:rFonts w:hint="eastAsia" w:ascii="宋体" w:hAnsi="宋体" w:cs="宋体"/>
          <w:sz w:val="24"/>
          <w:highlight w:val="none"/>
        </w:rPr>
        <w:t xml:space="preserve">联系电话：                         </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联系电话：</w:t>
      </w:r>
    </w:p>
    <w:p>
      <w:pPr>
        <w:spacing w:line="480" w:lineRule="exact"/>
        <w:ind w:left="6360" w:hanging="6360" w:hangingChars="2650"/>
        <w:rPr>
          <w:rFonts w:ascii="宋体" w:hAnsi="宋体" w:cs="宋体"/>
          <w:sz w:val="24"/>
          <w:highlight w:val="none"/>
        </w:rPr>
      </w:pPr>
      <w:r>
        <w:rPr>
          <w:rFonts w:hint="eastAsia" w:ascii="宋体" w:hAnsi="宋体" w:cs="宋体"/>
          <w:sz w:val="24"/>
          <w:highlight w:val="none"/>
        </w:rPr>
        <w:t xml:space="preserve">签署日期：    年    月    日        </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签署日期：    年    月    日</w:t>
      </w:r>
      <w:r>
        <w:rPr>
          <w:rFonts w:ascii="宋体" w:hAnsi="宋体" w:cs="宋体"/>
          <w:sz w:val="24"/>
          <w:highlight w:val="none"/>
        </w:rPr>
        <w:t xml:space="preserve">  </w:t>
      </w:r>
    </w:p>
    <w:p>
      <w:pPr>
        <w:tabs>
          <w:tab w:val="left" w:pos="4860"/>
        </w:tabs>
        <w:spacing w:line="240" w:lineRule="atLeast"/>
        <w:rPr>
          <w:b/>
          <w:bCs/>
          <w:sz w:val="44"/>
          <w:highlight w:val="none"/>
          <w:vertAlign w:val="superscript"/>
        </w:rPr>
      </w:pPr>
      <w:r>
        <w:rPr>
          <w:b/>
          <w:bCs/>
          <w:sz w:val="48"/>
          <w:szCs w:val="48"/>
          <w:highlight w:val="none"/>
          <w:vertAlign w:val="superscript"/>
        </w:rPr>
        <w:br w:type="page"/>
      </w:r>
    </w:p>
    <w:p>
      <w:pPr>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附件1 发包通知书</w:t>
      </w:r>
      <w:r>
        <w:rPr>
          <w:rFonts w:hint="eastAsia" w:ascii="宋体" w:hAnsi="宋体" w:cs="宋体"/>
          <w:b/>
          <w:bCs/>
          <w:sz w:val="24"/>
          <w:highlight w:val="none"/>
          <w:lang w:val="en-US" w:eastAsia="zh-CN"/>
        </w:rPr>
        <w:br w:type="page"/>
      </w:r>
    </w:p>
    <w:p>
      <w:pPr>
        <w:spacing w:line="480" w:lineRule="exact"/>
        <w:ind w:firstLine="482"/>
        <w:jc w:val="left"/>
        <w:rPr>
          <w:rFonts w:hint="default" w:ascii="宋体" w:hAnsi="宋体" w:cs="宋体"/>
          <w:b/>
          <w:bCs/>
          <w:sz w:val="24"/>
          <w:highlight w:val="none"/>
          <w:lang w:val="en-US" w:eastAsia="zh-CN"/>
        </w:rPr>
      </w:pPr>
      <w:r>
        <w:rPr>
          <w:rFonts w:hint="eastAsia" w:ascii="宋体" w:hAnsi="宋体" w:cs="宋体"/>
          <w:b/>
          <w:bCs/>
          <w:sz w:val="24"/>
          <w:highlight w:val="none"/>
          <w:lang w:val="en-US" w:eastAsia="zh-CN"/>
        </w:rPr>
        <w:t>附件2</w:t>
      </w:r>
    </w:p>
    <w:p>
      <w:pPr>
        <w:spacing w:line="560" w:lineRule="exact"/>
        <w:jc w:val="center"/>
        <w:rPr>
          <w:rFonts w:hint="eastAsia" w:ascii="宋体" w:hAnsi="宋体" w:eastAsia="宋体" w:cs="宋体"/>
          <w:bCs/>
          <w:kern w:val="0"/>
          <w:sz w:val="44"/>
          <w:szCs w:val="44"/>
          <w:highlight w:val="none"/>
        </w:rPr>
      </w:pPr>
      <w:r>
        <w:rPr>
          <w:rFonts w:hint="eastAsia" w:ascii="宋体" w:hAnsi="宋体" w:eastAsia="宋体" w:cs="宋体"/>
          <w:bCs/>
          <w:kern w:val="0"/>
          <w:sz w:val="44"/>
          <w:szCs w:val="44"/>
          <w:highlight w:val="none"/>
        </w:rPr>
        <w:t>安全协议书</w:t>
      </w:r>
    </w:p>
    <w:p>
      <w:pPr>
        <w:spacing w:line="560" w:lineRule="exact"/>
        <w:rPr>
          <w:rFonts w:hint="eastAsia" w:ascii="宋体" w:hAnsi="宋体" w:eastAsia="宋体" w:cs="宋体"/>
          <w:sz w:val="24"/>
          <w:highlight w:val="none"/>
        </w:rPr>
      </w:pPr>
    </w:p>
    <w:p>
      <w:pPr>
        <w:spacing w:line="560" w:lineRule="exact"/>
        <w:rPr>
          <w:rFonts w:hint="eastAsia" w:ascii="宋体" w:hAnsi="宋体" w:eastAsia="宋体" w:cs="宋体"/>
          <w:kern w:val="0"/>
          <w:sz w:val="24"/>
          <w:highlight w:val="none"/>
        </w:rPr>
      </w:pPr>
      <w:bookmarkStart w:id="112" w:name="_Toc21391"/>
      <w:r>
        <w:rPr>
          <w:rFonts w:hint="eastAsia" w:ascii="宋体" w:hAnsi="宋体" w:eastAsia="宋体" w:cs="宋体"/>
          <w:kern w:val="0"/>
          <w:sz w:val="24"/>
          <w:highlight w:val="none"/>
        </w:rPr>
        <w:t>甲方：</w:t>
      </w:r>
      <w:r>
        <w:rPr>
          <w:rFonts w:hint="eastAsia" w:ascii="宋体" w:hAnsi="宋体" w:eastAsia="宋体" w:cs="宋体"/>
          <w:sz w:val="24"/>
          <w:highlight w:val="none"/>
          <w:lang w:val="en-US" w:eastAsia="zh-CN"/>
        </w:rPr>
        <w:t>广州城市水处理设备</w:t>
      </w:r>
      <w:r>
        <w:rPr>
          <w:rFonts w:hint="eastAsia" w:ascii="宋体" w:hAnsi="宋体" w:eastAsia="宋体" w:cs="宋体"/>
          <w:sz w:val="24"/>
          <w:highlight w:val="none"/>
        </w:rPr>
        <w:t>有限公司</w:t>
      </w:r>
    </w:p>
    <w:p>
      <w:pPr>
        <w:spacing w:line="56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乙方： </w:t>
      </w:r>
    </w:p>
    <w:p>
      <w:pPr>
        <w:adjustRightInd w:val="0"/>
        <w:snapToGrid w:val="0"/>
        <w:spacing w:line="560" w:lineRule="exact"/>
        <w:jc w:val="left"/>
        <w:rPr>
          <w:rStyle w:val="25"/>
          <w:rFonts w:hint="eastAsia" w:ascii="宋体" w:hAnsi="宋体" w:eastAsia="宋体" w:cs="宋体"/>
          <w:b w:val="0"/>
          <w:highlight w:val="none"/>
          <w:u w:val="single"/>
        </w:rPr>
      </w:pPr>
    </w:p>
    <w:bookmarkEnd w:id="112"/>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根据《中华人民共和国安全生产法》《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0" w:firstLineChars="200"/>
        <w:jc w:val="left"/>
        <w:rPr>
          <w:rFonts w:hint="eastAsia" w:ascii="宋体" w:hAnsi="宋体" w:eastAsia="宋体" w:cs="宋体"/>
          <w:b/>
          <w:sz w:val="24"/>
          <w:highlight w:val="none"/>
        </w:rPr>
      </w:pPr>
      <w:r>
        <w:rPr>
          <w:rFonts w:hint="eastAsia" w:ascii="宋体" w:hAnsi="宋体" w:eastAsia="宋体" w:cs="宋体"/>
          <w:b/>
          <w:sz w:val="24"/>
          <w:highlight w:val="none"/>
        </w:rPr>
        <w:t>一、本协议与主合同的关系</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本协议作</w:t>
      </w:r>
      <w:r>
        <w:rPr>
          <w:rFonts w:hint="eastAsia" w:ascii="宋体" w:hAnsi="宋体" w:eastAsia="宋体" w:cs="宋体"/>
          <w:sz w:val="24"/>
          <w:highlight w:val="none"/>
          <w:u w:val="single"/>
          <w:lang w:eastAsia="zh-CN"/>
        </w:rPr>
        <w:t>广州城市水处理设备有限公司2023-2024年车辆运输服务项目（</w:t>
      </w:r>
      <w:r>
        <w:rPr>
          <w:rFonts w:hint="eastAsia" w:ascii="宋体" w:hAnsi="宋体" w:eastAsia="宋体" w:cs="宋体"/>
          <w:sz w:val="24"/>
          <w:highlight w:val="none"/>
          <w:u w:val="single"/>
          <w:lang w:val="en-US" w:eastAsia="zh-CN"/>
        </w:rPr>
        <w:t>穗净水设备合[2023]       号</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rPr>
        <w:t>的组成部分，与主合同具有同等法律效力。</w:t>
      </w:r>
    </w:p>
    <w:p>
      <w:pPr>
        <w:adjustRightInd w:val="0"/>
        <w:snapToGrid w:val="0"/>
        <w:spacing w:line="560" w:lineRule="exact"/>
        <w:ind w:firstLine="480" w:firstLineChars="200"/>
        <w:jc w:val="left"/>
        <w:rPr>
          <w:rFonts w:hint="eastAsia" w:ascii="宋体" w:hAnsi="宋体" w:eastAsia="宋体" w:cs="宋体"/>
          <w:b/>
          <w:sz w:val="24"/>
          <w:highlight w:val="none"/>
        </w:rPr>
      </w:pPr>
      <w:r>
        <w:rPr>
          <w:rFonts w:hint="eastAsia" w:ascii="宋体" w:hAnsi="宋体" w:eastAsia="宋体" w:cs="宋体"/>
          <w:b/>
          <w:sz w:val="24"/>
          <w:highlight w:val="none"/>
        </w:rPr>
        <w:t xml:space="preserve"> 二、甲方权责</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（一）告知乙方该</w:t>
      </w:r>
      <w:r>
        <w:rPr>
          <w:rFonts w:hint="eastAsia" w:ascii="宋体" w:hAnsi="宋体" w:eastAsia="宋体" w:cs="宋体"/>
          <w:sz w:val="24"/>
          <w:highlight w:val="none"/>
          <w:lang w:val="en-US" w:eastAsia="zh-CN"/>
        </w:rPr>
        <w:t>项目</w:t>
      </w:r>
      <w:r>
        <w:rPr>
          <w:rFonts w:hint="eastAsia" w:ascii="宋体" w:hAnsi="宋体" w:eastAsia="宋体" w:cs="宋体"/>
          <w:sz w:val="24"/>
          <w:highlight w:val="none"/>
        </w:rPr>
        <w:t>已知存在的安全风险，并要求乙方在作业前应重新识别安全风险并采取措施进行管控。</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（二）落实营运等相关配合措施，提供必要的条件。</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（三）要求乙方遵守的甲方安全管理要求。</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1.按主合同相关条款进行经济扣罚；</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2.限制投保，或经其他单位承包后以分别方参与项目实施；</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3.向上级进行反映，包括但不限于广东省市政行业协会、广州市市政公路协会等。</w:t>
      </w:r>
    </w:p>
    <w:p>
      <w:pPr>
        <w:spacing w:line="56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0" w:firstLineChars="200"/>
        <w:jc w:val="left"/>
        <w:rPr>
          <w:rFonts w:hint="eastAsia" w:ascii="宋体" w:hAnsi="宋体" w:eastAsia="宋体" w:cs="宋体"/>
          <w:b/>
          <w:sz w:val="24"/>
          <w:highlight w:val="none"/>
        </w:rPr>
      </w:pPr>
      <w:r>
        <w:rPr>
          <w:rFonts w:hint="eastAsia" w:ascii="宋体" w:hAnsi="宋体" w:eastAsia="宋体" w:cs="宋体"/>
          <w:b/>
          <w:sz w:val="24"/>
          <w:highlight w:val="none"/>
        </w:rPr>
        <w:t>三、乙方权责</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（三）严格按照甲方制定的</w:t>
      </w:r>
      <w:r>
        <w:rPr>
          <w:rFonts w:hint="eastAsia" w:ascii="宋体" w:hAnsi="宋体" w:eastAsia="宋体" w:cs="宋体"/>
          <w:sz w:val="24"/>
          <w:highlight w:val="none"/>
          <w:lang w:val="en-US" w:eastAsia="zh-CN"/>
        </w:rPr>
        <w:t>相关</w:t>
      </w:r>
      <w:r>
        <w:rPr>
          <w:rFonts w:hint="eastAsia" w:ascii="宋体" w:hAnsi="宋体" w:eastAsia="宋体" w:cs="宋体"/>
          <w:sz w:val="24"/>
          <w:highlight w:val="none"/>
        </w:rPr>
        <w:t>安全管理规范要求，落实各项安全管理工作。</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配合甲方的安全监督检查，并立即对提出的问题隐患进行整改。</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乙方该项目的</w:t>
      </w:r>
      <w:r>
        <w:rPr>
          <w:rFonts w:hint="eastAsia" w:ascii="宋体" w:hAnsi="宋体" w:eastAsia="宋体" w:cs="宋体"/>
          <w:sz w:val="24"/>
          <w:highlight w:val="none"/>
          <w:lang w:val="en-US" w:eastAsia="zh-CN"/>
        </w:rPr>
        <w:t>相关人员</w:t>
      </w:r>
      <w:r>
        <w:rPr>
          <w:rFonts w:hint="eastAsia" w:ascii="宋体" w:hAnsi="宋体" w:eastAsia="宋体" w:cs="宋体"/>
          <w:sz w:val="24"/>
          <w:highlight w:val="none"/>
        </w:rPr>
        <w:t>每年由乙方单位依法开展安全生产教育培训，并保存好相关培训证明备查。</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服务</w:t>
      </w:r>
      <w:r>
        <w:rPr>
          <w:rFonts w:hint="eastAsia" w:ascii="宋体" w:hAnsi="宋体" w:eastAsia="宋体" w:cs="宋体"/>
          <w:sz w:val="24"/>
          <w:highlight w:val="none"/>
        </w:rPr>
        <w:t>过程中，</w:t>
      </w:r>
      <w:r>
        <w:rPr>
          <w:rFonts w:hint="eastAsia" w:ascii="宋体" w:hAnsi="宋体" w:eastAsia="宋体" w:cs="宋体"/>
          <w:sz w:val="24"/>
          <w:highlight w:val="none"/>
          <w:lang w:val="en-US" w:eastAsia="zh-CN"/>
        </w:rPr>
        <w:t>项目相关人员</w:t>
      </w:r>
      <w:r>
        <w:rPr>
          <w:rFonts w:hint="eastAsia" w:ascii="宋体" w:hAnsi="宋体" w:eastAsia="宋体" w:cs="宋体"/>
          <w:sz w:val="24"/>
          <w:highlight w:val="none"/>
        </w:rPr>
        <w:t>需进行调整的，必须书面向甲方请示，并获得甲方批准后方可执行变更。</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（八）严格履行本协议，遵守甲方各项管理规定，服从管理。</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（十）乙方委托的第三方运输单位或个人，违反本协议的，全部责任均由乙方承担。</w:t>
      </w:r>
    </w:p>
    <w:p>
      <w:pPr>
        <w:adjustRightInd w:val="0"/>
        <w:snapToGrid w:val="0"/>
        <w:spacing w:line="560" w:lineRule="exact"/>
        <w:ind w:firstLine="480" w:firstLineChars="200"/>
        <w:jc w:val="left"/>
        <w:rPr>
          <w:rFonts w:hint="eastAsia" w:ascii="宋体" w:hAnsi="宋体" w:eastAsia="宋体" w:cs="宋体"/>
          <w:b/>
          <w:sz w:val="24"/>
          <w:highlight w:val="none"/>
        </w:rPr>
      </w:pPr>
      <w:r>
        <w:rPr>
          <w:rFonts w:hint="eastAsia" w:ascii="宋体" w:hAnsi="宋体" w:eastAsia="宋体" w:cs="宋体"/>
          <w:b/>
          <w:sz w:val="24"/>
          <w:highlight w:val="none"/>
        </w:rPr>
        <w:t>四、事故责任</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0" w:firstLineChars="200"/>
        <w:rPr>
          <w:rFonts w:hint="eastAsia" w:ascii="宋体" w:hAnsi="宋体" w:eastAsia="宋体" w:cs="宋体"/>
          <w:color w:val="FF0000"/>
          <w:sz w:val="24"/>
          <w:highlight w:val="none"/>
        </w:rPr>
      </w:pPr>
      <w:r>
        <w:rPr>
          <w:rFonts w:hint="eastAsia" w:ascii="宋体" w:hAnsi="宋体" w:eastAsia="宋体" w:cs="宋体"/>
          <w:b/>
          <w:sz w:val="24"/>
          <w:highlight w:val="none"/>
        </w:rPr>
        <w:t>五</w:t>
      </w:r>
      <w:r>
        <w:rPr>
          <w:rFonts w:hint="eastAsia" w:ascii="宋体" w:hAnsi="宋体" w:eastAsia="宋体" w:cs="宋体"/>
          <w:b/>
          <w:color w:val="auto"/>
          <w:sz w:val="24"/>
          <w:highlight w:val="none"/>
        </w:rPr>
        <w:t>、补充条款：</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adjustRightInd w:val="0"/>
        <w:snapToGrid w:val="0"/>
        <w:spacing w:line="560" w:lineRule="exact"/>
        <w:ind w:firstLine="480" w:firstLineChars="200"/>
        <w:jc w:val="left"/>
        <w:rPr>
          <w:rFonts w:hint="eastAsia" w:ascii="宋体" w:hAnsi="宋体" w:eastAsia="宋体" w:cs="宋体"/>
          <w:b/>
          <w:sz w:val="24"/>
          <w:highlight w:val="none"/>
        </w:rPr>
      </w:pPr>
      <w:r>
        <w:rPr>
          <w:rFonts w:hint="eastAsia" w:ascii="宋体" w:hAnsi="宋体" w:eastAsia="宋体" w:cs="宋体"/>
          <w:b/>
          <w:sz w:val="24"/>
          <w:highlight w:val="none"/>
        </w:rPr>
        <w:t>六、附则</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（二）本协议与主合同同时签订、同时终止、同时生效，具有相同的法律效力，自甲方、乙方双方签字、盖章生效，甲方、乙方双方执持数量与主合同一致。</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rPr>
                <w:rFonts w:hint="eastAsia" w:ascii="宋体" w:hAnsi="宋体" w:eastAsia="宋体" w:cs="宋体"/>
                <w:sz w:val="24"/>
                <w:highlight w:val="none"/>
              </w:rPr>
            </w:pPr>
            <w:r>
              <w:rPr>
                <w:rFonts w:hint="eastAsia" w:ascii="宋体" w:hAnsi="宋体" w:eastAsia="宋体" w:cs="宋体"/>
                <w:sz w:val="24"/>
                <w:highlight w:val="none"/>
              </w:rPr>
              <w:t>甲方：</w:t>
            </w:r>
          </w:p>
          <w:p>
            <w:pPr>
              <w:adjustRightInd w:val="0"/>
              <w:snapToGrid w:val="0"/>
              <w:spacing w:line="560" w:lineRule="exact"/>
              <w:rPr>
                <w:rFonts w:hint="eastAsia" w:ascii="宋体" w:hAnsi="宋体" w:eastAsia="宋体" w:cs="宋体"/>
                <w:sz w:val="24"/>
                <w:highlight w:val="none"/>
              </w:rPr>
            </w:pPr>
            <w:r>
              <w:rPr>
                <w:rFonts w:hint="eastAsia" w:ascii="宋体" w:hAnsi="宋体" w:eastAsia="宋体" w:cs="宋体"/>
                <w:sz w:val="24"/>
                <w:highlight w:val="none"/>
              </w:rPr>
              <w:t>签约代表：</w:t>
            </w:r>
          </w:p>
          <w:p>
            <w:pPr>
              <w:adjustRightInd w:val="0"/>
              <w:snapToGrid w:val="0"/>
              <w:spacing w:line="560" w:lineRule="exact"/>
              <w:rPr>
                <w:rFonts w:hint="eastAsia" w:ascii="宋体" w:hAnsi="宋体" w:eastAsia="宋体" w:cs="宋体"/>
                <w:sz w:val="24"/>
                <w:highlight w:val="none"/>
              </w:rPr>
            </w:pPr>
            <w:r>
              <w:rPr>
                <w:rFonts w:hint="eastAsia" w:ascii="宋体" w:hAnsi="宋体" w:eastAsia="宋体" w:cs="宋体"/>
                <w:sz w:val="24"/>
                <w:highlight w:val="none"/>
              </w:rPr>
              <w:t>联系电话：</w:t>
            </w:r>
          </w:p>
          <w:p>
            <w:pPr>
              <w:adjustRightInd w:val="0"/>
              <w:snapToGrid w:val="0"/>
              <w:spacing w:line="560" w:lineRule="exact"/>
              <w:ind w:firstLine="240" w:firstLineChars="100"/>
              <w:jc w:val="right"/>
              <w:rPr>
                <w:rFonts w:hint="eastAsia" w:ascii="宋体" w:hAnsi="宋体" w:eastAsia="宋体" w:cs="宋体"/>
                <w:sz w:val="24"/>
                <w:highlight w:val="none"/>
              </w:rPr>
            </w:pPr>
            <w:r>
              <w:rPr>
                <w:rFonts w:hint="eastAsia" w:ascii="宋体" w:hAnsi="宋体" w:eastAsia="宋体" w:cs="宋体"/>
                <w:sz w:val="24"/>
                <w:highlight w:val="none"/>
              </w:rPr>
              <w:t>年    月    日</w:t>
            </w:r>
          </w:p>
        </w:tc>
        <w:tc>
          <w:tcPr>
            <w:tcW w:w="4474" w:type="dxa"/>
            <w:noWrap w:val="0"/>
            <w:vAlign w:val="top"/>
          </w:tcPr>
          <w:p>
            <w:pPr>
              <w:adjustRightInd w:val="0"/>
              <w:snapToGrid w:val="0"/>
              <w:spacing w:line="560" w:lineRule="exact"/>
              <w:rPr>
                <w:rFonts w:hint="eastAsia" w:ascii="宋体" w:hAnsi="宋体" w:eastAsia="宋体" w:cs="宋体"/>
                <w:sz w:val="24"/>
                <w:highlight w:val="none"/>
              </w:rPr>
            </w:pPr>
            <w:r>
              <w:rPr>
                <w:rFonts w:hint="eastAsia" w:ascii="宋体" w:hAnsi="宋体" w:eastAsia="宋体" w:cs="宋体"/>
                <w:sz w:val="24"/>
                <w:highlight w:val="none"/>
              </w:rPr>
              <w:t>乙方：</w:t>
            </w:r>
          </w:p>
          <w:p>
            <w:pPr>
              <w:adjustRightInd w:val="0"/>
              <w:snapToGrid w:val="0"/>
              <w:spacing w:line="560" w:lineRule="exact"/>
              <w:rPr>
                <w:rFonts w:hint="eastAsia" w:ascii="宋体" w:hAnsi="宋体" w:eastAsia="宋体" w:cs="宋体"/>
                <w:sz w:val="24"/>
                <w:highlight w:val="none"/>
              </w:rPr>
            </w:pPr>
            <w:r>
              <w:rPr>
                <w:rFonts w:hint="eastAsia" w:ascii="宋体" w:hAnsi="宋体" w:eastAsia="宋体" w:cs="宋体"/>
                <w:sz w:val="24"/>
                <w:highlight w:val="none"/>
              </w:rPr>
              <w:t>签约代表：</w:t>
            </w:r>
          </w:p>
          <w:p>
            <w:pPr>
              <w:adjustRightInd w:val="0"/>
              <w:snapToGrid w:val="0"/>
              <w:spacing w:line="560" w:lineRule="exact"/>
              <w:rPr>
                <w:rFonts w:hint="eastAsia" w:ascii="宋体" w:hAnsi="宋体" w:eastAsia="宋体" w:cs="宋体"/>
                <w:sz w:val="24"/>
                <w:highlight w:val="none"/>
              </w:rPr>
            </w:pPr>
            <w:r>
              <w:rPr>
                <w:rFonts w:hint="eastAsia" w:ascii="宋体" w:hAnsi="宋体" w:eastAsia="宋体" w:cs="宋体"/>
                <w:sz w:val="24"/>
                <w:highlight w:val="none"/>
              </w:rPr>
              <w:t>联系电话：</w:t>
            </w:r>
          </w:p>
          <w:p>
            <w:pPr>
              <w:adjustRightInd w:val="0"/>
              <w:snapToGrid w:val="0"/>
              <w:spacing w:line="560" w:lineRule="exact"/>
              <w:jc w:val="right"/>
              <w:rPr>
                <w:rFonts w:hint="eastAsia" w:ascii="宋体" w:hAnsi="宋体" w:eastAsia="宋体" w:cs="宋体"/>
                <w:sz w:val="24"/>
                <w:highlight w:val="none"/>
              </w:rPr>
            </w:pPr>
            <w:r>
              <w:rPr>
                <w:rFonts w:hint="eastAsia" w:ascii="宋体" w:hAnsi="宋体" w:eastAsia="宋体" w:cs="宋体"/>
                <w:sz w:val="24"/>
                <w:highlight w:val="none"/>
              </w:rPr>
              <w:t>年    月    日</w:t>
            </w:r>
          </w:p>
        </w:tc>
      </w:tr>
    </w:tbl>
    <w:p>
      <w:pPr>
        <w:rPr>
          <w:rFonts w:hint="eastAsia"/>
          <w:b/>
          <w:highlight w:val="none"/>
        </w:rPr>
      </w:pPr>
      <w:r>
        <w:rPr>
          <w:rFonts w:hint="eastAsia"/>
          <w:b/>
          <w:highlight w:val="none"/>
        </w:rPr>
        <w:br w:type="page"/>
      </w:r>
    </w:p>
    <w:p>
      <w:pPr>
        <w:tabs>
          <w:tab w:val="left" w:pos="765"/>
        </w:tabs>
        <w:spacing w:before="156" w:beforeLines="50" w:after="468" w:afterLines="150"/>
        <w:rPr>
          <w:rFonts w:hint="eastAsia"/>
          <w:b/>
          <w:highlight w:val="none"/>
        </w:rPr>
        <w:sectPr>
          <w:headerReference r:id="rId4" w:type="default"/>
          <w:footerReference r:id="rId5" w:type="default"/>
          <w:pgSz w:w="11906" w:h="16838"/>
          <w:pgMar w:top="1247" w:right="1361" w:bottom="1191" w:left="1361" w:header="851" w:footer="737" w:gutter="0"/>
          <w:pgNumType w:start="1"/>
          <w:cols w:space="720" w:num="1"/>
          <w:docGrid w:type="linesAndChars" w:linePitch="312" w:charSpace="0"/>
        </w:sectPr>
      </w:pPr>
    </w:p>
    <w:p>
      <w:pPr>
        <w:tabs>
          <w:tab w:val="left" w:pos="765"/>
        </w:tabs>
        <w:spacing w:before="156" w:beforeLines="50" w:after="468" w:afterLines="150"/>
        <w:rPr>
          <w:rFonts w:hint="eastAsia" w:eastAsiaTheme="minorEastAsia"/>
          <w:b/>
          <w:bCs/>
          <w:szCs w:val="21"/>
          <w:highlight w:val="none"/>
          <w:lang w:eastAsia="zh-CN"/>
        </w:rPr>
      </w:pPr>
      <w:r>
        <w:rPr>
          <w:rFonts w:hint="eastAsia"/>
          <w:b/>
          <w:bCs/>
          <w:szCs w:val="21"/>
          <w:highlight w:val="none"/>
        </w:rPr>
        <w:t>附件</w:t>
      </w:r>
      <w:r>
        <w:rPr>
          <w:rFonts w:hint="eastAsia"/>
          <w:b/>
          <w:bCs/>
          <w:szCs w:val="21"/>
          <w:highlight w:val="none"/>
          <w:lang w:val="en-US" w:eastAsia="zh-CN"/>
        </w:rPr>
        <w:t>二</w:t>
      </w:r>
    </w:p>
    <w:p>
      <w:pPr>
        <w:keepNext w:val="0"/>
        <w:keepLines w:val="0"/>
        <w:pageBreakBefore w:val="0"/>
        <w:kinsoku/>
        <w:wordWrap/>
        <w:overflowPunct/>
        <w:topLinePunct w:val="0"/>
        <w:autoSpaceDE/>
        <w:autoSpaceDN/>
        <w:bidi w:val="0"/>
        <w:adjustRightInd/>
        <w:snapToGrid/>
        <w:spacing w:line="54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4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lang w:val="en-US" w:eastAsia="zh-CN"/>
        </w:rPr>
        <w:t>广州城市水处理设备有限公司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4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4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广广州城市水处理设备有限公司2023-2024年车辆运输服务项目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4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4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4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40" w:lineRule="exact"/>
        <w:ind w:left="14"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40" w:lineRule="exact"/>
        <w:ind w:left="14"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40" w:lineRule="exact"/>
        <w:ind w:left="14"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40" w:lineRule="exact"/>
        <w:ind w:left="14"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40" w:lineRule="exact"/>
        <w:ind w:left="14"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40" w:lineRule="exact"/>
        <w:ind w:left="14"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4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40" w:lineRule="exact"/>
        <w:ind w:left="14"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4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4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line="54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4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line="54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line="54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line="54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line="54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4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adjustRightInd/>
        <w:snapToGrid/>
        <w:spacing w:line="54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4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tabs>
          <w:tab w:val="left" w:pos="4170"/>
        </w:tabs>
        <w:kinsoku/>
        <w:wordWrap/>
        <w:overflowPunct/>
        <w:topLinePunct w:val="0"/>
        <w:autoSpaceDE/>
        <w:autoSpaceDN/>
        <w:bidi w:val="0"/>
        <w:adjustRightInd/>
        <w:snapToGrid/>
        <w:spacing w:line="540" w:lineRule="exact"/>
        <w:textAlignment w:val="auto"/>
        <w:rPr>
          <w:rFonts w:ascii="宋体" w:hAnsi="宋体"/>
          <w:color w:val="auto"/>
          <w:highlight w:val="none"/>
        </w:rPr>
      </w:pPr>
    </w:p>
    <w:p>
      <w:pPr>
        <w:spacing w:line="360" w:lineRule="auto"/>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adjustRightInd w:val="0"/>
        <w:snapToGrid w:val="0"/>
        <w:jc w:val="both"/>
        <w:rPr>
          <w:rFonts w:hint="eastAsia" w:ascii="宋体" w:hAnsi="宋体" w:eastAsia="宋体" w:cs="宋体"/>
          <w:b/>
          <w:bCs/>
          <w:color w:val="auto"/>
          <w:sz w:val="21"/>
          <w:szCs w:val="21"/>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ind w:left="0" w:leftChars="0" w:firstLine="0" w:firstLineChars="0"/>
        <w:rPr>
          <w:rFonts w:hint="eastAsia"/>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br w:type="page"/>
      </w:r>
    </w:p>
    <w:p>
      <w:pPr>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 xml:space="preserve">附件4 </w:t>
      </w:r>
    </w:p>
    <w:p>
      <w:pPr>
        <w:jc w:val="center"/>
        <w:rPr>
          <w:rFonts w:hint="eastAsia" w:ascii="宋体" w:hAnsi="宋体" w:cs="宋体"/>
          <w:b/>
          <w:bCs/>
          <w:sz w:val="32"/>
          <w:szCs w:val="32"/>
          <w:highlight w:val="none"/>
          <w:lang w:val="en-US" w:eastAsia="zh-CN"/>
        </w:rPr>
      </w:pPr>
      <w:r>
        <w:rPr>
          <w:rFonts w:hint="eastAsia" w:ascii="宋体" w:hAnsi="宋体" w:cs="宋体"/>
          <w:b/>
          <w:bCs/>
          <w:sz w:val="32"/>
          <w:szCs w:val="32"/>
          <w:highlight w:val="none"/>
          <w:lang w:val="en-US" w:eastAsia="zh-CN"/>
        </w:rPr>
        <w:t>采购需求</w:t>
      </w:r>
    </w:p>
    <w:p>
      <w:pPr>
        <w:pStyle w:val="1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一、项目情况介绍</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left"/>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我司需车辆运输服务来满足日常业务需求</w:t>
      </w:r>
      <w:r>
        <w:rPr>
          <w:rFonts w:hint="eastAsia" w:ascii="仿宋" w:hAnsi="仿宋" w:eastAsia="仿宋" w:cs="仿宋"/>
          <w:bCs/>
          <w:color w:val="auto"/>
          <w:sz w:val="28"/>
          <w:szCs w:val="28"/>
          <w:highlight w:val="none"/>
          <w:lang w:eastAsia="zh-CN"/>
        </w:rPr>
        <w:t>。</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baseline"/>
        <w:rPr>
          <w:rFonts w:hint="eastAsia"/>
          <w:highlight w:val="none"/>
          <w:lang w:eastAsia="zh-CN"/>
        </w:rPr>
      </w:pPr>
      <w:r>
        <w:rPr>
          <w:rFonts w:hint="eastAsia" w:ascii="仿宋" w:hAnsi="仿宋" w:eastAsia="仿宋" w:cs="仿宋"/>
          <w:bCs/>
          <w:color w:val="auto"/>
          <w:kern w:val="2"/>
          <w:sz w:val="28"/>
          <w:szCs w:val="28"/>
          <w:highlight w:val="none"/>
          <w:lang w:val="en-US" w:eastAsia="zh-CN" w:bidi="ar-SA"/>
        </w:rPr>
        <w:t>1、车辆状况要求：供应商必须保证提供的车辆手续完备、证件及各种备件齐全，车况良好，无违章、违法、及法律纠纷；</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baseline"/>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r>
        <w:rPr>
          <w:rFonts w:hint="eastAsia" w:ascii="仿宋" w:hAnsi="仿宋" w:eastAsia="仿宋" w:cs="仿宋"/>
          <w:bCs/>
          <w:color w:val="auto"/>
          <w:sz w:val="28"/>
          <w:szCs w:val="28"/>
          <w:highlight w:val="none"/>
          <w:lang w:val="en-US" w:eastAsia="zh-CN"/>
        </w:rPr>
        <w:t>服务</w:t>
      </w:r>
      <w:r>
        <w:rPr>
          <w:rFonts w:hint="eastAsia" w:ascii="仿宋" w:hAnsi="仿宋" w:eastAsia="仿宋" w:cs="仿宋"/>
          <w:bCs/>
          <w:color w:val="auto"/>
          <w:kern w:val="2"/>
          <w:sz w:val="28"/>
          <w:szCs w:val="28"/>
          <w:highlight w:val="none"/>
          <w:lang w:val="en-US" w:eastAsia="zh-CN" w:bidi="ar-SA"/>
        </w:rPr>
        <w:t>期限：自合同签订之日起1年，服务期内，供应商负责缴纳服务车辆的各种保险费和税费，包括强制保险、车船税等附加险；项目要求中选方提供服务的时间为每年251天（按工作日计算）。采购人有权根据实际情况适时调整服务车辆及服务天数，中选方应当根据要求及时调整。</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baseline"/>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3、</w:t>
      </w:r>
      <w:r>
        <w:rPr>
          <w:rFonts w:hint="eastAsia" w:ascii="仿宋" w:hAnsi="仿宋" w:eastAsia="仿宋" w:cs="仿宋"/>
          <w:bCs/>
          <w:color w:val="auto"/>
          <w:sz w:val="28"/>
          <w:szCs w:val="28"/>
          <w:highlight w:val="none"/>
          <w:lang w:val="en-US" w:eastAsia="zh-CN"/>
        </w:rPr>
        <w:t>服务</w:t>
      </w:r>
      <w:r>
        <w:rPr>
          <w:rFonts w:hint="eastAsia" w:ascii="仿宋" w:hAnsi="仿宋" w:eastAsia="仿宋" w:cs="仿宋"/>
          <w:bCs/>
          <w:color w:val="auto"/>
          <w:kern w:val="2"/>
          <w:sz w:val="28"/>
          <w:szCs w:val="28"/>
          <w:highlight w:val="none"/>
          <w:lang w:val="en-US" w:eastAsia="zh-CN" w:bidi="ar-SA"/>
        </w:rPr>
        <w:t>期内，供应商负责车辆的年检、环保检测、维修和保养、驾驶员的薪酬福利，劳动保护用品等，并承担费用。</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baseline"/>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4、车辆服务时间：具体车辆使用时间时间以采购人通知为准。采购人如需增减发车班次，提前三天知会中选供应商。</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baseline"/>
        <w:rPr>
          <w:rFonts w:hint="eastAsia"/>
          <w:highlight w:val="none"/>
        </w:rPr>
      </w:pPr>
      <w:r>
        <w:rPr>
          <w:rFonts w:hint="eastAsia" w:ascii="仿宋" w:hAnsi="仿宋" w:eastAsia="仿宋" w:cs="仿宋"/>
          <w:bCs/>
          <w:color w:val="auto"/>
          <w:kern w:val="2"/>
          <w:sz w:val="28"/>
          <w:szCs w:val="28"/>
          <w:highlight w:val="none"/>
          <w:lang w:val="en-US" w:eastAsia="zh-CN" w:bidi="ar-SA"/>
        </w:rPr>
        <w:t>5、其他要求：中选供应商在运输服务合同签订后，在合同期内，不得更换中选车辆；要求保持车内环境清洁、无异味；驾驶员应具备与驾驶车辆相应的资格资质。</w:t>
      </w:r>
      <w:r>
        <w:rPr>
          <w:rFonts w:hint="eastAsia"/>
          <w:highlight w:val="none"/>
          <w:lang w:eastAsia="zh-CN"/>
        </w:rPr>
        <w:t xml:space="preserve"> </w:t>
      </w:r>
    </w:p>
    <w:p>
      <w:pPr>
        <w:widowControl/>
        <w:spacing w:line="360" w:lineRule="auto"/>
        <w:ind w:firstLine="560" w:firstLineChars="200"/>
        <w:jc w:val="left"/>
        <w:rPr>
          <w:rFonts w:hint="eastAsia" w:ascii="仿宋" w:hAnsi="仿宋" w:eastAsia="仿宋" w:cs="仿宋"/>
          <w:b/>
          <w:color w:val="auto"/>
          <w:kern w:val="2"/>
          <w:sz w:val="28"/>
          <w:szCs w:val="28"/>
          <w:highlight w:val="none"/>
          <w:lang w:val="zh-CN" w:eastAsia="zh-CN" w:bidi="ar-SA"/>
        </w:rPr>
      </w:pPr>
      <w:r>
        <w:rPr>
          <w:rFonts w:hint="eastAsia" w:ascii="仿宋" w:hAnsi="仿宋" w:eastAsia="仿宋" w:cs="仿宋"/>
          <w:b/>
          <w:color w:val="auto"/>
          <w:kern w:val="2"/>
          <w:sz w:val="28"/>
          <w:szCs w:val="28"/>
          <w:highlight w:val="none"/>
          <w:lang w:val="zh-CN" w:eastAsia="zh-CN" w:bidi="ar-SA"/>
        </w:rPr>
        <w:t>二 、</w:t>
      </w:r>
      <w:r>
        <w:rPr>
          <w:rFonts w:hint="eastAsia" w:ascii="仿宋" w:hAnsi="仿宋" w:eastAsia="仿宋" w:cs="仿宋"/>
          <w:b/>
          <w:color w:val="auto"/>
          <w:kern w:val="2"/>
          <w:sz w:val="28"/>
          <w:szCs w:val="28"/>
          <w:highlight w:val="none"/>
          <w:lang w:val="en-US" w:eastAsia="zh-CN" w:bidi="ar-SA"/>
        </w:rPr>
        <w:t>服务路线</w:t>
      </w:r>
    </w:p>
    <w:p>
      <w:pPr>
        <w:pStyle w:val="2"/>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7：25-18：10，坦尾地铁站-沥滘地铁站-广州城市水处理设备有限公司（往返）</w:t>
      </w:r>
    </w:p>
    <w:p>
      <w:pPr>
        <w:pStyle w:val="2"/>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注：时间均为暂定，采购人有权根据实际情况进行调整。</w:t>
      </w:r>
    </w:p>
    <w:p>
      <w:pPr>
        <w:widowControl/>
        <w:spacing w:line="360" w:lineRule="auto"/>
        <w:ind w:firstLine="560" w:firstLineChars="200"/>
        <w:jc w:val="left"/>
        <w:rPr>
          <w:rFonts w:hint="default" w:ascii="仿宋" w:hAnsi="仿宋" w:eastAsia="仿宋" w:cs="仿宋"/>
          <w:b/>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en-US" w:eastAsia="zh-CN" w:bidi="ar-SA"/>
        </w:rPr>
        <w:t>三、服务要求</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560" w:firstLineChars="200"/>
        <w:jc w:val="both"/>
        <w:textAlignment w:val="baseline"/>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★（一）供应商必须在投标前，实地考察现场，特别是线路的公里数、车辆停放地点、司机用餐休息等情况，确保中选后安全正常运作。</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560" w:firstLineChars="200"/>
        <w:jc w:val="both"/>
        <w:textAlignment w:val="baseline"/>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二）供应商须承诺，如获中选资格，中选方须为车辆购买必要的商业险种包括但不限于交强险、承运人责任险（座位险）（每个座位保险赔偿限额不低于40万）等，保险期限至少应涵盖服务期。供应商拟投入的车辆必须装有行车记录仪及GPS（动态定位系统),投标时提交提供车辆GPS行驶轨迹的承诺函及车辆装有GPS、行车记录仪的证明材料。</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560" w:firstLineChars="200"/>
        <w:jc w:val="both"/>
        <w:textAlignment w:val="baseline"/>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三）供应商需提供拟投入司机的相关资料[包括但不限于劳动合同及对应的合法社保证明、身份证复印件、驾驶执照、身体健康证明（由正规医院出具）、道路交通监管部门开具的3年内无重大以上交通责任事故证明（复印件加盖公章）]交由采购人备存。司机持有A1驾驶执照，年龄在55岁（含）以下，精神风貌好，责任心强，遵纪守法，身体健康，无不良嗜好，具备5年或以上驾驶大巴驾龄，经过岗前培训，持有《道路运输从业人员从业资格证》或其他相关运输从业资格证件。</w:t>
      </w:r>
    </w:p>
    <w:p>
      <w:pPr>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br w:type="page"/>
      </w:r>
    </w:p>
    <w:p>
      <w:pPr>
        <w:tabs>
          <w:tab w:val="left" w:pos="765"/>
        </w:tabs>
        <w:spacing w:before="156" w:beforeLines="50" w:after="468" w:afterLines="150"/>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附件5</w:t>
      </w:r>
    </w:p>
    <w:p>
      <w:pPr>
        <w:tabs>
          <w:tab w:val="left" w:pos="765"/>
        </w:tabs>
        <w:spacing w:before="156" w:beforeLines="50" w:after="468" w:afterLines="150"/>
        <w:jc w:val="center"/>
        <w:rPr>
          <w:rFonts w:hint="eastAsia" w:ascii="宋体" w:hAnsi="宋体" w:cs="宋体" w:eastAsiaTheme="minorEastAsia"/>
          <w:b/>
          <w:bCs/>
          <w:color w:val="auto"/>
          <w:kern w:val="2"/>
          <w:sz w:val="36"/>
          <w:szCs w:val="36"/>
          <w:highlight w:val="none"/>
          <w:lang w:val="en-US" w:eastAsia="zh-CN" w:bidi="ar-SA"/>
        </w:rPr>
      </w:pPr>
      <w:r>
        <w:rPr>
          <w:rFonts w:hint="eastAsia" w:ascii="宋体" w:hAnsi="宋体" w:cs="宋体" w:eastAsiaTheme="minorEastAsia"/>
          <w:b/>
          <w:bCs/>
          <w:color w:val="auto"/>
          <w:kern w:val="2"/>
          <w:sz w:val="36"/>
          <w:szCs w:val="36"/>
          <w:highlight w:val="none"/>
          <w:lang w:val="en-US" w:eastAsia="zh-CN" w:bidi="ar-SA"/>
        </w:rPr>
        <w:t>服务考核表</w:t>
      </w:r>
    </w:p>
    <w:tbl>
      <w:tblPr>
        <w:tblStyle w:val="22"/>
        <w:tblW w:w="9648" w:type="dxa"/>
        <w:jc w:val="center"/>
        <w:tblLayout w:type="fixed"/>
        <w:tblCellMar>
          <w:top w:w="0" w:type="dxa"/>
          <w:left w:w="108" w:type="dxa"/>
          <w:bottom w:w="0" w:type="dxa"/>
          <w:right w:w="108" w:type="dxa"/>
        </w:tblCellMar>
      </w:tblPr>
      <w:tblGrid>
        <w:gridCol w:w="752"/>
        <w:gridCol w:w="3367"/>
        <w:gridCol w:w="2509"/>
        <w:gridCol w:w="750"/>
        <w:gridCol w:w="1380"/>
        <w:gridCol w:w="890"/>
      </w:tblGrid>
      <w:tr>
        <w:tblPrEx>
          <w:tblCellMar>
            <w:top w:w="0" w:type="dxa"/>
            <w:left w:w="108" w:type="dxa"/>
            <w:bottom w:w="0" w:type="dxa"/>
            <w:right w:w="108" w:type="dxa"/>
          </w:tblCellMar>
        </w:tblPrEx>
        <w:trPr>
          <w:trHeight w:val="397" w:hRule="atLeast"/>
          <w:jc w:val="center"/>
        </w:trPr>
        <w:tc>
          <w:tcPr>
            <w:tcW w:w="752" w:type="dxa"/>
            <w:tcBorders>
              <w:top w:val="single" w:color="000000" w:sz="4" w:space="0"/>
              <w:left w:val="single" w:color="000000" w:sz="4" w:space="0"/>
              <w:bottom w:val="single" w:color="000000" w:sz="4" w:space="0"/>
              <w:right w:val="single" w:color="000000" w:sz="4" w:space="0"/>
            </w:tcBorders>
          </w:tcPr>
          <w:p>
            <w:pPr>
              <w:widowControl/>
              <w:spacing w:line="144" w:lineRule="atLeast"/>
              <w:rPr>
                <w:rFonts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序号</w:t>
            </w:r>
          </w:p>
        </w:tc>
        <w:tc>
          <w:tcPr>
            <w:tcW w:w="3367" w:type="dxa"/>
            <w:tcBorders>
              <w:top w:val="single" w:color="000000" w:sz="4" w:space="0"/>
              <w:left w:val="nil"/>
              <w:bottom w:val="single" w:color="000000" w:sz="4" w:space="0"/>
              <w:right w:val="single" w:color="000000" w:sz="4" w:space="0"/>
            </w:tcBorders>
            <w:vAlign w:val="center"/>
          </w:tcPr>
          <w:p>
            <w:pPr>
              <w:widowControl/>
              <w:spacing w:line="144" w:lineRule="atLeast"/>
              <w:jc w:val="center"/>
              <w:rPr>
                <w:rFonts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考核内容</w:t>
            </w:r>
          </w:p>
        </w:tc>
        <w:tc>
          <w:tcPr>
            <w:tcW w:w="2509" w:type="dxa"/>
            <w:tcBorders>
              <w:top w:val="single" w:color="000000" w:sz="4" w:space="0"/>
              <w:left w:val="nil"/>
              <w:bottom w:val="single" w:color="000000" w:sz="4" w:space="0"/>
              <w:right w:val="single" w:color="000000" w:sz="4" w:space="0"/>
            </w:tcBorders>
            <w:vAlign w:val="center"/>
          </w:tcPr>
          <w:p>
            <w:pPr>
              <w:widowControl/>
              <w:spacing w:line="144" w:lineRule="atLeast"/>
              <w:jc w:val="center"/>
              <w:rPr>
                <w:rFonts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评分细则</w:t>
            </w:r>
          </w:p>
        </w:tc>
        <w:tc>
          <w:tcPr>
            <w:tcW w:w="750" w:type="dxa"/>
            <w:tcBorders>
              <w:top w:val="single" w:color="000000" w:sz="4" w:space="0"/>
              <w:left w:val="nil"/>
              <w:bottom w:val="single" w:color="000000" w:sz="4" w:space="0"/>
              <w:right w:val="single" w:color="000000" w:sz="4" w:space="0"/>
            </w:tcBorders>
            <w:vAlign w:val="center"/>
          </w:tcPr>
          <w:p>
            <w:pPr>
              <w:widowControl/>
              <w:spacing w:line="144" w:lineRule="atLeast"/>
              <w:jc w:val="center"/>
              <w:rPr>
                <w:rFonts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得分</w:t>
            </w:r>
          </w:p>
        </w:tc>
        <w:tc>
          <w:tcPr>
            <w:tcW w:w="1380" w:type="dxa"/>
            <w:tcBorders>
              <w:top w:val="single" w:color="000000" w:sz="4" w:space="0"/>
              <w:left w:val="nil"/>
              <w:bottom w:val="single" w:color="000000" w:sz="4" w:space="0"/>
              <w:right w:val="single" w:color="000000" w:sz="4" w:space="0"/>
            </w:tcBorders>
            <w:vAlign w:val="center"/>
          </w:tcPr>
          <w:p>
            <w:pPr>
              <w:widowControl/>
              <w:spacing w:line="144" w:lineRule="atLeast"/>
              <w:jc w:val="center"/>
              <w:rPr>
                <w:rFonts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扣分原因</w:t>
            </w:r>
          </w:p>
        </w:tc>
        <w:tc>
          <w:tcPr>
            <w:tcW w:w="890" w:type="dxa"/>
            <w:tcBorders>
              <w:top w:val="single" w:color="000000" w:sz="4" w:space="0"/>
              <w:left w:val="nil"/>
              <w:bottom w:val="single" w:color="000000" w:sz="4" w:space="0"/>
              <w:right w:val="single" w:color="000000" w:sz="4" w:space="0"/>
            </w:tcBorders>
            <w:vAlign w:val="center"/>
          </w:tcPr>
          <w:p>
            <w:pPr>
              <w:widowControl/>
              <w:spacing w:line="144" w:lineRule="atLeast"/>
              <w:jc w:val="center"/>
              <w:rPr>
                <w:rFonts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备注</w:t>
            </w:r>
          </w:p>
        </w:tc>
      </w:tr>
      <w:tr>
        <w:tblPrEx>
          <w:tblCellMar>
            <w:top w:w="0" w:type="dxa"/>
            <w:left w:w="108" w:type="dxa"/>
            <w:bottom w:w="0" w:type="dxa"/>
            <w:right w:w="108" w:type="dxa"/>
          </w:tblCellMar>
        </w:tblPrEx>
        <w:trPr>
          <w:trHeight w:val="136"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144" w:lineRule="atLeast"/>
              <w:jc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w:t>
            </w:r>
          </w:p>
        </w:tc>
        <w:tc>
          <w:tcPr>
            <w:tcW w:w="3367" w:type="dxa"/>
            <w:tcBorders>
              <w:top w:val="single" w:color="000000" w:sz="4" w:space="0"/>
              <w:left w:val="nil"/>
              <w:bottom w:val="single" w:color="000000" w:sz="4" w:space="0"/>
              <w:right w:val="single" w:color="000000" w:sz="4" w:space="0"/>
            </w:tcBorders>
            <w:vAlign w:val="center"/>
          </w:tcPr>
          <w:p>
            <w:pPr>
              <w:widowControl/>
              <w:spacing w:line="144" w:lineRule="atLeast"/>
              <w:rPr>
                <w:rFonts w:asciiTheme="minorEastAsia" w:hAnsiTheme="minorEastAsia" w:eastAsiaTheme="minorEastAsia" w:cstheme="minorEastAsia"/>
                <w:kern w:val="0"/>
                <w:szCs w:val="21"/>
                <w:highlight w:val="none"/>
              </w:rPr>
            </w:pPr>
            <w:r>
              <w:rPr>
                <w:rFonts w:hint="eastAsia" w:asciiTheme="minorEastAsia" w:hAnsiTheme="minorEastAsia" w:cstheme="minorEastAsia"/>
                <w:kern w:val="0"/>
                <w:szCs w:val="21"/>
                <w:highlight w:val="none"/>
                <w:lang w:val="en-US" w:eastAsia="zh-CN"/>
              </w:rPr>
              <w:t>运输</w:t>
            </w:r>
            <w:r>
              <w:rPr>
                <w:rFonts w:hint="eastAsia" w:asciiTheme="minorEastAsia" w:hAnsiTheme="minorEastAsia" w:eastAsiaTheme="minorEastAsia" w:cstheme="minorEastAsia"/>
                <w:kern w:val="0"/>
                <w:szCs w:val="21"/>
                <w:highlight w:val="none"/>
              </w:rPr>
              <w:t>服务是否按合同约定配置车辆及服务人员到场开展工作且符合有关服务品质要求（10分）</w:t>
            </w:r>
          </w:p>
        </w:tc>
        <w:tc>
          <w:tcPr>
            <w:tcW w:w="2509" w:type="dxa"/>
            <w:tcBorders>
              <w:top w:val="single" w:color="000000" w:sz="4" w:space="0"/>
              <w:left w:val="nil"/>
              <w:bottom w:val="single" w:color="000000" w:sz="4" w:space="0"/>
              <w:right w:val="single" w:color="000000" w:sz="4" w:space="0"/>
            </w:tcBorders>
            <w:vAlign w:val="center"/>
          </w:tcPr>
          <w:p>
            <w:pPr>
              <w:widowControl/>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完全符合10分；符合9分；基本符合7-8分；一般5-6分；不符合0分。</w:t>
            </w:r>
          </w:p>
        </w:tc>
        <w:tc>
          <w:tcPr>
            <w:tcW w:w="75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c>
          <w:tcPr>
            <w:tcW w:w="13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c>
          <w:tcPr>
            <w:tcW w:w="89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r>
      <w:tr>
        <w:tblPrEx>
          <w:tblCellMar>
            <w:top w:w="0" w:type="dxa"/>
            <w:left w:w="108" w:type="dxa"/>
            <w:bottom w:w="0" w:type="dxa"/>
            <w:right w:w="108" w:type="dxa"/>
          </w:tblCellMar>
        </w:tblPrEx>
        <w:trPr>
          <w:trHeight w:val="136"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144" w:lineRule="atLeast"/>
              <w:jc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w:t>
            </w:r>
          </w:p>
        </w:tc>
        <w:tc>
          <w:tcPr>
            <w:tcW w:w="3367" w:type="dxa"/>
            <w:tcBorders>
              <w:top w:val="single" w:color="000000" w:sz="4" w:space="0"/>
              <w:left w:val="nil"/>
              <w:bottom w:val="single" w:color="000000" w:sz="4" w:space="0"/>
              <w:right w:val="single" w:color="000000" w:sz="4" w:space="0"/>
            </w:tcBorders>
            <w:vAlign w:val="center"/>
          </w:tcPr>
          <w:p>
            <w:pPr>
              <w:widowControl/>
              <w:spacing w:line="144" w:lineRule="atLeast"/>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配置车辆是否定期保洁消毒、安全检查以及定期审验且符合公司（项目）管理规范。（10分）</w:t>
            </w:r>
          </w:p>
        </w:tc>
        <w:tc>
          <w:tcPr>
            <w:tcW w:w="2509" w:type="dxa"/>
            <w:tcBorders>
              <w:top w:val="single" w:color="000000" w:sz="4" w:space="0"/>
              <w:left w:val="nil"/>
              <w:bottom w:val="single" w:color="000000" w:sz="4" w:space="0"/>
              <w:right w:val="single" w:color="000000" w:sz="4" w:space="0"/>
            </w:tcBorders>
            <w:vAlign w:val="center"/>
          </w:tcPr>
          <w:p>
            <w:pPr>
              <w:widowControl/>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完全符合10分；基本符合8-9分；一般5-7分；不符合0分。</w:t>
            </w:r>
          </w:p>
        </w:tc>
        <w:tc>
          <w:tcPr>
            <w:tcW w:w="75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c>
          <w:tcPr>
            <w:tcW w:w="13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c>
          <w:tcPr>
            <w:tcW w:w="89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r>
      <w:tr>
        <w:tblPrEx>
          <w:tblCellMar>
            <w:top w:w="0" w:type="dxa"/>
            <w:left w:w="108" w:type="dxa"/>
            <w:bottom w:w="0" w:type="dxa"/>
            <w:right w:w="108" w:type="dxa"/>
          </w:tblCellMar>
        </w:tblPrEx>
        <w:trPr>
          <w:trHeight w:val="136"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144" w:lineRule="atLeast"/>
              <w:jc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w:t>
            </w:r>
          </w:p>
        </w:tc>
        <w:tc>
          <w:tcPr>
            <w:tcW w:w="3367" w:type="dxa"/>
            <w:tcBorders>
              <w:top w:val="single" w:color="000000" w:sz="4" w:space="0"/>
              <w:left w:val="nil"/>
              <w:bottom w:val="single" w:color="000000" w:sz="4" w:space="0"/>
              <w:right w:val="single" w:color="000000" w:sz="4" w:space="0"/>
            </w:tcBorders>
            <w:vAlign w:val="center"/>
          </w:tcPr>
          <w:p>
            <w:pPr>
              <w:widowControl/>
              <w:spacing w:line="144" w:lineRule="atLeast"/>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配备服务人员是否具备从业资格且定期开展安全、技能培训并符合公司（项目）管理规范。（10分）</w:t>
            </w:r>
          </w:p>
        </w:tc>
        <w:tc>
          <w:tcPr>
            <w:tcW w:w="2509" w:type="dxa"/>
            <w:tcBorders>
              <w:top w:val="single" w:color="000000" w:sz="4" w:space="0"/>
              <w:left w:val="nil"/>
              <w:bottom w:val="single" w:color="000000" w:sz="4" w:space="0"/>
              <w:right w:val="single" w:color="000000" w:sz="4" w:space="0"/>
            </w:tcBorders>
            <w:vAlign w:val="center"/>
          </w:tcPr>
          <w:p>
            <w:pPr>
              <w:widowControl/>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完全符合10分；基本符合8-9分；一般5分；不符合0分。</w:t>
            </w:r>
          </w:p>
        </w:tc>
        <w:tc>
          <w:tcPr>
            <w:tcW w:w="75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c>
          <w:tcPr>
            <w:tcW w:w="13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c>
          <w:tcPr>
            <w:tcW w:w="89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r>
      <w:tr>
        <w:tblPrEx>
          <w:tblCellMar>
            <w:top w:w="0" w:type="dxa"/>
            <w:left w:w="108" w:type="dxa"/>
            <w:bottom w:w="0" w:type="dxa"/>
            <w:right w:w="108" w:type="dxa"/>
          </w:tblCellMar>
        </w:tblPrEx>
        <w:trPr>
          <w:trHeight w:val="136"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144" w:lineRule="atLeast"/>
              <w:jc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4</w:t>
            </w:r>
          </w:p>
        </w:tc>
        <w:tc>
          <w:tcPr>
            <w:tcW w:w="3367" w:type="dxa"/>
            <w:tcBorders>
              <w:top w:val="single" w:color="000000" w:sz="4" w:space="0"/>
              <w:left w:val="nil"/>
              <w:bottom w:val="single" w:color="000000" w:sz="4" w:space="0"/>
              <w:right w:val="single" w:color="000000" w:sz="4" w:space="0"/>
            </w:tcBorders>
            <w:vAlign w:val="center"/>
          </w:tcPr>
          <w:p>
            <w:pPr>
              <w:widowControl/>
              <w:spacing w:line="144" w:lineRule="atLeast"/>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配置车辆或服务人员的调整是否提前报备公司（项目）且满足有关合同要求（10分）</w:t>
            </w:r>
          </w:p>
        </w:tc>
        <w:tc>
          <w:tcPr>
            <w:tcW w:w="2509" w:type="dxa"/>
            <w:tcBorders>
              <w:top w:val="single" w:color="000000" w:sz="4" w:space="0"/>
              <w:left w:val="nil"/>
              <w:bottom w:val="single" w:color="000000" w:sz="4" w:space="0"/>
              <w:right w:val="single" w:color="000000" w:sz="4" w:space="0"/>
            </w:tcBorders>
            <w:vAlign w:val="center"/>
          </w:tcPr>
          <w:p>
            <w:pPr>
              <w:widowControl/>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完全符合10分；基本符合8-9分；一般5分；不符合0分。</w:t>
            </w:r>
          </w:p>
        </w:tc>
        <w:tc>
          <w:tcPr>
            <w:tcW w:w="75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c>
          <w:tcPr>
            <w:tcW w:w="13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c>
          <w:tcPr>
            <w:tcW w:w="89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r>
      <w:tr>
        <w:tblPrEx>
          <w:tblCellMar>
            <w:top w:w="0" w:type="dxa"/>
            <w:left w:w="108" w:type="dxa"/>
            <w:bottom w:w="0" w:type="dxa"/>
            <w:right w:w="108" w:type="dxa"/>
          </w:tblCellMar>
        </w:tblPrEx>
        <w:trPr>
          <w:trHeight w:val="136"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144" w:lineRule="atLeast"/>
              <w:jc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5</w:t>
            </w:r>
          </w:p>
        </w:tc>
        <w:tc>
          <w:tcPr>
            <w:tcW w:w="3367" w:type="dxa"/>
            <w:tcBorders>
              <w:top w:val="single" w:color="000000" w:sz="4" w:space="0"/>
              <w:left w:val="nil"/>
              <w:bottom w:val="single" w:color="000000" w:sz="4" w:space="0"/>
              <w:right w:val="single" w:color="000000" w:sz="4" w:space="0"/>
            </w:tcBorders>
            <w:vAlign w:val="center"/>
          </w:tcPr>
          <w:p>
            <w:pPr>
              <w:widowControl/>
              <w:spacing w:line="144" w:lineRule="atLeast"/>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服务期间发生违法、违规事件，或因服务商过失造成公司（项目）人身伤害或财产损失情形。（10分）</w:t>
            </w:r>
          </w:p>
        </w:tc>
        <w:tc>
          <w:tcPr>
            <w:tcW w:w="2509" w:type="dxa"/>
            <w:tcBorders>
              <w:top w:val="single" w:color="000000" w:sz="4" w:space="0"/>
              <w:left w:val="nil"/>
              <w:bottom w:val="single" w:color="000000" w:sz="4" w:space="0"/>
              <w:right w:val="single" w:color="000000" w:sz="4" w:space="0"/>
            </w:tcBorders>
            <w:vAlign w:val="center"/>
          </w:tcPr>
          <w:p>
            <w:pPr>
              <w:widowControl/>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重大事件0分；较大事件5分；一般事件8-9分；无发生10分。</w:t>
            </w:r>
          </w:p>
        </w:tc>
        <w:tc>
          <w:tcPr>
            <w:tcW w:w="75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c>
          <w:tcPr>
            <w:tcW w:w="13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c>
          <w:tcPr>
            <w:tcW w:w="89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r>
      <w:tr>
        <w:tblPrEx>
          <w:tblCellMar>
            <w:top w:w="0" w:type="dxa"/>
            <w:left w:w="108" w:type="dxa"/>
            <w:bottom w:w="0" w:type="dxa"/>
            <w:right w:w="108" w:type="dxa"/>
          </w:tblCellMar>
        </w:tblPrEx>
        <w:trPr>
          <w:trHeight w:val="136"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144" w:lineRule="atLeast"/>
              <w:jc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6</w:t>
            </w:r>
          </w:p>
        </w:tc>
        <w:tc>
          <w:tcPr>
            <w:tcW w:w="3367" w:type="dxa"/>
            <w:tcBorders>
              <w:top w:val="single" w:color="000000" w:sz="4" w:space="0"/>
              <w:left w:val="nil"/>
              <w:bottom w:val="single" w:color="000000" w:sz="4" w:space="0"/>
              <w:right w:val="single" w:color="000000" w:sz="4" w:space="0"/>
            </w:tcBorders>
            <w:vAlign w:val="center"/>
          </w:tcPr>
          <w:p>
            <w:pPr>
              <w:widowControl/>
              <w:spacing w:line="144" w:lineRule="atLeast"/>
              <w:rPr>
                <w:rFonts w:asciiTheme="minorEastAsia" w:hAnsiTheme="minorEastAsia" w:eastAsiaTheme="minorEastAsia" w:cstheme="minorEastAsia"/>
                <w:kern w:val="0"/>
                <w:szCs w:val="21"/>
                <w:highlight w:val="none"/>
              </w:rPr>
            </w:pPr>
            <w:r>
              <w:rPr>
                <w:rFonts w:hint="eastAsia" w:asciiTheme="minorEastAsia" w:hAnsiTheme="minorEastAsia" w:cstheme="minorEastAsia"/>
                <w:kern w:val="0"/>
                <w:szCs w:val="21"/>
                <w:highlight w:val="none"/>
                <w:lang w:val="en-US" w:eastAsia="zh-CN"/>
              </w:rPr>
              <w:t>运输</w:t>
            </w:r>
            <w:r>
              <w:rPr>
                <w:rFonts w:hint="eastAsia" w:asciiTheme="minorEastAsia" w:hAnsiTheme="minorEastAsia" w:eastAsiaTheme="minorEastAsia" w:cstheme="minorEastAsia"/>
                <w:kern w:val="0"/>
                <w:szCs w:val="21"/>
                <w:highlight w:val="none"/>
              </w:rPr>
              <w:t>车辆或服务人员发生违反合同约定是否及时整改并符合公司（项目）管理规范。（10分）</w:t>
            </w:r>
          </w:p>
        </w:tc>
        <w:tc>
          <w:tcPr>
            <w:tcW w:w="2509" w:type="dxa"/>
            <w:tcBorders>
              <w:top w:val="single" w:color="000000" w:sz="4" w:space="0"/>
              <w:left w:val="nil"/>
              <w:bottom w:val="single" w:color="000000" w:sz="4" w:space="0"/>
              <w:right w:val="single" w:color="000000" w:sz="4" w:space="0"/>
            </w:tcBorders>
            <w:vAlign w:val="center"/>
          </w:tcPr>
          <w:p>
            <w:pPr>
              <w:widowControl/>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及时处理10分；较快8-9分；基本处理5-7分；不予理会0分。</w:t>
            </w:r>
          </w:p>
        </w:tc>
        <w:tc>
          <w:tcPr>
            <w:tcW w:w="75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c>
          <w:tcPr>
            <w:tcW w:w="13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c>
          <w:tcPr>
            <w:tcW w:w="89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r>
      <w:tr>
        <w:tblPrEx>
          <w:tblCellMar>
            <w:top w:w="0" w:type="dxa"/>
            <w:left w:w="108" w:type="dxa"/>
            <w:bottom w:w="0" w:type="dxa"/>
            <w:right w:w="108" w:type="dxa"/>
          </w:tblCellMar>
        </w:tblPrEx>
        <w:trPr>
          <w:trHeight w:val="136"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144" w:lineRule="atLeast"/>
              <w:jc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7</w:t>
            </w:r>
          </w:p>
        </w:tc>
        <w:tc>
          <w:tcPr>
            <w:tcW w:w="3367" w:type="dxa"/>
            <w:tcBorders>
              <w:top w:val="single" w:color="000000" w:sz="4" w:space="0"/>
              <w:left w:val="nil"/>
              <w:bottom w:val="single" w:color="000000" w:sz="4" w:space="0"/>
              <w:right w:val="single" w:color="000000" w:sz="4" w:space="0"/>
            </w:tcBorders>
            <w:vAlign w:val="center"/>
          </w:tcPr>
          <w:p>
            <w:pPr>
              <w:widowControl/>
              <w:spacing w:line="144" w:lineRule="atLeast"/>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对</w:t>
            </w:r>
            <w:r>
              <w:rPr>
                <w:rFonts w:hint="eastAsia" w:asciiTheme="minorEastAsia" w:hAnsiTheme="minorEastAsia" w:cstheme="minorEastAsia"/>
                <w:kern w:val="0"/>
                <w:szCs w:val="21"/>
                <w:highlight w:val="none"/>
                <w:lang w:val="en-US" w:eastAsia="zh-CN"/>
              </w:rPr>
              <w:t>运输</w:t>
            </w:r>
            <w:r>
              <w:rPr>
                <w:rFonts w:hint="eastAsia" w:asciiTheme="minorEastAsia" w:hAnsiTheme="minorEastAsia" w:eastAsiaTheme="minorEastAsia" w:cstheme="minorEastAsia"/>
                <w:kern w:val="0"/>
                <w:szCs w:val="21"/>
                <w:highlight w:val="none"/>
              </w:rPr>
              <w:t>车辆及服务人员是否实时监管到位且每月定期提交服务车辆、人员定置情况表。（10分）</w:t>
            </w:r>
          </w:p>
        </w:tc>
        <w:tc>
          <w:tcPr>
            <w:tcW w:w="2509" w:type="dxa"/>
            <w:tcBorders>
              <w:top w:val="single" w:color="000000" w:sz="4" w:space="0"/>
              <w:left w:val="nil"/>
              <w:bottom w:val="single" w:color="000000" w:sz="4" w:space="0"/>
              <w:right w:val="single" w:color="000000" w:sz="4" w:space="0"/>
            </w:tcBorders>
            <w:vAlign w:val="center"/>
          </w:tcPr>
          <w:p>
            <w:pPr>
              <w:widowControl/>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完全符合10分；基本符合8-9分；一般5分；不符合0分。</w:t>
            </w:r>
          </w:p>
        </w:tc>
        <w:tc>
          <w:tcPr>
            <w:tcW w:w="75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c>
          <w:tcPr>
            <w:tcW w:w="13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c>
          <w:tcPr>
            <w:tcW w:w="89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r>
      <w:tr>
        <w:tblPrEx>
          <w:tblCellMar>
            <w:top w:w="0" w:type="dxa"/>
            <w:left w:w="108" w:type="dxa"/>
            <w:bottom w:w="0" w:type="dxa"/>
            <w:right w:w="108" w:type="dxa"/>
          </w:tblCellMar>
        </w:tblPrEx>
        <w:trPr>
          <w:trHeight w:val="136"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144" w:lineRule="atLeast"/>
              <w:jc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8</w:t>
            </w:r>
          </w:p>
        </w:tc>
        <w:tc>
          <w:tcPr>
            <w:tcW w:w="3367" w:type="dxa"/>
            <w:tcBorders>
              <w:top w:val="single" w:color="000000" w:sz="4" w:space="0"/>
              <w:left w:val="nil"/>
              <w:bottom w:val="single" w:color="000000" w:sz="4" w:space="0"/>
              <w:right w:val="single" w:color="000000" w:sz="4" w:space="0"/>
            </w:tcBorders>
            <w:vAlign w:val="center"/>
          </w:tcPr>
          <w:p>
            <w:pPr>
              <w:widowControl/>
              <w:spacing w:line="144" w:lineRule="atLeast"/>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积极配合公司（项目）</w:t>
            </w:r>
            <w:r>
              <w:rPr>
                <w:rFonts w:hint="eastAsia" w:asciiTheme="minorEastAsia" w:hAnsiTheme="minorEastAsia" w:cstheme="minorEastAsia"/>
                <w:kern w:val="0"/>
                <w:szCs w:val="21"/>
                <w:highlight w:val="none"/>
                <w:lang w:val="en-US" w:eastAsia="zh-CN"/>
              </w:rPr>
              <w:t>车辆运输</w:t>
            </w:r>
            <w:r>
              <w:rPr>
                <w:rFonts w:hint="eastAsia" w:asciiTheme="minorEastAsia" w:hAnsiTheme="minorEastAsia" w:eastAsiaTheme="minorEastAsia" w:cstheme="minorEastAsia"/>
                <w:kern w:val="0"/>
                <w:szCs w:val="21"/>
                <w:highlight w:val="none"/>
              </w:rPr>
              <w:t>服务期间其它合理需求并及时配合跟进（10分）</w:t>
            </w:r>
          </w:p>
        </w:tc>
        <w:tc>
          <w:tcPr>
            <w:tcW w:w="2509" w:type="dxa"/>
            <w:tcBorders>
              <w:top w:val="single" w:color="000000" w:sz="4" w:space="0"/>
              <w:left w:val="nil"/>
              <w:bottom w:val="single" w:color="000000" w:sz="4" w:space="0"/>
              <w:right w:val="single" w:color="000000" w:sz="4" w:space="0"/>
            </w:tcBorders>
            <w:vAlign w:val="center"/>
          </w:tcPr>
          <w:p>
            <w:pPr>
              <w:widowControl/>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完全符合10分；基本符合8-9分；一般5分；不符合0分。</w:t>
            </w:r>
          </w:p>
        </w:tc>
        <w:tc>
          <w:tcPr>
            <w:tcW w:w="75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c>
          <w:tcPr>
            <w:tcW w:w="13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c>
          <w:tcPr>
            <w:tcW w:w="89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r>
      <w:tr>
        <w:tblPrEx>
          <w:tblCellMar>
            <w:top w:w="0" w:type="dxa"/>
            <w:left w:w="108" w:type="dxa"/>
            <w:bottom w:w="0" w:type="dxa"/>
            <w:right w:w="108" w:type="dxa"/>
          </w:tblCellMar>
        </w:tblPrEx>
        <w:trPr>
          <w:trHeight w:val="136"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144" w:lineRule="atLeast"/>
              <w:jc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9</w:t>
            </w:r>
          </w:p>
        </w:tc>
        <w:tc>
          <w:tcPr>
            <w:tcW w:w="3367" w:type="dxa"/>
            <w:tcBorders>
              <w:top w:val="single" w:color="000000" w:sz="4" w:space="0"/>
              <w:left w:val="nil"/>
              <w:bottom w:val="single" w:color="000000" w:sz="4" w:space="0"/>
              <w:right w:val="single" w:color="000000" w:sz="4" w:space="0"/>
            </w:tcBorders>
            <w:vAlign w:val="center"/>
          </w:tcPr>
          <w:p>
            <w:pPr>
              <w:widowControl/>
              <w:spacing w:line="144" w:lineRule="atLeast"/>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服务期间对提出的合理整改意见或建议及时处理。（10分）</w:t>
            </w:r>
          </w:p>
        </w:tc>
        <w:tc>
          <w:tcPr>
            <w:tcW w:w="2509" w:type="dxa"/>
            <w:tcBorders>
              <w:top w:val="single" w:color="000000" w:sz="4" w:space="0"/>
              <w:left w:val="nil"/>
              <w:bottom w:val="single" w:color="000000" w:sz="4" w:space="0"/>
              <w:right w:val="single" w:color="000000" w:sz="4" w:space="0"/>
            </w:tcBorders>
            <w:vAlign w:val="center"/>
          </w:tcPr>
          <w:p>
            <w:pPr>
              <w:widowControl/>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及时处理10分；较快8-9分；基本处理5-7分；不予理会0分。</w:t>
            </w:r>
          </w:p>
        </w:tc>
        <w:tc>
          <w:tcPr>
            <w:tcW w:w="75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c>
          <w:tcPr>
            <w:tcW w:w="13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c>
          <w:tcPr>
            <w:tcW w:w="89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r>
      <w:tr>
        <w:tblPrEx>
          <w:tblCellMar>
            <w:top w:w="0" w:type="dxa"/>
            <w:left w:w="108" w:type="dxa"/>
            <w:bottom w:w="0" w:type="dxa"/>
            <w:right w:w="108" w:type="dxa"/>
          </w:tblCellMar>
        </w:tblPrEx>
        <w:trPr>
          <w:trHeight w:val="136"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144" w:lineRule="atLeast"/>
              <w:jc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10</w:t>
            </w:r>
          </w:p>
        </w:tc>
        <w:tc>
          <w:tcPr>
            <w:tcW w:w="3367" w:type="dxa"/>
            <w:tcBorders>
              <w:top w:val="single" w:color="000000" w:sz="4" w:space="0"/>
              <w:left w:val="nil"/>
              <w:bottom w:val="single" w:color="000000" w:sz="4" w:space="0"/>
              <w:right w:val="single" w:color="000000" w:sz="4" w:space="0"/>
            </w:tcBorders>
            <w:vAlign w:val="center"/>
          </w:tcPr>
          <w:p>
            <w:pPr>
              <w:widowControl/>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对服务效率及服务品质持续改进完善。（10分）</w:t>
            </w:r>
          </w:p>
        </w:tc>
        <w:tc>
          <w:tcPr>
            <w:tcW w:w="2509" w:type="dxa"/>
            <w:tcBorders>
              <w:top w:val="single" w:color="000000" w:sz="4" w:space="0"/>
              <w:left w:val="nil"/>
              <w:bottom w:val="single" w:color="000000" w:sz="4" w:space="0"/>
              <w:right w:val="single" w:color="000000" w:sz="4" w:space="0"/>
            </w:tcBorders>
            <w:vAlign w:val="center"/>
          </w:tcPr>
          <w:p>
            <w:pPr>
              <w:widowControl/>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及时处理10分；较快8-9分；基本处理5-7分；不予理会0分。</w:t>
            </w:r>
          </w:p>
        </w:tc>
        <w:tc>
          <w:tcPr>
            <w:tcW w:w="75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c>
          <w:tcPr>
            <w:tcW w:w="13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c>
          <w:tcPr>
            <w:tcW w:w="89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r>
      <w:tr>
        <w:tblPrEx>
          <w:tblCellMar>
            <w:top w:w="0" w:type="dxa"/>
            <w:left w:w="108" w:type="dxa"/>
            <w:bottom w:w="0" w:type="dxa"/>
            <w:right w:w="108" w:type="dxa"/>
          </w:tblCellMar>
        </w:tblPrEx>
        <w:trPr>
          <w:trHeight w:val="524" w:hRule="atLeast"/>
          <w:jc w:val="center"/>
        </w:trPr>
        <w:tc>
          <w:tcPr>
            <w:tcW w:w="662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得分合计</w:t>
            </w:r>
          </w:p>
        </w:tc>
        <w:tc>
          <w:tcPr>
            <w:tcW w:w="75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c>
          <w:tcPr>
            <w:tcW w:w="13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c>
          <w:tcPr>
            <w:tcW w:w="89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r>
    </w:tbl>
    <w:p>
      <w:pPr>
        <w:widowControl/>
        <w:spacing w:line="360" w:lineRule="auto"/>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备注：满分100分。</w:t>
      </w:r>
    </w:p>
    <w:p>
      <w:pPr>
        <w:pStyle w:val="2"/>
        <w:rPr>
          <w:rFonts w:hint="eastAsia"/>
          <w:highlight w:val="none"/>
          <w:lang w:val="en-US" w:eastAsia="zh-CN"/>
        </w:rPr>
      </w:pPr>
    </w:p>
    <w:p>
      <w:pPr>
        <w:rPr>
          <w:rFonts w:ascii="仿宋_GB2312" w:eastAsia="仿宋_GB2312"/>
          <w:color w:val="auto"/>
          <w:sz w:val="28"/>
          <w:szCs w:val="28"/>
          <w:highlight w:val="none"/>
        </w:rPr>
      </w:pPr>
      <w:r>
        <w:rPr>
          <w:rFonts w:hint="eastAsia" w:ascii="仿宋" w:hAnsi="仿宋" w:eastAsia="仿宋" w:cs="仿宋"/>
          <w:bCs/>
          <w:color w:val="auto"/>
          <w:kern w:val="2"/>
          <w:sz w:val="28"/>
          <w:szCs w:val="28"/>
          <w:highlight w:val="none"/>
          <w:lang w:val="en-US" w:eastAsia="zh-CN" w:bidi="ar-SA"/>
        </w:rPr>
        <w:br w:type="page"/>
      </w:r>
    </w:p>
    <w:p>
      <w:pPr>
        <w:pStyle w:val="4"/>
        <w:jc w:val="both"/>
        <w:rPr>
          <w:rFonts w:hint="eastAsia"/>
          <w:color w:val="auto"/>
          <w:highlight w:val="none"/>
        </w:rPr>
      </w:pPr>
      <w:bookmarkStart w:id="113" w:name="_Toc3723"/>
      <w:bookmarkStart w:id="114" w:name="_Toc21847"/>
      <w:bookmarkStart w:id="115" w:name="_Toc12169"/>
      <w:bookmarkStart w:id="116" w:name="_Toc1563"/>
      <w:bookmarkStart w:id="117" w:name="_Toc6230"/>
      <w:bookmarkStart w:id="118" w:name="_Toc28358"/>
      <w:bookmarkStart w:id="119" w:name="_Toc5129"/>
      <w:bookmarkStart w:id="120" w:name="_Toc30824"/>
      <w:bookmarkStart w:id="121" w:name="_Toc23515"/>
      <w:bookmarkStart w:id="122" w:name="_Toc8147"/>
      <w:bookmarkStart w:id="123" w:name="_Toc16552"/>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2414905</wp:posOffset>
                </wp:positionH>
                <wp:positionV relativeFrom="paragraph">
                  <wp:posOffset>510540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90.15pt;margin-top:40.2pt;height:0pt;width:75.5pt;z-index:251668480;mso-width-relative:page;mso-height-relative:page;" filled="f" stroked="t" coordsize="21600,21600" o:gfxdata="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YHvI11wAAAAk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2424430</wp:posOffset>
                </wp:positionH>
                <wp:positionV relativeFrom="paragraph">
                  <wp:posOffset>3810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90.9pt;margin-top:0.3pt;height:0pt;width:75.5pt;z-index:251667456;mso-width-relative:page;mso-height-relative:page;" filled="f" stroked="t" coordsize="21600,21600" o:gfxdata="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A&#10;7xCx0gAAAAUBAAAPAAAAAAAAAAEAIAAAACIAAABkcnMvZG93bnJldi54bWxQSwECFAAUAAAACACH&#10;TuJAQsHAmfEBAADjAwAADgAAAAAAAAABACAAAAAhAQAAZHJzL2Uyb0RvYy54bWxQSwUGAAAAAAYA&#10;BgBZAQAAhAUAAAAA&#10;">
                <v:fill on="f" focussize="0,0"/>
                <v:stroke color="#000000" joinstyle="round"/>
                <v:imagedata o:title=""/>
                <o:lock v:ext="edit" aspectratio="f"/>
              </v:shape>
            </w:pict>
          </mc:Fallback>
        </mc:AlternateContent>
      </w:r>
      <w:r>
        <w:rPr>
          <w:rFonts w:hint="eastAsia"/>
          <w:color w:val="auto"/>
          <w:highlight w:val="none"/>
        </w:rPr>
        <w:t>第七章</w:t>
      </w:r>
      <w:bookmarkEnd w:id="113"/>
      <w:bookmarkEnd w:id="114"/>
      <w:bookmarkEnd w:id="115"/>
      <w:bookmarkEnd w:id="116"/>
      <w:bookmarkEnd w:id="117"/>
      <w:bookmarkEnd w:id="118"/>
      <w:bookmarkEnd w:id="119"/>
      <w:bookmarkEnd w:id="120"/>
      <w:bookmarkEnd w:id="121"/>
      <w:bookmarkEnd w:id="122"/>
      <w:bookmarkEnd w:id="123"/>
    </w:p>
    <w:p>
      <w:pPr>
        <w:pStyle w:val="37"/>
        <w:rPr>
          <w:color w:val="auto"/>
          <w:highlight w:val="none"/>
        </w:rPr>
      </w:pPr>
    </w:p>
    <w:p>
      <w:pPr>
        <w:pStyle w:val="4"/>
        <w:rPr>
          <w:color w:val="auto"/>
          <w:highlight w:val="none"/>
        </w:rPr>
      </w:pPr>
      <w:bookmarkStart w:id="124" w:name="_Toc10840"/>
      <w:bookmarkStart w:id="125" w:name="_Toc88209951"/>
      <w:bookmarkStart w:id="126" w:name="_Toc21675"/>
      <w:bookmarkStart w:id="127" w:name="_Toc12610"/>
      <w:bookmarkStart w:id="128" w:name="_Toc17119"/>
      <w:bookmarkStart w:id="129" w:name="_Toc30157"/>
      <w:bookmarkStart w:id="130" w:name="_Toc22764"/>
      <w:bookmarkStart w:id="131" w:name="_Toc24815"/>
      <w:bookmarkStart w:id="132" w:name="_Toc5342"/>
      <w:bookmarkStart w:id="133" w:name="_Toc24490"/>
      <w:bookmarkStart w:id="134" w:name="_Toc87616388"/>
      <w:bookmarkStart w:id="135" w:name="_Toc12769"/>
      <w:bookmarkStart w:id="136" w:name="_Toc31564"/>
      <w:r>
        <w:rPr>
          <w:rFonts w:hint="eastAsia"/>
          <w:color w:val="auto"/>
          <w:highlight w:val="none"/>
        </w:rPr>
        <w:t>响应文件</w:t>
      </w:r>
      <w:r>
        <w:rPr>
          <w:rFonts w:hint="eastAsia"/>
          <w:color w:val="auto"/>
          <w:highlight w:val="none"/>
          <w:lang w:val="en-US" w:eastAsia="zh-CN"/>
        </w:rPr>
        <w:t>格式要求</w:t>
      </w:r>
      <w:bookmarkEnd w:id="124"/>
      <w:bookmarkEnd w:id="125"/>
      <w:bookmarkEnd w:id="126"/>
      <w:bookmarkEnd w:id="127"/>
      <w:bookmarkEnd w:id="128"/>
      <w:bookmarkEnd w:id="129"/>
      <w:bookmarkEnd w:id="130"/>
      <w:bookmarkEnd w:id="131"/>
      <w:bookmarkEnd w:id="132"/>
      <w:bookmarkEnd w:id="133"/>
      <w:bookmarkEnd w:id="134"/>
      <w:bookmarkEnd w:id="135"/>
      <w:bookmarkEnd w:id="13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rPr>
          <w:rFonts w:hint="eastAsia"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br w:type="page"/>
      </w: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rPr>
      </w:pPr>
    </w:p>
    <w:p>
      <w:pPr>
        <w:adjustRightInd w:val="0"/>
        <w:snapToGrid w:val="0"/>
        <w:spacing w:beforeLines="50" w:afterLines="50" w:line="600" w:lineRule="exact"/>
        <w:jc w:val="both"/>
        <w:rPr>
          <w:rFonts w:hint="eastAsia" w:ascii="方正小标宋简体" w:eastAsia="方正小标宋简体"/>
          <w:color w:val="auto"/>
          <w:sz w:val="44"/>
          <w:szCs w:val="44"/>
          <w:highlight w:val="none"/>
          <w:u w:val="singl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w:t>
      </w:r>
      <w:r>
        <w:rPr>
          <w:rFonts w:hint="eastAsia" w:ascii="方正小标宋简体" w:eastAsia="方正小标宋简体"/>
          <w:color w:val="auto"/>
          <w:sz w:val="44"/>
          <w:szCs w:val="44"/>
          <w:highlight w:val="none"/>
          <w:u w:val="single"/>
          <w:lang w:eastAsia="zh-CN"/>
        </w:rPr>
        <w:t>广州城市水处理设备有限公司2023-2024年车辆运输服务</w:t>
      </w:r>
      <w:r>
        <w:rPr>
          <w:rFonts w:hint="eastAsia" w:ascii="方正小标宋简体" w:eastAsia="方正小标宋简体"/>
          <w:color w:val="auto"/>
          <w:sz w:val="44"/>
          <w:szCs w:val="44"/>
          <w:highlight w:val="none"/>
          <w:u w:val="single"/>
        </w:rPr>
        <w:t>项目）</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br w:type="page"/>
      </w: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37" w:name="_Toc87616389"/>
      <w:bookmarkStart w:id="138" w:name="_Toc88209952"/>
      <w:r>
        <w:rPr>
          <w:rFonts w:hint="eastAsia" w:ascii="仿宋_GB2312" w:eastAsia="仿宋_GB2312"/>
          <w:color w:val="auto"/>
          <w:sz w:val="28"/>
          <w:szCs w:val="28"/>
          <w:highlight w:val="none"/>
        </w:rPr>
        <w:t>1.响应函</w:t>
      </w:r>
      <w:bookmarkEnd w:id="137"/>
      <w:bookmarkEnd w:id="138"/>
    </w:p>
    <w:p>
      <w:pPr>
        <w:spacing w:line="600" w:lineRule="exact"/>
        <w:rPr>
          <w:rFonts w:hint="eastAsia" w:ascii="仿宋_GB2312" w:eastAsia="仿宋_GB2312"/>
          <w:color w:val="auto"/>
          <w:sz w:val="28"/>
          <w:szCs w:val="28"/>
          <w:highlight w:val="none"/>
        </w:rPr>
      </w:pPr>
      <w:bookmarkStart w:id="139" w:name="_Toc87616390"/>
      <w:bookmarkStart w:id="140" w:name="_Toc88209953"/>
      <w:r>
        <w:rPr>
          <w:rFonts w:hint="eastAsia" w:ascii="仿宋_GB2312" w:eastAsia="仿宋_GB2312"/>
          <w:color w:val="auto"/>
          <w:sz w:val="28"/>
          <w:szCs w:val="28"/>
          <w:highlight w:val="none"/>
        </w:rPr>
        <w:t>2.法定代表人证明或授权委托书</w:t>
      </w:r>
      <w:bookmarkEnd w:id="139"/>
      <w:bookmarkEnd w:id="140"/>
      <w:bookmarkStart w:id="141" w:name="_Toc88209956"/>
      <w:bookmarkStart w:id="142"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41"/>
      <w:bookmarkEnd w:id="142"/>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43" w:name="_Toc88209957"/>
      <w:bookmarkStart w:id="144" w:name="_Toc12665"/>
      <w:bookmarkStart w:id="145" w:name="_Toc6313"/>
      <w:bookmarkStart w:id="146" w:name="_Toc28619645"/>
      <w:bookmarkStart w:id="147" w:name="_Toc87616394"/>
      <w:r>
        <w:rPr>
          <w:rFonts w:hint="eastAsia" w:asciiTheme="minorEastAsia" w:hAnsiTheme="minorEastAsia" w:eastAsiaTheme="minorEastAsia"/>
          <w:color w:val="auto"/>
          <w:sz w:val="28"/>
          <w:szCs w:val="28"/>
          <w:highlight w:val="none"/>
        </w:rPr>
        <w:t>1.响应函</w:t>
      </w:r>
      <w:bookmarkEnd w:id="143"/>
      <w:bookmarkEnd w:id="144"/>
      <w:bookmarkEnd w:id="145"/>
      <w:bookmarkEnd w:id="146"/>
      <w:bookmarkEnd w:id="14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w:t>
      </w:r>
      <w:r>
        <w:rPr>
          <w:rFonts w:hint="eastAsia" w:ascii="仿宋_GB2312" w:hAnsi="黑体" w:eastAsia="仿宋_GB2312"/>
          <w:color w:val="auto"/>
          <w:sz w:val="28"/>
          <w:szCs w:val="28"/>
          <w:highlight w:val="none"/>
          <w:u w:val="single"/>
        </w:rPr>
        <w:t>（大写）     (¥      ）</w:t>
      </w:r>
      <w:r>
        <w:rPr>
          <w:rFonts w:hint="eastAsia" w:ascii="仿宋_GB2312" w:hAnsi="黑体" w:eastAsia="仿宋_GB2312"/>
          <w:color w:val="auto"/>
          <w:sz w:val="28"/>
          <w:szCs w:val="28"/>
          <w:highlight w:val="none"/>
        </w:rPr>
        <w:t>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
        <w:ind w:firstLine="560" w:firstLineChars="200"/>
        <w:rPr>
          <w:rFonts w:hint="eastAsia" w:eastAsia="仿宋_GB2312"/>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48" w:name="_Toc87616395"/>
      <w:bookmarkStart w:id="149" w:name="_Toc88209958"/>
      <w:bookmarkStart w:id="150" w:name="_Toc29833"/>
      <w:bookmarkStart w:id="151" w:name="_Toc22527"/>
    </w:p>
    <w:p>
      <w:pPr>
        <w:pStyle w:val="6"/>
        <w:rPr>
          <w:rFonts w:hint="eastAsia" w:asciiTheme="minorEastAsia" w:hAnsiTheme="minorEastAsia" w:eastAsiaTheme="minorEastAsia"/>
          <w:color w:val="auto"/>
          <w:sz w:val="28"/>
          <w:szCs w:val="28"/>
          <w:highlight w:val="none"/>
        </w:rPr>
      </w:pPr>
    </w:p>
    <w:p>
      <w:pPr>
        <w:pStyle w:val="6"/>
        <w:rPr>
          <w:rFonts w:hint="eastAsia" w:asciiTheme="minorEastAsia" w:hAnsiTheme="minorEastAsia" w:eastAsiaTheme="minorEastAsia"/>
          <w:color w:val="auto"/>
          <w:sz w:val="28"/>
          <w:szCs w:val="28"/>
          <w:highlight w:val="none"/>
        </w:rPr>
      </w:pPr>
    </w:p>
    <w:p>
      <w:pPr>
        <w:pStyle w:val="6"/>
        <w:rPr>
          <w:rFonts w:hint="eastAsia" w:asciiTheme="minorEastAsia" w:hAnsiTheme="minorEastAsia" w:eastAsiaTheme="minorEastAsia"/>
          <w:color w:val="auto"/>
          <w:sz w:val="28"/>
          <w:szCs w:val="28"/>
          <w:highlight w:val="none"/>
        </w:rPr>
      </w:pPr>
    </w:p>
    <w:p>
      <w:pPr>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br w:type="page"/>
      </w:r>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48"/>
      <w:bookmarkEnd w:id="149"/>
      <w:bookmarkEnd w:id="150"/>
      <w:bookmarkEnd w:id="151"/>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9504"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7"/>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7"/>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7"/>
        <w:numPr>
          <w:ilvl w:val="-1"/>
          <w:numId w:val="0"/>
        </w:numPr>
        <w:ind w:left="0" w:leftChars="0" w:firstLine="0" w:firstLineChars="0"/>
        <w:rPr>
          <w:rFonts w:hint="eastAsia" w:ascii="仿宋_GB2312" w:hAnsi="宋体" w:eastAsia="仿宋_GB2312"/>
          <w:color w:val="auto"/>
          <w:sz w:val="30"/>
          <w:szCs w:val="30"/>
          <w:highlight w:val="none"/>
          <w:lang w:val="en-US" w:eastAsia="zh-CN"/>
        </w:rPr>
      </w:pP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0528"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0"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6"/>
        <w:rPr>
          <w:rFonts w:hint="eastAsia" w:ascii="仿宋_GB2312" w:eastAsia="仿宋_GB2312" w:hAnsiTheme="minorEastAsia"/>
          <w:color w:val="auto"/>
          <w:sz w:val="28"/>
          <w:szCs w:val="28"/>
          <w:highlight w:val="none"/>
          <w:lang w:val="en-US" w:eastAsia="zh-CN"/>
        </w:rPr>
      </w:pPr>
      <w:bookmarkStart w:id="152" w:name="_Toc8086"/>
      <w:bookmarkStart w:id="153" w:name="_Toc19830"/>
      <w:bookmarkStart w:id="154" w:name="_Toc87616400"/>
      <w:bookmarkStart w:id="155" w:name="_Toc88209963"/>
    </w:p>
    <w:p>
      <w:pPr>
        <w:pStyle w:val="6"/>
        <w:rPr>
          <w:rFonts w:hint="eastAsia" w:ascii="仿宋_GB2312" w:eastAsia="仿宋_GB2312" w:hAnsiTheme="minorEastAsia"/>
          <w:color w:val="auto"/>
          <w:sz w:val="28"/>
          <w:szCs w:val="28"/>
          <w:highlight w:val="none"/>
          <w:lang w:val="en-US" w:eastAsia="zh-CN"/>
        </w:rPr>
      </w:pPr>
    </w:p>
    <w:p>
      <w:pPr>
        <w:pStyle w:val="6"/>
        <w:rPr>
          <w:rFonts w:hint="eastAsia" w:ascii="仿宋_GB2312" w:eastAsia="仿宋_GB2312" w:hAnsiTheme="minorEastAsia"/>
          <w:color w:val="auto"/>
          <w:sz w:val="28"/>
          <w:szCs w:val="28"/>
          <w:highlight w:val="none"/>
          <w:lang w:val="en-US" w:eastAsia="zh-CN"/>
        </w:rPr>
      </w:pPr>
    </w:p>
    <w:p>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2"/>
      <w:bookmarkEnd w:id="153"/>
      <w:bookmarkEnd w:id="154"/>
      <w:bookmarkEnd w:id="15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56"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56"/>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lang w:val="en-US" w:eastAsia="zh-CN"/>
        </w:rPr>
        <w:t>广州城市水处理设备有限公司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我方郑重承诺，在参与广州城市水处理设备有限公司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eastAsia" w:ascii="仿宋_GB2312" w:eastAsia="仿宋_GB2312" w:hAnsiTheme="minorEastAsia"/>
          <w:color w:val="auto"/>
          <w:sz w:val="28"/>
          <w:szCs w:val="28"/>
          <w:highlight w:val="none"/>
          <w:lang w:val="en-US" w:eastAsia="zh-CN"/>
        </w:rPr>
      </w:pPr>
    </w:p>
    <w:p>
      <w:pPr>
        <w:pStyle w:val="2"/>
        <w:rPr>
          <w:rFonts w:hint="eastAsia" w:ascii="仿宋_GB2312" w:eastAsia="仿宋_GB2312" w:hAnsiTheme="minorEastAsia"/>
          <w:color w:val="auto"/>
          <w:sz w:val="28"/>
          <w:szCs w:val="28"/>
          <w:highlight w:val="none"/>
          <w:lang w:val="en-US" w:eastAsia="zh-CN"/>
        </w:rPr>
      </w:pPr>
    </w:p>
    <w:p>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pPr>
        <w:pStyle w:val="2"/>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如有：</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bookmarkStart w:id="157" w:name="_Toc32430"/>
            <w:bookmarkStart w:id="158" w:name="_Toc19423"/>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pStyle w:val="6"/>
        <w:rPr>
          <w:rFonts w:hint="eastAsia" w:ascii="仿宋_GB2312" w:eastAsia="仿宋_GB2312" w:hAnsiTheme="minorEastAsia"/>
          <w:color w:val="auto"/>
          <w:sz w:val="28"/>
          <w:szCs w:val="28"/>
          <w:highlight w:val="none"/>
          <w:lang w:val="en-US" w:eastAsia="zh-CN"/>
        </w:rPr>
      </w:pPr>
    </w:p>
    <w:p>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pPr>
        <w:pStyle w:val="6"/>
        <w:rPr>
          <w:rFonts w:hint="eastAsia" w:asciiTheme="minorEastAsia" w:hAnsiTheme="minorEastAsia" w:eastAsiaTheme="minorEastAsia"/>
          <w:color w:val="auto"/>
          <w:sz w:val="28"/>
          <w:szCs w:val="28"/>
          <w:highlight w:val="none"/>
          <w:lang w:eastAsia="zh-CN"/>
        </w:rPr>
      </w:pPr>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57"/>
      <w:bookmarkEnd w:id="158"/>
    </w:p>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rPr>
        <w:t>项目名称：</w:t>
      </w:r>
      <w:r>
        <w:rPr>
          <w:rFonts w:hint="eastAsia" w:ascii="宋体" w:hAnsi="宋体" w:eastAsia="宋体" w:cs="宋体"/>
          <w:b/>
          <w:color w:val="auto"/>
          <w:sz w:val="24"/>
          <w:szCs w:val="24"/>
          <w:highlight w:val="none"/>
          <w:lang w:eastAsia="zh-CN"/>
        </w:rPr>
        <w:t>广州城市水处理设备有限公司2023-2024年车辆运输服务项目</w:t>
      </w:r>
    </w:p>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cs="宋体"/>
          <w:b/>
          <w:bCs w:val="0"/>
          <w:color w:val="auto"/>
          <w:sz w:val="24"/>
          <w:szCs w:val="24"/>
          <w:highlight w:val="none"/>
          <w:lang w:eastAsia="zh-CN"/>
        </w:rPr>
      </w:pPr>
      <w:r>
        <w:rPr>
          <w:rFonts w:hint="eastAsia" w:ascii="宋体" w:hAnsi="宋体" w:eastAsia="宋体" w:cs="宋体"/>
          <w:b/>
          <w:bCs w:val="0"/>
          <w:color w:val="auto"/>
          <w:sz w:val="24"/>
          <w:szCs w:val="24"/>
          <w:highlight w:val="none"/>
        </w:rPr>
        <w:t>项目编号：</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u w:val="single"/>
        </w:rPr>
      </w:pPr>
      <w:r>
        <w:rPr>
          <w:rFonts w:hint="eastAsia" w:ascii="宋体" w:hAnsi="宋体" w:eastAsia="宋体" w:cs="宋体"/>
          <w:b/>
          <w:bCs w:val="0"/>
          <w:color w:val="auto"/>
          <w:sz w:val="24"/>
          <w:szCs w:val="24"/>
          <w:highlight w:val="none"/>
        </w:rPr>
        <w:t>项目总最高限价：  人民币263550.00元</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供应商名称： </w:t>
      </w:r>
    </w:p>
    <w:p>
      <w:pPr>
        <w:pStyle w:val="12"/>
        <w:pageBreakBefore w:val="0"/>
        <w:wordWrap/>
        <w:topLinePunct w:val="0"/>
        <w:bidi w:val="0"/>
        <w:adjustRightInd w:val="0"/>
        <w:snapToGrid w:val="0"/>
        <w:spacing w:line="360" w:lineRule="auto"/>
        <w:ind w:right="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[货币单位：人民币元]</w:t>
      </w:r>
    </w:p>
    <w:tbl>
      <w:tblPr>
        <w:tblStyle w:val="22"/>
        <w:tblW w:w="9490" w:type="dxa"/>
        <w:jc w:val="center"/>
        <w:tblLayout w:type="fixed"/>
        <w:tblCellMar>
          <w:top w:w="0" w:type="dxa"/>
          <w:left w:w="0" w:type="dxa"/>
          <w:bottom w:w="0" w:type="dxa"/>
          <w:right w:w="0" w:type="dxa"/>
        </w:tblCellMar>
      </w:tblPr>
      <w:tblGrid>
        <w:gridCol w:w="785"/>
        <w:gridCol w:w="840"/>
        <w:gridCol w:w="3921"/>
        <w:gridCol w:w="1440"/>
        <w:gridCol w:w="1252"/>
        <w:gridCol w:w="1252"/>
      </w:tblGrid>
      <w:tr>
        <w:tblPrEx>
          <w:tblCellMar>
            <w:top w:w="0" w:type="dxa"/>
            <w:left w:w="0" w:type="dxa"/>
            <w:bottom w:w="0" w:type="dxa"/>
            <w:right w:w="0" w:type="dxa"/>
          </w:tblCellMar>
        </w:tblPrEx>
        <w:trPr>
          <w:trHeight w:val="54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bCs/>
                <w:sz w:val="24"/>
                <w:highlight w:val="none"/>
              </w:rPr>
            </w:pPr>
            <w:r>
              <w:rPr>
                <w:rFonts w:hint="eastAsia" w:ascii="宋体" w:hAnsi="宋体" w:cs="宋体"/>
                <w:bCs/>
                <w:sz w:val="24"/>
                <w:highlight w:val="none"/>
              </w:rPr>
              <w:t>序号</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eastAsiaTheme="minorEastAsia"/>
                <w:bCs/>
                <w:sz w:val="24"/>
                <w:highlight w:val="none"/>
                <w:lang w:eastAsia="zh-CN"/>
              </w:rPr>
            </w:pPr>
            <w:r>
              <w:rPr>
                <w:rFonts w:hint="eastAsia" w:ascii="宋体" w:hAnsi="宋体" w:cs="宋体"/>
                <w:bCs/>
                <w:sz w:val="24"/>
                <w:highlight w:val="none"/>
                <w:lang w:val="en-US" w:eastAsia="zh-CN"/>
              </w:rPr>
              <w:t>车型</w:t>
            </w:r>
          </w:p>
        </w:tc>
        <w:tc>
          <w:tcPr>
            <w:tcW w:w="3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eastAsiaTheme="minorEastAsia"/>
                <w:bCs/>
                <w:sz w:val="24"/>
                <w:highlight w:val="none"/>
                <w:lang w:eastAsia="zh-CN"/>
              </w:rPr>
            </w:pPr>
            <w:r>
              <w:rPr>
                <w:rFonts w:hint="eastAsia" w:ascii="宋体" w:hAnsi="宋体" w:cs="宋体"/>
                <w:bCs/>
                <w:sz w:val="24"/>
                <w:highlight w:val="none"/>
                <w:lang w:val="en-US" w:eastAsia="zh-CN"/>
              </w:rPr>
              <w:t>路线</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exact"/>
              <w:jc w:val="center"/>
              <w:rPr>
                <w:rFonts w:hint="eastAsia" w:ascii="宋体" w:hAnsi="宋体" w:cs="宋体"/>
                <w:bCs/>
                <w:sz w:val="24"/>
                <w:highlight w:val="none"/>
              </w:rPr>
            </w:pPr>
            <w:r>
              <w:rPr>
                <w:rFonts w:hint="eastAsia" w:ascii="宋体" w:hAnsi="宋体" w:cs="宋体"/>
                <w:bCs/>
                <w:sz w:val="24"/>
                <w:highlight w:val="none"/>
              </w:rPr>
              <w:t>单价</w:t>
            </w:r>
            <w:r>
              <w:rPr>
                <w:rFonts w:hint="eastAsia" w:ascii="宋体" w:hAnsi="宋体" w:cs="宋体"/>
                <w:bCs/>
                <w:sz w:val="24"/>
                <w:highlight w:val="none"/>
              </w:rPr>
              <w:br w:type="textWrapping"/>
            </w:r>
            <w:r>
              <w:rPr>
                <w:rFonts w:hint="eastAsia" w:ascii="宋体" w:hAnsi="宋体" w:cs="宋体"/>
                <w:bCs/>
                <w:sz w:val="24"/>
                <w:highlight w:val="none"/>
              </w:rPr>
              <w:t>（元</w:t>
            </w:r>
            <w:r>
              <w:rPr>
                <w:rFonts w:hint="eastAsia" w:ascii="宋体" w:hAnsi="宋体" w:cs="宋体"/>
                <w:bCs/>
                <w:sz w:val="24"/>
                <w:highlight w:val="none"/>
                <w:lang w:val="en-US" w:eastAsia="zh-CN"/>
              </w:rPr>
              <w:t>/天</w:t>
            </w:r>
            <w:r>
              <w:rPr>
                <w:rFonts w:hint="eastAsia" w:ascii="宋体" w:hAnsi="宋体" w:cs="宋体"/>
                <w:bCs/>
                <w:sz w:val="24"/>
                <w:highlight w:val="none"/>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default" w:ascii="宋体" w:hAnsi="宋体" w:cs="宋体" w:eastAsiaTheme="minorEastAsia"/>
                <w:bCs/>
                <w:sz w:val="24"/>
                <w:highlight w:val="none"/>
                <w:lang w:val="en-US" w:eastAsia="zh-CN"/>
              </w:rPr>
            </w:pPr>
            <w:r>
              <w:rPr>
                <w:rFonts w:hint="eastAsia" w:ascii="宋体" w:hAnsi="宋体" w:cs="宋体"/>
                <w:bCs/>
                <w:sz w:val="24"/>
                <w:highlight w:val="none"/>
                <w:lang w:val="en-US" w:eastAsia="zh-CN"/>
              </w:rPr>
              <w:t>预估总价</w:t>
            </w:r>
            <w:r>
              <w:rPr>
                <w:rFonts w:hint="eastAsia" w:ascii="宋体" w:hAnsi="宋体" w:cs="宋体"/>
                <w:bCs/>
                <w:sz w:val="24"/>
                <w:highlight w:val="none"/>
              </w:rPr>
              <w:t>（元）</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eastAsiaTheme="minorEastAsia"/>
                <w:bCs/>
                <w:sz w:val="24"/>
                <w:highlight w:val="none"/>
                <w:lang w:val="en-US" w:eastAsia="zh-CN"/>
              </w:rPr>
            </w:pPr>
            <w:r>
              <w:rPr>
                <w:rFonts w:hint="eastAsia" w:ascii="宋体" w:hAnsi="宋体" w:cs="宋体"/>
                <w:bCs/>
                <w:sz w:val="24"/>
                <w:highlight w:val="none"/>
                <w:lang w:val="en-US" w:eastAsia="zh-CN"/>
              </w:rPr>
              <w:t>备注</w:t>
            </w:r>
          </w:p>
        </w:tc>
      </w:tr>
      <w:tr>
        <w:tblPrEx>
          <w:tblCellMar>
            <w:top w:w="0" w:type="dxa"/>
            <w:left w:w="0" w:type="dxa"/>
            <w:bottom w:w="0" w:type="dxa"/>
            <w:right w:w="0" w:type="dxa"/>
          </w:tblCellMar>
        </w:tblPrEx>
        <w:trPr>
          <w:trHeight w:val="680" w:hRule="atLeast"/>
          <w:jc w:val="center"/>
        </w:trPr>
        <w:tc>
          <w:tcPr>
            <w:tcW w:w="785"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eastAsiaTheme="minorEastAsia"/>
                <w:bCs/>
                <w:sz w:val="24"/>
                <w:highlight w:val="none"/>
                <w:lang w:val="en-US" w:eastAsia="zh-CN"/>
              </w:rPr>
            </w:pPr>
            <w:r>
              <w:rPr>
                <w:rFonts w:hint="eastAsia" w:ascii="宋体" w:hAnsi="宋体" w:cs="宋体"/>
                <w:bCs/>
                <w:sz w:val="24"/>
                <w:highlight w:val="none"/>
              </w:rPr>
              <w:t>1</w:t>
            </w:r>
          </w:p>
        </w:tc>
        <w:tc>
          <w:tcPr>
            <w:tcW w:w="84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bCs/>
                <w:sz w:val="24"/>
                <w:highlight w:val="none"/>
              </w:rPr>
            </w:pPr>
            <w:r>
              <w:rPr>
                <w:rFonts w:hint="eastAsia" w:ascii="宋体" w:hAnsi="宋体" w:cs="宋体"/>
                <w:bCs/>
                <w:sz w:val="24"/>
                <w:highlight w:val="none"/>
                <w:lang w:val="en-US" w:eastAsia="zh-CN"/>
              </w:rPr>
              <w:t>22</w:t>
            </w:r>
            <w:r>
              <w:rPr>
                <w:rFonts w:hint="eastAsia" w:ascii="宋体" w:hAnsi="宋体" w:cs="宋体"/>
                <w:bCs/>
                <w:sz w:val="24"/>
                <w:highlight w:val="none"/>
              </w:rPr>
              <w:t>座</w:t>
            </w:r>
          </w:p>
        </w:tc>
        <w:tc>
          <w:tcPr>
            <w:tcW w:w="3921"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default" w:ascii="宋体" w:hAnsi="宋体" w:cs="宋体" w:eastAsiaTheme="minorEastAsia"/>
                <w:bCs/>
                <w:sz w:val="24"/>
                <w:highlight w:val="none"/>
                <w:lang w:val="en-US" w:eastAsia="zh-CN"/>
              </w:rPr>
            </w:pPr>
            <w:r>
              <w:rPr>
                <w:rFonts w:hint="eastAsia" w:ascii="宋体" w:hAnsi="宋体" w:cs="宋体"/>
                <w:bCs/>
                <w:sz w:val="24"/>
                <w:highlight w:val="none"/>
              </w:rPr>
              <w:t>坦尾地铁站--沥滘地铁站--广州城市水处理设备有限公司</w:t>
            </w:r>
            <w:r>
              <w:rPr>
                <w:rFonts w:hint="eastAsia" w:ascii="宋体" w:hAnsi="宋体" w:cs="宋体"/>
                <w:bCs/>
                <w:sz w:val="24"/>
                <w:highlight w:val="none"/>
                <w:lang w:val="en-US" w:eastAsia="zh-CN"/>
              </w:rPr>
              <w:t>(往返）</w:t>
            </w:r>
          </w:p>
        </w:tc>
        <w:tc>
          <w:tcPr>
            <w:tcW w:w="144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c>
          <w:tcPr>
            <w:tcW w:w="1252"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r>
      <w:tr>
        <w:tblPrEx>
          <w:tblCellMar>
            <w:top w:w="0" w:type="dxa"/>
            <w:left w:w="0" w:type="dxa"/>
            <w:bottom w:w="0" w:type="dxa"/>
            <w:right w:w="0" w:type="dxa"/>
          </w:tblCellMar>
        </w:tblPrEx>
        <w:trPr>
          <w:trHeight w:val="680" w:hRule="atLeast"/>
          <w:jc w:val="center"/>
        </w:trPr>
        <w:tc>
          <w:tcPr>
            <w:tcW w:w="785"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eastAsiaTheme="minorEastAsia"/>
                <w:bCs/>
                <w:sz w:val="24"/>
                <w:highlight w:val="none"/>
                <w:lang w:val="en-US" w:eastAsia="zh-CN"/>
              </w:rPr>
            </w:pPr>
          </w:p>
        </w:tc>
        <w:tc>
          <w:tcPr>
            <w:tcW w:w="84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bCs/>
                <w:sz w:val="24"/>
                <w:highlight w:val="none"/>
              </w:rPr>
            </w:pPr>
          </w:p>
        </w:tc>
        <w:tc>
          <w:tcPr>
            <w:tcW w:w="3921"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default" w:ascii="宋体" w:hAnsi="宋体" w:cs="宋体" w:eastAsiaTheme="minorEastAsia"/>
                <w:bCs/>
                <w:sz w:val="24"/>
                <w:highlight w:val="none"/>
                <w:lang w:val="en-US" w:eastAsia="zh-CN"/>
              </w:rPr>
            </w:pPr>
          </w:p>
        </w:tc>
        <w:tc>
          <w:tcPr>
            <w:tcW w:w="144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c>
          <w:tcPr>
            <w:tcW w:w="1252"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r>
      <w:tr>
        <w:tblPrEx>
          <w:tblCellMar>
            <w:top w:w="0" w:type="dxa"/>
            <w:left w:w="0" w:type="dxa"/>
            <w:bottom w:w="0" w:type="dxa"/>
            <w:right w:w="0" w:type="dxa"/>
          </w:tblCellMar>
        </w:tblPrEx>
        <w:trPr>
          <w:trHeight w:val="540" w:hRule="atLeast"/>
          <w:jc w:val="center"/>
        </w:trPr>
        <w:tc>
          <w:tcPr>
            <w:tcW w:w="785"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eastAsiaTheme="minorEastAsia"/>
                <w:bCs/>
                <w:sz w:val="24"/>
                <w:highlight w:val="none"/>
                <w:lang w:val="en-US" w:eastAsia="zh-CN"/>
              </w:rPr>
            </w:pPr>
            <w:r>
              <w:rPr>
                <w:rFonts w:hint="eastAsia" w:ascii="宋体" w:hAnsi="宋体" w:cs="宋体"/>
                <w:bCs/>
                <w:sz w:val="24"/>
                <w:highlight w:val="none"/>
                <w:lang w:val="en-US" w:eastAsia="zh-CN"/>
              </w:rPr>
              <w:t>2</w:t>
            </w:r>
          </w:p>
        </w:tc>
        <w:tc>
          <w:tcPr>
            <w:tcW w:w="84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bCs/>
                <w:sz w:val="24"/>
                <w:highlight w:val="none"/>
              </w:rPr>
            </w:pPr>
            <w:r>
              <w:rPr>
                <w:rFonts w:hint="eastAsia" w:ascii="宋体" w:hAnsi="宋体" w:cs="宋体"/>
                <w:bCs/>
                <w:sz w:val="24"/>
                <w:highlight w:val="none"/>
                <w:lang w:val="en-US" w:eastAsia="zh-CN"/>
              </w:rPr>
              <w:t>33座</w:t>
            </w:r>
          </w:p>
        </w:tc>
        <w:tc>
          <w:tcPr>
            <w:tcW w:w="3921"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bCs/>
                <w:sz w:val="24"/>
                <w:highlight w:val="none"/>
              </w:rPr>
            </w:pPr>
            <w:r>
              <w:rPr>
                <w:rFonts w:hint="eastAsia" w:ascii="宋体" w:hAnsi="宋体" w:cs="宋体"/>
                <w:bCs/>
                <w:sz w:val="24"/>
                <w:highlight w:val="none"/>
              </w:rPr>
              <w:t>坦尾地铁站--沥滘地铁站--广州城市水处理设备有限公司</w:t>
            </w:r>
            <w:r>
              <w:rPr>
                <w:rFonts w:hint="eastAsia" w:ascii="宋体" w:hAnsi="宋体" w:cs="宋体"/>
                <w:bCs/>
                <w:sz w:val="24"/>
                <w:highlight w:val="none"/>
                <w:lang w:val="en-US" w:eastAsia="zh-CN"/>
              </w:rPr>
              <w:t>(往返）</w:t>
            </w:r>
          </w:p>
        </w:tc>
        <w:tc>
          <w:tcPr>
            <w:tcW w:w="144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c>
          <w:tcPr>
            <w:tcW w:w="1252"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r>
      <w:tr>
        <w:tblPrEx>
          <w:tblCellMar>
            <w:top w:w="0" w:type="dxa"/>
            <w:left w:w="0" w:type="dxa"/>
            <w:bottom w:w="0" w:type="dxa"/>
            <w:right w:w="0" w:type="dxa"/>
          </w:tblCellMar>
        </w:tblPrEx>
        <w:trPr>
          <w:trHeight w:val="540" w:hRule="atLeast"/>
          <w:jc w:val="center"/>
        </w:trPr>
        <w:tc>
          <w:tcPr>
            <w:tcW w:w="785"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eastAsiaTheme="minorEastAsia"/>
                <w:bCs/>
                <w:sz w:val="24"/>
                <w:highlight w:val="none"/>
                <w:lang w:val="en-US" w:eastAsia="zh-CN"/>
              </w:rPr>
            </w:pPr>
          </w:p>
        </w:tc>
        <w:tc>
          <w:tcPr>
            <w:tcW w:w="84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bCs/>
                <w:sz w:val="24"/>
                <w:highlight w:val="none"/>
              </w:rPr>
            </w:pPr>
          </w:p>
        </w:tc>
        <w:tc>
          <w:tcPr>
            <w:tcW w:w="3921"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bCs/>
                <w:sz w:val="24"/>
                <w:highlight w:val="none"/>
              </w:rPr>
            </w:pPr>
          </w:p>
        </w:tc>
        <w:tc>
          <w:tcPr>
            <w:tcW w:w="144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c>
          <w:tcPr>
            <w:tcW w:w="1252"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r>
      <w:tr>
        <w:tblPrEx>
          <w:tblCellMar>
            <w:top w:w="0" w:type="dxa"/>
            <w:left w:w="0" w:type="dxa"/>
            <w:bottom w:w="0" w:type="dxa"/>
            <w:right w:w="0" w:type="dxa"/>
          </w:tblCellMar>
        </w:tblPrEx>
        <w:trPr>
          <w:trHeight w:val="540" w:hRule="atLeast"/>
          <w:jc w:val="center"/>
        </w:trPr>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bCs/>
                <w:sz w:val="24"/>
                <w:highlight w:val="none"/>
                <w:lang w:val="en-US" w:eastAsia="zh-CN"/>
              </w:rPr>
            </w:pPr>
            <w:r>
              <w:rPr>
                <w:rFonts w:hint="eastAsia" w:ascii="宋体" w:hAnsi="宋体" w:cs="宋体"/>
                <w:bCs/>
                <w:sz w:val="24"/>
                <w:highlight w:val="none"/>
                <w:lang w:val="en-US" w:eastAsia="zh-CN"/>
              </w:rPr>
              <w:t>费用总计</w:t>
            </w:r>
          </w:p>
        </w:tc>
        <w:tc>
          <w:tcPr>
            <w:tcW w:w="786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default" w:ascii="宋体" w:hAnsi="宋体" w:cs="宋体" w:eastAsiaTheme="minorEastAsia"/>
                <w:bCs/>
                <w:sz w:val="24"/>
                <w:highlight w:val="none"/>
                <w:lang w:val="en-US" w:eastAsia="zh-CN"/>
              </w:rPr>
            </w:pPr>
            <w:r>
              <w:rPr>
                <w:rFonts w:hint="eastAsia"/>
                <w:sz w:val="22"/>
                <w:szCs w:val="22"/>
                <w:highlight w:val="none"/>
              </w:rPr>
              <w:t>…（大写：…）</w:t>
            </w:r>
            <w:r>
              <w:rPr>
                <w:rFonts w:hint="eastAsia"/>
                <w:sz w:val="22"/>
                <w:szCs w:val="22"/>
                <w:highlight w:val="none"/>
                <w:lang w:eastAsia="zh-CN"/>
              </w:rPr>
              <w:t>，</w:t>
            </w:r>
            <w:r>
              <w:rPr>
                <w:rFonts w:hint="eastAsia"/>
                <w:sz w:val="22"/>
                <w:szCs w:val="22"/>
                <w:highlight w:val="none"/>
                <w:lang w:val="en-US" w:eastAsia="zh-CN"/>
              </w:rPr>
              <w:t>税率**%</w:t>
            </w:r>
          </w:p>
        </w:tc>
      </w:tr>
    </w:tbl>
    <w:p>
      <w:pPr>
        <w:pStyle w:val="12"/>
        <w:pageBreakBefore w:val="0"/>
        <w:wordWrap/>
        <w:topLinePunct w:val="0"/>
        <w:bidi w:val="0"/>
        <w:adjustRightInd w:val="0"/>
        <w:snapToGrid w:val="0"/>
        <w:spacing w:line="360" w:lineRule="auto"/>
        <w:ind w:right="480"/>
        <w:jc w:val="center"/>
        <w:rPr>
          <w:rFonts w:hint="eastAsia" w:ascii="宋体" w:hAnsi="宋体" w:eastAsia="宋体" w:cs="宋体"/>
          <w:color w:val="auto"/>
          <w:sz w:val="24"/>
          <w:szCs w:val="24"/>
          <w:highlight w:val="none"/>
        </w:rPr>
      </w:pPr>
    </w:p>
    <w:p>
      <w:pPr>
        <w:pageBreakBefore w:val="0"/>
        <w:wordWrap/>
        <w:topLinePunct w:val="0"/>
        <w:bidi w:val="0"/>
        <w:adjustRightInd w:val="0"/>
        <w:snapToGrid w:val="0"/>
        <w:spacing w:line="360" w:lineRule="auto"/>
        <w:rPr>
          <w:rFonts w:hint="eastAsia" w:ascii="宋体" w:hAnsi="宋体" w:eastAsia="宋体" w:cs="宋体"/>
          <w:color w:val="auto"/>
          <w:sz w:val="24"/>
          <w:szCs w:val="24"/>
          <w:highlight w:val="none"/>
          <w:lang w:val="en-GB"/>
        </w:rPr>
      </w:pPr>
    </w:p>
    <w:p>
      <w:pPr>
        <w:pStyle w:val="7"/>
        <w:ind w:left="0" w:leftChars="0" w:firstLine="0" w:firstLineChars="0"/>
        <w:rPr>
          <w:rFonts w:hint="eastAsia"/>
          <w:highlight w:val="none"/>
          <w:lang w:val="en-GB"/>
        </w:rPr>
      </w:pPr>
    </w:p>
    <w:p>
      <w:pPr>
        <w:pStyle w:val="21"/>
        <w:pageBreakBefore w:val="0"/>
        <w:wordWrap/>
        <w:topLinePunct w:val="0"/>
        <w:bidi w:val="0"/>
        <w:adjustRightInd w:val="0"/>
        <w:snapToGrid w:val="0"/>
        <w:spacing w:before="0" w:beforeAutospacing="0" w:after="0" w:afterAutospacing="0" w:line="360" w:lineRule="auto"/>
        <w:ind w:firstLine="420"/>
        <w:jc w:val="both"/>
        <w:rPr>
          <w:rFonts w:hint="eastAsia" w:ascii="宋体" w:hAnsi="宋体" w:eastAsia="宋体" w:cs="宋体"/>
          <w:b/>
          <w:bCs/>
          <w:color w:val="auto"/>
          <w:sz w:val="24"/>
          <w:szCs w:val="24"/>
          <w:highlight w:val="none"/>
          <w:lang w:val="en-GB"/>
        </w:rPr>
      </w:pPr>
    </w:p>
    <w:p>
      <w:pPr>
        <w:pStyle w:val="9"/>
        <w:pageBreakBefore w:val="0"/>
        <w:wordWrap/>
        <w:topLinePunct w:val="0"/>
        <w:bidi w:val="0"/>
        <w:adjustRightInd w:val="0"/>
        <w:snapToGrid w:val="0"/>
        <w:spacing w:after="0" w:line="360" w:lineRule="auto"/>
        <w:jc w:val="right"/>
        <w:rPr>
          <w:rFonts w:hint="eastAsia" w:ascii="宋体" w:hAnsi="宋体" w:eastAsia="宋体" w:cs="宋体"/>
          <w:color w:val="auto"/>
          <w:highlight w:val="none"/>
          <w:lang w:val="en-GB"/>
        </w:rPr>
      </w:pPr>
    </w:p>
    <w:p>
      <w:pPr>
        <w:pageBreakBefore w:val="0"/>
        <w:wordWrap/>
        <w:topLinePunct w:val="0"/>
        <w:bidi w:val="0"/>
        <w:adjustRightInd w:val="0"/>
        <w:snapToGrid w:val="0"/>
        <w:spacing w:line="360" w:lineRule="auto"/>
        <w:ind w:left="4252" w:leftChars="2025"/>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供应商名称（单位公章）：</w:t>
      </w:r>
    </w:p>
    <w:p>
      <w:pPr>
        <w:pageBreakBefore w:val="0"/>
        <w:wordWrap/>
        <w:topLinePunct w:val="0"/>
        <w:bidi w:val="0"/>
        <w:adjustRightInd w:val="0"/>
        <w:snapToGrid w:val="0"/>
        <w:spacing w:line="360" w:lineRule="auto"/>
        <w:ind w:firstLine="4200" w:firstLineChars="175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bookmarkStart w:id="159" w:name="_Toc88209965"/>
      <w:bookmarkStart w:id="160" w:name="_Toc6058"/>
      <w:bookmarkStart w:id="161" w:name="_Toc16386"/>
      <w:bookmarkStart w:id="162" w:name="_Toc87616402"/>
    </w:p>
    <w:p>
      <w:pPr>
        <w:pStyle w:val="6"/>
        <w:rPr>
          <w:rFonts w:hint="eastAsia" w:ascii="仿宋_GB2312" w:eastAsia="仿宋_GB2312" w:cs="Times New Roman" w:hAnsiTheme="minorEastAsia"/>
          <w:color w:val="auto"/>
          <w:sz w:val="28"/>
          <w:szCs w:val="28"/>
          <w:highlight w:val="none"/>
          <w:lang w:val="en-US" w:eastAsia="zh-CN"/>
        </w:rPr>
      </w:pPr>
      <w:r>
        <w:rPr>
          <w:rFonts w:hint="eastAsia" w:ascii="仿宋_GB2312" w:eastAsia="仿宋_GB2312" w:cs="Times New Roman" w:hAnsiTheme="minorEastAsia"/>
          <w:color w:val="auto"/>
          <w:sz w:val="28"/>
          <w:szCs w:val="28"/>
          <w:highlight w:val="none"/>
          <w:lang w:val="en-US" w:eastAsia="zh-CN"/>
        </w:rPr>
        <w:t>6.其他资料</w:t>
      </w:r>
      <w:bookmarkEnd w:id="159"/>
      <w:bookmarkEnd w:id="160"/>
      <w:bookmarkEnd w:id="161"/>
      <w:bookmarkEnd w:id="162"/>
    </w:p>
    <w:p>
      <w:pPr>
        <w:adjustRightInd w:val="0"/>
        <w:snapToGrid w:val="0"/>
        <w:spacing w:line="600" w:lineRule="exact"/>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6" w:type="default"/>
      <w:pgSz w:w="11905" w:h="16838"/>
      <w:pgMar w:top="1247" w:right="1361" w:bottom="1191" w:left="1361" w:header="850" w:footer="737" w:gutter="0"/>
      <w:pgNumType w:start="0"/>
      <w:cols w:space="0" w:num="1"/>
      <w:rtlGutter w:val="0"/>
      <w:docGrid w:type="linesAndChar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250" w:hanging="1200"/>
      <w:jc w:val="center"/>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E8m0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IMyeZWGr&#10;d5ZH6CiPt6tjgJxJ5ShKpwS6Ew+YvtSnflPieP95TlGP/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2RPJtMQIAAGUEAAAOAAAAAAAAAAEAIAAAAB8BAABkcnMvZTJvRG9jLnhtbFBLBQYA&#10;AAAABgAGAFkBAADCBQAAAAA=&#10;">
              <v:fill on="f" focussize="0,0"/>
              <v:stroke on="f" weight="0.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right"/>
      <w:rPr>
        <w:b/>
        <w:bCs/>
        <w:i/>
        <w:iCs/>
        <w:sz w:val="21"/>
      </w:rPr>
    </w:pPr>
    <w:r>
      <w:rPr>
        <w:b/>
        <w:bCs/>
        <w:i/>
        <w:iCs/>
        <w:sz w:val="21"/>
      </w:rPr>
      <w:fldChar w:fldCharType="begin"/>
    </w:r>
    <w:r>
      <w:rPr>
        <w:rStyle w:val="26"/>
        <w:b/>
        <w:bCs/>
        <w:i/>
        <w:iCs/>
        <w:sz w:val="21"/>
      </w:rPr>
      <w:instrText xml:space="preserve"> PAGE </w:instrText>
    </w:r>
    <w:r>
      <w:rPr>
        <w:b/>
        <w:bCs/>
        <w:i/>
        <w:iCs/>
        <w:sz w:val="21"/>
      </w:rPr>
      <w:fldChar w:fldCharType="separate"/>
    </w:r>
    <w:r>
      <w:rPr>
        <w:rStyle w:val="26"/>
        <w:b/>
        <w:bCs/>
        <w:i/>
        <w:iCs/>
        <w:sz w:val="21"/>
      </w:rPr>
      <w:t>1</w:t>
    </w:r>
    <w:r>
      <w:rPr>
        <w:b/>
        <w:bCs/>
        <w:i/>
        <w:iCs/>
        <w:sz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C9C71"/>
    <w:multiLevelType w:val="singleLevel"/>
    <w:tmpl w:val="9CAC9C71"/>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210"/>
  <w:drawingGridVerticalSpacing w:val="158"/>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wNDBjYzQ0NmE1ZTQ1YzlhOWI1Yzg4MjQ5ZWVlYWM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2C292B"/>
    <w:rsid w:val="046A2461"/>
    <w:rsid w:val="04B47209"/>
    <w:rsid w:val="051C2970"/>
    <w:rsid w:val="056A1C9B"/>
    <w:rsid w:val="058A3A63"/>
    <w:rsid w:val="060C3611"/>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73F59"/>
    <w:rsid w:val="0B4C50D3"/>
    <w:rsid w:val="0B806B92"/>
    <w:rsid w:val="0B827E94"/>
    <w:rsid w:val="0B842F76"/>
    <w:rsid w:val="0BD070E1"/>
    <w:rsid w:val="0BD65B6B"/>
    <w:rsid w:val="0C2361E7"/>
    <w:rsid w:val="0C247926"/>
    <w:rsid w:val="0D794204"/>
    <w:rsid w:val="0D9D13BC"/>
    <w:rsid w:val="0DE341D5"/>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541C3E"/>
    <w:rsid w:val="11877731"/>
    <w:rsid w:val="119B53FC"/>
    <w:rsid w:val="1215733B"/>
    <w:rsid w:val="12424CDC"/>
    <w:rsid w:val="129A2738"/>
    <w:rsid w:val="12B56BF1"/>
    <w:rsid w:val="12CB1A89"/>
    <w:rsid w:val="131840FB"/>
    <w:rsid w:val="13467417"/>
    <w:rsid w:val="136E76CF"/>
    <w:rsid w:val="13D27F38"/>
    <w:rsid w:val="1424395D"/>
    <w:rsid w:val="14391D62"/>
    <w:rsid w:val="14435F07"/>
    <w:rsid w:val="145F08C6"/>
    <w:rsid w:val="14D507B4"/>
    <w:rsid w:val="14E43F59"/>
    <w:rsid w:val="15776308"/>
    <w:rsid w:val="15973CBB"/>
    <w:rsid w:val="15BC6B3C"/>
    <w:rsid w:val="15EC2C59"/>
    <w:rsid w:val="15F97E7B"/>
    <w:rsid w:val="16360A7B"/>
    <w:rsid w:val="164D40B0"/>
    <w:rsid w:val="16873456"/>
    <w:rsid w:val="1694429A"/>
    <w:rsid w:val="17635326"/>
    <w:rsid w:val="178D4AD1"/>
    <w:rsid w:val="17B803EA"/>
    <w:rsid w:val="1815096B"/>
    <w:rsid w:val="18236EFD"/>
    <w:rsid w:val="18377249"/>
    <w:rsid w:val="185D743E"/>
    <w:rsid w:val="189D5B1F"/>
    <w:rsid w:val="18A07B09"/>
    <w:rsid w:val="18A34CD0"/>
    <w:rsid w:val="19A53EA8"/>
    <w:rsid w:val="19B64DBC"/>
    <w:rsid w:val="19EC6A4A"/>
    <w:rsid w:val="1A2E5A1F"/>
    <w:rsid w:val="1A373ACF"/>
    <w:rsid w:val="1A7B10BA"/>
    <w:rsid w:val="1A895341"/>
    <w:rsid w:val="1B0D071F"/>
    <w:rsid w:val="1B4568CE"/>
    <w:rsid w:val="1B9015B7"/>
    <w:rsid w:val="1B950DA6"/>
    <w:rsid w:val="1BF54245"/>
    <w:rsid w:val="1C762AA7"/>
    <w:rsid w:val="1D0E6976"/>
    <w:rsid w:val="1D5A79EE"/>
    <w:rsid w:val="1E0E2CD0"/>
    <w:rsid w:val="1E164317"/>
    <w:rsid w:val="1E831280"/>
    <w:rsid w:val="1EBC4704"/>
    <w:rsid w:val="1EE522C8"/>
    <w:rsid w:val="1F172EB5"/>
    <w:rsid w:val="1F22070B"/>
    <w:rsid w:val="1F94592D"/>
    <w:rsid w:val="1FB860DE"/>
    <w:rsid w:val="203C5A02"/>
    <w:rsid w:val="209D4C94"/>
    <w:rsid w:val="20B44FCD"/>
    <w:rsid w:val="20E84705"/>
    <w:rsid w:val="217D07C9"/>
    <w:rsid w:val="218400BA"/>
    <w:rsid w:val="21AB1E2F"/>
    <w:rsid w:val="21D40498"/>
    <w:rsid w:val="22493963"/>
    <w:rsid w:val="22655731"/>
    <w:rsid w:val="22767047"/>
    <w:rsid w:val="232954D5"/>
    <w:rsid w:val="23A05588"/>
    <w:rsid w:val="240476A1"/>
    <w:rsid w:val="2442470C"/>
    <w:rsid w:val="24E953B9"/>
    <w:rsid w:val="25431AEB"/>
    <w:rsid w:val="25B875EB"/>
    <w:rsid w:val="25BE3BFB"/>
    <w:rsid w:val="25BF43FD"/>
    <w:rsid w:val="25F86BCD"/>
    <w:rsid w:val="2605748B"/>
    <w:rsid w:val="260B2287"/>
    <w:rsid w:val="26104F79"/>
    <w:rsid w:val="26396D26"/>
    <w:rsid w:val="264544A6"/>
    <w:rsid w:val="267702FB"/>
    <w:rsid w:val="267E37B8"/>
    <w:rsid w:val="269E416A"/>
    <w:rsid w:val="26C11C6B"/>
    <w:rsid w:val="272100D3"/>
    <w:rsid w:val="272C72FC"/>
    <w:rsid w:val="275131CB"/>
    <w:rsid w:val="278F6521"/>
    <w:rsid w:val="27EB149D"/>
    <w:rsid w:val="27FD3E52"/>
    <w:rsid w:val="284130B3"/>
    <w:rsid w:val="28E11370"/>
    <w:rsid w:val="293D2C5C"/>
    <w:rsid w:val="294A756A"/>
    <w:rsid w:val="29781BF8"/>
    <w:rsid w:val="297939E2"/>
    <w:rsid w:val="29C33ED0"/>
    <w:rsid w:val="29D5322D"/>
    <w:rsid w:val="2A025DD9"/>
    <w:rsid w:val="2A2619CB"/>
    <w:rsid w:val="2A7317D3"/>
    <w:rsid w:val="2A7C2231"/>
    <w:rsid w:val="2A920E4F"/>
    <w:rsid w:val="2ABB753D"/>
    <w:rsid w:val="2AE6095C"/>
    <w:rsid w:val="2AFE6EC4"/>
    <w:rsid w:val="2B345DDC"/>
    <w:rsid w:val="2B7A49FA"/>
    <w:rsid w:val="2C615D26"/>
    <w:rsid w:val="2CB679ED"/>
    <w:rsid w:val="2CB73169"/>
    <w:rsid w:val="2CE83C37"/>
    <w:rsid w:val="2CEB2FFC"/>
    <w:rsid w:val="2D173C07"/>
    <w:rsid w:val="2D424A86"/>
    <w:rsid w:val="2DDA66B7"/>
    <w:rsid w:val="2E6F2D11"/>
    <w:rsid w:val="2E7B52DB"/>
    <w:rsid w:val="2ED60115"/>
    <w:rsid w:val="2F324CFE"/>
    <w:rsid w:val="2F5C2AA0"/>
    <w:rsid w:val="2FBA09F1"/>
    <w:rsid w:val="2FEF2ACF"/>
    <w:rsid w:val="2FF93D20"/>
    <w:rsid w:val="303A1F4E"/>
    <w:rsid w:val="30540211"/>
    <w:rsid w:val="30566937"/>
    <w:rsid w:val="30B663D8"/>
    <w:rsid w:val="30E45100"/>
    <w:rsid w:val="31112A0D"/>
    <w:rsid w:val="3118711F"/>
    <w:rsid w:val="311F4B20"/>
    <w:rsid w:val="312D7741"/>
    <w:rsid w:val="316F137F"/>
    <w:rsid w:val="31815AF3"/>
    <w:rsid w:val="31DF525F"/>
    <w:rsid w:val="31EC162B"/>
    <w:rsid w:val="32324C2E"/>
    <w:rsid w:val="327171DF"/>
    <w:rsid w:val="32DC409C"/>
    <w:rsid w:val="3391569E"/>
    <w:rsid w:val="341E3434"/>
    <w:rsid w:val="341F08FD"/>
    <w:rsid w:val="34BB4442"/>
    <w:rsid w:val="3584136B"/>
    <w:rsid w:val="35FF5AA4"/>
    <w:rsid w:val="360B7EBA"/>
    <w:rsid w:val="36416867"/>
    <w:rsid w:val="367D5DD4"/>
    <w:rsid w:val="369C32FD"/>
    <w:rsid w:val="37666E72"/>
    <w:rsid w:val="38081EA3"/>
    <w:rsid w:val="38167A04"/>
    <w:rsid w:val="381C3783"/>
    <w:rsid w:val="386A64DD"/>
    <w:rsid w:val="388E3BCF"/>
    <w:rsid w:val="394B167A"/>
    <w:rsid w:val="394E7B69"/>
    <w:rsid w:val="39AD34EA"/>
    <w:rsid w:val="39DA2868"/>
    <w:rsid w:val="39DF6BF2"/>
    <w:rsid w:val="3A055F4B"/>
    <w:rsid w:val="3A092147"/>
    <w:rsid w:val="3A4E4336"/>
    <w:rsid w:val="3A6007FE"/>
    <w:rsid w:val="3A802587"/>
    <w:rsid w:val="3A852164"/>
    <w:rsid w:val="3AF8679C"/>
    <w:rsid w:val="3AF93D6C"/>
    <w:rsid w:val="3AFD06C8"/>
    <w:rsid w:val="3B477B26"/>
    <w:rsid w:val="3B7C2CE4"/>
    <w:rsid w:val="3BAF716B"/>
    <w:rsid w:val="3C0B5355"/>
    <w:rsid w:val="3C7E7F35"/>
    <w:rsid w:val="3CD4176B"/>
    <w:rsid w:val="3D1F44D9"/>
    <w:rsid w:val="3D430AA6"/>
    <w:rsid w:val="3D5C38CD"/>
    <w:rsid w:val="3E5070F1"/>
    <w:rsid w:val="3E7569E0"/>
    <w:rsid w:val="3EC370CB"/>
    <w:rsid w:val="3F6C3589"/>
    <w:rsid w:val="3F850180"/>
    <w:rsid w:val="3F9004D6"/>
    <w:rsid w:val="3FEE7CFA"/>
    <w:rsid w:val="400E4D5E"/>
    <w:rsid w:val="40E1138C"/>
    <w:rsid w:val="413814BA"/>
    <w:rsid w:val="41872511"/>
    <w:rsid w:val="41DF1251"/>
    <w:rsid w:val="424236D9"/>
    <w:rsid w:val="42466655"/>
    <w:rsid w:val="42C82F57"/>
    <w:rsid w:val="435707E5"/>
    <w:rsid w:val="439927E1"/>
    <w:rsid w:val="43C76AF7"/>
    <w:rsid w:val="43D54C8A"/>
    <w:rsid w:val="43E97E4A"/>
    <w:rsid w:val="440D65DA"/>
    <w:rsid w:val="446828F0"/>
    <w:rsid w:val="45093E85"/>
    <w:rsid w:val="450B3BFA"/>
    <w:rsid w:val="45C13B4D"/>
    <w:rsid w:val="46054BCA"/>
    <w:rsid w:val="464C6AFC"/>
    <w:rsid w:val="468B0091"/>
    <w:rsid w:val="46A107C3"/>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A208FC"/>
    <w:rsid w:val="48CA4868"/>
    <w:rsid w:val="48F005D3"/>
    <w:rsid w:val="49466522"/>
    <w:rsid w:val="49547ADD"/>
    <w:rsid w:val="49732351"/>
    <w:rsid w:val="498F4AF1"/>
    <w:rsid w:val="49C05787"/>
    <w:rsid w:val="49C07EE0"/>
    <w:rsid w:val="49CF518D"/>
    <w:rsid w:val="49D56585"/>
    <w:rsid w:val="4A7F3979"/>
    <w:rsid w:val="4ADA1F63"/>
    <w:rsid w:val="4AE23D89"/>
    <w:rsid w:val="4B2038D0"/>
    <w:rsid w:val="4B296E7D"/>
    <w:rsid w:val="4B79394E"/>
    <w:rsid w:val="4B877F28"/>
    <w:rsid w:val="4CD200BA"/>
    <w:rsid w:val="4D2044E7"/>
    <w:rsid w:val="4D916BA6"/>
    <w:rsid w:val="4DC44169"/>
    <w:rsid w:val="4DE24E21"/>
    <w:rsid w:val="4E1B19A3"/>
    <w:rsid w:val="4E48787F"/>
    <w:rsid w:val="4E8D5680"/>
    <w:rsid w:val="4EF0709E"/>
    <w:rsid w:val="4F0469A4"/>
    <w:rsid w:val="4F97567D"/>
    <w:rsid w:val="4FBF5D0D"/>
    <w:rsid w:val="500E0B4E"/>
    <w:rsid w:val="500E56F4"/>
    <w:rsid w:val="50266F80"/>
    <w:rsid w:val="50540C73"/>
    <w:rsid w:val="50752AF8"/>
    <w:rsid w:val="513C6A7B"/>
    <w:rsid w:val="517300C9"/>
    <w:rsid w:val="51B31D16"/>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907A1D"/>
    <w:rsid w:val="58C14957"/>
    <w:rsid w:val="58CC23D2"/>
    <w:rsid w:val="58E66050"/>
    <w:rsid w:val="596B36B6"/>
    <w:rsid w:val="59E63F07"/>
    <w:rsid w:val="59FC7994"/>
    <w:rsid w:val="5AB3579B"/>
    <w:rsid w:val="5AE83A50"/>
    <w:rsid w:val="5B353193"/>
    <w:rsid w:val="5BAB2917"/>
    <w:rsid w:val="5BFC33FA"/>
    <w:rsid w:val="5C3107A4"/>
    <w:rsid w:val="5C337866"/>
    <w:rsid w:val="5C3B1B93"/>
    <w:rsid w:val="5C9220DF"/>
    <w:rsid w:val="5CB4703F"/>
    <w:rsid w:val="5D4A15F3"/>
    <w:rsid w:val="5D69542A"/>
    <w:rsid w:val="5D783B72"/>
    <w:rsid w:val="5E0930EF"/>
    <w:rsid w:val="5E3D4D53"/>
    <w:rsid w:val="5E4717E6"/>
    <w:rsid w:val="5E55774C"/>
    <w:rsid w:val="5E8A70FF"/>
    <w:rsid w:val="5E9379CC"/>
    <w:rsid w:val="60045F96"/>
    <w:rsid w:val="60104DDC"/>
    <w:rsid w:val="605C0804"/>
    <w:rsid w:val="60913E6F"/>
    <w:rsid w:val="611F0045"/>
    <w:rsid w:val="61733C3E"/>
    <w:rsid w:val="6189617B"/>
    <w:rsid w:val="61B52BB6"/>
    <w:rsid w:val="61B749C2"/>
    <w:rsid w:val="62280D20"/>
    <w:rsid w:val="62767E77"/>
    <w:rsid w:val="62B4786E"/>
    <w:rsid w:val="62CA2457"/>
    <w:rsid w:val="631303F2"/>
    <w:rsid w:val="638240A1"/>
    <w:rsid w:val="63833423"/>
    <w:rsid w:val="63A5257B"/>
    <w:rsid w:val="63BD3DCC"/>
    <w:rsid w:val="63C61741"/>
    <w:rsid w:val="64560967"/>
    <w:rsid w:val="656B1D10"/>
    <w:rsid w:val="65B841F9"/>
    <w:rsid w:val="66022B28"/>
    <w:rsid w:val="664A38E2"/>
    <w:rsid w:val="66581E87"/>
    <w:rsid w:val="666F1DE3"/>
    <w:rsid w:val="66766EBB"/>
    <w:rsid w:val="66FA11D5"/>
    <w:rsid w:val="674302C7"/>
    <w:rsid w:val="67666CD8"/>
    <w:rsid w:val="67CB09D8"/>
    <w:rsid w:val="67EE3B0F"/>
    <w:rsid w:val="680A5986"/>
    <w:rsid w:val="680D5F4B"/>
    <w:rsid w:val="68113F51"/>
    <w:rsid w:val="68B272C7"/>
    <w:rsid w:val="68E94770"/>
    <w:rsid w:val="68EC1CEF"/>
    <w:rsid w:val="68F949C9"/>
    <w:rsid w:val="695A4290"/>
    <w:rsid w:val="696F3649"/>
    <w:rsid w:val="6A267606"/>
    <w:rsid w:val="6A334932"/>
    <w:rsid w:val="6A3353FF"/>
    <w:rsid w:val="6A463DD5"/>
    <w:rsid w:val="6A5D63E6"/>
    <w:rsid w:val="6A5F24D1"/>
    <w:rsid w:val="6ACA70C4"/>
    <w:rsid w:val="6AE347EB"/>
    <w:rsid w:val="6B330365"/>
    <w:rsid w:val="6B434AF0"/>
    <w:rsid w:val="6B57675A"/>
    <w:rsid w:val="6B87098A"/>
    <w:rsid w:val="6BDD7B4D"/>
    <w:rsid w:val="6D52013C"/>
    <w:rsid w:val="6EBC0B3A"/>
    <w:rsid w:val="6EED597D"/>
    <w:rsid w:val="6EF51C7D"/>
    <w:rsid w:val="6F8363E5"/>
    <w:rsid w:val="6F841DCF"/>
    <w:rsid w:val="6FA80CCD"/>
    <w:rsid w:val="6FAC3CC5"/>
    <w:rsid w:val="6FC746F5"/>
    <w:rsid w:val="6FE33EF5"/>
    <w:rsid w:val="70317AC6"/>
    <w:rsid w:val="704B26F7"/>
    <w:rsid w:val="70697B21"/>
    <w:rsid w:val="70863262"/>
    <w:rsid w:val="70A76ED3"/>
    <w:rsid w:val="71860B17"/>
    <w:rsid w:val="71B35140"/>
    <w:rsid w:val="71EB7046"/>
    <w:rsid w:val="721D5C9D"/>
    <w:rsid w:val="723B27CC"/>
    <w:rsid w:val="72565C05"/>
    <w:rsid w:val="72687227"/>
    <w:rsid w:val="72A03FD9"/>
    <w:rsid w:val="73406CFF"/>
    <w:rsid w:val="7383028C"/>
    <w:rsid w:val="73A25E44"/>
    <w:rsid w:val="741F68CF"/>
    <w:rsid w:val="74F075C8"/>
    <w:rsid w:val="7502155E"/>
    <w:rsid w:val="75252DF3"/>
    <w:rsid w:val="75621536"/>
    <w:rsid w:val="75BF3154"/>
    <w:rsid w:val="75DA4A2D"/>
    <w:rsid w:val="764A07CF"/>
    <w:rsid w:val="764F6B3D"/>
    <w:rsid w:val="76887077"/>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7F2D28"/>
    <w:rsid w:val="7AE15A5C"/>
    <w:rsid w:val="7AF37579"/>
    <w:rsid w:val="7AF87F64"/>
    <w:rsid w:val="7B1C0C84"/>
    <w:rsid w:val="7B5A62DF"/>
    <w:rsid w:val="7B7A04A8"/>
    <w:rsid w:val="7B8E4662"/>
    <w:rsid w:val="7BFC5A6F"/>
    <w:rsid w:val="7C0C3F6D"/>
    <w:rsid w:val="7C22163C"/>
    <w:rsid w:val="7C457B4B"/>
    <w:rsid w:val="7C595075"/>
    <w:rsid w:val="7C6B07B2"/>
    <w:rsid w:val="7C9B73EE"/>
    <w:rsid w:val="7D133243"/>
    <w:rsid w:val="7D945420"/>
    <w:rsid w:val="7D997857"/>
    <w:rsid w:val="7DA85DC0"/>
    <w:rsid w:val="7DD07A4B"/>
    <w:rsid w:val="7E394207"/>
    <w:rsid w:val="7E4007A2"/>
    <w:rsid w:val="7E48543B"/>
    <w:rsid w:val="7E791CAD"/>
    <w:rsid w:val="7EA50DFB"/>
    <w:rsid w:val="7EC86878"/>
    <w:rsid w:val="7F16390D"/>
    <w:rsid w:val="7F2C0DE8"/>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1"/>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99"/>
    <w:pPr>
      <w:spacing w:after="120" w:line="480" w:lineRule="auto"/>
      <w:ind w:left="420" w:leftChars="200"/>
    </w:pPr>
  </w:style>
  <w:style w:type="paragraph" w:styleId="16">
    <w:name w:val="Balloon Text"/>
    <w:basedOn w:val="1"/>
    <w:link w:val="36"/>
    <w:semiHidden/>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spacing w:before="100" w:beforeAutospacing="1" w:after="100" w:afterAutospacing="1"/>
    </w:pPr>
    <w:rPr>
      <w:rFonts w:ascii="宋体" w:hAnsi="宋体" w:cs="宋体"/>
      <w:sz w:val="24"/>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b/>
      <w:bCs/>
    </w:rPr>
  </w:style>
  <w:style w:type="character" w:styleId="26">
    <w:name w:val="page number"/>
    <w:basedOn w:val="24"/>
    <w:qFormat/>
    <w:uiPriority w:val="0"/>
  </w:style>
  <w:style w:type="character" w:styleId="27">
    <w:name w:val="Emphasis"/>
    <w:basedOn w:val="24"/>
    <w:qFormat/>
    <w:uiPriority w:val="20"/>
    <w:rPr>
      <w:i/>
    </w:rPr>
  </w:style>
  <w:style w:type="character" w:styleId="28">
    <w:name w:val="Hyperlink"/>
    <w:basedOn w:val="24"/>
    <w:unhideWhenUsed/>
    <w:qFormat/>
    <w:uiPriority w:val="99"/>
    <w:rPr>
      <w:color w:val="0000FF" w:themeColor="hyperlink"/>
      <w:u w:val="single"/>
      <w14:textFill>
        <w14:solidFill>
          <w14:schemeClr w14:val="hlink"/>
        </w14:solidFill>
      </w14:textFill>
    </w:rPr>
  </w:style>
  <w:style w:type="character" w:customStyle="1" w:styleId="29">
    <w:name w:val="页眉 Char"/>
    <w:basedOn w:val="24"/>
    <w:link w:val="18"/>
    <w:semiHidden/>
    <w:qFormat/>
    <w:uiPriority w:val="99"/>
    <w:rPr>
      <w:sz w:val="18"/>
      <w:szCs w:val="18"/>
    </w:rPr>
  </w:style>
  <w:style w:type="character" w:customStyle="1" w:styleId="30">
    <w:name w:val="页脚 Char"/>
    <w:basedOn w:val="24"/>
    <w:link w:val="17"/>
    <w:qFormat/>
    <w:uiPriority w:val="99"/>
    <w:rPr>
      <w:sz w:val="18"/>
      <w:szCs w:val="18"/>
    </w:rPr>
  </w:style>
  <w:style w:type="character" w:customStyle="1" w:styleId="31">
    <w:name w:val="标题 1 Char"/>
    <w:basedOn w:val="24"/>
    <w:link w:val="4"/>
    <w:qFormat/>
    <w:uiPriority w:val="9"/>
    <w:rPr>
      <w:rFonts w:eastAsia="方正小标宋简体"/>
      <w:bCs/>
      <w:kern w:val="44"/>
      <w:sz w:val="44"/>
      <w:szCs w:val="44"/>
    </w:rPr>
  </w:style>
  <w:style w:type="character" w:customStyle="1" w:styleId="32">
    <w:name w:val="标题 2 Char"/>
    <w:basedOn w:val="24"/>
    <w:link w:val="5"/>
    <w:qFormat/>
    <w:uiPriority w:val="9"/>
    <w:rPr>
      <w:rFonts w:eastAsia="方正小标宋简体" w:asciiTheme="majorHAnsi" w:hAnsiTheme="majorHAnsi" w:cstheme="majorBidi"/>
      <w:bCs/>
      <w:sz w:val="36"/>
      <w:szCs w:val="32"/>
    </w:rPr>
  </w:style>
  <w:style w:type="character" w:customStyle="1" w:styleId="33">
    <w:name w:val="标题 3 Char"/>
    <w:basedOn w:val="24"/>
    <w:link w:val="6"/>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4"/>
    <w:link w:val="16"/>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3"/>
    <w:next w:val="13"/>
    <w:qFormat/>
    <w:uiPriority w:val="0"/>
    <w:pPr>
      <w:spacing w:after="373"/>
    </w:pPr>
    <w:rPr>
      <w:color w:val="auto"/>
    </w:rPr>
  </w:style>
  <w:style w:type="paragraph" w:customStyle="1" w:styleId="39">
    <w:name w:val="CM91"/>
    <w:basedOn w:val="13"/>
    <w:next w:val="13"/>
    <w:qFormat/>
    <w:uiPriority w:val="0"/>
    <w:pPr>
      <w:spacing w:after="160"/>
    </w:pPr>
    <w:rPr>
      <w:color w:val="auto"/>
    </w:rPr>
  </w:style>
  <w:style w:type="character" w:customStyle="1" w:styleId="40">
    <w:name w:val="正文文本 3 Char"/>
    <w:link w:val="8"/>
    <w:qFormat/>
    <w:uiPriority w:val="99"/>
    <w:rPr>
      <w:sz w:val="16"/>
      <w:szCs w:val="16"/>
    </w:rPr>
  </w:style>
  <w:style w:type="character" w:customStyle="1" w:styleId="41">
    <w:name w:val="正文文本 3 Char1"/>
    <w:basedOn w:val="24"/>
    <w:link w:val="8"/>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2"/>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8">
    <w:name w:val="_Style 9"/>
    <w:basedOn w:val="1"/>
    <w:qFormat/>
    <w:uiPriority w:val="34"/>
    <w:pPr>
      <w:ind w:firstLine="420" w:firstLineChars="200"/>
    </w:pPr>
  </w:style>
  <w:style w:type="paragraph" w:customStyle="1" w:styleId="49">
    <w:name w:val="_Style 11"/>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50">
    <w:name w:val="网格型1"/>
    <w:basedOn w:val="22"/>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1">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21804</Words>
  <Characters>22672</Characters>
  <Lines>300</Lines>
  <Paragraphs>84</Paragraphs>
  <TotalTime>30</TotalTime>
  <ScaleCrop>false</ScaleCrop>
  <LinksUpToDate>false</LinksUpToDate>
  <CharactersWithSpaces>25015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莫颖妍</cp:lastModifiedBy>
  <cp:lastPrinted>2023-07-05T02:59:00Z</cp:lastPrinted>
  <dcterms:modified xsi:type="dcterms:W3CDTF">2023-08-04T01:59:51Z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4096D5277EB54AAB8A5191AD83F9F949_13</vt:lpwstr>
  </property>
</Properties>
</file>