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89" w:name="_GoBack"/>
      <w:bookmarkEnd w:id="189"/>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广州市净水有限公司沥滘分公司2023年一二期提标及三期无人区固定式气体检测仪采购项目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587" w:right="1701" w:bottom="1531" w:left="1701" w:header="851" w:footer="992" w:gutter="0"/>
          <w:pgBorders>
            <w:top w:val="none" w:sz="0" w:space="0"/>
            <w:left w:val="none" w:sz="0" w:space="0"/>
            <w:bottom w:val="none" w:sz="0" w:space="0"/>
            <w:right w:val="none" w:sz="0" w:space="0"/>
          </w:pgBorders>
          <w:pgNumType w:fmt="decimal"/>
          <w:cols w:space="720" w:num="1"/>
          <w:docGrid w:type="linesAndChars" w:linePitch="381" w:charSpace="0"/>
        </w:sectPr>
      </w:pPr>
    </w:p>
    <w:p>
      <w:pPr>
        <w:pStyle w:val="2"/>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669"/>
      <w:bookmarkStart w:id="5" w:name="_Toc4275"/>
      <w:bookmarkStart w:id="6" w:name="_Toc7519"/>
      <w:bookmarkStart w:id="7" w:name="_Toc19609"/>
      <w:bookmarkStart w:id="8" w:name="_Toc11322"/>
      <w:bookmarkStart w:id="9" w:name="_Toc17801"/>
      <w:bookmarkStart w:id="10" w:name="_Toc31938"/>
    </w:p>
    <w:p>
      <w:pPr>
        <w:pStyle w:val="3"/>
        <w:rPr>
          <w:rFonts w:hint="eastAsia"/>
          <w:color w:val="auto"/>
          <w:highlight w:val="none"/>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2205355</wp:posOffset>
                </wp:positionH>
                <wp:positionV relativeFrom="paragraph">
                  <wp:posOffset>782320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3.65pt;margin-top:61.6pt;height:0pt;width:75.5pt;z-index:251670528;mso-width-relative:page;mso-height-relative:page;" filled="f" stroked="t" coordsize="21600,21600" o:gfxdata="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5I8M/YAAAACwEAAA8AAAAAAAAAAQAgAAAAIgAAAGRycy9kb3ducmV2LnhtbFBLAQIU&#10;ABQAAAAIAIdO4kAPrIeI8wEAAOQDAAAOAAAAAAAAAAEAIAAAACcBAABkcnMvZTJvRG9jLnhtbFBL&#10;BQYAAAAABgAGAFkBAACMBQAAAAA=&#10;">
                <v:fill on="f" focussize="0,0"/>
                <v:stroke color="#000000" joinstyle="round"/>
                <v:imagedata o:title=""/>
                <o:lock v:ext="edit" aspectratio="f"/>
              </v:shape>
            </w:pict>
          </mc:Fallback>
        </mc:AlternateContent>
      </w: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2197735</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3.05pt;margin-top:39.95pt;height:0pt;width:75.5pt;z-index:251671552;mso-width-relative:page;mso-height-relative:page;" filled="f" stroked="t" coordsize="21600,21600" o:gfxdata="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fW3X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3"/>
        <w:rPr>
          <w:color w:val="auto"/>
          <w:highlight w:val="none"/>
        </w:rPr>
      </w:pPr>
      <w:bookmarkStart w:id="11" w:name="_Toc30131"/>
      <w:bookmarkStart w:id="12" w:name="_Toc15709"/>
      <w:bookmarkStart w:id="13" w:name="_Toc30989"/>
      <w:bookmarkStart w:id="14" w:name="_Toc2659"/>
      <w:bookmarkStart w:id="15" w:name="_Toc28995"/>
      <w:bookmarkStart w:id="16" w:name="_Toc88209924"/>
      <w:bookmarkStart w:id="17" w:name="_Toc8201"/>
      <w:bookmarkStart w:id="18" w:name="_Toc26363"/>
      <w:bookmarkStart w:id="19" w:name="_Toc10122"/>
      <w:bookmarkStart w:id="20" w:name="_Toc14238"/>
      <w:bookmarkStart w:id="21" w:name="_Toc999"/>
      <w:bookmarkStart w:id="22" w:name="_Toc5230"/>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4"/>
        <w:spacing w:line="600" w:lineRule="exact"/>
        <w:rPr>
          <w:color w:val="auto"/>
          <w:highlight w:val="none"/>
        </w:rPr>
      </w:pPr>
      <w:bookmarkStart w:id="23" w:name="_Toc21373"/>
      <w:bookmarkStart w:id="24" w:name="_Toc9680"/>
      <w:r>
        <w:rPr>
          <w:rFonts w:hint="eastAsia"/>
          <w:color w:val="auto"/>
          <w:highlight w:val="none"/>
          <w:u w:val="single"/>
          <w:lang w:val="en-US" w:eastAsia="zh-CN"/>
        </w:rPr>
        <w:t>广州市净水有限公司沥滘分公司2023年一二期提标及三期无人区固定式气体检测仪采购项目</w:t>
      </w:r>
      <w:r>
        <w:rPr>
          <w:rFonts w:hint="eastAsia"/>
          <w:color w:val="auto"/>
          <w:highlight w:val="none"/>
        </w:rPr>
        <w:t>采购公告</w:t>
      </w:r>
      <w:bookmarkEnd w:id="23"/>
      <w:bookmarkEnd w:id="24"/>
    </w:p>
    <w:p>
      <w:pPr>
        <w:adjustRightInd w:val="0"/>
        <w:snapToGrid w:val="0"/>
        <w:spacing w:line="360" w:lineRule="auto"/>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广州市净水有限公司沥滘分公司2023年一二期提标及三期无人区固定式气体检测仪采购项目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□服务项目实施公开采购活动，采用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u w:val="single"/>
          <w:lang w:val="en-US" w:eastAsia="zh-CN"/>
        </w:rPr>
        <w:t>公开询比的</w:t>
      </w:r>
      <w:r>
        <w:rPr>
          <w:rFonts w:hint="eastAsia" w:ascii="仿宋_GB2312" w:eastAsia="仿宋_GB2312"/>
          <w:color w:val="auto"/>
          <w:sz w:val="28"/>
          <w:szCs w:val="28"/>
          <w:highlight w:val="none"/>
        </w:rPr>
        <w:t>方式公开邀请合格供应商参加本项目采购竞争。</w:t>
      </w:r>
    </w:p>
    <w:p>
      <w:pPr>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eastAsia="zh-CN"/>
        </w:rPr>
        <w:t>沥滘分公司2023年一二期提标及三期无人区固定式气体检测仪采购项目</w:t>
      </w:r>
    </w:p>
    <w:p>
      <w:pPr>
        <w:adjustRightInd w:val="0"/>
        <w:snapToGrid w:val="0"/>
        <w:spacing w:line="360" w:lineRule="auto"/>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XJ-20230727-3</w:t>
      </w:r>
    </w:p>
    <w:p>
      <w:pPr>
        <w:adjustRightInd w:val="0"/>
        <w:snapToGrid w:val="0"/>
        <w:spacing w:line="360" w:lineRule="auto"/>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360" w:lineRule="auto"/>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19.372万元人民币</w:t>
      </w:r>
    </w:p>
    <w:p>
      <w:pPr>
        <w:adjustRightInd w:val="0"/>
        <w:snapToGrid w:val="0"/>
        <w:spacing w:line="360" w:lineRule="auto"/>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360" w:lineRule="auto"/>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采购</w:t>
      </w:r>
      <w:r>
        <w:rPr>
          <w:rFonts w:hint="eastAsia" w:ascii="仿宋_GB2312" w:eastAsia="仿宋_GB2312"/>
          <w:color w:val="auto"/>
          <w:sz w:val="28"/>
          <w:szCs w:val="28"/>
          <w:highlight w:val="none"/>
          <w:u w:val="single"/>
          <w:lang w:val="en-US" w:eastAsia="zh-CN"/>
        </w:rPr>
        <w:t>4套</w:t>
      </w:r>
      <w:r>
        <w:rPr>
          <w:rFonts w:hint="eastAsia" w:ascii="仿宋_GB2312" w:eastAsia="仿宋_GB2312"/>
          <w:color w:val="auto"/>
          <w:sz w:val="28"/>
          <w:szCs w:val="28"/>
          <w:highlight w:val="none"/>
          <w:u w:val="single"/>
        </w:rPr>
        <w:t>与厂区原固定式气体检测仪参数一致，可后期集中收集报警信息并传输的固定式气体检测仪</w:t>
      </w:r>
      <w:r>
        <w:rPr>
          <w:rFonts w:hint="eastAsia" w:ascii="仿宋_GB2312" w:eastAsia="仿宋_GB2312"/>
          <w:color w:val="auto"/>
          <w:sz w:val="28"/>
          <w:szCs w:val="28"/>
          <w:highlight w:val="none"/>
          <w:u w:val="single"/>
          <w:lang w:eastAsia="zh-CN"/>
        </w:rPr>
        <w:t>。</w:t>
      </w:r>
    </w:p>
    <w:p>
      <w:pPr>
        <w:adjustRightInd w:val="0"/>
        <w:snapToGrid w:val="0"/>
        <w:spacing w:line="360" w:lineRule="auto"/>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自合同签订之日起</w:t>
      </w:r>
      <w:r>
        <w:rPr>
          <w:rFonts w:hint="eastAsia" w:ascii="仿宋_GB2312" w:eastAsia="仿宋_GB2312"/>
          <w:color w:val="auto"/>
          <w:sz w:val="28"/>
          <w:szCs w:val="28"/>
          <w:highlight w:val="none"/>
          <w:u w:val="single"/>
          <w:lang w:val="en-US" w:eastAsia="zh-CN"/>
        </w:rPr>
        <w:t>三个月。</w:t>
      </w:r>
    </w:p>
    <w:p>
      <w:pPr>
        <w:adjustRightInd w:val="0"/>
        <w:snapToGrid w:val="0"/>
        <w:spacing w:line="360" w:lineRule="auto"/>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广州市净水有限公司沥滘分公司</w:t>
      </w:r>
    </w:p>
    <w:p>
      <w:pPr>
        <w:pStyle w:val="11"/>
        <w:keepNext w:val="0"/>
        <w:keepLines w:val="0"/>
        <w:pageBreakBefore w:val="0"/>
        <w:numPr>
          <w:ilvl w:val="0"/>
          <w:numId w:val="0"/>
        </w:numPr>
        <w:kinsoku/>
        <w:wordWrap/>
        <w:overflowPunct/>
        <w:topLinePunct w:val="0"/>
        <w:bidi w:val="0"/>
        <w:adjustRightInd w:val="0"/>
        <w:snapToGrid w:val="0"/>
        <w:spacing w:line="360" w:lineRule="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详见合同附件 </w:t>
      </w:r>
    </w:p>
    <w:p>
      <w:pPr>
        <w:adjustRightInd w:val="0"/>
        <w:snapToGrid w:val="0"/>
        <w:spacing w:line="360" w:lineRule="auto"/>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360" w:lineRule="auto"/>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360" w:lineRule="auto"/>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360" w:lineRule="auto"/>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 xml:space="preserve">           资质</w:t>
      </w:r>
      <w:r>
        <w:rPr>
          <w:rFonts w:hint="eastAsia" w:ascii="仿宋_GB2312" w:eastAsia="仿宋_GB2312"/>
          <w:color w:val="auto"/>
          <w:sz w:val="28"/>
          <w:szCs w:val="28"/>
          <w:highlight w:val="none"/>
        </w:rPr>
        <w:t>。</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 xml:space="preserve"> 2020年1月1日至今，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 w:hAnsi="仿宋" w:eastAsia="仿宋" w:cs="仿宋"/>
          <w:color w:val="auto"/>
          <w:sz w:val="28"/>
          <w:szCs w:val="28"/>
          <w:highlight w:val="none"/>
          <w:u w:val="none"/>
          <w:lang w:val="en-US" w:eastAsia="zh-CN"/>
        </w:rPr>
        <w:t>固定式气体检测仪</w:t>
      </w:r>
      <w:r>
        <w:rPr>
          <w:rFonts w:hint="eastAsia" w:ascii="仿宋" w:hAnsi="仿宋" w:eastAsia="仿宋" w:cs="仿宋"/>
          <w:color w:val="auto"/>
          <w:sz w:val="28"/>
          <w:szCs w:val="28"/>
          <w:highlight w:val="none"/>
          <w:u w:val="none"/>
          <w:lang w:val="en-US"/>
        </w:rPr>
        <w:t>系统</w:t>
      </w:r>
      <w:r>
        <w:rPr>
          <w:rFonts w:hint="eastAsia" w:ascii="仿宋" w:hAnsi="仿宋" w:eastAsia="仿宋" w:cs="仿宋"/>
          <w:color w:val="auto"/>
          <w:sz w:val="28"/>
          <w:szCs w:val="28"/>
          <w:highlight w:val="none"/>
          <w:u w:val="none"/>
          <w:lang w:val="en-US" w:eastAsia="zh-CN"/>
        </w:rPr>
        <w:t>供货及安装（调试）</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24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（10）其他违法违纪行为，经审查认为不宜被邀请参加采购活动的。</w:t>
      </w:r>
    </w:p>
    <w:p>
      <w:pPr>
        <w:adjustRightInd w:val="0"/>
        <w:snapToGrid w:val="0"/>
        <w:spacing w:line="360" w:lineRule="auto"/>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（11）其他禁止情形：</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360" w:lineRule="auto"/>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28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2023</w:t>
      </w:r>
      <w:r>
        <w:rPr>
          <w:rFonts w:hint="eastAsia" w:ascii="仿宋_GB2312" w:eastAsia="仿宋_GB2312"/>
          <w:color w:val="auto"/>
          <w:sz w:val="28"/>
          <w:szCs w:val="28"/>
          <w:highlight w:val="none"/>
        </w:rPr>
        <w:t xml:space="preserve"> 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日（北京时间）</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360" w:lineRule="auto"/>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360" w:lineRule="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lang w:val="en-US" w:eastAsia="zh-CN"/>
        </w:rPr>
        <w:t xml:space="preserve">年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lang w:val="en-US" w:eastAsia="zh-CN"/>
        </w:rPr>
        <w:t>月</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lang w:val="en-US" w:eastAsia="zh-CN"/>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lang w:val="en-US" w:eastAsia="zh-CN"/>
        </w:rPr>
        <w:t>月</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1"/>
        <w:spacing w:line="360" w:lineRule="auto"/>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360" w:lineRule="auto"/>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补充公告和修改</w:t>
      </w:r>
      <w:r>
        <w:rPr>
          <w:rFonts w:hint="eastAsia" w:ascii="仿宋_GB2312" w:eastAsia="仿宋_GB2312"/>
          <w:color w:val="auto"/>
          <w:sz w:val="28"/>
          <w:szCs w:val="28"/>
          <w:highlight w:val="none"/>
        </w:rPr>
        <w:t>同时在广州市净水有限公司门户网站</w:t>
      </w:r>
      <w:r>
        <w:rPr>
          <w:rFonts w:hint="eastAsia" w:ascii="仿宋_GB2312" w:eastAsia="仿宋_GB2312"/>
          <w:color w:val="auto"/>
          <w:sz w:val="28"/>
          <w:szCs w:val="28"/>
          <w:highlight w:val="none"/>
          <w:lang w:val="en-US" w:eastAsia="zh-CN"/>
        </w:rPr>
        <w:t>和阳光平台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eastAsia="仿宋_GB2312"/>
          <w:color w:val="auto"/>
          <w:sz w:val="28"/>
          <w:szCs w:val="28"/>
          <w:highlight w:val="none"/>
        </w:rPr>
        <w:t>广州市净水有限公司门户网站</w:t>
      </w:r>
      <w:r>
        <w:rPr>
          <w:rFonts w:hint="eastAsia" w:ascii="仿宋_GB2312" w:hAnsi="Calibri" w:eastAsia="仿宋_GB2312" w:cs="Times New Roman"/>
          <w:color w:val="auto"/>
          <w:sz w:val="28"/>
          <w:szCs w:val="28"/>
          <w:highlight w:val="none"/>
        </w:rPr>
        <w:t>为准。</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360" w:lineRule="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360" w:lineRule="auto"/>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360" w:lineRule="auto"/>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360" w:lineRule="auto"/>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360" w:lineRule="auto"/>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360" w:lineRule="auto"/>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360" w:lineRule="auto"/>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360" w:lineRule="auto"/>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360" w:lineRule="auto"/>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360" w:lineRule="auto"/>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1"/>
        <w:ind w:firstLine="0"/>
        <w:rPr>
          <w:rFonts w:hint="eastAsia" w:ascii="仿宋" w:hAnsi="仿宋" w:eastAsia="仿宋" w:cs="仿宋"/>
          <w:b/>
          <w:color w:val="auto"/>
          <w:sz w:val="28"/>
          <w:szCs w:val="28"/>
          <w:highlight w:val="none"/>
          <w:lang w:val="en-US" w:eastAsia="zh-CN"/>
        </w:rPr>
      </w:pPr>
    </w:p>
    <w:p>
      <w:pPr>
        <w:rPr>
          <w:rFonts w:hint="eastAsia"/>
          <w:color w:val="auto"/>
          <w:highlight w:val="none"/>
        </w:rPr>
      </w:pPr>
      <w:bookmarkStart w:id="25" w:name="_Toc10891"/>
    </w:p>
    <w:p>
      <w:pPr>
        <w:pStyle w:val="3"/>
        <w:rPr>
          <w:rFonts w:hint="eastAsia"/>
          <w:color w:val="auto"/>
          <w:highlight w:val="none"/>
        </w:rPr>
      </w:pPr>
      <w:bookmarkStart w:id="26" w:name="_Toc2331"/>
      <w:bookmarkStart w:id="27" w:name="_Toc2324"/>
      <w:bookmarkStart w:id="28" w:name="_Toc25603"/>
      <w:bookmarkStart w:id="29" w:name="_Toc19295"/>
      <w:bookmarkStart w:id="30" w:name="_Toc16705"/>
      <w:bookmarkStart w:id="31" w:name="_Toc32588"/>
      <w:bookmarkStart w:id="32" w:name="_Toc9448"/>
      <w:bookmarkStart w:id="33" w:name="_Toc16557"/>
      <w:bookmarkStart w:id="34" w:name="_Toc7340"/>
      <w:bookmarkStart w:id="35" w:name="_Toc23749"/>
    </w:p>
    <w:p>
      <w:pPr>
        <w:pStyle w:val="3"/>
        <w:rPr>
          <w:rFonts w:hint="eastAsia"/>
          <w:color w:val="auto"/>
          <w:highlight w:val="none"/>
        </w:rPr>
      </w:pPr>
    </w:p>
    <w:p>
      <w:pPr>
        <w:pStyle w:val="3"/>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2197735</wp:posOffset>
                </wp:positionH>
                <wp:positionV relativeFrom="paragraph">
                  <wp:posOffset>497840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3.05pt;margin-top:39.2pt;height:0pt;width:75.5pt;z-index:251673600;mso-width-relative:page;mso-height-relative:page;" filled="f" stroked="t" coordsize="21600,21600" o:gfxdata="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3SLUt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41275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3.65pt;margin-top:3.25pt;height:0pt;width:75.5pt;z-index:251672576;mso-width-relative:page;mso-height-relative:page;" filled="f" stroked="t" coordsize="21600,21600" o:gfxdata="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iUpLvVAAAABwEAAA8AAAAAAAAAAQAgAAAAIgAAAGRycy9kb3ducmV2LnhtbFBLAQIUABQA&#10;AAAIAIdO4kD2Yu3q8wEAAOQDAAAOAAAAAAAAAAEAIAAAACQ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4"/>
        <w:rPr>
          <w:rFonts w:hint="eastAsia"/>
          <w:color w:val="auto"/>
          <w:highlight w:val="none"/>
        </w:rPr>
      </w:pPr>
    </w:p>
    <w:p>
      <w:pPr>
        <w:pStyle w:val="4"/>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default" w:eastAsia="等线"/>
          <w:color w:val="auto"/>
          <w:highlight w:val="none"/>
          <w:lang w:val="en-US" w:eastAsia="zh-CN"/>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left="558" w:leftChars="266" w:firstLine="134" w:firstLineChars="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1"/>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5</w:t>
      </w:r>
      <w:r>
        <w:rPr>
          <w:rFonts w:hint="eastAsia" w:ascii="宋体" w:hAnsi="宋体" w:eastAsia="宋体"/>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int="eastAsia" w:hAnsi="仿宋"/>
          <w:color w:val="auto"/>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w:t>
      </w:r>
      <w:r>
        <w:rPr>
          <w:rFonts w:hint="eastAsia" w:hAnsi="仿宋"/>
          <w:color w:val="auto"/>
          <w:sz w:val="24"/>
          <w:highlight w:val="none"/>
          <w:lang w:eastAsia="zh-CN"/>
        </w:rPr>
        <w:t>供应商</w:t>
      </w:r>
      <w:r>
        <w:rPr>
          <w:rFonts w:hAnsi="仿宋"/>
          <w:color w:val="auto"/>
          <w:sz w:val="24"/>
          <w:highlight w:val="none"/>
        </w:rPr>
        <w:t>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w:t>
      </w:r>
      <w:r>
        <w:rPr>
          <w:rFonts w:hint="eastAsia" w:hAnsi="仿宋"/>
          <w:color w:val="auto"/>
          <w:sz w:val="24"/>
          <w:highlight w:val="none"/>
          <w:lang w:eastAsia="zh-CN"/>
        </w:rPr>
        <w:t>供应商</w:t>
      </w:r>
      <w:r>
        <w:rPr>
          <w:rFonts w:hAnsi="仿宋"/>
          <w:color w:val="auto"/>
          <w:sz w:val="24"/>
          <w:highlight w:val="none"/>
        </w:rPr>
        <w:t>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w:t>
      </w:r>
      <w:r>
        <w:rPr>
          <w:rFonts w:hint="eastAsia" w:hAnsi="仿宋"/>
          <w:color w:val="auto"/>
          <w:sz w:val="24"/>
          <w:highlight w:val="none"/>
          <w:lang w:eastAsia="zh-CN"/>
        </w:rPr>
        <w:t>供应商</w:t>
      </w:r>
      <w:r>
        <w:rPr>
          <w:rFonts w:hAnsi="仿宋"/>
          <w:color w:val="auto"/>
          <w:sz w:val="24"/>
          <w:highlight w:val="none"/>
        </w:rPr>
        <w:t>绑定投标的附条件生效协议以及能证明其能履行该协议项下的合同义务的能力的证明文件。</w:t>
      </w:r>
      <w:r>
        <w:rPr>
          <w:rFonts w:hAnsi="仿宋"/>
          <w:color w:val="auto"/>
          <w:sz w:val="24"/>
          <w:highlight w:val="none"/>
        </w:rPr>
        <w:tab/>
      </w:r>
    </w:p>
    <w:p>
      <w:pPr>
        <w:pStyle w:val="2"/>
        <w:rPr>
          <w:color w:val="auto"/>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p>
    <w:p>
      <w:pPr>
        <w:pStyle w:val="21"/>
        <w:rPr>
          <w:rFonts w:hint="eastAsia" w:ascii="仿宋_GB2312" w:eastAsia="仿宋_GB2312"/>
          <w:color w:val="auto"/>
          <w:sz w:val="28"/>
          <w:szCs w:val="28"/>
          <w:highlight w:val="none"/>
          <w:lang w:val="en-US" w:eastAsia="zh-CN"/>
        </w:rPr>
      </w:pPr>
    </w:p>
    <w:p>
      <w:pPr>
        <w:pStyle w:val="21"/>
        <w:rPr>
          <w:rFonts w:hint="eastAsia" w:ascii="仿宋_GB2312" w:eastAsia="仿宋_GB2312"/>
          <w:color w:val="auto"/>
          <w:sz w:val="28"/>
          <w:szCs w:val="28"/>
          <w:highlight w:val="none"/>
          <w:lang w:val="en-US" w:eastAsia="zh-CN"/>
        </w:rPr>
      </w:pPr>
    </w:p>
    <w:p>
      <w:pPr>
        <w:pStyle w:val="21"/>
        <w:rPr>
          <w:rFonts w:hint="eastAsia" w:ascii="仿宋_GB2312" w:eastAsia="仿宋_GB2312"/>
          <w:color w:val="auto"/>
          <w:sz w:val="28"/>
          <w:szCs w:val="28"/>
          <w:highlight w:val="none"/>
          <w:lang w:val="en-US" w:eastAsia="zh-CN"/>
        </w:rPr>
      </w:pPr>
    </w:p>
    <w:p>
      <w:pPr>
        <w:pStyle w:val="21"/>
        <w:rPr>
          <w:rFonts w:hint="eastAsia" w:ascii="仿宋_GB2312" w:eastAsia="仿宋_GB2312"/>
          <w:color w:val="auto"/>
          <w:sz w:val="28"/>
          <w:szCs w:val="28"/>
          <w:highlight w:val="none"/>
          <w:lang w:val="en-US" w:eastAsia="zh-CN"/>
        </w:rPr>
      </w:pPr>
    </w:p>
    <w:p>
      <w:pPr>
        <w:pStyle w:val="21"/>
        <w:rPr>
          <w:rFonts w:hint="eastAsia" w:ascii="仿宋_GB2312" w:eastAsia="仿宋_GB2312"/>
          <w:color w:val="auto"/>
          <w:sz w:val="28"/>
          <w:szCs w:val="28"/>
          <w:highlight w:val="none"/>
          <w:lang w:val="en-US" w:eastAsia="zh-CN"/>
        </w:rPr>
      </w:pPr>
    </w:p>
    <w:p>
      <w:pPr>
        <w:pStyle w:val="4"/>
        <w:rPr>
          <w:rFonts w:hint="eastAsia" w:asciiTheme="minorHAnsi" w:hAnsiTheme="minorHAnsi" w:cstheme="minorBidi"/>
          <w:color w:val="auto"/>
          <w:kern w:val="44"/>
          <w:sz w:val="44"/>
          <w:szCs w:val="44"/>
          <w:highlight w:val="none"/>
        </w:rPr>
      </w:pPr>
      <w:bookmarkStart w:id="38" w:name="_Toc2867"/>
      <w:bookmarkStart w:id="39" w:name="_Toc21455"/>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2162175</wp:posOffset>
                </wp:positionH>
                <wp:positionV relativeFrom="paragraph">
                  <wp:posOffset>588645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0.25pt;margin-top:46.35pt;height:0pt;width:75.5pt;z-index:251662336;mso-width-relative:page;mso-height-relative:page;" filled="f" stroked="t" coordsize="21600,21600" o:gfxdata="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4jqoj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2185035</wp:posOffset>
                </wp:positionH>
                <wp:positionV relativeFrom="paragraph">
                  <wp:posOffset>596900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2.05pt;margin-top:47pt;height:0pt;width:75.5pt;z-index:251663360;mso-width-relative:page;mso-height-relative:page;" filled="f" stroked="t" coordsize="21600,21600" o:gfxdata="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704gt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5"/>
        <w:rPr>
          <w:color w:val="auto"/>
          <w:highlight w:val="none"/>
        </w:rPr>
      </w:pPr>
    </w:p>
    <w:p>
      <w:pPr>
        <w:pStyle w:val="4"/>
        <w:rPr>
          <w:color w:val="auto"/>
          <w:highlight w:val="none"/>
        </w:rPr>
      </w:pPr>
      <w:bookmarkStart w:id="40" w:name="_Toc88209934"/>
      <w:bookmarkStart w:id="41" w:name="_Toc7040"/>
      <w:bookmarkStart w:id="42" w:name="_Toc7303"/>
      <w:bookmarkStart w:id="43" w:name="_Toc87616371"/>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6" w:name="_Toc19759"/>
      <w:bookmarkStart w:id="47" w:name="_Toc7437"/>
      <w:bookmarkStart w:id="48" w:name="_Toc10930"/>
      <w:bookmarkStart w:id="49" w:name="_Toc14870"/>
      <w:bookmarkStart w:id="50" w:name="_Toc19050"/>
      <w:bookmarkStart w:id="51" w:name="_Toc4952"/>
      <w:bookmarkStart w:id="52" w:name="_Toc7118"/>
      <w:bookmarkStart w:id="53" w:name="_Toc14552"/>
      <w:bookmarkStart w:id="54" w:name="_Toc3156"/>
      <w:bookmarkStart w:id="55" w:name="_Toc23581"/>
      <w:bookmarkStart w:id="56" w:name="_Toc2059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2192020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2.6pt;margin-top:56.7pt;height:0pt;width:75.5pt;z-index:251665408;mso-width-relative:page;mso-height-relative:page;" filled="f" stroked="t" coordsize="21600,21600" o:gfxdata="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xljd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241935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1.85pt;margin-top:19.05pt;height:0pt;width:75.5pt;z-index:251664384;mso-width-relative:page;mso-height-relative:page;" filled="f" stroked="t" coordsize="21600,21600" o:gfxdata="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xEKK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5"/>
        <w:rPr>
          <w:color w:val="auto"/>
          <w:highlight w:val="none"/>
        </w:rPr>
      </w:pPr>
    </w:p>
    <w:p>
      <w:pPr>
        <w:pStyle w:val="3"/>
        <w:rPr>
          <w:color w:val="auto"/>
          <w:highlight w:val="none"/>
        </w:rPr>
      </w:pPr>
      <w:bookmarkStart w:id="57" w:name="_Toc21079"/>
      <w:bookmarkStart w:id="58" w:name="_Toc29345"/>
      <w:bookmarkStart w:id="59" w:name="_Toc13898"/>
      <w:bookmarkStart w:id="60" w:name="_Toc7831"/>
      <w:bookmarkStart w:id="61" w:name="_Toc32607"/>
      <w:bookmarkStart w:id="62" w:name="_Toc12177"/>
      <w:bookmarkStart w:id="63" w:name="_Toc30530"/>
      <w:bookmarkStart w:id="64" w:name="_Toc6308"/>
      <w:bookmarkStart w:id="65" w:name="_Toc88209941"/>
      <w:bookmarkStart w:id="66" w:name="_Toc87616378"/>
      <w:bookmarkStart w:id="67" w:name="_Toc21840"/>
      <w:bookmarkStart w:id="68" w:name="_Toc29484"/>
      <w:bookmarkStart w:id="69" w:name="_Toc22212"/>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70" w:name="_Toc26826"/>
      <w:bookmarkStart w:id="71" w:name="_Toc23033"/>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rFonts w:hint="eastAsia"/>
          <w:color w:val="auto"/>
          <w:highlight w:val="none"/>
        </w:rPr>
      </w:pPr>
      <w:bookmarkStart w:id="72" w:name="_Toc88209947"/>
    </w:p>
    <w:p>
      <w:pPr>
        <w:pStyle w:val="3"/>
        <w:rPr>
          <w:rFonts w:hint="eastAsia"/>
          <w:color w:val="auto"/>
          <w:highlight w:val="none"/>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2216785</wp:posOffset>
                </wp:positionH>
                <wp:positionV relativeFrom="paragraph">
                  <wp:posOffset>488315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4.55pt;margin-top:38.45pt;height:0pt;width:75.5pt;z-index:251675648;mso-width-relative:page;mso-height-relative:page;" filled="f" stroked="t" coordsize="21600,21600" o:gfxdata="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cno/N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2205355</wp:posOffset>
                </wp:positionH>
                <wp:positionV relativeFrom="paragraph">
                  <wp:posOffset>31750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3.65pt;margin-top:2.5pt;height:0pt;width:75.5pt;z-index:251674624;mso-width-relative:page;mso-height-relative:page;" filled="f" stroked="t" coordsize="21600,21600" o:gfxdata="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S5qEBWcOLN34z0/f&#10;fn38fPflx933r2y+yBoNAWsK3bibeNphuImZ8KGNNv+JCjsUXY9nXdUhMUGHLxbL5YIUF/eu6iEv&#10;REyvlLcsGw3HFEF3fdp45+jyfJwVWWH/GhNVpsT7hFzUODZkeGqSCaBhbGkIyLSBCKHrSi56o+W1&#10;NiZnYOx2GxPZHvJAlC/zI9y/wnKRLWA/xhXXOCq9AvnSSZaOgZRy9EJ4bsEqyZlR9KCyRYBQJ9Dm&#10;kkgqbRx1kCUeRc3Wzstj0bqc0+WXHk+Dmqfrz33Jfnic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sa2MJ1AAAAAcBAAAPAAAAAAAAAAEAIAAAACIAAABkcnMvZG93bnJldi54bWxQSwECFAAUAAAA&#10;CACHTuJAXMu1X/IBAADkAwAADgAAAAAAAAABACAAAAAj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ind w:left="0" w:leftChars="0" w:firstLine="0" w:firstLineChars="0"/>
        <w:rPr>
          <w:rFonts w:hint="eastAsia"/>
          <w:color w:val="auto"/>
          <w:szCs w:val="44"/>
          <w:highlight w:val="none"/>
        </w:rPr>
      </w:pPr>
    </w:p>
    <w:p>
      <w:pPr>
        <w:pStyle w:val="21"/>
        <w:ind w:left="0" w:leftChars="0" w:firstLine="0" w:firstLineChars="0"/>
        <w:rPr>
          <w:rFonts w:hint="eastAsia"/>
          <w:color w:val="auto"/>
          <w:szCs w:val="44"/>
          <w:highlight w:val="none"/>
        </w:rPr>
      </w:pPr>
    </w:p>
    <w:bookmarkEnd w:id="72"/>
    <w:p>
      <w:pPr>
        <w:pStyle w:val="11"/>
        <w:keepNext w:val="0"/>
        <w:keepLines w:val="0"/>
        <w:pageBreakBefore w:val="0"/>
        <w:numPr>
          <w:ilvl w:val="0"/>
          <w:numId w:val="4"/>
        </w:numPr>
        <w:kinsoku/>
        <w:wordWrap/>
        <w:overflowPunct/>
        <w:topLinePunct w:val="0"/>
        <w:bidi w:val="0"/>
        <w:adjustRightInd w:val="0"/>
        <w:snapToGrid w:val="0"/>
        <w:spacing w:line="560" w:lineRule="exact"/>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项目情况介绍</w:t>
      </w:r>
    </w:p>
    <w:p>
      <w:pPr>
        <w:keepNext w:val="0"/>
        <w:keepLines w:val="0"/>
        <w:pageBreakBefore w:val="0"/>
        <w:kinsoku/>
        <w:wordWrap/>
        <w:overflowPunct/>
        <w:topLinePunct w:val="0"/>
        <w:bidi w:val="0"/>
        <w:spacing w:line="560" w:lineRule="exact"/>
        <w:ind w:firstLine="642"/>
        <w:rPr>
          <w:rFonts w:hint="eastAsia" w:ascii="仿宋" w:hAnsi="仿宋" w:eastAsia="仿宋" w:cs="仿宋"/>
          <w:b w:val="0"/>
          <w:color w:val="auto"/>
          <w:kern w:val="0"/>
          <w:sz w:val="28"/>
          <w:szCs w:val="28"/>
          <w:highlight w:val="none"/>
          <w:lang w:val="en-US"/>
        </w:rPr>
      </w:pPr>
      <w:r>
        <w:rPr>
          <w:rFonts w:hint="eastAsia" w:ascii="仿宋" w:hAnsi="仿宋" w:eastAsia="仿宋" w:cs="仿宋"/>
          <w:color w:val="auto"/>
          <w:kern w:val="0"/>
          <w:sz w:val="28"/>
          <w:szCs w:val="28"/>
          <w:highlight w:val="none"/>
        </w:rPr>
        <w:t>本次计划采购的固定式气体检测仪</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套</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用于安装沥滘分公司</w:t>
      </w:r>
      <w:r>
        <w:rPr>
          <w:rFonts w:hint="eastAsia" w:ascii="仿宋" w:hAnsi="仿宋" w:eastAsia="仿宋" w:cs="仿宋"/>
          <w:b w:val="0"/>
          <w:bCs w:val="0"/>
          <w:color w:val="auto"/>
          <w:kern w:val="0"/>
          <w:sz w:val="28"/>
          <w:szCs w:val="28"/>
          <w:highlight w:val="none"/>
          <w:lang w:val="en-US" w:eastAsia="zh-CN"/>
        </w:rPr>
        <w:t>三期加罩区域、三期地下厂无人区出入口及一二期提标负二层出入口</w:t>
      </w:r>
      <w:r>
        <w:rPr>
          <w:rFonts w:hint="eastAsia" w:ascii="仿宋" w:hAnsi="仿宋" w:eastAsia="仿宋" w:cs="仿宋"/>
          <w:color w:val="auto"/>
          <w:kern w:val="0"/>
          <w:sz w:val="28"/>
          <w:szCs w:val="28"/>
          <w:highlight w:val="none"/>
        </w:rPr>
        <w:t>。</w:t>
      </w:r>
    </w:p>
    <w:p>
      <w:pPr>
        <w:pStyle w:val="11"/>
        <w:keepNext w:val="0"/>
        <w:keepLines w:val="0"/>
        <w:pageBreakBefore w:val="0"/>
        <w:numPr>
          <w:ilvl w:val="0"/>
          <w:numId w:val="5"/>
        </w:numPr>
        <w:kinsoku/>
        <w:wordWrap/>
        <w:overflowPunct/>
        <w:topLinePunct w:val="0"/>
        <w:bidi w:val="0"/>
        <w:adjustRightInd w:val="0"/>
        <w:snapToGrid w:val="0"/>
        <w:spacing w:line="560" w:lineRule="exact"/>
        <w:rPr>
          <w:rFonts w:hint="eastAsia" w:ascii="仿宋" w:hAnsi="仿宋" w:eastAsia="仿宋" w:cs="仿宋"/>
          <w:color w:val="auto"/>
          <w:sz w:val="28"/>
          <w:szCs w:val="28"/>
          <w:highlight w:val="none"/>
          <w:lang w:val="zh-CN"/>
        </w:rPr>
      </w:pPr>
      <w:r>
        <w:rPr>
          <w:rFonts w:hint="eastAsia" w:ascii="仿宋" w:hAnsi="仿宋" w:eastAsia="仿宋" w:cs="仿宋"/>
          <w:b/>
          <w:color w:val="auto"/>
          <w:sz w:val="28"/>
          <w:szCs w:val="28"/>
          <w:highlight w:val="none"/>
          <w:lang w:val="zh-CN"/>
        </w:rPr>
        <w:t>项目技术要求</w:t>
      </w:r>
    </w:p>
    <w:p>
      <w:pPr>
        <w:pStyle w:val="11"/>
        <w:keepNext w:val="0"/>
        <w:keepLines w:val="0"/>
        <w:pageBreakBefore w:val="0"/>
        <w:numPr>
          <w:ilvl w:val="0"/>
          <w:numId w:val="0"/>
        </w:numPr>
        <w:kinsoku/>
        <w:wordWrap/>
        <w:overflowPunct/>
        <w:topLinePunct w:val="0"/>
        <w:bidi w:val="0"/>
        <w:adjustRightInd w:val="0"/>
        <w:snapToGrid w:val="0"/>
        <w:spacing w:line="560" w:lineRule="exact"/>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（一）采购清单</w:t>
      </w:r>
    </w:p>
    <w:tbl>
      <w:tblPr>
        <w:tblStyle w:val="22"/>
        <w:tblW w:w="7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86"/>
        <w:gridCol w:w="1369"/>
        <w:gridCol w:w="2747"/>
        <w:gridCol w:w="600"/>
        <w:gridCol w:w="2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53" w:hRule="atLeast"/>
          <w:jc w:val="center"/>
        </w:trPr>
        <w:tc>
          <w:tcPr>
            <w:tcW w:w="68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序号</w:t>
            </w:r>
          </w:p>
        </w:tc>
        <w:tc>
          <w:tcPr>
            <w:tcW w:w="1369"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rPr>
              <w:t>设备名称</w:t>
            </w:r>
          </w:p>
        </w:tc>
        <w:tc>
          <w:tcPr>
            <w:tcW w:w="2747"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配</w:t>
            </w:r>
            <w:r>
              <w:rPr>
                <w:rFonts w:hint="eastAsia" w:ascii="仿宋" w:hAnsi="仿宋" w:eastAsia="仿宋" w:cs="仿宋"/>
                <w:color w:val="auto"/>
                <w:sz w:val="21"/>
                <w:szCs w:val="21"/>
                <w:highlight w:val="none"/>
              </w:rPr>
              <w:t>件名称</w:t>
            </w:r>
          </w:p>
        </w:tc>
        <w:tc>
          <w:tcPr>
            <w:tcW w:w="60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数量（套）</w:t>
            </w:r>
          </w:p>
        </w:tc>
        <w:tc>
          <w:tcPr>
            <w:tcW w:w="243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9" w:hRule="atLeast"/>
          <w:jc w:val="center"/>
        </w:trPr>
        <w:tc>
          <w:tcPr>
            <w:tcW w:w="68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1</w:t>
            </w:r>
          </w:p>
        </w:tc>
        <w:tc>
          <w:tcPr>
            <w:tcW w:w="1369"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固定式气体检测仪</w:t>
            </w:r>
          </w:p>
        </w:tc>
        <w:tc>
          <w:tcPr>
            <w:tcW w:w="2747"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固定气体检测仪防爆控制器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多通道控制器</w:t>
            </w:r>
            <w:r>
              <w:rPr>
                <w:rFonts w:hint="eastAsia" w:ascii="仿宋" w:hAnsi="仿宋" w:eastAsia="仿宋" w:cs="仿宋"/>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氨气气体检测仪</w:t>
            </w:r>
            <w:r>
              <w:rPr>
                <w:rFonts w:hint="eastAsia" w:ascii="仿宋" w:hAnsi="仿宋" w:eastAsia="仿宋" w:cs="仿宋"/>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硫化氢气体检测仪</w:t>
            </w:r>
            <w:r>
              <w:rPr>
                <w:rFonts w:hint="eastAsia" w:ascii="仿宋" w:hAnsi="仿宋" w:eastAsia="仿宋" w:cs="仿宋"/>
                <w:color w:val="auto"/>
                <w:sz w:val="21"/>
                <w:szCs w:val="21"/>
                <w:highlight w:val="none"/>
                <w:lang w:eastAsia="zh-CN"/>
              </w:rPr>
              <w:t>；</w:t>
            </w:r>
          </w:p>
          <w:p>
            <w:pPr>
              <w:adjustRightInd/>
              <w:snapToGrid/>
              <w:spacing w:line="240" w:lineRule="auto"/>
              <w:jc w:val="center"/>
              <w:textAlignment w:val="auto"/>
              <w:rPr>
                <w:rFonts w:hint="eastAsia"/>
                <w:color w:val="auto"/>
                <w:highlight w:val="none"/>
              </w:rPr>
            </w:pPr>
            <w:r>
              <w:rPr>
                <w:rFonts w:hint="eastAsia" w:ascii="仿宋" w:hAnsi="仿宋" w:eastAsia="仿宋" w:cs="仿宋"/>
                <w:color w:val="auto"/>
                <w:sz w:val="21"/>
                <w:szCs w:val="21"/>
                <w:highlight w:val="none"/>
              </w:rPr>
              <w:t>氧气气体检测仪</w:t>
            </w:r>
            <w:r>
              <w:rPr>
                <w:rFonts w:hint="eastAsia" w:ascii="仿宋" w:hAnsi="仿宋" w:eastAsia="仿宋" w:cs="仿宋"/>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甲烷气体检测仪</w:t>
            </w:r>
            <w:r>
              <w:rPr>
                <w:rFonts w:hint="eastAsia" w:ascii="仿宋" w:hAnsi="仿宋" w:eastAsia="仿宋" w:cs="仿宋"/>
                <w:color w:val="auto"/>
                <w:sz w:val="21"/>
                <w:szCs w:val="21"/>
                <w:highlight w:val="none"/>
                <w:lang w:eastAsia="zh-CN"/>
              </w:rPr>
              <w:t>。</w:t>
            </w:r>
          </w:p>
        </w:tc>
        <w:tc>
          <w:tcPr>
            <w:tcW w:w="60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4</w:t>
            </w:r>
          </w:p>
        </w:tc>
        <w:tc>
          <w:tcPr>
            <w:tcW w:w="243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eastAsia="仿宋" w:cs="仿宋"/>
                <w:b w:val="0"/>
                <w:bCs/>
                <w:i w:val="0"/>
                <w:color w:val="auto"/>
                <w:kern w:val="0"/>
                <w:sz w:val="21"/>
                <w:szCs w:val="21"/>
                <w:highlight w:val="none"/>
                <w:u w:val="none"/>
                <w:lang w:val="en-US" w:eastAsia="zh-CN" w:bidi="ar"/>
              </w:rPr>
              <w:t>售后服务包括：设备安装时的拆装指导。以安装指导完成，设备正常运行验收合格，作为本次采购的验收标准</w:t>
            </w:r>
          </w:p>
        </w:tc>
      </w:tr>
    </w:tbl>
    <w:p>
      <w:pPr>
        <w:pStyle w:val="11"/>
        <w:numPr>
          <w:ilvl w:val="0"/>
          <w:numId w:val="0"/>
        </w:numPr>
        <w:adjustRightInd w:val="0"/>
        <w:snapToGrid w:val="0"/>
        <w:spacing w:line="560" w:lineRule="exact"/>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（二）技术要求</w:t>
      </w:r>
    </w:p>
    <w:tbl>
      <w:tblPr>
        <w:tblStyle w:val="23"/>
        <w:tblpPr w:leftFromText="180" w:rightFromText="180" w:vertAnchor="text" w:horzAnchor="page" w:tblpX="212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507"/>
        <w:gridCol w:w="871"/>
        <w:gridCol w:w="3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53" w:type="dxa"/>
            <w:vAlign w:val="top"/>
          </w:tcPr>
          <w:p>
            <w:pPr>
              <w:widowControl/>
              <w:bidi w:val="0"/>
              <w:spacing w:line="560" w:lineRule="exact"/>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b w:val="0"/>
                <w:bCs w:val="0"/>
                <w:color w:val="auto"/>
                <w:sz w:val="21"/>
                <w:szCs w:val="21"/>
                <w:highlight w:val="none"/>
                <w:lang w:val="en-US" w:eastAsia="zh-CN"/>
              </w:rPr>
              <w:t>序号</w:t>
            </w:r>
          </w:p>
        </w:tc>
        <w:tc>
          <w:tcPr>
            <w:tcW w:w="2507" w:type="dxa"/>
            <w:vAlign w:val="top"/>
          </w:tcPr>
          <w:p>
            <w:pPr>
              <w:widowControl/>
              <w:bidi w:val="0"/>
              <w:spacing w:line="560" w:lineRule="exact"/>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物资名称</w:t>
            </w:r>
          </w:p>
        </w:tc>
        <w:tc>
          <w:tcPr>
            <w:tcW w:w="871" w:type="dxa"/>
            <w:vAlign w:val="top"/>
          </w:tcPr>
          <w:p>
            <w:pPr>
              <w:widowControl/>
              <w:bidi w:val="0"/>
              <w:spacing w:line="560" w:lineRule="exact"/>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数量</w:t>
            </w:r>
          </w:p>
        </w:tc>
        <w:tc>
          <w:tcPr>
            <w:tcW w:w="3756" w:type="dxa"/>
            <w:vAlign w:val="top"/>
          </w:tcPr>
          <w:p>
            <w:pPr>
              <w:widowControl/>
              <w:bidi w:val="0"/>
              <w:spacing w:line="560" w:lineRule="exact"/>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主要的规格参数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753" w:type="dxa"/>
            <w:vAlign w:val="center"/>
          </w:tcPr>
          <w:p>
            <w:pPr>
              <w:bidi w:val="0"/>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1</w:t>
            </w:r>
          </w:p>
        </w:tc>
        <w:tc>
          <w:tcPr>
            <w:tcW w:w="2507" w:type="dxa"/>
            <w:vAlign w:val="center"/>
          </w:tcPr>
          <w:p>
            <w:pPr>
              <w:bidi w:val="0"/>
              <w:jc w:val="center"/>
              <w:rPr>
                <w:rFonts w:hint="default" w:ascii="仿宋_GB2312" w:hAnsi="仿宋_GB2312" w:eastAsia="仿宋_GB2312" w:cs="仿宋_GB2312"/>
                <w:color w:val="auto"/>
                <w:sz w:val="30"/>
                <w:szCs w:val="30"/>
                <w:highlight w:val="none"/>
                <w:lang w:val="en-US" w:eastAsia="zh-CN"/>
              </w:rPr>
            </w:pPr>
            <w:r>
              <w:rPr>
                <w:rFonts w:hint="eastAsia" w:ascii="仿宋" w:hAnsi="仿宋" w:eastAsia="仿宋" w:cs="仿宋"/>
                <w:color w:val="auto"/>
                <w:sz w:val="21"/>
                <w:szCs w:val="21"/>
                <w:highlight w:val="none"/>
                <w:lang w:val="en-US" w:eastAsia="zh-CN"/>
              </w:rPr>
              <w:t>多通道控制器</w:t>
            </w:r>
          </w:p>
        </w:tc>
        <w:tc>
          <w:tcPr>
            <w:tcW w:w="871" w:type="dxa"/>
            <w:vAlign w:val="center"/>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756" w:type="dxa"/>
            <w:vAlign w:val="top"/>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pacing w:val="0"/>
                <w:w w:val="100"/>
                <w:position w:val="0"/>
                <w:sz w:val="21"/>
                <w:szCs w:val="21"/>
                <w:highlight w:val="none"/>
                <w:lang w:val="en-US" w:eastAsia="zh-CN"/>
              </w:rPr>
              <w:t>1.</w:t>
            </w:r>
            <w:r>
              <w:rPr>
                <w:rFonts w:hint="eastAsia" w:ascii="仿宋" w:hAnsi="仿宋" w:eastAsia="仿宋" w:cs="仿宋"/>
                <w:color w:val="auto"/>
                <w:sz w:val="21"/>
                <w:szCs w:val="21"/>
                <w:highlight w:val="none"/>
                <w:lang w:val="en-US" w:eastAsia="zh-CN"/>
              </w:rPr>
              <w:t>高清液晶显示、分辨率髙、视觉效果佳；</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2.具备功能快捷键、数字键盘、触摸按键、操作 方便简单；</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3.信号输入、输出：485</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4.具备强大数据统计分析，报警、故障总数累计；</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5.大容量数据记录存储、查询，数据导出灵活；</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6.控制器可对探头进行零点、跨度校准及参数设 置；</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7.支持市电</w:t>
            </w:r>
            <w:r>
              <w:rPr>
                <w:rFonts w:hint="eastAsia" w:ascii="仿宋" w:hAnsi="仿宋" w:eastAsia="仿宋" w:cs="仿宋"/>
                <w:color w:val="auto"/>
                <w:sz w:val="21"/>
                <w:szCs w:val="21"/>
                <w:highlight w:val="none"/>
                <w:lang w:val="en-US" w:eastAsia="en-US"/>
              </w:rPr>
              <w:t>220V</w:t>
            </w:r>
            <w:r>
              <w:rPr>
                <w:rFonts w:hint="eastAsia" w:ascii="仿宋" w:hAnsi="仿宋" w:eastAsia="仿宋" w:cs="仿宋"/>
                <w:color w:val="auto"/>
                <w:sz w:val="21"/>
                <w:szCs w:val="21"/>
                <w:highlight w:val="none"/>
                <w:lang w:val="en-US" w:eastAsia="zh-CN"/>
              </w:rPr>
              <w:t>供电及蓄电池备用供电（可改 动），无缝切换；</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8.可靠性强、多级防护措施，具有脉冲及静电保护；</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9.具有相对独立、互不影响的报警功能，并能区分和识别报警场所位号。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53" w:type="dxa"/>
            <w:vAlign w:val="center"/>
          </w:tcPr>
          <w:p>
            <w:pPr>
              <w:bidi w:val="0"/>
              <w:jc w:val="center"/>
              <w:rPr>
                <w:rFonts w:hint="eastAsia" w:ascii="仿宋_GB2312" w:hAnsi="仿宋_GB2312" w:eastAsia="仿宋_GB2312" w:cs="仿宋_GB2312"/>
                <w:color w:val="auto"/>
                <w:sz w:val="30"/>
                <w:szCs w:val="30"/>
                <w:highlight w:val="none"/>
                <w:lang w:val="en-US" w:eastAsia="zh-CN"/>
              </w:rPr>
            </w:pPr>
            <w:r>
              <w:rPr>
                <w:rFonts w:hint="eastAsia" w:ascii="仿宋" w:hAnsi="仿宋" w:eastAsia="仿宋" w:cs="仿宋"/>
                <w:color w:val="auto"/>
                <w:sz w:val="21"/>
                <w:szCs w:val="21"/>
                <w:highlight w:val="none"/>
              </w:rPr>
              <w:t>2</w:t>
            </w:r>
          </w:p>
        </w:tc>
        <w:tc>
          <w:tcPr>
            <w:tcW w:w="2507" w:type="dxa"/>
            <w:vAlign w:val="center"/>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氨气气体检测仪</w:t>
            </w:r>
          </w:p>
        </w:tc>
        <w:tc>
          <w:tcPr>
            <w:tcW w:w="871" w:type="dxa"/>
            <w:vAlign w:val="center"/>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756" w:type="dxa"/>
            <w:vMerge w:val="restart"/>
            <w:vAlign w:val="top"/>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pacing w:val="0"/>
                <w:w w:val="100"/>
                <w:position w:val="0"/>
                <w:sz w:val="21"/>
                <w:szCs w:val="21"/>
                <w:highlight w:val="none"/>
                <w:lang w:val="en-US" w:eastAsia="zh-CN"/>
              </w:rPr>
              <w:t>1</w:t>
            </w:r>
            <w:r>
              <w:rPr>
                <w:rFonts w:hint="eastAsia" w:ascii="仿宋" w:hAnsi="仿宋" w:eastAsia="仿宋" w:cs="仿宋"/>
                <w:color w:val="auto"/>
                <w:sz w:val="21"/>
                <w:szCs w:val="21"/>
                <w:highlight w:val="none"/>
                <w:lang w:val="en-US" w:eastAsia="zh-CN"/>
              </w:rPr>
              <w:t>.检测方式（泵吸/扩散/气体）：扩散</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2.检测精度：±3%</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3.响应速度:T90&lt;15s</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4.重复性：现场未确认消音或报警气体浓度未恢 复正常值，则持续声光报警</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5.传感器环境条件（温度/湿度）：-20至60° C；</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6.湿度：5~99%RH （不冷凝）</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7.防护等级：IP65</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8.报警方式：二级声光报警，一二级有明显区别 （二级报警光更亮、声更尖锐紧凑）</w:t>
            </w:r>
          </w:p>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9.信号输出：485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53" w:type="dxa"/>
            <w:vAlign w:val="center"/>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3</w:t>
            </w:r>
          </w:p>
        </w:tc>
        <w:tc>
          <w:tcPr>
            <w:tcW w:w="2507" w:type="dxa"/>
            <w:vAlign w:val="center"/>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硫化氢气体检测仪</w:t>
            </w:r>
          </w:p>
        </w:tc>
        <w:tc>
          <w:tcPr>
            <w:tcW w:w="871" w:type="dxa"/>
            <w:vAlign w:val="center"/>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756" w:type="dxa"/>
            <w:vMerge w:val="continue"/>
            <w:vAlign w:val="top"/>
          </w:tcPr>
          <w:p>
            <w:pPr>
              <w:bidi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753" w:type="dxa"/>
            <w:vAlign w:val="center"/>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4</w:t>
            </w:r>
          </w:p>
        </w:tc>
        <w:tc>
          <w:tcPr>
            <w:tcW w:w="2507" w:type="dxa"/>
            <w:vAlign w:val="center"/>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氧气气体检测仪</w:t>
            </w:r>
          </w:p>
        </w:tc>
        <w:tc>
          <w:tcPr>
            <w:tcW w:w="871" w:type="dxa"/>
            <w:vAlign w:val="center"/>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756" w:type="dxa"/>
            <w:vMerge w:val="continue"/>
            <w:vAlign w:val="top"/>
          </w:tcPr>
          <w:p>
            <w:pPr>
              <w:bidi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53" w:type="dxa"/>
            <w:vAlign w:val="center"/>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5</w:t>
            </w:r>
          </w:p>
        </w:tc>
        <w:tc>
          <w:tcPr>
            <w:tcW w:w="2507" w:type="dxa"/>
            <w:vAlign w:val="center"/>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甲烷气体检测仪</w:t>
            </w:r>
          </w:p>
        </w:tc>
        <w:tc>
          <w:tcPr>
            <w:tcW w:w="871" w:type="dxa"/>
            <w:vAlign w:val="center"/>
          </w:tcPr>
          <w:p>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756" w:type="dxa"/>
            <w:vMerge w:val="continue"/>
            <w:vAlign w:val="top"/>
          </w:tcPr>
          <w:p>
            <w:pPr>
              <w:bidi w:val="0"/>
              <w:jc w:val="center"/>
              <w:rPr>
                <w:rFonts w:hint="eastAsia" w:ascii="仿宋_GB2312" w:hAnsi="仿宋_GB2312" w:eastAsia="仿宋_GB2312" w:cs="仿宋_GB2312"/>
                <w:color w:val="auto"/>
                <w:sz w:val="24"/>
                <w:szCs w:val="24"/>
                <w:highlight w:val="none"/>
                <w:lang w:val="en-US" w:eastAsia="zh-CN"/>
              </w:rPr>
            </w:pPr>
          </w:p>
        </w:tc>
      </w:tr>
    </w:tbl>
    <w:p>
      <w:pPr>
        <w:pStyle w:val="11"/>
        <w:bidi w:val="0"/>
        <w:adjustRightInd w:val="0"/>
        <w:snapToGrid w:val="0"/>
        <w:spacing w:line="560" w:lineRule="exact"/>
        <w:ind w:firstLine="560" w:firstLineChars="200"/>
        <w:rPr>
          <w:rFonts w:hint="eastAsia" w:ascii="仿宋" w:hAnsi="仿宋" w:eastAsia="仿宋" w:cs="仿宋"/>
          <w:b w:val="0"/>
          <w:bCs w:val="0"/>
          <w:color w:val="auto"/>
          <w:sz w:val="28"/>
          <w:szCs w:val="28"/>
          <w:highlight w:val="none"/>
          <w:lang w:val="en-US"/>
        </w:rPr>
      </w:pPr>
      <w:bookmarkStart w:id="73" w:name="bookmark18"/>
      <w:bookmarkStart w:id="74" w:name="bookmark16"/>
      <w:bookmarkStart w:id="75" w:name="bookmark15"/>
      <w:r>
        <w:rPr>
          <w:rFonts w:hint="eastAsia" w:ascii="仿宋" w:hAnsi="仿宋" w:eastAsia="仿宋" w:cs="仿宋"/>
          <w:b w:val="0"/>
          <w:bCs w:val="0"/>
          <w:color w:val="auto"/>
          <w:sz w:val="28"/>
          <w:szCs w:val="28"/>
          <w:highlight w:val="none"/>
          <w:lang w:val="en-US"/>
        </w:rPr>
        <w:t>（</w:t>
      </w:r>
      <w:r>
        <w:rPr>
          <w:rFonts w:hint="eastAsia" w:ascii="仿宋" w:hAnsi="仿宋" w:eastAsia="仿宋" w:cs="仿宋"/>
          <w:b w:val="0"/>
          <w:bCs w:val="0"/>
          <w:color w:val="auto"/>
          <w:sz w:val="28"/>
          <w:szCs w:val="28"/>
          <w:highlight w:val="none"/>
          <w:lang w:val="en-US" w:eastAsia="zh-CN"/>
        </w:rPr>
        <w:t>三</w:t>
      </w:r>
      <w:r>
        <w:rPr>
          <w:rFonts w:hint="eastAsia" w:ascii="仿宋" w:hAnsi="仿宋" w:eastAsia="仿宋" w:cs="仿宋"/>
          <w:b w:val="0"/>
          <w:bCs w:val="0"/>
          <w:color w:val="auto"/>
          <w:sz w:val="28"/>
          <w:szCs w:val="28"/>
          <w:highlight w:val="none"/>
          <w:lang w:val="en-US"/>
        </w:rPr>
        <w:t>）其他要求</w:t>
      </w:r>
      <w:bookmarkEnd w:id="73"/>
      <w:bookmarkEnd w:id="74"/>
      <w:bookmarkEnd w:id="75"/>
    </w:p>
    <w:p>
      <w:pPr>
        <w:pStyle w:val="11"/>
        <w:bidi w:val="0"/>
        <w:adjustRightInd w:val="0"/>
        <w:snapToGrid w:val="0"/>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此项目所采购固定式气体检测仪为原有固定式气体检测仪新增项目，因此有如下要求须满足:</w:t>
      </w:r>
    </w:p>
    <w:tbl>
      <w:tblPr>
        <w:tblStyle w:val="22"/>
        <w:tblW w:w="0" w:type="auto"/>
        <w:jc w:val="center"/>
        <w:tblLayout w:type="fixed"/>
        <w:tblCellMar>
          <w:top w:w="0" w:type="dxa"/>
          <w:left w:w="10" w:type="dxa"/>
          <w:bottom w:w="0" w:type="dxa"/>
          <w:right w:w="10" w:type="dxa"/>
        </w:tblCellMar>
      </w:tblPr>
      <w:tblGrid>
        <w:gridCol w:w="1286"/>
        <w:gridCol w:w="2520"/>
        <w:gridCol w:w="4762"/>
      </w:tblGrid>
      <w:tr>
        <w:tblPrEx>
          <w:tblCellMar>
            <w:top w:w="0" w:type="dxa"/>
            <w:left w:w="10" w:type="dxa"/>
            <w:bottom w:w="0" w:type="dxa"/>
            <w:right w:w="10" w:type="dxa"/>
          </w:tblCellMar>
        </w:tblPrEx>
        <w:trPr>
          <w:trHeight w:val="276" w:hRule="exact"/>
          <w:jc w:val="center"/>
        </w:trPr>
        <w:tc>
          <w:tcPr>
            <w:tcBorders>
              <w:top w:val="single" w:color="auto" w:sz="4" w:space="0"/>
              <w:left w:val="single" w:color="auto" w:sz="4" w:space="0"/>
            </w:tcBorders>
            <w:shd w:val="clear" w:color="auto" w:fill="FFFFFF"/>
            <w:vAlign w:val="bottom"/>
          </w:tcPr>
          <w:p>
            <w:pPr>
              <w:pStyle w:val="4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auto"/>
                <w:kern w:val="2"/>
                <w:sz w:val="24"/>
                <w:szCs w:val="24"/>
                <w:highlight w:val="none"/>
                <w:u w:val="none"/>
                <w:shd w:val="clear"/>
                <w:lang w:val="en-US" w:eastAsia="zh-CN" w:bidi="ar-SA"/>
              </w:rPr>
            </w:pPr>
            <w:r>
              <w:rPr>
                <w:rFonts w:hint="eastAsia" w:ascii="仿宋_GB2312" w:hAnsi="仿宋_GB2312" w:eastAsia="仿宋_GB2312" w:cs="仿宋_GB2312"/>
                <w:color w:val="auto"/>
                <w:kern w:val="2"/>
                <w:sz w:val="24"/>
                <w:szCs w:val="24"/>
                <w:highlight w:val="none"/>
                <w:u w:val="none"/>
                <w:shd w:val="clear"/>
                <w:lang w:val="en-US" w:eastAsia="zh-CN" w:bidi="ar-SA"/>
              </w:rPr>
              <w:t>1</w:t>
            </w:r>
          </w:p>
        </w:tc>
        <w:tc>
          <w:tcPr>
            <w:tcBorders>
              <w:top w:val="single" w:color="auto" w:sz="4" w:space="0"/>
              <w:left w:val="single" w:color="auto" w:sz="4" w:space="0"/>
            </w:tcBorders>
            <w:shd w:val="clear" w:color="auto" w:fill="FFFFFF"/>
            <w:vAlign w:val="bottom"/>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Cs w:val="21"/>
                <w:highlight w:val="none"/>
              </w:rPr>
            </w:pPr>
            <w:r>
              <w:rPr>
                <w:rFonts w:hint="eastAsia" w:ascii="仿宋" w:hAnsi="仿宋" w:eastAsia="仿宋" w:cs="仿宋"/>
                <w:color w:val="auto"/>
                <w:kern w:val="2"/>
                <w:sz w:val="21"/>
                <w:szCs w:val="21"/>
                <w:highlight w:val="none"/>
                <w:u w:val="none"/>
                <w:shd w:val="clear"/>
                <w:lang w:val="en-US" w:eastAsia="zh-CN" w:bidi="ar-SA"/>
              </w:rPr>
              <w:t>输入形态</w:t>
            </w:r>
          </w:p>
        </w:tc>
        <w:tc>
          <w:tcPr>
            <w:tcBorders>
              <w:top w:val="single" w:color="auto" w:sz="4" w:space="0"/>
              <w:left w:val="single" w:color="auto" w:sz="4" w:space="0"/>
              <w:right w:val="single" w:color="auto" w:sz="4" w:space="0"/>
            </w:tcBorders>
            <w:shd w:val="clear" w:color="auto" w:fill="FFFFFF"/>
            <w:vAlign w:val="bottom"/>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RS-485</w:t>
            </w:r>
          </w:p>
        </w:tc>
      </w:tr>
      <w:tr>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tcBorders>
            <w:shd w:val="clear" w:color="auto" w:fill="FFFFFF"/>
            <w:vAlign w:val="top"/>
          </w:tcPr>
          <w:p>
            <w:pPr>
              <w:pStyle w:val="4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auto"/>
                <w:kern w:val="2"/>
                <w:sz w:val="24"/>
                <w:szCs w:val="24"/>
                <w:highlight w:val="none"/>
                <w:u w:val="none"/>
                <w:shd w:val="clear"/>
                <w:lang w:val="en-US" w:eastAsia="zh-CN" w:bidi="ar-SA"/>
              </w:rPr>
            </w:pPr>
            <w:r>
              <w:rPr>
                <w:rFonts w:hint="eastAsia" w:ascii="仿宋_GB2312" w:hAnsi="仿宋_GB2312" w:eastAsia="仿宋_GB2312" w:cs="仿宋_GB2312"/>
                <w:color w:val="auto"/>
                <w:kern w:val="2"/>
                <w:sz w:val="24"/>
                <w:szCs w:val="24"/>
                <w:highlight w:val="none"/>
                <w:u w:val="none"/>
                <w:shd w:val="clear"/>
                <w:lang w:val="en-US" w:eastAsia="zh-CN" w:bidi="ar-SA"/>
              </w:rPr>
              <w:t>2</w:t>
            </w:r>
          </w:p>
        </w:tc>
        <w:tc>
          <w:tcPr>
            <w:tcBorders>
              <w:top w:val="single" w:color="auto" w:sz="4" w:space="0"/>
              <w:lef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输入测量周期</w:t>
            </w:r>
          </w:p>
        </w:tc>
        <w:tc>
          <w:tcPr>
            <w:tcBorders>
              <w:top w:val="single" w:color="auto" w:sz="4" w:space="0"/>
              <w:left w:val="single" w:color="auto" w:sz="4" w:space="0"/>
              <w:righ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100ms</w:t>
            </w: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pStyle w:val="4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auto"/>
                <w:kern w:val="2"/>
                <w:sz w:val="24"/>
                <w:szCs w:val="24"/>
                <w:highlight w:val="none"/>
                <w:u w:val="none"/>
                <w:shd w:val="clear"/>
                <w:lang w:val="en-US" w:eastAsia="zh-CN" w:bidi="ar-SA"/>
              </w:rPr>
            </w:pPr>
            <w:r>
              <w:rPr>
                <w:rFonts w:hint="eastAsia" w:ascii="仿宋_GB2312" w:hAnsi="仿宋_GB2312" w:eastAsia="仿宋_GB2312" w:cs="仿宋_GB2312"/>
                <w:color w:val="auto"/>
                <w:kern w:val="2"/>
                <w:sz w:val="24"/>
                <w:szCs w:val="24"/>
                <w:highlight w:val="none"/>
                <w:u w:val="none"/>
                <w:shd w:val="clear"/>
                <w:lang w:val="en-US" w:eastAsia="zh-CN" w:bidi="ar-SA"/>
              </w:rPr>
              <w:t>3</w:t>
            </w:r>
          </w:p>
        </w:tc>
        <w:tc>
          <w:tcPr>
            <w:tcBorders>
              <w:top w:val="single" w:color="auto" w:sz="4" w:space="0"/>
              <w:lef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输入电源</w:t>
            </w:r>
          </w:p>
        </w:tc>
        <w:tc>
          <w:tcPr>
            <w:tcBorders>
              <w:top w:val="single" w:color="auto" w:sz="4" w:space="0"/>
              <w:left w:val="single" w:color="auto" w:sz="4" w:space="0"/>
              <w:righ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DC24V</w:t>
            </w:r>
          </w:p>
        </w:tc>
      </w:tr>
      <w:tr>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top"/>
          </w:tcPr>
          <w:p>
            <w:pPr>
              <w:pStyle w:val="4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auto"/>
                <w:kern w:val="2"/>
                <w:sz w:val="24"/>
                <w:szCs w:val="24"/>
                <w:highlight w:val="none"/>
                <w:u w:val="none"/>
                <w:shd w:val="clear"/>
                <w:lang w:val="en-US" w:eastAsia="zh-CN" w:bidi="ar-SA"/>
              </w:rPr>
            </w:pPr>
            <w:r>
              <w:rPr>
                <w:rFonts w:hint="eastAsia" w:ascii="仿宋_GB2312" w:hAnsi="仿宋_GB2312" w:eastAsia="仿宋_GB2312" w:cs="仿宋_GB2312"/>
                <w:color w:val="auto"/>
                <w:kern w:val="2"/>
                <w:sz w:val="24"/>
                <w:szCs w:val="24"/>
                <w:highlight w:val="none"/>
                <w:u w:val="none"/>
                <w:shd w:val="clear"/>
                <w:lang w:val="en-US" w:eastAsia="zh-CN" w:bidi="ar-SA"/>
              </w:rPr>
              <w:t>4</w:t>
            </w:r>
          </w:p>
        </w:tc>
        <w:tc>
          <w:tcPr>
            <w:tcBorders>
              <w:top w:val="single" w:color="auto" w:sz="4" w:space="0"/>
              <w:lef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输出电源</w:t>
            </w:r>
          </w:p>
        </w:tc>
        <w:tc>
          <w:tcPr>
            <w:tcBorders>
              <w:top w:val="single" w:color="auto" w:sz="4" w:space="0"/>
              <w:left w:val="single" w:color="auto" w:sz="4" w:space="0"/>
              <w:righ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DC24V（最小支行4小时工作,4~20mA输出）</w:t>
            </w:r>
          </w:p>
        </w:tc>
      </w:tr>
      <w:tr>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top"/>
          </w:tcPr>
          <w:p>
            <w:pPr>
              <w:pStyle w:val="4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auto"/>
                <w:kern w:val="2"/>
                <w:sz w:val="24"/>
                <w:szCs w:val="24"/>
                <w:highlight w:val="none"/>
                <w:u w:val="none"/>
                <w:shd w:val="clear"/>
                <w:lang w:val="en-US" w:eastAsia="zh-CN" w:bidi="ar-SA"/>
              </w:rPr>
            </w:pPr>
            <w:r>
              <w:rPr>
                <w:rFonts w:hint="eastAsia" w:ascii="仿宋_GB2312" w:hAnsi="仿宋_GB2312" w:eastAsia="仿宋_GB2312" w:cs="仿宋_GB2312"/>
                <w:color w:val="auto"/>
                <w:kern w:val="2"/>
                <w:sz w:val="24"/>
                <w:szCs w:val="24"/>
                <w:highlight w:val="none"/>
                <w:u w:val="none"/>
                <w:shd w:val="clear"/>
                <w:lang w:val="en-US" w:eastAsia="zh-CN" w:bidi="ar-SA"/>
              </w:rPr>
              <w:t>5</w:t>
            </w:r>
          </w:p>
        </w:tc>
        <w:tc>
          <w:tcPr>
            <w:tcBorders>
              <w:top w:val="single" w:color="auto" w:sz="4" w:space="0"/>
              <w:lef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输入形态</w:t>
            </w:r>
          </w:p>
        </w:tc>
        <w:tc>
          <w:tcPr>
            <w:tcBorders>
              <w:top w:val="single" w:color="auto" w:sz="4" w:space="0"/>
              <w:left w:val="single" w:color="auto" w:sz="4" w:space="0"/>
              <w:righ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RS-485</w:t>
            </w:r>
          </w:p>
        </w:tc>
      </w:tr>
      <w:tr>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top"/>
          </w:tcPr>
          <w:p>
            <w:pPr>
              <w:pStyle w:val="4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auto"/>
                <w:kern w:val="2"/>
                <w:sz w:val="24"/>
                <w:szCs w:val="24"/>
                <w:highlight w:val="none"/>
                <w:u w:val="none"/>
                <w:shd w:val="clear"/>
                <w:lang w:val="en-US" w:eastAsia="zh-CN" w:bidi="ar-SA"/>
              </w:rPr>
            </w:pPr>
            <w:r>
              <w:rPr>
                <w:rFonts w:hint="eastAsia" w:ascii="仿宋_GB2312" w:hAnsi="仿宋_GB2312" w:eastAsia="仿宋_GB2312" w:cs="仿宋_GB2312"/>
                <w:color w:val="auto"/>
                <w:kern w:val="2"/>
                <w:sz w:val="24"/>
                <w:szCs w:val="24"/>
                <w:highlight w:val="none"/>
                <w:u w:val="none"/>
                <w:shd w:val="clear"/>
                <w:lang w:val="en-US" w:eastAsia="zh-CN" w:bidi="ar-SA"/>
              </w:rPr>
              <w:t>6</w:t>
            </w:r>
          </w:p>
        </w:tc>
        <w:tc>
          <w:tcPr>
            <w:tcBorders>
              <w:top w:val="single" w:color="auto" w:sz="4" w:space="0"/>
              <w:lef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输入测量周期</w:t>
            </w:r>
          </w:p>
        </w:tc>
        <w:tc>
          <w:tcPr>
            <w:tcBorders>
              <w:top w:val="single" w:color="auto" w:sz="4" w:space="0"/>
              <w:left w:val="single" w:color="auto" w:sz="4" w:space="0"/>
              <w:righ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100ms</w:t>
            </w:r>
          </w:p>
        </w:tc>
      </w:tr>
      <w:tr>
        <w:tblPrEx>
          <w:tblCellMar>
            <w:top w:w="0" w:type="dxa"/>
            <w:left w:w="10" w:type="dxa"/>
            <w:bottom w:w="0" w:type="dxa"/>
            <w:right w:w="10" w:type="dxa"/>
          </w:tblCellMar>
        </w:tblPrEx>
        <w:trPr>
          <w:trHeight w:val="312" w:hRule="exact"/>
          <w:jc w:val="center"/>
        </w:trPr>
        <w:tc>
          <w:tcPr>
            <w:tcBorders>
              <w:top w:val="single" w:color="auto" w:sz="4" w:space="0"/>
              <w:left w:val="single" w:color="auto" w:sz="4" w:space="0"/>
            </w:tcBorders>
            <w:shd w:val="clear" w:color="auto" w:fill="FFFFFF"/>
            <w:vAlign w:val="top"/>
          </w:tcPr>
          <w:p>
            <w:pPr>
              <w:pStyle w:val="4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auto"/>
                <w:kern w:val="2"/>
                <w:sz w:val="24"/>
                <w:szCs w:val="24"/>
                <w:highlight w:val="none"/>
                <w:u w:val="none"/>
                <w:shd w:val="clear"/>
                <w:lang w:val="en-US" w:eastAsia="zh-CN" w:bidi="ar-SA"/>
              </w:rPr>
            </w:pPr>
            <w:r>
              <w:rPr>
                <w:rFonts w:hint="eastAsia" w:ascii="仿宋_GB2312" w:hAnsi="仿宋_GB2312" w:eastAsia="仿宋_GB2312" w:cs="仿宋_GB2312"/>
                <w:color w:val="auto"/>
                <w:kern w:val="2"/>
                <w:sz w:val="24"/>
                <w:szCs w:val="24"/>
                <w:highlight w:val="none"/>
                <w:u w:val="none"/>
                <w:shd w:val="clear"/>
                <w:lang w:val="en-US" w:eastAsia="zh-CN" w:bidi="ar-SA"/>
              </w:rPr>
              <w:t>7</w:t>
            </w:r>
          </w:p>
        </w:tc>
        <w:tc>
          <w:tcPr>
            <w:tcBorders>
              <w:top w:val="single" w:color="auto" w:sz="4" w:space="0"/>
              <w:lef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容量</w:t>
            </w:r>
          </w:p>
        </w:tc>
        <w:tc>
          <w:tcPr>
            <w:tcBorders>
              <w:top w:val="single" w:color="auto" w:sz="4" w:space="0"/>
              <w:left w:val="single" w:color="auto" w:sz="4" w:space="0"/>
              <w:righ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AC125V 10A</w:t>
            </w: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pStyle w:val="4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auto"/>
                <w:kern w:val="2"/>
                <w:sz w:val="24"/>
                <w:szCs w:val="24"/>
                <w:highlight w:val="none"/>
                <w:u w:val="none"/>
                <w:shd w:val="clear"/>
                <w:lang w:val="en-US" w:eastAsia="zh-CN" w:bidi="ar-SA"/>
              </w:rPr>
            </w:pPr>
            <w:r>
              <w:rPr>
                <w:rFonts w:hint="eastAsia" w:ascii="仿宋_GB2312" w:hAnsi="仿宋_GB2312" w:eastAsia="仿宋_GB2312" w:cs="仿宋_GB2312"/>
                <w:color w:val="auto"/>
                <w:kern w:val="2"/>
                <w:sz w:val="24"/>
                <w:szCs w:val="24"/>
                <w:highlight w:val="none"/>
                <w:u w:val="none"/>
                <w:shd w:val="clear"/>
                <w:lang w:val="en-US" w:eastAsia="zh-CN" w:bidi="ar-SA"/>
              </w:rPr>
              <w:t>8</w:t>
            </w:r>
          </w:p>
        </w:tc>
        <w:tc>
          <w:tcPr>
            <w:tcBorders>
              <w:top w:val="single" w:color="auto" w:sz="4" w:space="0"/>
              <w:lef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运作电源</w:t>
            </w:r>
          </w:p>
        </w:tc>
        <w:tc>
          <w:tcPr>
            <w:tcBorders>
              <w:top w:val="single" w:color="auto" w:sz="4" w:space="0"/>
              <w:left w:val="single" w:color="auto" w:sz="4" w:space="0"/>
              <w:righ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AC220V</w:t>
            </w:r>
          </w:p>
        </w:tc>
      </w:tr>
      <w:tr>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bottom w:val="single" w:color="auto" w:sz="4" w:space="0"/>
            </w:tcBorders>
            <w:shd w:val="clear" w:color="auto" w:fill="FFFFFF"/>
            <w:vAlign w:val="top"/>
          </w:tcPr>
          <w:p>
            <w:pPr>
              <w:pStyle w:val="4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auto"/>
                <w:kern w:val="2"/>
                <w:sz w:val="24"/>
                <w:szCs w:val="24"/>
                <w:highlight w:val="none"/>
                <w:u w:val="none"/>
                <w:shd w:val="clear"/>
                <w:lang w:val="en-US" w:eastAsia="zh-CN" w:bidi="ar-SA"/>
              </w:rPr>
            </w:pPr>
            <w:r>
              <w:rPr>
                <w:rFonts w:hint="eastAsia" w:ascii="仿宋_GB2312" w:hAnsi="仿宋_GB2312" w:eastAsia="仿宋_GB2312" w:cs="仿宋_GB2312"/>
                <w:color w:val="auto"/>
                <w:kern w:val="2"/>
                <w:sz w:val="24"/>
                <w:szCs w:val="24"/>
                <w:highlight w:val="none"/>
                <w:u w:val="none"/>
                <w:shd w:val="clear"/>
                <w:lang w:val="en-US" w:eastAsia="zh-CN" w:bidi="ar-SA"/>
              </w:rPr>
              <w:t>9</w:t>
            </w:r>
          </w:p>
        </w:tc>
        <w:tc>
          <w:tcPr>
            <w:tcBorders>
              <w:top w:val="single" w:color="auto" w:sz="4" w:space="0"/>
              <w:left w:val="single" w:color="auto" w:sz="4" w:space="0"/>
              <w:bottom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其他</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kern w:val="2"/>
                <w:sz w:val="21"/>
                <w:szCs w:val="21"/>
                <w:highlight w:val="none"/>
                <w:u w:val="none"/>
                <w:shd w:val="clear"/>
                <w:lang w:val="en-US" w:eastAsia="zh-CN" w:bidi="ar-SA"/>
              </w:rPr>
            </w:pPr>
            <w:r>
              <w:rPr>
                <w:rFonts w:hint="eastAsia" w:ascii="仿宋" w:hAnsi="仿宋" w:eastAsia="仿宋" w:cs="仿宋"/>
                <w:color w:val="auto"/>
                <w:kern w:val="2"/>
                <w:sz w:val="21"/>
                <w:szCs w:val="21"/>
                <w:highlight w:val="none"/>
                <w:u w:val="none"/>
                <w:shd w:val="clear"/>
                <w:lang w:val="en-US" w:eastAsia="zh-CN" w:bidi="ar-SA"/>
              </w:rPr>
              <w:t>防爆类型、中文界面</w:t>
            </w:r>
          </w:p>
        </w:tc>
      </w:tr>
    </w:tbl>
    <w:p>
      <w:pPr>
        <w:pStyle w:val="12"/>
        <w:numPr>
          <w:ilvl w:val="-1"/>
          <w:numId w:val="0"/>
        </w:numPr>
        <w:rPr>
          <w:rFonts w:hint="eastAsia" w:ascii="仿宋" w:hAnsi="仿宋" w:eastAsia="仿宋" w:cs="仿宋"/>
          <w:color w:val="auto"/>
          <w:sz w:val="28"/>
          <w:szCs w:val="28"/>
          <w:highlight w:val="none"/>
          <w:lang w:val="en-US" w:eastAsia="zh-CN"/>
        </w:rPr>
      </w:pPr>
    </w:p>
    <w:p>
      <w:pPr>
        <w:pStyle w:val="12"/>
        <w:numPr>
          <w:ilvl w:val="-1"/>
          <w:numId w:val="0"/>
        </w:numPr>
        <w:rPr>
          <w:rFonts w:hint="eastAsia" w:ascii="仿宋" w:hAnsi="仿宋" w:eastAsia="仿宋" w:cs="仿宋"/>
          <w:color w:val="auto"/>
          <w:sz w:val="28"/>
          <w:szCs w:val="28"/>
          <w:highlight w:val="none"/>
          <w:lang w:val="en-US" w:eastAsia="zh-CN"/>
        </w:rPr>
      </w:pPr>
    </w:p>
    <w:p>
      <w:pPr>
        <w:pStyle w:val="12"/>
        <w:numPr>
          <w:ilvl w:val="-1"/>
          <w:numId w:val="0"/>
        </w:numPr>
        <w:rPr>
          <w:rFonts w:hint="eastAsia" w:ascii="仿宋" w:hAnsi="仿宋" w:eastAsia="仿宋" w:cs="仿宋"/>
          <w:color w:val="auto"/>
          <w:sz w:val="28"/>
          <w:szCs w:val="28"/>
          <w:highlight w:val="none"/>
          <w:lang w:val="en-US" w:eastAsia="zh-CN"/>
        </w:rPr>
      </w:pPr>
    </w:p>
    <w:p>
      <w:pPr>
        <w:pStyle w:val="12"/>
        <w:numPr>
          <w:ilvl w:val="-1"/>
          <w:numId w:val="0"/>
        </w:numPr>
        <w:rPr>
          <w:rFonts w:hint="eastAsia" w:ascii="仿宋" w:hAnsi="仿宋" w:eastAsia="仿宋" w:cs="仿宋"/>
          <w:color w:val="auto"/>
          <w:sz w:val="28"/>
          <w:szCs w:val="28"/>
          <w:highlight w:val="none"/>
          <w:lang w:val="en-US" w:eastAsia="zh-CN"/>
        </w:rPr>
      </w:pPr>
    </w:p>
    <w:p>
      <w:pPr>
        <w:pStyle w:val="12"/>
        <w:numPr>
          <w:ilvl w:val="-1"/>
          <w:numId w:val="0"/>
        </w:numPr>
        <w:rPr>
          <w:rFonts w:hint="default" w:ascii="仿宋" w:hAnsi="仿宋" w:eastAsia="仿宋" w:cs="仿宋"/>
          <w:color w:val="auto"/>
          <w:sz w:val="28"/>
          <w:szCs w:val="28"/>
          <w:highlight w:val="none"/>
          <w:lang w:val="en-US" w:eastAsia="zh-CN"/>
        </w:rPr>
      </w:pPr>
    </w:p>
    <w:p>
      <w:pPr>
        <w:pStyle w:val="11"/>
        <w:keepNext w:val="0"/>
        <w:keepLines w:val="0"/>
        <w:pageBreakBefore w:val="0"/>
        <w:numPr>
          <w:ilvl w:val="0"/>
          <w:numId w:val="5"/>
        </w:numPr>
        <w:kinsoku/>
        <w:wordWrap/>
        <w:overflowPunct/>
        <w:topLinePunct w:val="0"/>
        <w:bidi w:val="0"/>
        <w:adjustRightInd w:val="0"/>
        <w:snapToGrid w:val="0"/>
        <w:spacing w:line="560" w:lineRule="exact"/>
        <w:ind w:firstLine="0" w:firstLineChars="0"/>
        <w:rPr>
          <w:rFonts w:hint="eastAsia" w:ascii="仿宋" w:hAnsi="仿宋" w:eastAsia="仿宋" w:cs="仿宋"/>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1.以上需求的配件与上述的配件尺寸完全一致，满足互换性要求。货物的材质及质量应优于或与原设备厂家生产配件一致（详细参数参考第五章</w:t>
      </w:r>
      <w:r>
        <w:rPr>
          <w:rFonts w:hint="eastAsia" w:ascii="仿宋" w:hAnsi="仿宋" w:eastAsia="仿宋" w:cs="仿宋"/>
          <w:b w:val="0"/>
          <w:color w:val="auto"/>
          <w:sz w:val="28"/>
          <w:szCs w:val="28"/>
          <w:highlight w:val="none"/>
          <w:lang w:val="en-US"/>
        </w:rPr>
        <w:t>项目技术要求</w:t>
      </w:r>
      <w:r>
        <w:rPr>
          <w:rFonts w:hint="eastAsia" w:ascii="仿宋" w:hAnsi="仿宋" w:eastAsia="仿宋" w:cs="仿宋"/>
          <w:color w:val="auto"/>
          <w:sz w:val="28"/>
          <w:szCs w:val="28"/>
          <w:highlight w:val="none"/>
          <w:lang w:val="en-US" w:eastAsia="zh-CN"/>
        </w:rPr>
        <w:t>）。</w:t>
      </w:r>
    </w:p>
    <w:p>
      <w:pPr>
        <w:pStyle w:val="11"/>
        <w:keepNext w:val="0"/>
        <w:keepLines w:val="0"/>
        <w:pageBreakBefore w:val="0"/>
        <w:kinsoku/>
        <w:wordWrap/>
        <w:overflowPunct/>
        <w:topLinePunct w:val="0"/>
        <w:bidi w:val="0"/>
        <w:adjustRightInd w:val="0"/>
        <w:snapToGrid w:val="0"/>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2.供货时若所提供的货物为原生产厂家生产的设备配件，则报价单位需提供原生产厂家质量证明（如合格证等）；若所提供的货物非原生产厂家生产，则报价单位需提供产品的互换性及材质满足上述第1点要求的第三方认证机构（需有相应资质）的质检报告，及原生产厂家保修承诺书。</w:t>
      </w:r>
    </w:p>
    <w:p>
      <w:pPr>
        <w:pStyle w:val="11"/>
        <w:keepNext w:val="0"/>
        <w:keepLines w:val="0"/>
        <w:pageBreakBefore w:val="0"/>
        <w:kinsoku/>
        <w:wordWrap/>
        <w:overflowPunct/>
        <w:topLinePunct w:val="0"/>
        <w:bidi w:val="0"/>
        <w:adjustRightInd w:val="0"/>
        <w:snapToGrid w:val="0"/>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固定气体检测仪</w:t>
      </w:r>
      <w:r>
        <w:rPr>
          <w:rFonts w:hint="eastAsia" w:ascii="仿宋" w:hAnsi="仿宋" w:eastAsia="仿宋" w:cs="仿宋"/>
          <w:color w:val="auto"/>
          <w:sz w:val="28"/>
          <w:szCs w:val="28"/>
          <w:highlight w:val="none"/>
          <w:lang w:val="en-US" w:eastAsia="zh-CN"/>
        </w:rPr>
        <w:t>为防爆系列。</w:t>
      </w:r>
    </w:p>
    <w:p>
      <w:pPr>
        <w:pStyle w:val="11"/>
        <w:keepNext w:val="0"/>
        <w:keepLines w:val="0"/>
        <w:pageBreakBefore w:val="0"/>
        <w:kinsoku/>
        <w:wordWrap/>
        <w:overflowPunct/>
        <w:topLinePunct w:val="0"/>
        <w:bidi w:val="0"/>
        <w:adjustRightInd w:val="0"/>
        <w:snapToGrid w:val="0"/>
        <w:spacing w:line="560" w:lineRule="exact"/>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三、项目商务要求</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1.包装、运输</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及保管、保险：</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（1）报价人所供货物应为制造商原装出厂包装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包装须符合同等</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相关标准，因包装不良造成的损失由报价人负责。</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（2）报价人负责将</w:t>
      </w:r>
      <w:r>
        <w:rPr>
          <w:rFonts w:hint="eastAsia" w:ascii="仿宋" w:hAnsi="仿宋" w:eastAsia="仿宋" w:cs="仿宋"/>
          <w:color w:val="auto"/>
          <w:sz w:val="28"/>
          <w:szCs w:val="28"/>
          <w:highlight w:val="none"/>
          <w:lang w:val="en-US" w:eastAsia="zh-CN"/>
        </w:rPr>
        <w:t>产品</w:t>
      </w:r>
      <w:r>
        <w:rPr>
          <w:rFonts w:hint="eastAsia" w:ascii="仿宋" w:hAnsi="仿宋" w:eastAsia="仿宋" w:cs="仿宋"/>
          <w:color w:val="auto"/>
          <w:sz w:val="28"/>
          <w:szCs w:val="28"/>
          <w:highlight w:val="none"/>
        </w:rPr>
        <w:t>送到现场过程中的全部运输，包括装卸车、货物现场的搬运</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w:t>
      </w:r>
    </w:p>
    <w:p>
      <w:pPr>
        <w:pStyle w:val="11"/>
        <w:keepNext w:val="0"/>
        <w:keepLines w:val="0"/>
        <w:pageBreakBefore w:val="0"/>
        <w:kinsoku/>
        <w:wordWrap/>
        <w:overflowPunct/>
        <w:topLinePunct w:val="0"/>
        <w:bidi w:val="0"/>
        <w:adjustRightInd w:val="0"/>
        <w:snapToGrid w:val="0"/>
        <w:spacing w:line="560" w:lineRule="exact"/>
        <w:ind w:left="558" w:leftChars="266"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供货期</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合同签订后90天内到货</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）交货地点：</w:t>
      </w:r>
      <w:r>
        <w:rPr>
          <w:rFonts w:hint="eastAsia" w:ascii="仿宋" w:hAnsi="仿宋" w:eastAsia="仿宋" w:cs="仿宋"/>
          <w:color w:val="auto"/>
          <w:sz w:val="28"/>
          <w:szCs w:val="28"/>
          <w:highlight w:val="none"/>
          <w:lang w:val="en-US" w:eastAsia="zh-CN"/>
        </w:rPr>
        <w:t>广州市净水有限公司沥滘分公司。</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2.质量保证及售后服务：</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）确保</w:t>
      </w:r>
      <w:r>
        <w:rPr>
          <w:rFonts w:hint="eastAsia" w:ascii="仿宋" w:hAnsi="仿宋" w:eastAsia="仿宋" w:cs="仿宋"/>
          <w:color w:val="auto"/>
          <w:sz w:val="28"/>
          <w:szCs w:val="28"/>
          <w:highlight w:val="none"/>
          <w:lang w:val="en-US" w:eastAsia="zh-CN"/>
        </w:rPr>
        <w:t>货物为原装未拆封或未使用的产品</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）货物在质保期</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为自供货验收合格之日起1年内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如有质量问题</w:t>
      </w:r>
      <w:r>
        <w:rPr>
          <w:rFonts w:hint="eastAsia" w:ascii="仿宋" w:hAnsi="仿宋" w:eastAsia="仿宋" w:cs="仿宋"/>
          <w:color w:val="auto"/>
          <w:sz w:val="28"/>
          <w:szCs w:val="28"/>
          <w:highlight w:val="none"/>
          <w:lang w:val="en-US" w:eastAsia="zh-CN"/>
        </w:rPr>
        <w:t>或未能适配原有设备</w:t>
      </w:r>
      <w:r>
        <w:rPr>
          <w:rFonts w:hint="eastAsia" w:ascii="仿宋" w:hAnsi="仿宋" w:eastAsia="仿宋" w:cs="仿宋"/>
          <w:color w:val="auto"/>
          <w:sz w:val="28"/>
          <w:szCs w:val="28"/>
          <w:highlight w:val="none"/>
        </w:rPr>
        <w:t>时，报价人必须</w:t>
      </w:r>
      <w:r>
        <w:rPr>
          <w:rFonts w:hint="eastAsia" w:ascii="仿宋" w:hAnsi="仿宋" w:eastAsia="仿宋" w:cs="仿宋"/>
          <w:color w:val="auto"/>
          <w:sz w:val="28"/>
          <w:szCs w:val="28"/>
          <w:highlight w:val="none"/>
          <w:lang w:val="en-US" w:eastAsia="zh-CN"/>
        </w:rPr>
        <w:t>24小时内派技术人员到现场免费进行维修</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3.总包及分包规定：</w:t>
      </w:r>
    </w:p>
    <w:p>
      <w:pPr>
        <w:keepNext w:val="0"/>
        <w:keepLines w:val="0"/>
        <w:pageBreakBefore w:val="0"/>
        <w:kinsoku/>
        <w:wordWrap/>
        <w:overflowPunct/>
        <w:topLinePunct w:val="0"/>
        <w:autoSpaceDE w:val="0"/>
        <w:autoSpaceDN w:val="0"/>
        <w:bidi w:val="0"/>
        <w:spacing w:line="560" w:lineRule="exact"/>
        <w:ind w:left="56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乙方不得转包</w:t>
      </w:r>
      <w:r>
        <w:rPr>
          <w:rFonts w:hint="eastAsia" w:ascii="仿宋" w:hAnsi="仿宋" w:eastAsia="仿宋" w:cs="仿宋"/>
          <w:color w:val="auto"/>
          <w:sz w:val="28"/>
          <w:szCs w:val="28"/>
          <w:highlight w:val="none"/>
          <w:lang w:eastAsia="zh-CN"/>
        </w:rPr>
        <w:t>、分包</w:t>
      </w:r>
      <w:r>
        <w:rPr>
          <w:rFonts w:hint="eastAsia" w:ascii="仿宋" w:hAnsi="仿宋" w:eastAsia="仿宋" w:cs="仿宋"/>
          <w:color w:val="auto"/>
          <w:sz w:val="28"/>
          <w:szCs w:val="28"/>
          <w:highlight w:val="none"/>
        </w:rPr>
        <w:t>。否则，甲方有权单方面终止合同，</w:t>
      </w:r>
      <w:r>
        <w:rPr>
          <w:rFonts w:hint="eastAsia" w:ascii="仿宋" w:hAnsi="仿宋" w:eastAsia="仿宋" w:cs="仿宋"/>
          <w:color w:val="auto"/>
          <w:sz w:val="28"/>
          <w:szCs w:val="28"/>
          <w:highlight w:val="none"/>
          <w:lang w:val="en-US" w:eastAsia="zh-CN"/>
        </w:rPr>
        <w:t>拒收其货物</w:t>
      </w:r>
      <w:r>
        <w:rPr>
          <w:rFonts w:hint="eastAsia" w:ascii="仿宋" w:hAnsi="仿宋" w:eastAsia="仿宋" w:cs="仿宋"/>
          <w:color w:val="auto"/>
          <w:sz w:val="28"/>
          <w:szCs w:val="28"/>
          <w:highlight w:val="none"/>
        </w:rPr>
        <w:t>，由此而造成的经济损失由乙方负责赔偿。</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.询价人将自承包商履行完合同义务之日起15个工作日内组织验收，审定报价人供货的货物合格情况，进行结算审核。</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.付款方式：</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（1）采用</w:t>
      </w:r>
      <w:r>
        <w:rPr>
          <w:rFonts w:hint="eastAsia" w:ascii="仿宋" w:hAnsi="仿宋" w:eastAsia="仿宋" w:cs="仿宋"/>
          <w:color w:val="auto"/>
          <w:sz w:val="28"/>
          <w:szCs w:val="28"/>
          <w:highlight w:val="none"/>
          <w:lang w:val="en-US" w:eastAsia="zh-CN"/>
        </w:rPr>
        <w:t>支票、</w:t>
      </w:r>
      <w:r>
        <w:rPr>
          <w:rFonts w:hint="eastAsia" w:ascii="仿宋" w:hAnsi="仿宋" w:eastAsia="仿宋" w:cs="仿宋"/>
          <w:color w:val="auto"/>
          <w:sz w:val="28"/>
          <w:szCs w:val="28"/>
          <w:highlight w:val="none"/>
        </w:rPr>
        <w:t>银行汇票形式。</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（2）报价人在收款前需提交相应金额增值税专用发票给</w:t>
      </w:r>
      <w:r>
        <w:rPr>
          <w:rFonts w:hint="eastAsia" w:ascii="仿宋" w:hAnsi="仿宋" w:eastAsia="仿宋" w:cs="仿宋"/>
          <w:color w:val="auto"/>
          <w:sz w:val="28"/>
          <w:szCs w:val="28"/>
          <w:highlight w:val="none"/>
          <w:lang w:val="en-US" w:eastAsia="zh-CN"/>
        </w:rPr>
        <w:t>需求单位</w:t>
      </w:r>
      <w:r>
        <w:rPr>
          <w:rFonts w:hint="eastAsia" w:ascii="仿宋" w:hAnsi="仿宋" w:eastAsia="仿宋" w:cs="仿宋"/>
          <w:color w:val="auto"/>
          <w:sz w:val="28"/>
          <w:szCs w:val="28"/>
          <w:highlight w:val="none"/>
        </w:rPr>
        <w:t>。</w:t>
      </w:r>
    </w:p>
    <w:p>
      <w:pPr>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.承包方</w:t>
      </w:r>
      <w:r>
        <w:rPr>
          <w:rFonts w:hint="eastAsia" w:ascii="仿宋" w:hAnsi="仿宋" w:eastAsia="仿宋" w:cs="仿宋"/>
          <w:color w:val="auto"/>
          <w:sz w:val="28"/>
          <w:szCs w:val="28"/>
          <w:highlight w:val="none"/>
          <w:lang w:val="en-US" w:eastAsia="zh-CN"/>
        </w:rPr>
        <w:t>式：</w:t>
      </w:r>
      <w:r>
        <w:rPr>
          <w:rFonts w:hint="eastAsia" w:ascii="仿宋" w:hAnsi="仿宋" w:eastAsia="仿宋" w:cs="仿宋"/>
          <w:color w:val="auto"/>
          <w:sz w:val="28"/>
          <w:szCs w:val="28"/>
          <w:highlight w:val="none"/>
        </w:rPr>
        <w:t>单价包干</w:t>
      </w:r>
      <w:r>
        <w:rPr>
          <w:rFonts w:hint="eastAsia" w:ascii="仿宋" w:hAnsi="仿宋" w:eastAsia="仿宋" w:cs="仿宋"/>
          <w:color w:val="auto"/>
          <w:sz w:val="28"/>
          <w:szCs w:val="28"/>
          <w:highlight w:val="none"/>
          <w:lang w:eastAsia="zh-CN"/>
        </w:rPr>
        <w:t>。</w:t>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ind w:left="0" w:leftChars="0" w:firstLine="0" w:firstLineChars="0"/>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3"/>
        <w:rPr>
          <w:rFonts w:hint="eastAsia"/>
          <w:color w:val="auto"/>
          <w:highlight w:val="none"/>
        </w:rPr>
      </w:pPr>
      <w:bookmarkStart w:id="76" w:name="_Toc1496"/>
      <w:bookmarkStart w:id="77" w:name="_Toc15570"/>
      <w:bookmarkStart w:id="78" w:name="_Toc25925"/>
      <w:bookmarkStart w:id="79" w:name="_Toc4680"/>
      <w:bookmarkStart w:id="80" w:name="_Toc1284"/>
      <w:bookmarkStart w:id="81" w:name="_Toc12135"/>
      <w:bookmarkStart w:id="82" w:name="_Toc537"/>
      <w:bookmarkStart w:id="83" w:name="_Toc23330"/>
      <w:bookmarkStart w:id="84" w:name="_Toc23353"/>
      <w:bookmarkStart w:id="85" w:name="_Toc29835"/>
      <w:bookmarkStart w:id="86" w:name="_Toc18538"/>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2223770</wp:posOffset>
                </wp:positionH>
                <wp:positionV relativeFrom="paragraph">
                  <wp:posOffset>541655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5.1pt;margin-top:42.65pt;height:0pt;width:75.5pt;z-index:251667456;mso-width-relative:page;mso-height-relative:page;" filled="f" stroked="t" coordsize="21600,21600" o:gfxdata="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5MyRT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2218055</wp:posOffset>
                </wp:positionH>
                <wp:positionV relativeFrom="paragraph">
                  <wp:posOffset>45720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65pt;margin-top:3.6pt;height:0pt;width:75.5pt;z-index:251666432;mso-width-relative:page;mso-height-relative:page;" filled="f" stroked="t" coordsize="21600,21600" o:gfxdata="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AKTrP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第六章</w:t>
      </w:r>
      <w:bookmarkEnd w:id="76"/>
      <w:bookmarkEnd w:id="77"/>
      <w:bookmarkEnd w:id="78"/>
      <w:bookmarkEnd w:id="79"/>
      <w:bookmarkEnd w:id="80"/>
      <w:bookmarkEnd w:id="81"/>
      <w:bookmarkEnd w:id="82"/>
      <w:bookmarkEnd w:id="83"/>
      <w:bookmarkEnd w:id="84"/>
      <w:bookmarkEnd w:id="85"/>
      <w:bookmarkEnd w:id="86"/>
    </w:p>
    <w:p>
      <w:pPr>
        <w:pStyle w:val="35"/>
        <w:rPr>
          <w:color w:val="auto"/>
          <w:highlight w:val="none"/>
        </w:rPr>
      </w:pPr>
    </w:p>
    <w:p>
      <w:pPr>
        <w:pStyle w:val="3"/>
        <w:rPr>
          <w:color w:val="auto"/>
          <w:highlight w:val="none"/>
        </w:rPr>
      </w:pPr>
      <w:bookmarkStart w:id="87" w:name="_Toc13309"/>
      <w:bookmarkStart w:id="88" w:name="_Toc19686"/>
      <w:bookmarkStart w:id="89" w:name="_Toc22797"/>
      <w:bookmarkStart w:id="90" w:name="_Toc8183"/>
      <w:bookmarkStart w:id="91" w:name="_Toc12968"/>
      <w:bookmarkStart w:id="92" w:name="_Toc22501"/>
      <w:bookmarkStart w:id="93" w:name="_Toc323"/>
      <w:bookmarkStart w:id="94" w:name="_Toc88209949"/>
      <w:bookmarkStart w:id="95" w:name="_Toc87616386"/>
      <w:bookmarkStart w:id="96" w:name="_Toc12980"/>
      <w:bookmarkStart w:id="97" w:name="_Toc1375"/>
      <w:bookmarkStart w:id="98" w:name="_Toc19088"/>
      <w:bookmarkStart w:id="99" w:name="_Toc12721"/>
      <w:r>
        <w:rPr>
          <w:rFonts w:hint="eastAsia"/>
          <w:color w:val="auto"/>
          <w:highlight w:val="none"/>
        </w:rPr>
        <w:t>合同</w:t>
      </w:r>
      <w:bookmarkEnd w:id="87"/>
      <w:bookmarkEnd w:id="88"/>
      <w:bookmarkEnd w:id="89"/>
      <w:bookmarkEnd w:id="90"/>
      <w:bookmarkEnd w:id="91"/>
      <w:bookmarkEnd w:id="92"/>
      <w:bookmarkEnd w:id="93"/>
      <w:bookmarkEnd w:id="94"/>
      <w:bookmarkEnd w:id="95"/>
      <w:bookmarkEnd w:id="96"/>
      <w:bookmarkEnd w:id="97"/>
      <w:bookmarkEnd w:id="98"/>
      <w:bookmarkEnd w:id="9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ind w:firstLine="0"/>
        <w:rPr>
          <w:rFonts w:ascii="仿宋_GB2312" w:eastAsia="仿宋_GB2312"/>
          <w:color w:val="auto"/>
          <w:sz w:val="28"/>
          <w:szCs w:val="28"/>
          <w:highlight w:val="none"/>
        </w:rPr>
      </w:pPr>
    </w:p>
    <w:p>
      <w:pPr>
        <w:jc w:val="center"/>
        <w:rPr>
          <w:b/>
          <w:color w:val="auto"/>
          <w:sz w:val="48"/>
          <w:szCs w:val="48"/>
          <w:highlight w:val="none"/>
        </w:rPr>
      </w:pPr>
      <w:bookmarkStart w:id="100" w:name="_Toc21847"/>
      <w:bookmarkStart w:id="101" w:name="_Toc12169"/>
      <w:bookmarkStart w:id="102" w:name="_Toc1563"/>
      <w:bookmarkStart w:id="103" w:name="_Toc5129"/>
      <w:bookmarkStart w:id="104" w:name="_Toc8147"/>
      <w:bookmarkStart w:id="105" w:name="_Toc16552"/>
      <w:bookmarkStart w:id="106" w:name="_Toc30824"/>
      <w:bookmarkStart w:id="107" w:name="_Toc3723"/>
      <w:bookmarkStart w:id="108" w:name="_Toc23515"/>
      <w:bookmarkStart w:id="109" w:name="_Toc6230"/>
      <w:bookmarkStart w:id="110" w:name="_Toc28358"/>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pStyle w:val="21"/>
        <w:rPr>
          <w:color w:val="auto"/>
          <w:highlight w:val="none"/>
        </w:rPr>
      </w:pPr>
    </w:p>
    <w:p>
      <w:pPr>
        <w:jc w:val="center"/>
        <w:rPr>
          <w:color w:val="auto"/>
          <w:sz w:val="30"/>
          <w:highlight w:val="none"/>
        </w:rPr>
      </w:pPr>
    </w:p>
    <w:p>
      <w:pPr>
        <w:ind w:left="1500" w:leftChars="0" w:hanging="1500" w:hangingChars="500"/>
        <w:rPr>
          <w:rFonts w:hint="eastAsia"/>
          <w:color w:val="auto"/>
          <w:sz w:val="30"/>
          <w:highlight w:val="none"/>
        </w:rPr>
      </w:pPr>
      <w:r>
        <w:rPr>
          <w:rFonts w:hint="eastAsia"/>
          <w:color w:val="auto"/>
          <w:sz w:val="30"/>
          <w:highlight w:val="none"/>
        </w:rPr>
        <w:t>项目名称：</w:t>
      </w:r>
      <w:r>
        <w:rPr>
          <w:rFonts w:hint="eastAsia" w:asciiTheme="minorHAnsi" w:eastAsiaTheme="minorEastAsia"/>
          <w:color w:val="auto"/>
          <w:sz w:val="30"/>
          <w:szCs w:val="22"/>
          <w:highlight w:val="none"/>
          <w:lang w:val="en-US" w:eastAsia="zh-CN"/>
        </w:rPr>
        <w:t>广州市净水有限公司沥滘分公司2023年一二期提标及三期无人区固定式气体检测仪采购项目</w:t>
      </w:r>
      <w:r>
        <w:rPr>
          <w:rFonts w:hint="eastAsia"/>
          <w:color w:val="auto"/>
          <w:sz w:val="30"/>
          <w:highlight w:val="none"/>
        </w:rPr>
        <w:t xml:space="preserve">  </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rPr>
      </w:pPr>
    </w:p>
    <w:p>
      <w:pPr>
        <w:rPr>
          <w:rFonts w:hint="default" w:ascii="宋体" w:hAnsi="宋体" w:cs="宋体"/>
          <w:b/>
          <w:bCs/>
          <w:color w:val="auto"/>
          <w:sz w:val="30"/>
          <w:szCs w:val="30"/>
          <w:highlight w:val="none"/>
          <w:lang w:val="en-US" w:eastAsia="zh-CN"/>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rFonts w:hint="eastAsia"/>
          <w:color w:val="auto"/>
          <w:sz w:val="30"/>
          <w:highlight w:val="none"/>
        </w:rPr>
      </w:pPr>
    </w:p>
    <w:p>
      <w:pPr>
        <w:rPr>
          <w:rFonts w:hint="eastAsia"/>
          <w:color w:val="auto"/>
          <w:sz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p>
    <w:p>
      <w:pPr>
        <w:rPr>
          <w:rFonts w:hint="eastAsia"/>
          <w:color w:val="auto"/>
          <w:sz w:val="30"/>
          <w:highlight w:val="none"/>
        </w:rPr>
      </w:pPr>
    </w:p>
    <w:p>
      <w:pPr>
        <w:rPr>
          <w:rFonts w:hint="eastAsia"/>
          <w:color w:val="auto"/>
          <w:sz w:val="30"/>
          <w:highlight w:val="none"/>
        </w:rPr>
      </w:pPr>
    </w:p>
    <w:p>
      <w:pPr>
        <w:rPr>
          <w:rFonts w:hint="eastAsia"/>
          <w:color w:val="auto"/>
          <w:sz w:val="30"/>
          <w:highlight w:val="none"/>
        </w:rPr>
      </w:pPr>
    </w:p>
    <w:p>
      <w:pPr>
        <w:rPr>
          <w:rFonts w:hint="eastAsia"/>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lang w:val="en-US" w:eastAsia="zh-CN"/>
        </w:rPr>
        <w:t xml:space="preserve">     </w:t>
      </w:r>
      <w:r>
        <w:rPr>
          <w:color w:val="auto"/>
          <w:sz w:val="30"/>
          <w:highlight w:val="none"/>
        </w:rPr>
        <w:t xml:space="preserve"> </w:t>
      </w:r>
      <w:r>
        <w:rPr>
          <w:rFonts w:hint="eastAsia"/>
          <w:color w:val="auto"/>
          <w:sz w:val="30"/>
          <w:highlight w:val="none"/>
        </w:rPr>
        <w:t>年</w:t>
      </w:r>
      <w:r>
        <w:rPr>
          <w:rFonts w:hint="eastAsia"/>
          <w:color w:val="auto"/>
          <w:sz w:val="30"/>
          <w:highlight w:val="none"/>
          <w:lang w:val="en-US" w:eastAsia="zh-CN"/>
        </w:rPr>
        <w:t xml:space="preserve">   </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lang w:val="en-US" w:eastAsia="zh-CN"/>
        </w:rPr>
        <w:t xml:space="preserve"> </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rPr>
          <w:color w:val="auto"/>
          <w:highlight w:val="none"/>
        </w:rPr>
        <w:sectPr>
          <w:footerReference r:id="rId6" w:type="default"/>
          <w:pgSz w:w="11907" w:h="16840"/>
          <w:pgMar w:top="1587" w:right="1701" w:bottom="1531" w:left="1701" w:header="851" w:footer="992" w:gutter="0"/>
          <w:pgBorders>
            <w:top w:val="none" w:sz="0" w:space="0"/>
            <w:left w:val="none" w:sz="0" w:space="0"/>
            <w:bottom w:val="none" w:sz="0" w:space="0"/>
            <w:right w:val="none" w:sz="0" w:space="0"/>
          </w:pgBorders>
          <w:pgNumType w:fmt="decimal" w:start="1"/>
          <w:cols w:space="720" w:num="1"/>
          <w:docGrid w:type="linesAndChars" w:linePitch="381"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根据《中华人民共和国合同法》及其他有关法律、行政法规，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eastAsiaTheme="minorEastAsia"/>
          <w:color w:val="auto"/>
          <w:sz w:val="24"/>
          <w:szCs w:val="24"/>
          <w:highlight w:val="none"/>
          <w:u w:val="single"/>
          <w:lang w:val="en-US" w:eastAsia="zh-CN"/>
        </w:rPr>
        <w:t>广州市净水有限公司沥滘分公司2023年一二期提标及三期无人区固定式气体检测仪采购项目</w:t>
      </w:r>
      <w:r>
        <w:rPr>
          <w:rFonts w:hint="eastAsia" w:ascii="宋体" w:hAnsi="宋体" w:cs="宋体"/>
          <w:color w:val="auto"/>
          <w:sz w:val="24"/>
          <w:szCs w:val="24"/>
          <w:highlight w:val="none"/>
        </w:rPr>
        <w:t>采购和相应技术服务事宜，遵循平等、自愿、公平和诚实信用的原则，双方协商一致，订立本合同。</w:t>
      </w:r>
      <w:bookmarkStart w:id="111" w:name="_Toc474245210"/>
      <w:bookmarkStart w:id="112" w:name="_Toc520190026"/>
      <w:bookmarkStart w:id="113" w:name="_Toc518992986"/>
      <w:bookmarkStart w:id="114" w:name="_Toc183666513"/>
      <w:bookmarkStart w:id="115" w:name="_Toc1018"/>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bookmarkEnd w:id="111"/>
    <w:bookmarkEnd w:id="112"/>
    <w:bookmarkEnd w:id="113"/>
    <w:bookmarkEnd w:id="114"/>
    <w:bookmarkEnd w:id="115"/>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t>第二条</w:t>
      </w:r>
      <w:r>
        <w:rPr>
          <w:rFonts w:hint="eastAsia" w:ascii="宋体" w:hAnsi="宋体" w:cs="宋体"/>
          <w:b/>
          <w:color w:val="auto"/>
          <w:sz w:val="24"/>
          <w:highlight w:val="none"/>
        </w:rPr>
        <w:t>合同标的</w:t>
      </w:r>
    </w:p>
    <w:p>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本合同所指设备为全新的原装产品，其名称、型号、规格、数量、金额详见下表：</w:t>
      </w:r>
    </w:p>
    <w:tbl>
      <w:tblPr>
        <w:tblStyle w:val="22"/>
        <w:tblW w:w="9580" w:type="dxa"/>
        <w:jc w:val="center"/>
        <w:tblLayout w:type="fixed"/>
        <w:tblCellMar>
          <w:top w:w="0" w:type="dxa"/>
          <w:left w:w="0" w:type="dxa"/>
          <w:bottom w:w="0" w:type="dxa"/>
          <w:right w:w="0" w:type="dxa"/>
        </w:tblCellMar>
      </w:tblPr>
      <w:tblGrid>
        <w:gridCol w:w="710"/>
        <w:gridCol w:w="1417"/>
        <w:gridCol w:w="2716"/>
        <w:gridCol w:w="717"/>
        <w:gridCol w:w="645"/>
        <w:gridCol w:w="1063"/>
        <w:gridCol w:w="2312"/>
      </w:tblGrid>
      <w:tr>
        <w:tblPrEx>
          <w:tblCellMar>
            <w:top w:w="0" w:type="dxa"/>
            <w:left w:w="0" w:type="dxa"/>
            <w:bottom w:w="0" w:type="dxa"/>
            <w:right w:w="0" w:type="dxa"/>
          </w:tblCellMar>
        </w:tblPrEx>
        <w:trPr>
          <w:trHeight w:val="650" w:hRule="atLeast"/>
          <w:jc w:val="center"/>
        </w:trPr>
        <w:tc>
          <w:tcPr>
            <w:tcW w:w="710"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序号</w:t>
            </w:r>
          </w:p>
        </w:tc>
        <w:tc>
          <w:tcPr>
            <w:tcW w:w="141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设备名称</w:t>
            </w:r>
          </w:p>
        </w:tc>
        <w:tc>
          <w:tcPr>
            <w:tcW w:w="271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配</w:t>
            </w:r>
            <w:r>
              <w:rPr>
                <w:rFonts w:hint="eastAsia" w:ascii="宋体" w:hAnsi="宋体" w:eastAsia="宋体" w:cs="宋体"/>
                <w:b/>
                <w:bCs/>
                <w:color w:val="auto"/>
                <w:sz w:val="21"/>
                <w:szCs w:val="21"/>
                <w:highlight w:val="none"/>
              </w:rPr>
              <w:t>件名称</w:t>
            </w:r>
          </w:p>
        </w:tc>
        <w:tc>
          <w:tcPr>
            <w:tcW w:w="71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r>
              <w:rPr>
                <w:rFonts w:hint="eastAsia" w:ascii="宋体" w:hAnsi="宋体" w:eastAsia="宋体" w:cs="宋体"/>
                <w:b/>
                <w:bCs/>
                <w:color w:val="auto"/>
                <w:sz w:val="21"/>
                <w:szCs w:val="21"/>
                <w:highlight w:val="none"/>
                <w:lang w:val="en-US" w:eastAsia="zh-CN"/>
              </w:rPr>
              <w:t>套</w:t>
            </w:r>
            <w:r>
              <w:rPr>
                <w:rFonts w:hint="eastAsia" w:ascii="宋体" w:hAnsi="宋体" w:eastAsia="宋体" w:cs="宋体"/>
                <w:b/>
                <w:bCs/>
                <w:color w:val="auto"/>
                <w:sz w:val="21"/>
                <w:szCs w:val="21"/>
                <w:highlight w:val="none"/>
              </w:rPr>
              <w:t>）</w:t>
            </w:r>
          </w:p>
        </w:tc>
        <w:tc>
          <w:tcPr>
            <w:tcW w:w="64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单价（元）</w:t>
            </w:r>
          </w:p>
        </w:tc>
        <w:tc>
          <w:tcPr>
            <w:tcW w:w="106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kern w:val="0"/>
                <w:sz w:val="21"/>
                <w:szCs w:val="21"/>
                <w:highlight w:val="none"/>
                <w:lang w:bidi="ar"/>
              </w:rPr>
            </w:pPr>
            <w:r>
              <w:rPr>
                <w:rFonts w:hint="eastAsia" w:ascii="宋体" w:hAnsi="宋体" w:eastAsia="宋体" w:cs="宋体"/>
                <w:b/>
                <w:bCs w:val="0"/>
                <w:color w:val="auto"/>
                <w:kern w:val="0"/>
                <w:sz w:val="21"/>
                <w:szCs w:val="21"/>
                <w:highlight w:val="none"/>
                <w:lang w:bidi="ar"/>
              </w:rPr>
              <w:t>总价（元）</w:t>
            </w:r>
          </w:p>
        </w:tc>
        <w:tc>
          <w:tcPr>
            <w:tcW w:w="231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kern w:val="0"/>
                <w:sz w:val="21"/>
                <w:szCs w:val="21"/>
                <w:highlight w:val="none"/>
                <w:lang w:bidi="ar"/>
              </w:rPr>
            </w:pPr>
            <w:r>
              <w:rPr>
                <w:rFonts w:hint="eastAsia" w:ascii="宋体" w:hAnsi="宋体" w:eastAsia="宋体" w:cs="宋体"/>
                <w:b/>
                <w:bCs w:val="0"/>
                <w:color w:val="auto"/>
                <w:sz w:val="21"/>
                <w:szCs w:val="21"/>
                <w:highlight w:val="none"/>
              </w:rPr>
              <w:t>备注</w:t>
            </w:r>
          </w:p>
        </w:tc>
      </w:tr>
      <w:tr>
        <w:tblPrEx>
          <w:tblCellMar>
            <w:top w:w="0" w:type="dxa"/>
            <w:left w:w="0" w:type="dxa"/>
            <w:bottom w:w="0" w:type="dxa"/>
            <w:right w:w="0" w:type="dxa"/>
          </w:tblCellMar>
        </w:tblPrEx>
        <w:trPr>
          <w:trHeight w:val="2521" w:hRule="atLeast"/>
          <w:jc w:val="center"/>
        </w:trPr>
        <w:tc>
          <w:tcPr>
            <w:tcW w:w="710"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固定式气体检测仪</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固定气体检测仪防爆控制器，氨气气体检测仪</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硫化氢气体检测仪</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氧气气体检测仪</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甲烷气体检测仪</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2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整套设备包含氧气检测仪，可燃气检测仪,硫化氢检测仪,氨气检测仪和控制器</w:t>
            </w:r>
          </w:p>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0" w:type="dxa"/>
            <w:bottom w:w="0" w:type="dxa"/>
            <w:right w:w="0" w:type="dxa"/>
          </w:tblCellMar>
        </w:tblPrEx>
        <w:trPr>
          <w:trHeight w:val="693" w:hRule="atLeast"/>
          <w:jc w:val="center"/>
        </w:trPr>
        <w:tc>
          <w:tcPr>
            <w:tcW w:w="71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合计</w:t>
            </w:r>
          </w:p>
        </w:tc>
        <w:tc>
          <w:tcPr>
            <w:tcW w:w="8870" w:type="dxa"/>
            <w:gridSpan w:val="6"/>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合计含税价（元）：         ；    税率：</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 xml:space="preserve"> %  </w:t>
            </w:r>
          </w:p>
        </w:tc>
      </w:tr>
    </w:tbl>
    <w:p>
      <w:pPr>
        <w:pStyle w:val="45"/>
        <w:rPr>
          <w:color w:val="auto"/>
          <w:kern w:val="2"/>
          <w:highlight w:val="none"/>
          <w:lang w:val="zh-CN"/>
        </w:rPr>
      </w:pPr>
    </w:p>
    <w:p>
      <w:pPr>
        <w:spacing w:after="156" w:afterLines="50" w:line="360" w:lineRule="auto"/>
        <w:ind w:firstLine="480" w:firstLineChars="200"/>
        <w:rPr>
          <w:rFonts w:ascii="宋体" w:hAnsi="宋体" w:cs="宋体"/>
          <w:color w:val="auto"/>
          <w:kern w:val="0"/>
          <w:sz w:val="24"/>
          <w:highlight w:val="none"/>
          <w:lang w:val="zh-CN"/>
        </w:rPr>
      </w:pPr>
      <w:bookmarkStart w:id="116" w:name="_Toc17140"/>
      <w:r>
        <w:rPr>
          <w:rFonts w:hint="eastAsia" w:ascii="宋体" w:hAnsi="宋体" w:cs="宋体"/>
          <w:color w:val="auto"/>
          <w:kern w:val="0"/>
          <w:sz w:val="24"/>
          <w:highlight w:val="none"/>
          <w:lang w:val="zh-CN"/>
        </w:rPr>
        <w:t>其他技术需求见附件（如需）。</w:t>
      </w:r>
      <w:bookmarkEnd w:id="116"/>
    </w:p>
    <w:p>
      <w:pPr>
        <w:spacing w:after="156" w:afterLines="50"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第三条交货日期及地点</w:t>
      </w:r>
    </w:p>
    <w:p>
      <w:pPr>
        <w:spacing w:after="156" w:afterLines="5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3.1 </w:t>
      </w:r>
      <w:r>
        <w:rPr>
          <w:rFonts w:hint="eastAsia" w:ascii="宋体" w:hAnsi="宋体" w:cs="宋体"/>
          <w:color w:val="auto"/>
          <w:sz w:val="24"/>
          <w:highlight w:val="none"/>
        </w:rPr>
        <w:t>交货日期：合同签订后日内，即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日前完成供货（如需有不同交货时间注明）</w:t>
      </w:r>
      <w:r>
        <w:rPr>
          <w:rFonts w:ascii="宋体" w:hAnsi="宋体" w:cs="宋体"/>
          <w:color w:val="auto"/>
          <w:sz w:val="24"/>
          <w:highlight w:val="none"/>
        </w:rPr>
        <w:t>,</w:t>
      </w:r>
      <w:r>
        <w:rPr>
          <w:rFonts w:hint="eastAsia" w:ascii="宋体" w:hAnsi="宋体" w:cs="宋体"/>
          <w:color w:val="auto"/>
          <w:sz w:val="24"/>
          <w:highlight w:val="none"/>
        </w:rPr>
        <w:t>具体交货时间以甲方书面通知为准。</w:t>
      </w:r>
    </w:p>
    <w:p>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3.2</w:t>
      </w:r>
      <w:r>
        <w:rPr>
          <w:rFonts w:hint="eastAsia" w:ascii="宋体" w:hAnsi="宋体" w:cs="宋体"/>
          <w:bCs/>
          <w:color w:val="auto"/>
          <w:sz w:val="24"/>
          <w:highlight w:val="none"/>
        </w:rPr>
        <w:t>交货地点：</w:t>
      </w:r>
      <w:r>
        <w:rPr>
          <w:rFonts w:hint="eastAsia" w:ascii="宋体" w:hAnsi="宋体" w:cs="宋体"/>
          <w:bCs/>
          <w:color w:val="auto"/>
          <w:sz w:val="24"/>
          <w:highlight w:val="none"/>
          <w:u w:val="single"/>
          <w:lang w:eastAsia="zh-CN"/>
        </w:rPr>
        <w:t>广州市海珠区南洲路1375号</w:t>
      </w:r>
      <w:r>
        <w:rPr>
          <w:rFonts w:hint="eastAsia" w:ascii="宋体" w:hAnsi="宋体" w:cs="宋体"/>
          <w:bCs/>
          <w:color w:val="auto"/>
          <w:sz w:val="24"/>
          <w:highlight w:val="none"/>
          <w:u w:val="single"/>
        </w:rPr>
        <w:t xml:space="preserve"> </w:t>
      </w:r>
      <w:r>
        <w:rPr>
          <w:rFonts w:ascii="宋体" w:hAnsi="宋体" w:cs="宋体"/>
          <w:bCs/>
          <w:color w:val="auto"/>
          <w:sz w:val="24"/>
          <w:highlight w:val="none"/>
        </w:rPr>
        <w:t>,</w:t>
      </w:r>
      <w:r>
        <w:rPr>
          <w:rFonts w:hint="eastAsia" w:ascii="宋体" w:hAnsi="宋体" w:cs="宋体"/>
          <w:bCs/>
          <w:color w:val="auto"/>
          <w:sz w:val="24"/>
          <w:highlight w:val="none"/>
        </w:rPr>
        <w:t>最终具体交货地点以甲方书面通知为准。</w:t>
      </w:r>
    </w:p>
    <w:p>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3.3 </w:t>
      </w:r>
      <w:r>
        <w:rPr>
          <w:rFonts w:hint="eastAsia" w:ascii="宋体" w:hAnsi="宋体" w:cs="宋体"/>
          <w:bCs/>
          <w:color w:val="auto"/>
          <w:sz w:val="24"/>
          <w:highlight w:val="none"/>
        </w:rPr>
        <w:t>交货方式：乙方在设备运至交货地7个工作日前通知甲方。</w:t>
      </w:r>
    </w:p>
    <w:p>
      <w:pPr>
        <w:spacing w:line="360" w:lineRule="auto"/>
        <w:ind w:firstLine="480" w:firstLineChars="200"/>
        <w:rPr>
          <w:rFonts w:ascii="宋体" w:hAnsi="宋体" w:cs="宋体"/>
          <w:b/>
          <w:color w:val="auto"/>
          <w:sz w:val="24"/>
          <w:highlight w:val="none"/>
        </w:rPr>
      </w:pPr>
      <w:r>
        <w:rPr>
          <w:rFonts w:ascii="宋体" w:hAnsi="宋体" w:cs="宋体"/>
          <w:bCs/>
          <w:color w:val="auto"/>
          <w:sz w:val="24"/>
          <w:highlight w:val="none"/>
        </w:rPr>
        <w:t>3.4</w:t>
      </w:r>
      <w:r>
        <w:rPr>
          <w:rFonts w:hint="eastAsia" w:ascii="宋体" w:hAnsi="宋体" w:cs="宋体"/>
          <w:bCs/>
          <w:color w:val="auto"/>
          <w:sz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第四条合同价格</w:t>
      </w:r>
    </w:p>
    <w:p>
      <w:pPr>
        <w:tabs>
          <w:tab w:val="left" w:pos="851"/>
        </w:tabs>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 本合同暂定总价为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sz w:val="24"/>
          <w:highlight w:val="none"/>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sz w:val="24"/>
          <w:highlight w:val="none"/>
        </w:rPr>
        <w:t xml:space="preserve">元。 </w:t>
      </w:r>
    </w:p>
    <w:p>
      <w:pPr>
        <w:tabs>
          <w:tab w:val="left" w:pos="851"/>
        </w:tabs>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 设备价格包括工艺设计、设备及随机附件的制造、包装、运输（设备运输过程中所需的相关手续及费用）、装卸、指导安装调试、验收、培训（如需）、技术服务（包括技术资料、图纸的提供）、质保期保修、税费、保险费等全部费用。</w:t>
      </w:r>
    </w:p>
    <w:p>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 本合同约定的价格为含税价价格（税率 … %），合同履行期间国家税率调整或乙方开票的实际税率与前述税率不一致的，不含税价不变，价税合计按实际税率相应调整，以开具发票时间为准。</w:t>
      </w:r>
    </w:p>
    <w:p>
      <w:pPr>
        <w:autoSpaceDE w:val="0"/>
        <w:autoSpaceDN w:val="0"/>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第五条支付方式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 xml:space="preserve">预付款的支付： </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有</w:t>
      </w:r>
      <w:r>
        <w:rPr>
          <w:rFonts w:hint="eastAsia" w:ascii="宋体" w:hAnsi="宋体" w:cs="宋体"/>
          <w:color w:val="auto"/>
          <w:szCs w:val="21"/>
          <w:highlight w:val="none"/>
          <w:lang w:val="en-US" w:eastAsia="zh-CN"/>
        </w:rPr>
        <w:t>，</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5.2.1</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设备到达现场，经</w:t>
      </w:r>
      <w:r>
        <w:rPr>
          <w:rFonts w:hint="eastAsia" w:ascii="宋体" w:hAnsi="宋体" w:cs="宋体"/>
          <w:color w:val="auto"/>
          <w:sz w:val="24"/>
          <w:szCs w:val="24"/>
          <w:highlight w:val="none"/>
          <w:lang w:val="en-US" w:eastAsia="zh-CN"/>
        </w:rPr>
        <w:t>试运行</w:t>
      </w:r>
      <w:r>
        <w:rPr>
          <w:rFonts w:hint="eastAsia" w:ascii="宋体" w:hAnsi="宋体" w:cs="宋体"/>
          <w:color w:val="auto"/>
          <w:sz w:val="24"/>
          <w:szCs w:val="24"/>
          <w:highlight w:val="none"/>
        </w:rPr>
        <w:t>验收合格后，乙方提交请款资料及</w:t>
      </w:r>
      <w:r>
        <w:rPr>
          <w:rFonts w:hint="eastAsia" w:ascii="宋体" w:hAnsi="宋体" w:cs="宋体"/>
          <w:color w:val="auto"/>
          <w:sz w:val="24"/>
          <w:szCs w:val="24"/>
          <w:highlight w:val="none"/>
          <w:lang w:val="en-US" w:eastAsia="zh-CN"/>
        </w:rPr>
        <w:t>已交货货物</w:t>
      </w:r>
      <w:r>
        <w:rPr>
          <w:rFonts w:hint="eastAsia" w:ascii="宋体" w:hAnsi="宋体" w:cs="宋体"/>
          <w:color w:val="auto"/>
          <w:sz w:val="24"/>
          <w:szCs w:val="24"/>
          <w:highlight w:val="none"/>
        </w:rPr>
        <w:t>等额增值税专用发票</w:t>
      </w:r>
      <w:r>
        <w:rPr>
          <w:rFonts w:hint="eastAsia" w:ascii="宋体" w:hAnsi="宋体" w:cs="宋体"/>
          <w:color w:val="auto"/>
          <w:sz w:val="24"/>
          <w:szCs w:val="24"/>
          <w:highlight w:val="none"/>
          <w:lang w:val="en-US" w:eastAsia="zh-CN"/>
        </w:rPr>
        <w:t>给到甲方相应分公司</w:t>
      </w:r>
      <w:r>
        <w:rPr>
          <w:rFonts w:hint="eastAsia" w:ascii="宋体" w:hAnsi="宋体" w:cs="宋体"/>
          <w:b w:val="0"/>
          <w:bCs w:val="0"/>
          <w:color w:val="auto"/>
          <w:sz w:val="24"/>
          <w:szCs w:val="24"/>
          <w:highlight w:val="none"/>
        </w:rPr>
        <w:t>，甲方</w:t>
      </w:r>
      <w:r>
        <w:rPr>
          <w:rFonts w:hint="eastAsia" w:ascii="宋体" w:hAnsi="宋体" w:cs="宋体"/>
          <w:b w:val="0"/>
          <w:bCs w:val="0"/>
          <w:color w:val="auto"/>
          <w:sz w:val="24"/>
          <w:szCs w:val="24"/>
          <w:highlight w:val="none"/>
          <w:lang w:val="en-US" w:eastAsia="zh-CN"/>
        </w:rPr>
        <w:t>下属各分公司分别</w:t>
      </w:r>
      <w:r>
        <w:rPr>
          <w:rFonts w:hint="eastAsia" w:ascii="宋体" w:hAnsi="宋体" w:cs="宋体"/>
          <w:b w:val="0"/>
          <w:bCs w:val="0"/>
          <w:color w:val="auto"/>
          <w:sz w:val="24"/>
          <w:szCs w:val="24"/>
          <w:highlight w:val="none"/>
        </w:rPr>
        <w:t>支付</w:t>
      </w:r>
      <w:r>
        <w:rPr>
          <w:rFonts w:hint="eastAsia" w:ascii="宋体" w:hAnsi="宋体" w:cs="宋体"/>
          <w:b w:val="0"/>
          <w:bCs w:val="0"/>
          <w:color w:val="auto"/>
          <w:sz w:val="24"/>
          <w:szCs w:val="24"/>
          <w:highlight w:val="none"/>
          <w:lang w:val="en-US" w:eastAsia="zh-CN"/>
        </w:rPr>
        <w:t>至该货物</w:t>
      </w:r>
      <w:r>
        <w:rPr>
          <w:rFonts w:hint="eastAsia" w:ascii="宋体" w:hAnsi="宋体" w:cs="宋体"/>
          <w:b w:val="0"/>
          <w:bCs w:val="0"/>
          <w:color w:val="auto"/>
          <w:sz w:val="24"/>
          <w:szCs w:val="24"/>
          <w:highlight w:val="none"/>
        </w:rPr>
        <w:t xml:space="preserve">合同暂定价的 </w:t>
      </w:r>
      <w:r>
        <w:rPr>
          <w:rFonts w:hint="eastAsia" w:ascii="宋体" w:hAnsi="宋体" w:cs="宋体"/>
          <w:b w:val="0"/>
          <w:bCs w:val="0"/>
          <w:color w:val="auto"/>
          <w:sz w:val="24"/>
          <w:szCs w:val="24"/>
          <w:highlight w:val="none"/>
          <w:lang w:val="en-US" w:eastAsia="zh-CN"/>
        </w:rPr>
        <w:t>80</w:t>
      </w:r>
      <w:r>
        <w:rPr>
          <w:rFonts w:hint="eastAsia"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即￥</w:t>
      </w:r>
      <w:r>
        <w:rPr>
          <w:rFonts w:hint="eastAsia" w:ascii="宋体" w:hAnsi="宋体" w:cs="宋体"/>
          <w:b w:val="0"/>
          <w:bCs w:val="0"/>
          <w:color w:val="auto"/>
          <w:sz w:val="24"/>
          <w:szCs w:val="24"/>
          <w:highlight w:val="none"/>
          <w:u w:val="single"/>
          <w:lang w:val="en-US" w:eastAsia="zh-CN"/>
        </w:rPr>
        <w:t xml:space="preserve">      万元</w:t>
      </w:r>
      <w:r>
        <w:rPr>
          <w:rFonts w:hint="eastAsia" w:ascii="宋体" w:hAnsi="宋体" w:cs="宋体"/>
          <w:b w:val="0"/>
          <w:bCs w:val="0"/>
          <w:color w:val="auto"/>
          <w:sz w:val="24"/>
          <w:szCs w:val="24"/>
          <w:highlight w:val="none"/>
        </w:rPr>
        <w:t>给乙方。</w:t>
      </w:r>
    </w:p>
    <w:p>
      <w:pPr>
        <w:autoSpaceDE w:val="0"/>
        <w:autoSpaceDN w:val="0"/>
        <w:adjustRightInd w:val="0"/>
        <w:spacing w:after="0"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5.2.2</w:t>
      </w:r>
      <w:r>
        <w:rPr>
          <w:rFonts w:hint="eastAsia" w:ascii="宋体" w:hAnsi="宋体" w:cs="宋体"/>
          <w:color w:val="auto"/>
          <w:sz w:val="24"/>
          <w:szCs w:val="24"/>
          <w:highlight w:val="none"/>
        </w:rPr>
        <w:t>甲方委托有资质第三方机构审核后，由乙方提交申请支付资料 15 个工作日内，甲方</w:t>
      </w:r>
      <w:r>
        <w:rPr>
          <w:rFonts w:hint="eastAsia" w:ascii="宋体" w:hAnsi="宋体" w:cs="宋体"/>
          <w:color w:val="auto"/>
          <w:sz w:val="24"/>
          <w:szCs w:val="24"/>
          <w:highlight w:val="none"/>
          <w:lang w:val="en-US" w:eastAsia="zh-CN"/>
        </w:rPr>
        <w:t>下属各分公司分别</w:t>
      </w:r>
      <w:r>
        <w:rPr>
          <w:rFonts w:hint="eastAsia" w:ascii="宋体" w:hAnsi="宋体" w:cs="宋体"/>
          <w:color w:val="auto"/>
          <w:sz w:val="24"/>
          <w:szCs w:val="24"/>
          <w:highlight w:val="none"/>
        </w:rPr>
        <w:t>支付至</w:t>
      </w:r>
      <w:r>
        <w:rPr>
          <w:rFonts w:hint="eastAsia" w:ascii="宋体" w:hAnsi="宋体" w:cs="宋体"/>
          <w:color w:val="auto"/>
          <w:sz w:val="24"/>
          <w:szCs w:val="24"/>
          <w:highlight w:val="none"/>
          <w:lang w:val="en-US" w:eastAsia="zh-CN"/>
        </w:rPr>
        <w:t>该货物</w:t>
      </w:r>
      <w:r>
        <w:rPr>
          <w:rFonts w:hint="eastAsia" w:ascii="宋体" w:hAnsi="宋体" w:cs="宋体"/>
          <w:color w:val="auto"/>
          <w:sz w:val="24"/>
          <w:szCs w:val="24"/>
          <w:highlight w:val="none"/>
        </w:rPr>
        <w:t>合同结算价的</w:t>
      </w:r>
      <w:r>
        <w:rPr>
          <w:rFonts w:hint="eastAsia" w:ascii="宋体" w:hAnsi="宋体" w:cs="宋体"/>
          <w:color w:val="auto"/>
          <w:sz w:val="24"/>
          <w:szCs w:val="24"/>
          <w:highlight w:val="none"/>
          <w:lang w:val="en-US" w:eastAsia="zh-CN"/>
        </w:rPr>
        <w:t>95%</w:t>
      </w:r>
      <w:r>
        <w:rPr>
          <w:rFonts w:hint="eastAsia" w:ascii="宋体" w:hAnsi="宋体" w:cs="宋体"/>
          <w:color w:val="auto"/>
          <w:sz w:val="24"/>
          <w:szCs w:val="24"/>
          <w:highlight w:val="none"/>
        </w:rPr>
        <w:t>。（若审核价低于合同暂定总价，则以审核价作为合同结算价，否则以合同暂定总价为合同结算价），合同结算价的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r>
        <w:rPr>
          <w:rFonts w:hint="eastAsia" w:hAnsi="宋体" w:cs="宋体"/>
          <w:color w:val="auto"/>
          <w:sz w:val="24"/>
          <w:szCs w:val="24"/>
          <w:highlight w:val="none"/>
        </w:rPr>
        <w:t>质保期按合同第</w:t>
      </w:r>
      <w:r>
        <w:rPr>
          <w:rFonts w:hint="eastAsia" w:hAnsi="宋体" w:cs="宋体"/>
          <w:color w:val="auto"/>
          <w:sz w:val="24"/>
          <w:szCs w:val="24"/>
          <w:highlight w:val="none"/>
          <w:lang w:val="en-US" w:eastAsia="zh-CN"/>
        </w:rPr>
        <w:t>十</w:t>
      </w:r>
      <w:r>
        <w:rPr>
          <w:rFonts w:hint="eastAsia" w:hAnsi="宋体" w:cs="宋体"/>
          <w:color w:val="auto"/>
          <w:sz w:val="24"/>
          <w:szCs w:val="24"/>
          <w:highlight w:val="none"/>
        </w:rPr>
        <w:t>条规定执行，质保期满且乙方不存在违约情形，乙方提交请款资料及等额增值税专用发票，甲方审核无误后在</w:t>
      </w:r>
      <w:r>
        <w:rPr>
          <w:rFonts w:hAnsi="宋体" w:cs="宋体"/>
          <w:color w:val="auto"/>
          <w:sz w:val="24"/>
          <w:szCs w:val="24"/>
          <w:highlight w:val="none"/>
          <w:u w:val="single"/>
        </w:rPr>
        <w:t xml:space="preserve"> 15 </w:t>
      </w:r>
      <w:r>
        <w:rPr>
          <w:rFonts w:hint="eastAsia" w:hAnsi="宋体" w:cs="宋体"/>
          <w:color w:val="auto"/>
          <w:sz w:val="24"/>
          <w:szCs w:val="24"/>
          <w:highlight w:val="none"/>
        </w:rPr>
        <w:t>个工作日内支付</w:t>
      </w:r>
      <w:r>
        <w:rPr>
          <w:rFonts w:hint="eastAsia" w:ascii="宋体" w:hAnsi="宋体" w:cs="宋体"/>
          <w:color w:val="auto"/>
          <w:sz w:val="24"/>
          <w:szCs w:val="24"/>
          <w:highlight w:val="none"/>
          <w:lang w:val="en-US" w:eastAsia="zh-CN"/>
        </w:rPr>
        <w:t>该货物</w:t>
      </w:r>
      <w:r>
        <w:rPr>
          <w:rFonts w:hint="eastAsia" w:hAnsi="宋体" w:cs="宋体"/>
          <w:color w:val="auto"/>
          <w:sz w:val="24"/>
          <w:szCs w:val="24"/>
          <w:highlight w:val="none"/>
        </w:rPr>
        <w:t>合同结算价的</w:t>
      </w:r>
      <w:r>
        <w:rPr>
          <w:rFonts w:hAnsi="宋体" w:cs="宋体"/>
          <w:color w:val="auto"/>
          <w:sz w:val="24"/>
          <w:szCs w:val="24"/>
          <w:highlight w:val="none"/>
        </w:rPr>
        <w:t>5</w:t>
      </w:r>
      <w:r>
        <w:rPr>
          <w:rFonts w:hint="eastAsia" w:hAnsi="宋体" w:cs="宋体"/>
          <w:color w:val="auto"/>
          <w:sz w:val="24"/>
          <w:szCs w:val="24"/>
          <w:highlight w:val="none"/>
        </w:rPr>
        <w:t>％（质保金）给乙方</w:t>
      </w:r>
      <w:r>
        <w:rPr>
          <w:rFonts w:hAnsi="宋体" w:cs="宋体"/>
          <w:color w:val="auto"/>
          <w:sz w:val="24"/>
          <w:szCs w:val="24"/>
          <w:highlight w:val="none"/>
        </w:rPr>
        <w:t>(</w:t>
      </w:r>
      <w:r>
        <w:rPr>
          <w:rFonts w:hint="eastAsia" w:hAnsi="宋体" w:cs="宋体"/>
          <w:color w:val="auto"/>
          <w:sz w:val="24"/>
          <w:szCs w:val="24"/>
          <w:highlight w:val="none"/>
        </w:rPr>
        <w:t>无息</w:t>
      </w:r>
      <w:r>
        <w:rPr>
          <w:rFonts w:hAnsi="宋体" w:cs="宋体"/>
          <w:color w:val="auto"/>
          <w:sz w:val="24"/>
          <w:szCs w:val="24"/>
          <w:highlight w:val="none"/>
        </w:rPr>
        <w:t>)</w:t>
      </w:r>
      <w:r>
        <w:rPr>
          <w:rFonts w:hint="eastAsia" w:hAnsi="宋体" w:cs="宋体"/>
          <w:color w:val="auto"/>
          <w:sz w:val="24"/>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11"/>
        <w:spacing w:line="360" w:lineRule="auto"/>
        <w:ind w:firstLine="735" w:firstLineChars="350"/>
        <w:outlineLvl w:val="1"/>
        <w:rPr>
          <w:rFonts w:hAnsi="宋体" w:cs="宋体"/>
          <w:color w:val="auto"/>
          <w:szCs w:val="24"/>
          <w:highlight w:val="none"/>
        </w:rPr>
      </w:pPr>
      <w:r>
        <w:rPr>
          <w:rFonts w:hint="eastAsia" w:hAnsi="宋体" w:cs="宋体"/>
          <w:color w:val="auto"/>
          <w:szCs w:val="24"/>
          <w:highlight w:val="none"/>
        </w:rPr>
        <w:t>（建议采用网银支付、支票两种形式中之一）。</w:t>
      </w:r>
    </w:p>
    <w:p>
      <w:pPr>
        <w:autoSpaceDE w:val="0"/>
        <w:autoSpaceDN w:val="0"/>
        <w:adjustRightIn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6.1履约担保：</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，本合同签订后10日内以合同暂定总价的10%作为履约保证金，金额为：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（大写人民币：</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6.2履约担保按以下任一种形式提供：</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1、符合甲方要求（详见附件6保函格式）的银行独立保函，</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2、现金转账至甲方以下指定账户：</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户名：广州市净水有限公司</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账号：82010154900000342</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开户行：浦发银行广州分行</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6.3履约担保的担保期限和返还</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6.3.1履约银行保函（或现金履约保证金）的担保期限：从提供履约担保（或转账成功）之日起至合同履行完成。</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6.3.2履约银行保函在合同履行完成后，由乙方提出申请，甲方在28日内返还，不支付利息； </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6.3.3延长担保期限。履约银行保函形式提交履约保证金的，在银行保函到期前，乙方应提前 7 天向甲方提交新的保函以替换即将到期的保函。如乙方未及时提交的，甲方有权直接要求担保银行支付其担保的全部金额并解除合同。</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6.3.4现金履约保证金的退还：合同履行完成后，由乙方提出申请，甲方在28天内将剩余履约保证金（无息）返还。</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6.3.5甲方按合同约定提取履约担保金额后，乙方应在收到甲方通知后 7 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spacing w:before="120" w:after="120" w:line="360" w:lineRule="auto"/>
        <w:ind w:firstLine="480" w:firstLineChars="200"/>
        <w:rPr>
          <w:rFonts w:hint="eastAsia" w:ascii="宋体" w:hAnsi="宋体" w:cs="宋体"/>
          <w:bCs/>
          <w:color w:val="auto"/>
          <w:sz w:val="24"/>
          <w:szCs w:val="24"/>
          <w:highlight w:val="none"/>
        </w:rPr>
      </w:pPr>
      <w:bookmarkStart w:id="117" w:name="_Toc474245215"/>
      <w:bookmarkStart w:id="118" w:name="_Toc518992990"/>
      <w:bookmarkStart w:id="119" w:name="_Toc520190030"/>
      <w:bookmarkStart w:id="120" w:name="_Toc257"/>
      <w:bookmarkStart w:id="121" w:name="_Toc183666534"/>
      <w:r>
        <w:rPr>
          <w:rFonts w:hint="eastAsia" w:ascii="宋体" w:hAnsi="宋体" w:cs="宋体"/>
          <w:bCs/>
          <w:color w:val="auto"/>
          <w:sz w:val="24"/>
          <w:szCs w:val="24"/>
          <w:highlight w:val="none"/>
        </w:rPr>
        <w:t>7.1 交货要求：乙方应在交货时向甲方提供出厂合格证、产品质量证明文件、操作维修手册等（手册应包含设备情况、系统和主要部件常见故障、保养要求、紧急维修电话等内容）。</w:t>
      </w:r>
    </w:p>
    <w:p>
      <w:pPr>
        <w:spacing w:before="120" w:after="12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7.2外观验收：设备运抵交货地点后，甲乙双方根据合同约定对合同设备的包装、外观与件数进行清点检查，并共同签署合同设备外观检查记录。</w:t>
      </w:r>
    </w:p>
    <w:p>
      <w:pPr>
        <w:spacing w:before="120" w:after="12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7.3 开箱验收：开箱检验在合同设备交付地点进行，包括但不限于对合同设备数量、规格、外观完好性进行检验。经验收合格后，甲方签发开箱检验合格证明。开箱验收合格前，设备的损坏风险由乙方承担。</w:t>
      </w:r>
    </w:p>
    <w:p>
      <w:pPr>
        <w:spacing w:before="120" w:after="12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before="120" w:after="12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before="120" w:after="12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7.6 甲方有权对合同设备进行原厂正品验证，若合同设备无法获原厂验证，甲方有权退回设备，要求乙方在 5 个工作日内退回已支付款项并按设备价格的 10 %支付违约金。</w:t>
      </w:r>
    </w:p>
    <w:p>
      <w:pPr>
        <w:spacing w:before="120" w:after="12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17"/>
      <w:bookmarkEnd w:id="118"/>
      <w:bookmarkEnd w:id="119"/>
      <w:r>
        <w:rPr>
          <w:rFonts w:hint="eastAsia" w:ascii="宋体" w:hAnsi="宋体" w:cs="宋体"/>
          <w:b/>
          <w:color w:val="auto"/>
          <w:sz w:val="24"/>
          <w:szCs w:val="24"/>
          <w:highlight w:val="none"/>
        </w:rPr>
        <w:t>、标示及运输要求</w:t>
      </w:r>
    </w:p>
    <w:bookmarkEnd w:id="120"/>
    <w:bookmarkEnd w:id="121"/>
    <w:p>
      <w:pPr>
        <w:adjustRightInd w:val="0"/>
        <w:snapToGrid w:val="0"/>
        <w:spacing w:before="156" w:beforeLines="50" w:after="156" w:afterLines="50" w:line="360" w:lineRule="auto"/>
        <w:ind w:firstLine="480" w:firstLineChars="200"/>
        <w:rPr>
          <w:rFonts w:hint="eastAsia" w:ascii="宋体" w:hAnsi="宋体" w:cs="宋体"/>
          <w:bCs/>
          <w:color w:val="auto"/>
          <w:sz w:val="24"/>
          <w:szCs w:val="24"/>
          <w:highlight w:val="none"/>
        </w:rPr>
      </w:pPr>
      <w:bookmarkStart w:id="122" w:name="_Toc18496"/>
      <w:bookmarkStart w:id="123" w:name="_Toc183666522"/>
      <w:bookmarkStart w:id="124" w:name="_Toc306350458"/>
      <w:r>
        <w:rPr>
          <w:rFonts w:hint="eastAsia" w:ascii="宋体" w:hAnsi="宋体" w:cs="宋体"/>
          <w:bCs/>
          <w:color w:val="auto"/>
          <w:sz w:val="24"/>
          <w:szCs w:val="24"/>
          <w:highlight w:val="none"/>
        </w:rPr>
        <w:t>8.1 包装</w:t>
      </w:r>
    </w:p>
    <w:p>
      <w:pPr>
        <w:adjustRightInd w:val="0"/>
        <w:snapToGrid w:val="0"/>
        <w:spacing w:before="156" w:beforeLines="50" w:after="156" w:afterLines="5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adjustRightInd w:val="0"/>
        <w:snapToGrid w:val="0"/>
        <w:spacing w:before="156" w:beforeLines="50" w:after="156" w:afterLines="5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8.1.2超限设备的包装要求：</w:t>
      </w:r>
      <w:r>
        <w:rPr>
          <w:rFonts w:hint="eastAsia"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 xml:space="preserve"> 。</w:t>
      </w:r>
    </w:p>
    <w:p>
      <w:pPr>
        <w:adjustRightInd w:val="0"/>
        <w:snapToGrid w:val="0"/>
        <w:spacing w:before="156" w:beforeLines="50" w:after="156" w:afterLines="5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8.2 标志</w:t>
      </w:r>
    </w:p>
    <w:p>
      <w:pPr>
        <w:adjustRightInd w:val="0"/>
        <w:snapToGrid w:val="0"/>
        <w:spacing w:before="156" w:beforeLines="50" w:after="156" w:afterLines="5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8.2.1乙方应按照国家标准对设备的外包装进行标志。</w:t>
      </w:r>
    </w:p>
    <w:p>
      <w:pPr>
        <w:adjustRightInd w:val="0"/>
        <w:snapToGrid w:val="0"/>
        <w:spacing w:before="156" w:beforeLines="50" w:after="156" w:afterLines="5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before="156" w:beforeLines="50" w:after="156" w:afterLines="5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8.2.3  如由于包装不当或包装箱内部保护措施不符合要求而导致在装车或运输中发生设备或其任何部件的损坏或遗失，乙方应自费对缺损的设备、部件进行修理、更换或补供。</w:t>
      </w:r>
    </w:p>
    <w:p>
      <w:pPr>
        <w:adjustRightInd w:val="0"/>
        <w:snapToGrid w:val="0"/>
        <w:spacing w:before="156" w:beforeLines="50" w:after="156" w:afterLines="5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8.3运输</w:t>
      </w:r>
    </w:p>
    <w:p>
      <w:pPr>
        <w:adjustRightInd w:val="0"/>
        <w:snapToGrid w:val="0"/>
        <w:spacing w:before="156" w:beforeLines="50" w:after="156" w:afterLines="5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8.3.1乙方应自行选择适宜的运输工具及线路安排合同设备运输。</w:t>
      </w:r>
    </w:p>
    <w:p>
      <w:pPr>
        <w:adjustRightInd w:val="0"/>
        <w:snapToGrid w:val="0"/>
        <w:spacing w:before="156" w:beforeLines="50" w:after="156" w:afterLines="5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8.3.2 除合同条款另有约定外，每件设备的备品备件应整套装运。</w:t>
      </w:r>
    </w:p>
    <w:p>
      <w:pPr>
        <w:adjustRightInd w:val="0"/>
        <w:snapToGrid w:val="0"/>
        <w:spacing w:before="156" w:beforeLines="50" w:after="156" w:afterLines="5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p>
      <w:pPr>
        <w:adjustRightInd w:val="0"/>
        <w:snapToGrid w:val="0"/>
        <w:spacing w:before="156" w:beforeLines="50" w:after="156"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bookmarkEnd w:id="122"/>
    <w:bookmarkEnd w:id="123"/>
    <w:bookmarkEnd w:id="124"/>
    <w:p>
      <w:pPr>
        <w:autoSpaceDE w:val="0"/>
        <w:autoSpaceDN w:val="0"/>
        <w:adjustRightInd w:val="0"/>
        <w:spacing w:line="360" w:lineRule="auto"/>
        <w:ind w:firstLine="480" w:firstLineChars="200"/>
        <w:rPr>
          <w:rFonts w:hint="eastAsia" w:ascii="宋体" w:hAnsi="宋体" w:cs="宋体"/>
          <w:color w:val="auto"/>
          <w:sz w:val="24"/>
          <w:szCs w:val="24"/>
          <w:highlight w:val="none"/>
        </w:rPr>
      </w:pPr>
      <w:bookmarkStart w:id="125" w:name="_Toc520190034"/>
      <w:bookmarkStart w:id="126" w:name="_Toc474245220"/>
      <w:bookmarkStart w:id="127" w:name="_Toc518992994"/>
      <w:bookmarkStart w:id="128" w:name="_Toc4682"/>
      <w:bookmarkStart w:id="129" w:name="_Toc306350459"/>
      <w:bookmarkStart w:id="130" w:name="_Toc183666523"/>
      <w:r>
        <w:rPr>
          <w:rFonts w:hint="eastAsia" w:ascii="宋体" w:hAnsi="宋体" w:cs="宋体"/>
          <w:color w:val="auto"/>
          <w:sz w:val="24"/>
          <w:szCs w:val="24"/>
          <w:highlight w:val="none"/>
        </w:rPr>
        <w:t>第九条 技术服务</w:t>
      </w:r>
    </w:p>
    <w:p>
      <w:pPr>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  乙方应按甲方需求，派遣技术熟练、称职的技术人员到现场为甲方提供设备调试运行等技术服务。</w:t>
      </w:r>
    </w:p>
    <w:p>
      <w:pPr>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  甲方为乙方技术人员提供工作条件及便利，包括但不限于必要的办公场所、技术资料及出入许可等。除合同另有约定外，乙方技术人员的交通、食宿费用由乙方承担。</w:t>
      </w:r>
    </w:p>
    <w:p>
      <w:pPr>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9.3  乙方技术人员应遵守甲方施工现场的各项规章制度和安全操作规程，并服从甲方的现场管理。</w:t>
      </w:r>
    </w:p>
    <w:p>
      <w:pPr>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125"/>
      <w:bookmarkEnd w:id="126"/>
      <w:bookmarkEnd w:id="127"/>
      <w:r>
        <w:rPr>
          <w:rFonts w:hint="eastAsia" w:ascii="宋体" w:hAnsi="宋体" w:cs="宋体"/>
          <w:b/>
          <w:color w:val="auto"/>
          <w:sz w:val="24"/>
          <w:szCs w:val="24"/>
          <w:highlight w:val="none"/>
        </w:rPr>
        <w:t>修</w:t>
      </w:r>
    </w:p>
    <w:bookmarkEnd w:id="128"/>
    <w:bookmarkEnd w:id="129"/>
    <w:bookmarkEnd w:id="130"/>
    <w:p>
      <w:pPr>
        <w:spacing w:line="360" w:lineRule="auto"/>
        <w:ind w:firstLine="482"/>
        <w:rPr>
          <w:rFonts w:hint="eastAsia" w:ascii="宋体" w:hAnsi="宋体" w:cs="宋体"/>
          <w:color w:val="auto"/>
          <w:sz w:val="24"/>
          <w:szCs w:val="24"/>
          <w:highlight w:val="none"/>
        </w:rPr>
      </w:pPr>
      <w:bookmarkStart w:id="131" w:name="_Toc474245223"/>
      <w:bookmarkStart w:id="132" w:name="_Toc107447250"/>
      <w:bookmarkStart w:id="133" w:name="_Toc518992997"/>
      <w:bookmarkStart w:id="134" w:name="_Toc107446857"/>
      <w:bookmarkStart w:id="135" w:name="_Toc27734"/>
      <w:bookmarkStart w:id="136" w:name="_Toc520190037"/>
      <w:bookmarkStart w:id="137" w:name="_Toc306350464"/>
      <w:bookmarkStart w:id="138" w:name="_Toc183666528"/>
      <w:r>
        <w:rPr>
          <w:rFonts w:hint="eastAsia" w:ascii="宋体" w:hAnsi="宋体" w:cs="宋体"/>
          <w:color w:val="auto"/>
          <w:sz w:val="24"/>
          <w:szCs w:val="24"/>
          <w:highlight w:val="none"/>
        </w:rPr>
        <w:t xml:space="preserve">10.1保修期：自设备开箱验收合格之日起 1  年。保修期内乙方应免费对设备进行日常维护保养及质量缺陷修复。                                          </w:t>
      </w:r>
    </w:p>
    <w:p>
      <w:pPr>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10.2保修期内，乙方应对设备质量问题负责。如设备质量问题导致处理水量、出水水质达不到合同要求的，乙方需无条件免费更换设备并支付合同暂定总价的10%作为违约金，由此产生的费用由乙方承担。对涉及运营费用，乙方应保证在开箱验收合格后三年内，设备运行费用不高于投标文件/响应文件的承诺指标，否则，乙方需无条件免费更换设备并支付违约金10000元（如有）。</w:t>
      </w:r>
    </w:p>
    <w:p>
      <w:pPr>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10.3 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hint="eastAsia" w:ascii="宋体" w:hAnsi="宋体" w:cs="宋体"/>
          <w:color w:val="auto"/>
          <w:sz w:val="24"/>
          <w:szCs w:val="24"/>
          <w:highlight w:val="none"/>
        </w:rPr>
        <w:t>10.4 质量保修期间，如合同设备出现故障，乙方应在接到甲方通知后 12  小时内通过电话、网络等提供远程技术指导，如甲方需要乙方到场的，乙方应在收到甲方通知后 24 小时内派专业技术人员到场负责解决及维修故障。如果乙方不按时到场维修或到场后不能修复的，甲方有权委托他人予以维修，乙方承担由此发生的费用并支付合同暂定总价10%/次作为违约金。</w:t>
      </w: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31"/>
      <w:bookmarkEnd w:id="132"/>
      <w:bookmarkEnd w:id="133"/>
      <w:bookmarkEnd w:id="134"/>
      <w:bookmarkEnd w:id="135"/>
      <w:bookmarkEnd w:id="136"/>
      <w:bookmarkEnd w:id="137"/>
      <w:bookmarkEnd w:id="138"/>
    </w:p>
    <w:p>
      <w:pPr>
        <w:spacing w:line="360" w:lineRule="auto"/>
        <w:ind w:firstLine="480" w:firstLineChars="200"/>
        <w:rPr>
          <w:rFonts w:hint="eastAsia" w:ascii="宋体" w:hAnsi="宋体" w:cs="宋体"/>
          <w:bCs/>
          <w:color w:val="auto"/>
          <w:sz w:val="24"/>
          <w:szCs w:val="24"/>
          <w:highlight w:val="none"/>
        </w:rPr>
      </w:pPr>
      <w:bookmarkStart w:id="139" w:name="_Toc474245224"/>
      <w:bookmarkStart w:id="140" w:name="_Toc107446861"/>
      <w:bookmarkStart w:id="141" w:name="_Toc183666529"/>
      <w:bookmarkStart w:id="142" w:name="_Toc118086592"/>
      <w:bookmarkStart w:id="143" w:name="_Toc107446860"/>
      <w:bookmarkStart w:id="144" w:name="_Toc5166"/>
      <w:bookmarkStart w:id="145" w:name="_Toc518992998"/>
      <w:bookmarkStart w:id="146" w:name="_Toc520190038"/>
      <w:bookmarkStart w:id="147" w:name="_Toc306350465"/>
      <w:bookmarkStart w:id="148" w:name="_Toc107447253"/>
      <w:bookmarkStart w:id="149" w:name="_Toc107447254"/>
      <w:r>
        <w:rPr>
          <w:rFonts w:hint="eastAsia" w:ascii="宋体" w:hAnsi="宋体" w:cs="宋体"/>
          <w:bCs/>
          <w:color w:val="auto"/>
          <w:sz w:val="24"/>
          <w:szCs w:val="24"/>
          <w:highlight w:val="none"/>
        </w:rPr>
        <w:t>11.1 延期交货的违约责任</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11.1.1 乙方应按照本合同约定的时间交货。如乙方因客观情况导致无法按时交货，乙方应在交货期前 15  日，以书面形式将原因及预计拖延的时间通知甲方。经甲方同意后，交货期顺延。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11.1.2乙方未能在合同规定期限内交货并交付完整技术资料的，每逾期一天，甲方有权按迟交货设备价格的1%/天要求乙方支付违约金。逾期超过 15 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 质量问题的违约责任</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（1）乙方承担费用，用合格的新设备更换有缺陷的设备或修补缺陷部分；</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（3）按不合格设备价格的50%支付违约金。</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（4）赔偿甲方因设备质量问题导致的一切损失。</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11.2.2 如果乙方提供的技术资料有错误，或者由于乙方技术人员原因造成设备安装、调试不成功和（或）造成合同设备损坏的情况，乙方应在  24 小时内采取修理、更换、退货等补救措施并负担因此发生的费用，同时需向甲方支付不合格设备价格的 50 %作为违约金。</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合同暂定总价的 100 %支付违约金。</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11.3 如乙方未按合同六条约定递交履约保证金，甲方有权解除合同并要求乙方支付合同暂定总价的20%作为违约金。 </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11.4 如双方对质量责任认定有争议，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11.5乙方不履行合同义务、或履行合同义务不符合合同约定、或违反国家、省、市行业标准的，甲方有权要求乙方限期整改。乙方逾期未完成整改的，每项每超过1日支付违约金人民币1万元，超过_15 _日，甲方有权解除合同并要求乙方支付合同暂定总价的20%作为违约金（如合同另行约定违约责任，从其约定）。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12.1 甲方解除合同</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12.1.1 乙方未能在本合同约定或甲方另行指定的期限内提供部分或全部设备或提供技术服务，并经甲方催告后仍未提供； </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12.1.2乙方交付的设备存在严重的质量问题，导致本合同目的不能实现；</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12.1.3 乙方存在违反合同义务的其他情形，经甲方催告后仍未作出补救或完成整改；</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12.1.4 乙方投标时提交的资料不真实，或任何时候发现乙方有违反投标时的承诺和（或）声明的情况；</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12.2 乙方解除合同</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90</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天仍未支付，乙方有权以书面通知解除本合同。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12.3甲乙双方经协商一致后解除合同。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（1）地震、火山爆发、滑坡、暴雨（橙色预警及以上）、台风（黄色预警及以上）、海啸、龙卷风、大面积流行病(如：非典型性肺炎等)或瘟疫；</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（2）战争行为、入侵、武装冲突或外敌行为、封锁、暴乱、恐怖行为或军事演习；</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贰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139"/>
    <w:bookmarkEnd w:id="140"/>
    <w:bookmarkEnd w:id="141"/>
    <w:bookmarkEnd w:id="142"/>
    <w:bookmarkEnd w:id="143"/>
    <w:bookmarkEnd w:id="144"/>
    <w:bookmarkEnd w:id="145"/>
    <w:bookmarkEnd w:id="146"/>
    <w:bookmarkEnd w:id="147"/>
    <w:bookmarkEnd w:id="148"/>
    <w:bookmarkEnd w:id="149"/>
    <w:p>
      <w:pPr>
        <w:spacing w:line="360" w:lineRule="auto"/>
        <w:ind w:firstLine="480"/>
        <w:rPr>
          <w:rFonts w:ascii="宋体" w:hAnsi="宋体" w:cs="宋体"/>
          <w:color w:val="auto"/>
          <w:sz w:val="24"/>
          <w:szCs w:val="24"/>
          <w:highlight w:val="none"/>
        </w:rPr>
      </w:pP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1200" w:firstLineChars="5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3.报价清单</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spacing w:line="360" w:lineRule="auto"/>
        <w:ind w:firstLine="1200" w:firstLineChars="500"/>
        <w:rPr>
          <w:rFonts w:ascii="宋体" w:hAnsi="宋体"/>
          <w:color w:val="auto"/>
          <w:sz w:val="24"/>
          <w:szCs w:val="24"/>
          <w:highlight w:val="none"/>
        </w:rPr>
      </w:pPr>
    </w:p>
    <w:tbl>
      <w:tblPr>
        <w:tblStyle w:val="22"/>
        <w:tblpPr w:leftFromText="180" w:rightFromText="180" w:vertAnchor="text" w:horzAnchor="page" w:tblpX="1304" w:tblpY="94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电话：020-38890411</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rPr>
          <w:rFonts w:hint="eastAsia" w:ascii="仿宋_GB2312" w:hAnsi="仿宋_GB2312" w:eastAsia="仿宋_GB2312" w:cs="仿宋_GB2312"/>
          <w:b/>
          <w:bCs/>
          <w:color w:val="auto"/>
          <w:sz w:val="32"/>
          <w:szCs w:val="32"/>
          <w:highlight w:val="none"/>
          <w:lang w:val="en-US" w:eastAsia="zh-CN"/>
        </w:rPr>
      </w:pPr>
    </w:p>
    <w:p>
      <w:pPr>
        <w:pStyle w:val="21"/>
        <w:rPr>
          <w:rFonts w:hint="eastAsia"/>
          <w:color w:val="auto"/>
          <w:highlight w:val="none"/>
          <w:lang w:val="en-US" w:eastAsia="zh-CN"/>
        </w:rPr>
      </w:pPr>
    </w:p>
    <w:p>
      <w:pPr>
        <w:rPr>
          <w:rFonts w:hint="default" w:ascii="仿宋_GB2312" w:hAnsi="仿宋_GB2312" w:eastAsia="仿宋_GB2312" w:cs="仿宋_GB2312"/>
          <w:b/>
          <w:bCs/>
          <w:color w:val="auto"/>
          <w:sz w:val="32"/>
          <w:szCs w:val="32"/>
          <w:highlight w:val="none"/>
          <w:lang w:val="en-US" w:eastAsia="zh-CN"/>
        </w:rPr>
      </w:pPr>
      <w:r>
        <w:rPr>
          <w:rFonts w:hint="eastAsia" w:ascii="宋体" w:hAnsi="宋体" w:cs="宋体" w:eastAsiaTheme="minorEastAsia"/>
          <w:b w:val="0"/>
          <w:bCs w:val="0"/>
          <w:color w:val="auto"/>
          <w:sz w:val="24"/>
          <w:szCs w:val="24"/>
          <w:highlight w:val="none"/>
          <w:lang w:eastAsia="zh-CN"/>
        </w:rPr>
        <w:t>附件</w:t>
      </w:r>
      <w:r>
        <w:rPr>
          <w:rFonts w:hint="eastAsia" w:ascii="宋体" w:hAnsi="宋体" w:cs="宋体" w:eastAsiaTheme="minorEastAsia"/>
          <w:b w:val="0"/>
          <w:bCs w:val="0"/>
          <w:color w:val="auto"/>
          <w:sz w:val="24"/>
          <w:szCs w:val="24"/>
          <w:highlight w:val="none"/>
          <w:lang w:val="en-US" w:eastAsia="zh-CN"/>
        </w:rPr>
        <w:t>1   发包通知书</w:t>
      </w:r>
    </w:p>
    <w:p>
      <w:pPr>
        <w:spacing w:line="360" w:lineRule="auto"/>
        <w:rPr>
          <w:rFonts w:hint="default" w:ascii="仿宋_GB2312" w:hAnsi="仿宋_GB2312" w:eastAsia="仿宋_GB2312" w:cs="仿宋_GB2312"/>
          <w:b/>
          <w:bCs/>
          <w:color w:val="auto"/>
          <w:sz w:val="32"/>
          <w:szCs w:val="32"/>
          <w:highlight w:val="none"/>
          <w:lang w:val="en-US" w:eastAsia="zh-CN"/>
        </w:rPr>
        <w:sectPr>
          <w:pgSz w:w="11906" w:h="16838"/>
          <w:pgMar w:top="1587" w:right="1020" w:bottom="777"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left"/>
        <w:rPr>
          <w:rFonts w:hint="eastAsia" w:ascii="宋体" w:hAnsi="宋体" w:eastAsia="宋体" w:cs="Times New Roman"/>
          <w:b/>
          <w:color w:val="auto"/>
          <w:sz w:val="28"/>
          <w:szCs w:val="28"/>
          <w:highlight w:val="none"/>
          <w:lang w:eastAsia="zh-CN"/>
        </w:rPr>
      </w:pPr>
      <w:r>
        <w:rPr>
          <w:rFonts w:hint="eastAsia" w:ascii="宋体" w:hAnsi="宋体" w:eastAsia="宋体" w:cs="Times New Roman"/>
          <w:b/>
          <w:color w:val="auto"/>
          <w:sz w:val="28"/>
          <w:szCs w:val="28"/>
          <w:highlight w:val="none"/>
        </w:rPr>
        <w:t>附件</w:t>
      </w:r>
      <w:r>
        <w:rPr>
          <w:rFonts w:hint="eastAsia" w:ascii="宋体" w:hAnsi="宋体" w:eastAsia="宋体" w:cs="Times New Roman"/>
          <w:b/>
          <w:color w:val="auto"/>
          <w:sz w:val="28"/>
          <w:szCs w:val="28"/>
          <w:highlight w:val="none"/>
          <w:lang w:val="en-US" w:eastAsia="zh-CN"/>
        </w:rPr>
        <w:t>2</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lang w:val="en-US" w:eastAsia="zh-CN"/>
        </w:rPr>
        <w:t>8</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lang w:val="en-US" w:eastAsia="zh-CN"/>
        </w:rPr>
        <w:t>6</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lang w:val="en-US" w:eastAsia="zh-CN"/>
        </w:rPr>
        <w:t>2</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Theme="minorEastAsia"/>
          <w:color w:val="auto"/>
          <w:sz w:val="24"/>
          <w:highlight w:val="none"/>
          <w:lang w:eastAsia="zh-CN"/>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tabs>
          <w:tab w:val="left" w:pos="4170"/>
        </w:tabs>
        <w:spacing w:line="360" w:lineRule="auto"/>
        <w:rPr>
          <w:rFonts w:hint="eastAsia" w:ascii="黑体" w:hAnsi="黑体" w:eastAsia="黑体"/>
          <w:color w:val="auto"/>
          <w:sz w:val="32"/>
          <w:szCs w:val="32"/>
          <w:highlight w:val="none"/>
        </w:rPr>
      </w:pPr>
    </w:p>
    <w:p>
      <w:pPr>
        <w:adjustRightInd w:val="0"/>
        <w:snapToGrid w:val="0"/>
        <w:spacing w:line="360" w:lineRule="auto"/>
        <w:jc w:val="left"/>
        <w:rPr>
          <w:rFonts w:hint="eastAsia" w:ascii="仿宋_GB2312" w:hAnsi="仿宋_GB2312" w:eastAsia="仿宋_GB2312" w:cs="仿宋_GB2312"/>
          <w:color w:val="auto"/>
          <w:sz w:val="24"/>
          <w:highlight w:val="none"/>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default"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eastAsia="zh-CN"/>
        </w:rPr>
        <w:t>附件3 报价清单（详见响应文件报价清单）</w:t>
      </w:r>
    </w:p>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p>
    <w:p>
      <w:pPr>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4</w:t>
      </w:r>
    </w:p>
    <w:p>
      <w:pPr>
        <w:jc w:val="center"/>
        <w:rPr>
          <w:rFonts w:ascii="黑体" w:hAnsi="宋体" w:eastAsia="黑体" w:cs="宋体"/>
          <w:bCs/>
          <w:color w:val="auto"/>
          <w:kern w:val="0"/>
          <w:sz w:val="32"/>
          <w:szCs w:val="32"/>
          <w:highlight w:val="none"/>
        </w:rPr>
      </w:pPr>
      <w:r>
        <w:rPr>
          <w:rFonts w:hint="eastAsia" w:ascii="黑体" w:hAnsi="宋体" w:eastAsia="黑体" w:cs="宋体"/>
          <w:bCs/>
          <w:color w:val="auto"/>
          <w:kern w:val="0"/>
          <w:sz w:val="32"/>
          <w:szCs w:val="32"/>
          <w:highlight w:val="none"/>
        </w:rPr>
        <w:t>物品采购</w:t>
      </w:r>
      <w:r>
        <w:rPr>
          <w:rFonts w:hint="eastAsia" w:ascii="黑体" w:hAnsi="Batang" w:eastAsia="黑体" w:cs="Batang"/>
          <w:bCs/>
          <w:color w:val="auto"/>
          <w:kern w:val="0"/>
          <w:sz w:val="32"/>
          <w:szCs w:val="32"/>
          <w:highlight w:val="none"/>
        </w:rPr>
        <w:t>安全协议</w:t>
      </w:r>
      <w:r>
        <w:rPr>
          <w:rFonts w:hint="eastAsia" w:ascii="黑体" w:hAnsi="宋体" w:eastAsia="黑体" w:cs="宋体"/>
          <w:bCs/>
          <w:color w:val="auto"/>
          <w:kern w:val="0"/>
          <w:sz w:val="32"/>
          <w:szCs w:val="32"/>
          <w:highlight w:val="none"/>
        </w:rPr>
        <w:t>书</w:t>
      </w:r>
    </w:p>
    <w:p>
      <w:pPr>
        <w:spacing w:line="360" w:lineRule="auto"/>
        <w:rPr>
          <w:rFonts w:ascii="宋体" w:hAnsi="宋体" w:cs="Arial"/>
          <w:color w:val="auto"/>
          <w:kern w:val="0"/>
          <w:sz w:val="24"/>
          <w:highlight w:val="none"/>
        </w:rPr>
      </w:pPr>
    </w:p>
    <w:p>
      <w:pPr>
        <w:spacing w:line="360" w:lineRule="auto"/>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360" w:lineRule="auto"/>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360" w:lineRule="auto"/>
        <w:rPr>
          <w:rFonts w:ascii="宋体" w:hAnsi="宋体" w:cs="Arial"/>
          <w:color w:val="auto"/>
          <w:kern w:val="0"/>
          <w:sz w:val="24"/>
          <w:highlight w:val="none"/>
        </w:rPr>
      </w:pPr>
    </w:p>
    <w:p>
      <w:pPr>
        <w:spacing w:line="360" w:lineRule="auto"/>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为加强物品采购过程安全管理，根据《中华人民共和国安全生产法》、《生产安全事故报告和调查处理条例》和《广州市安全生产管理规定（试行）》等国家及地方有关安全生产法律法规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keepNext w:val="0"/>
        <w:keepLines w:val="0"/>
        <w:pageBreakBefore w:val="0"/>
        <w:widowControl/>
        <w:kinsoku/>
        <w:wordWrap/>
        <w:overflowPunct/>
        <w:topLinePunct w:val="0"/>
        <w:autoSpaceDE/>
        <w:autoSpaceDN/>
        <w:bidi w:val="0"/>
        <w:adjustRightInd w:val="0"/>
        <w:snapToGrid w:val="0"/>
        <w:spacing w:after="0" w:line="360" w:lineRule="auto"/>
        <w:ind w:left="105"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cs="宋体" w:eastAsiaTheme="minorEastAsia"/>
          <w:color w:val="auto"/>
          <w:sz w:val="24"/>
          <w:szCs w:val="24"/>
          <w:highlight w:val="none"/>
          <w:u w:val="single"/>
          <w:lang w:val="en-US" w:eastAsia="zh-CN"/>
        </w:rPr>
        <w:t>广州市净水有限公司沥滘分公司2023年一二期提标及三期无人区固定式气体检测仪采购项目</w:t>
      </w:r>
      <w:r>
        <w:rPr>
          <w:rFonts w:hint="eastAsia" w:ascii="宋体" w:hAnsi="宋体" w:eastAsia="宋体"/>
          <w:color w:val="auto"/>
          <w:sz w:val="24"/>
          <w:highlight w:val="none"/>
          <w:u w:val="none"/>
          <w:lang w:eastAsia="zh-CN"/>
        </w:rPr>
        <w:t>合同</w:t>
      </w:r>
      <w:r>
        <w:rPr>
          <w:rFonts w:hint="eastAsia" w:ascii="宋体" w:hAnsi="宋体" w:eastAsia="宋体"/>
          <w:color w:val="auto"/>
          <w:sz w:val="24"/>
          <w:highlight w:val="none"/>
          <w:u w:val="none"/>
        </w:rPr>
        <w:t xml:space="preserve"> </w:t>
      </w:r>
      <w:r>
        <w:rPr>
          <w:rFonts w:hint="eastAsia" w:ascii="宋体" w:hAnsi="宋体" w:eastAsia="宋体"/>
          <w:color w:val="auto"/>
          <w:sz w:val="24"/>
          <w:highlight w:val="none"/>
        </w:rPr>
        <w:t>的组成部分，与主合同具有同等法律。</w:t>
      </w:r>
    </w:p>
    <w:p>
      <w:pPr>
        <w:keepNext w:val="0"/>
        <w:keepLines w:val="0"/>
        <w:pageBreakBefore w:val="0"/>
        <w:widowControl/>
        <w:kinsoku/>
        <w:wordWrap/>
        <w:overflowPunct/>
        <w:topLinePunct w:val="0"/>
        <w:autoSpaceDE/>
        <w:autoSpaceDN/>
        <w:bidi w:val="0"/>
        <w:spacing w:after="0" w:line="360" w:lineRule="auto"/>
        <w:ind w:firstLine="482" w:firstLineChars="200"/>
        <w:textAlignment w:val="auto"/>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360" w:lineRule="auto"/>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360" w:lineRule="auto"/>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360" w:lineRule="auto"/>
        <w:ind w:left="479" w:leftChars="228" w:firstLine="0" w:firstLineChars="0"/>
        <w:rPr>
          <w:rFonts w:ascii="宋体" w:hAnsi="宋体" w:eastAsia="宋体"/>
          <w:color w:val="auto"/>
          <w:sz w:val="24"/>
          <w:highlight w:val="none"/>
        </w:rPr>
      </w:pPr>
      <w:r>
        <w:rPr>
          <w:rFonts w:hint="eastAsia" w:ascii="宋体" w:hAnsi="宋体" w:cs="宋体"/>
          <w:color w:val="auto"/>
          <w:kern w:val="0"/>
          <w:sz w:val="24"/>
          <w:highlight w:val="none"/>
        </w:rPr>
        <w:t>（十）乙方委托的第三方运输单位或个人，违反本协议的，全部责任均由乙方承担。</w:t>
      </w:r>
      <w:r>
        <w:rPr>
          <w:rFonts w:hint="eastAsia" w:ascii="宋体" w:hAnsi="宋体" w:eastAsia="宋体"/>
          <w:b/>
          <w:color w:val="auto"/>
          <w:sz w:val="24"/>
          <w:highlight w:val="none"/>
        </w:rPr>
        <w:t>四、补充条款：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360" w:lineRule="auto"/>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五、附则</w:t>
      </w:r>
    </w:p>
    <w:p>
      <w:pPr>
        <w:spacing w:line="360" w:lineRule="auto"/>
        <w:ind w:left="359" w:leftChars="171" w:firstLine="288" w:firstLineChars="120"/>
        <w:rPr>
          <w:rFonts w:hint="eastAsia"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spacing w:line="360" w:lineRule="auto"/>
        <w:ind w:left="359" w:leftChars="171" w:firstLine="288" w:firstLineChars="120"/>
        <w:rPr>
          <w:rFonts w:hint="eastAsia"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pStyle w:val="21"/>
        <w:spacing w:line="360" w:lineRule="auto"/>
        <w:rPr>
          <w:color w:val="auto"/>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line="360" w:lineRule="auto"/>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甲方：</w:t>
            </w:r>
          </w:p>
          <w:p>
            <w:pPr>
              <w:widowControl w:val="0"/>
              <w:adjustRightInd w:val="0"/>
              <w:snapToGrid w:val="0"/>
              <w:spacing w:line="360" w:lineRule="auto"/>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签约代表：</w:t>
            </w:r>
          </w:p>
          <w:p>
            <w:pPr>
              <w:widowControl w:val="0"/>
              <w:adjustRightInd w:val="0"/>
              <w:snapToGrid w:val="0"/>
              <w:spacing w:line="360" w:lineRule="auto"/>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联系电话：</w:t>
            </w:r>
          </w:p>
          <w:p>
            <w:pPr>
              <w:widowControl w:val="0"/>
              <w:adjustRightInd w:val="0"/>
              <w:snapToGrid w:val="0"/>
              <w:spacing w:line="360" w:lineRule="auto"/>
              <w:ind w:firstLine="240" w:firstLineChars="100"/>
              <w:jc w:val="right"/>
              <w:textAlignment w:val="baseline"/>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widowControl w:val="0"/>
              <w:adjustRightInd w:val="0"/>
              <w:snapToGrid w:val="0"/>
              <w:spacing w:line="360" w:lineRule="auto"/>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乙方：</w:t>
            </w:r>
          </w:p>
          <w:p>
            <w:pPr>
              <w:widowControl w:val="0"/>
              <w:adjustRightInd w:val="0"/>
              <w:snapToGrid w:val="0"/>
              <w:spacing w:line="360" w:lineRule="auto"/>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签约代表：</w:t>
            </w:r>
          </w:p>
          <w:p>
            <w:pPr>
              <w:widowControl w:val="0"/>
              <w:adjustRightInd w:val="0"/>
              <w:snapToGrid w:val="0"/>
              <w:spacing w:line="360" w:lineRule="auto"/>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联系电话：</w:t>
            </w:r>
          </w:p>
          <w:p>
            <w:pPr>
              <w:widowControl w:val="0"/>
              <w:adjustRightInd w:val="0"/>
              <w:snapToGrid w:val="0"/>
              <w:spacing w:line="360" w:lineRule="auto"/>
              <w:jc w:val="right"/>
              <w:textAlignment w:val="baseline"/>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45"/>
        <w:jc w:val="center"/>
        <w:rPr>
          <w:rFonts w:ascii="仿宋_GB2312" w:hAnsi="仿宋_GB2312" w:cs="仿宋_GB2312"/>
          <w:b/>
          <w:color w:val="auto"/>
          <w:sz w:val="28"/>
          <w:szCs w:val="28"/>
          <w:highlight w:val="none"/>
        </w:rPr>
      </w:pPr>
    </w:p>
    <w:bookmarkEnd w:id="100"/>
    <w:bookmarkEnd w:id="101"/>
    <w:bookmarkEnd w:id="102"/>
    <w:bookmarkEnd w:id="103"/>
    <w:bookmarkEnd w:id="104"/>
    <w:bookmarkEnd w:id="105"/>
    <w:bookmarkEnd w:id="106"/>
    <w:bookmarkEnd w:id="107"/>
    <w:bookmarkEnd w:id="108"/>
    <w:bookmarkEnd w:id="109"/>
    <w:bookmarkEnd w:id="110"/>
    <w:p>
      <w:pPr>
        <w:pStyle w:val="3"/>
        <w:jc w:val="both"/>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2273935</wp:posOffset>
                </wp:positionH>
                <wp:positionV relativeFrom="paragraph">
                  <wp:posOffset>142875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79.05pt;margin-top:11.25pt;height:0pt;width:75.5pt;z-index:251676672;mso-width-relative:page;mso-height-relative:page;" filled="f" stroked="t" coordsize="21600,21600" o:gfxdata="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6wx/9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2292985</wp:posOffset>
                </wp:positionH>
                <wp:positionV relativeFrom="paragraph">
                  <wp:posOffset>554990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55pt;margin-top:43.7pt;height:0pt;width:75.5pt;z-index:251677696;mso-width-relative:page;mso-height-relative:page;" filled="f" stroked="t" coordsize="21600,21600" o:gfxdata="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CF4Z3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p>
    <w:p>
      <w:pPr>
        <w:pStyle w:val="35"/>
        <w:rPr>
          <w:color w:val="auto"/>
          <w:highlight w:val="none"/>
        </w:rPr>
      </w:pPr>
    </w:p>
    <w:p>
      <w:pPr>
        <w:pStyle w:val="3"/>
        <w:rPr>
          <w:color w:val="auto"/>
          <w:highlight w:val="none"/>
        </w:rPr>
      </w:pPr>
      <w:bookmarkStart w:id="150" w:name="_Toc10840"/>
      <w:bookmarkStart w:id="151" w:name="_Toc22764"/>
      <w:bookmarkStart w:id="152" w:name="_Toc88209951"/>
      <w:bookmarkStart w:id="153" w:name="_Toc24490"/>
      <w:bookmarkStart w:id="154" w:name="_Toc30157"/>
      <w:bookmarkStart w:id="155" w:name="_Toc24815"/>
      <w:bookmarkStart w:id="156" w:name="_Toc12610"/>
      <w:bookmarkStart w:id="157" w:name="_Toc17119"/>
      <w:bookmarkStart w:id="158" w:name="_Toc31564"/>
      <w:bookmarkStart w:id="159" w:name="_Toc87616388"/>
      <w:bookmarkStart w:id="160" w:name="_Toc5342"/>
      <w:bookmarkStart w:id="161" w:name="_Toc21675"/>
      <w:bookmarkStart w:id="162" w:name="_Toc12769"/>
      <w:r>
        <w:rPr>
          <w:rFonts w:hint="eastAsia"/>
          <w:color w:val="auto"/>
          <w:highlight w:val="none"/>
        </w:rPr>
        <w:t>响应文件</w:t>
      </w:r>
      <w:r>
        <w:rPr>
          <w:rFonts w:hint="eastAsia"/>
          <w:color w:val="auto"/>
          <w:highlight w:val="none"/>
          <w:lang w:val="en-US" w:eastAsia="zh-CN"/>
        </w:rPr>
        <w:t>格式要求</w:t>
      </w:r>
      <w:bookmarkEnd w:id="150"/>
      <w:bookmarkEnd w:id="151"/>
      <w:bookmarkEnd w:id="152"/>
      <w:bookmarkEnd w:id="153"/>
      <w:bookmarkEnd w:id="154"/>
      <w:bookmarkEnd w:id="155"/>
      <w:bookmarkEnd w:id="156"/>
      <w:bookmarkEnd w:id="157"/>
      <w:bookmarkEnd w:id="158"/>
      <w:bookmarkEnd w:id="159"/>
      <w:bookmarkEnd w:id="160"/>
      <w:bookmarkEnd w:id="161"/>
      <w:bookmarkEnd w:id="162"/>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广州市净水有限公司</w:t>
      </w:r>
      <w:r>
        <w:rPr>
          <w:rFonts w:hint="eastAsia" w:ascii="方正小标宋简体" w:eastAsia="方正小标宋简体" w:hAnsiTheme="minorHAnsi" w:cstheme="minorBidi"/>
          <w:color w:val="auto"/>
          <w:sz w:val="44"/>
          <w:szCs w:val="44"/>
          <w:highlight w:val="none"/>
          <w:u w:val="single"/>
          <w:lang w:val="en-US" w:eastAsia="zh-CN"/>
        </w:rPr>
        <w:t>沥滘分公司2023年一二期提标及三期无人区固定式气体检测仪采购项目</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63" w:name="_Toc87616389"/>
      <w:bookmarkStart w:id="164" w:name="_Toc88209952"/>
      <w:r>
        <w:rPr>
          <w:rFonts w:hint="eastAsia" w:ascii="仿宋_GB2312" w:eastAsia="仿宋_GB2312"/>
          <w:color w:val="auto"/>
          <w:sz w:val="28"/>
          <w:szCs w:val="28"/>
          <w:highlight w:val="none"/>
        </w:rPr>
        <w:t>1.响应函</w:t>
      </w:r>
      <w:bookmarkEnd w:id="163"/>
      <w:bookmarkEnd w:id="164"/>
    </w:p>
    <w:p>
      <w:pPr>
        <w:spacing w:line="600" w:lineRule="exact"/>
        <w:rPr>
          <w:rFonts w:hint="eastAsia" w:ascii="仿宋_GB2312" w:eastAsia="仿宋_GB2312"/>
          <w:color w:val="auto"/>
          <w:sz w:val="28"/>
          <w:szCs w:val="28"/>
          <w:highlight w:val="none"/>
        </w:rPr>
      </w:pPr>
      <w:bookmarkStart w:id="165" w:name="_Toc87616390"/>
      <w:bookmarkStart w:id="166" w:name="_Toc88209953"/>
      <w:r>
        <w:rPr>
          <w:rFonts w:hint="eastAsia" w:ascii="仿宋_GB2312" w:eastAsia="仿宋_GB2312"/>
          <w:color w:val="auto"/>
          <w:sz w:val="28"/>
          <w:szCs w:val="28"/>
          <w:highlight w:val="none"/>
        </w:rPr>
        <w:t>2.法定代表人证明或授权委托书</w:t>
      </w:r>
      <w:bookmarkEnd w:id="165"/>
      <w:bookmarkEnd w:id="166"/>
      <w:bookmarkStart w:id="167" w:name="_Toc87616393"/>
      <w:bookmarkStart w:id="16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67"/>
      <w:bookmarkEnd w:id="16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69" w:name="_Toc88209957"/>
      <w:bookmarkStart w:id="170" w:name="_Toc28619645"/>
      <w:bookmarkStart w:id="171" w:name="_Toc6313"/>
      <w:bookmarkStart w:id="172" w:name="_Toc12665"/>
      <w:bookmarkStart w:id="173" w:name="_Toc87616394"/>
      <w:r>
        <w:rPr>
          <w:rFonts w:hint="eastAsia" w:asciiTheme="minorEastAsia" w:hAnsiTheme="minorEastAsia" w:eastAsiaTheme="minorEastAsia"/>
          <w:color w:val="auto"/>
          <w:sz w:val="28"/>
          <w:szCs w:val="28"/>
          <w:highlight w:val="none"/>
        </w:rPr>
        <w:t>1.响应函</w:t>
      </w:r>
      <w:bookmarkEnd w:id="169"/>
      <w:bookmarkEnd w:id="170"/>
      <w:bookmarkEnd w:id="171"/>
      <w:bookmarkEnd w:id="172"/>
      <w:bookmarkEnd w:id="17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left="559" w:leftChars="266" w:firstLine="0" w:firstLineChars="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r>
        <w:rPr>
          <w:rFonts w:ascii="仿宋_GB2312" w:hAnsi="黑体" w:eastAsia="仿宋_GB2312"/>
          <w:color w:val="auto"/>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74" w:name="_Toc22527"/>
      <w:bookmarkStart w:id="175" w:name="_Toc87616395"/>
      <w:bookmarkStart w:id="176" w:name="_Toc88209958"/>
      <w:bookmarkStart w:id="177" w:name="_Toc29833"/>
    </w:p>
    <w:p>
      <w:pPr>
        <w:pStyle w:val="5"/>
        <w:spacing w:line="400" w:lineRule="exact"/>
        <w:rPr>
          <w:rFonts w:hint="eastAsia" w:asciiTheme="minorEastAsia" w:hAnsiTheme="minorEastAsia" w:eastAsiaTheme="minorEastAsia"/>
          <w:color w:val="auto"/>
          <w:sz w:val="28"/>
          <w:szCs w:val="28"/>
          <w:highlight w:val="none"/>
        </w:rPr>
      </w:pPr>
    </w:p>
    <w:p>
      <w:pPr>
        <w:pStyle w:val="5"/>
        <w:spacing w:line="400" w:lineRule="exact"/>
        <w:rPr>
          <w:rFonts w:hint="eastAsia" w:asciiTheme="minorEastAsia" w:hAnsiTheme="minorEastAsia" w:eastAsiaTheme="minorEastAsia"/>
          <w:color w:val="auto"/>
          <w:sz w:val="28"/>
          <w:szCs w:val="28"/>
          <w:highlight w:val="none"/>
        </w:rPr>
      </w:pPr>
    </w:p>
    <w:p>
      <w:pPr>
        <w:rPr>
          <w:rFonts w:hint="eastAsia"/>
          <w:color w:val="auto"/>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74"/>
      <w:bookmarkEnd w:id="175"/>
      <w:bookmarkEnd w:id="176"/>
      <w:bookmarkEnd w:id="177"/>
    </w:p>
    <w:p>
      <w:pPr>
        <w:widowControl/>
        <w:adjustRightInd/>
        <w:snapToGrid/>
        <w:spacing w:beforeLines="-2147483648" w:afterLines="-2147483648" w:line="360" w:lineRule="auto"/>
        <w:jc w:val="left"/>
        <w:rPr>
          <w:rFonts w:hint="eastAsia" w:ascii="方正小标宋简体" w:hAnsi="Times New Roman" w:eastAsia="方正小标宋简体" w:cs="Tahoma"/>
          <w:color w:val="auto"/>
          <w:kern w:val="0"/>
          <w:sz w:val="44"/>
          <w:szCs w:val="44"/>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hint="eastAsia" w:ascii="方正小标宋简体" w:hAnsi="Times New Roman" w:eastAsia="方正小标宋简体" w:cs="Tahoma"/>
          <w:color w:val="auto"/>
          <w:kern w:val="0"/>
          <w:sz w:val="44"/>
          <w:szCs w:val="44"/>
          <w:highlight w:val="none"/>
        </w:rPr>
      </w:pP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78" w:name="_Toc87616400"/>
      <w:bookmarkStart w:id="179" w:name="_Toc88209963"/>
      <w:bookmarkStart w:id="180" w:name="_Toc19830"/>
      <w:bookmarkStart w:id="181"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78"/>
      <w:bookmarkEnd w:id="179"/>
      <w:bookmarkEnd w:id="180"/>
      <w:bookmarkEnd w:id="18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82"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ind w:firstLine="6720" w:firstLineChars="2800"/>
        <w:jc w:val="lef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广州市净水有限公司广州市净水有限公司沥滘分公司2023年一二期提标及三期无人区固定式气体检测仪采购项目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ind w:firstLine="0"/>
        <w:rPr>
          <w:rFonts w:hint="eastAsia"/>
          <w:color w:val="auto"/>
          <w:highlight w:val="none"/>
          <w:lang w:eastAsia="zh-CN"/>
        </w:rPr>
      </w:pPr>
    </w:p>
    <w:p>
      <w:pPr>
        <w:pStyle w:val="21"/>
        <w:ind w:firstLine="0"/>
        <w:rPr>
          <w:rFonts w:hint="eastAsia"/>
          <w:color w:val="auto"/>
          <w:highlight w:val="none"/>
          <w:lang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1"/>
        <w:ind w:firstLine="6720" w:firstLineChars="2800"/>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83" w:name="_Toc19423"/>
      <w:bookmarkStart w:id="184"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83"/>
      <w:bookmarkEnd w:id="184"/>
    </w:p>
    <w:p>
      <w:pPr>
        <w:adjustRightInd w:val="0"/>
        <w:snapToGrid w:val="0"/>
        <w:spacing w:line="600" w:lineRule="exact"/>
        <w:ind w:firstLine="570"/>
        <w:rPr>
          <w:rFonts w:hint="eastAsia" w:ascii="仿宋_GB2312" w:eastAsia="仿宋_GB2312" w:hAnsiTheme="minorEastAsia"/>
          <w:color w:val="auto"/>
          <w:sz w:val="28"/>
          <w:szCs w:val="28"/>
          <w:highlight w:val="none"/>
        </w:rPr>
      </w:pPr>
    </w:p>
    <w:tbl>
      <w:tblPr>
        <w:tblStyle w:val="22"/>
        <w:tblW w:w="10185" w:type="dxa"/>
        <w:jc w:val="center"/>
        <w:tblLayout w:type="fixed"/>
        <w:tblCellMar>
          <w:top w:w="0" w:type="dxa"/>
          <w:left w:w="0" w:type="dxa"/>
          <w:bottom w:w="0" w:type="dxa"/>
          <w:right w:w="0" w:type="dxa"/>
        </w:tblCellMar>
      </w:tblPr>
      <w:tblGrid>
        <w:gridCol w:w="710"/>
        <w:gridCol w:w="1417"/>
        <w:gridCol w:w="2582"/>
        <w:gridCol w:w="655"/>
        <w:gridCol w:w="599"/>
        <w:gridCol w:w="799"/>
        <w:gridCol w:w="3423"/>
      </w:tblGrid>
      <w:tr>
        <w:tblPrEx>
          <w:tblCellMar>
            <w:top w:w="0" w:type="dxa"/>
            <w:left w:w="0" w:type="dxa"/>
            <w:bottom w:w="0" w:type="dxa"/>
            <w:right w:w="0" w:type="dxa"/>
          </w:tblCellMar>
        </w:tblPrEx>
        <w:trPr>
          <w:trHeight w:val="667" w:hRule="atLeast"/>
          <w:jc w:val="center"/>
        </w:trPr>
        <w:tc>
          <w:tcPr>
            <w:tcW w:w="710"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序号</w:t>
            </w:r>
          </w:p>
        </w:tc>
        <w:tc>
          <w:tcPr>
            <w:tcW w:w="141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设备名称</w:t>
            </w:r>
          </w:p>
        </w:tc>
        <w:tc>
          <w:tcPr>
            <w:tcW w:w="258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配</w:t>
            </w:r>
            <w:r>
              <w:rPr>
                <w:rFonts w:hint="eastAsia" w:ascii="宋体" w:hAnsi="宋体" w:eastAsia="宋体" w:cs="宋体"/>
                <w:b/>
                <w:bCs/>
                <w:color w:val="auto"/>
                <w:sz w:val="21"/>
                <w:szCs w:val="21"/>
                <w:highlight w:val="none"/>
              </w:rPr>
              <w:t>件名称</w:t>
            </w:r>
          </w:p>
        </w:tc>
        <w:tc>
          <w:tcPr>
            <w:tcW w:w="65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r>
              <w:rPr>
                <w:rFonts w:hint="eastAsia" w:ascii="宋体" w:hAnsi="宋体" w:eastAsia="宋体" w:cs="宋体"/>
                <w:b/>
                <w:bCs/>
                <w:color w:val="auto"/>
                <w:sz w:val="21"/>
                <w:szCs w:val="21"/>
                <w:highlight w:val="none"/>
                <w:lang w:val="en-US" w:eastAsia="zh-CN"/>
              </w:rPr>
              <w:t>套</w:t>
            </w:r>
            <w:r>
              <w:rPr>
                <w:rFonts w:hint="eastAsia" w:ascii="宋体" w:hAnsi="宋体" w:eastAsia="宋体" w:cs="宋体"/>
                <w:b/>
                <w:bCs/>
                <w:color w:val="auto"/>
                <w:sz w:val="21"/>
                <w:szCs w:val="21"/>
                <w:highlight w:val="none"/>
              </w:rPr>
              <w:t>）</w:t>
            </w:r>
          </w:p>
        </w:tc>
        <w:tc>
          <w:tcPr>
            <w:tcW w:w="599"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单价（元）</w:t>
            </w:r>
          </w:p>
        </w:tc>
        <w:tc>
          <w:tcPr>
            <w:tcW w:w="799"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kern w:val="0"/>
                <w:sz w:val="21"/>
                <w:szCs w:val="21"/>
                <w:highlight w:val="none"/>
                <w:lang w:bidi="ar"/>
              </w:rPr>
            </w:pPr>
            <w:r>
              <w:rPr>
                <w:rFonts w:hint="eastAsia" w:ascii="宋体" w:hAnsi="宋体" w:eastAsia="宋体" w:cs="宋体"/>
                <w:b/>
                <w:bCs w:val="0"/>
                <w:color w:val="auto"/>
                <w:kern w:val="0"/>
                <w:sz w:val="21"/>
                <w:szCs w:val="21"/>
                <w:highlight w:val="none"/>
                <w:lang w:bidi="ar"/>
              </w:rPr>
              <w:t>总价（元）</w:t>
            </w:r>
          </w:p>
        </w:tc>
        <w:tc>
          <w:tcPr>
            <w:tcW w:w="342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kern w:val="0"/>
                <w:sz w:val="21"/>
                <w:szCs w:val="21"/>
                <w:highlight w:val="none"/>
                <w:lang w:bidi="ar"/>
              </w:rPr>
            </w:pPr>
            <w:r>
              <w:rPr>
                <w:rFonts w:hint="eastAsia" w:ascii="宋体" w:hAnsi="宋体" w:eastAsia="宋体" w:cs="宋体"/>
                <w:b/>
                <w:bCs w:val="0"/>
                <w:color w:val="auto"/>
                <w:sz w:val="21"/>
                <w:szCs w:val="21"/>
                <w:highlight w:val="none"/>
              </w:rPr>
              <w:t>备注</w:t>
            </w:r>
          </w:p>
        </w:tc>
      </w:tr>
      <w:tr>
        <w:tblPrEx>
          <w:tblCellMar>
            <w:top w:w="0" w:type="dxa"/>
            <w:left w:w="0" w:type="dxa"/>
            <w:bottom w:w="0" w:type="dxa"/>
            <w:right w:w="0" w:type="dxa"/>
          </w:tblCellMar>
        </w:tblPrEx>
        <w:trPr>
          <w:trHeight w:val="2029" w:hRule="atLeast"/>
          <w:jc w:val="center"/>
        </w:trPr>
        <w:tc>
          <w:tcPr>
            <w:tcW w:w="710"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固定式气体检测仪</w:t>
            </w:r>
          </w:p>
        </w:tc>
        <w:tc>
          <w:tcPr>
            <w:tcW w:w="2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固定气体检测仪防爆控制器</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氨气气体检测仪</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硫化氢气体检测仪</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氧气气体检测仪</w:t>
            </w:r>
            <w:r>
              <w:rPr>
                <w:rFonts w:hint="eastAsia" w:ascii="宋体" w:hAnsi="宋体" w:eastAsia="宋体" w:cs="宋体"/>
                <w:color w:val="auto"/>
                <w:sz w:val="21"/>
                <w:szCs w:val="21"/>
                <w:highlight w:val="none"/>
                <w:lang w:eastAsia="zh-CN"/>
              </w:rPr>
              <w:t>；</w:t>
            </w:r>
          </w:p>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甲烷气体检测仪</w:t>
            </w:r>
            <w:r>
              <w:rPr>
                <w:rFonts w:hint="eastAsia" w:ascii="宋体" w:hAnsi="宋体" w:eastAsia="宋体" w:cs="宋体"/>
                <w:color w:val="auto"/>
                <w:sz w:val="21"/>
                <w:szCs w:val="21"/>
                <w:highlight w:val="none"/>
                <w:lang w:eastAsia="zh-CN"/>
              </w:rPr>
              <w:t>。</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3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整套设备包含氧气检测仪，可燃气检测仪,硫化氢检测仪,氨气检测仪和控制器</w:t>
            </w:r>
          </w:p>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0" w:type="dxa"/>
            <w:bottom w:w="0" w:type="dxa"/>
            <w:right w:w="0" w:type="dxa"/>
          </w:tblCellMar>
        </w:tblPrEx>
        <w:trPr>
          <w:trHeight w:val="693" w:hRule="atLeast"/>
          <w:jc w:val="center"/>
        </w:trPr>
        <w:tc>
          <w:tcPr>
            <w:tcW w:w="71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合计</w:t>
            </w:r>
          </w:p>
        </w:tc>
        <w:tc>
          <w:tcPr>
            <w:tcW w:w="9475" w:type="dxa"/>
            <w:gridSpan w:val="6"/>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合计含税价（元）：         ；    税率：</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 xml:space="preserve"> %  </w:t>
            </w:r>
          </w:p>
        </w:tc>
      </w:tr>
    </w:tbl>
    <w:p>
      <w:pPr>
        <w:pStyle w:val="21"/>
        <w:ind w:firstLine="0"/>
        <w:rPr>
          <w:color w:val="auto"/>
          <w:highlight w:val="none"/>
        </w:rPr>
      </w:pPr>
    </w:p>
    <w:p>
      <w:pPr>
        <w:adjustRightInd w:val="0"/>
        <w:snapToGrid w:val="0"/>
        <w:spacing w:line="600" w:lineRule="exact"/>
        <w:rPr>
          <w:rFonts w:ascii="仿宋_GB2312" w:eastAsia="仿宋_GB2312" w:hAnsiTheme="minorEastAsia"/>
          <w:color w:val="auto"/>
          <w:sz w:val="28"/>
          <w:szCs w:val="28"/>
          <w:highlight w:val="none"/>
        </w:rPr>
      </w:pPr>
    </w:p>
    <w:p>
      <w:pPr>
        <w:adjustRightInd w:val="0"/>
        <w:snapToGrid w:val="0"/>
        <w:spacing w:line="600" w:lineRule="exact"/>
        <w:ind w:firstLine="570"/>
        <w:rPr>
          <w:rFonts w:hint="eastAsia" w:ascii="仿宋_GB2312" w:eastAsia="仿宋_GB2312" w:hAnsiTheme="minorEastAsia"/>
          <w:color w:val="auto"/>
          <w:sz w:val="28"/>
          <w:szCs w:val="28"/>
          <w:highlight w:val="none"/>
        </w:rPr>
      </w:pPr>
    </w:p>
    <w:p>
      <w:pPr>
        <w:adjustRightInd w:val="0"/>
        <w:snapToGrid w:val="0"/>
        <w:spacing w:line="600" w:lineRule="exact"/>
        <w:ind w:firstLine="570"/>
        <w:rPr>
          <w:rFonts w:hint="eastAsia" w:ascii="仿宋_GB2312" w:eastAsia="仿宋_GB2312" w:hAnsiTheme="minorEastAsia"/>
          <w:color w:val="auto"/>
          <w:sz w:val="28"/>
          <w:szCs w:val="28"/>
          <w:highlight w:val="none"/>
        </w:rPr>
      </w:pPr>
    </w:p>
    <w:p>
      <w:pPr>
        <w:adjustRightInd w:val="0"/>
        <w:snapToGrid w:val="0"/>
        <w:spacing w:line="600" w:lineRule="exact"/>
        <w:ind w:firstLine="570"/>
        <w:rPr>
          <w:rFonts w:hint="eastAsia" w:ascii="仿宋_GB2312" w:eastAsia="仿宋_GB2312" w:hAnsiTheme="minorEastAsia"/>
          <w:color w:val="auto"/>
          <w:sz w:val="28"/>
          <w:szCs w:val="28"/>
          <w:highlight w:val="none"/>
        </w:rPr>
      </w:pPr>
    </w:p>
    <w:p>
      <w:pPr>
        <w:adjustRightInd w:val="0"/>
        <w:snapToGrid w:val="0"/>
        <w:spacing w:line="600" w:lineRule="exact"/>
        <w:ind w:firstLine="570"/>
        <w:rPr>
          <w:rFonts w:hint="eastAsia" w:ascii="仿宋_GB2312" w:eastAsia="仿宋_GB2312" w:hAnsiTheme="minorEastAsia"/>
          <w:color w:val="auto"/>
          <w:sz w:val="28"/>
          <w:szCs w:val="28"/>
          <w:highlight w:val="none"/>
        </w:rPr>
      </w:pPr>
    </w:p>
    <w:p>
      <w:pPr>
        <w:adjustRightInd w:val="0"/>
        <w:snapToGrid w:val="0"/>
        <w:spacing w:line="600" w:lineRule="exact"/>
        <w:ind w:firstLine="570"/>
        <w:rPr>
          <w:rFonts w:hint="eastAsia" w:ascii="仿宋_GB2312" w:eastAsia="仿宋_GB2312" w:hAnsiTheme="minorEastAsia"/>
          <w:color w:val="auto"/>
          <w:sz w:val="28"/>
          <w:szCs w:val="28"/>
          <w:highlight w:val="none"/>
        </w:rPr>
      </w:pPr>
    </w:p>
    <w:p>
      <w:pPr>
        <w:adjustRightInd w:val="0"/>
        <w:snapToGrid w:val="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5"/>
        <w:rPr>
          <w:rFonts w:hint="eastAsia" w:eastAsiaTheme="majorEastAsia"/>
          <w:color w:val="auto"/>
          <w:highlight w:val="none"/>
          <w:lang w:val="en-US" w:eastAsia="zh-CN"/>
        </w:rPr>
      </w:pPr>
      <w:bookmarkStart w:id="185" w:name="_Toc88209965"/>
      <w:bookmarkStart w:id="186" w:name="_Toc6058"/>
      <w:bookmarkStart w:id="187" w:name="_Toc16386"/>
      <w:bookmarkStart w:id="188" w:name="_Toc87616402"/>
    </w:p>
    <w:p>
      <w:pPr>
        <w:rPr>
          <w:rFonts w:hint="eastAsia" w:eastAsiaTheme="majorEastAsia"/>
          <w:color w:val="auto"/>
          <w:highlight w:val="none"/>
          <w:lang w:val="en-US" w:eastAsia="zh-CN"/>
        </w:rPr>
      </w:pPr>
    </w:p>
    <w:p>
      <w:pPr>
        <w:pStyle w:val="21"/>
        <w:rPr>
          <w:rFonts w:hint="eastAsia" w:eastAsiaTheme="majorEastAsia"/>
          <w:color w:val="auto"/>
          <w:highlight w:val="none"/>
          <w:lang w:val="en-US" w:eastAsia="zh-CN"/>
        </w:rPr>
      </w:pPr>
    </w:p>
    <w:p>
      <w:pPr>
        <w:pStyle w:val="21"/>
        <w:rPr>
          <w:rFonts w:hint="eastAsia" w:eastAsiaTheme="majorEastAsia"/>
          <w:color w:val="auto"/>
          <w:highlight w:val="none"/>
          <w:lang w:val="en-US" w:eastAsia="zh-CN"/>
        </w:rPr>
      </w:pPr>
    </w:p>
    <w:p>
      <w:pPr>
        <w:pStyle w:val="5"/>
        <w:jc w:val="left"/>
        <w:rPr>
          <w:rFonts w:hint="eastAsia" w:ascii="仿宋_GB2312" w:hAnsi="仿宋_GB2312" w:eastAsia="仿宋_GB2312" w:cs="仿宋_GB2312"/>
          <w:b/>
          <w:color w:val="auto"/>
          <w:sz w:val="28"/>
          <w:szCs w:val="28"/>
          <w:highlight w:val="none"/>
          <w:lang w:val="en-US" w:eastAsia="zh-CN"/>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Theme="majorEastAsia" w:hAnsiTheme="majorEastAsia" w:eastAsiaTheme="majorEastAsia"/>
          <w:color w:val="auto"/>
          <w:sz w:val="28"/>
          <w:szCs w:val="28"/>
          <w:highlight w:val="none"/>
          <w:lang w:val="en-US" w:eastAsia="zh-CN"/>
        </w:rPr>
        <w:t>承诺函</w:t>
      </w:r>
      <w:bookmarkEnd w:id="185"/>
      <w:bookmarkEnd w:id="186"/>
      <w:bookmarkEnd w:id="187"/>
      <w:bookmarkEnd w:id="188"/>
    </w:p>
    <w:p>
      <w:pPr>
        <w:pStyle w:val="45"/>
        <w:rPr>
          <w:rFonts w:hint="eastAsia" w:hAnsi="宋体" w:cs="宋体"/>
          <w:bCs/>
          <w:color w:val="auto"/>
          <w:sz w:val="28"/>
          <w:szCs w:val="28"/>
          <w:highlight w:val="none"/>
          <w:lang w:val="en-US" w:eastAsia="zh-CN"/>
        </w:rPr>
      </w:pPr>
      <w:r>
        <w:rPr>
          <w:rFonts w:hint="eastAsia" w:hAnsi="宋体" w:cs="宋体"/>
          <w:bCs/>
          <w:color w:val="auto"/>
          <w:sz w:val="28"/>
          <w:szCs w:val="28"/>
          <w:highlight w:val="none"/>
          <w:lang w:val="en-US" w:eastAsia="zh-CN"/>
        </w:rPr>
        <w:t>广州市净水有限公司：</w:t>
      </w:r>
    </w:p>
    <w:p>
      <w:pPr>
        <w:autoSpaceDE w:val="0"/>
        <w:autoSpaceDN w:val="0"/>
        <w:ind w:firstLine="560" w:firstLineChars="2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我方承诺，所提供报价货物/设备均为制造商全新原装产品，完全满足采购需求中技术及其他要求。货物在质保期（为自供货验收合格之日起1年内）免费提供维保服务。质保期如有质量问题，我司24小时内派技术人员免费到现场进行维修。</w:t>
      </w:r>
    </w:p>
    <w:p>
      <w:pPr>
        <w:pStyle w:val="45"/>
        <w:ind w:firstLine="0" w:firstLineChars="0"/>
        <w:rPr>
          <w:rFonts w:hint="eastAsia" w:ascii="仿宋_GB2312" w:hAnsi="仿宋_GB2312" w:eastAsia="仿宋_GB2312" w:cs="仿宋_GB2312"/>
          <w:color w:val="auto"/>
          <w:sz w:val="28"/>
          <w:szCs w:val="28"/>
          <w:highlight w:val="none"/>
          <w:u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hAnsi="宋体" w:cs="宋体"/>
          <w:bCs/>
          <w:color w:val="auto"/>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 xml:space="preserve">供应商名称（加盖公章）： </w:t>
      </w:r>
    </w:p>
    <w:p>
      <w:pPr>
        <w:jc w:val="center"/>
        <w:rPr>
          <w:rFonts w:hint="eastAsia" w:ascii="仿宋_GB2312" w:hAnsi="仿宋_GB2312" w:eastAsia="仿宋_GB2312" w:cs="仿宋_GB2312"/>
          <w:b/>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5"/>
        <w:rPr>
          <w:rFonts w:hint="eastAsia" w:asciiTheme="majorEastAsia" w:hAnsiTheme="majorEastAsia" w:eastAsiaTheme="majorEastAsia"/>
          <w:color w:val="auto"/>
          <w:sz w:val="28"/>
          <w:szCs w:val="28"/>
          <w:highlight w:val="none"/>
          <w:lang w:val="en-US" w:eastAsia="zh-CN"/>
        </w:rPr>
      </w:pPr>
    </w:p>
    <w:p>
      <w:pPr>
        <w:rPr>
          <w:rFonts w:hint="eastAsia" w:asciiTheme="majorEastAsia" w:hAnsiTheme="majorEastAsia" w:eastAsiaTheme="majorEastAsia"/>
          <w:color w:val="auto"/>
          <w:sz w:val="28"/>
          <w:szCs w:val="28"/>
          <w:highlight w:val="none"/>
          <w:lang w:val="en-US" w:eastAsia="zh-CN"/>
        </w:rPr>
      </w:pPr>
    </w:p>
    <w:p>
      <w:pPr>
        <w:pStyle w:val="2"/>
        <w:rPr>
          <w:rFonts w:hint="eastAsia" w:asciiTheme="majorEastAsia" w:hAnsiTheme="majorEastAsia" w:eastAsiaTheme="majorEastAsia"/>
          <w:color w:val="auto"/>
          <w:sz w:val="28"/>
          <w:szCs w:val="28"/>
          <w:highlight w:val="none"/>
          <w:lang w:val="en-US" w:eastAsia="zh-CN"/>
        </w:rPr>
      </w:pPr>
    </w:p>
    <w:p>
      <w:pPr>
        <w:pStyle w:val="2"/>
        <w:rPr>
          <w:rFonts w:hint="eastAsia" w:asciiTheme="majorEastAsia" w:hAnsiTheme="majorEastAsia" w:eastAsiaTheme="majorEastAsia"/>
          <w:color w:val="auto"/>
          <w:sz w:val="28"/>
          <w:szCs w:val="28"/>
          <w:highlight w:val="none"/>
          <w:lang w:val="en-US" w:eastAsia="zh-CN"/>
        </w:rPr>
      </w:pPr>
    </w:p>
    <w:p>
      <w:pPr>
        <w:pStyle w:val="2"/>
        <w:rPr>
          <w:rFonts w:hint="eastAsia" w:asciiTheme="majorEastAsia" w:hAnsiTheme="majorEastAsia" w:eastAsiaTheme="majorEastAsia"/>
          <w:color w:val="auto"/>
          <w:sz w:val="28"/>
          <w:szCs w:val="28"/>
          <w:highlight w:val="none"/>
          <w:lang w:val="en-US" w:eastAsia="zh-CN"/>
        </w:rPr>
      </w:pPr>
    </w:p>
    <w:p>
      <w:pPr>
        <w:pStyle w:val="2"/>
        <w:rPr>
          <w:rFonts w:hint="eastAsia" w:asciiTheme="majorEastAsia" w:hAnsiTheme="majorEastAsia" w:eastAsiaTheme="majorEastAsia"/>
          <w:color w:val="auto"/>
          <w:sz w:val="28"/>
          <w:szCs w:val="28"/>
          <w:highlight w:val="none"/>
          <w:lang w:val="en-US" w:eastAsia="zh-CN"/>
        </w:rPr>
      </w:pPr>
    </w:p>
    <w:p>
      <w:pPr>
        <w:pStyle w:val="2"/>
        <w:rPr>
          <w:rFonts w:hint="eastAsia" w:asciiTheme="majorEastAsia" w:hAnsiTheme="majorEastAsia" w:eastAsiaTheme="majorEastAsia"/>
          <w:color w:val="auto"/>
          <w:sz w:val="28"/>
          <w:szCs w:val="28"/>
          <w:highlight w:val="none"/>
          <w:lang w:val="en-US" w:eastAsia="zh-CN"/>
        </w:rPr>
      </w:pPr>
    </w:p>
    <w:p>
      <w:pPr>
        <w:pStyle w:val="5"/>
        <w:rPr>
          <w:rFonts w:hint="eastAsia" w:asciiTheme="majorEastAsia" w:hAnsiTheme="majorEastAsia" w:eastAsiaTheme="majorEastAsia"/>
          <w:color w:val="auto"/>
          <w:sz w:val="28"/>
          <w:szCs w:val="28"/>
          <w:highlight w:val="none"/>
          <w:lang w:val="en-US" w:eastAsia="zh-CN"/>
        </w:rPr>
      </w:pPr>
      <w:r>
        <w:rPr>
          <w:rFonts w:hint="eastAsia" w:asciiTheme="majorEastAsia" w:hAnsiTheme="majorEastAsia" w:eastAsiaTheme="majorEastAsia"/>
          <w:color w:val="auto"/>
          <w:sz w:val="28"/>
          <w:szCs w:val="28"/>
          <w:highlight w:val="none"/>
          <w:lang w:val="en-US" w:eastAsia="zh-CN"/>
        </w:rPr>
        <w:t>7. 其他资料</w:t>
      </w:r>
    </w:p>
    <w:sectPr>
      <w:headerReference r:id="rId7" w:type="first"/>
      <w:footerReference r:id="rId10" w:type="first"/>
      <w:footerReference r:id="rId8" w:type="default"/>
      <w:footerReference r:id="rId9" w:type="even"/>
      <w:pgSz w:w="11906" w:h="16838"/>
      <w:pgMar w:top="1440" w:right="1587" w:bottom="1440" w:left="1587" w:header="851" w:footer="992" w:gutter="0"/>
      <w:pgNumType w:fmt="decimal" w:start="4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left="2250" w:hanging="1200"/>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6"/>
                      <w:ind w:left="2250" w:hanging="120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MTkzMjA5OWE5MzE3N2Y4MzE2YWMxNGI2ZWYwYzcifQ=="/>
  </w:docVars>
  <w:rsids>
    <w:rsidRoot w:val="005D618A"/>
    <w:rsid w:val="003D60BA"/>
    <w:rsid w:val="00411689"/>
    <w:rsid w:val="005D618A"/>
    <w:rsid w:val="00911ECD"/>
    <w:rsid w:val="00A042E0"/>
    <w:rsid w:val="00B26BB1"/>
    <w:rsid w:val="00B26E21"/>
    <w:rsid w:val="00F83B64"/>
    <w:rsid w:val="012C2088"/>
    <w:rsid w:val="02090C75"/>
    <w:rsid w:val="02A23A3C"/>
    <w:rsid w:val="03AC246A"/>
    <w:rsid w:val="03B23056"/>
    <w:rsid w:val="03DC3EBA"/>
    <w:rsid w:val="03F9794D"/>
    <w:rsid w:val="046A2461"/>
    <w:rsid w:val="047A351E"/>
    <w:rsid w:val="06C64829"/>
    <w:rsid w:val="077D16D2"/>
    <w:rsid w:val="08675FC8"/>
    <w:rsid w:val="09391590"/>
    <w:rsid w:val="09B713FD"/>
    <w:rsid w:val="09EF6ACC"/>
    <w:rsid w:val="0A315056"/>
    <w:rsid w:val="0AFB45AD"/>
    <w:rsid w:val="0B351E9B"/>
    <w:rsid w:val="0B4C50D3"/>
    <w:rsid w:val="0B5E45B8"/>
    <w:rsid w:val="0B806B92"/>
    <w:rsid w:val="0B827E94"/>
    <w:rsid w:val="0C247926"/>
    <w:rsid w:val="0D794204"/>
    <w:rsid w:val="0E2125D1"/>
    <w:rsid w:val="0E214211"/>
    <w:rsid w:val="0E5F2769"/>
    <w:rsid w:val="0F4D75A3"/>
    <w:rsid w:val="0F5B2DCA"/>
    <w:rsid w:val="0FED051E"/>
    <w:rsid w:val="0FEE4C29"/>
    <w:rsid w:val="10046082"/>
    <w:rsid w:val="110A300A"/>
    <w:rsid w:val="112B101A"/>
    <w:rsid w:val="119B53FC"/>
    <w:rsid w:val="12424CDC"/>
    <w:rsid w:val="129A2738"/>
    <w:rsid w:val="12B56BF1"/>
    <w:rsid w:val="12CB1A89"/>
    <w:rsid w:val="12F175DF"/>
    <w:rsid w:val="131840FB"/>
    <w:rsid w:val="13467417"/>
    <w:rsid w:val="136E76CF"/>
    <w:rsid w:val="138E1434"/>
    <w:rsid w:val="14D1591E"/>
    <w:rsid w:val="15B72806"/>
    <w:rsid w:val="15BC6B3C"/>
    <w:rsid w:val="1694429A"/>
    <w:rsid w:val="17635326"/>
    <w:rsid w:val="18236EFD"/>
    <w:rsid w:val="189D5B1F"/>
    <w:rsid w:val="18A34CD0"/>
    <w:rsid w:val="19B64DBC"/>
    <w:rsid w:val="1A373ACF"/>
    <w:rsid w:val="1A895341"/>
    <w:rsid w:val="1B0D071F"/>
    <w:rsid w:val="1B28449B"/>
    <w:rsid w:val="1B4568CE"/>
    <w:rsid w:val="1B9015B7"/>
    <w:rsid w:val="1D5A79EE"/>
    <w:rsid w:val="1E0E2CD0"/>
    <w:rsid w:val="1E20555B"/>
    <w:rsid w:val="1E831280"/>
    <w:rsid w:val="1E985636"/>
    <w:rsid w:val="1EBC4704"/>
    <w:rsid w:val="1F172EB5"/>
    <w:rsid w:val="1F94592D"/>
    <w:rsid w:val="1FB53137"/>
    <w:rsid w:val="1FB860DE"/>
    <w:rsid w:val="203C5A02"/>
    <w:rsid w:val="209D4C94"/>
    <w:rsid w:val="20F707BE"/>
    <w:rsid w:val="218400BA"/>
    <w:rsid w:val="21AB1E2F"/>
    <w:rsid w:val="21D40498"/>
    <w:rsid w:val="22767047"/>
    <w:rsid w:val="22F32E57"/>
    <w:rsid w:val="233573D0"/>
    <w:rsid w:val="23A05588"/>
    <w:rsid w:val="24374EEE"/>
    <w:rsid w:val="25431AEB"/>
    <w:rsid w:val="25BF43FD"/>
    <w:rsid w:val="25F86BCD"/>
    <w:rsid w:val="269E416A"/>
    <w:rsid w:val="272100D3"/>
    <w:rsid w:val="272C72FC"/>
    <w:rsid w:val="2734382B"/>
    <w:rsid w:val="27EB149D"/>
    <w:rsid w:val="28E11370"/>
    <w:rsid w:val="294A756A"/>
    <w:rsid w:val="29D5322D"/>
    <w:rsid w:val="2A025DD9"/>
    <w:rsid w:val="2A7C2231"/>
    <w:rsid w:val="2ABB753D"/>
    <w:rsid w:val="2B7A49FA"/>
    <w:rsid w:val="2B954E11"/>
    <w:rsid w:val="2BCF7A90"/>
    <w:rsid w:val="2C615D26"/>
    <w:rsid w:val="2CB679ED"/>
    <w:rsid w:val="2D173C07"/>
    <w:rsid w:val="2D424A86"/>
    <w:rsid w:val="2E7B52DB"/>
    <w:rsid w:val="2F324CFE"/>
    <w:rsid w:val="2FBA09F1"/>
    <w:rsid w:val="2FBB5315"/>
    <w:rsid w:val="2FEF2ACF"/>
    <w:rsid w:val="30540211"/>
    <w:rsid w:val="312D7741"/>
    <w:rsid w:val="312F5AE8"/>
    <w:rsid w:val="316F137F"/>
    <w:rsid w:val="31761915"/>
    <w:rsid w:val="31DF525F"/>
    <w:rsid w:val="327171DF"/>
    <w:rsid w:val="3410759A"/>
    <w:rsid w:val="341E3434"/>
    <w:rsid w:val="358104A7"/>
    <w:rsid w:val="360B7EBA"/>
    <w:rsid w:val="369C32FD"/>
    <w:rsid w:val="36A775B5"/>
    <w:rsid w:val="37666E72"/>
    <w:rsid w:val="38167A04"/>
    <w:rsid w:val="394B167A"/>
    <w:rsid w:val="3A4E4336"/>
    <w:rsid w:val="3A6007FE"/>
    <w:rsid w:val="3B2B51CD"/>
    <w:rsid w:val="3B7B3B76"/>
    <w:rsid w:val="3B7C2CE4"/>
    <w:rsid w:val="3C0B5355"/>
    <w:rsid w:val="3CCA4467"/>
    <w:rsid w:val="3CD4176B"/>
    <w:rsid w:val="3D1F44D9"/>
    <w:rsid w:val="3D5C38CD"/>
    <w:rsid w:val="3E5070F1"/>
    <w:rsid w:val="3F6C3589"/>
    <w:rsid w:val="3F850180"/>
    <w:rsid w:val="3F9004D6"/>
    <w:rsid w:val="400E4D5E"/>
    <w:rsid w:val="40A13ABC"/>
    <w:rsid w:val="40E1138C"/>
    <w:rsid w:val="413814BA"/>
    <w:rsid w:val="41872511"/>
    <w:rsid w:val="418D1151"/>
    <w:rsid w:val="42466655"/>
    <w:rsid w:val="42C82F57"/>
    <w:rsid w:val="43C76AF7"/>
    <w:rsid w:val="44000E48"/>
    <w:rsid w:val="446828F0"/>
    <w:rsid w:val="45C13B4D"/>
    <w:rsid w:val="46054BCA"/>
    <w:rsid w:val="464C6AFC"/>
    <w:rsid w:val="46A107C3"/>
    <w:rsid w:val="46B15CE2"/>
    <w:rsid w:val="46BE113D"/>
    <w:rsid w:val="46E44B13"/>
    <w:rsid w:val="4703508A"/>
    <w:rsid w:val="472F1583"/>
    <w:rsid w:val="475023F8"/>
    <w:rsid w:val="47673286"/>
    <w:rsid w:val="479D361E"/>
    <w:rsid w:val="47B74789"/>
    <w:rsid w:val="480F2B9D"/>
    <w:rsid w:val="48282920"/>
    <w:rsid w:val="485321E0"/>
    <w:rsid w:val="48546AD3"/>
    <w:rsid w:val="48CA4868"/>
    <w:rsid w:val="48F005D3"/>
    <w:rsid w:val="49C05787"/>
    <w:rsid w:val="49CF518D"/>
    <w:rsid w:val="4A7149A3"/>
    <w:rsid w:val="4ADA1F63"/>
    <w:rsid w:val="4AE23D89"/>
    <w:rsid w:val="4B2038D0"/>
    <w:rsid w:val="4B296E7D"/>
    <w:rsid w:val="4B877F28"/>
    <w:rsid w:val="4BAC6A11"/>
    <w:rsid w:val="4C8F0A84"/>
    <w:rsid w:val="4CFB0FE7"/>
    <w:rsid w:val="4D916BA6"/>
    <w:rsid w:val="4DC44169"/>
    <w:rsid w:val="4EF0709E"/>
    <w:rsid w:val="4F475D41"/>
    <w:rsid w:val="513C6A7B"/>
    <w:rsid w:val="52CB3761"/>
    <w:rsid w:val="5333545B"/>
    <w:rsid w:val="5450213C"/>
    <w:rsid w:val="54D24048"/>
    <w:rsid w:val="54D64CD5"/>
    <w:rsid w:val="557E4517"/>
    <w:rsid w:val="55887D69"/>
    <w:rsid w:val="561A0928"/>
    <w:rsid w:val="56423872"/>
    <w:rsid w:val="56B279F0"/>
    <w:rsid w:val="57DA683D"/>
    <w:rsid w:val="581F22F6"/>
    <w:rsid w:val="586E1E17"/>
    <w:rsid w:val="58862C35"/>
    <w:rsid w:val="58A07CA2"/>
    <w:rsid w:val="58C14957"/>
    <w:rsid w:val="59284480"/>
    <w:rsid w:val="599F6E27"/>
    <w:rsid w:val="59C05C7A"/>
    <w:rsid w:val="5AE83A50"/>
    <w:rsid w:val="5BAB2917"/>
    <w:rsid w:val="5BFC33FA"/>
    <w:rsid w:val="5C201E3C"/>
    <w:rsid w:val="5C3107A4"/>
    <w:rsid w:val="5C3B1B93"/>
    <w:rsid w:val="5C9220DF"/>
    <w:rsid w:val="5CD24C71"/>
    <w:rsid w:val="5D4A15F3"/>
    <w:rsid w:val="5D69542A"/>
    <w:rsid w:val="5DE668EC"/>
    <w:rsid w:val="5E0930EF"/>
    <w:rsid w:val="5E3D4D53"/>
    <w:rsid w:val="5E4717E6"/>
    <w:rsid w:val="5E55774C"/>
    <w:rsid w:val="5E7352AC"/>
    <w:rsid w:val="5F433661"/>
    <w:rsid w:val="5FD51569"/>
    <w:rsid w:val="60104DDC"/>
    <w:rsid w:val="605C0804"/>
    <w:rsid w:val="60B23420"/>
    <w:rsid w:val="6189617B"/>
    <w:rsid w:val="61B52BB6"/>
    <w:rsid w:val="61B749C2"/>
    <w:rsid w:val="62280D20"/>
    <w:rsid w:val="62CA2457"/>
    <w:rsid w:val="638240A1"/>
    <w:rsid w:val="63A5257B"/>
    <w:rsid w:val="63BD3DCC"/>
    <w:rsid w:val="63C61741"/>
    <w:rsid w:val="64560967"/>
    <w:rsid w:val="656B1D10"/>
    <w:rsid w:val="66022B28"/>
    <w:rsid w:val="66581E87"/>
    <w:rsid w:val="66B058D8"/>
    <w:rsid w:val="66CB1719"/>
    <w:rsid w:val="66FA11D5"/>
    <w:rsid w:val="674302C7"/>
    <w:rsid w:val="680A5986"/>
    <w:rsid w:val="680D5F4B"/>
    <w:rsid w:val="68113F51"/>
    <w:rsid w:val="68E94770"/>
    <w:rsid w:val="68F949C9"/>
    <w:rsid w:val="693637F9"/>
    <w:rsid w:val="695A4290"/>
    <w:rsid w:val="6A334932"/>
    <w:rsid w:val="6A3353FF"/>
    <w:rsid w:val="6A5D63E6"/>
    <w:rsid w:val="6A5F24D1"/>
    <w:rsid w:val="6AC67165"/>
    <w:rsid w:val="6AE347EB"/>
    <w:rsid w:val="6B434AF0"/>
    <w:rsid w:val="6B57675A"/>
    <w:rsid w:val="6BDD7B4D"/>
    <w:rsid w:val="6E0A0BA7"/>
    <w:rsid w:val="6E570952"/>
    <w:rsid w:val="6EBC0B3A"/>
    <w:rsid w:val="6EF51C7D"/>
    <w:rsid w:val="6F8363E5"/>
    <w:rsid w:val="6FA07C2F"/>
    <w:rsid w:val="6FC746F5"/>
    <w:rsid w:val="6FE82620"/>
    <w:rsid w:val="70317AC6"/>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80E5898"/>
    <w:rsid w:val="78153D7E"/>
    <w:rsid w:val="782642CC"/>
    <w:rsid w:val="7894095E"/>
    <w:rsid w:val="79000679"/>
    <w:rsid w:val="79A416F0"/>
    <w:rsid w:val="79B03EB6"/>
    <w:rsid w:val="7AF37579"/>
    <w:rsid w:val="7AF87F64"/>
    <w:rsid w:val="7B1C0C84"/>
    <w:rsid w:val="7B5A62DF"/>
    <w:rsid w:val="7B7A04A8"/>
    <w:rsid w:val="7C22163C"/>
    <w:rsid w:val="7C595075"/>
    <w:rsid w:val="7C6B07B2"/>
    <w:rsid w:val="7D133243"/>
    <w:rsid w:val="7DE24E91"/>
    <w:rsid w:val="7E394207"/>
    <w:rsid w:val="7E4007A2"/>
    <w:rsid w:val="7E791CAD"/>
    <w:rsid w:val="7EA50DFB"/>
    <w:rsid w:val="7EC86878"/>
    <w:rsid w:val="7F16390D"/>
    <w:rsid w:val="7F752917"/>
    <w:rsid w:val="7FE37961"/>
    <w:rsid w:val="7FF633F9"/>
    <w:rsid w:val="7FFA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9"/>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99"/>
    <w:pPr>
      <w:spacing w:after="120" w:line="480" w:lineRule="auto"/>
      <w:ind w:left="420" w:leftChars="200"/>
    </w:p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7"/>
    <w:semiHidden/>
    <w:qFormat/>
    <w:uiPriority w:val="99"/>
    <w:rPr>
      <w:sz w:val="18"/>
      <w:szCs w:val="18"/>
    </w:rPr>
  </w:style>
  <w:style w:type="character" w:customStyle="1" w:styleId="28">
    <w:name w:val="页脚 Char"/>
    <w:basedOn w:val="24"/>
    <w:link w:val="16"/>
    <w:qFormat/>
    <w:uiPriority w:val="99"/>
    <w:rPr>
      <w:sz w:val="18"/>
      <w:szCs w:val="18"/>
    </w:rPr>
  </w:style>
  <w:style w:type="character" w:customStyle="1" w:styleId="29">
    <w:name w:val="标题 1 Char"/>
    <w:basedOn w:val="24"/>
    <w:link w:val="3"/>
    <w:qFormat/>
    <w:uiPriority w:val="9"/>
    <w:rPr>
      <w:rFonts w:eastAsia="方正小标宋简体"/>
      <w:bCs/>
      <w:kern w:val="44"/>
      <w:sz w:val="44"/>
      <w:szCs w:val="44"/>
    </w:rPr>
  </w:style>
  <w:style w:type="character" w:customStyle="1" w:styleId="30">
    <w:name w:val="标题 2 Char"/>
    <w:basedOn w:val="24"/>
    <w:link w:val="4"/>
    <w:qFormat/>
    <w:uiPriority w:val="9"/>
    <w:rPr>
      <w:rFonts w:eastAsia="方正小标宋简体" w:asciiTheme="majorHAnsi" w:hAnsiTheme="majorHAnsi" w:cstheme="majorBidi"/>
      <w:bCs/>
      <w:sz w:val="36"/>
      <w:szCs w:val="32"/>
    </w:rPr>
  </w:style>
  <w:style w:type="character" w:customStyle="1" w:styleId="31">
    <w:name w:val="标题 3 Char"/>
    <w:basedOn w:val="24"/>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2"/>
    <w:next w:val="12"/>
    <w:qFormat/>
    <w:uiPriority w:val="0"/>
    <w:pPr>
      <w:spacing w:after="373"/>
    </w:pPr>
    <w:rPr>
      <w:color w:val="auto"/>
    </w:rPr>
  </w:style>
  <w:style w:type="paragraph" w:customStyle="1" w:styleId="37">
    <w:name w:val="CM91"/>
    <w:basedOn w:val="12"/>
    <w:next w:val="12"/>
    <w:qFormat/>
    <w:uiPriority w:val="0"/>
    <w:pPr>
      <w:spacing w:after="160"/>
    </w:pPr>
    <w:rPr>
      <w:color w:val="auto"/>
    </w:rPr>
  </w:style>
  <w:style w:type="character" w:customStyle="1" w:styleId="38">
    <w:name w:val="正文文本 3 Char"/>
    <w:link w:val="6"/>
    <w:qFormat/>
    <w:uiPriority w:val="99"/>
    <w:rPr>
      <w:sz w:val="16"/>
      <w:szCs w:val="16"/>
    </w:rPr>
  </w:style>
  <w:style w:type="character" w:customStyle="1" w:styleId="39">
    <w:name w:val="正文文本 3 Char1"/>
    <w:basedOn w:val="24"/>
    <w:link w:val="6"/>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1"/>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Other|1"/>
    <w:basedOn w:val="1"/>
    <w:qFormat/>
    <w:uiPriority w:val="0"/>
    <w:pPr>
      <w:widowControl w:val="0"/>
      <w:shd w:val="clear" w:color="auto" w:fill="auto"/>
      <w:spacing w:line="312" w:lineRule="exact"/>
      <w:jc w:val="center"/>
    </w:pPr>
    <w:rPr>
      <w:rFonts w:ascii="宋体" w:hAnsi="宋体" w:eastAsia="宋体" w:cs="宋体"/>
      <w:u w:val="none"/>
      <w:shd w:val="clear" w:color="auto" w:fill="auto"/>
      <w:lang w:val="zh-TW" w:eastAsia="zh-TW" w:bidi="zh-TW"/>
    </w:rPr>
  </w:style>
  <w:style w:type="paragraph" w:customStyle="1" w:styleId="47">
    <w:name w:val="样式 正文文字 + 首行缩进:  2 字符2"/>
    <w:basedOn w:val="1"/>
    <w:qFormat/>
    <w:uiPriority w:val="0"/>
    <w:pPr>
      <w:spacing w:line="480" w:lineRule="atLeast"/>
      <w:ind w:firstLine="56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25507</Words>
  <Characters>26667</Characters>
  <Lines>300</Lines>
  <Paragraphs>84</Paragraphs>
  <TotalTime>7</TotalTime>
  <ScaleCrop>false</ScaleCrop>
  <LinksUpToDate>false</LinksUpToDate>
  <CharactersWithSpaces>28979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2022-06-20T08:51:00Z</cp:lastPrinted>
  <dcterms:modified xsi:type="dcterms:W3CDTF">2023-07-27T06:31:36Z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017A6247D635490AB9220BD9E6AFBCC8</vt:lpwstr>
  </property>
</Properties>
</file>