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广州市净水有限公司2023-2025年</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氢氧化钠（30%溶液）采购项目</w:t>
      </w: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（第二次）</w:t>
      </w:r>
    </w:p>
    <w:p>
      <w:pPr>
        <w:jc w:val="center"/>
        <w:rPr>
          <w:rFonts w:hint="eastAsia"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采购</w:t>
      </w:r>
      <w:r>
        <w:rPr>
          <w:rFonts w:hint="eastAsia" w:ascii="方正小标宋简体" w:eastAsia="方正小标宋简体"/>
          <w:color w:val="auto"/>
          <w:sz w:val="52"/>
          <w:szCs w:val="52"/>
          <w:highlight w:val="none"/>
        </w:rPr>
        <w:t>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4"/>
      </w:pPr>
    </w:p>
    <w:p>
      <w:pPr>
        <w:jc w:val="center"/>
        <w:rPr>
          <w:rFonts w:hint="eastAsia" w:ascii="仿宋_GB2312" w:eastAsia="仿宋_GB2312"/>
          <w:color w:val="auto"/>
          <w:sz w:val="32"/>
          <w:szCs w:val="32"/>
          <w:highlight w:val="none"/>
        </w:rPr>
      </w:pPr>
    </w:p>
    <w:p>
      <w:pPr>
        <w:pStyle w:val="24"/>
        <w:rPr>
          <w:rFonts w:hint="eastAsia"/>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4"/>
      </w:pPr>
    </w:p>
    <w:p>
      <w:pPr>
        <w:pStyle w:val="2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5"/>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5"/>
        <w:numPr>
          <w:ilvl w:val="0"/>
          <w:numId w:val="1"/>
        </w:numPr>
        <w:tabs>
          <w:tab w:val="right" w:pos="8844"/>
        </w:tabs>
        <w:rPr>
          <w:color w:val="auto"/>
          <w:highlight w:val="none"/>
        </w:rPr>
      </w:pPr>
      <w:r>
        <w:rPr>
          <w:rFonts w:hint="eastAsia"/>
          <w:color w:val="auto"/>
          <w:highlight w:val="none"/>
          <w:lang w:val="en-US" w:eastAsia="zh-CN"/>
        </w:rPr>
        <w:t>供应商须知</w:t>
      </w:r>
    </w:p>
    <w:p>
      <w:pPr>
        <w:pStyle w:val="15"/>
        <w:numPr>
          <w:ilvl w:val="0"/>
          <w:numId w:val="1"/>
        </w:numPr>
        <w:tabs>
          <w:tab w:val="right" w:pos="8844"/>
        </w:tabs>
        <w:rPr>
          <w:color w:val="auto"/>
          <w:highlight w:val="none"/>
        </w:rPr>
      </w:pPr>
      <w:r>
        <w:rPr>
          <w:rFonts w:hint="eastAsia"/>
          <w:color w:val="auto"/>
          <w:highlight w:val="none"/>
          <w:lang w:val="en-US" w:eastAsia="zh-CN"/>
        </w:rPr>
        <w:t>采购方法</w:t>
      </w:r>
    </w:p>
    <w:p>
      <w:pPr>
        <w:pStyle w:val="15"/>
        <w:numPr>
          <w:ilvl w:val="0"/>
          <w:numId w:val="1"/>
        </w:numPr>
        <w:tabs>
          <w:tab w:val="right" w:pos="8844"/>
        </w:tabs>
        <w:rPr>
          <w:color w:val="auto"/>
          <w:highlight w:val="none"/>
        </w:rPr>
      </w:pPr>
      <w:r>
        <w:rPr>
          <w:rFonts w:hint="eastAsia"/>
          <w:color w:val="auto"/>
          <w:highlight w:val="none"/>
          <w:lang w:val="en-US" w:eastAsia="zh-CN"/>
        </w:rPr>
        <w:t>评审方法</w:t>
      </w:r>
    </w:p>
    <w:p>
      <w:pPr>
        <w:pStyle w:val="15"/>
        <w:numPr>
          <w:ilvl w:val="0"/>
          <w:numId w:val="1"/>
        </w:numPr>
        <w:tabs>
          <w:tab w:val="right" w:pos="8844"/>
        </w:tabs>
        <w:rPr>
          <w:color w:val="auto"/>
          <w:highlight w:val="none"/>
        </w:rPr>
      </w:pPr>
      <w:r>
        <w:rPr>
          <w:rFonts w:hint="eastAsia"/>
          <w:color w:val="auto"/>
          <w:highlight w:val="none"/>
          <w:lang w:val="en-US" w:eastAsia="zh-CN"/>
        </w:rPr>
        <w:t>采购需求</w:t>
      </w:r>
    </w:p>
    <w:p>
      <w:pPr>
        <w:pStyle w:val="15"/>
        <w:numPr>
          <w:ilvl w:val="0"/>
          <w:numId w:val="1"/>
        </w:numPr>
        <w:tabs>
          <w:tab w:val="right" w:pos="8844"/>
        </w:tabs>
        <w:rPr>
          <w:color w:val="auto"/>
          <w:highlight w:val="none"/>
        </w:rPr>
      </w:pPr>
      <w:r>
        <w:rPr>
          <w:rFonts w:hint="eastAsia"/>
          <w:color w:val="auto"/>
          <w:highlight w:val="none"/>
        </w:rPr>
        <w:t>合同草案</w:t>
      </w:r>
    </w:p>
    <w:p>
      <w:pPr>
        <w:pStyle w:val="15"/>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5"/>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5"/>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19"/>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3"/>
        <w:rPr>
          <w:rFonts w:hint="eastAsia"/>
          <w:color w:val="auto"/>
          <w:highlight w:val="none"/>
        </w:rPr>
      </w:pPr>
      <w:bookmarkStart w:id="4" w:name="_Toc31938"/>
      <w:bookmarkStart w:id="5" w:name="_Toc19609"/>
      <w:bookmarkStart w:id="6" w:name="_Toc11322"/>
      <w:bookmarkStart w:id="7" w:name="_Toc17801"/>
      <w:bookmarkStart w:id="8" w:name="_Toc1669"/>
      <w:bookmarkStart w:id="9" w:name="_Toc4275"/>
      <w:bookmarkStart w:id="10" w:name="_Toc751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2357755</wp:posOffset>
                </wp:positionH>
                <wp:positionV relativeFrom="paragraph">
                  <wp:posOffset>52705</wp:posOffset>
                </wp:positionV>
                <wp:extent cx="958850" cy="0"/>
                <wp:effectExtent l="0" t="0" r="0" b="0"/>
                <wp:wrapNone/>
                <wp:docPr id="8" name="直接箭头连接符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5.65pt;margin-top:4.15pt;height:0pt;width:75.5pt;z-index:251670528;mso-width-relative:page;mso-height-relative:page;" filled="f" stroked="t" coordsize="21600,21600" o:gfxdata="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RroO1QAAAAcBAAAPAAAAAAAAAAEAIAAAACIAAABkcnMvZG93bnJldi54bWxQ&#10;SwECFAAUAAAACACHTuJA8LhfQvoBAADrAwAADgAAAAAAAAABACAAAAAkAQAAZHJzL2Uyb0RvYy54&#10;bWxQSwUGAAAAAAYABgBZAQAAk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2304415</wp:posOffset>
                </wp:positionH>
                <wp:positionV relativeFrom="paragraph">
                  <wp:posOffset>525780</wp:posOffset>
                </wp:positionV>
                <wp:extent cx="958850" cy="0"/>
                <wp:effectExtent l="0" t="0" r="0" b="0"/>
                <wp:wrapNone/>
                <wp:docPr id="9" name="直接箭头连接符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45pt;margin-top:41.4pt;height:0pt;width:75.5pt;z-index:251671552;mso-width-relative:page;mso-height-relative:page;" filled="f" stroked="t" coordsize="21600,21600" o:gfxdata="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n09htYAAAAJAQAADwAAAAAAAAABACAAAAAiAAAAZHJzL2Rvd25yZXYueG1s&#10;UEsBAhQAFAAAAAgAh07iQDBsioX6AQAA6wMAAA4AAAAAAAAAAQAgAAAAJQEAAGRycy9lMm9Eb2Mu&#10;eG1sUEsFBgAAAAAGAAYAWQEAAJE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2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广州市净水有限公司2023-2025年氢氧化钠（30%溶液）采购项目（第二次）</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广州市净水有限公司2023-2025年氢氧化钠（30%溶液）采购项目（第二次）</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w:t>
      </w:r>
      <w:bookmarkStart w:id="137" w:name="_GoBack"/>
      <w:bookmarkEnd w:id="137"/>
      <w:r>
        <w:rPr>
          <w:rFonts w:hint="eastAsia" w:ascii="仿宋_GB2312" w:eastAsia="仿宋_GB2312"/>
          <w:color w:val="auto"/>
          <w:sz w:val="28"/>
          <w:szCs w:val="28"/>
          <w:highlight w:val="none"/>
          <w:u w:val="single"/>
          <w:lang w:val="en-US" w:eastAsia="zh-CN"/>
        </w:rPr>
        <w:t>-20230718-3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单价1500元/吨</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，总价为</w:t>
      </w:r>
      <w:r>
        <w:rPr>
          <w:rFonts w:hint="eastAsia" w:ascii="仿宋_GB2312" w:eastAsia="仿宋_GB2312"/>
          <w:color w:val="auto"/>
          <w:sz w:val="28"/>
          <w:szCs w:val="28"/>
          <w:highlight w:val="none"/>
          <w:u w:val="single"/>
          <w:lang w:val="en-US" w:eastAsia="zh-CN"/>
        </w:rPr>
        <w:t>891000</w:t>
      </w:r>
      <w:r>
        <w:rPr>
          <w:rFonts w:hint="eastAsia" w:ascii="仿宋_GB2312" w:eastAsia="仿宋_GB2312"/>
          <w:color w:val="auto"/>
          <w:sz w:val="28"/>
          <w:szCs w:val="28"/>
          <w:highlight w:val="none"/>
          <w:u w:val="single"/>
          <w:lang w:eastAsia="zh-CN"/>
        </w:rPr>
        <w:t>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采购量594吨</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自合同签订之日起2年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广州市净水有限公司各净水厂 </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none"/>
          <w:lang w:val="en-US" w:eastAsia="zh-CN"/>
        </w:rPr>
        <w:t>氢氧化钠</w:t>
      </w:r>
      <w:r>
        <w:rPr>
          <w:rFonts w:hint="eastAsia" w:ascii="仿宋_GB2312" w:eastAsia="仿宋_GB2312" w:hAnsiTheme="minorHAnsi" w:cstheme="minorBidi"/>
          <w:i w:val="0"/>
          <w:iCs w:val="0"/>
          <w:caps w:val="0"/>
          <w:color w:val="auto"/>
          <w:spacing w:val="0"/>
          <w:sz w:val="28"/>
          <w:szCs w:val="28"/>
          <w:highlight w:val="none"/>
          <w:u w:val="none"/>
          <w:shd w:val="clear" w:fill="auto"/>
        </w:rPr>
        <w:t>制造商（含制造商的唯一法人股东或制造商下属的全资子公司，须提供供应商与报价货物制造商的关系说明文件原件或证明文件复印件）或代理商</w:t>
      </w:r>
      <w:r>
        <w:rPr>
          <w:rFonts w:hint="eastAsia" w:ascii="仿宋_GB2312" w:eastAsia="仿宋_GB2312"/>
          <w:color w:val="auto"/>
          <w:sz w:val="28"/>
          <w:szCs w:val="28"/>
          <w:highlight w:val="none"/>
          <w:u w:val="single"/>
        </w:rPr>
        <w:t>资质</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项目的业绩。（提供合同复印件证明，包括但不限于项目名称、金额及实施内容、合同盖章、签订日期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19"/>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）其他要求供应商提供的</w:t>
      </w:r>
      <w:r>
        <w:rPr>
          <w:rFonts w:hint="eastAsia" w:ascii="仿宋_GB2312" w:eastAsia="仿宋_GB2312"/>
          <w:color w:val="auto"/>
          <w:sz w:val="28"/>
          <w:szCs w:val="28"/>
          <w:highlight w:val="none"/>
          <w:lang w:val="en-US" w:eastAsia="zh-CN"/>
        </w:rPr>
        <w:t>氢氧化钠（30%溶液）</w:t>
      </w:r>
      <w:r>
        <w:rPr>
          <w:rFonts w:hint="eastAsia" w:ascii="仿宋_GB2312" w:eastAsia="仿宋_GB2312"/>
          <w:color w:val="auto"/>
          <w:sz w:val="28"/>
          <w:szCs w:val="28"/>
          <w:highlight w:val="none"/>
        </w:rPr>
        <w:t>具有质量技术监督部门出具的</w:t>
      </w:r>
      <w:r>
        <w:rPr>
          <w:rFonts w:hint="eastAsia" w:ascii="仿宋_GB2312" w:eastAsia="仿宋_GB2312"/>
          <w:color w:val="auto"/>
          <w:sz w:val="28"/>
          <w:szCs w:val="28"/>
          <w:highlight w:val="none"/>
          <w:lang w:val="en-US" w:eastAsia="zh-CN"/>
        </w:rPr>
        <w:t>近三年</w:t>
      </w:r>
      <w:r>
        <w:rPr>
          <w:rFonts w:hint="eastAsia" w:ascii="仿宋_GB2312" w:eastAsia="仿宋_GB2312"/>
          <w:color w:val="auto"/>
          <w:sz w:val="28"/>
          <w:szCs w:val="28"/>
          <w:highlight w:val="none"/>
        </w:rPr>
        <w:t>（2021年、2022年、2023年）任意一年</w:t>
      </w:r>
      <w:r>
        <w:rPr>
          <w:rFonts w:hint="eastAsia" w:ascii="仿宋_GB2312" w:eastAsia="仿宋_GB2312"/>
          <w:color w:val="auto"/>
          <w:sz w:val="28"/>
          <w:szCs w:val="28"/>
          <w:highlight w:val="none"/>
          <w:lang w:val="en-US" w:eastAsia="zh-CN"/>
        </w:rPr>
        <w:t>的</w:t>
      </w:r>
      <w:r>
        <w:rPr>
          <w:rFonts w:hint="eastAsia" w:ascii="仿宋_GB2312" w:eastAsia="仿宋_GB2312"/>
          <w:color w:val="auto"/>
          <w:sz w:val="28"/>
          <w:szCs w:val="28"/>
          <w:highlight w:val="none"/>
        </w:rPr>
        <w:t>质量合格检测报告，且产品质量符合</w:t>
      </w:r>
      <w:r>
        <w:rPr>
          <w:rFonts w:hint="eastAsia" w:ascii="仿宋_GB2312" w:eastAsia="仿宋_GB2312"/>
          <w:color w:val="auto"/>
          <w:sz w:val="28"/>
          <w:szCs w:val="28"/>
          <w:highlight w:val="none"/>
          <w:lang w:val="en-US" w:eastAsia="zh-CN"/>
        </w:rPr>
        <w:t>GB/T 209-2018</w:t>
      </w:r>
      <w:r>
        <w:rPr>
          <w:rFonts w:hint="eastAsia" w:ascii="仿宋_GB2312" w:eastAsia="仿宋_GB2312"/>
          <w:color w:val="auto"/>
          <w:sz w:val="28"/>
          <w:szCs w:val="28"/>
          <w:highlight w:val="none"/>
        </w:rPr>
        <w:t xml:space="preserve">标准的证明。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color w:val="auto"/>
          <w:sz w:val="28"/>
          <w:szCs w:val="28"/>
        </w:rPr>
        <w:t>递交响应文件集合时间：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7 </w:t>
      </w:r>
      <w:r>
        <w:rPr>
          <w:rFonts w:hint="eastAsia" w:ascii="仿宋_GB2312" w:eastAsia="仿宋_GB2312"/>
          <w:sz w:val="28"/>
          <w:szCs w:val="28"/>
          <w:highlight w:val="none"/>
        </w:rPr>
        <w:t> 月</w:t>
      </w:r>
      <w:r>
        <w:rPr>
          <w:rFonts w:hint="eastAsia" w:ascii="仿宋_GB2312" w:eastAsia="仿宋_GB2312"/>
          <w:sz w:val="28"/>
          <w:szCs w:val="28"/>
          <w:highlight w:val="none"/>
          <w:u w:val="single"/>
          <w:lang w:val="en-US" w:eastAsia="zh-CN"/>
        </w:rPr>
        <w:t xml:space="preserve"> 24 </w:t>
      </w:r>
      <w:r>
        <w:rPr>
          <w:rFonts w:hint="eastAsia" w:ascii="仿宋_GB2312" w:eastAsia="仿宋_GB2312"/>
          <w:sz w:val="28"/>
          <w:szCs w:val="28"/>
          <w:highlight w:val="none"/>
          <w:u w:val="single"/>
        </w:rPr>
        <w:t>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14</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rPr>
        <w:t>分至</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7</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24</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15 </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r>
        <w:rPr>
          <w:rFonts w:hint="eastAsia" w:ascii="仿宋_GB2312" w:eastAsia="仿宋_GB2312"/>
          <w:color w:val="auto"/>
          <w:sz w:val="28"/>
          <w:szCs w:val="28"/>
          <w:highlight w:val="none"/>
        </w:rPr>
        <w:t>递交响应文件截止时间</w:t>
      </w:r>
      <w:r>
        <w:rPr>
          <w:rFonts w:hint="eastAsia" w:ascii="仿宋_GB2312" w:eastAsia="仿宋_GB2312"/>
          <w:sz w:val="28"/>
          <w:szCs w:val="28"/>
          <w:highlight w:val="none"/>
        </w:rPr>
        <w:t>：</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7</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24</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15 </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color w:val="auto"/>
          <w:sz w:val="28"/>
          <w:szCs w:val="28"/>
        </w:rPr>
        <w:t>递交地址：广州市天河区临江大道501号广州市净水有限公司6楼招标部。</w:t>
      </w:r>
    </w:p>
    <w:p>
      <w:pPr>
        <w:pStyle w:val="19"/>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19"/>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pPr>
        <w:pStyle w:val="19"/>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（1）通过“广州净水公司”微信公众号或来访时扫码进行访客预约登记。</w:t>
      </w:r>
    </w:p>
    <w:p>
      <w:pPr>
        <w:pStyle w:val="19"/>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（2）“组织”选择“公司本部”，“部门”选择“招投标合同管理部”。</w:t>
      </w:r>
    </w:p>
    <w:p>
      <w:pPr>
        <w:pStyle w:val="19"/>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（3）“被访人员”选择“招标部”，“手机号”：“62315524”。</w:t>
      </w:r>
    </w:p>
    <w:p>
      <w:pPr>
        <w:pStyle w:val="19"/>
        <w:ind w:firstLine="560" w:firstLineChars="200"/>
        <w:rPr>
          <w:rFonts w:hint="default" w:eastAsia="仿宋_GB2312"/>
          <w:color w:val="auto"/>
          <w:highlight w:val="none"/>
          <w:lang w:val="en-US" w:eastAsia="zh-CN"/>
        </w:rPr>
      </w:pPr>
      <w:r>
        <w:rPr>
          <w:rFonts w:hint="eastAsia" w:ascii="仿宋_GB2312" w:eastAsia="仿宋_GB2312"/>
          <w:color w:val="auto"/>
          <w:sz w:val="28"/>
          <w:szCs w:val="28"/>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w:t>
            </w:r>
            <w:r>
              <w:rPr>
                <w:rFonts w:hint="eastAsia" w:ascii="仿宋_GB2312" w:hAnsi="仿宋" w:eastAsia="仿宋_GB2312"/>
                <w:color w:val="auto"/>
                <w:sz w:val="28"/>
                <w:szCs w:val="28"/>
                <w:highlight w:val="none"/>
                <w:u w:val="none"/>
                <w:lang w:val="en-US" w:eastAsia="zh-CN"/>
              </w:rPr>
              <w:t>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rPr>
          <w:rFonts w:hint="eastAsia"/>
          <w:color w:val="auto"/>
          <w:highlight w:val="none"/>
        </w:rPr>
      </w:pPr>
    </w:p>
    <w:p>
      <w:pPr>
        <w:pStyle w:val="24"/>
        <w:rPr>
          <w:rFonts w:hint="eastAsia"/>
        </w:rPr>
      </w:pPr>
    </w:p>
    <w:p>
      <w:pPr>
        <w:pStyle w:val="3"/>
        <w:rPr>
          <w:rFonts w:hint="eastAsia"/>
          <w:color w:val="auto"/>
          <w:highlight w:val="none"/>
        </w:rPr>
      </w:pPr>
      <w:bookmarkStart w:id="14" w:name="_Toc16557"/>
      <w:bookmarkStart w:id="15" w:name="_Toc9448"/>
      <w:bookmarkStart w:id="16" w:name="_Toc32588"/>
      <w:bookmarkStart w:id="17" w:name="_Toc16705"/>
      <w:bookmarkStart w:id="18" w:name="_Toc2324"/>
      <w:bookmarkStart w:id="19" w:name="_Toc7340"/>
      <w:bookmarkStart w:id="20" w:name="_Toc25603"/>
      <w:bookmarkStart w:id="21" w:name="_Toc23749"/>
      <w:bookmarkStart w:id="22" w:name="_Toc2331"/>
      <w:bookmarkStart w:id="23" w:name="_Toc19295"/>
    </w:p>
    <w:p>
      <w:pPr>
        <w:pStyle w:val="3"/>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34290</wp:posOffset>
                </wp:positionV>
                <wp:extent cx="958850" cy="0"/>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9pt;margin-top:2.7pt;height:0pt;width:75.5pt;z-index:251672576;mso-width-relative:page;mso-height-relative:page;" filled="f" stroked="t" coordsize="21600,21600" o:gfxdata="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V/4Y1AAAAAcBAAAPAAAAAAAAAAEAIAAAACIAAABkcnMvZG93bnJldi54bWxQ&#10;SwECFAAUAAAACACHTuJAYZEyafsBAADtAwAADgAAAAAAAAABACAAAAAjAQAAZHJzL2Uyb0RvYy54&#10;bWxQSwUGAAAAAAYABgBZAQAAk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571500</wp:posOffset>
                </wp:positionV>
                <wp:extent cx="958850" cy="0"/>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45pt;height:0pt;width:75.5pt;z-index:251673600;mso-width-relative:page;mso-height-relative:page;" filled="f" stroked="t" coordsize="21600,21600" o:gfxdata="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RjxP9YAAAAJAQAADwAAAAAAAAABACAAAAAiAAAAZHJzL2Rvd25yZXYueG1s&#10;UEsBAhQAFAAAAAgAh07iQDjbVvX6AQAA7QMAAA4AAAAAAAAAAQAgAAAAJQEAAGRycy9lMm9Eb2Mu&#10;eG1sUEsFBgAAAAAGAAYAWQEAAJE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19"/>
        <w:rPr>
          <w:rFonts w:hint="eastAsia" w:asciiTheme="minorEastAsia" w:hAnsiTheme="minorEastAsia"/>
          <w:b/>
          <w:color w:val="auto"/>
          <w:sz w:val="32"/>
          <w:szCs w:val="32"/>
          <w:highlight w:val="none"/>
        </w:rPr>
      </w:pPr>
    </w:p>
    <w:p>
      <w:pPr>
        <w:pStyle w:val="19"/>
        <w:rPr>
          <w:rFonts w:hint="eastAsia" w:asciiTheme="minorEastAsia" w:hAnsiTheme="minorEastAsia"/>
          <w:b/>
          <w:color w:val="auto"/>
          <w:sz w:val="32"/>
          <w:szCs w:val="32"/>
          <w:highlight w:val="none"/>
        </w:rPr>
      </w:pPr>
    </w:p>
    <w:p>
      <w:pPr>
        <w:pStyle w:val="19"/>
        <w:rPr>
          <w:rFonts w:hint="eastAsia" w:asciiTheme="minorEastAsia" w:hAnsiTheme="minorEastAsia"/>
          <w:b/>
          <w:color w:val="auto"/>
          <w:sz w:val="32"/>
          <w:szCs w:val="32"/>
          <w:highlight w:val="none"/>
        </w:rPr>
      </w:pPr>
    </w:p>
    <w:p>
      <w:pPr>
        <w:pStyle w:val="19"/>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19"/>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1"/>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pStyle w:val="24"/>
        <w:rPr>
          <w:rFonts w:hint="default" w:eastAsia="仿宋_GB2312"/>
          <w:color w:val="auto"/>
          <w:lang w:val="en-US" w:eastAsia="zh-CN"/>
        </w:rPr>
      </w:pPr>
      <w:r>
        <w:rPr>
          <w:rFonts w:hint="eastAsia" w:ascii="仿宋_GB2312"/>
          <w:color w:val="auto"/>
          <w:sz w:val="28"/>
          <w:szCs w:val="28"/>
          <w:highlight w:val="none"/>
          <w:lang w:val="en-US" w:eastAsia="zh-CN"/>
        </w:rPr>
        <w:t xml:space="preserve">    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2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1"/>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2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9"/>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2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26"/>
        <w:rPr>
          <w:color w:val="auto"/>
          <w:highlight w:val="none"/>
        </w:rPr>
      </w:pPr>
    </w:p>
    <w:p>
      <w:pPr>
        <w:pStyle w:val="2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pStyle w:val="24"/>
        <w:rPr>
          <w:color w:val="auto"/>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2282190</wp:posOffset>
                </wp:positionH>
                <wp:positionV relativeFrom="paragraph">
                  <wp:posOffset>669925</wp:posOffset>
                </wp:positionV>
                <wp:extent cx="958850" cy="0"/>
                <wp:effectExtent l="0" t="0" r="0" b="0"/>
                <wp:wrapNone/>
                <wp:docPr id="14" name="直接箭头连接符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9.7pt;margin-top:52.75pt;height:0pt;width:75.5pt;z-index:251661312;mso-width-relative:page;mso-height-relative:page;" filled="f" stroked="t" coordsize="21600,21600" o:gfxdata="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qNsg9UAAAALAQAADwAAAAAAAAABACAAAAAiAAAAZHJzL2Rvd25yZXYueG1s&#10;UEsBAhQAFAAAAAgAh07iQJ/4VOn7AQAA7QMAAA4AAAAAAAAAAQAgAAAAJAEAAGRycy9lMm9Eb2Mu&#10;eG1sUEsFBgAAAAAGAAYAWQEAAJE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C0PytYAAAAJAQAADwAAAAAAAAABACAAAAAiAAAAZHJzL2Rvd25yZXYueG1s&#10;UEsBAhQAFAAAAAgAh07iQPeKJKT6AQAA6wMAAA4AAAAAAAAAAQAgAAAAJQEAAGRycy9lMm9Eb2Mu&#10;eG1sUEsFBgAAAAAGAAYAWQEAAJE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26"/>
        <w:rPr>
          <w:color w:val="auto"/>
          <w:highlight w:val="none"/>
        </w:rPr>
      </w:pPr>
    </w:p>
    <w:p>
      <w:pPr>
        <w:pStyle w:val="4"/>
        <w:rPr>
          <w:color w:val="auto"/>
          <w:highlight w:val="none"/>
        </w:rPr>
      </w:pPr>
      <w:bookmarkStart w:id="28" w:name="_Toc7303"/>
      <w:bookmarkStart w:id="29" w:name="_Toc88209934"/>
      <w:bookmarkStart w:id="30" w:name="_Toc7040"/>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1"/>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20594"/>
      <w:bookmarkStart w:id="35" w:name="_Toc10930"/>
      <w:bookmarkStart w:id="36" w:name="_Toc14552"/>
      <w:bookmarkStart w:id="37" w:name="_Toc7118"/>
      <w:bookmarkStart w:id="38" w:name="_Toc4952"/>
      <w:bookmarkStart w:id="39" w:name="_Toc3156"/>
      <w:bookmarkStart w:id="40" w:name="_Toc19050"/>
      <w:bookmarkStart w:id="41" w:name="_Toc19759"/>
      <w:bookmarkStart w:id="42" w:name="_Toc7437"/>
      <w:bookmarkStart w:id="43" w:name="_Toc14870"/>
      <w:bookmarkStart w:id="44" w:name="_Toc23581"/>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2" name="直接箭头连接符 1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LSe8W+w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IQpZxYM&#10;/fHbD9c/33++/f7tx6frXzcfU/z1C6M8idV7LKlmZTfhuEK/CYn5vgkmfYkT22eBDyeB5T4yQZvP&#10;ZvP5jKQXd6nivs4HjC+kMywFFccYQLVdXDlr6S+6MMn6wu4lRupMhXcFqam2rE/w0xmBA7myITdQ&#10;aDwxQ9vmWnRa1ZdK61SBod2udGA7SM7IT+JHuH8dS03WgN1wLqcGz3QS6ue2ZvHgSTJLV4WnEYys&#10;OdOSblaKCBDKCEqfc5Jaa0sTJIkHUVO0dfUha533yQV5xqNjk83+XOfq+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y0nvFv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3" name="直接箭头连接符 1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kgOLi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26"/>
        <w:rPr>
          <w:color w:val="auto"/>
          <w:highlight w:val="none"/>
        </w:rPr>
      </w:pPr>
    </w:p>
    <w:p>
      <w:pPr>
        <w:pStyle w:val="3"/>
        <w:rPr>
          <w:color w:val="auto"/>
          <w:highlight w:val="none"/>
        </w:rPr>
      </w:pPr>
      <w:bookmarkStart w:id="45" w:name="_Toc29484"/>
      <w:bookmarkStart w:id="46" w:name="_Toc21840"/>
      <w:bookmarkStart w:id="47" w:name="_Toc12177"/>
      <w:bookmarkStart w:id="48" w:name="_Toc22212"/>
      <w:bookmarkStart w:id="49" w:name="_Toc7831"/>
      <w:bookmarkStart w:id="50" w:name="_Toc21079"/>
      <w:bookmarkStart w:id="51" w:name="_Toc30530"/>
      <w:bookmarkStart w:id="52" w:name="_Toc88209941"/>
      <w:bookmarkStart w:id="53" w:name="_Toc87616378"/>
      <w:bookmarkStart w:id="54" w:name="_Toc6308"/>
      <w:bookmarkStart w:id="55" w:name="_Toc13898"/>
      <w:bookmarkStart w:id="56" w:name="_Toc32607"/>
      <w:bookmarkStart w:id="57" w:name="_Toc29345"/>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1"/>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2AsR1wAAAAsBAAAPAAAAAAAAAAEAIAAAACIAAABkcnMvZG93bnJldi54&#10;bWxQSwECFAAUAAAACACHTuJANiX+8PsBAADr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K2LetYAAAAJAQAADwAAAAAAAAABACAAAAAiAAAAZHJzL2Rvd25yZXYueG1s&#10;UEsBAhQAFAAAAAgAh07iQPbxKzf6AQAA6wMAAA4AAAAAAAAAAQAgAAAAJQEAAGRycy9lMm9Eb2Mu&#10;eG1sUEsFBgAAAAAGAAYAWQEAAJE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bookmarkEnd w:id="60"/>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pStyle w:val="24"/>
        <w:rPr>
          <w:rFonts w:hint="eastAsia" w:ascii="仿宋" w:hAnsi="仿宋" w:eastAsia="仿宋"/>
          <w:b/>
          <w:color w:val="auto"/>
          <w:sz w:val="32"/>
          <w:szCs w:val="32"/>
        </w:rPr>
      </w:pPr>
    </w:p>
    <w:p>
      <w:pPr>
        <w:pStyle w:val="24"/>
        <w:rPr>
          <w:rFonts w:hint="eastAsia" w:ascii="仿宋" w:hAnsi="仿宋" w:eastAsia="仿宋"/>
          <w:b/>
          <w:color w:val="auto"/>
          <w:sz w:val="32"/>
          <w:szCs w:val="32"/>
        </w:rPr>
      </w:pPr>
    </w:p>
    <w:p>
      <w:pPr>
        <w:pStyle w:val="24"/>
        <w:rPr>
          <w:rFonts w:hint="eastAsia" w:ascii="仿宋" w:hAnsi="仿宋" w:eastAsia="仿宋"/>
          <w:b/>
          <w:color w:val="auto"/>
          <w:sz w:val="32"/>
          <w:szCs w:val="32"/>
        </w:rPr>
      </w:pPr>
    </w:p>
    <w:p>
      <w:pPr>
        <w:ind w:firstLine="643" w:firstLineChars="200"/>
        <w:rPr>
          <w:rFonts w:ascii="方正小标宋简体" w:eastAsia="方正小标宋简体"/>
          <w:color w:val="auto"/>
          <w:sz w:val="36"/>
          <w:szCs w:val="36"/>
        </w:rPr>
      </w:pPr>
      <w:r>
        <w:rPr>
          <w:rFonts w:hint="eastAsia" w:ascii="仿宋" w:hAnsi="仿宋" w:eastAsia="仿宋"/>
          <w:b/>
          <w:color w:val="auto"/>
          <w:sz w:val="32"/>
          <w:szCs w:val="32"/>
        </w:rPr>
        <w:t>一、项目概况</w:t>
      </w:r>
      <w:r>
        <w:rPr>
          <w:rFonts w:hint="eastAsia" w:ascii="仿宋" w:hAnsi="仿宋" w:eastAsia="仿宋"/>
          <w:color w:val="auto"/>
          <w:sz w:val="32"/>
          <w:szCs w:val="32"/>
        </w:rPr>
        <w:t>：</w:t>
      </w:r>
    </w:p>
    <w:p>
      <w:pPr>
        <w:spacing w:line="360" w:lineRule="auto"/>
        <w:ind w:left="420" w:firstLine="217" w:firstLineChars="68"/>
        <w:rPr>
          <w:rFonts w:hint="eastAsia" w:ascii="仿宋" w:hAnsi="仿宋" w:eastAsia="仿宋"/>
          <w:bCs/>
          <w:color w:val="auto"/>
          <w:sz w:val="32"/>
          <w:szCs w:val="32"/>
          <w:lang w:eastAsia="zh-CN"/>
        </w:rPr>
      </w:pPr>
      <w:r>
        <w:rPr>
          <w:rFonts w:hint="eastAsia" w:ascii="仿宋" w:hAnsi="仿宋" w:eastAsia="仿宋"/>
          <w:bCs/>
          <w:color w:val="auto"/>
          <w:sz w:val="32"/>
          <w:szCs w:val="32"/>
        </w:rPr>
        <w:t>本次项目的服务对象为广州市净水有限公司及下属各分</w:t>
      </w: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子</w:t>
      </w:r>
      <w:r>
        <w:rPr>
          <w:rFonts w:hint="eastAsia" w:ascii="仿宋" w:hAnsi="仿宋" w:eastAsia="仿宋"/>
          <w:bCs/>
          <w:color w:val="auto"/>
          <w:sz w:val="32"/>
          <w:szCs w:val="32"/>
          <w:lang w:eastAsia="zh-CN"/>
        </w:rPr>
        <w:t>）</w:t>
      </w:r>
    </w:p>
    <w:p>
      <w:pPr>
        <w:spacing w:line="360" w:lineRule="auto"/>
        <w:ind w:left="0" w:firstLine="0" w:firstLineChars="0"/>
        <w:rPr>
          <w:rFonts w:ascii="仿宋" w:hAnsi="仿宋" w:eastAsia="仿宋"/>
          <w:bCs/>
          <w:color w:val="auto"/>
          <w:sz w:val="32"/>
          <w:szCs w:val="32"/>
        </w:rPr>
      </w:pPr>
      <w:r>
        <w:rPr>
          <w:rFonts w:hint="eastAsia" w:ascii="仿宋" w:hAnsi="仿宋" w:eastAsia="仿宋"/>
          <w:bCs/>
          <w:color w:val="auto"/>
          <w:sz w:val="32"/>
          <w:szCs w:val="32"/>
        </w:rPr>
        <w:t>公司。根据厂区实际运行需求，预计需采购</w:t>
      </w:r>
      <w:r>
        <w:rPr>
          <w:rFonts w:hint="eastAsia" w:ascii="仿宋" w:hAnsi="仿宋" w:eastAsia="仿宋"/>
          <w:bCs/>
          <w:color w:val="auto"/>
          <w:sz w:val="32"/>
          <w:szCs w:val="32"/>
          <w:lang w:val="en-US" w:eastAsia="zh-CN"/>
        </w:rPr>
        <w:t>氢氧化钠（30%溶液）</w:t>
      </w:r>
      <w:r>
        <w:rPr>
          <w:rFonts w:hint="eastAsia" w:ascii="仿宋" w:hAnsi="仿宋" w:eastAsia="仿宋"/>
          <w:bCs/>
          <w:color w:val="auto"/>
          <w:sz w:val="32"/>
          <w:szCs w:val="32"/>
        </w:rPr>
        <w:t>合计共</w:t>
      </w:r>
      <w:r>
        <w:rPr>
          <w:rFonts w:hint="eastAsia" w:ascii="仿宋" w:hAnsi="仿宋" w:eastAsia="仿宋"/>
          <w:bCs/>
          <w:color w:val="auto"/>
          <w:sz w:val="32"/>
          <w:szCs w:val="32"/>
          <w:lang w:val="en-US" w:eastAsia="zh-CN"/>
        </w:rPr>
        <w:t>594</w:t>
      </w:r>
      <w:r>
        <w:rPr>
          <w:rFonts w:hint="eastAsia" w:ascii="仿宋" w:hAnsi="仿宋" w:eastAsia="仿宋"/>
          <w:bCs/>
          <w:color w:val="auto"/>
          <w:sz w:val="32"/>
          <w:szCs w:val="32"/>
        </w:rPr>
        <w:t>吨。需求期限</w:t>
      </w:r>
      <w:r>
        <w:rPr>
          <w:rFonts w:hint="eastAsia" w:ascii="仿宋" w:hAnsi="仿宋" w:eastAsia="仿宋"/>
          <w:bCs/>
          <w:color w:val="auto"/>
          <w:sz w:val="32"/>
          <w:szCs w:val="32"/>
          <w:lang w:val="en-US" w:eastAsia="zh-CN"/>
        </w:rPr>
        <w:t>为两年（暂定</w:t>
      </w:r>
      <w:r>
        <w:rPr>
          <w:rFonts w:hint="eastAsia" w:ascii="仿宋" w:hAnsi="仿宋" w:eastAsia="仿宋"/>
          <w:bCs/>
          <w:color w:val="auto"/>
          <w:sz w:val="32"/>
          <w:szCs w:val="32"/>
        </w:rPr>
        <w:t>202</w:t>
      </w:r>
      <w:r>
        <w:rPr>
          <w:rFonts w:hint="eastAsia" w:ascii="仿宋" w:hAnsi="仿宋" w:eastAsia="仿宋"/>
          <w:bCs/>
          <w:color w:val="auto"/>
          <w:sz w:val="32"/>
          <w:szCs w:val="32"/>
          <w:lang w:val="en-US" w:eastAsia="zh-CN"/>
        </w:rPr>
        <w:t>3</w:t>
      </w:r>
      <w:r>
        <w:rPr>
          <w:rFonts w:hint="eastAsia" w:ascii="仿宋" w:hAnsi="仿宋" w:eastAsia="仿宋"/>
          <w:bCs/>
          <w:color w:val="auto"/>
          <w:sz w:val="32"/>
          <w:szCs w:val="32"/>
        </w:rPr>
        <w:t>年</w:t>
      </w:r>
      <w:r>
        <w:rPr>
          <w:rFonts w:hint="eastAsia" w:ascii="仿宋" w:hAnsi="仿宋" w:eastAsia="仿宋"/>
          <w:bCs/>
          <w:color w:val="auto"/>
          <w:sz w:val="32"/>
          <w:szCs w:val="32"/>
          <w:lang w:val="en-US" w:eastAsia="zh-CN"/>
        </w:rPr>
        <w:t>8</w:t>
      </w:r>
      <w:r>
        <w:rPr>
          <w:rFonts w:hint="eastAsia" w:ascii="仿宋" w:hAnsi="仿宋" w:eastAsia="仿宋"/>
          <w:bCs/>
          <w:color w:val="auto"/>
          <w:sz w:val="32"/>
          <w:szCs w:val="32"/>
        </w:rPr>
        <w:t>月至202</w:t>
      </w:r>
      <w:r>
        <w:rPr>
          <w:rFonts w:hint="eastAsia" w:ascii="仿宋" w:hAnsi="仿宋" w:eastAsia="仿宋"/>
          <w:bCs/>
          <w:color w:val="auto"/>
          <w:sz w:val="32"/>
          <w:szCs w:val="32"/>
          <w:lang w:val="en-US" w:eastAsia="zh-CN"/>
        </w:rPr>
        <w:t>5</w:t>
      </w:r>
      <w:r>
        <w:rPr>
          <w:rFonts w:hint="eastAsia" w:ascii="仿宋" w:hAnsi="仿宋" w:eastAsia="仿宋"/>
          <w:bCs/>
          <w:color w:val="auto"/>
          <w:sz w:val="32"/>
          <w:szCs w:val="32"/>
        </w:rPr>
        <w:t>年</w:t>
      </w:r>
      <w:r>
        <w:rPr>
          <w:rFonts w:hint="eastAsia" w:ascii="仿宋" w:hAnsi="仿宋" w:eastAsia="仿宋"/>
          <w:bCs/>
          <w:color w:val="auto"/>
          <w:sz w:val="32"/>
          <w:szCs w:val="32"/>
          <w:lang w:val="en-US" w:eastAsia="zh-CN"/>
        </w:rPr>
        <w:t>7月，以合同签的为准）</w:t>
      </w:r>
      <w:r>
        <w:rPr>
          <w:rFonts w:hint="eastAsia" w:ascii="仿宋" w:hAnsi="仿宋" w:eastAsia="仿宋"/>
          <w:bCs/>
          <w:color w:val="auto"/>
          <w:sz w:val="32"/>
          <w:szCs w:val="32"/>
        </w:rPr>
        <w:t>。</w:t>
      </w:r>
      <w:r>
        <w:rPr>
          <w:rFonts w:hint="eastAsia" w:ascii="仿宋" w:hAnsi="仿宋" w:eastAsia="仿宋"/>
          <w:bCs/>
          <w:color w:val="auto"/>
          <w:sz w:val="32"/>
          <w:szCs w:val="32"/>
          <w:lang w:val="en-US" w:eastAsia="zh-CN"/>
        </w:rPr>
        <w:t>其中从化部分是</w:t>
      </w:r>
      <w:r>
        <w:rPr>
          <w:rFonts w:hint="eastAsia" w:ascii="仿宋" w:hAnsi="仿宋" w:eastAsia="仿宋"/>
          <w:bCs/>
          <w:color w:val="auto"/>
          <w:sz w:val="32"/>
          <w:szCs w:val="32"/>
          <w:lang w:eastAsia="zh-CN"/>
        </w:rPr>
        <w:t>广州从化净水有限公司委托广州市净水有限公司进行</w:t>
      </w:r>
      <w:r>
        <w:rPr>
          <w:rFonts w:hint="eastAsia" w:ascii="仿宋" w:hAnsi="仿宋" w:eastAsia="仿宋"/>
          <w:bCs/>
          <w:color w:val="auto"/>
          <w:sz w:val="32"/>
          <w:szCs w:val="32"/>
          <w:lang w:val="en-US" w:eastAsia="zh-CN"/>
        </w:rPr>
        <w:t>公开询价，由中选</w:t>
      </w:r>
      <w:r>
        <w:rPr>
          <w:rFonts w:hint="eastAsia" w:ascii="仿宋" w:hAnsi="仿宋" w:eastAsia="仿宋"/>
          <w:bCs/>
          <w:color w:val="auto"/>
          <w:sz w:val="32"/>
          <w:szCs w:val="32"/>
          <w:lang w:eastAsia="zh-CN"/>
        </w:rPr>
        <w:t>单位与广州从化净水有限公司签订合同。</w:t>
      </w:r>
    </w:p>
    <w:p>
      <w:pPr>
        <w:numPr>
          <w:ilvl w:val="0"/>
          <w:numId w:val="4"/>
        </w:numPr>
        <w:spacing w:line="360" w:lineRule="auto"/>
        <w:ind w:firstLine="643" w:firstLineChars="200"/>
        <w:rPr>
          <w:rFonts w:hint="eastAsia" w:ascii="仿宋" w:hAnsi="仿宋" w:eastAsia="仿宋"/>
          <w:b/>
          <w:bCs/>
          <w:color w:val="auto"/>
          <w:sz w:val="32"/>
          <w:szCs w:val="32"/>
        </w:rPr>
      </w:pPr>
      <w:r>
        <w:rPr>
          <w:rFonts w:hint="eastAsia" w:ascii="仿宋" w:hAnsi="仿宋" w:eastAsia="仿宋"/>
          <w:b/>
          <w:bCs/>
          <w:color w:val="auto"/>
          <w:sz w:val="32"/>
          <w:szCs w:val="32"/>
          <w:lang w:val="en-US" w:eastAsia="zh-CN"/>
        </w:rPr>
        <w:t>服务</w:t>
      </w:r>
      <w:r>
        <w:rPr>
          <w:rFonts w:hint="eastAsia" w:ascii="仿宋" w:hAnsi="仿宋" w:eastAsia="仿宋"/>
          <w:b/>
          <w:bCs/>
          <w:color w:val="auto"/>
          <w:sz w:val="32"/>
          <w:szCs w:val="32"/>
        </w:rPr>
        <w:t>范围：</w:t>
      </w:r>
    </w:p>
    <w:p>
      <w:pPr>
        <w:widowControl w:val="0"/>
        <w:numPr>
          <w:ilvl w:val="0"/>
          <w:numId w:val="0"/>
        </w:numPr>
        <w:spacing w:line="360" w:lineRule="auto"/>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报价单位须为</w:t>
      </w:r>
      <w:r>
        <w:rPr>
          <w:rFonts w:hint="eastAsia" w:ascii="仿宋" w:hAnsi="仿宋" w:eastAsia="仿宋"/>
          <w:bCs/>
          <w:color w:val="auto"/>
          <w:sz w:val="32"/>
          <w:szCs w:val="32"/>
          <w:lang w:val="en-US" w:eastAsia="zh-CN"/>
        </w:rPr>
        <w:t>氢氧化钠</w:t>
      </w:r>
      <w:r>
        <w:rPr>
          <w:rFonts w:hint="eastAsia" w:ascii="仿宋" w:hAnsi="仿宋" w:eastAsia="仿宋" w:cs="仿宋"/>
          <w:color w:val="auto"/>
          <w:sz w:val="32"/>
          <w:szCs w:val="32"/>
          <w:lang w:val="en-US" w:eastAsia="zh-CN"/>
        </w:rPr>
        <w:t>的制造商或制造商的唯一法人股东或制造商下属的全资子公司或代理商，报价单位是制造商的唯一法人股东或制造商下属的全资子公司时，需提供报价单位与货物的制造商的关系的说明文件原件或证明文件复印件。</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3524"/>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spacing w:line="360" w:lineRule="auto"/>
              <w:jc w:val="center"/>
              <w:rPr>
                <w:rFonts w:ascii="仿宋" w:hAnsi="仿宋" w:eastAsia="仿宋"/>
                <w:bCs/>
                <w:color w:val="auto"/>
                <w:sz w:val="32"/>
                <w:szCs w:val="32"/>
              </w:rPr>
            </w:pPr>
            <w:r>
              <w:rPr>
                <w:rFonts w:ascii="仿宋" w:hAnsi="仿宋" w:eastAsia="仿宋"/>
                <w:bCs/>
                <w:color w:val="auto"/>
                <w:sz w:val="32"/>
                <w:szCs w:val="32"/>
              </w:rPr>
              <w:t>污水厂</w:t>
            </w:r>
          </w:p>
        </w:tc>
        <w:tc>
          <w:tcPr>
            <w:tcW w:w="3524" w:type="dxa"/>
            <w:vAlign w:val="center"/>
          </w:tcPr>
          <w:p>
            <w:pPr>
              <w:spacing w:line="360" w:lineRule="auto"/>
              <w:jc w:val="center"/>
              <w:rPr>
                <w:rFonts w:ascii="仿宋" w:hAnsi="仿宋" w:eastAsia="仿宋"/>
                <w:bCs/>
                <w:color w:val="auto"/>
                <w:sz w:val="32"/>
                <w:szCs w:val="32"/>
              </w:rPr>
            </w:pPr>
            <w:r>
              <w:rPr>
                <w:rFonts w:ascii="仿宋" w:hAnsi="仿宋" w:eastAsia="仿宋"/>
                <w:bCs/>
                <w:color w:val="auto"/>
                <w:sz w:val="32"/>
                <w:szCs w:val="32"/>
              </w:rPr>
              <w:t>合同期</w:t>
            </w:r>
          </w:p>
        </w:tc>
        <w:tc>
          <w:tcPr>
            <w:tcW w:w="2055" w:type="dxa"/>
            <w:vAlign w:val="center"/>
          </w:tcPr>
          <w:p>
            <w:pPr>
              <w:spacing w:line="360" w:lineRule="auto"/>
              <w:jc w:val="center"/>
              <w:rPr>
                <w:rFonts w:ascii="仿宋" w:hAnsi="仿宋" w:eastAsia="仿宋"/>
                <w:bCs/>
                <w:color w:val="auto"/>
                <w:sz w:val="32"/>
                <w:szCs w:val="32"/>
              </w:rPr>
            </w:pPr>
            <w:r>
              <w:rPr>
                <w:rFonts w:ascii="仿宋" w:hAnsi="仿宋" w:eastAsia="仿宋"/>
                <w:bCs/>
                <w:color w:val="auto"/>
                <w:sz w:val="32"/>
                <w:szCs w:val="32"/>
              </w:rPr>
              <w:t>供货量</w:t>
            </w:r>
            <w:r>
              <w:rPr>
                <w:rFonts w:hint="eastAsia" w:ascii="仿宋" w:hAnsi="仿宋" w:eastAsia="仿宋"/>
                <w:bCs/>
                <w:color w:val="auto"/>
                <w:sz w:val="32"/>
                <w:szCs w:val="32"/>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2943" w:type="dxa"/>
            <w:vAlign w:val="center"/>
          </w:tcPr>
          <w:p>
            <w:pPr>
              <w:spacing w:line="360" w:lineRule="auto"/>
              <w:jc w:val="center"/>
              <w:rPr>
                <w:rFonts w:ascii="仿宋" w:hAnsi="仿宋" w:eastAsia="仿宋"/>
                <w:bCs/>
                <w:color w:val="auto"/>
                <w:sz w:val="28"/>
                <w:szCs w:val="28"/>
              </w:rPr>
            </w:pPr>
            <w:r>
              <w:rPr>
                <w:rFonts w:hint="eastAsia" w:ascii="仿宋" w:hAnsi="仿宋" w:eastAsia="仿宋"/>
                <w:bCs/>
                <w:color w:val="auto"/>
                <w:sz w:val="28"/>
                <w:szCs w:val="28"/>
                <w:lang w:val="en-US" w:eastAsia="zh-CN"/>
              </w:rPr>
              <w:t>所有</w:t>
            </w:r>
            <w:r>
              <w:rPr>
                <w:rFonts w:hint="eastAsia" w:ascii="仿宋" w:hAnsi="仿宋" w:eastAsia="仿宋"/>
                <w:bCs/>
                <w:color w:val="auto"/>
                <w:sz w:val="28"/>
                <w:szCs w:val="28"/>
              </w:rPr>
              <w:t>分</w:t>
            </w:r>
            <w:r>
              <w:rPr>
                <w:rFonts w:hint="eastAsia" w:ascii="仿宋" w:hAnsi="仿宋" w:eastAsia="仿宋"/>
                <w:bCs/>
                <w:color w:val="auto"/>
                <w:sz w:val="28"/>
                <w:szCs w:val="28"/>
                <w:lang w:eastAsia="zh-CN"/>
              </w:rPr>
              <w:t>（</w:t>
            </w:r>
            <w:r>
              <w:rPr>
                <w:rFonts w:hint="eastAsia" w:ascii="仿宋" w:hAnsi="仿宋" w:eastAsia="仿宋"/>
                <w:bCs/>
                <w:color w:val="auto"/>
                <w:sz w:val="28"/>
                <w:szCs w:val="28"/>
                <w:lang w:val="en-US" w:eastAsia="zh-CN"/>
              </w:rPr>
              <w:t>子</w:t>
            </w:r>
            <w:r>
              <w:rPr>
                <w:rFonts w:hint="eastAsia" w:ascii="仿宋" w:hAnsi="仿宋" w:eastAsia="仿宋"/>
                <w:bCs/>
                <w:color w:val="auto"/>
                <w:sz w:val="28"/>
                <w:szCs w:val="28"/>
                <w:lang w:eastAsia="zh-CN"/>
              </w:rPr>
              <w:t>）</w:t>
            </w:r>
            <w:r>
              <w:rPr>
                <w:rFonts w:hint="eastAsia" w:ascii="仿宋" w:hAnsi="仿宋" w:eastAsia="仿宋"/>
                <w:bCs/>
                <w:color w:val="auto"/>
                <w:sz w:val="28"/>
                <w:szCs w:val="28"/>
              </w:rPr>
              <w:t>公司</w:t>
            </w:r>
          </w:p>
        </w:tc>
        <w:tc>
          <w:tcPr>
            <w:tcW w:w="3524" w:type="dxa"/>
            <w:vAlign w:val="center"/>
          </w:tcPr>
          <w:p>
            <w:pPr>
              <w:spacing w:line="360" w:lineRule="auto"/>
              <w:jc w:val="center"/>
              <w:rPr>
                <w:rFonts w:hint="eastAsia" w:ascii="仿宋" w:hAnsi="仿宋" w:eastAsia="仿宋"/>
                <w:bCs/>
                <w:color w:val="auto"/>
                <w:sz w:val="28"/>
                <w:szCs w:val="28"/>
                <w:lang w:eastAsia="zh-CN"/>
              </w:rPr>
            </w:pPr>
            <w:r>
              <w:rPr>
                <w:rFonts w:hint="eastAsia" w:ascii="仿宋" w:hAnsi="仿宋" w:eastAsia="仿宋"/>
                <w:bCs/>
                <w:color w:val="auto"/>
                <w:sz w:val="28"/>
                <w:szCs w:val="28"/>
                <w:lang w:val="en-US" w:eastAsia="zh-CN"/>
              </w:rPr>
              <w:t>暂定</w:t>
            </w:r>
            <w:r>
              <w:rPr>
                <w:rFonts w:hint="eastAsia" w:ascii="仿宋" w:hAnsi="仿宋" w:eastAsia="仿宋"/>
                <w:bCs/>
                <w:color w:val="auto"/>
                <w:sz w:val="28"/>
                <w:szCs w:val="28"/>
              </w:rPr>
              <w:t>202</w:t>
            </w:r>
            <w:r>
              <w:rPr>
                <w:rFonts w:hint="eastAsia" w:ascii="仿宋" w:hAnsi="仿宋" w:eastAsia="仿宋"/>
                <w:bCs/>
                <w:color w:val="auto"/>
                <w:sz w:val="28"/>
                <w:szCs w:val="28"/>
                <w:lang w:val="en-US" w:eastAsia="zh-CN"/>
              </w:rPr>
              <w:t>3</w:t>
            </w:r>
            <w:r>
              <w:rPr>
                <w:rFonts w:hint="eastAsia" w:ascii="仿宋" w:hAnsi="仿宋" w:eastAsia="仿宋"/>
                <w:bCs/>
                <w:color w:val="auto"/>
                <w:sz w:val="28"/>
                <w:szCs w:val="28"/>
              </w:rPr>
              <w:t>年</w:t>
            </w:r>
            <w:r>
              <w:rPr>
                <w:rFonts w:hint="eastAsia" w:ascii="仿宋" w:hAnsi="仿宋" w:eastAsia="仿宋"/>
                <w:bCs/>
                <w:color w:val="auto"/>
                <w:sz w:val="28"/>
                <w:szCs w:val="28"/>
                <w:lang w:val="en-US" w:eastAsia="zh-CN"/>
              </w:rPr>
              <w:t>8月</w:t>
            </w:r>
            <w:r>
              <w:rPr>
                <w:rFonts w:hint="eastAsia" w:ascii="仿宋" w:hAnsi="仿宋" w:eastAsia="仿宋"/>
                <w:bCs/>
                <w:color w:val="auto"/>
                <w:sz w:val="28"/>
                <w:szCs w:val="28"/>
              </w:rPr>
              <w:t>至202</w:t>
            </w:r>
            <w:r>
              <w:rPr>
                <w:rFonts w:hint="eastAsia" w:ascii="仿宋" w:hAnsi="仿宋" w:eastAsia="仿宋"/>
                <w:bCs/>
                <w:color w:val="auto"/>
                <w:sz w:val="28"/>
                <w:szCs w:val="28"/>
                <w:lang w:val="en-US" w:eastAsia="zh-CN"/>
              </w:rPr>
              <w:t>5</w:t>
            </w:r>
            <w:r>
              <w:rPr>
                <w:rFonts w:hint="eastAsia" w:ascii="仿宋" w:hAnsi="仿宋" w:eastAsia="仿宋"/>
                <w:bCs/>
                <w:color w:val="auto"/>
                <w:sz w:val="28"/>
                <w:szCs w:val="28"/>
              </w:rPr>
              <w:t>年</w:t>
            </w:r>
            <w:r>
              <w:rPr>
                <w:rFonts w:hint="eastAsia" w:ascii="仿宋" w:hAnsi="仿宋" w:eastAsia="仿宋"/>
                <w:bCs/>
                <w:color w:val="auto"/>
                <w:sz w:val="28"/>
                <w:szCs w:val="28"/>
                <w:lang w:val="en-US" w:eastAsia="zh-CN"/>
              </w:rPr>
              <w:t>7月</w:t>
            </w:r>
          </w:p>
        </w:tc>
        <w:tc>
          <w:tcPr>
            <w:tcW w:w="2055" w:type="dxa"/>
            <w:vAlign w:val="center"/>
          </w:tcPr>
          <w:p>
            <w:pPr>
              <w:spacing w:line="360" w:lineRule="auto"/>
              <w:jc w:val="center"/>
              <w:rPr>
                <w:rFonts w:hint="default"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594</w:t>
            </w:r>
          </w:p>
        </w:tc>
      </w:tr>
    </w:tbl>
    <w:p>
      <w:pPr>
        <w:spacing w:line="360" w:lineRule="auto"/>
        <w:rPr>
          <w:rFonts w:ascii="仿宋" w:hAnsi="仿宋" w:eastAsia="仿宋"/>
          <w:bCs/>
          <w:color w:val="auto"/>
          <w:sz w:val="32"/>
          <w:szCs w:val="32"/>
        </w:rPr>
      </w:pPr>
      <w:r>
        <w:rPr>
          <w:rFonts w:hint="eastAsia" w:ascii="仿宋" w:hAnsi="仿宋" w:eastAsia="仿宋"/>
          <w:bCs/>
          <w:color w:val="auto"/>
          <w:sz w:val="32"/>
          <w:szCs w:val="32"/>
        </w:rPr>
        <w:t>注：1.合同期以实际签订为准，并以供货量或合同期期限先到者为合同截止时间。</w:t>
      </w:r>
    </w:p>
    <w:p>
      <w:pPr>
        <w:spacing w:line="360" w:lineRule="auto"/>
        <w:ind w:firstLine="640" w:firstLineChars="200"/>
        <w:rPr>
          <w:rFonts w:ascii="仿宋" w:hAnsi="仿宋" w:eastAsia="仿宋"/>
          <w:bCs/>
          <w:color w:val="auto"/>
          <w:sz w:val="32"/>
          <w:szCs w:val="32"/>
        </w:rPr>
      </w:pPr>
      <w:r>
        <w:rPr>
          <w:rFonts w:hint="eastAsia" w:ascii="仿宋" w:hAnsi="仿宋" w:eastAsia="仿宋"/>
          <w:bCs/>
          <w:color w:val="auto"/>
          <w:sz w:val="32"/>
          <w:szCs w:val="32"/>
        </w:rPr>
        <w:t>2.在供货期内，若部分污水处理厂的设备因技术改造、设备调试等对不再使用投标货物的，招标人有权终止此部分供货。招标人将提前三个月书面通知中标单位以确认终止供货。</w:t>
      </w:r>
    </w:p>
    <w:p>
      <w:pPr>
        <w:spacing w:line="360" w:lineRule="auto"/>
        <w:ind w:firstLine="640" w:firstLineChars="200"/>
        <w:rPr>
          <w:rFonts w:ascii="仿宋" w:hAnsi="仿宋" w:eastAsia="仿宋"/>
          <w:bCs/>
          <w:color w:val="auto"/>
          <w:sz w:val="32"/>
          <w:szCs w:val="32"/>
        </w:rPr>
      </w:pPr>
      <w:r>
        <w:rPr>
          <w:rFonts w:hint="eastAsia" w:ascii="仿宋" w:hAnsi="仿宋" w:eastAsia="仿宋"/>
          <w:bCs/>
          <w:color w:val="auto"/>
          <w:sz w:val="32"/>
          <w:szCs w:val="32"/>
        </w:rPr>
        <w:t>3.供货期：项目预计实施时间为202</w:t>
      </w:r>
      <w:r>
        <w:rPr>
          <w:rFonts w:hint="eastAsia" w:ascii="仿宋" w:hAnsi="仿宋" w:eastAsia="仿宋"/>
          <w:bCs/>
          <w:color w:val="auto"/>
          <w:sz w:val="32"/>
          <w:szCs w:val="32"/>
          <w:lang w:val="en-US" w:eastAsia="zh-CN"/>
        </w:rPr>
        <w:t>3</w:t>
      </w:r>
      <w:r>
        <w:rPr>
          <w:rFonts w:hint="eastAsia" w:ascii="仿宋" w:hAnsi="仿宋" w:eastAsia="仿宋"/>
          <w:bCs/>
          <w:color w:val="auto"/>
          <w:sz w:val="32"/>
          <w:szCs w:val="32"/>
        </w:rPr>
        <w:t>年</w:t>
      </w:r>
      <w:r>
        <w:rPr>
          <w:rFonts w:hint="eastAsia" w:ascii="仿宋" w:hAnsi="仿宋" w:eastAsia="仿宋"/>
          <w:bCs/>
          <w:color w:val="auto"/>
          <w:sz w:val="32"/>
          <w:szCs w:val="32"/>
          <w:lang w:val="en-US" w:eastAsia="zh-CN"/>
        </w:rPr>
        <w:t>8</w:t>
      </w:r>
      <w:r>
        <w:rPr>
          <w:rFonts w:hint="eastAsia" w:ascii="仿宋" w:hAnsi="仿宋" w:eastAsia="仿宋"/>
          <w:bCs/>
          <w:color w:val="auto"/>
          <w:sz w:val="32"/>
          <w:szCs w:val="32"/>
        </w:rPr>
        <w:t>月至20</w:t>
      </w:r>
      <w:r>
        <w:rPr>
          <w:rFonts w:hint="eastAsia" w:ascii="仿宋" w:hAnsi="仿宋" w:eastAsia="仿宋"/>
          <w:bCs/>
          <w:color w:val="auto"/>
          <w:sz w:val="32"/>
          <w:szCs w:val="32"/>
          <w:lang w:val="en-US" w:eastAsia="zh-CN"/>
        </w:rPr>
        <w:t>25</w:t>
      </w:r>
      <w:r>
        <w:rPr>
          <w:rFonts w:hint="eastAsia" w:ascii="仿宋" w:hAnsi="仿宋" w:eastAsia="仿宋"/>
          <w:bCs/>
          <w:color w:val="auto"/>
          <w:sz w:val="32"/>
          <w:szCs w:val="32"/>
        </w:rPr>
        <w:t>年</w:t>
      </w:r>
      <w:r>
        <w:rPr>
          <w:rFonts w:hint="eastAsia" w:ascii="仿宋" w:hAnsi="仿宋" w:eastAsia="仿宋"/>
          <w:bCs/>
          <w:color w:val="auto"/>
          <w:sz w:val="32"/>
          <w:szCs w:val="32"/>
          <w:lang w:val="en-US" w:eastAsia="zh-CN"/>
        </w:rPr>
        <w:t>7月</w:t>
      </w:r>
      <w:r>
        <w:rPr>
          <w:rFonts w:hint="eastAsia" w:ascii="仿宋" w:hAnsi="仿宋" w:eastAsia="仿宋"/>
          <w:bCs/>
          <w:color w:val="auto"/>
          <w:sz w:val="32"/>
          <w:szCs w:val="32"/>
        </w:rPr>
        <w:t>（</w:t>
      </w: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rPr>
        <w:t>年），供货起始时间和截止时间具体以甲方通知为准，按实际到货药剂吨数进行结算。</w:t>
      </w:r>
    </w:p>
    <w:p>
      <w:pPr>
        <w:spacing w:line="360" w:lineRule="auto"/>
        <w:ind w:firstLine="640" w:firstLineChars="200"/>
        <w:rPr>
          <w:rFonts w:ascii="仿宋" w:hAnsi="仿宋" w:eastAsia="仿宋"/>
          <w:bCs/>
          <w:color w:val="auto"/>
          <w:sz w:val="32"/>
          <w:szCs w:val="32"/>
        </w:rPr>
      </w:pPr>
      <w:r>
        <w:rPr>
          <w:rFonts w:hint="eastAsia" w:ascii="仿宋" w:hAnsi="仿宋" w:eastAsia="仿宋"/>
          <w:bCs/>
          <w:color w:val="auto"/>
          <w:sz w:val="32"/>
          <w:szCs w:val="32"/>
        </w:rPr>
        <w:t>6.乙方必须保证为甲方及招标文件中包含的广州市净水有限公司辖下污水处理厂/分公司提供服务及保证满足甲方及广州市净水有限公司的调配要求。</w:t>
      </w:r>
    </w:p>
    <w:p>
      <w:pPr>
        <w:spacing w:line="360" w:lineRule="auto"/>
        <w:ind w:firstLine="469" w:firstLineChars="146"/>
        <w:rPr>
          <w:rFonts w:ascii="仿宋" w:hAnsi="仿宋" w:eastAsia="仿宋"/>
          <w:b/>
          <w:bCs/>
          <w:color w:val="auto"/>
          <w:sz w:val="32"/>
          <w:szCs w:val="32"/>
        </w:rPr>
      </w:pPr>
      <w:r>
        <w:rPr>
          <w:rFonts w:hint="eastAsia" w:ascii="仿宋" w:hAnsi="仿宋" w:eastAsia="仿宋"/>
          <w:b/>
          <w:bCs/>
          <w:color w:val="auto"/>
          <w:sz w:val="32"/>
          <w:szCs w:val="32"/>
        </w:rPr>
        <w:t>三、技术指标要求：</w:t>
      </w:r>
    </w:p>
    <w:p>
      <w:pPr>
        <w:spacing w:line="360" w:lineRule="auto"/>
        <w:ind w:firstLine="560" w:firstLineChars="200"/>
        <w:rPr>
          <w:rFonts w:hint="eastAsia"/>
          <w:color w:val="auto"/>
          <w:sz w:val="28"/>
          <w:szCs w:val="28"/>
        </w:rPr>
      </w:pPr>
      <w:r>
        <w:rPr>
          <w:rFonts w:hint="eastAsia"/>
          <w:color w:val="auto"/>
          <w:sz w:val="28"/>
          <w:szCs w:val="28"/>
        </w:rPr>
        <w:t>★货物质量必须符合招标方确认的标准：</w:t>
      </w:r>
    </w:p>
    <w:tbl>
      <w:tblPr>
        <w:tblStyle w:val="20"/>
        <w:tblW w:w="8811" w:type="dxa"/>
        <w:jc w:val="center"/>
        <w:tblLayout w:type="fixed"/>
        <w:tblCellMar>
          <w:top w:w="0" w:type="dxa"/>
          <w:left w:w="108" w:type="dxa"/>
          <w:bottom w:w="0" w:type="dxa"/>
          <w:right w:w="108" w:type="dxa"/>
        </w:tblCellMar>
      </w:tblPr>
      <w:tblGrid>
        <w:gridCol w:w="1453"/>
        <w:gridCol w:w="3287"/>
        <w:gridCol w:w="4071"/>
      </w:tblGrid>
      <w:tr>
        <w:tblPrEx>
          <w:tblCellMar>
            <w:top w:w="0" w:type="dxa"/>
            <w:left w:w="108" w:type="dxa"/>
            <w:bottom w:w="0" w:type="dxa"/>
            <w:right w:w="108" w:type="dxa"/>
          </w:tblCellMar>
        </w:tblPrEx>
        <w:trPr>
          <w:trHeight w:val="450" w:hRule="atLeast"/>
          <w:jc w:val="center"/>
        </w:trPr>
        <w:tc>
          <w:tcPr>
            <w:tcW w:w="14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药剂种类</w:t>
            </w:r>
          </w:p>
        </w:tc>
        <w:tc>
          <w:tcPr>
            <w:tcW w:w="735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技术指标</w:t>
            </w:r>
          </w:p>
        </w:tc>
      </w:tr>
      <w:tr>
        <w:tblPrEx>
          <w:tblCellMar>
            <w:top w:w="0" w:type="dxa"/>
            <w:left w:w="108" w:type="dxa"/>
            <w:bottom w:w="0" w:type="dxa"/>
            <w:right w:w="108" w:type="dxa"/>
          </w:tblCellMar>
        </w:tblPrEx>
        <w:trPr>
          <w:trHeight w:val="420" w:hRule="atLeast"/>
          <w:jc w:val="center"/>
        </w:trPr>
        <w:tc>
          <w:tcPr>
            <w:tcW w:w="145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氢氧化钠 （30</w:t>
            </w:r>
            <w:r>
              <w:rPr>
                <w:rFonts w:hint="eastAsia" w:ascii="宋体" w:hAnsi="宋体" w:cs="宋体"/>
                <w:color w:val="auto"/>
                <w:kern w:val="0"/>
                <w:szCs w:val="21"/>
                <w:lang w:val="en-US" w:eastAsia="zh-CN"/>
              </w:rPr>
              <w:t>%</w:t>
            </w:r>
            <w:r>
              <w:rPr>
                <w:rFonts w:hint="eastAsia" w:ascii="宋体" w:hAnsi="宋体" w:cs="宋体"/>
                <w:color w:val="auto"/>
                <w:kern w:val="0"/>
                <w:szCs w:val="21"/>
              </w:rPr>
              <w:t>溶液）</w:t>
            </w: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需求指标名称</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需求指标</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有效成分</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olor w:val="auto"/>
                <w:szCs w:val="21"/>
              </w:rPr>
              <w:t>≥30%</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碳酸钠</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≤0.2%</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氯化钠</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olor w:val="auto"/>
                <w:szCs w:val="21"/>
              </w:rPr>
              <w:t>≤0.008%</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三氧化二铁</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≤0.001%</w:t>
            </w:r>
          </w:p>
        </w:tc>
      </w:tr>
    </w:tbl>
    <w:p>
      <w:pPr>
        <w:pStyle w:val="18"/>
        <w:rPr>
          <w:color w:val="auto"/>
        </w:rPr>
      </w:pPr>
    </w:p>
    <w:p>
      <w:pPr>
        <w:tabs>
          <w:tab w:val="left" w:pos="3060"/>
        </w:tabs>
        <w:spacing w:line="360" w:lineRule="auto"/>
        <w:ind w:firstLine="321" w:firstLineChars="100"/>
        <w:rPr>
          <w:rFonts w:ascii="仿宋_GB2312" w:eastAsia="仿宋_GB2312"/>
          <w:b/>
          <w:color w:val="auto"/>
          <w:sz w:val="28"/>
          <w:szCs w:val="28"/>
        </w:rPr>
      </w:pPr>
      <w:r>
        <w:rPr>
          <w:rFonts w:hint="eastAsia" w:ascii="仿宋_GB2312" w:eastAsia="仿宋_GB2312"/>
          <w:b/>
          <w:color w:val="auto"/>
          <w:sz w:val="32"/>
          <w:szCs w:val="32"/>
        </w:rPr>
        <w:t>四、供货要求</w:t>
      </w:r>
    </w:p>
    <w:p>
      <w:pPr>
        <w:spacing w:line="360" w:lineRule="auto"/>
        <w:rPr>
          <w:rFonts w:ascii="仿宋" w:hAnsi="仿宋" w:eastAsia="仿宋"/>
          <w:bCs/>
          <w:color w:val="auto"/>
          <w:sz w:val="32"/>
          <w:szCs w:val="32"/>
        </w:rPr>
      </w:pPr>
      <w:r>
        <w:rPr>
          <w:rFonts w:hint="eastAsia"/>
          <w:color w:val="auto"/>
          <w:sz w:val="28"/>
          <w:szCs w:val="28"/>
        </w:rPr>
        <w:t xml:space="preserve">    </w:t>
      </w:r>
      <w:r>
        <w:rPr>
          <w:rFonts w:hint="eastAsia" w:ascii="仿宋" w:hAnsi="仿宋" w:eastAsia="仿宋"/>
          <w:bCs/>
          <w:color w:val="auto"/>
          <w:sz w:val="32"/>
          <w:szCs w:val="32"/>
        </w:rPr>
        <w:t xml:space="preserve">1、交货地点：市净水公司所属各污水处理厂厂内。中标人负责货物的运输和装卸，并在采购人指定地点交货、存储。中标人需服从采购人及市净水公司的合理调配供货。 </w:t>
      </w:r>
    </w:p>
    <w:p>
      <w:pPr>
        <w:spacing w:line="360" w:lineRule="auto"/>
        <w:ind w:firstLine="640" w:firstLineChars="200"/>
        <w:rPr>
          <w:rFonts w:ascii="仿宋" w:hAnsi="仿宋" w:eastAsia="仿宋"/>
          <w:color w:val="auto"/>
          <w:sz w:val="32"/>
          <w:szCs w:val="32"/>
        </w:rPr>
      </w:pPr>
      <w:r>
        <w:rPr>
          <w:rFonts w:hint="eastAsia" w:ascii="仿宋" w:hAnsi="仿宋" w:eastAsia="仿宋"/>
          <w:bCs/>
          <w:color w:val="auto"/>
          <w:sz w:val="32"/>
          <w:szCs w:val="32"/>
        </w:rPr>
        <w:t>2、供货时间：合同期内必须按采购人</w:t>
      </w:r>
      <w:r>
        <w:rPr>
          <w:rFonts w:hint="eastAsia" w:ascii="仿宋" w:hAnsi="仿宋" w:eastAsia="仿宋"/>
          <w:color w:val="auto"/>
          <w:sz w:val="32"/>
          <w:szCs w:val="32"/>
        </w:rPr>
        <w:t>生产</w:t>
      </w:r>
      <w:r>
        <w:rPr>
          <w:rFonts w:hint="eastAsia" w:ascii="仿宋" w:hAnsi="仿宋" w:eastAsia="仿宋"/>
          <w:bCs/>
          <w:color w:val="auto"/>
          <w:sz w:val="32"/>
          <w:szCs w:val="32"/>
        </w:rPr>
        <w:t>需求</w:t>
      </w:r>
      <w:r>
        <w:rPr>
          <w:rFonts w:hint="eastAsia" w:ascii="仿宋" w:hAnsi="仿宋" w:eastAsia="仿宋"/>
          <w:color w:val="auto"/>
          <w:sz w:val="32"/>
          <w:szCs w:val="32"/>
        </w:rPr>
        <w:t>准时供货。如有特殊情况，买方提前24小时通知供方。</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3、交货要求：在货物出厂前，卖方应该对每批（次）所供货物进行详细检验，并出具每批（次）所供货物的质量检验证明材料，该证明材料仅作为交货时双方进行交货现场检验的参考。若卖方供货时不能出具该批（次）所供货物的检验证明材料，买方有权拒绝该批（次）所供货物的签收，并有权要求卖方无条件退货并更换该批（次）所供货物，由此给买方所造成的一切经济损失由卖方承担。</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4、计量方式：以甲方地磅数的实际重量结算，若甲方地磅数大于乙方出厂送货单地磅数，甲乙双方需进行核对，并以重量小的一方地磅数为结算。甲方与乙方按照实际供货量结算，甲方按实际中标单价每月与乙方结算一次。</w:t>
      </w:r>
    </w:p>
    <w:p>
      <w:pPr>
        <w:tabs>
          <w:tab w:val="left" w:pos="3060"/>
        </w:tabs>
        <w:spacing w:line="360" w:lineRule="auto"/>
        <w:ind w:firstLine="640" w:firstLineChars="200"/>
        <w:rPr>
          <w:color w:val="auto"/>
          <w:sz w:val="28"/>
          <w:szCs w:val="28"/>
        </w:rPr>
      </w:pPr>
      <w:r>
        <w:rPr>
          <w:rFonts w:hint="eastAsia" w:ascii="仿宋" w:hAnsi="仿宋" w:eastAsia="仿宋"/>
          <w:color w:val="auto"/>
          <w:sz w:val="32"/>
          <w:szCs w:val="32"/>
        </w:rPr>
        <w:t>5、必须使用专用容器装载，汽车运输，包装方式及运输应符合相关法律法规规定要求。</w:t>
      </w:r>
    </w:p>
    <w:p>
      <w:pPr>
        <w:pStyle w:val="19"/>
        <w:rPr>
          <w:color w:val="auto"/>
          <w:highlight w:val="none"/>
        </w:rPr>
      </w:pPr>
    </w:p>
    <w:p>
      <w:pPr>
        <w:pStyle w:val="19"/>
        <w:rPr>
          <w:color w:val="auto"/>
          <w:highlight w:val="none"/>
        </w:rPr>
      </w:pPr>
    </w:p>
    <w:p>
      <w:pPr>
        <w:pStyle w:val="19"/>
        <w:rPr>
          <w:color w:val="auto"/>
          <w:highlight w:val="none"/>
        </w:rPr>
      </w:pPr>
    </w:p>
    <w:p>
      <w:pPr>
        <w:rPr>
          <w:color w:val="auto"/>
          <w:highlight w:val="none"/>
        </w:rPr>
      </w:pPr>
      <w:r>
        <w:rPr>
          <w:color w:val="auto"/>
          <w:highlight w:val="none"/>
        </w:rPr>
        <w:br w:type="page"/>
      </w:r>
    </w:p>
    <w:p>
      <w:pPr>
        <w:pStyle w:val="19"/>
        <w:rPr>
          <w:color w:val="auto"/>
          <w:highlight w:val="none"/>
        </w:rPr>
      </w:pPr>
    </w:p>
    <w:p>
      <w:pPr>
        <w:pStyle w:val="19"/>
        <w:rPr>
          <w:color w:val="auto"/>
          <w:highlight w:val="none"/>
        </w:rPr>
      </w:pPr>
    </w:p>
    <w:p>
      <w:pPr>
        <w:pStyle w:val="3"/>
        <w:rPr>
          <w:color w:val="auto"/>
          <w:highlight w:val="none"/>
        </w:rPr>
      </w:pPr>
      <w:bookmarkStart w:id="61" w:name="_Toc12135"/>
      <w:bookmarkStart w:id="62" w:name="_Toc537"/>
      <w:bookmarkStart w:id="63" w:name="_Toc1284"/>
      <w:bookmarkStart w:id="64" w:name="_Toc23330"/>
      <w:bookmarkStart w:id="65" w:name="_Toc15570"/>
      <w:bookmarkStart w:id="66" w:name="_Toc25925"/>
      <w:bookmarkStart w:id="67" w:name="_Toc18538"/>
      <w:bookmarkStart w:id="68" w:name="_Toc23353"/>
      <w:bookmarkStart w:id="69" w:name="_Toc4680"/>
      <w:bookmarkStart w:id="70" w:name="_Toc1496"/>
      <w:bookmarkStart w:id="71" w:name="_Toc29835"/>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5" name="直接箭头连接符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GsjB1+w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IQZZxYM&#10;/fHbD9c/33++/f7tx6frXzcfU/z1C6M8idV7LKlmZTfhuEK/CYn5vgkmfYkT22eBDyeB5T4yQZvP&#10;ZvP5jKQXd6nivs4HjC+kMywFFccYQLVdXDlr6S+6MMn6wu4lRupMhXcFqam2rE/wUyIhgFzZkBso&#10;NJ6YoW1zLTqt6kuldarA0G5XOrAdJGfkJ/Ej3L+OpSZrwG44l1ODZzoJ9XNbs3jwJJmlq8LTCEbW&#10;nGlJNytFBAhlBKXPOUmttaUJksSDqCnauvqQtc775II849GxyWZ/rnP1/S1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xrIwdf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6" name="直接箭头连接符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bGrtC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26"/>
        <w:rPr>
          <w:color w:val="auto"/>
          <w:highlight w:val="none"/>
        </w:rPr>
      </w:pPr>
    </w:p>
    <w:p>
      <w:pPr>
        <w:pStyle w:val="3"/>
        <w:rPr>
          <w:color w:val="auto"/>
          <w:highlight w:val="none"/>
        </w:rPr>
      </w:pPr>
      <w:bookmarkStart w:id="72" w:name="_Toc19088"/>
      <w:bookmarkStart w:id="73" w:name="_Toc87616386"/>
      <w:bookmarkStart w:id="74" w:name="_Toc13309"/>
      <w:bookmarkStart w:id="75" w:name="_Toc12980"/>
      <w:bookmarkStart w:id="76" w:name="_Toc323"/>
      <w:bookmarkStart w:id="77" w:name="_Toc1375"/>
      <w:bookmarkStart w:id="78" w:name="_Toc22501"/>
      <w:bookmarkStart w:id="79" w:name="_Toc19686"/>
      <w:bookmarkStart w:id="80" w:name="_Toc88209949"/>
      <w:bookmarkStart w:id="81" w:name="_Toc22797"/>
      <w:bookmarkStart w:id="82" w:name="_Toc8183"/>
      <w:bookmarkStart w:id="83" w:name="_Toc12968"/>
      <w:bookmarkStart w:id="84" w:name="_Toc12721"/>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snapToGrid/>
        <w:spacing w:beforeLines="-2147483648" w:afterLines="-2147483648" w:line="240" w:lineRule="auto"/>
        <w:jc w:val="left"/>
        <w:rPr>
          <w:rFonts w:ascii="宋体" w:hAnsi="宋体"/>
          <w:b/>
          <w:color w:val="auto"/>
          <w:sz w:val="52"/>
          <w:szCs w:val="52"/>
          <w:highlight w:val="none"/>
        </w:rPr>
      </w:pPr>
      <w:r>
        <w:rPr>
          <w:rFonts w:ascii="方正小标宋简体" w:eastAsia="方正小标宋简体"/>
          <w:color w:val="auto"/>
          <w:sz w:val="44"/>
          <w:szCs w:val="44"/>
          <w:highlight w:val="none"/>
        </w:rPr>
        <w:br w:type="page"/>
      </w:r>
    </w:p>
    <w:p>
      <w:pPr>
        <w:pStyle w:val="19"/>
        <w:rPr>
          <w:color w:val="auto"/>
        </w:rPr>
      </w:pPr>
    </w:p>
    <w:p>
      <w:pPr>
        <w:jc w:val="center"/>
        <w:rPr>
          <w:rFonts w:ascii="宋体" w:hAnsi="宋体"/>
          <w:color w:val="auto"/>
          <w:sz w:val="48"/>
          <w:szCs w:val="48"/>
          <w:highlight w:val="none"/>
          <w:u w:val="single"/>
        </w:rPr>
      </w:pPr>
      <w:r>
        <w:rPr>
          <w:rFonts w:hint="eastAsia" w:ascii="宋体" w:hAnsi="宋体" w:cs="宋体"/>
          <w:b/>
          <w:bCs/>
          <w:color w:val="auto"/>
          <w:sz w:val="48"/>
          <w:szCs w:val="48"/>
          <w:highlight w:val="none"/>
          <w:lang w:eastAsia="zh-CN"/>
        </w:rPr>
        <w:t>广州市净水有限公司2023-2025年氢氧化钠（30%溶液）采购项目（第二次）</w:t>
      </w:r>
      <w:r>
        <w:rPr>
          <w:rFonts w:hint="eastAsia" w:ascii="宋体" w:hAnsi="宋体" w:cs="宋体"/>
          <w:b/>
          <w:bCs/>
          <w:color w:val="auto"/>
          <w:sz w:val="48"/>
          <w:szCs w:val="48"/>
          <w:highlight w:val="none"/>
        </w:rPr>
        <w:t>合同</w:t>
      </w: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spacing w:line="480" w:lineRule="auto"/>
        <w:ind w:left="1506" w:hanging="1506" w:hangingChars="500"/>
        <w:rPr>
          <w:rFonts w:hint="eastAsia" w:ascii="宋体" w:hAnsi="宋体" w:cs="宋体" w:eastAsiaTheme="minorEastAsia"/>
          <w:b/>
          <w:bCs/>
          <w:color w:val="auto"/>
          <w:sz w:val="30"/>
          <w:highlight w:val="none"/>
          <w:lang w:eastAsia="zh-CN"/>
        </w:rPr>
      </w:pPr>
      <w:r>
        <w:rPr>
          <w:rFonts w:hint="eastAsia" w:ascii="宋体" w:hAnsi="宋体" w:cs="宋体"/>
          <w:b/>
          <w:bCs/>
          <w:color w:val="auto"/>
          <w:sz w:val="30"/>
          <w:highlight w:val="none"/>
        </w:rPr>
        <w:t>项目名称：</w:t>
      </w:r>
      <w:r>
        <w:rPr>
          <w:rFonts w:hint="eastAsia" w:ascii="宋体" w:hAnsi="宋体" w:cs="宋体"/>
          <w:b/>
          <w:bCs/>
          <w:color w:val="auto"/>
          <w:sz w:val="30"/>
          <w:highlight w:val="none"/>
          <w:lang w:eastAsia="zh-CN"/>
        </w:rPr>
        <w:t>广州市净水有限公司2023-2025年氢氧化钠（30%溶液）采购项目（第二次）</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ind w:firstLine="1600" w:firstLineChars="500"/>
        <w:rPr>
          <w:rFonts w:ascii="宋体" w:hAnsi="宋体"/>
          <w:color w:val="auto"/>
          <w:sz w:val="32"/>
          <w:highlight w:val="none"/>
        </w:rPr>
      </w:pPr>
    </w:p>
    <w:p>
      <w:pPr>
        <w:ind w:firstLine="1760" w:firstLineChars="550"/>
        <w:rPr>
          <w:rFonts w:ascii="宋体" w:hAnsi="宋体"/>
          <w:color w:val="auto"/>
          <w:sz w:val="32"/>
          <w:highlight w:val="none"/>
        </w:rPr>
      </w:pPr>
    </w:p>
    <w:p>
      <w:pPr>
        <w:rPr>
          <w:rFonts w:ascii="宋体" w:hAnsi="宋体"/>
          <w:b/>
          <w:bCs/>
          <w:color w:val="auto"/>
          <w:sz w:val="32"/>
          <w:highlight w:val="none"/>
          <w:u w:val="single"/>
        </w:rPr>
      </w:pPr>
      <w:r>
        <w:rPr>
          <w:rFonts w:hint="eastAsia" w:ascii="宋体" w:hAnsi="宋体"/>
          <w:b/>
          <w:bCs/>
          <w:color w:val="auto"/>
          <w:sz w:val="32"/>
          <w:highlight w:val="none"/>
        </w:rPr>
        <w:t>甲方：</w:t>
      </w:r>
      <w:r>
        <w:rPr>
          <w:rFonts w:hint="eastAsia" w:ascii="宋体" w:hAnsi="宋体"/>
          <w:b/>
          <w:bCs/>
          <w:color w:val="auto"/>
          <w:sz w:val="32"/>
          <w:highlight w:val="none"/>
          <w:u w:val="single"/>
        </w:rPr>
        <w:t>广州市净水有限公司</w:t>
      </w:r>
    </w:p>
    <w:p>
      <w:pPr>
        <w:ind w:firstLine="1767" w:firstLineChars="550"/>
        <w:rPr>
          <w:rFonts w:ascii="宋体" w:hAnsi="宋体"/>
          <w:b/>
          <w:bCs/>
          <w:color w:val="auto"/>
          <w:sz w:val="32"/>
          <w:highlight w:val="none"/>
        </w:rPr>
      </w:pPr>
    </w:p>
    <w:p>
      <w:pPr>
        <w:rPr>
          <w:rFonts w:hint="default" w:ascii="宋体" w:hAnsi="宋体" w:eastAsia="宋体"/>
          <w:b/>
          <w:bCs/>
          <w:color w:val="auto"/>
          <w:highlight w:val="none"/>
          <w:u w:val="single"/>
          <w:lang w:val="en-US" w:eastAsia="zh-CN"/>
        </w:rPr>
      </w:pPr>
      <w:r>
        <w:rPr>
          <w:rFonts w:hint="eastAsia" w:ascii="宋体" w:hAnsi="宋体"/>
          <w:b/>
          <w:bCs/>
          <w:color w:val="auto"/>
          <w:sz w:val="32"/>
          <w:highlight w:val="none"/>
        </w:rPr>
        <w:t>乙方：</w:t>
      </w:r>
    </w:p>
    <w:p>
      <w:pPr>
        <w:spacing w:line="520" w:lineRule="exact"/>
        <w:rPr>
          <w:rFonts w:ascii="宋体" w:hAnsi="宋体"/>
          <w:color w:val="auto"/>
          <w:sz w:val="30"/>
          <w:highlight w:val="none"/>
        </w:rPr>
      </w:pPr>
    </w:p>
    <w:p>
      <w:pPr>
        <w:spacing w:line="520" w:lineRule="exact"/>
        <w:rPr>
          <w:rFonts w:ascii="宋体" w:hAnsi="宋体"/>
          <w:b/>
          <w:bCs/>
          <w:color w:val="auto"/>
          <w:sz w:val="30"/>
          <w:highlight w:val="none"/>
        </w:rPr>
      </w:pPr>
      <w:r>
        <w:rPr>
          <w:rFonts w:hint="eastAsia" w:ascii="宋体" w:hAnsi="宋体"/>
          <w:b/>
          <w:bCs/>
          <w:color w:val="auto"/>
          <w:sz w:val="30"/>
          <w:highlight w:val="none"/>
        </w:rPr>
        <w:t>签订日期：</w:t>
      </w:r>
      <w:r>
        <w:rPr>
          <w:rFonts w:hint="eastAsia" w:ascii="宋体" w:hAnsi="宋体"/>
          <w:b/>
          <w:bCs/>
          <w:color w:val="auto"/>
          <w:sz w:val="30"/>
          <w:highlight w:val="none"/>
          <w:u w:val="single"/>
        </w:rPr>
        <w:t xml:space="preserve">     </w:t>
      </w:r>
      <w:r>
        <w:rPr>
          <w:rFonts w:hint="eastAsia" w:ascii="宋体" w:hAnsi="宋体"/>
          <w:b/>
          <w:bCs/>
          <w:color w:val="auto"/>
          <w:sz w:val="30"/>
          <w:highlight w:val="none"/>
        </w:rPr>
        <w:t>年</w:t>
      </w:r>
      <w:r>
        <w:rPr>
          <w:rFonts w:hint="eastAsia" w:ascii="宋体" w:hAnsi="宋体"/>
          <w:b/>
          <w:bCs/>
          <w:color w:val="auto"/>
          <w:sz w:val="30"/>
          <w:highlight w:val="none"/>
          <w:u w:val="single"/>
        </w:rPr>
        <w:t xml:space="preserve">    </w:t>
      </w:r>
      <w:r>
        <w:rPr>
          <w:rFonts w:hint="eastAsia" w:ascii="宋体" w:hAnsi="宋体"/>
          <w:b/>
          <w:bCs/>
          <w:color w:val="auto"/>
          <w:sz w:val="30"/>
          <w:highlight w:val="none"/>
        </w:rPr>
        <w:t>月</w:t>
      </w:r>
      <w:r>
        <w:rPr>
          <w:rFonts w:hint="eastAsia" w:ascii="宋体" w:hAnsi="宋体"/>
          <w:b/>
          <w:bCs/>
          <w:color w:val="auto"/>
          <w:sz w:val="30"/>
          <w:highlight w:val="none"/>
          <w:u w:val="single"/>
        </w:rPr>
        <w:t xml:space="preserve">    </w:t>
      </w:r>
      <w:r>
        <w:rPr>
          <w:rFonts w:hint="eastAsia" w:ascii="宋体" w:hAnsi="宋体"/>
          <w:b/>
          <w:bCs/>
          <w:color w:val="auto"/>
          <w:sz w:val="30"/>
          <w:highlight w:val="none"/>
        </w:rPr>
        <w:t>日</w:t>
      </w:r>
    </w:p>
    <w:p>
      <w:pPr>
        <w:pStyle w:val="16"/>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20" w:lineRule="exact"/>
        <w:rPr>
          <w:rFonts w:hint="eastAsia" w:ascii="宋体" w:hAnsi="宋体" w:eastAsia="宋体"/>
          <w:b/>
          <w:bCs/>
          <w:color w:val="auto"/>
          <w:sz w:val="30"/>
          <w:highlight w:val="none"/>
        </w:rPr>
      </w:pPr>
    </w:p>
    <w:p>
      <w:pPr>
        <w:pStyle w:val="16"/>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20" w:lineRule="exact"/>
        <w:rPr>
          <w:rFonts w:hint="eastAsia" w:ascii="宋体" w:hAnsi="宋体" w:eastAsia="宋体"/>
          <w:b/>
          <w:bCs/>
          <w:color w:val="auto"/>
          <w:sz w:val="30"/>
          <w:highlight w:val="none"/>
        </w:rPr>
      </w:pPr>
    </w:p>
    <w:p>
      <w:pPr>
        <w:pStyle w:val="16"/>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20" w:lineRule="exact"/>
        <w:rPr>
          <w:rFonts w:ascii="宋体" w:hAnsi="宋体" w:eastAsia="宋体"/>
          <w:b/>
          <w:bCs/>
          <w:color w:val="auto"/>
          <w:sz w:val="24"/>
          <w:szCs w:val="24"/>
          <w:highlight w:val="none"/>
        </w:rPr>
      </w:pPr>
      <w:r>
        <w:rPr>
          <w:rFonts w:hint="eastAsia" w:ascii="宋体" w:hAnsi="宋体" w:eastAsia="宋体"/>
          <w:b/>
          <w:bCs/>
          <w:color w:val="auto"/>
          <w:sz w:val="30"/>
          <w:highlight w:val="none"/>
        </w:rPr>
        <w:t>签约地点：广州市</w:t>
      </w:r>
    </w:p>
    <w:p>
      <w:pPr>
        <w:pStyle w:val="8"/>
        <w:spacing w:line="520" w:lineRule="exact"/>
        <w:ind w:firstLine="588" w:firstLineChars="245"/>
        <w:rPr>
          <w:rFonts w:hint="eastAsia" w:cs="宋体"/>
          <w:color w:val="auto"/>
          <w:sz w:val="24"/>
          <w:highlight w:val="none"/>
        </w:rPr>
      </w:pPr>
    </w:p>
    <w:p>
      <w:pPr>
        <w:pStyle w:val="8"/>
        <w:spacing w:line="520" w:lineRule="exact"/>
        <w:ind w:firstLine="588" w:firstLineChars="245"/>
        <w:rPr>
          <w:rFonts w:cs="宋体"/>
          <w:color w:val="auto"/>
          <w:sz w:val="24"/>
          <w:highlight w:val="none"/>
        </w:rPr>
      </w:pPr>
      <w:r>
        <w:rPr>
          <w:rFonts w:hint="eastAsia" w:cs="宋体"/>
          <w:color w:val="auto"/>
          <w:sz w:val="24"/>
          <w:highlight w:val="none"/>
        </w:rPr>
        <w:t>根据《中华人民共和国民法典》及其他有关法律、行政法规，</w:t>
      </w:r>
      <w:r>
        <w:rPr>
          <w:rFonts w:hint="eastAsia" w:cs="宋体"/>
          <w:color w:val="auto"/>
          <w:sz w:val="24"/>
          <w:highlight w:val="none"/>
          <w:u w:val="single"/>
        </w:rPr>
        <w:t>广州市净水有限公司</w:t>
      </w:r>
      <w:r>
        <w:rPr>
          <w:rFonts w:cs="宋体"/>
          <w:color w:val="auto"/>
          <w:sz w:val="24"/>
          <w:highlight w:val="none"/>
        </w:rPr>
        <w:t xml:space="preserve"> </w:t>
      </w:r>
      <w:r>
        <w:rPr>
          <w:rFonts w:hint="eastAsia" w:cs="宋体"/>
          <w:color w:val="auto"/>
          <w:sz w:val="24"/>
          <w:highlight w:val="none"/>
        </w:rPr>
        <w:t>（以下简称“甲方”）</w:t>
      </w:r>
      <w:r>
        <w:rPr>
          <w:rFonts w:hint="eastAsia" w:cs="宋体"/>
          <w:color w:val="auto"/>
          <w:sz w:val="24"/>
          <w:highlight w:val="none"/>
          <w:u w:val="single"/>
        </w:rPr>
        <w:t>与</w:t>
      </w:r>
      <w:r>
        <w:rPr>
          <w:rFonts w:hint="eastAsia" w:cs="宋体"/>
          <w:color w:val="auto"/>
          <w:sz w:val="24"/>
          <w:highlight w:val="none"/>
          <w:u w:val="single"/>
          <w:lang w:val="en-US" w:eastAsia="zh-CN"/>
        </w:rPr>
        <w:t xml:space="preserve">        </w:t>
      </w:r>
      <w:r>
        <w:rPr>
          <w:rFonts w:hint="eastAsia" w:cs="宋体"/>
          <w:color w:val="auto"/>
          <w:sz w:val="24"/>
          <w:highlight w:val="none"/>
        </w:rPr>
        <w:t>（以下简称“乙方”）就</w:t>
      </w:r>
      <w:r>
        <w:rPr>
          <w:rFonts w:cs="宋体"/>
          <w:color w:val="auto"/>
          <w:sz w:val="24"/>
          <w:highlight w:val="none"/>
        </w:rPr>
        <w:t xml:space="preserve"> </w:t>
      </w:r>
      <w:r>
        <w:rPr>
          <w:rFonts w:hint="eastAsia" w:cs="宋体"/>
          <w:color w:val="auto"/>
          <w:sz w:val="24"/>
          <w:highlight w:val="none"/>
          <w:u w:val="single"/>
          <w:lang w:val="en-US" w:eastAsia="zh-CN"/>
        </w:rPr>
        <w:t xml:space="preserve">氢氧化钠（30%溶液） </w:t>
      </w:r>
      <w:r>
        <w:rPr>
          <w:rFonts w:hint="eastAsia" w:cs="宋体"/>
          <w:color w:val="auto"/>
          <w:sz w:val="24"/>
          <w:highlight w:val="none"/>
        </w:rPr>
        <w:t>采购和相应技术服务事宜，遵循平等、自愿、公平和诚实信用的原则，双方协商一致，订立本合同。</w:t>
      </w:r>
    </w:p>
    <w:p>
      <w:pPr>
        <w:pStyle w:val="6"/>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第一条</w:t>
      </w:r>
      <w:r>
        <w:rPr>
          <w:rFonts w:hint="eastAsia" w:ascii="宋体" w:hAnsi="宋体" w:cs="宋体"/>
          <w:color w:val="auto"/>
          <w:sz w:val="24"/>
          <w:highlight w:val="none"/>
        </w:rPr>
        <w:t xml:space="preserve"> </w:t>
      </w:r>
      <w:r>
        <w:rPr>
          <w:rFonts w:hint="eastAsia" w:ascii="宋体" w:hAnsi="宋体" w:cs="宋体"/>
          <w:b/>
          <w:bCs/>
          <w:color w:val="auto"/>
          <w:sz w:val="24"/>
          <w:highlight w:val="none"/>
        </w:rPr>
        <w:t>组成合同的文件及优先顺序</w:t>
      </w:r>
    </w:p>
    <w:p>
      <w:pPr>
        <w:tabs>
          <w:tab w:val="left" w:pos="720"/>
        </w:tabs>
        <w:spacing w:line="520" w:lineRule="exact"/>
        <w:ind w:firstLine="480" w:firstLineChars="20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下列文件</w:t>
      </w:r>
      <w:r>
        <w:rPr>
          <w:rFonts w:hint="eastAsia" w:asciiTheme="minorEastAsia" w:hAnsiTheme="minorEastAsia" w:eastAsiaTheme="minorEastAsia"/>
          <w:color w:val="auto"/>
          <w:sz w:val="24"/>
          <w:highlight w:val="none"/>
        </w:rPr>
        <w:t>（如有）</w:t>
      </w:r>
      <w:r>
        <w:rPr>
          <w:rFonts w:hint="eastAsia" w:cs="宋体" w:asciiTheme="minorEastAsia" w:hAnsiTheme="minorEastAsia" w:eastAsiaTheme="minorEastAsia"/>
          <w:bCs/>
          <w:color w:val="auto"/>
          <w:sz w:val="24"/>
          <w:highlight w:val="none"/>
        </w:rPr>
        <w:t>均为本合同的组成部分，可视为能相互说明和补充的，如果合同文件存在歧义或相矛盾的地方，则根据以下次序判断：</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⑶ 中标通知书/发包通知书/委托函；</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⑷ 招标文件/询价文件；</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⑸ 投标文件/响应文件；</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⑺ </w:t>
      </w:r>
      <w:r>
        <w:rPr>
          <w:rFonts w:hint="eastAsia" w:ascii="宋体" w:hAnsi="宋体" w:cs="宋体"/>
          <w:color w:val="auto"/>
          <w:sz w:val="24"/>
          <w:highlight w:val="none"/>
        </w:rPr>
        <w:t>工程报价单</w:t>
      </w:r>
      <w:r>
        <w:rPr>
          <w:rFonts w:hint="eastAsia" w:ascii="宋体" w:hAnsi="宋体" w:cs="宋体"/>
          <w:bCs/>
          <w:color w:val="auto"/>
          <w:sz w:val="24"/>
          <w:highlight w:val="none"/>
        </w:rPr>
        <w:t>；</w:t>
      </w:r>
    </w:p>
    <w:p>
      <w:pPr>
        <w:spacing w:line="520" w:lineRule="exact"/>
        <w:ind w:firstLine="482"/>
        <w:rPr>
          <w:rFonts w:ascii="宋体" w:hAnsi="宋体" w:cs="宋体"/>
          <w:b/>
          <w:color w:val="auto"/>
          <w:sz w:val="24"/>
          <w:highlight w:val="none"/>
        </w:rPr>
      </w:pPr>
      <w:r>
        <w:rPr>
          <w:rFonts w:hint="eastAsia" w:ascii="宋体" w:hAnsi="宋体" w:cs="宋体"/>
          <w:bCs/>
          <w:color w:val="auto"/>
          <w:sz w:val="24"/>
          <w:highlight w:val="none"/>
        </w:rPr>
        <w:t>⑻ 本合同其他附件</w:t>
      </w:r>
      <w:r>
        <w:rPr>
          <w:rFonts w:hint="eastAsia" w:ascii="宋体" w:hAnsi="宋体" w:cs="宋体"/>
          <w:color w:val="auto"/>
          <w:sz w:val="24"/>
          <w:highlight w:val="none"/>
        </w:rPr>
        <w:t>；</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第二条 货物信息</w:t>
      </w:r>
    </w:p>
    <w:p>
      <w:pPr>
        <w:spacing w:line="52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2.1合同标的</w:t>
      </w:r>
    </w:p>
    <w:p>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2.2供货范围必须符合</w:t>
      </w:r>
      <w:r>
        <w:rPr>
          <w:rFonts w:hint="eastAsia" w:ascii="宋体" w:hAnsi="宋体" w:cs="宋体"/>
          <w:color w:val="auto"/>
          <w:sz w:val="24"/>
          <w:highlight w:val="none"/>
          <w:u w:val="single"/>
        </w:rPr>
        <w:t>招标文件/询价文件</w:t>
      </w:r>
      <w:r>
        <w:rPr>
          <w:rFonts w:hint="eastAsia" w:ascii="宋体" w:hAnsi="宋体" w:cs="宋体"/>
          <w:color w:val="auto"/>
          <w:sz w:val="24"/>
          <w:highlight w:val="none"/>
        </w:rPr>
        <w:t>的要求, 交货地点和日期要求如下：</w:t>
      </w:r>
    </w:p>
    <w:tbl>
      <w:tblPr>
        <w:tblStyle w:val="20"/>
        <w:tblpPr w:leftFromText="180" w:rightFromText="180" w:vertAnchor="text" w:horzAnchor="page" w:tblpX="1243" w:tblpY="612"/>
        <w:tblOverlap w:val="never"/>
        <w:tblW w:w="9084" w:type="dxa"/>
        <w:tblInd w:w="0" w:type="dxa"/>
        <w:tblLayout w:type="fixed"/>
        <w:tblCellMar>
          <w:top w:w="0" w:type="dxa"/>
          <w:left w:w="108" w:type="dxa"/>
          <w:bottom w:w="0" w:type="dxa"/>
          <w:right w:w="108" w:type="dxa"/>
        </w:tblCellMar>
      </w:tblPr>
      <w:tblGrid>
        <w:gridCol w:w="789"/>
        <w:gridCol w:w="839"/>
        <w:gridCol w:w="1076"/>
        <w:gridCol w:w="709"/>
        <w:gridCol w:w="882"/>
        <w:gridCol w:w="727"/>
        <w:gridCol w:w="1065"/>
        <w:gridCol w:w="973"/>
        <w:gridCol w:w="1032"/>
        <w:gridCol w:w="992"/>
      </w:tblGrid>
      <w:tr>
        <w:tblPrEx>
          <w:tblCellMar>
            <w:top w:w="0" w:type="dxa"/>
            <w:left w:w="108" w:type="dxa"/>
            <w:bottom w:w="0" w:type="dxa"/>
            <w:right w:w="108" w:type="dxa"/>
          </w:tblCellMar>
        </w:tblPrEx>
        <w:trPr>
          <w:trHeight w:val="621" w:hRule="atLeast"/>
        </w:trPr>
        <w:tc>
          <w:tcPr>
            <w:tcW w:w="78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序号</w:t>
            </w:r>
          </w:p>
        </w:tc>
        <w:tc>
          <w:tcPr>
            <w:tcW w:w="83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型号</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规格</w:t>
            </w:r>
          </w:p>
        </w:tc>
        <w:tc>
          <w:tcPr>
            <w:tcW w:w="882"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hint="eastAsia"/>
                <w:b/>
                <w:bCs/>
                <w:color w:val="auto"/>
                <w:sz w:val="24"/>
                <w:szCs w:val="24"/>
                <w:highlight w:val="none"/>
                <w:lang w:val="zh-CN"/>
              </w:rPr>
            </w:pPr>
            <w:r>
              <w:rPr>
                <w:rFonts w:hint="eastAsia"/>
                <w:b/>
                <w:bCs/>
                <w:color w:val="auto"/>
                <w:sz w:val="24"/>
                <w:szCs w:val="24"/>
                <w:highlight w:val="none"/>
                <w:lang w:val="zh-CN"/>
              </w:rPr>
              <w:t>数量</w:t>
            </w:r>
          </w:p>
          <w:p>
            <w:pPr>
              <w:pStyle w:val="6"/>
              <w:rPr>
                <w:color w:val="auto"/>
                <w:highlight w:val="none"/>
                <w:lang w:val="zh-CN"/>
              </w:rPr>
            </w:pPr>
            <w:r>
              <w:rPr>
                <w:rFonts w:hint="eastAsia" w:ascii="宋体" w:hAnsi="宋体" w:cs="宋体"/>
                <w:b/>
                <w:bCs/>
                <w:color w:val="auto"/>
                <w:kern w:val="0"/>
                <w:sz w:val="24"/>
                <w:highlight w:val="none"/>
                <w:lang w:val="zh-CN"/>
              </w:rPr>
              <w:t>（</w:t>
            </w:r>
            <w:r>
              <w:rPr>
                <w:rFonts w:hint="eastAsia" w:ascii="宋体" w:hAnsi="宋体" w:cs="宋体"/>
                <w:b/>
                <w:bCs/>
                <w:color w:val="auto"/>
                <w:kern w:val="0"/>
                <w:sz w:val="24"/>
                <w:highlight w:val="none"/>
                <w:lang w:val="en-US" w:eastAsia="zh-CN"/>
              </w:rPr>
              <w:t>吨</w:t>
            </w:r>
            <w:r>
              <w:rPr>
                <w:rFonts w:hint="eastAsia" w:ascii="宋体" w:hAnsi="宋体" w:cs="宋体"/>
                <w:b/>
                <w:bCs/>
                <w:color w:val="auto"/>
                <w:kern w:val="0"/>
                <w:sz w:val="24"/>
                <w:highlight w:val="none"/>
                <w:lang w:val="zh-CN"/>
              </w:rPr>
              <w:t>）</w:t>
            </w:r>
          </w:p>
        </w:tc>
        <w:tc>
          <w:tcPr>
            <w:tcW w:w="179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单价（元</w:t>
            </w:r>
            <w:r>
              <w:rPr>
                <w:rFonts w:hint="eastAsia" w:ascii="宋体" w:hAnsi="宋体" w:cs="宋体"/>
                <w:b/>
                <w:bCs/>
                <w:color w:val="auto"/>
                <w:kern w:val="0"/>
                <w:sz w:val="24"/>
                <w:highlight w:val="none"/>
                <w:lang w:val="en-US" w:eastAsia="zh-CN"/>
              </w:rPr>
              <w:t>/吨</w:t>
            </w:r>
            <w:r>
              <w:rPr>
                <w:rFonts w:hint="eastAsia" w:ascii="宋体" w:hAnsi="宋体" w:cs="宋体"/>
                <w:b/>
                <w:bCs/>
                <w:color w:val="auto"/>
                <w:kern w:val="0"/>
                <w:sz w:val="24"/>
                <w:highlight w:val="none"/>
                <w:lang w:val="zh-CN"/>
              </w:rPr>
              <w:t>）</w:t>
            </w:r>
          </w:p>
        </w:tc>
        <w:tc>
          <w:tcPr>
            <w:tcW w:w="2005" w:type="dxa"/>
            <w:gridSpan w:val="2"/>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金额（万元）</w:t>
            </w:r>
          </w:p>
        </w:tc>
        <w:tc>
          <w:tcPr>
            <w:tcW w:w="992" w:type="dxa"/>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备注</w:t>
            </w:r>
          </w:p>
        </w:tc>
      </w:tr>
      <w:tr>
        <w:tblPrEx>
          <w:tblCellMar>
            <w:top w:w="0" w:type="dxa"/>
            <w:left w:w="108" w:type="dxa"/>
            <w:bottom w:w="0" w:type="dxa"/>
            <w:right w:w="108" w:type="dxa"/>
          </w:tblCellMar>
        </w:tblPrEx>
        <w:trPr>
          <w:trHeight w:val="621" w:hRule="atLeast"/>
        </w:trPr>
        <w:tc>
          <w:tcPr>
            <w:tcW w:w="78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83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882"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7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含税</w:t>
            </w:r>
          </w:p>
        </w:tc>
        <w:tc>
          <w:tcPr>
            <w:tcW w:w="1065"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不含税</w:t>
            </w:r>
          </w:p>
        </w:tc>
        <w:tc>
          <w:tcPr>
            <w:tcW w:w="973" w:type="dxa"/>
            <w:tcBorders>
              <w:top w:val="single" w:color="auto" w:sz="4"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含税</w:t>
            </w:r>
          </w:p>
        </w:tc>
        <w:tc>
          <w:tcPr>
            <w:tcW w:w="1032" w:type="dxa"/>
            <w:tcBorders>
              <w:top w:val="single" w:color="auto" w:sz="4"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不含税</w:t>
            </w:r>
          </w:p>
        </w:tc>
        <w:tc>
          <w:tcPr>
            <w:tcW w:w="992" w:type="dxa"/>
            <w:tcBorders>
              <w:top w:val="single" w:color="auto" w:sz="4"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p>
        </w:tc>
      </w:tr>
      <w:tr>
        <w:tblPrEx>
          <w:tblCellMar>
            <w:top w:w="0" w:type="dxa"/>
            <w:left w:w="108" w:type="dxa"/>
            <w:bottom w:w="0" w:type="dxa"/>
            <w:right w:w="108" w:type="dxa"/>
          </w:tblCellMar>
        </w:tblPrEx>
        <w:trPr>
          <w:trHeight w:val="1748" w:hRule="atLeast"/>
        </w:trPr>
        <w:tc>
          <w:tcPr>
            <w:tcW w:w="78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color w:val="auto"/>
                <w:kern w:val="0"/>
                <w:sz w:val="24"/>
                <w:highlight w:val="none"/>
                <w:lang w:val="zh-CN"/>
              </w:rPr>
            </w:pPr>
            <w:r>
              <w:rPr>
                <w:rFonts w:ascii="宋体" w:hAnsi="宋体" w:cs="宋体"/>
                <w:color w:val="auto"/>
                <w:kern w:val="0"/>
                <w:sz w:val="24"/>
                <w:highlight w:val="none"/>
                <w:lang w:val="zh-CN"/>
              </w:rPr>
              <w:t>1</w:t>
            </w:r>
          </w:p>
        </w:tc>
        <w:tc>
          <w:tcPr>
            <w:tcW w:w="83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color w:val="auto"/>
                <w:kern w:val="0"/>
                <w:sz w:val="24"/>
                <w:highlight w:val="none"/>
                <w:lang w:val="zh-CN"/>
              </w:rPr>
            </w:pPr>
            <w:r>
              <w:rPr>
                <w:rFonts w:hint="eastAsia" w:ascii="宋体" w:hAnsi="宋体" w:cs="宋体"/>
                <w:color w:val="auto"/>
                <w:sz w:val="21"/>
                <w:szCs w:val="21"/>
                <w:highlight w:val="none"/>
                <w:lang w:val="en-US" w:eastAsia="zh-CN"/>
              </w:rPr>
              <w:t>氢氧化钠（30%溶液）</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color w:val="auto"/>
                <w:kern w:val="0"/>
                <w:sz w:val="24"/>
                <w:highlight w:val="none"/>
                <w:lang w:val="zh-CN"/>
              </w:rPr>
            </w:pPr>
            <w:r>
              <w:rPr>
                <w:rFonts w:hint="eastAsia" w:ascii="宋体" w:hAnsi="宋体" w:cs="宋体"/>
                <w:color w:val="auto"/>
                <w:sz w:val="21"/>
                <w:szCs w:val="21"/>
                <w:highlight w:val="none"/>
                <w:lang w:val="en-US" w:eastAsia="zh-CN"/>
              </w:rPr>
              <w:t>液体</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ascii="宋体" w:hAnsi="宋体" w:cs="宋体"/>
                <w:color w:val="auto"/>
                <w:kern w:val="0"/>
                <w:sz w:val="24"/>
                <w:highlight w:val="none"/>
                <w:lang w:val="zh-CN"/>
              </w:rPr>
            </w:pPr>
          </w:p>
        </w:tc>
        <w:tc>
          <w:tcPr>
            <w:tcW w:w="88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594</w:t>
            </w:r>
          </w:p>
        </w:tc>
        <w:tc>
          <w:tcPr>
            <w:tcW w:w="7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center"/>
              <w:rPr>
                <w:rFonts w:hint="default" w:ascii="宋体" w:hAnsi="宋体" w:cs="宋体" w:eastAsiaTheme="minorEastAsia"/>
                <w:color w:val="auto"/>
                <w:kern w:val="0"/>
                <w:sz w:val="24"/>
                <w:highlight w:val="none"/>
                <w:lang w:val="en-US" w:eastAsia="zh-CN"/>
              </w:rPr>
            </w:pPr>
          </w:p>
        </w:tc>
        <w:tc>
          <w:tcPr>
            <w:tcW w:w="1065"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spacing w:line="520" w:lineRule="exact"/>
              <w:jc w:val="center"/>
              <w:rPr>
                <w:rFonts w:hint="default" w:ascii="宋体" w:hAnsi="宋体" w:cs="宋体" w:eastAsiaTheme="minorEastAsia"/>
                <w:color w:val="auto"/>
                <w:kern w:val="0"/>
                <w:sz w:val="24"/>
                <w:highlight w:val="none"/>
                <w:lang w:val="en-US" w:eastAsia="zh-CN"/>
              </w:rPr>
            </w:pPr>
          </w:p>
        </w:tc>
        <w:tc>
          <w:tcPr>
            <w:tcW w:w="973" w:type="dxa"/>
            <w:tcBorders>
              <w:top w:val="single" w:color="000000" w:sz="2" w:space="0"/>
              <w:left w:val="single" w:color="auto" w:sz="4" w:space="0"/>
              <w:bottom w:val="single" w:color="auto" w:sz="4" w:space="0"/>
              <w:right w:val="single" w:color="000000" w:sz="2" w:space="0"/>
            </w:tcBorders>
            <w:shd w:val="clear" w:color="000000" w:fill="FFFFFF"/>
            <w:vAlign w:val="center"/>
          </w:tcPr>
          <w:p>
            <w:pPr>
              <w:pStyle w:val="24"/>
              <w:jc w:val="center"/>
              <w:rPr>
                <w:rFonts w:hint="default"/>
                <w:color w:val="auto"/>
                <w:highlight w:val="none"/>
                <w:lang w:val="en-US" w:eastAsia="zh-CN"/>
              </w:rPr>
            </w:pPr>
          </w:p>
        </w:tc>
        <w:tc>
          <w:tcPr>
            <w:tcW w:w="1032" w:type="dxa"/>
            <w:tcBorders>
              <w:top w:val="single" w:color="000000" w:sz="2" w:space="0"/>
              <w:left w:val="single" w:color="000000" w:sz="2" w:space="0"/>
              <w:bottom w:val="single" w:color="auto" w:sz="4" w:space="0"/>
              <w:right w:val="single" w:color="000000" w:sz="2" w:space="0"/>
            </w:tcBorders>
            <w:shd w:val="clear" w:color="000000" w:fill="FFFFFF"/>
            <w:vAlign w:val="center"/>
          </w:tcPr>
          <w:p>
            <w:pPr>
              <w:pStyle w:val="24"/>
              <w:jc w:val="center"/>
              <w:rPr>
                <w:rFonts w:hint="default"/>
                <w:color w:val="auto"/>
                <w:highlight w:val="none"/>
                <w:lang w:val="en-US" w:eastAsia="zh-CN"/>
              </w:rPr>
            </w:pPr>
          </w:p>
        </w:tc>
        <w:tc>
          <w:tcPr>
            <w:tcW w:w="992" w:type="dxa"/>
            <w:tcBorders>
              <w:top w:val="single" w:color="000000" w:sz="2" w:space="0"/>
              <w:left w:val="single" w:color="000000" w:sz="2" w:space="0"/>
              <w:bottom w:val="single" w:color="auto" w:sz="4" w:space="0"/>
              <w:right w:val="single" w:color="auto" w:sz="4" w:space="0"/>
            </w:tcBorders>
            <w:shd w:val="clear" w:color="000000" w:fill="FFFFFF"/>
            <w:vAlign w:val="center"/>
          </w:tcPr>
          <w:p>
            <w:pPr>
              <w:jc w:val="center"/>
              <w:rPr>
                <w:color w:val="auto"/>
                <w:highlight w:val="none"/>
              </w:rPr>
            </w:pPr>
          </w:p>
          <w:p>
            <w:pPr>
              <w:autoSpaceDE w:val="0"/>
              <w:autoSpaceDN w:val="0"/>
              <w:adjustRightInd w:val="0"/>
              <w:spacing w:line="520" w:lineRule="exact"/>
              <w:jc w:val="center"/>
              <w:rPr>
                <w:rFonts w:hint="eastAsia" w:ascii="宋体" w:hAnsi="宋体" w:cs="宋体" w:eastAsiaTheme="minorEastAsia"/>
                <w:color w:val="auto"/>
                <w:kern w:val="0"/>
                <w:sz w:val="24"/>
                <w:highlight w:val="none"/>
                <w:lang w:val="en-US" w:eastAsia="zh-CN"/>
              </w:rPr>
            </w:pPr>
            <w:r>
              <w:rPr>
                <w:rFonts w:hint="eastAsia" w:ascii="宋体" w:hAnsi="宋体" w:cs="宋体"/>
                <w:color w:val="auto"/>
                <w:kern w:val="0"/>
                <w:sz w:val="24"/>
                <w:highlight w:val="none"/>
                <w:lang w:val="en-US" w:eastAsia="zh-CN"/>
              </w:rPr>
              <w:t>无</w:t>
            </w:r>
          </w:p>
        </w:tc>
      </w:tr>
    </w:tbl>
    <w:p>
      <w:pPr>
        <w:pStyle w:val="18"/>
        <w:rPr>
          <w:color w:val="auto"/>
        </w:rPr>
      </w:pPr>
    </w:p>
    <w:p>
      <w:pPr>
        <w:pStyle w:val="2"/>
        <w:spacing w:line="520" w:lineRule="exact"/>
        <w:ind w:firstLine="540" w:firstLineChars="225"/>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2.2.1交货地点：甲方辖下分/子公司，具体以甲方通知为准。</w:t>
      </w:r>
    </w:p>
    <w:p>
      <w:pPr>
        <w:pStyle w:val="2"/>
        <w:spacing w:line="520" w:lineRule="exact"/>
        <w:ind w:firstLine="540" w:firstLineChars="225"/>
        <w:rPr>
          <w:rFonts w:ascii="宋体" w:hAnsi="宋体" w:cs="宋体"/>
          <w:color w:val="auto"/>
          <w:sz w:val="24"/>
          <w:szCs w:val="24"/>
          <w:highlight w:val="none"/>
          <w:u w:val="single"/>
        </w:rPr>
      </w:pPr>
      <w:r>
        <w:rPr>
          <w:rFonts w:hint="eastAsia" w:ascii="宋体" w:hAnsi="宋体" w:cs="宋体"/>
          <w:color w:val="auto"/>
          <w:sz w:val="24"/>
          <w:szCs w:val="24"/>
          <w:highlight w:val="none"/>
        </w:rPr>
        <w:t>2.2.2交货日期：</w:t>
      </w:r>
      <w:r>
        <w:rPr>
          <w:rFonts w:hint="eastAsia" w:ascii="宋体" w:hAnsi="宋体" w:cs="宋体"/>
          <w:color w:val="auto"/>
          <w:sz w:val="24"/>
          <w:szCs w:val="24"/>
          <w:highlight w:val="none"/>
          <w:u w:val="single"/>
        </w:rPr>
        <w:t>按甲方要求，按指定时间计划逐批（次）供货。所供货物的供货时间及数量以甲方书面通知为准。</w:t>
      </w:r>
    </w:p>
    <w:p>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2.3合同有效期为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年，自合同签订之日起算。若合同到期前乙方供货总量达到</w:t>
      </w:r>
      <w:r>
        <w:rPr>
          <w:rFonts w:hint="eastAsia" w:ascii="宋体" w:hAnsi="宋体" w:cs="宋体"/>
          <w:color w:val="auto"/>
          <w:sz w:val="24"/>
          <w:highlight w:val="none"/>
          <w:u w:val="single"/>
          <w:lang w:val="en-US" w:eastAsia="zh-CN"/>
        </w:rPr>
        <w:t>594</w:t>
      </w:r>
      <w:r>
        <w:rPr>
          <w:rFonts w:hint="eastAsia" w:ascii="宋体" w:hAnsi="宋体" w:cs="宋体"/>
          <w:color w:val="auto"/>
          <w:sz w:val="24"/>
          <w:highlight w:val="none"/>
        </w:rPr>
        <w:t>吨的，合同提前终止。如</w:t>
      </w:r>
      <w:r>
        <w:rPr>
          <w:rFonts w:hint="eastAsia" w:ascii="宋体" w:hAnsi="宋体" w:cs="宋体"/>
          <w:color w:val="auto"/>
          <w:sz w:val="24"/>
          <w:highlight w:val="none"/>
          <w:u w:val="single"/>
        </w:rPr>
        <w:t>需要调增供货量的，</w:t>
      </w:r>
      <w:r>
        <w:rPr>
          <w:rFonts w:hint="eastAsia" w:ascii="宋体" w:hAnsi="宋体" w:cs="宋体"/>
          <w:color w:val="auto"/>
          <w:sz w:val="24"/>
          <w:highlight w:val="none"/>
        </w:rPr>
        <w:t>以甲方另行通知为准。</w:t>
      </w:r>
    </w:p>
    <w:p>
      <w:pPr>
        <w:spacing w:line="52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2.4甲方有权单方解除合同，但需提前</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天通知乙方。</w:t>
      </w:r>
    </w:p>
    <w:p>
      <w:pPr>
        <w:numPr>
          <w:ilvl w:val="0"/>
          <w:numId w:val="5"/>
        </w:num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货物标准及质量控制</w:t>
      </w:r>
    </w:p>
    <w:p>
      <w:pPr>
        <w:spacing w:line="52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rPr>
        <w:t>3.1</w:t>
      </w:r>
      <w:r>
        <w:rPr>
          <w:rFonts w:hint="eastAsia" w:ascii="宋体" w:hAnsi="宋体" w:cs="宋体"/>
          <w:color w:val="auto"/>
          <w:kern w:val="0"/>
          <w:sz w:val="24"/>
          <w:highlight w:val="none"/>
        </w:rPr>
        <w:t>货物使用效果需满足甲方污泥脱水后含水率低于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spacing w:line="5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3.2货物质量应符合或优于本合同的要求。货物必须符合国家标准或化工行业相关最新标准，以最新发布的标准为准。主要执行技术指标如下：</w:t>
      </w:r>
    </w:p>
    <w:tbl>
      <w:tblPr>
        <w:tblStyle w:val="20"/>
        <w:tblW w:w="8811" w:type="dxa"/>
        <w:jc w:val="center"/>
        <w:tblLayout w:type="fixed"/>
        <w:tblCellMar>
          <w:top w:w="0" w:type="dxa"/>
          <w:left w:w="108" w:type="dxa"/>
          <w:bottom w:w="0" w:type="dxa"/>
          <w:right w:w="108" w:type="dxa"/>
        </w:tblCellMar>
      </w:tblPr>
      <w:tblGrid>
        <w:gridCol w:w="1453"/>
        <w:gridCol w:w="3287"/>
        <w:gridCol w:w="4071"/>
      </w:tblGrid>
      <w:tr>
        <w:tblPrEx>
          <w:tblCellMar>
            <w:top w:w="0" w:type="dxa"/>
            <w:left w:w="108" w:type="dxa"/>
            <w:bottom w:w="0" w:type="dxa"/>
            <w:right w:w="108" w:type="dxa"/>
          </w:tblCellMar>
        </w:tblPrEx>
        <w:trPr>
          <w:trHeight w:val="450" w:hRule="atLeast"/>
          <w:jc w:val="center"/>
        </w:trPr>
        <w:tc>
          <w:tcPr>
            <w:tcW w:w="14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药剂种类</w:t>
            </w:r>
          </w:p>
        </w:tc>
        <w:tc>
          <w:tcPr>
            <w:tcW w:w="735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技术指标</w:t>
            </w:r>
          </w:p>
        </w:tc>
      </w:tr>
      <w:tr>
        <w:tblPrEx>
          <w:tblCellMar>
            <w:top w:w="0" w:type="dxa"/>
            <w:left w:w="108" w:type="dxa"/>
            <w:bottom w:w="0" w:type="dxa"/>
            <w:right w:w="108" w:type="dxa"/>
          </w:tblCellMar>
        </w:tblPrEx>
        <w:trPr>
          <w:trHeight w:val="420" w:hRule="atLeast"/>
          <w:jc w:val="center"/>
        </w:trPr>
        <w:tc>
          <w:tcPr>
            <w:tcW w:w="145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氢氧化钠 （30</w:t>
            </w:r>
            <w:r>
              <w:rPr>
                <w:rFonts w:hint="eastAsia" w:ascii="宋体" w:hAnsi="宋体" w:cs="宋体"/>
                <w:color w:val="auto"/>
                <w:kern w:val="0"/>
                <w:szCs w:val="21"/>
                <w:lang w:val="en-US" w:eastAsia="zh-CN"/>
              </w:rPr>
              <w:t>%</w:t>
            </w:r>
            <w:r>
              <w:rPr>
                <w:rFonts w:hint="eastAsia" w:ascii="宋体" w:hAnsi="宋体" w:cs="宋体"/>
                <w:color w:val="auto"/>
                <w:kern w:val="0"/>
                <w:szCs w:val="21"/>
              </w:rPr>
              <w:t>溶液）</w:t>
            </w: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需求指标名称</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需求指标</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有效成分</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olor w:val="auto"/>
                <w:szCs w:val="21"/>
              </w:rPr>
              <w:t>≥30%</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碳酸钠</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≤0.2%</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氯化钠</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olor w:val="auto"/>
                <w:szCs w:val="21"/>
              </w:rPr>
              <w:t>≤0.008%</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三氧化二铁</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Cs w:val="21"/>
              </w:rPr>
            </w:pPr>
            <w:r>
              <w:rPr>
                <w:rFonts w:hint="eastAsia" w:ascii="宋体" w:hAnsi="宋体" w:cs="宋体"/>
                <w:color w:val="auto"/>
                <w:kern w:val="0"/>
                <w:szCs w:val="21"/>
              </w:rPr>
              <w:t>≤0.001%</w:t>
            </w:r>
          </w:p>
        </w:tc>
      </w:tr>
    </w:tbl>
    <w:p>
      <w:pPr>
        <w:spacing w:line="520" w:lineRule="exact"/>
        <w:ind w:firstLine="480" w:firstLineChars="200"/>
        <w:rPr>
          <w:rFonts w:hint="eastAsia" w:ascii="宋体" w:hAnsi="宋体" w:cs="宋体"/>
          <w:color w:val="auto"/>
          <w:kern w:val="0"/>
          <w:sz w:val="24"/>
          <w:highlight w:val="none"/>
        </w:rPr>
      </w:pPr>
    </w:p>
    <w:p>
      <w:pPr>
        <w:spacing w:line="520" w:lineRule="exact"/>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rPr>
        <w:t>3.3</w:t>
      </w:r>
      <w:r>
        <w:rPr>
          <w:rFonts w:hint="eastAsia" w:ascii="宋体" w:hAnsi="宋体" w:cs="宋体"/>
          <w:color w:val="auto"/>
          <w:sz w:val="24"/>
          <w:highlight w:val="none"/>
        </w:rPr>
        <w:t>在产品出厂前，乙方应该对产品进行详细检验，并出具检验证明材料，该证明材料不作为货物质量最终是否</w:t>
      </w:r>
      <w:r>
        <w:rPr>
          <w:rFonts w:hint="eastAsia" w:ascii="宋体" w:hAnsi="宋体" w:cs="宋体"/>
          <w:color w:val="auto"/>
          <w:sz w:val="24"/>
          <w:highlight w:val="none"/>
          <w:lang w:val="en-US" w:eastAsia="zh-CN"/>
        </w:rPr>
        <w:t>达标</w:t>
      </w:r>
      <w:r>
        <w:rPr>
          <w:rFonts w:hint="eastAsia" w:ascii="宋体" w:hAnsi="宋体" w:cs="宋体"/>
          <w:color w:val="auto"/>
          <w:sz w:val="24"/>
          <w:highlight w:val="none"/>
        </w:rPr>
        <w:t>的依据，但可作为交货时双方进行交货现场检验的参考。</w:t>
      </w:r>
    </w:p>
    <w:p>
      <w:pPr>
        <w:spacing w:line="52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rPr>
        <w:t>3.4</w:t>
      </w:r>
      <w:r>
        <w:rPr>
          <w:rFonts w:hint="eastAsia" w:ascii="宋体" w:hAnsi="宋体" w:cs="宋体"/>
          <w:color w:val="auto"/>
          <w:kern w:val="0"/>
          <w:sz w:val="24"/>
          <w:highlight w:val="none"/>
        </w:rPr>
        <w:t>甲方有权对乙方提供的每车次货物进行抽样检测，</w:t>
      </w:r>
      <w:r>
        <w:rPr>
          <w:rFonts w:hint="eastAsia" w:ascii="宋体" w:hAnsi="宋体" w:cs="宋体"/>
          <w:color w:val="auto"/>
          <w:sz w:val="24"/>
          <w:highlight w:val="none"/>
        </w:rPr>
        <w:t>检测按照下列方式进行：</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3.4.1执行检验方法：</w:t>
      </w:r>
      <w:r>
        <w:rPr>
          <w:rFonts w:hint="eastAsia" w:ascii="宋体" w:hAnsi="宋体" w:cs="宋体"/>
          <w:color w:val="auto"/>
          <w:sz w:val="21"/>
          <w:szCs w:val="21"/>
          <w:highlight w:val="none"/>
          <w:lang w:val="en-US" w:eastAsia="zh-CN"/>
        </w:rPr>
        <w:t>GB/T 209-2018</w:t>
      </w:r>
      <w:r>
        <w:rPr>
          <w:rFonts w:hint="eastAsia" w:ascii="宋体" w:hAnsi="宋体" w:cs="宋体"/>
          <w:color w:val="auto"/>
          <w:sz w:val="24"/>
          <w:highlight w:val="none"/>
        </w:rPr>
        <w:t>，若检验方法变更，则执行新的国家标准。</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3.4.2送货记录需经甲、乙双方在场共同确认完成并签字。</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3.4.3抽样检测：甲方化验室对</w:t>
      </w:r>
      <w:r>
        <w:rPr>
          <w:rFonts w:hint="eastAsia" w:ascii="宋体" w:hAnsi="宋体" w:cs="宋体"/>
          <w:color w:val="auto"/>
          <w:kern w:val="0"/>
          <w:sz w:val="24"/>
          <w:highlight w:val="none"/>
        </w:rPr>
        <w:t>乙方提供并</w:t>
      </w:r>
      <w:r>
        <w:rPr>
          <w:rFonts w:hint="eastAsia" w:ascii="宋体" w:hAnsi="宋体" w:cs="宋体"/>
          <w:color w:val="auto"/>
          <w:sz w:val="24"/>
          <w:highlight w:val="none"/>
        </w:rPr>
        <w:t>交货</w:t>
      </w:r>
      <w:r>
        <w:rPr>
          <w:rFonts w:hint="eastAsia" w:ascii="宋体" w:hAnsi="宋体" w:cs="宋体"/>
          <w:color w:val="auto"/>
          <w:kern w:val="0"/>
          <w:sz w:val="24"/>
          <w:highlight w:val="none"/>
        </w:rPr>
        <w:t>的货物进行抽样检测</w:t>
      </w:r>
      <w:r>
        <w:rPr>
          <w:rFonts w:hint="eastAsia" w:ascii="宋体" w:hAnsi="宋体" w:cs="宋体"/>
          <w:color w:val="auto"/>
          <w:sz w:val="24"/>
          <w:highlight w:val="none"/>
        </w:rPr>
        <w:t>。</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3.4.4抽样方法：必须在槽车上或卸货过程中，以甲方辖下分/子公司确认的：</w:t>
      </w:r>
      <w:r>
        <w:rPr>
          <w:rFonts w:hint="eastAsia" w:ascii="宋体" w:hAnsi="宋体" w:cs="宋体"/>
          <w:color w:val="auto"/>
          <w:sz w:val="21"/>
          <w:szCs w:val="21"/>
          <w:highlight w:val="none"/>
          <w:lang w:val="en-US" w:eastAsia="zh-CN"/>
        </w:rPr>
        <w:t>GB/T 209-2018</w:t>
      </w:r>
      <w:r>
        <w:rPr>
          <w:rFonts w:hint="eastAsia" w:ascii="宋体" w:hAnsi="宋体" w:cs="宋体"/>
          <w:color w:val="auto"/>
          <w:sz w:val="24"/>
          <w:highlight w:val="none"/>
        </w:rPr>
        <w:t>取样方法进行货物样品采集（如使用桶、袋装的药剂，随机抽取），抽取3份混合后平行样品，3份样品按照规定保存于甲方辖下各分（子）公司化验室，乙方如需留存该车次样品，须按照上述确定的取样方法进行现场同步取样。</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3.4.5甲方分析和保存样品的分样与储存：分装于清洁、干燥的取样瓶（袋）中。取样瓶（袋）应用标签将封口密封，标签上应标明生产厂家、批号、采集日期，甲方辖下</w:t>
      </w:r>
      <w:r>
        <w:rPr>
          <w:rFonts w:hint="eastAsia" w:ascii="宋体" w:hAnsi="宋体" w:cs="宋体"/>
          <w:color w:val="auto"/>
          <w:sz w:val="24"/>
          <w:highlight w:val="none"/>
          <w:u w:val="single"/>
        </w:rPr>
        <w:t>子/分公司</w:t>
      </w:r>
      <w:r>
        <w:rPr>
          <w:rFonts w:hint="eastAsia" w:ascii="宋体" w:hAnsi="宋体" w:cs="宋体"/>
          <w:color w:val="auto"/>
          <w:sz w:val="24"/>
          <w:highlight w:val="none"/>
        </w:rPr>
        <w:t>和乙方共同在标签上签名确认。</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3.4.6留样：采集的三份留样样品由甲方化验室按规定留存。</w:t>
      </w:r>
    </w:p>
    <w:p>
      <w:pPr>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3.5</w:t>
      </w:r>
      <w:r>
        <w:rPr>
          <w:rFonts w:hint="eastAsia" w:ascii="宋体" w:hAnsi="宋体" w:cs="宋体"/>
          <w:color w:val="auto"/>
          <w:sz w:val="24"/>
          <w:highlight w:val="none"/>
        </w:rPr>
        <w:t>第三方检测机构检测</w:t>
      </w:r>
    </w:p>
    <w:p>
      <w:pPr>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3.5.1对于</w:t>
      </w:r>
      <w:r>
        <w:rPr>
          <w:rFonts w:hint="eastAsia" w:ascii="宋体" w:hAnsi="宋体" w:cs="宋体"/>
          <w:color w:val="auto"/>
          <w:sz w:val="24"/>
          <w:highlight w:val="none"/>
        </w:rPr>
        <w:t>乙方在本合同签订后送至甲方辖下分/子公司的第一车次的货物，由甲方将甲、乙双方共同确认的该车次乙方货物样品送至具有CMA资格认证的第三方检测机构进行检测，此外，</w:t>
      </w:r>
      <w:r>
        <w:rPr>
          <w:rFonts w:hint="eastAsia" w:ascii="宋体" w:hAnsi="宋体" w:cs="宋体"/>
          <w:bCs/>
          <w:color w:val="auto"/>
          <w:sz w:val="24"/>
          <w:highlight w:val="none"/>
        </w:rPr>
        <w:t>甲方还有权不定期将乙方的药剂抽样送至具有CMA资格认证的第三方检测机构进行检测</w:t>
      </w:r>
      <w:r>
        <w:rPr>
          <w:rFonts w:hint="eastAsia" w:ascii="宋体" w:hAnsi="宋体" w:cs="宋体"/>
          <w:color w:val="auto"/>
          <w:sz w:val="24"/>
          <w:highlight w:val="none"/>
        </w:rPr>
        <w:t>。如乙方货物样品检测结果不符合</w:t>
      </w:r>
      <w:r>
        <w:rPr>
          <w:rFonts w:hint="eastAsia" w:ascii="宋体" w:hAnsi="宋体" w:cs="宋体"/>
          <w:color w:val="auto"/>
          <w:kern w:val="0"/>
          <w:sz w:val="24"/>
          <w:highlight w:val="none"/>
        </w:rPr>
        <w:t>本合同要求、国家标准或化工行业相关最新标准，相关检测费用由甲方垫付，并在乙方结算货款内扣除。</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若甲方化验室检测某一车次乙方货物样品不</w:t>
      </w:r>
      <w:r>
        <w:rPr>
          <w:rFonts w:hint="eastAsia" w:ascii="宋体" w:hAnsi="宋体" w:cs="宋体"/>
          <w:color w:val="auto"/>
          <w:kern w:val="0"/>
          <w:sz w:val="24"/>
          <w:highlight w:val="none"/>
        </w:rPr>
        <w:t>符合本合同要求、国家标准或化工行业相关最新标准</w:t>
      </w:r>
      <w:r>
        <w:rPr>
          <w:rFonts w:hint="eastAsia" w:ascii="宋体" w:hAnsi="宋体" w:cs="宋体"/>
          <w:color w:val="auto"/>
          <w:sz w:val="24"/>
          <w:highlight w:val="none"/>
        </w:rPr>
        <w:t xml:space="preserve">，则由甲方将甲、乙双方共同确认的该车次乙方货物样品，送至具有CMA资格认证的第三方检测机构进行检测，相关检测费用由甲方垫付，并在乙方结算货款内扣除。 </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3.5.2甲乙双方对第三方检测机构的检测结果均不得提出异议。</w:t>
      </w:r>
    </w:p>
    <w:p>
      <w:pPr>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3.5.3若第三方检测机构对所供货物检测的结果不符合本合同约定的，则检测结果视为</w:t>
      </w:r>
      <w:r>
        <w:rPr>
          <w:rFonts w:hint="eastAsia" w:ascii="宋体" w:hAnsi="宋体" w:cs="宋体"/>
          <w:color w:val="auto"/>
          <w:sz w:val="24"/>
          <w:highlight w:val="none"/>
          <w:lang w:val="en-US" w:eastAsia="zh-CN"/>
        </w:rPr>
        <w:t>不达标</w:t>
      </w:r>
      <w:r>
        <w:rPr>
          <w:rFonts w:hint="eastAsia" w:ascii="宋体" w:hAnsi="宋体" w:cs="宋体"/>
          <w:color w:val="auto"/>
          <w:sz w:val="24"/>
          <w:highlight w:val="none"/>
        </w:rPr>
        <w:t>，甲方可要求乙方对产品进行改善并按以下</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种方式进行扣罚：</w:t>
      </w:r>
    </w:p>
    <w:p>
      <w:pPr>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 当次车次检测</w:t>
      </w:r>
      <w:r>
        <w:rPr>
          <w:rFonts w:hint="eastAsia" w:ascii="宋体" w:hAnsi="宋体" w:cs="宋体"/>
          <w:color w:val="auto"/>
          <w:sz w:val="24"/>
          <w:highlight w:val="none"/>
          <w:lang w:val="en-US" w:eastAsia="zh-CN"/>
        </w:rPr>
        <w:t>不达标</w:t>
      </w:r>
      <w:r>
        <w:rPr>
          <w:rFonts w:hint="eastAsia" w:ascii="宋体" w:hAnsi="宋体" w:cs="宋体"/>
          <w:color w:val="auto"/>
          <w:sz w:val="24"/>
          <w:highlight w:val="none"/>
        </w:rPr>
        <w:t>，扣除该车次的药剂费用，并扣罚乙方10000元作为违约金。年度累计检测</w:t>
      </w:r>
      <w:r>
        <w:rPr>
          <w:rFonts w:hint="eastAsia" w:ascii="宋体" w:hAnsi="宋体" w:cs="宋体"/>
          <w:color w:val="auto"/>
          <w:sz w:val="24"/>
          <w:highlight w:val="none"/>
          <w:lang w:val="en-US" w:eastAsia="zh-CN"/>
        </w:rPr>
        <w:t>不达标</w:t>
      </w:r>
      <w:r>
        <w:rPr>
          <w:rFonts w:hint="eastAsia" w:ascii="宋体" w:hAnsi="宋体" w:cs="宋体"/>
          <w:color w:val="auto"/>
          <w:sz w:val="24"/>
          <w:highlight w:val="none"/>
        </w:rPr>
        <w:t>车次达5次，甲方有权扣除乙方100%合同履约保证金并单方即时解除本合同。</w:t>
      </w:r>
    </w:p>
    <w:p>
      <w:pPr>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违约金优先在结算货款内扣除，如当月货款无法抵销违约金扣罚的，将在次月的结算货款内扣除；     </w:t>
      </w:r>
    </w:p>
    <w:p>
      <w:pPr>
        <w:numPr>
          <w:ilvl w:val="255"/>
          <w:numId w:val="0"/>
        </w:numPr>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（2）当次车次检测</w:t>
      </w:r>
      <w:r>
        <w:rPr>
          <w:rFonts w:hint="eastAsia" w:ascii="宋体" w:hAnsi="宋体" w:cs="宋体"/>
          <w:color w:val="auto"/>
          <w:sz w:val="24"/>
          <w:highlight w:val="none"/>
          <w:lang w:val="en-US" w:eastAsia="zh-CN"/>
        </w:rPr>
        <w:t>不达标</w:t>
      </w:r>
      <w:r>
        <w:rPr>
          <w:rFonts w:hint="eastAsia" w:ascii="宋体" w:hAnsi="宋体" w:cs="宋体"/>
          <w:color w:val="auto"/>
          <w:kern w:val="0"/>
          <w:sz w:val="24"/>
          <w:highlight w:val="none"/>
        </w:rPr>
        <w:t>，扣除该车次的药剂费用，并扣罚乙方2000元作为违约金。</w:t>
      </w:r>
    </w:p>
    <w:p>
      <w:pPr>
        <w:numPr>
          <w:ilvl w:val="255"/>
          <w:numId w:val="0"/>
        </w:numPr>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年度累计检测不</w:t>
      </w:r>
      <w:r>
        <w:rPr>
          <w:rFonts w:hint="eastAsia" w:ascii="宋体" w:hAnsi="宋体" w:cs="宋体"/>
          <w:color w:val="auto"/>
          <w:kern w:val="0"/>
          <w:sz w:val="24"/>
          <w:highlight w:val="none"/>
          <w:lang w:val="en-US" w:eastAsia="zh-CN"/>
        </w:rPr>
        <w:t>达标</w:t>
      </w:r>
      <w:r>
        <w:rPr>
          <w:rFonts w:hint="eastAsia" w:ascii="宋体" w:hAnsi="宋体" w:cs="宋体"/>
          <w:color w:val="auto"/>
          <w:kern w:val="0"/>
          <w:sz w:val="24"/>
          <w:highlight w:val="none"/>
        </w:rPr>
        <w:t>车次达5次，甲方有权扣除乙方100%合同履约保证金并单方即时解除本合同。</w:t>
      </w:r>
    </w:p>
    <w:p>
      <w:pPr>
        <w:numPr>
          <w:ilvl w:val="255"/>
          <w:numId w:val="0"/>
        </w:numPr>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违约金优先在结算货款内扣除，如当月货款无法抵销违约金扣罚的，将在次月的结算货款内扣除；</w:t>
      </w:r>
    </w:p>
    <w:p>
      <w:pPr>
        <w:numPr>
          <w:ilvl w:val="255"/>
          <w:numId w:val="0"/>
        </w:numPr>
        <w:spacing w:line="5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（适用针对需求量较少的生产类药剂，合同总金额低于30万元）</w:t>
      </w:r>
    </w:p>
    <w:p>
      <w:pPr>
        <w:numPr>
          <w:ilvl w:val="0"/>
          <w:numId w:val="0"/>
        </w:numPr>
        <w:spacing w:line="520" w:lineRule="exact"/>
        <w:ind w:firstLine="480" w:firstLineChars="200"/>
        <w:jc w:val="left"/>
        <w:rPr>
          <w:rFonts w:ascii="宋体" w:hAnsi="宋体" w:cs="宋体"/>
          <w:color w:val="auto"/>
          <w:kern w:val="2"/>
          <w:sz w:val="24"/>
          <w:highlight w:val="none"/>
        </w:rPr>
      </w:pPr>
      <w:r>
        <w:rPr>
          <w:rFonts w:hint="eastAsia" w:ascii="宋体" w:hAnsi="宋体" w:cs="宋体"/>
          <w:color w:val="auto"/>
          <w:kern w:val="0"/>
          <w:sz w:val="24"/>
          <w:highlight w:val="none"/>
        </w:rPr>
        <w:t>3.5.4</w:t>
      </w:r>
      <w:r>
        <w:rPr>
          <w:rFonts w:hint="eastAsia" w:ascii="宋体" w:hAnsi="宋体" w:cs="宋体"/>
          <w:color w:val="auto"/>
          <w:sz w:val="24"/>
          <w:highlight w:val="none"/>
        </w:rPr>
        <w:t>乙方可于收到甲方通知后</w:t>
      </w:r>
      <w:r>
        <w:rPr>
          <w:rFonts w:hint="eastAsia" w:ascii="宋体" w:hAnsi="宋体" w:cs="宋体"/>
          <w:color w:val="auto"/>
          <w:sz w:val="24"/>
          <w:highlight w:val="none"/>
          <w:u w:val="single"/>
          <w:lang w:eastAsia="zh-CN"/>
        </w:rPr>
        <w:t>2</w:t>
      </w:r>
      <w:r>
        <w:rPr>
          <w:rFonts w:hint="eastAsia" w:ascii="宋体" w:hAnsi="宋体" w:cs="宋体"/>
          <w:color w:val="auto"/>
          <w:sz w:val="24"/>
          <w:highlight w:val="none"/>
          <w:u w:val="single"/>
          <w:lang w:val="en-US" w:eastAsia="zh-CN"/>
        </w:rPr>
        <w:t>4小时</w:t>
      </w:r>
      <w:r>
        <w:rPr>
          <w:rFonts w:hint="eastAsia" w:ascii="宋体" w:hAnsi="宋体" w:cs="宋体"/>
          <w:color w:val="auto"/>
          <w:sz w:val="24"/>
          <w:highlight w:val="none"/>
        </w:rPr>
        <w:t>内，自行取回甲方尚未使用的</w:t>
      </w:r>
      <w:r>
        <w:rPr>
          <w:rFonts w:hint="eastAsia" w:ascii="宋体" w:hAnsi="宋体" w:cs="宋体"/>
          <w:color w:val="auto"/>
          <w:sz w:val="24"/>
          <w:highlight w:val="none"/>
          <w:lang w:val="en-US" w:eastAsia="zh-CN"/>
        </w:rPr>
        <w:t>不达标</w:t>
      </w:r>
      <w:r>
        <w:rPr>
          <w:rFonts w:hint="eastAsia" w:ascii="宋体" w:hAnsi="宋体" w:cs="宋体"/>
          <w:color w:val="auto"/>
          <w:sz w:val="24"/>
          <w:highlight w:val="none"/>
        </w:rPr>
        <w:t>药剂并承担全部所需费用；逾期未取回的，视为放弃该药剂的所有权，甲方有权自行处置。</w:t>
      </w:r>
    </w:p>
    <w:p>
      <w:pPr>
        <w:numPr>
          <w:ilvl w:val="255"/>
          <w:numId w:val="0"/>
        </w:numPr>
        <w:spacing w:line="52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第四条 考核办法</w:t>
      </w:r>
    </w:p>
    <w:p>
      <w:pPr>
        <w:spacing w:line="520" w:lineRule="exact"/>
        <w:rPr>
          <w:rFonts w:ascii="宋体" w:hAnsi="宋体" w:cs="宋体"/>
          <w:b/>
          <w:color w:val="auto"/>
          <w:sz w:val="24"/>
          <w:highlight w:val="none"/>
        </w:rPr>
      </w:pPr>
      <w:r>
        <w:rPr>
          <w:rFonts w:hint="eastAsia" w:ascii="宋体" w:hAnsi="宋体" w:cs="宋体"/>
          <w:bCs/>
          <w:color w:val="auto"/>
          <w:sz w:val="24"/>
          <w:highlight w:val="none"/>
        </w:rPr>
        <w:t xml:space="preserve">    4.1本合同考核评价按附表</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1</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为标准。</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4.2考核期限</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    供货期间甲方辖下各分（子）公司将对乙方的供货服务及货物质量进行不定期的考核，考核时间以甲方辖下各分（子）公司确认为准，考核次数为每6个月考核不少于1次；若合同签订期限未满6个月，则合同期内考核不少于1次。</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4.3考核评价办法</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考核得分在80分以上为合格（不含80分）。若等于或者低于80分，甲方有权立即解除合同，并扣除乙方全部履约保证金，同时根据损失情况可要求乙方承担赔偿责任。</w:t>
      </w:r>
    </w:p>
    <w:p>
      <w:pPr>
        <w:spacing w:line="520" w:lineRule="exact"/>
        <w:rPr>
          <w:rFonts w:ascii="宋体" w:hAnsi="宋体" w:cs="宋体"/>
          <w:color w:val="auto"/>
          <w:kern w:val="0"/>
          <w:sz w:val="24"/>
          <w:highlight w:val="none"/>
        </w:rPr>
      </w:pPr>
      <w:r>
        <w:rPr>
          <w:rFonts w:hint="eastAsia" w:ascii="宋体" w:hAnsi="宋体" w:cs="宋体"/>
          <w:color w:val="auto"/>
          <w:sz w:val="24"/>
          <w:highlight w:val="none"/>
        </w:rPr>
        <w:tab/>
      </w:r>
      <w:r>
        <w:rPr>
          <w:rFonts w:hint="eastAsia" w:ascii="宋体" w:hAnsi="宋体" w:cs="宋体"/>
          <w:b/>
          <w:color w:val="auto"/>
          <w:sz w:val="24"/>
          <w:highlight w:val="none"/>
        </w:rPr>
        <w:t>第五条 双方的权利和义务</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5.1甲方的权利和义务</w:t>
      </w:r>
    </w:p>
    <w:p>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5.1.1有权对乙方提供产品进行督导，对于乙方不履行合同、不正确履行合同、不完全履行合同等行为，甲方有权要求乙方立即更正，并采取其他补救措施。</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5.1.2有权到乙方生产现场校验未交接货物。</w:t>
      </w:r>
    </w:p>
    <w:p>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5.1.3甲方有权不定期将货物样品送至具有CMA资格认证的第三方检测机构进行检测，如检测结果不符合本合同约定的，甲方将按本合同3.5条款对乙方进行处罚。</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5.1.4有权调配供货量至甲方下属各分/子公司。</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5.1.5按合同规定的其他权利和义务。</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5.2乙方的权利和义务</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5.2.1乙方须保证供货量能达到甲方（招标文件/询价文件）要求的标的（包括标段</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）总供货需求量。</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5.2.2按照合同约定对货物进行包装、装运和运输，服从甲方安排，在厂区指定位置，按时保质交付货物。</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5.2.3乙方按照合同要求提供技术人员进行技术支持服务。</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5.2.4乙方提供每批货物的生产厂家出厂合格证书及有关供货说明文件。</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5.2.5接受甲方监督，接受支付款项。</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5.2.6本合同规定的其他权利和义务。</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第六条 合同总价及结算方式</w:t>
      </w:r>
    </w:p>
    <w:p>
      <w:pPr>
        <w:tabs>
          <w:tab w:val="left" w:pos="851"/>
        </w:tabs>
        <w:adjustRightInd w:val="0"/>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6.1合同暂定总价为</w:t>
      </w:r>
      <w:r>
        <w:rPr>
          <w:rFonts w:hint="eastAsia" w:ascii="宋体" w:hAnsi="宋体" w:cs="宋体"/>
          <w:i w:val="0"/>
          <w:iCs w:val="0"/>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tabs>
          <w:tab w:val="left" w:pos="851"/>
        </w:tabs>
        <w:adjustRightInd w:val="0"/>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本合同约定的价格为含税价价格（税率 </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u w:val="single"/>
        </w:rPr>
        <w:t>%</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），合同履行期间国家税率调整或乙方开票的实际税率与前述税率不一致的，不含税价不变，价税合计按实际税率相应调整，以开具发票的时间为准。</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6.2本合同计价按以下</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rPr>
        <w:t>方式：</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（1）乙方按每吨（药剂）计价，单价为</w:t>
      </w:r>
      <w:r>
        <w:rPr>
          <w:rFonts w:hint="eastAsia" w:ascii="宋体" w:hAnsi="宋体" w:cs="宋体"/>
          <w:color w:val="auto"/>
          <w:sz w:val="24"/>
          <w:highlight w:val="none"/>
          <w:u w:val="single"/>
          <w:lang w:val="en-US" w:eastAsia="zh-CN"/>
        </w:rPr>
        <w:t xml:space="preserve">氢氧化钠（30%溶液）    </w:t>
      </w:r>
      <w:r>
        <w:rPr>
          <w:rFonts w:hint="eastAsia" w:ascii="宋体" w:hAnsi="宋体" w:cs="宋体"/>
          <w:color w:val="auto"/>
          <w:sz w:val="24"/>
          <w:highlight w:val="none"/>
        </w:rPr>
        <w:t>元/吨。单价应包括：货物出厂价、运至合同指定地点的包装费、运输及保险费、装卸入仓的费用（甲方免费提供仓储服务）、人工服务费、检测费、调试检验费及需向政府缴纳的各项税费等，若为进口货物还应包含进口环节税费。合同单价在合同有效期内为不变价。乙方已经充分考虑本合同履行期间的市场风险和国家政策性调整风险系数并已计入报价，因此合同单价在合同有效期内不因任何因素而作调整。</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2）乙方按每吨干污泥的单价包干报价，单价为_______元/吨。该报价应包括：货物出厂价、运至合同指定地点的包装费、运输费、装卸入仓的费用（甲方辖下分/子公司免费提供仓储服务）、乙方服务小组的驻场服务费、调试检验费及需向政府缴纳的各项税费。（</w:t>
      </w:r>
      <w:r>
        <w:rPr>
          <w:rFonts w:hint="eastAsia" w:ascii="宋体" w:hAnsi="宋体" w:cs="宋体"/>
          <w:b/>
          <w:bCs/>
          <w:color w:val="auto"/>
          <w:sz w:val="24"/>
          <w:highlight w:val="none"/>
        </w:rPr>
        <w:t>适用阳离子药剂</w:t>
      </w:r>
      <w:r>
        <w:rPr>
          <w:rFonts w:hint="eastAsia" w:ascii="宋体" w:hAnsi="宋体" w:cs="宋体"/>
          <w:color w:val="auto"/>
          <w:sz w:val="24"/>
          <w:highlight w:val="none"/>
        </w:rPr>
        <w:t>）</w:t>
      </w:r>
    </w:p>
    <w:p>
      <w:pPr>
        <w:spacing w:line="520" w:lineRule="exact"/>
        <w:ind w:firstLine="424" w:firstLineChars="177"/>
        <w:jc w:val="left"/>
        <w:rPr>
          <w:rFonts w:ascii="宋体" w:hAnsi="宋体" w:cs="宋体"/>
          <w:color w:val="auto"/>
          <w:sz w:val="24"/>
          <w:highlight w:val="none"/>
        </w:rPr>
      </w:pPr>
      <w:r>
        <w:rPr>
          <w:rFonts w:hint="eastAsia" w:ascii="宋体" w:hAnsi="宋体" w:cs="宋体"/>
          <w:color w:val="auto"/>
          <w:sz w:val="24"/>
          <w:highlight w:val="none"/>
        </w:rPr>
        <w:t>6.3由甲方/</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子公司进行本合同药剂费用支付。</w:t>
      </w:r>
    </w:p>
    <w:p>
      <w:pPr>
        <w:spacing w:line="520" w:lineRule="exact"/>
        <w:ind w:firstLine="465"/>
        <w:rPr>
          <w:rFonts w:ascii="宋体" w:hAnsi="宋体" w:cs="宋体"/>
          <w:color w:val="auto"/>
          <w:sz w:val="24"/>
          <w:highlight w:val="none"/>
        </w:rPr>
      </w:pPr>
      <w:r>
        <w:rPr>
          <w:rFonts w:hint="eastAsia" w:ascii="宋体" w:hAnsi="宋体" w:cs="宋体"/>
          <w:color w:val="auto"/>
          <w:sz w:val="24"/>
          <w:highlight w:val="none"/>
        </w:rPr>
        <w:t>6.4本合同结算按以下</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rPr>
        <w:t>方式：</w:t>
      </w:r>
    </w:p>
    <w:p>
      <w:pPr>
        <w:numPr>
          <w:ilvl w:val="0"/>
          <w:numId w:val="6"/>
        </w:numPr>
        <w:spacing w:line="520" w:lineRule="exact"/>
        <w:ind w:firstLine="465"/>
        <w:rPr>
          <w:rFonts w:ascii="宋体" w:hAnsi="宋体" w:cs="宋体"/>
          <w:color w:val="auto"/>
          <w:sz w:val="24"/>
          <w:highlight w:val="none"/>
        </w:rPr>
      </w:pPr>
      <w:r>
        <w:rPr>
          <w:rFonts w:hint="eastAsia" w:ascii="宋体" w:hAnsi="宋体" w:cs="宋体"/>
          <w:color w:val="auto"/>
          <w:sz w:val="24"/>
          <w:highlight w:val="none"/>
        </w:rPr>
        <w:t>以甲方地磅数的实际重量结算，若甲方地磅数大于乙方出厂送货单地磅数，以乙方出厂送货单地磅数结算。</w:t>
      </w:r>
    </w:p>
    <w:p>
      <w:pPr>
        <w:numPr>
          <w:ilvl w:val="0"/>
          <w:numId w:val="6"/>
        </w:numPr>
        <w:spacing w:line="520" w:lineRule="exact"/>
        <w:ind w:firstLine="465"/>
        <w:rPr>
          <w:rFonts w:ascii="宋体" w:hAnsi="宋体" w:cs="宋体"/>
          <w:color w:val="auto"/>
          <w:sz w:val="24"/>
          <w:highlight w:val="none"/>
        </w:rPr>
      </w:pPr>
      <w:r>
        <w:rPr>
          <w:rFonts w:hint="eastAsia" w:ascii="宋体" w:hAnsi="宋体" w:cs="宋体"/>
          <w:color w:val="auto"/>
          <w:sz w:val="24"/>
          <w:highlight w:val="none"/>
        </w:rPr>
        <w:t>以当月外运污泥总数*（乘以）当月甲方化验室检测平均含水率结果折算成纯干污泥量进行结算支付，甲方按合同单价乘以纯干污泥量每月与乙方结算一次。乙方根据结算金额开具等额增值税专用发票（或经甲方认可的国家合法的商品发票），交甲方办理付款手续。（干污泥的计算方法详见招标文件投标人须知的有关规定）</w:t>
      </w:r>
      <w:r>
        <w:rPr>
          <w:rFonts w:hint="eastAsia" w:ascii="宋体" w:hAnsi="宋体" w:cs="宋体"/>
          <w:b/>
          <w:bCs/>
          <w:color w:val="auto"/>
          <w:sz w:val="24"/>
          <w:highlight w:val="none"/>
        </w:rPr>
        <w:t>（适用阳离子药剂）</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6.5甲方与乙方按照实际供货量结算，甲方按合同单价每月与乙方结算一次。乙方应在每月</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日前将结算表以书面形式交付甲方，若甲方对结算内容有异议，应书面回复乙方。乙方根据甲方确认的结算金额开具等额</w:t>
      </w:r>
      <w:r>
        <w:rPr>
          <w:rFonts w:hint="eastAsia" w:ascii="宋体" w:hAnsi="宋体" w:cs="宋体"/>
          <w:color w:val="auto"/>
          <w:sz w:val="24"/>
          <w:highlight w:val="none"/>
          <w:u w:val="single"/>
        </w:rPr>
        <w:t>增值税专用发票</w:t>
      </w:r>
      <w:r>
        <w:rPr>
          <w:rFonts w:hint="eastAsia" w:ascii="宋体" w:hAnsi="宋体" w:cs="宋体"/>
          <w:color w:val="auto"/>
          <w:sz w:val="24"/>
          <w:highlight w:val="none"/>
        </w:rPr>
        <w:t>（或经甲方认可的国家合法的商品发票），交甲方办理付款手续。</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6.6乙方收款账户：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开户行：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乙方在收款前需向甲方提交等额增值税专用发票，增值税专用发票信息：</w:t>
      </w:r>
    </w:p>
    <w:p>
      <w:pPr>
        <w:spacing w:line="520" w:lineRule="exact"/>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名称：广州市净水有限公司</w:t>
      </w:r>
    </w:p>
    <w:p>
      <w:pPr>
        <w:spacing w:line="520" w:lineRule="exact"/>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纳税人识别号：91440101755584729Q</w:t>
      </w:r>
    </w:p>
    <w:p>
      <w:pPr>
        <w:spacing w:line="520" w:lineRule="exact"/>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地址、电话：广州市天河区临江大道501号；020-38890283</w:t>
      </w:r>
    </w:p>
    <w:p>
      <w:pPr>
        <w:spacing w:line="520" w:lineRule="exact"/>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开户行：民生银行广州分行</w:t>
      </w:r>
    </w:p>
    <w:p>
      <w:pPr>
        <w:spacing w:line="520" w:lineRule="exact"/>
        <w:ind w:firstLine="480" w:firstLineChars="200"/>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账号：0301014140006932</w:t>
      </w:r>
    </w:p>
    <w:p>
      <w:p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第七条 包装、装运和运输</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7.1乙方负责把货物安全运到交货地点。</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包装必须与运输方式相适应，包装上应附有产品合格证书，内容包括：产品名称、生产厂家名称、批号、净含量、生产日期及标准编号等。考虑运输和储存中的各种情况（如暴露于恶劣天气等），包装必须满足运输、转运、装卸和储存的要求。</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7.3包装方式由乙方负责，因包装方式不当对货物造成损坏的（包括货物质量、安全责任、财产损失等），均由乙方负责。</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7.4乙方运输过程应防止药剂雨淋、受潮，并避免有毒物品的污染。投药过程需做好无缝对接措施，确保药液不外泄。交货期间所需办理的所有手续及费用由乙方自行负责，甲方不提供任何文件及协助。</w:t>
      </w:r>
    </w:p>
    <w:p>
      <w:pPr>
        <w:spacing w:line="520" w:lineRule="exact"/>
        <w:ind w:firstLine="410"/>
        <w:rPr>
          <w:rFonts w:ascii="宋体" w:hAnsi="宋体" w:cs="宋体"/>
          <w:color w:val="auto"/>
          <w:sz w:val="24"/>
          <w:highlight w:val="none"/>
        </w:rPr>
      </w:pPr>
      <w:r>
        <w:rPr>
          <w:rFonts w:hint="eastAsia" w:ascii="宋体" w:hAnsi="宋体" w:cs="宋体"/>
          <w:color w:val="auto"/>
          <w:sz w:val="24"/>
          <w:highlight w:val="none"/>
        </w:rPr>
        <w:t>7.5乙方车辆运输</w:t>
      </w:r>
      <w:r>
        <w:rPr>
          <w:rFonts w:hint="eastAsia" w:ascii="宋体" w:hAnsi="宋体" w:cs="宋体"/>
          <w:color w:val="auto"/>
          <w:sz w:val="24"/>
          <w:highlight w:val="none"/>
          <w:u w:val="single"/>
          <w:lang w:val="en-US" w:eastAsia="zh-CN"/>
        </w:rPr>
        <w:t xml:space="preserve"> 氢氧化钠（30%溶液）</w:t>
      </w:r>
      <w:r>
        <w:rPr>
          <w:rFonts w:hint="eastAsia" w:ascii="宋体" w:hAnsi="宋体" w:cs="宋体"/>
          <w:color w:val="auto"/>
          <w:sz w:val="24"/>
          <w:highlight w:val="none"/>
        </w:rPr>
        <w:t>产品时必须合法合规，其运输荷载要根据甲方现场情况调整，因乙方原因造成的甲方或第三方损失的一切责任由乙方承担。</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第八条 交货要求</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 xml:space="preserve"> </w:t>
      </w:r>
      <w:r>
        <w:rPr>
          <w:rFonts w:hint="eastAsia" w:ascii="宋体" w:hAnsi="宋体" w:cs="宋体"/>
          <w:color w:val="auto"/>
          <w:sz w:val="24"/>
          <w:highlight w:val="none"/>
        </w:rPr>
        <w:t>8.1交货时间：</w:t>
      </w:r>
      <w:r>
        <w:rPr>
          <w:rFonts w:hint="eastAsia" w:ascii="宋体" w:hAnsi="宋体" w:cs="宋体"/>
          <w:bCs/>
          <w:color w:val="auto"/>
          <w:sz w:val="24"/>
          <w:highlight w:val="none"/>
        </w:rPr>
        <w:t>合同期内甲方提前24小时以传真或电子邮件（短信或微信）等形式通知乙方交货时间、名称、型号、数量，乙方必须按要求送货。</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 xml:space="preserve"> </w:t>
      </w:r>
      <w:r>
        <w:rPr>
          <w:rFonts w:hint="eastAsia" w:ascii="宋体" w:hAnsi="宋体" w:cs="宋体"/>
          <w:color w:val="auto"/>
          <w:sz w:val="24"/>
          <w:highlight w:val="none"/>
        </w:rPr>
        <w:t>8.2乙方必须在交货时一并提供每批货物的质量合格证书、使用说明书等附随资料，内容包括：生产名称、生产日期、净含量等，产品必须符合</w:t>
      </w:r>
      <w:r>
        <w:rPr>
          <w:rFonts w:hint="eastAsia" w:ascii="宋体" w:hAnsi="宋体" w:cs="宋体"/>
          <w:color w:val="auto"/>
          <w:kern w:val="0"/>
          <w:sz w:val="24"/>
          <w:highlight w:val="none"/>
        </w:rPr>
        <w:t>国家标准或化工行业相关最新标准</w:t>
      </w:r>
      <w:r>
        <w:rPr>
          <w:rFonts w:hint="eastAsia" w:ascii="宋体" w:hAnsi="宋体" w:cs="宋体"/>
          <w:color w:val="auto"/>
          <w:sz w:val="24"/>
          <w:highlight w:val="none"/>
        </w:rPr>
        <w:t>，证明及标准编号，经甲方检验货物的基本资料合格后方能交付。货物毁损、灭失的风险，在交付前由乙方承担。</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 xml:space="preserve"> </w:t>
      </w:r>
      <w:r>
        <w:rPr>
          <w:rFonts w:hint="eastAsia" w:ascii="宋体" w:hAnsi="宋体" w:cs="宋体"/>
          <w:color w:val="auto"/>
          <w:sz w:val="24"/>
          <w:highlight w:val="none"/>
        </w:rPr>
        <w:t>8.3</w:t>
      </w:r>
      <w:r>
        <w:rPr>
          <w:rFonts w:hint="eastAsia" w:ascii="宋体" w:hAnsi="宋体" w:cs="宋体"/>
          <w:bCs/>
          <w:color w:val="auto"/>
          <w:sz w:val="24"/>
          <w:highlight w:val="none"/>
        </w:rPr>
        <w:t>乙方随货开具送货单交甲方盖章或签字，送货单一式两份，双方各执一份。</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 xml:space="preserve">    第九条 履约担保</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9.1履约担保提交时间按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（1）执行。</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（1）乙方在签订合同前，应向甲方提交履约担保，担保金为合同暂定总价的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，即人民币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元（按招标文件或询价文件要求）。</w:t>
      </w:r>
    </w:p>
    <w:p>
      <w:pPr>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rPr>
        <w:t>乙方在签订合同后15个工作日内提交履约担保，担保金为合同暂定总价的10%，即人民币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元。未按时提供的，甲方有权解除合同并要求乙方支付违约金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元（适用应急项目）。</w:t>
      </w:r>
    </w:p>
    <w:p>
      <w:pPr>
        <w:pStyle w:val="17"/>
        <w:spacing w:before="0" w:beforeAutospacing="0" w:after="0" w:afterAutospacing="0" w:line="520" w:lineRule="exact"/>
        <w:ind w:firstLine="480"/>
        <w:rPr>
          <w:color w:val="auto"/>
          <w:highlight w:val="none"/>
        </w:rPr>
      </w:pPr>
      <w:r>
        <w:rPr>
          <w:rFonts w:hint="eastAsia"/>
          <w:color w:val="auto"/>
          <w:highlight w:val="none"/>
        </w:rPr>
        <w:t>9.2</w:t>
      </w:r>
      <w:r>
        <w:rPr>
          <w:color w:val="auto"/>
          <w:highlight w:val="none"/>
        </w:rPr>
        <w:t>履约担保</w:t>
      </w:r>
      <w:r>
        <w:rPr>
          <w:rFonts w:hint="eastAsia"/>
          <w:color w:val="auto"/>
          <w:highlight w:val="none"/>
        </w:rPr>
        <w:t>按以下任一种形式提供</w:t>
      </w:r>
      <w:r>
        <w:rPr>
          <w:color w:val="auto"/>
          <w:highlight w:val="none"/>
        </w:rPr>
        <w:t>：</w:t>
      </w:r>
    </w:p>
    <w:p>
      <w:pPr>
        <w:pStyle w:val="17"/>
        <w:spacing w:before="0" w:beforeAutospacing="0" w:after="0" w:afterAutospacing="0" w:line="520" w:lineRule="exact"/>
        <w:ind w:firstLine="480"/>
        <w:rPr>
          <w:color w:val="auto"/>
          <w:highlight w:val="none"/>
        </w:rPr>
      </w:pPr>
      <w:r>
        <w:rPr>
          <w:rFonts w:hint="eastAsia"/>
          <w:color w:val="auto"/>
          <w:highlight w:val="none"/>
        </w:rPr>
        <w:t>1、符合甲方要求（详见附件</w:t>
      </w:r>
      <w:r>
        <w:rPr>
          <w:rFonts w:hint="eastAsia"/>
          <w:color w:val="auto"/>
          <w:highlight w:val="none"/>
          <w:lang w:val="en-US" w:eastAsia="zh-CN"/>
        </w:rPr>
        <w:t>7</w:t>
      </w:r>
      <w:r>
        <w:rPr>
          <w:rFonts w:hint="eastAsia"/>
          <w:color w:val="auto"/>
          <w:highlight w:val="none"/>
        </w:rPr>
        <w:t>保函格式）的银行独立保函，</w:t>
      </w:r>
    </w:p>
    <w:p>
      <w:pPr>
        <w:pStyle w:val="17"/>
        <w:spacing w:before="0" w:beforeAutospacing="0" w:after="0" w:afterAutospacing="0" w:line="520" w:lineRule="exact"/>
        <w:ind w:firstLine="480"/>
        <w:rPr>
          <w:color w:val="auto"/>
          <w:highlight w:val="none"/>
        </w:rPr>
      </w:pPr>
      <w:r>
        <w:rPr>
          <w:rFonts w:hint="eastAsia"/>
          <w:color w:val="auto"/>
          <w:highlight w:val="none"/>
        </w:rPr>
        <w:t>2、现金转账至甲方以下指定账户：</w:t>
      </w:r>
    </w:p>
    <w:p>
      <w:pPr>
        <w:tabs>
          <w:tab w:val="left" w:pos="1995"/>
        </w:tabs>
        <w:spacing w:line="52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户名：</w:t>
      </w:r>
    </w:p>
    <w:p>
      <w:pPr>
        <w:tabs>
          <w:tab w:val="left" w:pos="1995"/>
        </w:tabs>
        <w:spacing w:line="52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账号：</w:t>
      </w:r>
    </w:p>
    <w:p>
      <w:pPr>
        <w:tabs>
          <w:tab w:val="left" w:pos="1995"/>
        </w:tabs>
        <w:spacing w:line="520" w:lineRule="exact"/>
        <w:ind w:firstLine="480" w:firstLineChars="200"/>
        <w:rPr>
          <w:color w:val="auto"/>
        </w:rPr>
      </w:pPr>
      <w:r>
        <w:rPr>
          <w:rFonts w:hint="eastAsia" w:ascii="宋体" w:hAnsi="宋体" w:cs="宋体"/>
          <w:bCs/>
          <w:color w:val="auto"/>
          <w:sz w:val="24"/>
          <w:highlight w:val="none"/>
        </w:rPr>
        <w:t>开户行：</w:t>
      </w:r>
    </w:p>
    <w:p>
      <w:pPr>
        <w:spacing w:line="520" w:lineRule="exact"/>
        <w:ind w:firstLine="420"/>
        <w:rPr>
          <w:rFonts w:ascii="宋体" w:hAnsi="宋体" w:cs="宋体"/>
          <w:color w:val="auto"/>
          <w:sz w:val="24"/>
          <w:highlight w:val="none"/>
        </w:rPr>
      </w:pPr>
      <w:r>
        <w:rPr>
          <w:rFonts w:hint="eastAsia" w:ascii="宋体" w:hAnsi="宋体" w:cs="宋体"/>
          <w:color w:val="auto"/>
          <w:sz w:val="24"/>
          <w:highlight w:val="none"/>
        </w:rPr>
        <w:t>9.3履约担保的担保期限和返还</w:t>
      </w:r>
    </w:p>
    <w:p>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9.3.1履约银行保函（或现金履约保证金）的担保期限：从提供履约担保（或转账成功）之日起至合同履行完成。</w:t>
      </w:r>
    </w:p>
    <w:p>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9.3.2履约银行保函在合同履行完成后，由乙方提出申请，甲方在28日内返还，不支付利息；</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9.3.3现金转账形式：合同履行完成后，由乙方提出申请，甲方在28日内将保证金（无息）返还。</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9.3.4延长担保期限：乙方以履约银行保函形式提交履约保证金的，在银行保函到期前，乙方应提前7日向甲方提交新的保函以替换即将到期的保函。如乙方未及时提交的，甲方有权直接要求担保银行支付其担保的全部金额并解除合同。</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9.3.5甲方按本合同规定提取履约担保金额后，乙方应在收到甲方通知后</w:t>
      </w:r>
      <w:r>
        <w:rPr>
          <w:rFonts w:ascii="宋体" w:hAnsi="宋体" w:cs="宋体"/>
          <w:color w:val="auto"/>
          <w:sz w:val="24"/>
          <w:highlight w:val="none"/>
          <w:u w:val="single"/>
        </w:rPr>
        <w:t xml:space="preserve"> 7</w:t>
      </w:r>
      <w:r>
        <w:rPr>
          <w:rFonts w:hint="eastAsia" w:ascii="宋体" w:hAnsi="宋体" w:cs="宋体"/>
          <w:color w:val="auto"/>
          <w:sz w:val="24"/>
          <w:highlight w:val="none"/>
        </w:rPr>
        <w:t>日内补足数额，逾期未补足的，则甲方有权提取履约担保的全部余额，并有权解除合同。</w:t>
      </w:r>
    </w:p>
    <w:p>
      <w:pPr>
        <w:numPr>
          <w:ilvl w:val="255"/>
          <w:numId w:val="0"/>
        </w:num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第十条 本合同技术服务按以下</w:t>
      </w:r>
      <w:r>
        <w:rPr>
          <w:rFonts w:hint="eastAsia" w:ascii="宋体" w:hAnsi="宋体" w:cs="宋体"/>
          <w:b/>
          <w:color w:val="auto"/>
          <w:sz w:val="24"/>
          <w:highlight w:val="none"/>
          <w:u w:val="single"/>
        </w:rPr>
        <w:t>（1）</w:t>
      </w:r>
      <w:r>
        <w:rPr>
          <w:rFonts w:hint="eastAsia" w:ascii="宋体" w:hAnsi="宋体" w:cs="宋体"/>
          <w:b/>
          <w:color w:val="auto"/>
          <w:sz w:val="24"/>
          <w:highlight w:val="none"/>
        </w:rPr>
        <w:t>方式执行：</w:t>
      </w:r>
    </w:p>
    <w:p>
      <w:p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（1）适用常规生产药剂</w:t>
      </w:r>
    </w:p>
    <w:p>
      <w:pPr>
        <w:spacing w:line="52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10.1供货期内，乙方需在生产现场提供装卸服务。要求保持甲方储存池内的安全库存。</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10.2供货期内，乙方提供相关技术服务和支持。</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1）包含不限于以下服务：</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①安全服务：按甲方需求，乙方协助联合突发抢险应急演练及培训。</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10.3供货期内，若甲方有相关需求，乙方应提供每6个月一次药剂容器清洗服务。</w:t>
      </w:r>
    </w:p>
    <w:p>
      <w:pPr>
        <w:spacing w:line="52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rPr>
        <w:t>10.4</w:t>
      </w:r>
      <w:r>
        <w:rPr>
          <w:rFonts w:hint="eastAsia" w:ascii="宋体" w:hAnsi="宋体" w:cs="宋体"/>
          <w:color w:val="auto"/>
          <w:kern w:val="0"/>
          <w:sz w:val="24"/>
          <w:highlight w:val="none"/>
        </w:rPr>
        <w:t>若乙方不能提供符合国家、省、市或行业标准的技术服务，甲方有权自行委托第三方提供服务，费用由乙方承担，在结算货款或履约保证金中扣除。</w:t>
      </w:r>
    </w:p>
    <w:p>
      <w:pPr>
        <w:spacing w:line="520" w:lineRule="exact"/>
        <w:ind w:firstLine="480" w:firstLineChars="200"/>
        <w:rPr>
          <w:rFonts w:ascii="宋体" w:hAnsi="宋体" w:cs="宋体"/>
          <w:color w:val="auto"/>
          <w:sz w:val="24"/>
          <w:highlight w:val="none"/>
        </w:rPr>
      </w:pPr>
      <w:bookmarkStart w:id="85" w:name="OLE_LINK21"/>
      <w:r>
        <w:rPr>
          <w:rFonts w:hint="eastAsia" w:ascii="宋体" w:hAnsi="宋体" w:cs="宋体"/>
          <w:color w:val="auto"/>
          <w:sz w:val="24"/>
          <w:highlight w:val="none"/>
        </w:rPr>
        <w:t>10.5供货期内，乙方需根据甲方需求，及时提供相关货品的技术支持（含咨询、技术交流等形式）。</w:t>
      </w:r>
    </w:p>
    <w:p>
      <w:p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（2）适用阳离子药剂</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10.4.供货期内，乙方需安排固定工作人员为甲方辖下各分/子公司生产现场提供24小时药剂投加服务，同时应组建技术服务团队，为各厂提供24小时三班运转的技术和生产工艺咨询服务，以便及时根据污泥泥质、产泥量等的变化情况调整投加配方。服务小组人员的工资、保险及食宿等全部费用应已包含在乙方的报价内。</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10.5.若乙方技术人员不能提供符合国家、省、市或行业标准的技术服务或不服从甲方的安排，甲方有权按每人5000元收取违约金并自行聘请其他服务人员，上述违约金以及另行聘请所产生的费用甲方有权直接在货款或履约保证金中扣除。</w:t>
      </w:r>
    </w:p>
    <w:bookmarkEnd w:id="85"/>
    <w:p>
      <w:p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第十一条 不可抗力</w:t>
      </w:r>
    </w:p>
    <w:p>
      <w:pPr>
        <w:widowControl/>
        <w:spacing w:line="520" w:lineRule="exact"/>
        <w:ind w:firstLine="480" w:firstLineChars="200"/>
        <w:rPr>
          <w:rFonts w:ascii="宋体" w:hAnsi="宋体" w:cs="宋体"/>
          <w:color w:val="auto"/>
          <w:sz w:val="24"/>
          <w:highlight w:val="none"/>
        </w:rPr>
      </w:pPr>
      <w:r>
        <w:rPr>
          <w:rFonts w:ascii="宋体" w:hAnsi="宋体" w:cs="宋体"/>
          <w:color w:val="auto"/>
          <w:sz w:val="24"/>
          <w:highlight w:val="none"/>
        </w:rPr>
        <w:t>11.1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⑴ 地震、火山爆发、滑坡、暴雨（橙色预警及以上）、台风（黄色预警及以上）、海啸、龙卷风、大面积流行病</w:t>
      </w:r>
      <w:r>
        <w:rPr>
          <w:rFonts w:ascii="宋体" w:hAnsi="宋体" w:cs="宋体"/>
          <w:color w:val="auto"/>
          <w:sz w:val="24"/>
          <w:highlight w:val="none"/>
        </w:rPr>
        <w:t>(如：非典型性肺炎等)或瘟疫；</w:t>
      </w:r>
    </w:p>
    <w:p>
      <w:pPr>
        <w:widowControl/>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⑵ 战争行为、入侵、武装冲突或外敌行为、封锁、暴乱、恐怖行为或军事演习；</w:t>
      </w:r>
    </w:p>
    <w:p>
      <w:pPr>
        <w:widowControl/>
        <w:spacing w:line="520" w:lineRule="exact"/>
        <w:ind w:firstLine="480" w:firstLineChars="200"/>
        <w:rPr>
          <w:rFonts w:ascii="宋体" w:hAnsi="宋体" w:cs="宋体"/>
          <w:color w:val="auto"/>
          <w:sz w:val="24"/>
          <w:highlight w:val="none"/>
        </w:rPr>
      </w:pPr>
      <w:r>
        <w:rPr>
          <w:rFonts w:ascii="宋体" w:hAnsi="宋体" w:cs="宋体"/>
          <w:color w:val="auto"/>
          <w:sz w:val="24"/>
          <w:highlight w:val="none"/>
        </w:rPr>
        <w:t>11.2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spacing w:line="520" w:lineRule="exact"/>
        <w:ind w:firstLine="480" w:firstLineChars="200"/>
        <w:rPr>
          <w:rFonts w:ascii="宋体" w:hAnsi="宋体" w:cs="宋体"/>
          <w:color w:val="auto"/>
          <w:sz w:val="24"/>
          <w:highlight w:val="none"/>
        </w:rPr>
      </w:pPr>
      <w:r>
        <w:rPr>
          <w:rFonts w:ascii="宋体" w:hAnsi="宋体" w:cs="宋体"/>
          <w:color w:val="auto"/>
          <w:sz w:val="24"/>
          <w:highlight w:val="none"/>
        </w:rPr>
        <w:t>11.3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520" w:lineRule="exact"/>
        <w:ind w:firstLine="480" w:firstLineChars="200"/>
        <w:rPr>
          <w:rFonts w:ascii="宋体" w:hAnsi="宋体" w:cs="宋体"/>
          <w:color w:val="auto"/>
          <w:sz w:val="24"/>
          <w:highlight w:val="none"/>
        </w:rPr>
      </w:pPr>
      <w:r>
        <w:rPr>
          <w:rFonts w:ascii="宋体" w:hAnsi="宋体" w:cs="宋体"/>
          <w:color w:val="auto"/>
          <w:sz w:val="24"/>
          <w:highlight w:val="none"/>
        </w:rPr>
        <w:t>11.4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第十二条 违约及索赔</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甲乙双方应该秉着诚实信用的原则履行合同。</w:t>
      </w:r>
    </w:p>
    <w:p>
      <w:pPr>
        <w:spacing w:line="520" w:lineRule="exact"/>
        <w:rPr>
          <w:rFonts w:ascii="宋体" w:hAnsi="宋体" w:cs="宋体"/>
          <w:b/>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12.1若在供货期间乙方提供的货物不符合本合同要求的，</w:t>
      </w:r>
      <w:bookmarkStart w:id="86" w:name="OLE_LINK28"/>
      <w:r>
        <w:rPr>
          <w:rFonts w:hint="eastAsia" w:ascii="宋体" w:hAnsi="宋体" w:cs="宋体"/>
          <w:color w:val="auto"/>
          <w:sz w:val="24"/>
          <w:highlight w:val="none"/>
        </w:rPr>
        <w:t>对甲方的设备造成损坏或对生产造成影响的，由乙方承担造成的损失。</w:t>
      </w:r>
      <w:bookmarkEnd w:id="86"/>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12.2供货期内若乙方不能按时足额交货的，每逾期一天甲方有权扣除1万元违约金，所扣金额优先在当月结算货款内扣除。累计逾期</w:t>
      </w:r>
      <w:r>
        <w:rPr>
          <w:rFonts w:hint="eastAsia" w:ascii="宋体" w:hAnsi="宋体" w:cs="宋体"/>
          <w:color w:val="auto"/>
          <w:sz w:val="24"/>
          <w:highlight w:val="none"/>
          <w:u w:val="single"/>
        </w:rPr>
        <w:t xml:space="preserve"> 10</w:t>
      </w:r>
      <w:r>
        <w:rPr>
          <w:rFonts w:hint="eastAsia" w:ascii="宋体" w:hAnsi="宋体" w:cs="宋体"/>
          <w:color w:val="auto"/>
          <w:sz w:val="24"/>
          <w:highlight w:val="none"/>
        </w:rPr>
        <w:t>天以上或连续逾期</w:t>
      </w:r>
      <w:r>
        <w:rPr>
          <w:rFonts w:hint="eastAsia" w:ascii="宋体" w:hAnsi="宋体" w:cs="宋体"/>
          <w:color w:val="auto"/>
          <w:sz w:val="24"/>
          <w:highlight w:val="none"/>
          <w:u w:val="single"/>
        </w:rPr>
        <w:t>5</w:t>
      </w:r>
      <w:r>
        <w:rPr>
          <w:rFonts w:hint="eastAsia" w:ascii="宋体" w:hAnsi="宋体" w:cs="宋体"/>
          <w:color w:val="auto"/>
          <w:sz w:val="24"/>
          <w:highlight w:val="none"/>
        </w:rPr>
        <w:t>天以上，甲方有权单方解除本合同，扣除全部履约保证金，并要求乙方承担由此造成的损失。</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12.3由于乙方原因导致合同终止，甲方无需支付剩余货款，有权扣除全部履约保证金，并要求乙方承担由此造成的损失。</w:t>
      </w:r>
    </w:p>
    <w:p>
      <w:pPr>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甲方有权在结算货款及履约保证金中扣除乙方应支付的违约金，不足扣除的，乙方应另行支付。</w:t>
      </w:r>
    </w:p>
    <w:p>
      <w:pPr>
        <w:spacing w:line="52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12.5乙方不履行合同义务、或履行合同义务不符合合同约定、或违反国家、省、市行业标准的，甲方有权要求乙方限期整改。乙方逾期未完成整改的，每项每超过1日支付违约金人民币1万元，超过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color w:val="auto"/>
          <w:sz w:val="24"/>
          <w:highlight w:val="none"/>
          <w:u w:val="single"/>
          <w:lang w:val="en-US" w:eastAsia="zh-CN"/>
        </w:rPr>
        <w:t>15</w:t>
      </w:r>
      <w:r>
        <w:rPr>
          <w:rFonts w:ascii="宋体" w:hAnsi="宋体" w:cs="宋体"/>
          <w:color w:val="auto"/>
          <w:sz w:val="24"/>
          <w:highlight w:val="none"/>
        </w:rPr>
        <w:t>日，甲方有权解除合同并要求乙方支付合同暂定总价的20%作为违约金</w:t>
      </w:r>
      <w:r>
        <w:rPr>
          <w:rFonts w:hint="eastAsia" w:asciiTheme="minorEastAsia" w:hAnsiTheme="minorEastAsia" w:eastAsia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eastAsiaTheme="minorEastAsia"/>
          <w:bCs/>
          <w:color w:val="auto"/>
          <w:sz w:val="24"/>
          <w:highlight w:val="none"/>
        </w:rPr>
        <w:t>）</w:t>
      </w:r>
      <w:r>
        <w:rPr>
          <w:rFonts w:ascii="宋体" w:hAnsi="宋体" w:cs="宋体"/>
          <w:color w:val="auto"/>
          <w:sz w:val="24"/>
          <w:highlight w:val="none"/>
        </w:rPr>
        <w:t>。</w:t>
      </w:r>
    </w:p>
    <w:p>
      <w:pPr>
        <w:spacing w:line="520" w:lineRule="exact"/>
        <w:rPr>
          <w:rFonts w:ascii="宋体" w:hAnsi="宋体" w:cs="宋体"/>
          <w:b/>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第十三条 通讯和送达</w:t>
      </w:r>
    </w:p>
    <w:p>
      <w:pPr>
        <w:adjustRightInd w:val="0"/>
        <w:snapToGrid w:val="0"/>
        <w:spacing w:line="52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 xml:space="preserve">.1 </w:t>
      </w:r>
      <w:r>
        <w:rPr>
          <w:rFonts w:hint="eastAsia" w:ascii="宋体" w:hAnsi="宋体" w:cs="宋体"/>
          <w:color w:val="auto"/>
          <w:sz w:val="24"/>
          <w:highlight w:val="none"/>
        </w:rPr>
        <w:t>通讯是指本合同各方依照本合同约定向另一方发出的通知、决定、指令、同意、证明等各类书面形式的函件。</w:t>
      </w:r>
    </w:p>
    <w:p>
      <w:pPr>
        <w:adjustRightInd w:val="0"/>
        <w:snapToGrid w:val="0"/>
        <w:spacing w:line="52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 xml:space="preserve">.2 </w:t>
      </w:r>
      <w:r>
        <w:rPr>
          <w:rFonts w:hint="eastAsia" w:ascii="宋体" w:hAnsi="宋体" w:cs="宋体"/>
          <w:color w:val="auto"/>
          <w:sz w:val="24"/>
          <w:highlight w:val="none"/>
        </w:rPr>
        <w:t>通讯由专人递送的，各方签收之日为送达之日；由特快专递递送的，各方签收后视为已送达；由传真递送的，传真到达对方之日视为已送达；由电子邮件递送的，电子邮件成功发送时视为送达。</w:t>
      </w:r>
    </w:p>
    <w:p>
      <w:pPr>
        <w:adjustRightInd w:val="0"/>
        <w:snapToGrid w:val="0"/>
        <w:spacing w:line="52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 xml:space="preserve">.3 </w:t>
      </w:r>
      <w:r>
        <w:rPr>
          <w:rFonts w:hint="eastAsia" w:ascii="宋体" w:hAnsi="宋体" w:cs="宋体"/>
          <w:color w:val="auto"/>
          <w:sz w:val="24"/>
          <w:highlight w:val="none"/>
        </w:rPr>
        <w:t>本合同各方变更通讯递送地址、联系人、电子邮件、传真的，应在变更之日起</w:t>
      </w:r>
      <w:r>
        <w:rPr>
          <w:rFonts w:hint="eastAsia" w:ascii="宋体" w:hAnsi="宋体"/>
          <w:color w:val="auto"/>
          <w:sz w:val="24"/>
          <w:highlight w:val="none"/>
          <w:u w:val="single"/>
        </w:rPr>
        <w:t xml:space="preserve"> </w:t>
      </w:r>
      <w:r>
        <w:rPr>
          <w:rFonts w:hint="eastAsia"/>
          <w:color w:val="auto"/>
          <w:sz w:val="24"/>
          <w:highlight w:val="none"/>
          <w:u w:val="single"/>
        </w:rPr>
        <w:t>7</w:t>
      </w:r>
      <w:r>
        <w:rPr>
          <w:rFonts w:hint="eastAsia" w:ascii="宋体" w:hAnsi="宋体"/>
          <w:color w:val="auto"/>
          <w:sz w:val="24"/>
          <w:highlight w:val="none"/>
          <w:u w:val="single"/>
        </w:rPr>
        <w:t xml:space="preserve"> </w:t>
      </w:r>
      <w:r>
        <w:rPr>
          <w:rFonts w:hint="eastAsia" w:ascii="宋体" w:hAnsi="宋体" w:cs="宋体"/>
          <w:color w:val="auto"/>
          <w:sz w:val="24"/>
          <w:highlight w:val="none"/>
        </w:rPr>
        <w:t>日内通知另一方。未通知的，另一方按本合同约定的通讯地址和联系方式发送的文件，均视为送达。</w:t>
      </w:r>
    </w:p>
    <w:p>
      <w:pPr>
        <w:spacing w:line="520" w:lineRule="exact"/>
        <w:ind w:firstLine="482" w:firstLineChars="200"/>
        <w:rPr>
          <w:rFonts w:ascii="宋体" w:hAnsi="宋体" w:cs="宋体"/>
          <w:b/>
          <w:color w:val="auto"/>
          <w:sz w:val="24"/>
          <w:highlight w:val="none"/>
        </w:rPr>
      </w:pPr>
      <w:r>
        <w:rPr>
          <w:rFonts w:hint="eastAsia" w:ascii="宋体" w:hAnsi="宋体" w:cs="宋体"/>
          <w:b/>
          <w:bCs/>
          <w:color w:val="auto"/>
          <w:sz w:val="24"/>
          <w:highlight w:val="none"/>
        </w:rPr>
        <w:t xml:space="preserve">第十四条 </w:t>
      </w:r>
      <w:r>
        <w:rPr>
          <w:rFonts w:hint="eastAsia" w:ascii="宋体" w:hAnsi="宋体" w:cs="宋体"/>
          <w:b/>
          <w:color w:val="auto"/>
          <w:sz w:val="24"/>
          <w:highlight w:val="none"/>
        </w:rPr>
        <w:t>争端解决</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color w:val="auto"/>
          <w:sz w:val="24"/>
          <w:highlight w:val="none"/>
        </w:rPr>
        <w:t>14.1双方应以协商的态度解决双方在执行本合同过程中产生的或与本合同有关的一切争端，双方协商不成，任何一方可依法向甲方所在地人民法院提起诉讼。</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14.2在甲方同意的情况下，除有争端之外的合同其它部分在争端解决前应继续执行。</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第十五条 合同生效</w:t>
      </w:r>
    </w:p>
    <w:p>
      <w:pPr>
        <w:spacing w:line="520" w:lineRule="exact"/>
        <w:ind w:firstLine="420"/>
        <w:rPr>
          <w:rFonts w:ascii="宋体" w:hAnsi="宋体" w:cs="宋体"/>
          <w:color w:val="auto"/>
          <w:sz w:val="24"/>
          <w:highlight w:val="none"/>
        </w:rPr>
      </w:pPr>
      <w:r>
        <w:rPr>
          <w:rFonts w:hint="eastAsia" w:ascii="宋体" w:hAnsi="宋体" w:cs="宋体"/>
          <w:color w:val="auto"/>
          <w:sz w:val="24"/>
          <w:highlight w:val="none"/>
        </w:rPr>
        <w:t>本合同由甲方与乙方签订，在满足以下条件后生效：</w:t>
      </w:r>
    </w:p>
    <w:p>
      <w:pPr>
        <w:spacing w:line="520" w:lineRule="exact"/>
        <w:ind w:left="420"/>
        <w:rPr>
          <w:rFonts w:ascii="宋体" w:hAnsi="宋体" w:cs="宋体"/>
          <w:color w:val="auto"/>
          <w:sz w:val="24"/>
          <w:highlight w:val="none"/>
        </w:rPr>
      </w:pPr>
      <w:r>
        <w:rPr>
          <w:rFonts w:hint="eastAsia" w:ascii="宋体" w:hAnsi="宋体" w:cs="宋体"/>
          <w:color w:val="auto"/>
          <w:sz w:val="24"/>
          <w:highlight w:val="none"/>
        </w:rPr>
        <w:t>15.1甲乙双方法定代表人或授权代理人签字并加盖公章。</w:t>
      </w:r>
    </w:p>
    <w:p>
      <w:pPr>
        <w:spacing w:line="520" w:lineRule="exact"/>
        <w:ind w:left="420"/>
        <w:rPr>
          <w:rFonts w:ascii="宋体" w:hAnsi="宋体" w:cs="宋体"/>
          <w:color w:val="auto"/>
          <w:sz w:val="24"/>
          <w:highlight w:val="none"/>
        </w:rPr>
      </w:pPr>
      <w:r>
        <w:rPr>
          <w:rFonts w:hint="eastAsia" w:ascii="宋体" w:hAnsi="宋体" w:cs="宋体"/>
          <w:color w:val="auto"/>
          <w:sz w:val="24"/>
          <w:highlight w:val="none"/>
        </w:rPr>
        <w:t>15.2甲方收到乙方提交的履约保证金。（如有）</w:t>
      </w:r>
    </w:p>
    <w:p>
      <w:pPr>
        <w:spacing w:line="520" w:lineRule="exact"/>
        <w:ind w:left="420"/>
        <w:rPr>
          <w:rFonts w:ascii="宋体" w:hAnsi="宋体" w:cs="宋体"/>
          <w:color w:val="auto"/>
          <w:sz w:val="24"/>
          <w:highlight w:val="none"/>
        </w:rPr>
      </w:pPr>
      <w:r>
        <w:rPr>
          <w:rFonts w:hint="eastAsia" w:ascii="宋体" w:hAnsi="宋体" w:cs="宋体"/>
          <w:color w:val="auto"/>
          <w:sz w:val="24"/>
          <w:highlight w:val="none"/>
        </w:rPr>
        <w:t>15.3与甲方子公司签订管理协议（详见附件1）、安全管理协议书（详见附件2）、廉洁协议（详见附件3）。</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第十六条 其他</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16.1甲方辖下各分/子公司负责本合同的具体执行。</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16.2除甲方书面同意外，乙方不得转让其合同项下的义务。</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16.3本合同一式_</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份，甲方__</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_份，乙方</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份。</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16.4本合同共_</w:t>
      </w:r>
      <w:r>
        <w:rPr>
          <w:rFonts w:hint="eastAsia" w:ascii="宋体" w:hAnsi="宋体" w:cs="宋体"/>
          <w:color w:val="auto"/>
          <w:sz w:val="24"/>
          <w:highlight w:val="none"/>
          <w:lang w:val="en-US" w:eastAsia="zh-CN"/>
        </w:rPr>
        <w:t>29</w:t>
      </w:r>
      <w:r>
        <w:rPr>
          <w:rFonts w:hint="eastAsia" w:ascii="宋体" w:hAnsi="宋体" w:cs="宋体"/>
          <w:color w:val="auto"/>
          <w:sz w:val="24"/>
          <w:highlight w:val="none"/>
        </w:rPr>
        <w:t>_页A4纸张，缺页之合同为无效合同。</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16.5补充条款：</w:t>
      </w:r>
      <w:r>
        <w:rPr>
          <w:rFonts w:hint="eastAsia" w:ascii="宋体" w:hAnsi="宋体" w:cs="宋体"/>
          <w:color w:val="auto"/>
          <w:sz w:val="24"/>
          <w:highlight w:val="none"/>
          <w:u w:val="single"/>
        </w:rPr>
        <w:t xml:space="preserve">               </w:t>
      </w:r>
    </w:p>
    <w:p>
      <w:pPr>
        <w:spacing w:line="520" w:lineRule="exact"/>
        <w:ind w:left="420"/>
        <w:rPr>
          <w:rFonts w:ascii="宋体" w:hAnsi="宋体"/>
          <w:bCs/>
          <w:color w:val="auto"/>
          <w:sz w:val="24"/>
          <w:highlight w:val="none"/>
        </w:rPr>
      </w:pPr>
      <w:r>
        <w:rPr>
          <w:rFonts w:hint="eastAsia" w:ascii="宋体" w:hAnsi="宋体" w:cs="宋体"/>
          <w:color w:val="auto"/>
          <w:sz w:val="24"/>
          <w:highlight w:val="none"/>
        </w:rPr>
        <w:t>附表：</w:t>
      </w:r>
      <w:r>
        <w:rPr>
          <w:rFonts w:hint="eastAsia" w:ascii="宋体" w:hAnsi="宋体"/>
          <w:bCs/>
          <w:color w:val="auto"/>
          <w:sz w:val="24"/>
          <w:highlight w:val="none"/>
        </w:rPr>
        <w:t>1.考核评价标准</w:t>
      </w:r>
    </w:p>
    <w:p>
      <w:pPr>
        <w:numPr>
          <w:ilvl w:val="0"/>
          <w:numId w:val="7"/>
        </w:numPr>
        <w:spacing w:line="520" w:lineRule="exact"/>
        <w:rPr>
          <w:rFonts w:ascii="宋体" w:hAnsi="宋体"/>
          <w:bCs/>
          <w:color w:val="auto"/>
          <w:sz w:val="24"/>
          <w:highlight w:val="none"/>
        </w:rPr>
      </w:pPr>
      <w:r>
        <w:rPr>
          <w:rFonts w:hint="eastAsia" w:ascii="宋体" w:hAnsi="宋体"/>
          <w:bCs/>
          <w:color w:val="auto"/>
          <w:sz w:val="24"/>
          <w:highlight w:val="none"/>
        </w:rPr>
        <w:t>考核评价标准(阳离子适用）</w:t>
      </w:r>
    </w:p>
    <w:p>
      <w:pPr>
        <w:spacing w:line="520" w:lineRule="exact"/>
        <w:ind w:left="1260"/>
        <w:rPr>
          <w:rFonts w:ascii="宋体" w:hAnsi="宋体"/>
          <w:bCs/>
          <w:color w:val="auto"/>
          <w:sz w:val="24"/>
          <w:highlight w:val="none"/>
        </w:rPr>
      </w:pPr>
      <w:r>
        <w:rPr>
          <w:rFonts w:hint="eastAsia" w:ascii="宋体" w:hAnsi="宋体"/>
          <w:bCs/>
          <w:color w:val="auto"/>
          <w:sz w:val="24"/>
          <w:highlight w:val="none"/>
        </w:rPr>
        <w:t>3-1药剂安全情况自查表(普通化学品）</w:t>
      </w:r>
    </w:p>
    <w:p>
      <w:pPr>
        <w:spacing w:line="520" w:lineRule="exact"/>
        <w:ind w:left="1260"/>
        <w:rPr>
          <w:rFonts w:ascii="宋体" w:hAnsi="宋体"/>
          <w:bCs/>
          <w:color w:val="auto"/>
          <w:sz w:val="24"/>
          <w:highlight w:val="none"/>
        </w:rPr>
      </w:pPr>
      <w:r>
        <w:rPr>
          <w:rFonts w:hint="eastAsia" w:ascii="宋体" w:hAnsi="宋体"/>
          <w:bCs/>
          <w:color w:val="auto"/>
          <w:sz w:val="24"/>
          <w:highlight w:val="none"/>
        </w:rPr>
        <w:t>3-2药剂安全情况自查表(危险化学品）</w:t>
      </w:r>
    </w:p>
    <w:p>
      <w:pPr>
        <w:spacing w:line="520" w:lineRule="exact"/>
        <w:ind w:left="420"/>
        <w:rPr>
          <w:rFonts w:hint="default"/>
          <w:color w:val="auto"/>
          <w:highlight w:val="yellow"/>
          <w:lang w:val="en-US" w:eastAsia="zh-CN"/>
        </w:rPr>
      </w:pPr>
      <w:r>
        <w:rPr>
          <w:rFonts w:hint="eastAsia" w:ascii="宋体" w:hAnsi="宋体" w:cs="宋体"/>
          <w:color w:val="auto"/>
          <w:sz w:val="24"/>
          <w:highlight w:val="none"/>
        </w:rPr>
        <w:t>附件：1.子公司管理协议</w:t>
      </w:r>
      <w:r>
        <w:rPr>
          <w:rFonts w:hint="eastAsia" w:ascii="宋体" w:hAnsi="宋体" w:cs="宋体"/>
          <w:color w:val="auto"/>
          <w:sz w:val="24"/>
          <w:highlight w:val="none"/>
          <w:lang w:val="en-US" w:eastAsia="zh-CN"/>
        </w:rPr>
        <w:t>(如需）</w:t>
      </w:r>
    </w:p>
    <w:p>
      <w:pPr>
        <w:spacing w:line="520" w:lineRule="exact"/>
        <w:ind w:firstLine="1200" w:firstLineChars="500"/>
        <w:rPr>
          <w:rFonts w:ascii="宋体" w:hAnsi="宋体" w:cs="宋体"/>
          <w:color w:val="auto"/>
          <w:sz w:val="24"/>
          <w:highlight w:val="none"/>
        </w:rPr>
      </w:pPr>
      <w:r>
        <w:rPr>
          <w:rFonts w:hint="eastAsia" w:ascii="宋体" w:hAnsi="宋体" w:cs="宋体"/>
          <w:color w:val="auto"/>
          <w:sz w:val="24"/>
          <w:highlight w:val="none"/>
        </w:rPr>
        <w:t>2.安全管理协议书</w:t>
      </w:r>
    </w:p>
    <w:p>
      <w:pPr>
        <w:spacing w:line="520" w:lineRule="exact"/>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3.廉洁协议</w:t>
      </w:r>
    </w:p>
    <w:p>
      <w:pPr>
        <w:spacing w:line="520" w:lineRule="exact"/>
        <w:ind w:firstLine="1200" w:firstLineChars="5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中标通知书/发包通知书（如有）</w:t>
      </w:r>
    </w:p>
    <w:p>
      <w:pPr>
        <w:spacing w:line="520" w:lineRule="exact"/>
        <w:ind w:firstLine="1200" w:firstLineChars="5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授权委托证明（如需）</w:t>
      </w:r>
    </w:p>
    <w:p>
      <w:pPr>
        <w:spacing w:line="520" w:lineRule="exact"/>
        <w:ind w:firstLine="1200" w:firstLineChars="5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报价单</w:t>
      </w:r>
    </w:p>
    <w:p>
      <w:pPr>
        <w:spacing w:line="520" w:lineRule="exact"/>
        <w:ind w:left="1197" w:leftChars="570" w:firstLine="0" w:firstLineChars="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履约保函（模板）</w:t>
      </w:r>
    </w:p>
    <w:p>
      <w:pPr>
        <w:spacing w:line="520" w:lineRule="exact"/>
        <w:rPr>
          <w:color w:val="auto"/>
        </w:rPr>
      </w:pPr>
      <w:r>
        <w:rPr>
          <w:rFonts w:hint="eastAsia" w:ascii="宋体" w:hAnsi="宋体" w:cs="宋体"/>
          <w:color w:val="auto"/>
          <w:sz w:val="24"/>
          <w:highlight w:val="none"/>
        </w:rPr>
        <w:t>甲方：广州市净水有限公司（盖章）         乙方：</w:t>
      </w:r>
    </w:p>
    <w:p>
      <w:pPr>
        <w:spacing w:line="520" w:lineRule="exact"/>
        <w:rPr>
          <w:rFonts w:ascii="宋体" w:hAnsi="宋体" w:cs="宋体"/>
          <w:color w:val="auto"/>
          <w:sz w:val="24"/>
          <w:highlight w:val="none"/>
        </w:rPr>
      </w:pPr>
      <w:r>
        <w:rPr>
          <w:rFonts w:hint="eastAsia" w:ascii="宋体" w:hAnsi="宋体" w:cs="宋体"/>
          <w:color w:val="auto"/>
          <w:sz w:val="24"/>
          <w:highlight w:val="none"/>
        </w:rPr>
        <w:t>法定代表人或                             法定代表人或</w:t>
      </w:r>
    </w:p>
    <w:p>
      <w:pPr>
        <w:spacing w:line="520" w:lineRule="exact"/>
        <w:rPr>
          <w:rFonts w:ascii="宋体" w:hAnsi="宋体" w:cs="宋体"/>
          <w:color w:val="auto"/>
          <w:sz w:val="24"/>
          <w:highlight w:val="none"/>
        </w:rPr>
      </w:pPr>
      <w:r>
        <w:rPr>
          <w:rFonts w:hint="eastAsia" w:ascii="宋体" w:hAnsi="宋体" w:cs="宋体"/>
          <w:color w:val="auto"/>
          <w:sz w:val="24"/>
          <w:highlight w:val="none"/>
        </w:rPr>
        <w:t>委托代理人：                             委托代理人：</w:t>
      </w:r>
    </w:p>
    <w:p>
      <w:pPr>
        <w:spacing w:line="520" w:lineRule="exact"/>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地址：</w:t>
      </w:r>
    </w:p>
    <w:p>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经办人：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经办人：</w:t>
      </w:r>
    </w:p>
    <w:p>
      <w:pPr>
        <w:spacing w:line="520" w:lineRule="exact"/>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p>
    <w:p>
      <w:pPr>
        <w:spacing w:line="520" w:lineRule="exact"/>
        <w:rPr>
          <w:rFonts w:ascii="宋体" w:hAnsi="宋体" w:cs="宋体"/>
          <w:color w:val="auto"/>
          <w:sz w:val="24"/>
          <w:highlight w:val="none"/>
        </w:rPr>
      </w:pPr>
      <w:r>
        <w:rPr>
          <w:rFonts w:hint="eastAsia" w:ascii="宋体" w:hAnsi="宋体" w:cs="宋体"/>
          <w:color w:val="auto"/>
          <w:sz w:val="24"/>
          <w:highlight w:val="none"/>
        </w:rPr>
        <w:t>传真：                                   传真：</w:t>
      </w:r>
    </w:p>
    <w:p>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签署日期：    年    月    日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统一社会信用代码：</w:t>
      </w:r>
    </w:p>
    <w:p>
      <w:pPr>
        <w:spacing w:line="480" w:lineRule="auto"/>
        <w:rPr>
          <w:rFonts w:ascii="宋体" w:hAnsi="宋体"/>
          <w:b/>
          <w:color w:val="auto"/>
          <w:highlight w:val="none"/>
        </w:rPr>
      </w:pPr>
    </w:p>
    <w:p>
      <w:pPr>
        <w:spacing w:line="480" w:lineRule="auto"/>
        <w:rPr>
          <w:rFonts w:hint="eastAsia" w:ascii="宋体" w:hAnsi="宋体"/>
          <w:b/>
          <w:color w:val="auto"/>
          <w:highlight w:val="none"/>
        </w:rPr>
      </w:pPr>
    </w:p>
    <w:p>
      <w:pPr>
        <w:spacing w:line="480" w:lineRule="auto"/>
        <w:rPr>
          <w:rFonts w:hint="eastAsia" w:ascii="宋体" w:hAnsi="宋体"/>
          <w:b/>
          <w:color w:val="auto"/>
          <w:highlight w:val="none"/>
        </w:rPr>
      </w:pPr>
    </w:p>
    <w:p>
      <w:pPr>
        <w:spacing w:line="480" w:lineRule="auto"/>
        <w:rPr>
          <w:rFonts w:hint="eastAsia" w:ascii="宋体" w:hAnsi="宋体"/>
          <w:b/>
          <w:color w:val="auto"/>
          <w:highlight w:val="none"/>
        </w:rPr>
      </w:pPr>
    </w:p>
    <w:p>
      <w:pPr>
        <w:spacing w:line="480" w:lineRule="auto"/>
        <w:rPr>
          <w:rFonts w:hint="eastAsia" w:ascii="宋体" w:hAnsi="宋体"/>
          <w:b/>
          <w:color w:val="auto"/>
          <w:highlight w:val="none"/>
        </w:rPr>
      </w:pPr>
    </w:p>
    <w:p>
      <w:pPr>
        <w:spacing w:line="480" w:lineRule="auto"/>
        <w:rPr>
          <w:rFonts w:hint="eastAsia" w:ascii="宋体" w:hAnsi="宋体"/>
          <w:b/>
          <w:color w:val="auto"/>
          <w:highlight w:val="none"/>
        </w:rPr>
      </w:pPr>
    </w:p>
    <w:p>
      <w:pPr>
        <w:spacing w:line="480" w:lineRule="auto"/>
        <w:rPr>
          <w:rFonts w:hint="eastAsia" w:ascii="宋体" w:hAnsi="宋体"/>
          <w:b/>
          <w:color w:val="auto"/>
          <w:highlight w:val="none"/>
        </w:rPr>
      </w:pPr>
    </w:p>
    <w:p>
      <w:pPr>
        <w:spacing w:line="480" w:lineRule="auto"/>
        <w:rPr>
          <w:rFonts w:hint="eastAsia" w:ascii="宋体" w:hAnsi="宋体"/>
          <w:b/>
          <w:color w:val="auto"/>
          <w:highlight w:val="none"/>
        </w:rPr>
      </w:pPr>
    </w:p>
    <w:p>
      <w:pPr>
        <w:spacing w:line="480" w:lineRule="auto"/>
        <w:rPr>
          <w:rFonts w:hint="eastAsia" w:ascii="宋体" w:hAnsi="宋体"/>
          <w:b/>
          <w:color w:val="auto"/>
          <w:highlight w:val="none"/>
        </w:rPr>
      </w:pPr>
    </w:p>
    <w:p>
      <w:pPr>
        <w:rPr>
          <w:rFonts w:hint="eastAsia" w:ascii="宋体" w:hAnsi="宋体"/>
          <w:b/>
          <w:color w:val="auto"/>
          <w:highlight w:val="none"/>
        </w:rPr>
      </w:pPr>
      <w:r>
        <w:rPr>
          <w:rFonts w:hint="eastAsia" w:ascii="宋体" w:hAnsi="宋体"/>
          <w:b/>
          <w:color w:val="auto"/>
          <w:highlight w:val="none"/>
        </w:rPr>
        <w:br w:type="page"/>
      </w:r>
    </w:p>
    <w:p>
      <w:pPr>
        <w:spacing w:line="480" w:lineRule="auto"/>
        <w:rPr>
          <w:rFonts w:ascii="宋体" w:hAnsi="宋体"/>
          <w:b/>
          <w:color w:val="auto"/>
          <w:highlight w:val="none"/>
        </w:rPr>
      </w:pPr>
      <w:r>
        <w:rPr>
          <w:rFonts w:hint="eastAsia" w:ascii="宋体" w:hAnsi="宋体"/>
          <w:b/>
          <w:color w:val="auto"/>
          <w:highlight w:val="none"/>
        </w:rPr>
        <w:t>附表1：考核评价标准</w:t>
      </w:r>
    </w:p>
    <w:tbl>
      <w:tblPr>
        <w:tblStyle w:val="20"/>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3167"/>
        <w:gridCol w:w="3233"/>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373"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考核评价</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zCs w:val="21"/>
                <w:highlight w:val="none"/>
              </w:rPr>
              <w:t>标准</w:t>
            </w:r>
            <w:r>
              <w:rPr>
                <w:rFonts w:hint="eastAsia" w:ascii="宋体" w:hAnsi="宋体" w:cs="宋体"/>
                <w:color w:val="auto"/>
                <w:spacing w:val="8"/>
                <w:kern w:val="0"/>
                <w:szCs w:val="21"/>
                <w:highlight w:val="none"/>
              </w:rPr>
              <w:t>内容</w:t>
            </w:r>
          </w:p>
        </w:tc>
        <w:tc>
          <w:tcPr>
            <w:tcW w:w="3167"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考核评价标准</w:t>
            </w:r>
          </w:p>
        </w:tc>
        <w:tc>
          <w:tcPr>
            <w:tcW w:w="3233"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考核评分</w:t>
            </w:r>
          </w:p>
        </w:tc>
        <w:tc>
          <w:tcPr>
            <w:tcW w:w="936" w:type="dxa"/>
          </w:tcPr>
          <w:p>
            <w:pPr>
              <w:widowControl/>
              <w:spacing w:line="440" w:lineRule="exact"/>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3" w:type="dxa"/>
          </w:tcPr>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1.交货时效</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（30分）</w:t>
            </w:r>
          </w:p>
        </w:tc>
        <w:tc>
          <w:tcPr>
            <w:tcW w:w="3167"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交货准时</w:t>
            </w:r>
            <w:r>
              <w:rPr>
                <w:rFonts w:hint="eastAsia" w:ascii="宋体" w:hAnsi="宋体" w:cs="宋体"/>
                <w:color w:val="auto"/>
                <w:szCs w:val="21"/>
                <w:highlight w:val="none"/>
                <w:vertAlign w:val="superscript"/>
              </w:rPr>
              <w:t>(1)</w:t>
            </w:r>
            <w:r>
              <w:rPr>
                <w:rFonts w:hint="eastAsia" w:ascii="宋体" w:hAnsi="宋体" w:cs="宋体"/>
                <w:color w:val="auto"/>
                <w:spacing w:val="8"/>
                <w:kern w:val="0"/>
                <w:szCs w:val="21"/>
                <w:highlight w:val="none"/>
              </w:rPr>
              <w:t>，通知送货后按通知要求时限送达，且不影响厂内正常生产</w:t>
            </w:r>
          </w:p>
        </w:tc>
        <w:tc>
          <w:tcPr>
            <w:tcW w:w="3233"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1.出现迟送货一次扣3分；2.因送货迟影响厂区正常生产运行扣5分；扣完为止</w:t>
            </w:r>
          </w:p>
        </w:tc>
        <w:tc>
          <w:tcPr>
            <w:tcW w:w="936" w:type="dxa"/>
          </w:tcPr>
          <w:p>
            <w:pPr>
              <w:widowControl/>
              <w:spacing w:line="440" w:lineRule="exact"/>
              <w:jc w:val="left"/>
              <w:rPr>
                <w:rFonts w:ascii="宋体" w:hAnsi="宋体" w:cs="宋体"/>
                <w:color w:val="auto"/>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3" w:type="dxa"/>
          </w:tcPr>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2.交货质量</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（30分）</w:t>
            </w:r>
          </w:p>
        </w:tc>
        <w:tc>
          <w:tcPr>
            <w:tcW w:w="3167" w:type="dxa"/>
          </w:tcPr>
          <w:p>
            <w:pPr>
              <w:spacing w:line="440" w:lineRule="exact"/>
              <w:ind w:firstLine="226"/>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1.每批货物品质均</w:t>
            </w:r>
            <w:r>
              <w:rPr>
                <w:rFonts w:hint="eastAsia" w:ascii="宋体" w:hAnsi="宋体" w:cs="宋体"/>
                <w:color w:val="auto"/>
                <w:spacing w:val="8"/>
                <w:kern w:val="0"/>
                <w:szCs w:val="21"/>
                <w:highlight w:val="none"/>
                <w:lang w:val="en-US" w:eastAsia="zh-CN"/>
              </w:rPr>
              <w:t>达标</w:t>
            </w:r>
          </w:p>
          <w:p>
            <w:pPr>
              <w:spacing w:line="440" w:lineRule="exact"/>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2.每车次货物所附资料齐全</w:t>
            </w:r>
          </w:p>
          <w:p>
            <w:pPr>
              <w:spacing w:line="440" w:lineRule="exact"/>
              <w:jc w:val="center"/>
              <w:rPr>
                <w:rFonts w:ascii="宋体" w:hAnsi="宋体" w:cs="宋体"/>
                <w:color w:val="auto"/>
                <w:spacing w:val="8"/>
                <w:kern w:val="0"/>
                <w:szCs w:val="21"/>
                <w:highlight w:val="none"/>
              </w:rPr>
            </w:pPr>
          </w:p>
        </w:tc>
        <w:tc>
          <w:tcPr>
            <w:tcW w:w="3233" w:type="dxa"/>
          </w:tcPr>
          <w:p>
            <w:pPr>
              <w:spacing w:line="440" w:lineRule="exact"/>
              <w:ind w:firstLine="226"/>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1.不</w:t>
            </w:r>
            <w:r>
              <w:rPr>
                <w:rFonts w:hint="eastAsia" w:ascii="宋体" w:hAnsi="宋体" w:cs="宋体"/>
                <w:color w:val="auto"/>
                <w:spacing w:val="8"/>
                <w:kern w:val="0"/>
                <w:szCs w:val="21"/>
                <w:highlight w:val="none"/>
                <w:lang w:val="en-US" w:eastAsia="zh-CN"/>
              </w:rPr>
              <w:t>达标</w:t>
            </w:r>
            <w:r>
              <w:rPr>
                <w:rFonts w:hint="eastAsia" w:ascii="宋体" w:hAnsi="宋体" w:cs="宋体"/>
                <w:color w:val="auto"/>
                <w:spacing w:val="8"/>
                <w:kern w:val="0"/>
                <w:szCs w:val="21"/>
                <w:highlight w:val="none"/>
              </w:rPr>
              <w:t>次数总计≦3次，每出现一次扣6分；</w:t>
            </w:r>
          </w:p>
          <w:p>
            <w:pPr>
              <w:spacing w:line="440" w:lineRule="exact"/>
              <w:ind w:firstLine="226"/>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2.所附资料出现不齐全情况，出现一次扣2分；</w:t>
            </w:r>
          </w:p>
          <w:p>
            <w:pPr>
              <w:spacing w:line="440" w:lineRule="exact"/>
              <w:ind w:firstLine="226"/>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3.如出现不</w:t>
            </w:r>
            <w:r>
              <w:rPr>
                <w:rFonts w:hint="eastAsia" w:ascii="宋体" w:hAnsi="宋体" w:cs="宋体"/>
                <w:color w:val="auto"/>
                <w:spacing w:val="8"/>
                <w:kern w:val="0"/>
                <w:szCs w:val="21"/>
                <w:highlight w:val="none"/>
                <w:lang w:val="en-US" w:eastAsia="zh-CN"/>
              </w:rPr>
              <w:t>达标</w:t>
            </w:r>
            <w:r>
              <w:rPr>
                <w:rFonts w:hint="eastAsia" w:ascii="宋体" w:hAnsi="宋体" w:cs="宋体"/>
                <w:color w:val="auto"/>
                <w:spacing w:val="8"/>
                <w:kern w:val="0"/>
                <w:szCs w:val="21"/>
                <w:highlight w:val="none"/>
              </w:rPr>
              <w:t>次数﹥3次，本项考核不得分</w:t>
            </w:r>
          </w:p>
        </w:tc>
        <w:tc>
          <w:tcPr>
            <w:tcW w:w="936" w:type="dxa"/>
          </w:tcPr>
          <w:p>
            <w:pPr>
              <w:widowControl/>
              <w:spacing w:line="440" w:lineRule="exact"/>
              <w:jc w:val="left"/>
              <w:rPr>
                <w:rFonts w:ascii="宋体" w:hAnsi="宋体" w:cs="宋体"/>
                <w:color w:val="auto"/>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373" w:type="dxa"/>
          </w:tcPr>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3.服务质量</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（20分）</w:t>
            </w:r>
          </w:p>
        </w:tc>
        <w:tc>
          <w:tcPr>
            <w:tcW w:w="3167" w:type="dxa"/>
          </w:tcPr>
          <w:p>
            <w:pPr>
              <w:spacing w:line="440" w:lineRule="exact"/>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1.提供货物装卸服务</w:t>
            </w:r>
          </w:p>
          <w:p>
            <w:pPr>
              <w:spacing w:line="440" w:lineRule="exact"/>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2.司机听从厂区人员指挥</w:t>
            </w:r>
          </w:p>
          <w:p>
            <w:pPr>
              <w:spacing w:line="440" w:lineRule="exact"/>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3.货物投加过程合规，操作正确</w:t>
            </w:r>
          </w:p>
          <w:p>
            <w:pPr>
              <w:ind w:firstLine="226"/>
              <w:rPr>
                <w:rFonts w:ascii="宋体" w:hAnsi="宋体" w:cs="宋体"/>
                <w:color w:val="auto"/>
                <w:kern w:val="0"/>
                <w:szCs w:val="21"/>
                <w:highlight w:val="none"/>
              </w:rPr>
            </w:pPr>
            <w:r>
              <w:rPr>
                <w:rFonts w:hint="eastAsia" w:ascii="宋体" w:hAnsi="宋体" w:cs="宋体"/>
                <w:color w:val="auto"/>
                <w:spacing w:val="8"/>
                <w:kern w:val="0"/>
                <w:szCs w:val="21"/>
                <w:highlight w:val="none"/>
              </w:rPr>
              <w:t>4.不得损坏厂内设施设备</w:t>
            </w:r>
          </w:p>
        </w:tc>
        <w:tc>
          <w:tcPr>
            <w:tcW w:w="3233"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每项目分值为5分，第1、2项每出现一次不符合情况扣1分；第3、4项每出现一次不合格情况扣2分；扣完为止</w:t>
            </w:r>
          </w:p>
        </w:tc>
        <w:tc>
          <w:tcPr>
            <w:tcW w:w="936" w:type="dxa"/>
          </w:tcPr>
          <w:p>
            <w:pPr>
              <w:widowControl/>
              <w:spacing w:line="440" w:lineRule="exact"/>
              <w:jc w:val="left"/>
              <w:rPr>
                <w:rFonts w:ascii="宋体" w:hAnsi="宋体" w:cs="宋体"/>
                <w:color w:val="auto"/>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8" w:hRule="atLeast"/>
          <w:jc w:val="center"/>
        </w:trPr>
        <w:tc>
          <w:tcPr>
            <w:tcW w:w="2373" w:type="dxa"/>
          </w:tcPr>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4.安全生产措施</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（20分）</w:t>
            </w:r>
          </w:p>
        </w:tc>
        <w:tc>
          <w:tcPr>
            <w:tcW w:w="3167" w:type="dxa"/>
          </w:tcPr>
          <w:p>
            <w:pPr>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1.提供每季度药剂安全情况自查表（详见附表三）</w:t>
            </w:r>
          </w:p>
          <w:p>
            <w:pPr>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2.合同期内提供不少于两次联合抢险演练及安全培训记录资料（针对危险化学品）</w:t>
            </w:r>
          </w:p>
          <w:p>
            <w:pPr>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3.若发生抢险情况，是否有及时提供抢险物资及人员</w:t>
            </w:r>
          </w:p>
          <w:p>
            <w:pPr>
              <w:ind w:firstLine="226"/>
              <w:rPr>
                <w:rFonts w:ascii="宋体" w:hAnsi="宋体" w:cs="宋体"/>
                <w:b/>
                <w:color w:val="auto"/>
                <w:kern w:val="0"/>
                <w:szCs w:val="21"/>
                <w:highlight w:val="none"/>
              </w:rPr>
            </w:pPr>
            <w:r>
              <w:rPr>
                <w:rFonts w:hint="eastAsia" w:ascii="宋体" w:hAnsi="宋体" w:cs="宋体"/>
                <w:color w:val="auto"/>
                <w:spacing w:val="8"/>
                <w:kern w:val="0"/>
                <w:szCs w:val="21"/>
                <w:highlight w:val="none"/>
              </w:rPr>
              <w:t>4.每6个月提供至少一次药剂容器清洗服务（如供货期少于6个月的，供货期内需提供一次药剂容器清洗服务）（若甲方有清洗需求，则按实际情况进行评分；若甲方无清洗需求，则本项计满分）</w:t>
            </w:r>
          </w:p>
        </w:tc>
        <w:tc>
          <w:tcPr>
            <w:tcW w:w="3233"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每项目分值为5分，第1、2项每出现一次未按照要求提供资料扣2分；第3、4项出现一次扣5分</w:t>
            </w:r>
          </w:p>
        </w:tc>
        <w:tc>
          <w:tcPr>
            <w:tcW w:w="936" w:type="dxa"/>
          </w:tcPr>
          <w:p>
            <w:pPr>
              <w:widowControl/>
              <w:spacing w:line="440" w:lineRule="exact"/>
              <w:jc w:val="left"/>
              <w:rPr>
                <w:rFonts w:ascii="宋体" w:hAnsi="宋体" w:cs="宋体"/>
                <w:color w:val="auto"/>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373"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（上述4项得分之和）</w:t>
            </w:r>
          </w:p>
        </w:tc>
        <w:tc>
          <w:tcPr>
            <w:tcW w:w="3167" w:type="dxa"/>
          </w:tcPr>
          <w:p>
            <w:pPr>
              <w:spacing w:line="440" w:lineRule="exact"/>
              <w:jc w:val="center"/>
              <w:rPr>
                <w:rFonts w:ascii="宋体" w:hAnsi="宋体" w:cs="宋体"/>
                <w:color w:val="auto"/>
                <w:spacing w:val="8"/>
                <w:kern w:val="0"/>
                <w:szCs w:val="21"/>
                <w:highlight w:val="none"/>
              </w:rPr>
            </w:pPr>
          </w:p>
        </w:tc>
        <w:tc>
          <w:tcPr>
            <w:tcW w:w="3233" w:type="dxa"/>
          </w:tcPr>
          <w:p>
            <w:pPr>
              <w:spacing w:line="440" w:lineRule="exact"/>
              <w:jc w:val="center"/>
              <w:rPr>
                <w:rFonts w:ascii="宋体" w:hAnsi="宋体" w:cs="宋体"/>
                <w:color w:val="auto"/>
                <w:spacing w:val="8"/>
                <w:kern w:val="0"/>
                <w:szCs w:val="21"/>
                <w:highlight w:val="none"/>
              </w:rPr>
            </w:pPr>
          </w:p>
        </w:tc>
        <w:tc>
          <w:tcPr>
            <w:tcW w:w="936" w:type="dxa"/>
          </w:tcPr>
          <w:p>
            <w:pPr>
              <w:widowControl/>
              <w:spacing w:line="440" w:lineRule="exact"/>
              <w:jc w:val="left"/>
              <w:rPr>
                <w:rFonts w:ascii="宋体" w:hAnsi="宋体" w:cs="宋体"/>
                <w:color w:val="auto"/>
                <w:spacing w:val="8"/>
                <w:kern w:val="0"/>
                <w:szCs w:val="21"/>
                <w:highlight w:val="none"/>
              </w:rPr>
            </w:pPr>
          </w:p>
        </w:tc>
      </w:tr>
    </w:tbl>
    <w:p>
      <w:pPr>
        <w:spacing w:line="440" w:lineRule="exact"/>
        <w:ind w:left="791" w:hanging="791" w:hangingChars="350"/>
        <w:rPr>
          <w:rFonts w:ascii="宋体" w:hAnsi="宋体" w:cs="宋体"/>
          <w:color w:val="auto"/>
          <w:szCs w:val="21"/>
          <w:highlight w:val="none"/>
        </w:rPr>
      </w:pPr>
      <w:r>
        <w:rPr>
          <w:rFonts w:hint="eastAsia" w:ascii="宋体" w:hAnsi="宋体" w:cs="宋体"/>
          <w:color w:val="auto"/>
          <w:spacing w:val="8"/>
          <w:kern w:val="0"/>
          <w:szCs w:val="21"/>
          <w:highlight w:val="none"/>
        </w:rPr>
        <w:t>注：（1）</w:t>
      </w:r>
      <w:r>
        <w:rPr>
          <w:rFonts w:hint="eastAsia" w:ascii="宋体" w:hAnsi="宋体" w:cs="宋体"/>
          <w:color w:val="auto"/>
          <w:szCs w:val="21"/>
          <w:highlight w:val="none"/>
        </w:rPr>
        <w:t>交货准时是指交货不延误或适当提前交货从而保证库存充足，但提前交货须以甲方可以存储的容量为限，若超过甲方的存储能力，甲方有权拒绝乙方提前交货。</w:t>
      </w:r>
    </w:p>
    <w:p>
      <w:pPr>
        <w:spacing w:line="440" w:lineRule="exact"/>
        <w:rPr>
          <w:rFonts w:hint="eastAsia" w:ascii="宋体" w:hAnsi="宋体"/>
          <w:b/>
          <w:color w:val="auto"/>
          <w:highlight w:val="none"/>
        </w:rPr>
      </w:pPr>
    </w:p>
    <w:p>
      <w:pPr>
        <w:rPr>
          <w:rFonts w:hint="eastAsia" w:ascii="宋体" w:hAnsi="宋体"/>
          <w:b/>
          <w:color w:val="auto"/>
          <w:highlight w:val="none"/>
        </w:rPr>
      </w:pPr>
      <w:r>
        <w:rPr>
          <w:rFonts w:hint="eastAsia" w:ascii="宋体" w:hAnsi="宋体"/>
          <w:b/>
          <w:color w:val="auto"/>
          <w:highlight w:val="none"/>
        </w:rPr>
        <w:br w:type="page"/>
      </w:r>
    </w:p>
    <w:p>
      <w:pPr>
        <w:spacing w:line="440" w:lineRule="exact"/>
        <w:rPr>
          <w:rFonts w:ascii="宋体" w:hAnsi="宋体"/>
          <w:b/>
          <w:bCs/>
          <w:color w:val="auto"/>
          <w:sz w:val="24"/>
          <w:highlight w:val="none"/>
        </w:rPr>
      </w:pPr>
      <w:r>
        <w:rPr>
          <w:rFonts w:hint="eastAsia" w:ascii="宋体" w:hAnsi="宋体"/>
          <w:b/>
          <w:color w:val="auto"/>
          <w:highlight w:val="none"/>
        </w:rPr>
        <w:t>附表2、考核评价标准(阳离子适用）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914"/>
        <w:gridCol w:w="2069"/>
        <w:gridCol w:w="2070"/>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596" w:type="dxa"/>
            <w:vMerge w:val="restart"/>
            <w:tcBorders>
              <w:top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914" w:type="dxa"/>
            <w:vMerge w:val="restart"/>
            <w:tcBorders>
              <w:top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内容</w:t>
            </w:r>
          </w:p>
        </w:tc>
        <w:tc>
          <w:tcPr>
            <w:tcW w:w="6189" w:type="dxa"/>
            <w:gridSpan w:val="3"/>
            <w:tcBorders>
              <w:top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bCs/>
                <w:color w:val="auto"/>
                <w:szCs w:val="21"/>
                <w:highlight w:val="none"/>
              </w:rPr>
              <w:t>考核评价标准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596" w:type="dxa"/>
            <w:vMerge w:val="continue"/>
            <w:vAlign w:val="center"/>
          </w:tcPr>
          <w:p>
            <w:pPr>
              <w:spacing w:line="360" w:lineRule="auto"/>
              <w:jc w:val="center"/>
              <w:rPr>
                <w:rFonts w:ascii="宋体" w:hAnsi="宋体" w:cs="宋体"/>
                <w:b/>
                <w:color w:val="auto"/>
                <w:szCs w:val="21"/>
                <w:highlight w:val="none"/>
              </w:rPr>
            </w:pPr>
          </w:p>
        </w:tc>
        <w:tc>
          <w:tcPr>
            <w:tcW w:w="1914" w:type="dxa"/>
            <w:vMerge w:val="continue"/>
            <w:tcBorders>
              <w:bottom w:val="single" w:color="auto" w:sz="4" w:space="0"/>
            </w:tcBorders>
            <w:vAlign w:val="center"/>
          </w:tcPr>
          <w:p>
            <w:pPr>
              <w:spacing w:line="360" w:lineRule="auto"/>
              <w:jc w:val="center"/>
              <w:rPr>
                <w:rFonts w:ascii="宋体" w:hAnsi="宋体" w:cs="宋体"/>
                <w:b/>
                <w:color w:val="auto"/>
                <w:szCs w:val="21"/>
                <w:highlight w:val="none"/>
              </w:rPr>
            </w:pPr>
          </w:p>
        </w:tc>
        <w:tc>
          <w:tcPr>
            <w:tcW w:w="2069" w:type="dxa"/>
            <w:tcBorders>
              <w:bottom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好</w:t>
            </w:r>
          </w:p>
        </w:tc>
        <w:tc>
          <w:tcPr>
            <w:tcW w:w="2070" w:type="dxa"/>
            <w:tcBorders>
              <w:bottom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中</w:t>
            </w:r>
          </w:p>
        </w:tc>
        <w:tc>
          <w:tcPr>
            <w:tcW w:w="2050" w:type="dxa"/>
            <w:tcBorders>
              <w:bottom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596" w:type="dxa"/>
            <w:vMerge w:val="restart"/>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一、</w:t>
            </w:r>
          </w:p>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交货</w:t>
            </w:r>
          </w:p>
        </w:tc>
        <w:tc>
          <w:tcPr>
            <w:tcW w:w="1914" w:type="dxa"/>
            <w:vAlign w:val="center"/>
          </w:tcPr>
          <w:p>
            <w:pPr>
              <w:spacing w:line="360" w:lineRule="auto"/>
              <w:ind w:right="-170" w:rightChars="-81"/>
              <w:rPr>
                <w:rFonts w:ascii="宋体" w:hAnsi="宋体" w:cs="宋体"/>
                <w:b/>
                <w:color w:val="auto"/>
                <w:szCs w:val="21"/>
                <w:highlight w:val="none"/>
              </w:rPr>
            </w:pPr>
            <w:r>
              <w:rPr>
                <w:rFonts w:hint="eastAsia" w:ascii="宋体" w:hAnsi="宋体" w:cs="宋体"/>
                <w:b/>
                <w:color w:val="auto"/>
                <w:szCs w:val="21"/>
                <w:highlight w:val="none"/>
              </w:rPr>
              <w:t>1.交货衔接情况（5分）</w:t>
            </w:r>
          </w:p>
        </w:tc>
        <w:tc>
          <w:tcPr>
            <w:tcW w:w="2069"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交货及时确保库存</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（5分）</w:t>
            </w:r>
          </w:p>
        </w:tc>
        <w:tc>
          <w:tcPr>
            <w:tcW w:w="207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基本能按时交货</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（3分）</w:t>
            </w:r>
          </w:p>
        </w:tc>
        <w:tc>
          <w:tcPr>
            <w:tcW w:w="2050" w:type="dxa"/>
            <w:tcBorders>
              <w:bottom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不能按时交货</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596" w:type="dxa"/>
            <w:vMerge w:val="continue"/>
            <w:vAlign w:val="center"/>
          </w:tcPr>
          <w:p>
            <w:pPr>
              <w:spacing w:line="360" w:lineRule="auto"/>
              <w:jc w:val="center"/>
              <w:rPr>
                <w:rFonts w:ascii="宋体" w:hAnsi="宋体" w:cs="宋体"/>
                <w:b/>
                <w:bCs/>
                <w:color w:val="auto"/>
                <w:szCs w:val="21"/>
                <w:highlight w:val="none"/>
              </w:rPr>
            </w:pPr>
          </w:p>
        </w:tc>
        <w:tc>
          <w:tcPr>
            <w:tcW w:w="1914" w:type="dxa"/>
            <w:vAlign w:val="center"/>
          </w:tcPr>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2.货物包装（5分）</w:t>
            </w:r>
          </w:p>
        </w:tc>
        <w:tc>
          <w:tcPr>
            <w:tcW w:w="2069"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货物包装完全符合要求</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分）</w:t>
            </w:r>
          </w:p>
        </w:tc>
        <w:tc>
          <w:tcPr>
            <w:tcW w:w="2070"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货物包装基本符合要求</w:t>
            </w:r>
          </w:p>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（3分）</w:t>
            </w:r>
          </w:p>
        </w:tc>
        <w:tc>
          <w:tcPr>
            <w:tcW w:w="2050" w:type="dxa"/>
            <w:tcBorders>
              <w:bottom w:val="single" w:color="auto" w:sz="4" w:space="0"/>
            </w:tcBorders>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货物包装不符合要求</w:t>
            </w:r>
          </w:p>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96"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二、质量标准</w:t>
            </w:r>
          </w:p>
        </w:tc>
        <w:tc>
          <w:tcPr>
            <w:tcW w:w="1914" w:type="dxa"/>
            <w:vAlign w:val="center"/>
          </w:tcPr>
          <w:p>
            <w:pPr>
              <w:spacing w:line="360" w:lineRule="auto"/>
              <w:rPr>
                <w:rFonts w:ascii="宋体" w:hAnsi="宋体" w:cs="宋体"/>
                <w:b/>
                <w:color w:val="auto"/>
                <w:szCs w:val="21"/>
                <w:highlight w:val="none"/>
              </w:rPr>
            </w:pPr>
            <w:r>
              <w:rPr>
                <w:rFonts w:hint="eastAsia" w:ascii="宋体" w:hAnsi="宋体" w:cs="宋体"/>
                <w:b/>
                <w:bCs/>
                <w:color w:val="auto"/>
                <w:szCs w:val="21"/>
                <w:highlight w:val="none"/>
              </w:rPr>
              <w:t>3. 货物质量标准（10分）</w:t>
            </w:r>
          </w:p>
        </w:tc>
        <w:tc>
          <w:tcPr>
            <w:tcW w:w="2069"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提供的货物质量标准符合或优于最新行业标准或国家标准</w:t>
            </w:r>
            <w:r>
              <w:rPr>
                <w:rFonts w:hint="eastAsia" w:ascii="宋体" w:hAnsi="宋体" w:cs="宋体"/>
                <w:bCs/>
                <w:color w:val="auto"/>
                <w:szCs w:val="21"/>
                <w:highlight w:val="none"/>
              </w:rPr>
              <w:t>（10</w:t>
            </w:r>
            <w:r>
              <w:rPr>
                <w:rFonts w:hint="eastAsia" w:ascii="宋体" w:hAnsi="宋体" w:cs="宋体"/>
                <w:color w:val="auto"/>
                <w:szCs w:val="21"/>
                <w:highlight w:val="none"/>
              </w:rPr>
              <w:t>分）</w:t>
            </w:r>
          </w:p>
        </w:tc>
        <w:tc>
          <w:tcPr>
            <w:tcW w:w="2070"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提供的货物质量标准基本符合最新行业标准或国家标准（6分）</w:t>
            </w:r>
          </w:p>
        </w:tc>
        <w:tc>
          <w:tcPr>
            <w:tcW w:w="2050" w:type="dxa"/>
            <w:tcBorders>
              <w:bottom w:val="single" w:color="auto" w:sz="4" w:space="0"/>
            </w:tcBorders>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提供的货物质量标准不符合最新行业标准或国家标准（0分）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596" w:type="dxa"/>
            <w:vMerge w:val="restart"/>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三、使用效果</w:t>
            </w:r>
          </w:p>
        </w:tc>
        <w:tc>
          <w:tcPr>
            <w:tcW w:w="1914" w:type="dxa"/>
            <w:vAlign w:val="center"/>
          </w:tcPr>
          <w:p>
            <w:pPr>
              <w:spacing w:line="360" w:lineRule="auto"/>
              <w:rPr>
                <w:rFonts w:ascii="宋体" w:hAnsi="宋体" w:cs="宋体"/>
                <w:b/>
                <w:bCs/>
                <w:color w:val="auto"/>
                <w:szCs w:val="21"/>
                <w:highlight w:val="none"/>
              </w:rPr>
            </w:pPr>
            <w:r>
              <w:rPr>
                <w:rFonts w:hint="eastAsia" w:ascii="宋体" w:hAnsi="宋体" w:cs="宋体"/>
                <w:b/>
                <w:color w:val="auto"/>
                <w:szCs w:val="21"/>
                <w:highlight w:val="none"/>
              </w:rPr>
              <w:t>4.对设备的影响程度</w:t>
            </w:r>
            <w:r>
              <w:rPr>
                <w:rFonts w:hint="eastAsia" w:ascii="宋体" w:hAnsi="宋体" w:cs="宋体"/>
                <w:b/>
                <w:bCs/>
                <w:color w:val="auto"/>
                <w:szCs w:val="21"/>
                <w:highlight w:val="none"/>
              </w:rPr>
              <w:t>（10分）</w:t>
            </w:r>
          </w:p>
        </w:tc>
        <w:tc>
          <w:tcPr>
            <w:tcW w:w="2069" w:type="dxa"/>
            <w:vAlign w:val="center"/>
          </w:tcPr>
          <w:p>
            <w:pPr>
              <w:spacing w:line="360" w:lineRule="auto"/>
              <w:jc w:val="center"/>
              <w:rPr>
                <w:rFonts w:ascii="宋体" w:hAnsi="宋体" w:cs="宋体"/>
                <w:color w:val="auto"/>
                <w:szCs w:val="21"/>
                <w:highlight w:val="none"/>
              </w:rPr>
            </w:pPr>
            <w:r>
              <w:rPr>
                <w:rFonts w:hint="eastAsia" w:ascii="宋体" w:hAnsi="宋体" w:cs="宋体"/>
                <w:bCs/>
                <w:color w:val="auto"/>
                <w:szCs w:val="21"/>
                <w:highlight w:val="none"/>
              </w:rPr>
              <w:t>加料后15天内给料顺畅，不</w:t>
            </w:r>
            <w:r>
              <w:rPr>
                <w:rFonts w:hint="eastAsia" w:ascii="宋体" w:hAnsi="宋体" w:cs="宋体"/>
                <w:color w:val="auto"/>
                <w:szCs w:val="21"/>
                <w:highlight w:val="none"/>
              </w:rPr>
              <w:t>产生粘结或板结。</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（10</w:t>
            </w:r>
            <w:r>
              <w:rPr>
                <w:rFonts w:hint="eastAsia" w:ascii="宋体" w:hAnsi="宋体" w:cs="宋体"/>
                <w:color w:val="auto"/>
                <w:szCs w:val="21"/>
                <w:highlight w:val="none"/>
              </w:rPr>
              <w:t>分）</w:t>
            </w:r>
          </w:p>
        </w:tc>
        <w:tc>
          <w:tcPr>
            <w:tcW w:w="2070"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加料后15天内出现给料不顺畅现象次数不超过3次。</w:t>
            </w:r>
            <w:r>
              <w:rPr>
                <w:rFonts w:hint="eastAsia" w:ascii="宋体" w:hAnsi="宋体" w:cs="宋体"/>
                <w:color w:val="auto"/>
                <w:szCs w:val="21"/>
                <w:highlight w:val="none"/>
              </w:rPr>
              <w:t>（6分）</w:t>
            </w:r>
          </w:p>
        </w:tc>
        <w:tc>
          <w:tcPr>
            <w:tcW w:w="2050" w:type="dxa"/>
            <w:tcBorders>
              <w:bottom w:val="single" w:color="auto" w:sz="4" w:space="0"/>
            </w:tcBorders>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加料后15天内出现给料不顺畅现象次数超过3次的。</w:t>
            </w: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596" w:type="dxa"/>
            <w:vMerge w:val="continue"/>
            <w:vAlign w:val="center"/>
          </w:tcPr>
          <w:p>
            <w:pPr>
              <w:spacing w:line="360" w:lineRule="auto"/>
              <w:jc w:val="center"/>
              <w:rPr>
                <w:rFonts w:ascii="宋体" w:hAnsi="宋体" w:cs="宋体"/>
                <w:b/>
                <w:bCs/>
                <w:color w:val="auto"/>
                <w:szCs w:val="21"/>
                <w:highlight w:val="none"/>
              </w:rPr>
            </w:pPr>
          </w:p>
        </w:tc>
        <w:tc>
          <w:tcPr>
            <w:tcW w:w="1914" w:type="dxa"/>
            <w:vAlign w:val="center"/>
          </w:tcPr>
          <w:p>
            <w:pPr>
              <w:spacing w:line="360" w:lineRule="auto"/>
              <w:rPr>
                <w:rFonts w:ascii="宋体" w:hAnsi="宋体" w:cs="宋体"/>
                <w:b/>
                <w:color w:val="auto"/>
                <w:szCs w:val="21"/>
                <w:highlight w:val="none"/>
              </w:rPr>
            </w:pPr>
            <w:r>
              <w:rPr>
                <w:rFonts w:hint="eastAsia" w:ascii="宋体" w:hAnsi="宋体" w:cs="宋体"/>
                <w:b/>
                <w:color w:val="auto"/>
                <w:szCs w:val="21"/>
                <w:highlight w:val="none"/>
              </w:rPr>
              <w:t>5.脱水效果（50分）</w:t>
            </w:r>
          </w:p>
        </w:tc>
        <w:tc>
          <w:tcPr>
            <w:tcW w:w="2069"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脱水后污泥的含水率稳定达到80%以下（50分）</w:t>
            </w:r>
          </w:p>
        </w:tc>
        <w:tc>
          <w:tcPr>
            <w:tcW w:w="2070"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脱水后污泥出现过</w:t>
            </w:r>
            <w:r>
              <w:rPr>
                <w:rFonts w:hint="eastAsia" w:ascii="宋体" w:hAnsi="宋体" w:cs="宋体"/>
                <w:bCs/>
                <w:color w:val="auto"/>
                <w:szCs w:val="21"/>
                <w:highlight w:val="none"/>
              </w:rPr>
              <w:t>小于5次含水率超80%</w:t>
            </w:r>
            <w:r>
              <w:rPr>
                <w:rFonts w:hint="eastAsia" w:ascii="宋体" w:hAnsi="宋体" w:cs="宋体"/>
                <w:color w:val="auto"/>
                <w:szCs w:val="21"/>
                <w:highlight w:val="none"/>
              </w:rPr>
              <w:t>（30分）</w:t>
            </w:r>
          </w:p>
        </w:tc>
        <w:tc>
          <w:tcPr>
            <w:tcW w:w="2050" w:type="dxa"/>
            <w:tcBorders>
              <w:bottom w:val="single" w:color="auto" w:sz="4" w:space="0"/>
            </w:tcBorders>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脱水后污泥出现过</w:t>
            </w:r>
            <w:r>
              <w:rPr>
                <w:rFonts w:hint="eastAsia" w:ascii="宋体" w:hAnsi="宋体" w:cs="宋体"/>
                <w:bCs/>
                <w:color w:val="auto"/>
                <w:szCs w:val="21"/>
                <w:highlight w:val="none"/>
              </w:rPr>
              <w:t>超过5次含水率超80%</w:t>
            </w: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596" w:type="dxa"/>
            <w:vMerge w:val="continue"/>
            <w:vAlign w:val="center"/>
          </w:tcPr>
          <w:p>
            <w:pPr>
              <w:spacing w:line="360" w:lineRule="auto"/>
              <w:jc w:val="center"/>
              <w:rPr>
                <w:rFonts w:ascii="宋体" w:hAnsi="宋体" w:cs="宋体"/>
                <w:b/>
                <w:bCs/>
                <w:color w:val="auto"/>
                <w:szCs w:val="21"/>
                <w:highlight w:val="none"/>
              </w:rPr>
            </w:pPr>
          </w:p>
        </w:tc>
        <w:tc>
          <w:tcPr>
            <w:tcW w:w="1914" w:type="dxa"/>
            <w:vAlign w:val="center"/>
          </w:tcPr>
          <w:p>
            <w:pPr>
              <w:spacing w:line="360" w:lineRule="auto"/>
              <w:rPr>
                <w:rFonts w:ascii="宋体" w:hAnsi="宋体" w:cs="宋体"/>
                <w:b/>
                <w:bCs/>
                <w:color w:val="auto"/>
                <w:szCs w:val="21"/>
                <w:highlight w:val="none"/>
              </w:rPr>
            </w:pPr>
            <w:r>
              <w:rPr>
                <w:rFonts w:hint="eastAsia" w:ascii="宋体" w:hAnsi="宋体" w:cs="宋体"/>
                <w:b/>
                <w:color w:val="auto"/>
                <w:szCs w:val="21"/>
                <w:highlight w:val="none"/>
              </w:rPr>
              <w:t>6.澄清液固含量</w:t>
            </w:r>
            <w:r>
              <w:rPr>
                <w:rFonts w:hint="eastAsia" w:ascii="宋体" w:hAnsi="宋体" w:cs="宋体"/>
                <w:b/>
                <w:bCs/>
                <w:color w:val="auto"/>
                <w:szCs w:val="21"/>
                <w:highlight w:val="none"/>
              </w:rPr>
              <w:t>（10分）</w:t>
            </w:r>
          </w:p>
        </w:tc>
        <w:tc>
          <w:tcPr>
            <w:tcW w:w="2069"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大于150mg/L不超过3次</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（10</w:t>
            </w:r>
            <w:r>
              <w:rPr>
                <w:rFonts w:hint="eastAsia" w:ascii="宋体" w:hAnsi="宋体" w:cs="宋体"/>
                <w:color w:val="auto"/>
                <w:szCs w:val="21"/>
                <w:highlight w:val="none"/>
              </w:rPr>
              <w:t>分）</w:t>
            </w:r>
          </w:p>
        </w:tc>
        <w:tc>
          <w:tcPr>
            <w:tcW w:w="2070"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大于150mg/L超过3次，不超过6次，其中大于160mg/L不超过3次（6分）</w:t>
            </w:r>
          </w:p>
        </w:tc>
        <w:tc>
          <w:tcPr>
            <w:tcW w:w="2050" w:type="dxa"/>
            <w:tcBorders>
              <w:bottom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bCs/>
                <w:color w:val="auto"/>
                <w:szCs w:val="21"/>
                <w:highlight w:val="none"/>
              </w:rPr>
              <w:t>大于150mg/L超过6次或大于160mg/L的超过3次</w:t>
            </w:r>
          </w:p>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5" w:hRule="atLeast"/>
        </w:trPr>
        <w:tc>
          <w:tcPr>
            <w:tcW w:w="596" w:type="dxa"/>
            <w:vMerge w:val="restart"/>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四、服务质量</w:t>
            </w:r>
          </w:p>
        </w:tc>
        <w:tc>
          <w:tcPr>
            <w:tcW w:w="1914" w:type="dxa"/>
            <w:vAlign w:val="center"/>
          </w:tcPr>
          <w:p>
            <w:pPr>
              <w:spacing w:line="360" w:lineRule="auto"/>
              <w:rPr>
                <w:rFonts w:ascii="宋体" w:hAnsi="宋体" w:cs="宋体"/>
                <w:b/>
                <w:color w:val="auto"/>
                <w:szCs w:val="21"/>
                <w:highlight w:val="none"/>
              </w:rPr>
            </w:pPr>
            <w:r>
              <w:rPr>
                <w:rFonts w:hint="eastAsia" w:ascii="宋体" w:hAnsi="宋体" w:cs="宋体"/>
                <w:b/>
                <w:color w:val="auto"/>
                <w:szCs w:val="21"/>
                <w:highlight w:val="none"/>
              </w:rPr>
              <w:t>7.技术人员素质</w:t>
            </w:r>
            <w:r>
              <w:rPr>
                <w:rFonts w:hint="eastAsia" w:ascii="宋体" w:hAnsi="宋体" w:cs="宋体"/>
                <w:b/>
                <w:bCs/>
                <w:color w:val="auto"/>
                <w:szCs w:val="21"/>
                <w:highlight w:val="none"/>
              </w:rPr>
              <w:t>（5分）</w:t>
            </w:r>
          </w:p>
        </w:tc>
        <w:tc>
          <w:tcPr>
            <w:tcW w:w="2069"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7.技术人员素质（5分）                                      技术人员经验丰富，人员搭配合理，能按时按量满足厂区药剂投加需求。（5分）                                                                                                    </w:t>
            </w:r>
          </w:p>
        </w:tc>
        <w:tc>
          <w:tcPr>
            <w:tcW w:w="2070"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技术人员经验一般，人员搭配尚可，能基本满足厂区药剂投加需求（3分）</w:t>
            </w:r>
          </w:p>
        </w:tc>
        <w:tc>
          <w:tcPr>
            <w:tcW w:w="2050" w:type="dxa"/>
            <w:tcBorders>
              <w:bottom w:val="single" w:color="auto"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技术人员工作经验少，人员搭配不足，不能满足厂区药剂投加需求</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596" w:type="dxa"/>
            <w:vMerge w:val="continue"/>
            <w:vAlign w:val="center"/>
          </w:tcPr>
          <w:p>
            <w:pPr>
              <w:spacing w:line="360" w:lineRule="auto"/>
              <w:jc w:val="center"/>
              <w:rPr>
                <w:rFonts w:ascii="宋体" w:hAnsi="宋体" w:cs="宋体"/>
                <w:b/>
                <w:bCs/>
                <w:color w:val="auto"/>
                <w:szCs w:val="21"/>
                <w:highlight w:val="none"/>
              </w:rPr>
            </w:pPr>
          </w:p>
        </w:tc>
        <w:tc>
          <w:tcPr>
            <w:tcW w:w="1914" w:type="dxa"/>
            <w:vAlign w:val="center"/>
          </w:tcPr>
          <w:p>
            <w:pPr>
              <w:spacing w:line="360" w:lineRule="auto"/>
              <w:rPr>
                <w:rFonts w:ascii="宋体" w:hAnsi="宋体" w:cs="宋体"/>
                <w:b/>
                <w:color w:val="auto"/>
                <w:szCs w:val="21"/>
                <w:highlight w:val="none"/>
              </w:rPr>
            </w:pPr>
            <w:r>
              <w:rPr>
                <w:rFonts w:hint="eastAsia" w:ascii="宋体" w:hAnsi="宋体" w:cs="宋体"/>
                <w:b/>
                <w:color w:val="auto"/>
                <w:szCs w:val="21"/>
                <w:highlight w:val="none"/>
              </w:rPr>
              <w:t>8.其他售后服务措施</w:t>
            </w:r>
            <w:r>
              <w:rPr>
                <w:rFonts w:hint="eastAsia" w:ascii="宋体" w:hAnsi="宋体" w:cs="宋体"/>
                <w:b/>
                <w:bCs/>
                <w:color w:val="auto"/>
                <w:szCs w:val="21"/>
                <w:highlight w:val="none"/>
              </w:rPr>
              <w:t>（5分）</w:t>
            </w:r>
          </w:p>
        </w:tc>
        <w:tc>
          <w:tcPr>
            <w:tcW w:w="2069"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1.有紧急应对措施合理具体充分；</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2.有利于买方的承诺。</w:t>
            </w:r>
          </w:p>
          <w:p>
            <w:pPr>
              <w:spacing w:line="360" w:lineRule="auto"/>
              <w:jc w:val="center"/>
              <w:rPr>
                <w:rFonts w:ascii="宋体" w:hAnsi="宋体" w:cs="宋体"/>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分）</w:t>
            </w:r>
          </w:p>
        </w:tc>
        <w:tc>
          <w:tcPr>
            <w:tcW w:w="207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1.有紧急应对措施；</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2.有服务承诺。</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（3分）</w:t>
            </w:r>
          </w:p>
        </w:tc>
        <w:tc>
          <w:tcPr>
            <w:tcW w:w="205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紧急应对措施不足</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（0分）</w:t>
            </w:r>
          </w:p>
        </w:tc>
      </w:tr>
    </w:tbl>
    <w:p>
      <w:pPr>
        <w:spacing w:line="420" w:lineRule="exact"/>
        <w:ind w:left="696" w:leftChars="135" w:hanging="413" w:hangingChars="197"/>
        <w:rPr>
          <w:rFonts w:ascii="宋体" w:hAnsi="宋体"/>
          <w:b/>
          <w:bCs/>
          <w:color w:val="auto"/>
          <w:szCs w:val="21"/>
          <w:highlight w:val="none"/>
        </w:rPr>
      </w:pPr>
      <w:r>
        <w:rPr>
          <w:rFonts w:hint="eastAsia" w:ascii="宋体" w:hAnsi="宋体"/>
          <w:color w:val="auto"/>
          <w:szCs w:val="21"/>
          <w:highlight w:val="none"/>
        </w:rPr>
        <w:t>注：（1）由于不可抗力造成的交货延误，但没有影响生产的除外。</w:t>
      </w:r>
      <w:r>
        <w:rPr>
          <w:rFonts w:hint="eastAsia" w:ascii="宋体" w:hAnsi="宋体"/>
          <w:color w:val="auto"/>
          <w:szCs w:val="21"/>
          <w:highlight w:val="none"/>
        </w:rPr>
        <w:cr/>
      </w:r>
      <w:r>
        <w:rPr>
          <w:rFonts w:hint="eastAsia" w:ascii="宋体" w:hAnsi="宋体"/>
          <w:color w:val="auto"/>
          <w:szCs w:val="21"/>
          <w:highlight w:val="none"/>
        </w:rPr>
        <w:t>（2）交货准时是指交货不延误影响生产或过早而导致各厂库存过多。</w:t>
      </w:r>
    </w:p>
    <w:p>
      <w:pPr>
        <w:spacing w:line="420" w:lineRule="exact"/>
        <w:rPr>
          <w:rFonts w:ascii="宋体" w:hAnsi="宋体"/>
          <w:b/>
          <w:bCs/>
          <w:color w:val="auto"/>
          <w:szCs w:val="21"/>
          <w:highlight w:val="none"/>
        </w:rPr>
      </w:pPr>
    </w:p>
    <w:p>
      <w:pPr>
        <w:spacing w:line="420" w:lineRule="exact"/>
        <w:rPr>
          <w:rFonts w:hint="eastAsia" w:ascii="宋体" w:hAnsi="宋体"/>
          <w:b/>
          <w:bCs/>
          <w:color w:val="auto"/>
          <w:szCs w:val="21"/>
          <w:highlight w:val="none"/>
        </w:rPr>
      </w:pPr>
    </w:p>
    <w:p>
      <w:pPr>
        <w:spacing w:line="420" w:lineRule="exact"/>
        <w:rPr>
          <w:rFonts w:hint="eastAsia" w:ascii="宋体" w:hAnsi="宋体"/>
          <w:b/>
          <w:bCs/>
          <w:color w:val="auto"/>
          <w:szCs w:val="21"/>
          <w:highlight w:val="none"/>
        </w:rPr>
      </w:pPr>
    </w:p>
    <w:p>
      <w:pPr>
        <w:spacing w:line="420" w:lineRule="exact"/>
        <w:rPr>
          <w:rFonts w:hint="eastAsia" w:ascii="宋体" w:hAnsi="宋体"/>
          <w:b/>
          <w:bCs/>
          <w:color w:val="auto"/>
          <w:szCs w:val="21"/>
          <w:highlight w:val="none"/>
        </w:rPr>
      </w:pPr>
    </w:p>
    <w:p>
      <w:pPr>
        <w:rPr>
          <w:rFonts w:hint="eastAsia" w:ascii="宋体" w:hAnsi="宋体"/>
          <w:b/>
          <w:bCs/>
          <w:color w:val="auto"/>
          <w:szCs w:val="21"/>
          <w:highlight w:val="none"/>
        </w:rPr>
      </w:pPr>
      <w:r>
        <w:rPr>
          <w:rFonts w:hint="eastAsia" w:ascii="宋体" w:hAnsi="宋体"/>
          <w:b/>
          <w:bCs/>
          <w:color w:val="auto"/>
          <w:szCs w:val="21"/>
          <w:highlight w:val="none"/>
        </w:rPr>
        <w:br w:type="page"/>
      </w:r>
    </w:p>
    <w:p>
      <w:pPr>
        <w:spacing w:line="420" w:lineRule="exact"/>
        <w:rPr>
          <w:rFonts w:ascii="宋体" w:hAnsi="宋体"/>
          <w:color w:val="auto"/>
          <w:szCs w:val="21"/>
          <w:highlight w:val="none"/>
        </w:rPr>
      </w:pPr>
      <w:r>
        <w:rPr>
          <w:rFonts w:hint="eastAsia" w:ascii="宋体" w:hAnsi="宋体"/>
          <w:b/>
          <w:bCs/>
          <w:color w:val="auto"/>
          <w:szCs w:val="21"/>
          <w:highlight w:val="none"/>
        </w:rPr>
        <w:t>附表3-1、</w:t>
      </w:r>
      <w:r>
        <w:rPr>
          <w:rStyle w:val="28"/>
          <w:rFonts w:hint="default"/>
          <w:b/>
          <w:bCs/>
          <w:color w:val="auto"/>
          <w:sz w:val="21"/>
          <w:szCs w:val="21"/>
          <w:highlight w:val="none"/>
        </w:rPr>
        <w:t>药剂安全情况自查表（危险化学品）</w:t>
      </w:r>
    </w:p>
    <w:tbl>
      <w:tblPr>
        <w:tblStyle w:val="20"/>
        <w:tblpPr w:leftFromText="180" w:rightFromText="180" w:vertAnchor="text" w:horzAnchor="page" w:tblpX="692" w:tblpY="545"/>
        <w:tblOverlap w:val="never"/>
        <w:tblW w:w="9880" w:type="dxa"/>
        <w:tblInd w:w="0" w:type="dxa"/>
        <w:tblLayout w:type="autofit"/>
        <w:tblCellMar>
          <w:top w:w="0" w:type="dxa"/>
          <w:left w:w="0" w:type="dxa"/>
          <w:bottom w:w="0" w:type="dxa"/>
          <w:right w:w="0" w:type="dxa"/>
        </w:tblCellMar>
      </w:tblPr>
      <w:tblGrid>
        <w:gridCol w:w="1467"/>
        <w:gridCol w:w="1629"/>
        <w:gridCol w:w="2774"/>
        <w:gridCol w:w="1811"/>
        <w:gridCol w:w="2199"/>
      </w:tblGrid>
      <w:tr>
        <w:tblPrEx>
          <w:tblCellMar>
            <w:top w:w="0" w:type="dxa"/>
            <w:left w:w="0" w:type="dxa"/>
            <w:bottom w:w="0" w:type="dxa"/>
            <w:right w:w="0" w:type="dxa"/>
          </w:tblCellMar>
        </w:tblPrEx>
        <w:trPr>
          <w:trHeight w:val="1181" w:hRule="atLeast"/>
        </w:trPr>
        <w:tc>
          <w:tcPr>
            <w:tcW w:w="9880" w:type="dxa"/>
            <w:gridSpan w:val="5"/>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auto"/>
                <w:sz w:val="32"/>
                <w:szCs w:val="32"/>
                <w:highlight w:val="none"/>
                <w:u w:val="single"/>
              </w:rPr>
            </w:pPr>
            <w:r>
              <w:rPr>
                <w:rStyle w:val="29"/>
                <w:rFonts w:hint="default"/>
                <w:color w:val="auto"/>
                <w:highlight w:val="none"/>
              </w:rPr>
              <w:t xml:space="preserve">         </w:t>
            </w:r>
            <w:r>
              <w:rPr>
                <w:rStyle w:val="28"/>
                <w:rFonts w:hint="default"/>
                <w:color w:val="auto"/>
                <w:highlight w:val="none"/>
              </w:rPr>
              <w:t>年</w:t>
            </w:r>
            <w:r>
              <w:rPr>
                <w:rStyle w:val="29"/>
                <w:rFonts w:hint="default"/>
                <w:color w:val="auto"/>
                <w:highlight w:val="none"/>
              </w:rPr>
              <w:t xml:space="preserve">       </w:t>
            </w:r>
            <w:r>
              <w:rPr>
                <w:rStyle w:val="28"/>
                <w:rFonts w:hint="default"/>
                <w:color w:val="auto"/>
                <w:highlight w:val="none"/>
              </w:rPr>
              <w:t>药剂安全情况自查表（危险化学品）</w:t>
            </w:r>
          </w:p>
        </w:tc>
      </w:tr>
      <w:tr>
        <w:tblPrEx>
          <w:tblCellMar>
            <w:top w:w="0" w:type="dxa"/>
            <w:left w:w="0" w:type="dxa"/>
            <w:bottom w:w="0" w:type="dxa"/>
            <w:right w:w="0" w:type="dxa"/>
          </w:tblCellMar>
        </w:tblPrEx>
        <w:trPr>
          <w:trHeight w:val="675"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自查单位（盖章）：</w:t>
            </w:r>
          </w:p>
        </w:tc>
      </w:tr>
      <w:tr>
        <w:tblPrEx>
          <w:tblCellMar>
            <w:top w:w="0" w:type="dxa"/>
            <w:left w:w="0" w:type="dxa"/>
            <w:bottom w:w="0" w:type="dxa"/>
            <w:right w:w="0" w:type="dxa"/>
          </w:tblCellMar>
        </w:tblPrEx>
        <w:trPr>
          <w:trHeight w:val="733"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检查日期：</w:t>
            </w:r>
          </w:p>
        </w:tc>
      </w:tr>
      <w:tr>
        <w:tblPrEx>
          <w:tblCellMar>
            <w:top w:w="0" w:type="dxa"/>
            <w:left w:w="0" w:type="dxa"/>
            <w:bottom w:w="0" w:type="dxa"/>
            <w:right w:w="0" w:type="dxa"/>
          </w:tblCellMar>
        </w:tblPrEx>
        <w:trPr>
          <w:trHeight w:val="558" w:hRule="atLeast"/>
        </w:trPr>
        <w:tc>
          <w:tcPr>
            <w:tcW w:w="146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序号</w:t>
            </w:r>
          </w:p>
        </w:tc>
        <w:tc>
          <w:tcPr>
            <w:tcW w:w="1629"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内容</w:t>
            </w:r>
          </w:p>
        </w:tc>
        <w:tc>
          <w:tcPr>
            <w:tcW w:w="2774"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主要检查内容</w:t>
            </w:r>
          </w:p>
        </w:tc>
        <w:tc>
          <w:tcPr>
            <w:tcW w:w="1811"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检查结果</w:t>
            </w:r>
          </w:p>
        </w:tc>
        <w:tc>
          <w:tcPr>
            <w:tcW w:w="2199"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存在问题及整改措施</w:t>
            </w:r>
          </w:p>
        </w:tc>
      </w:tr>
      <w:tr>
        <w:tblPrEx>
          <w:tblCellMar>
            <w:top w:w="0" w:type="dxa"/>
            <w:left w:w="0" w:type="dxa"/>
            <w:bottom w:w="0" w:type="dxa"/>
            <w:right w:w="0" w:type="dxa"/>
          </w:tblCellMar>
        </w:tblPrEx>
        <w:trPr>
          <w:trHeight w:val="336" w:hRule="atLeast"/>
        </w:trPr>
        <w:tc>
          <w:tcPr>
            <w:tcW w:w="1467"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一、台账检查</w:t>
            </w:r>
          </w:p>
        </w:tc>
        <w:tc>
          <w:tcPr>
            <w:tcW w:w="1629"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生产、经营资质     </w:t>
            </w:r>
          </w:p>
        </w:tc>
        <w:tc>
          <w:tcPr>
            <w:tcW w:w="2774"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1、危险化学品安全使用许可证。                   2、危险化学品经营许可证3、营业执照。          4、危险化学品安全生产许可证</w:t>
            </w:r>
          </w:p>
        </w:tc>
        <w:tc>
          <w:tcPr>
            <w:tcW w:w="181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Style w:val="30"/>
                <w:color w:val="auto"/>
                <w:highlight w:val="none"/>
              </w:rPr>
              <w:t></w:t>
            </w:r>
            <w:r>
              <w:rPr>
                <w:rStyle w:val="31"/>
                <w:rFonts w:hint="default"/>
                <w:color w:val="auto"/>
                <w:highlight w:val="none"/>
              </w:rPr>
              <w:t xml:space="preserve">有    </w:t>
            </w:r>
            <w:r>
              <w:rPr>
                <w:rStyle w:val="30"/>
                <w:color w:val="auto"/>
                <w:highlight w:val="none"/>
              </w:rPr>
              <w:t></w:t>
            </w:r>
            <w:r>
              <w:rPr>
                <w:rStyle w:val="31"/>
                <w:rFonts w:hint="default"/>
                <w:color w:val="auto"/>
                <w:highlight w:val="none"/>
              </w:rPr>
              <w:t>没有</w:t>
            </w:r>
          </w:p>
        </w:tc>
        <w:tc>
          <w:tcPr>
            <w:tcW w:w="2199"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36"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6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2"/>
                <w:szCs w:val="22"/>
                <w:highlight w:val="none"/>
              </w:rPr>
            </w:pPr>
          </w:p>
        </w:tc>
        <w:tc>
          <w:tcPr>
            <w:tcW w:w="27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199"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1022"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6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2"/>
                <w:szCs w:val="22"/>
                <w:highlight w:val="none"/>
              </w:rPr>
            </w:pPr>
          </w:p>
        </w:tc>
        <w:tc>
          <w:tcPr>
            <w:tcW w:w="27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199"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36"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629" w:type="dxa"/>
            <w:vMerge w:val="restart"/>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运输资质及产品   </w:t>
            </w:r>
          </w:p>
        </w:tc>
        <w:tc>
          <w:tcPr>
            <w:tcW w:w="2774" w:type="dxa"/>
            <w:vMerge w:val="restart"/>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危险化学品</w:t>
            </w:r>
            <w:r>
              <w:rPr>
                <w:rFonts w:hint="eastAsia" w:ascii="宋体" w:hAnsi="宋体" w:cs="宋体"/>
                <w:color w:val="auto"/>
                <w:kern w:val="0"/>
                <w:sz w:val="24"/>
                <w:highlight w:val="none"/>
              </w:rPr>
              <w:t>车队的运输资质。                   2、剧毒化学品道路运输通行证。                 3、送货人员的证件资料及职业卫生相关资料。     4、运输产品的车辆需悬挂或喷涂符合国家标准的警示标志</w:t>
            </w:r>
          </w:p>
        </w:tc>
        <w:tc>
          <w:tcPr>
            <w:tcW w:w="181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Style w:val="30"/>
                <w:color w:val="auto"/>
                <w:highlight w:val="none"/>
              </w:rPr>
              <w:t></w:t>
            </w:r>
            <w:r>
              <w:rPr>
                <w:rStyle w:val="31"/>
                <w:rFonts w:hint="default"/>
                <w:color w:val="auto"/>
                <w:highlight w:val="none"/>
              </w:rPr>
              <w:t xml:space="preserve">有    </w:t>
            </w:r>
            <w:r>
              <w:rPr>
                <w:rStyle w:val="30"/>
                <w:color w:val="auto"/>
                <w:highlight w:val="none"/>
              </w:rPr>
              <w:t></w:t>
            </w:r>
            <w:r>
              <w:rPr>
                <w:rStyle w:val="31"/>
                <w:rFonts w:hint="default"/>
                <w:color w:val="auto"/>
                <w:highlight w:val="none"/>
              </w:rPr>
              <w:t>没有</w:t>
            </w:r>
          </w:p>
        </w:tc>
        <w:tc>
          <w:tcPr>
            <w:tcW w:w="2199"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2377"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629" w:type="dxa"/>
            <w:vMerge w:val="continue"/>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774" w:type="dxa"/>
            <w:vMerge w:val="continue"/>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199"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336"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629"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安全管理台账</w:t>
            </w:r>
          </w:p>
        </w:tc>
        <w:tc>
          <w:tcPr>
            <w:tcW w:w="2774"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1、厂区安全生产规章制度。                     2、运送货物人员的安全培训资料、考核情况。     3、安全防护用品的购置和发放记录。             4、安全月度检查及整改情况台账。               5、应急预案、应急演练、应急救援器材、设备台账</w:t>
            </w:r>
          </w:p>
        </w:tc>
        <w:tc>
          <w:tcPr>
            <w:tcW w:w="181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Style w:val="30"/>
                <w:color w:val="auto"/>
                <w:highlight w:val="none"/>
              </w:rPr>
              <w:t></w:t>
            </w:r>
            <w:r>
              <w:rPr>
                <w:rStyle w:val="31"/>
                <w:rFonts w:hint="default"/>
                <w:color w:val="auto"/>
                <w:highlight w:val="none"/>
              </w:rPr>
              <w:t xml:space="preserve">有   </w:t>
            </w:r>
            <w:r>
              <w:rPr>
                <w:rStyle w:val="30"/>
                <w:color w:val="auto"/>
                <w:highlight w:val="none"/>
              </w:rPr>
              <w:t></w:t>
            </w:r>
            <w:r>
              <w:rPr>
                <w:rStyle w:val="31"/>
                <w:rFonts w:hint="default"/>
                <w:color w:val="auto"/>
                <w:highlight w:val="none"/>
              </w:rPr>
              <w:t>没有</w:t>
            </w:r>
          </w:p>
        </w:tc>
        <w:tc>
          <w:tcPr>
            <w:tcW w:w="2199"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2432"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6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7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19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336" w:hRule="atLeast"/>
        </w:trPr>
        <w:tc>
          <w:tcPr>
            <w:tcW w:w="1467"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二、现场检查</w:t>
            </w:r>
          </w:p>
        </w:tc>
        <w:tc>
          <w:tcPr>
            <w:tcW w:w="1629"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生产区域      </w:t>
            </w:r>
          </w:p>
        </w:tc>
        <w:tc>
          <w:tcPr>
            <w:tcW w:w="2774"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1、生产区域安全警示标示、、储存区域的安全警示标示、装卸区域的安全警示标示。               2、安全防护用品、救援物资的现场储备情况。</w:t>
            </w:r>
          </w:p>
        </w:tc>
        <w:tc>
          <w:tcPr>
            <w:tcW w:w="181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Style w:val="30"/>
                <w:color w:val="auto"/>
                <w:highlight w:val="none"/>
              </w:rPr>
              <w:t></w:t>
            </w:r>
            <w:r>
              <w:rPr>
                <w:rStyle w:val="31"/>
                <w:rFonts w:hint="default"/>
                <w:color w:val="auto"/>
                <w:highlight w:val="none"/>
              </w:rPr>
              <w:t xml:space="preserve">有    </w:t>
            </w:r>
            <w:r>
              <w:rPr>
                <w:rStyle w:val="30"/>
                <w:color w:val="auto"/>
                <w:highlight w:val="none"/>
              </w:rPr>
              <w:t></w:t>
            </w:r>
            <w:r>
              <w:rPr>
                <w:rStyle w:val="31"/>
                <w:rFonts w:hint="default"/>
                <w:color w:val="auto"/>
                <w:highlight w:val="none"/>
              </w:rPr>
              <w:t>没有</w:t>
            </w:r>
          </w:p>
        </w:tc>
        <w:tc>
          <w:tcPr>
            <w:tcW w:w="2199"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36"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6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7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199"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881"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6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7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199"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647" w:hRule="atLeast"/>
        </w:trPr>
        <w:tc>
          <w:tcPr>
            <w:tcW w:w="9880" w:type="dxa"/>
            <w:gridSpan w:val="5"/>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备注：存在问题及整改措施需提供相关图片资料。自查表需按照合同约定及时提交至甲方辖下各分（子）公司进行考核评分</w:t>
            </w:r>
          </w:p>
        </w:tc>
      </w:tr>
    </w:tbl>
    <w:p>
      <w:pPr>
        <w:spacing w:line="420" w:lineRule="exact"/>
        <w:ind w:left="696" w:leftChars="135" w:hanging="413" w:hangingChars="197"/>
        <w:rPr>
          <w:rFonts w:ascii="宋体" w:hAnsi="宋体"/>
          <w:color w:val="auto"/>
          <w:szCs w:val="21"/>
          <w:highlight w:val="none"/>
        </w:rPr>
      </w:pPr>
    </w:p>
    <w:p>
      <w:pPr>
        <w:spacing w:line="240" w:lineRule="auto"/>
        <w:rPr>
          <w:rFonts w:hint="eastAsia" w:ascii="宋体" w:hAnsi="宋体"/>
          <w:b/>
          <w:color w:val="auto"/>
          <w:highlight w:val="none"/>
        </w:rPr>
      </w:pPr>
      <w:r>
        <w:rPr>
          <w:rFonts w:hint="eastAsia" w:ascii="宋体" w:hAnsi="宋体"/>
          <w:b/>
          <w:color w:val="auto"/>
          <w:highlight w:val="none"/>
        </w:rPr>
        <w:br w:type="page"/>
      </w:r>
    </w:p>
    <w:p>
      <w:pPr>
        <w:spacing w:line="360" w:lineRule="auto"/>
        <w:rPr>
          <w:rFonts w:ascii="宋体" w:hAnsi="宋体"/>
          <w:b/>
          <w:color w:val="auto"/>
          <w:highlight w:val="none"/>
        </w:rPr>
      </w:pPr>
      <w:r>
        <w:rPr>
          <w:rFonts w:hint="eastAsia" w:ascii="宋体" w:hAnsi="宋体"/>
          <w:b/>
          <w:color w:val="auto"/>
          <w:highlight w:val="none"/>
        </w:rPr>
        <w:t>附表3-2、</w:t>
      </w:r>
      <w:r>
        <w:rPr>
          <w:rStyle w:val="28"/>
          <w:rFonts w:hint="default"/>
          <w:b/>
          <w:bCs/>
          <w:color w:val="auto"/>
          <w:sz w:val="21"/>
          <w:szCs w:val="21"/>
          <w:highlight w:val="none"/>
        </w:rPr>
        <w:t>药剂安全情况自查表（普通化学品）</w:t>
      </w:r>
    </w:p>
    <w:tbl>
      <w:tblPr>
        <w:tblStyle w:val="20"/>
        <w:tblW w:w="8700" w:type="dxa"/>
        <w:tblInd w:w="0" w:type="dxa"/>
        <w:tblLayout w:type="autofit"/>
        <w:tblCellMar>
          <w:top w:w="0" w:type="dxa"/>
          <w:left w:w="0" w:type="dxa"/>
          <w:bottom w:w="0" w:type="dxa"/>
          <w:right w:w="0" w:type="dxa"/>
        </w:tblCellMar>
      </w:tblPr>
      <w:tblGrid>
        <w:gridCol w:w="1453"/>
        <w:gridCol w:w="1254"/>
        <w:gridCol w:w="2085"/>
        <w:gridCol w:w="1631"/>
        <w:gridCol w:w="2277"/>
      </w:tblGrid>
      <w:tr>
        <w:tblPrEx>
          <w:tblCellMar>
            <w:top w:w="0" w:type="dxa"/>
            <w:left w:w="0" w:type="dxa"/>
            <w:bottom w:w="0" w:type="dxa"/>
            <w:right w:w="0" w:type="dxa"/>
          </w:tblCellMar>
        </w:tblPrEx>
        <w:trPr>
          <w:trHeight w:val="854" w:hRule="atLeast"/>
        </w:trPr>
        <w:tc>
          <w:tcPr>
            <w:tcW w:w="8700" w:type="dxa"/>
            <w:gridSpan w:val="5"/>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auto"/>
                <w:sz w:val="32"/>
                <w:szCs w:val="32"/>
                <w:highlight w:val="none"/>
                <w:u w:val="single"/>
              </w:rPr>
            </w:pPr>
            <w:r>
              <w:rPr>
                <w:rFonts w:hint="eastAsia" w:ascii="宋体" w:hAnsi="宋体" w:cs="宋体"/>
                <w:color w:val="auto"/>
                <w:kern w:val="0"/>
                <w:sz w:val="32"/>
                <w:szCs w:val="32"/>
                <w:highlight w:val="none"/>
                <w:u w:val="single"/>
              </w:rPr>
              <w:t xml:space="preserve">         </w:t>
            </w:r>
            <w:r>
              <w:rPr>
                <w:rFonts w:hint="eastAsia" w:ascii="宋体" w:hAnsi="宋体" w:cs="宋体"/>
                <w:color w:val="auto"/>
                <w:kern w:val="0"/>
                <w:sz w:val="32"/>
                <w:szCs w:val="32"/>
                <w:highlight w:val="none"/>
              </w:rPr>
              <w:t>年</w:t>
            </w:r>
            <w:r>
              <w:rPr>
                <w:rFonts w:hint="eastAsia" w:ascii="宋体" w:hAnsi="宋体" w:cs="宋体"/>
                <w:color w:val="auto"/>
                <w:kern w:val="0"/>
                <w:sz w:val="32"/>
                <w:szCs w:val="32"/>
                <w:highlight w:val="none"/>
                <w:u w:val="single"/>
              </w:rPr>
              <w:t xml:space="preserve">       </w:t>
            </w:r>
            <w:r>
              <w:rPr>
                <w:rFonts w:hint="eastAsia" w:ascii="宋体" w:hAnsi="宋体" w:cs="宋体"/>
                <w:color w:val="auto"/>
                <w:kern w:val="0"/>
                <w:sz w:val="32"/>
                <w:szCs w:val="32"/>
                <w:highlight w:val="none"/>
              </w:rPr>
              <w:t>药剂安全情况自查表（普通化学品）</w:t>
            </w:r>
          </w:p>
        </w:tc>
      </w:tr>
      <w:tr>
        <w:tblPrEx>
          <w:tblCellMar>
            <w:top w:w="0" w:type="dxa"/>
            <w:left w:w="0" w:type="dxa"/>
            <w:bottom w:w="0" w:type="dxa"/>
            <w:right w:w="0" w:type="dxa"/>
          </w:tblCellMar>
        </w:tblPrEx>
        <w:trPr>
          <w:trHeight w:val="615"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自检单位：（盖章）</w:t>
            </w:r>
          </w:p>
        </w:tc>
      </w:tr>
      <w:tr>
        <w:tblPrEx>
          <w:tblCellMar>
            <w:top w:w="0" w:type="dxa"/>
            <w:left w:w="0" w:type="dxa"/>
            <w:bottom w:w="0" w:type="dxa"/>
            <w:right w:w="0" w:type="dxa"/>
          </w:tblCellMar>
        </w:tblPrEx>
        <w:trPr>
          <w:trHeight w:val="615"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检查日期：</w:t>
            </w:r>
          </w:p>
        </w:tc>
      </w:tr>
      <w:tr>
        <w:tblPrEx>
          <w:tblCellMar>
            <w:top w:w="0" w:type="dxa"/>
            <w:left w:w="0" w:type="dxa"/>
            <w:bottom w:w="0" w:type="dxa"/>
            <w:right w:w="0" w:type="dxa"/>
          </w:tblCellMar>
        </w:tblPrEx>
        <w:trPr>
          <w:trHeight w:val="704" w:hRule="atLeast"/>
        </w:trPr>
        <w:tc>
          <w:tcPr>
            <w:tcW w:w="145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序号</w:t>
            </w:r>
          </w:p>
        </w:tc>
        <w:tc>
          <w:tcPr>
            <w:tcW w:w="1254"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内容</w:t>
            </w:r>
          </w:p>
        </w:tc>
        <w:tc>
          <w:tcPr>
            <w:tcW w:w="2085"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主要检查内容</w:t>
            </w:r>
          </w:p>
        </w:tc>
        <w:tc>
          <w:tcPr>
            <w:tcW w:w="1631"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检查结果</w:t>
            </w:r>
          </w:p>
        </w:tc>
        <w:tc>
          <w:tcPr>
            <w:tcW w:w="2277"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存在问题及整改措施</w:t>
            </w:r>
          </w:p>
        </w:tc>
      </w:tr>
      <w:tr>
        <w:tblPrEx>
          <w:tblCellMar>
            <w:top w:w="0" w:type="dxa"/>
            <w:left w:w="0" w:type="dxa"/>
            <w:bottom w:w="0" w:type="dxa"/>
            <w:right w:w="0" w:type="dxa"/>
          </w:tblCellMar>
        </w:tblPrEx>
        <w:trPr>
          <w:trHeight w:val="322" w:hRule="atLeast"/>
        </w:trPr>
        <w:tc>
          <w:tcPr>
            <w:tcW w:w="1453"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一、台账检查</w:t>
            </w:r>
          </w:p>
        </w:tc>
        <w:tc>
          <w:tcPr>
            <w:tcW w:w="1254"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生产、经营资质     </w:t>
            </w:r>
          </w:p>
        </w:tc>
        <w:tc>
          <w:tcPr>
            <w:tcW w:w="2085"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1、经营许可证。        2、营业执照。              3、安全生产许可证</w:t>
            </w:r>
          </w:p>
        </w:tc>
        <w:tc>
          <w:tcPr>
            <w:tcW w:w="163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 xml:space="preserve">有    </w:t>
            </w: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没有</w:t>
            </w:r>
          </w:p>
        </w:tc>
        <w:tc>
          <w:tcPr>
            <w:tcW w:w="2277"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22"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25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2"/>
                <w:szCs w:val="22"/>
                <w:highlight w:val="none"/>
              </w:rPr>
            </w:pPr>
          </w:p>
        </w:tc>
        <w:tc>
          <w:tcPr>
            <w:tcW w:w="208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63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277"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873"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25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2"/>
                <w:szCs w:val="22"/>
                <w:highlight w:val="none"/>
              </w:rPr>
            </w:pPr>
          </w:p>
        </w:tc>
        <w:tc>
          <w:tcPr>
            <w:tcW w:w="208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63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277"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22"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254" w:type="dxa"/>
            <w:vMerge w:val="restart"/>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运输资质   </w:t>
            </w:r>
          </w:p>
        </w:tc>
        <w:tc>
          <w:tcPr>
            <w:tcW w:w="2085" w:type="dxa"/>
            <w:vMerge w:val="restart"/>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氢氧化钠（30%溶液）</w:t>
            </w:r>
            <w:r>
              <w:rPr>
                <w:rFonts w:hint="eastAsia" w:ascii="宋体" w:hAnsi="宋体" w:cs="宋体"/>
                <w:color w:val="auto"/>
                <w:kern w:val="0"/>
                <w:sz w:val="24"/>
                <w:highlight w:val="none"/>
              </w:rPr>
              <w:t>车队的运输资质                     2、道路运输许可证。    3、送货人员的证件资料及职业卫生相关资料</w:t>
            </w:r>
          </w:p>
        </w:tc>
        <w:tc>
          <w:tcPr>
            <w:tcW w:w="163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 xml:space="preserve">有    </w:t>
            </w: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没有</w:t>
            </w:r>
          </w:p>
        </w:tc>
        <w:tc>
          <w:tcPr>
            <w:tcW w:w="2277"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1247"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254" w:type="dxa"/>
            <w:vMerge w:val="continue"/>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085" w:type="dxa"/>
            <w:vMerge w:val="continue"/>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63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277"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322"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254"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安全管理台账</w:t>
            </w:r>
          </w:p>
        </w:tc>
        <w:tc>
          <w:tcPr>
            <w:tcW w:w="2085"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1、厂区安全生产规章制度                     2、运送货物人员岗前培训资料。                 3、安全防护用品的购置和发放记录。             4、安全月度检查及整改情况台账。                 5、应急预案、应急演练记录</w:t>
            </w:r>
          </w:p>
        </w:tc>
        <w:tc>
          <w:tcPr>
            <w:tcW w:w="1631"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 xml:space="preserve">有     </w:t>
            </w: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没有</w:t>
            </w:r>
          </w:p>
        </w:tc>
        <w:tc>
          <w:tcPr>
            <w:tcW w:w="2277"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2629"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254"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085"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631"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277"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322" w:hRule="atLeast"/>
        </w:trPr>
        <w:tc>
          <w:tcPr>
            <w:tcW w:w="1453" w:type="dxa"/>
            <w:vMerge w:val="restart"/>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二、现场检查</w:t>
            </w:r>
          </w:p>
        </w:tc>
        <w:tc>
          <w:tcPr>
            <w:tcW w:w="1254" w:type="dxa"/>
            <w:vMerge w:val="restart"/>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生产区域   </w:t>
            </w:r>
          </w:p>
        </w:tc>
        <w:tc>
          <w:tcPr>
            <w:tcW w:w="2085" w:type="dxa"/>
            <w:vMerge w:val="restart"/>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1、生产、储存区域安全警示标示。               2、安全防护用品的现场储备情况</w:t>
            </w:r>
          </w:p>
        </w:tc>
        <w:tc>
          <w:tcPr>
            <w:tcW w:w="163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 xml:space="preserve">有    </w:t>
            </w: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没有</w:t>
            </w:r>
          </w:p>
        </w:tc>
        <w:tc>
          <w:tcPr>
            <w:tcW w:w="2277" w:type="dxa"/>
            <w:vMerge w:val="restart"/>
            <w:tcBorders>
              <w:top w:val="single" w:color="000000" w:sz="8" w:space="0"/>
              <w:left w:val="single" w:color="000000" w:sz="4" w:space="0"/>
              <w:bottom w:val="single" w:color="000000" w:sz="4"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22" w:hRule="atLeast"/>
        </w:trPr>
        <w:tc>
          <w:tcPr>
            <w:tcW w:w="1453" w:type="dxa"/>
            <w:vMerge w:val="continue"/>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254"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085"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63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277" w:type="dxa"/>
            <w:vMerge w:val="continue"/>
            <w:tcBorders>
              <w:top w:val="single" w:color="000000" w:sz="8" w:space="0"/>
              <w:left w:val="single" w:color="000000" w:sz="4" w:space="0"/>
              <w:bottom w:val="single" w:color="000000" w:sz="4"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723" w:hRule="atLeast"/>
        </w:trPr>
        <w:tc>
          <w:tcPr>
            <w:tcW w:w="1453" w:type="dxa"/>
            <w:vMerge w:val="continue"/>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254"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085"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63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277" w:type="dxa"/>
            <w:vMerge w:val="continue"/>
            <w:tcBorders>
              <w:top w:val="single" w:color="000000" w:sz="8" w:space="0"/>
              <w:left w:val="single" w:color="000000" w:sz="4" w:space="0"/>
              <w:bottom w:val="single" w:color="000000" w:sz="4"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779" w:hRule="atLeast"/>
        </w:trPr>
        <w:tc>
          <w:tcPr>
            <w:tcW w:w="8700" w:type="dxa"/>
            <w:gridSpan w:val="5"/>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备注：存在问题及整改措施需提供相关图片资料。自查表需按照合同约定及时提交至甲方辖下各分（子）公司进行考核评分</w:t>
            </w:r>
          </w:p>
        </w:tc>
      </w:tr>
    </w:tbl>
    <w:p>
      <w:pPr>
        <w:spacing w:line="360" w:lineRule="auto"/>
        <w:rPr>
          <w:rFonts w:ascii="宋体" w:hAnsi="宋体"/>
          <w:b/>
          <w:color w:val="auto"/>
          <w:highlight w:val="none"/>
        </w:rPr>
      </w:pPr>
    </w:p>
    <w:p>
      <w:pPr>
        <w:spacing w:line="360" w:lineRule="auto"/>
        <w:rPr>
          <w:rFonts w:ascii="宋体" w:hAnsi="宋体"/>
          <w:b/>
          <w:color w:val="auto"/>
          <w:highlight w:val="yellow"/>
        </w:rPr>
      </w:pPr>
      <w:r>
        <w:rPr>
          <w:rFonts w:hint="eastAsia" w:ascii="宋体" w:hAnsi="宋体"/>
          <w:b/>
          <w:color w:val="auto"/>
          <w:highlight w:val="none"/>
        </w:rPr>
        <w:t>附件</w:t>
      </w:r>
      <w:r>
        <w:rPr>
          <w:rFonts w:ascii="宋体" w:hAnsi="宋体"/>
          <w:b/>
          <w:color w:val="auto"/>
          <w:highlight w:val="none"/>
        </w:rPr>
        <w:t>1</w:t>
      </w:r>
      <w:r>
        <w:rPr>
          <w:rFonts w:hint="eastAsia" w:ascii="宋体" w:hAnsi="宋体"/>
          <w:b/>
          <w:color w:val="auto"/>
          <w:highlight w:val="none"/>
        </w:rPr>
        <w:t>：子公司管理协议（格式）</w:t>
      </w:r>
    </w:p>
    <w:p>
      <w:pPr>
        <w:ind w:firstLine="1807" w:firstLineChars="600"/>
        <w:rPr>
          <w:rFonts w:ascii="宋体" w:hAnsi="宋体"/>
          <w:b/>
          <w:color w:val="auto"/>
          <w:sz w:val="30"/>
          <w:szCs w:val="30"/>
          <w:highlight w:val="none"/>
        </w:rPr>
      </w:pPr>
    </w:p>
    <w:p>
      <w:pPr>
        <w:ind w:firstLine="2530" w:firstLineChars="900"/>
        <w:rPr>
          <w:rFonts w:ascii="宋体" w:hAnsi="宋体"/>
          <w:b/>
          <w:color w:val="auto"/>
          <w:sz w:val="28"/>
          <w:szCs w:val="28"/>
          <w:highlight w:val="none"/>
        </w:rPr>
      </w:pPr>
      <w:r>
        <w:rPr>
          <w:rFonts w:hint="eastAsia" w:ascii="宋体" w:hAnsi="宋体"/>
          <w:b/>
          <w:color w:val="auto"/>
          <w:sz w:val="28"/>
          <w:szCs w:val="28"/>
          <w:highlight w:val="none"/>
        </w:rPr>
        <w:t>广州市净水有限公司________</w:t>
      </w:r>
    </w:p>
    <w:p>
      <w:pPr>
        <w:ind w:firstLine="2811" w:firstLineChars="1000"/>
        <w:rPr>
          <w:rFonts w:ascii="宋体" w:hAnsi="宋体"/>
          <w:b/>
          <w:color w:val="auto"/>
          <w:sz w:val="28"/>
          <w:szCs w:val="28"/>
          <w:highlight w:val="none"/>
        </w:rPr>
      </w:pPr>
      <w:r>
        <w:rPr>
          <w:rFonts w:hint="eastAsia" w:ascii="宋体" w:hAnsi="宋体"/>
          <w:b/>
          <w:color w:val="auto"/>
          <w:sz w:val="28"/>
          <w:szCs w:val="28"/>
          <w:highlight w:val="none"/>
        </w:rPr>
        <w:t>关于__________的管理协议</w:t>
      </w:r>
    </w:p>
    <w:p>
      <w:pPr>
        <w:widowControl/>
        <w:spacing w:line="360" w:lineRule="auto"/>
        <w:jc w:val="left"/>
        <w:rPr>
          <w:rFonts w:ascii="宋体" w:hAnsi="宋体" w:cs="宋体"/>
          <w:color w:val="auto"/>
          <w:sz w:val="24"/>
          <w:highlight w:val="none"/>
        </w:rPr>
      </w:pPr>
    </w:p>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甲方：广州市净水有限公司xx（子公司）</w:t>
      </w:r>
    </w:p>
    <w:p>
      <w:pPr>
        <w:spacing w:line="360" w:lineRule="auto"/>
        <w:rPr>
          <w:rFonts w:ascii="宋体" w:hAnsi="宋体" w:cs="宋体"/>
          <w:color w:val="auto"/>
          <w:sz w:val="24"/>
          <w:highlight w:val="none"/>
        </w:rPr>
      </w:pPr>
      <w:r>
        <w:rPr>
          <w:rFonts w:hint="eastAsia" w:ascii="宋体" w:hAnsi="宋体" w:cs="宋体"/>
          <w:color w:val="auto"/>
          <w:sz w:val="24"/>
          <w:highlight w:val="none"/>
        </w:rPr>
        <w:t>乙方：</w:t>
      </w:r>
    </w:p>
    <w:p>
      <w:pPr>
        <w:spacing w:line="360" w:lineRule="auto"/>
        <w:rPr>
          <w:rFonts w:ascii="宋体" w:hAnsi="宋体" w:cs="宋体"/>
          <w:color w:val="auto"/>
          <w:sz w:val="24"/>
          <w:highlight w:val="none"/>
        </w:rPr>
      </w:pPr>
    </w:p>
    <w:p>
      <w:pPr>
        <w:pStyle w:val="9"/>
        <w:spacing w:line="360" w:lineRule="auto"/>
        <w:ind w:left="120" w:leftChars="57" w:firstLine="360" w:firstLineChars="150"/>
        <w:jc w:val="left"/>
        <w:rPr>
          <w:rFonts w:hAnsi="宋体" w:cs="宋体"/>
          <w:color w:val="auto"/>
          <w:sz w:val="24"/>
          <w:szCs w:val="24"/>
          <w:highlight w:val="none"/>
        </w:rPr>
      </w:pPr>
      <w:r>
        <w:rPr>
          <w:rFonts w:hint="eastAsia" w:hAnsi="宋体" w:cs="宋体"/>
          <w:color w:val="auto"/>
          <w:sz w:val="24"/>
          <w:szCs w:val="24"/>
          <w:highlight w:val="none"/>
        </w:rPr>
        <w:t>本协议中的所用术语，除非另有说明，否则其定义与双方于____年__月__日签订合同编号为</w:t>
      </w:r>
      <w:r>
        <w:rPr>
          <w:rFonts w:hint="eastAsia" w:hAnsi="宋体" w:cs="宋体"/>
          <w:color w:val="auto"/>
          <w:sz w:val="24"/>
          <w:szCs w:val="24"/>
          <w:highlight w:val="none"/>
          <w:u w:val="single"/>
        </w:rPr>
        <w:t xml:space="preserve">             《合同名称 》</w:t>
      </w:r>
      <w:r>
        <w:rPr>
          <w:rFonts w:hint="eastAsia" w:hAnsi="宋体" w:cs="宋体"/>
          <w:color w:val="auto"/>
          <w:sz w:val="24"/>
          <w:szCs w:val="24"/>
          <w:highlight w:val="none"/>
        </w:rPr>
        <w:t>中的定义相同。</w:t>
      </w:r>
    </w:p>
    <w:p>
      <w:pPr>
        <w:spacing w:line="360" w:lineRule="auto"/>
        <w:ind w:left="120" w:leftChars="57" w:firstLine="600" w:firstLineChars="250"/>
        <w:rPr>
          <w:rFonts w:ascii="宋体" w:hAnsi="宋体" w:cs="宋体"/>
          <w:color w:val="auto"/>
          <w:sz w:val="24"/>
          <w:highlight w:val="none"/>
        </w:rPr>
      </w:pPr>
      <w:r>
        <w:rPr>
          <w:rFonts w:hint="eastAsia" w:ascii="宋体" w:hAnsi="宋体" w:cs="宋体"/>
          <w:color w:val="auto"/>
          <w:sz w:val="24"/>
          <w:highlight w:val="none"/>
        </w:rPr>
        <w:t>广州市净水有限公司  年药剂采购项目（以下称“本项目”）通过公开招标（或询价等）的方式，确定公司为本项目的中标单位。根据《中华人民共和国民法典》和国家其它法律法规，广州市净水有限公司与_______________公司双方协商一致，签订了</w:t>
      </w:r>
      <w:r>
        <w:rPr>
          <w:rFonts w:hint="eastAsia" w:ascii="宋体" w:hAnsi="宋体" w:cs="宋体"/>
          <w:color w:val="auto"/>
          <w:sz w:val="24"/>
          <w:highlight w:val="none"/>
          <w:u w:val="single"/>
        </w:rPr>
        <w:t>《合同名称》+（合同编号）</w:t>
      </w:r>
      <w:r>
        <w:rPr>
          <w:rFonts w:hint="eastAsia" w:ascii="宋体" w:hAnsi="宋体" w:cs="宋体"/>
          <w:color w:val="auto"/>
          <w:sz w:val="24"/>
          <w:highlight w:val="none"/>
        </w:rPr>
        <w:t>，经甲乙双方协商，签订本协议。</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一、药剂单价及付款</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 ___________药剂单价按广州市净水有限公司与___________公司签订的合同单价为固定不变价，合同单价今后不因任何因素而作调整。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1.2结算方式：按 </w:t>
      </w:r>
      <w:r>
        <w:rPr>
          <w:rFonts w:hint="eastAsia" w:ascii="宋体" w:hAnsi="宋体" w:cs="宋体"/>
          <w:color w:val="auto"/>
          <w:sz w:val="24"/>
          <w:highlight w:val="none"/>
          <w:u w:val="single"/>
        </w:rPr>
        <w:t>《合同名称》+（合同编号）约定</w:t>
      </w:r>
      <w:r>
        <w:rPr>
          <w:rFonts w:hint="eastAsia" w:ascii="宋体" w:hAnsi="宋体" w:cs="宋体"/>
          <w:color w:val="auto"/>
          <w:sz w:val="24"/>
          <w:highlight w:val="none"/>
        </w:rPr>
        <w:t>执行。</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与乙方按照实际供货量结算，甲方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按合同单价每月与乙方结算一次。乙方应在每月</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日前将结算表以书面形式交付甲方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，若甲方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对结算内容有异议，应书面回复乙方。乙方根据甲方确认的结算金额开出国家合法的增值税专用发票，交甲方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办理付款手续。</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二、药剂的检测、考核及处罚</w:t>
      </w:r>
    </w:p>
    <w:p>
      <w:pPr>
        <w:spacing w:line="360" w:lineRule="auto"/>
        <w:ind w:firstLine="489" w:firstLineChars="204"/>
        <w:rPr>
          <w:rFonts w:ascii="宋体" w:hAnsi="宋体" w:cs="宋体"/>
          <w:color w:val="auto"/>
          <w:sz w:val="24"/>
          <w:highlight w:val="none"/>
        </w:rPr>
      </w:pPr>
      <w:r>
        <w:rPr>
          <w:rFonts w:hint="eastAsia" w:ascii="宋体" w:hAnsi="宋体" w:cs="宋体"/>
          <w:color w:val="auto"/>
          <w:sz w:val="24"/>
          <w:highlight w:val="none"/>
        </w:rPr>
        <w:t>2.1甲方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根据广州市净水有限公司与公司签订的合同</w:t>
      </w:r>
      <w:r>
        <w:rPr>
          <w:rFonts w:hint="eastAsia" w:ascii="宋体" w:hAnsi="宋体" w:cs="宋体"/>
          <w:color w:val="auto"/>
          <w:sz w:val="24"/>
          <w:highlight w:val="none"/>
          <w:u w:val="single"/>
        </w:rPr>
        <w:t>《合同名称》+（合同编号）</w:t>
      </w:r>
      <w:r>
        <w:rPr>
          <w:rFonts w:hint="eastAsia" w:ascii="宋体" w:hAnsi="宋体" w:cs="宋体"/>
          <w:color w:val="auto"/>
          <w:sz w:val="24"/>
          <w:highlight w:val="none"/>
        </w:rPr>
        <w:t>要求，对</w:t>
      </w:r>
      <w:r>
        <w:rPr>
          <w:rFonts w:hint="eastAsia" w:ascii="宋体" w:hAnsi="宋体" w:cs="宋体"/>
          <w:color w:val="auto"/>
          <w:kern w:val="0"/>
          <w:sz w:val="24"/>
          <w:highlight w:val="none"/>
        </w:rPr>
        <w:t>乙方每车次货物进行取样检测，并根据检测结果进行处罚</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三、乙方须根据</w:t>
      </w:r>
      <w:r>
        <w:rPr>
          <w:rFonts w:hint="eastAsia" w:ascii="宋体" w:hAnsi="宋体" w:cs="宋体"/>
          <w:color w:val="auto"/>
          <w:sz w:val="24"/>
          <w:highlight w:val="none"/>
          <w:u w:val="single"/>
        </w:rPr>
        <w:t>《合同名称》+（合同编号）</w:t>
      </w:r>
      <w:r>
        <w:rPr>
          <w:rFonts w:hint="eastAsia" w:ascii="宋体" w:hAnsi="宋体" w:cs="宋体"/>
          <w:color w:val="auto"/>
          <w:sz w:val="24"/>
          <w:highlight w:val="none"/>
        </w:rPr>
        <w:t>，严格执行各项合同条款，执行相关权利和义务。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四、本协议生效后，即成为合同编号为</w:t>
      </w:r>
      <w:r>
        <w:rPr>
          <w:rFonts w:hint="eastAsia" w:ascii="宋体" w:hAnsi="宋体" w:cs="宋体"/>
          <w:color w:val="auto"/>
          <w:sz w:val="24"/>
          <w:highlight w:val="none"/>
          <w:u w:val="single"/>
        </w:rPr>
        <w:t>《合同名称》+（合同编号）</w:t>
      </w:r>
      <w:r>
        <w:rPr>
          <w:rFonts w:hint="eastAsia" w:ascii="宋体" w:hAnsi="宋体" w:cs="宋体"/>
          <w:color w:val="auto"/>
          <w:sz w:val="24"/>
          <w:highlight w:val="none"/>
        </w:rPr>
        <w:t>不可分割的组成部分，与其具有同等的法律效力。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五、本协议一式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份，具有同等法律效力，自双方签字盖章之日起生效。</w:t>
      </w:r>
    </w:p>
    <w:p>
      <w:pPr>
        <w:spacing w:line="360" w:lineRule="auto"/>
        <w:rPr>
          <w:rFonts w:ascii="宋体" w:hAnsi="宋体" w:cs="宋体"/>
          <w:color w:val="auto"/>
          <w:sz w:val="24"/>
          <w:highlight w:val="none"/>
        </w:rPr>
      </w:pPr>
    </w:p>
    <w:p>
      <w:pPr>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甲方：广州市净水有限公司</w:t>
      </w:r>
      <w:r>
        <w:rPr>
          <w:rFonts w:hint="eastAsia" w:hAnsi="宋体" w:cs="宋体"/>
          <w:color w:val="auto"/>
          <w:sz w:val="24"/>
          <w:highlight w:val="none"/>
        </w:rPr>
        <w:t>xx</w:t>
      </w:r>
      <w:r>
        <w:rPr>
          <w:rFonts w:hint="eastAsia" w:hAnsi="宋体" w:cs="宋体"/>
          <w:color w:val="auto"/>
          <w:sz w:val="24"/>
          <w:highlight w:val="none"/>
          <w:lang w:val="en-US" w:eastAsia="zh-CN"/>
        </w:rPr>
        <w:t>(</w:t>
      </w:r>
      <w:r>
        <w:rPr>
          <w:rFonts w:hint="eastAsia" w:hAnsi="宋体" w:cs="宋体"/>
          <w:color w:val="auto"/>
          <w:sz w:val="24"/>
          <w:highlight w:val="none"/>
        </w:rPr>
        <w:t>子公司</w:t>
      </w:r>
      <w:r>
        <w:rPr>
          <w:rFonts w:hint="eastAsia" w:hAnsi="宋体" w:cs="宋体"/>
          <w:color w:val="auto"/>
          <w:sz w:val="24"/>
          <w:highlight w:val="none"/>
          <w:lang w:val="en-US" w:eastAsia="zh-CN"/>
        </w:rPr>
        <w:t>)</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乙方：</w:t>
      </w:r>
    </w:p>
    <w:p>
      <w:pPr>
        <w:pStyle w:val="9"/>
        <w:spacing w:line="360" w:lineRule="auto"/>
        <w:rPr>
          <w:rFonts w:hint="eastAsia" w:hAnsi="宋体" w:eastAsia="宋体" w:cs="宋体"/>
          <w:color w:val="auto"/>
          <w:sz w:val="24"/>
          <w:szCs w:val="24"/>
          <w:highlight w:val="none"/>
          <w:lang w:val="en-US" w:eastAsia="zh-CN"/>
        </w:rPr>
      </w:pPr>
      <w:r>
        <w:rPr>
          <w:rFonts w:hint="eastAsia" w:hAnsi="宋体" w:cs="宋体"/>
          <w:color w:val="auto"/>
          <w:sz w:val="24"/>
          <w:szCs w:val="24"/>
          <w:highlight w:val="none"/>
        </w:rPr>
        <w:t xml:space="preserve">      </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地址：                                   地址：</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法定代表人（或项目经办人）：             法定代表人：</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 xml:space="preserve">委托代理人：                             委托代理人：                 </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电话：                                   电话：</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传真：                                   传真：</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开户银行：                               开户银行：</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帐号：                                   帐号：</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邮政编码：                               邮政编码：</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邮箱地址：                               邮箱地址：</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日期：                                   日期：</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rPr>
          <w:rFonts w:ascii="宋体" w:hAnsi="宋体" w:cs="宋体"/>
          <w:b/>
          <w:color w:val="auto"/>
          <w:sz w:val="28"/>
          <w:szCs w:val="28"/>
          <w:highlight w:val="none"/>
        </w:rPr>
      </w:pPr>
      <w:r>
        <w:rPr>
          <w:rFonts w:hint="eastAsia" w:ascii="宋体" w:hAnsi="宋体" w:cs="宋体"/>
          <w:b/>
          <w:color w:val="auto"/>
          <w:szCs w:val="21"/>
          <w:highlight w:val="none"/>
        </w:rPr>
        <w:t>附件2：生产药剂采购安全协议书</w:t>
      </w:r>
    </w:p>
    <w:p>
      <w:pPr>
        <w:rPr>
          <w:rFonts w:ascii="宋体" w:hAnsi="宋体" w:cs="宋体"/>
          <w:b/>
          <w:color w:val="auto"/>
          <w:sz w:val="28"/>
          <w:szCs w:val="28"/>
          <w:highlight w:val="none"/>
        </w:rPr>
      </w:pPr>
    </w:p>
    <w:p>
      <w:pPr>
        <w:spacing w:line="360" w:lineRule="auto"/>
        <w:jc w:val="center"/>
        <w:rPr>
          <w:rFonts w:ascii="宋体" w:hAnsi="宋体" w:cs="宋体"/>
          <w:bCs/>
          <w:color w:val="auto"/>
          <w:kern w:val="0"/>
          <w:sz w:val="28"/>
          <w:szCs w:val="28"/>
          <w:highlight w:val="none"/>
        </w:rPr>
      </w:pPr>
      <w:r>
        <w:rPr>
          <w:rFonts w:hint="eastAsia" w:ascii="宋体" w:hAnsi="宋体" w:cs="宋体"/>
          <w:b/>
          <w:color w:val="auto"/>
          <w:kern w:val="0"/>
          <w:sz w:val="28"/>
          <w:szCs w:val="28"/>
          <w:highlight w:val="none"/>
        </w:rPr>
        <w:t>生产药剂采购安全协议书</w:t>
      </w:r>
    </w:p>
    <w:p>
      <w:pPr>
        <w:spacing w:line="360" w:lineRule="auto"/>
        <w:jc w:val="center"/>
        <w:rPr>
          <w:rFonts w:ascii="宋体" w:hAnsi="宋体" w:cs="宋体"/>
          <w:bCs/>
          <w:color w:val="auto"/>
          <w:kern w:val="0"/>
          <w:sz w:val="28"/>
          <w:szCs w:val="28"/>
          <w:highlight w:val="none"/>
        </w:rPr>
      </w:pP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甲方：</w:t>
      </w:r>
      <w:r>
        <w:rPr>
          <w:rFonts w:hint="eastAsia" w:ascii="宋体" w:hAnsi="宋体" w:cs="宋体"/>
          <w:color w:val="auto"/>
          <w:sz w:val="24"/>
          <w:highlight w:val="none"/>
        </w:rPr>
        <w:t>广州市净水有限公司</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乙方：</w:t>
      </w:r>
    </w:p>
    <w:p>
      <w:pPr>
        <w:pStyle w:val="19"/>
        <w:rPr>
          <w:color w:val="auto"/>
        </w:rPr>
      </w:pP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为促使生产药剂采购过程安全，根据《中华人民共和国安全生产法》、《生产安全事故报告和调查处理条例》和《广州市安全生产管理规定（试行）》等国家及地方有关安全生产法律法规，甲乙双方就生产药剂采购的安全事宜，</w:t>
      </w:r>
      <w:r>
        <w:rPr>
          <w:rFonts w:hint="eastAsia" w:ascii="宋体" w:hAnsi="宋体" w:cs="宋体"/>
          <w:color w:val="auto"/>
          <w:sz w:val="24"/>
          <w:highlight w:val="none"/>
        </w:rPr>
        <w:t>经双方友好协商，达成如下协议</w:t>
      </w:r>
      <w:r>
        <w:rPr>
          <w:rFonts w:hint="eastAsia" w:ascii="宋体" w:hAnsi="宋体" w:cs="宋体"/>
          <w:color w:val="auto"/>
          <w:kern w:val="0"/>
          <w:sz w:val="24"/>
          <w:highlight w:val="none"/>
        </w:rPr>
        <w:t>。</w:t>
      </w:r>
    </w:p>
    <w:p>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一、甲方责任</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（一）甲方应贯彻落实国家、地方有关安全管理的法律法规和规章制度，进行生产药剂的采购。</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涉及受公安局管控危化品（易制毒、易制爆和剧毒化学品）的采购时，甲方应根据公安要求，落实备案工作，做好相关受管控化学药剂的网上申购备案。不得向未经许可从事危化品生产、经营活动的企业采购危化品。</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（三）甲方应审查乙方有关生产药剂的经营、运输的合法证照和资质条件，及相关运输车辆和人员的证件资料；涉及危化品的采购时，严格审查乙方的危化品经营许可、运输许可等资质。</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甲方应在其管辖区域对乙方的药剂运输、装卸的安全生产实行监督，及时纠正乙方人员违章指挥、违章驾驶、违反禁令等行为，并按照甲方的安全管理制度规定对乙方进行经济处罚；发现安全隐患，甲方应责令乙方立即整改，及时督促乙方消除事故隐患。针对非一次完成运输的项目，甲方应向乙方出具隐患整改通知，严禁乙方再犯同类问题。</w:t>
      </w:r>
    </w:p>
    <w:p>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二、乙方责任</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（一）乙方应承诺具备所售生产药剂（尤其涉及危化品、受公安管控化学品）的许可资质，并提供相关证明材料，在药剂的销售、运输、装卸全过程须严格遵守国家及地方的法律的有关规定。</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乙方对药剂的运输、装卸过程的安全工作承担主体责任。应指定药剂安全运输责任人，负责药剂安全运输和装卸及安全教育工作，组织制订和实施药剂安全运输、装卸工作的各项管理制度和规定，同时督促检查，确保药剂的安全送运。</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（三）乙方负责明确自身岗位安全职责，将安全责任落实到人；加强教育工作，督促员工遵守安全生产规章制度；鼓励员工积极参与安全生产工作，及时发现和消除隐患。</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（四）乙方应承诺所售药剂质量符合规范要求且在有效期内，包装要完整完好，当涉及危化品时，还应向甲方提供与所售药剂相一致的技术说明书（MSDS）和安全标签。</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（五）乙方用于运输药剂的车辆、驾驶员应取得证照资质，涉及危化品时应取得相应运输资质，并自觉接受甲方的审查。乙方要建立完善安全管理基础资料台账。</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（六）乙方须加强药剂运输车辆的安全管理，严格执行车辆安全检验制度，确保车辆性能符合安全技术标准。</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（七）乙方必须严格按照国家相关规定雇佣人员，雇佣的人员必须经过体检，有岗位禁忌症的人员严禁从事相关运输岗位的工作。</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乙方应采取措施，加强人员管理，对需进入甲方管辖区域的人员要做好三级安全教育工作、安全技术交底和培训，严防驾驶人员在甲方管辖区内超速、超载、疲劳驾驶、违章操作等违法违章行为。一经发现，应严格按制度规定落实教育处理或罚款。</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（九）乙方人员及车辆进入甲方管辖区内应自觉遵守甲方的规章制度和有关安全规定，不得擅自进入甲方其他生产作业区域。如有违反，乙方应限期内整改；如整改仍存在问题，乙方须接受甲方的处罚。</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（十）乙方应制定药剂运输安全操作规程，针对药剂运输特点严格按停车、装车、行驶、卸车等过程操作落实各项安全措施。</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（十一）乙方负责安全防护用品的购置和发放，严格按照药剂危害特性和安全操作规程配套劳动保护措施，督促员工必须正确佩戴使用个人劳保品。</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二）乙方应结合实际情况，对药剂运输的全过程进行危险性源辨识，明确安全风险，制定相应安全措施，编制现场应急预案以及事故处置方案，落实应急处置、抢救、疏散等措施，并组织学习及应急演练。如在甲方管辖区内发生紧急情况时，乙方必须服从甲方的统一调度指挥。</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（十三）若发生人员、设备事故时，乙方须立即报警处理，在力所能及范围内采取补救措施，并在30分钟内将情况报告甲方。责任归属如下：</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1.乙方人员及车辆在甲方管辖区内发生的安全事故，经过调查被认定为责任方的将负全部责任。</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2.乙方人员及车辆在运输途中发生的安全事故，根据公安交警出具的事故责任认定结果，由乙方负全部或部分责任。</w:t>
      </w:r>
    </w:p>
    <w:p>
      <w:pPr>
        <w:spacing w:line="360" w:lineRule="auto"/>
        <w:ind w:left="359" w:leftChars="171" w:firstLine="289" w:firstLineChars="120"/>
        <w:rPr>
          <w:rFonts w:ascii="宋体" w:hAnsi="宋体" w:cs="宋体"/>
          <w:b/>
          <w:color w:val="auto"/>
          <w:kern w:val="0"/>
          <w:sz w:val="24"/>
          <w:highlight w:val="none"/>
        </w:rPr>
      </w:pPr>
      <w:r>
        <w:rPr>
          <w:rFonts w:hint="eastAsia" w:ascii="宋体" w:hAnsi="宋体" w:cs="宋体"/>
          <w:b/>
          <w:color w:val="auto"/>
          <w:kern w:val="0"/>
          <w:sz w:val="24"/>
          <w:highlight w:val="none"/>
        </w:rPr>
        <w:t>三、</w:t>
      </w:r>
      <w:r>
        <w:rPr>
          <w:rFonts w:ascii="宋体" w:hAnsi="宋体" w:cs="宋体"/>
          <w:b/>
          <w:color w:val="auto"/>
          <w:kern w:val="0"/>
          <w:sz w:val="24"/>
          <w:highlight w:val="none"/>
        </w:rPr>
        <w:t>其他</w:t>
      </w:r>
      <w:r>
        <w:rPr>
          <w:rFonts w:hint="eastAsia" w:ascii="宋体" w:hAnsi="宋体" w:cs="宋体"/>
          <w:b/>
          <w:color w:val="auto"/>
          <w:kern w:val="0"/>
          <w:sz w:val="24"/>
          <w:highlight w:val="none"/>
        </w:rPr>
        <w:t>事项</w:t>
      </w:r>
    </w:p>
    <w:p>
      <w:pPr>
        <w:spacing w:line="360" w:lineRule="auto"/>
        <w:ind w:left="359" w:leftChars="171" w:firstLine="288" w:firstLineChars="120"/>
        <w:rPr>
          <w:rFonts w:ascii="宋体" w:hAnsi="宋体" w:cs="宋体"/>
          <w:color w:val="auto"/>
          <w:kern w:val="0"/>
          <w:sz w:val="24"/>
          <w:highlight w:val="none"/>
        </w:rPr>
      </w:pPr>
      <w:r>
        <w:rPr>
          <w:rFonts w:hint="eastAsia" w:ascii="宋体" w:hAnsi="宋体" w:cs="宋体"/>
          <w:color w:val="auto"/>
          <w:kern w:val="0"/>
          <w:sz w:val="24"/>
          <w:highlight w:val="none"/>
        </w:rPr>
        <w:t>（一）</w:t>
      </w:r>
      <w:r>
        <w:rPr>
          <w:rFonts w:ascii="宋体" w:hAnsi="宋体" w:cs="宋体"/>
          <w:color w:val="auto"/>
          <w:kern w:val="0"/>
          <w:sz w:val="24"/>
          <w:highlight w:val="none"/>
        </w:rPr>
        <w:t>本协议一式</w:t>
      </w:r>
      <w:r>
        <w:rPr>
          <w:rFonts w:hint="eastAsia" w:ascii="宋体" w:hAnsi="宋体" w:cs="宋体"/>
          <w:color w:val="auto"/>
          <w:kern w:val="0"/>
          <w:sz w:val="24"/>
          <w:highlight w:val="none"/>
          <w:lang w:val="en-US" w:eastAsia="zh-CN"/>
        </w:rPr>
        <w:t>5</w:t>
      </w:r>
      <w:r>
        <w:rPr>
          <w:rFonts w:ascii="宋体" w:hAnsi="宋体" w:cs="宋体"/>
          <w:color w:val="auto"/>
          <w:kern w:val="0"/>
          <w:sz w:val="24"/>
          <w:highlight w:val="none"/>
        </w:rPr>
        <w:t>份</w:t>
      </w:r>
      <w:r>
        <w:rPr>
          <w:rFonts w:hint="eastAsia" w:ascii="宋体" w:hAnsi="宋体" w:cs="宋体"/>
          <w:color w:val="auto"/>
          <w:kern w:val="0"/>
          <w:sz w:val="24"/>
          <w:highlight w:val="none"/>
          <w:lang w:eastAsia="zh-CN"/>
        </w:rPr>
        <w:t>，</w:t>
      </w:r>
      <w:r>
        <w:rPr>
          <w:rFonts w:ascii="宋体" w:hAnsi="宋体" w:cs="宋体"/>
          <w:color w:val="auto"/>
          <w:kern w:val="0"/>
          <w:sz w:val="24"/>
          <w:highlight w:val="none"/>
        </w:rPr>
        <w:t>甲</w:t>
      </w:r>
      <w:r>
        <w:rPr>
          <w:rFonts w:hint="eastAsia" w:ascii="宋体" w:hAnsi="宋体" w:cs="宋体"/>
          <w:color w:val="auto"/>
          <w:kern w:val="0"/>
          <w:sz w:val="24"/>
          <w:highlight w:val="none"/>
          <w:lang w:val="en-US" w:eastAsia="zh-CN"/>
        </w:rPr>
        <w:t>方执</w:t>
      </w:r>
      <w:r>
        <w:rPr>
          <w:rFonts w:hint="eastAsia" w:ascii="宋体" w:hAnsi="宋体" w:cs="宋体"/>
          <w:color w:val="auto"/>
          <w:kern w:val="0"/>
          <w:sz w:val="24"/>
          <w:highlight w:val="none"/>
          <w:u w:val="single"/>
          <w:lang w:val="en-US" w:eastAsia="zh-CN"/>
        </w:rPr>
        <w:t>4</w:t>
      </w:r>
      <w:r>
        <w:rPr>
          <w:rFonts w:hint="eastAsia" w:ascii="宋体" w:hAnsi="宋体" w:cs="宋体"/>
          <w:color w:val="auto"/>
          <w:kern w:val="0"/>
          <w:sz w:val="24"/>
          <w:highlight w:val="none"/>
          <w:lang w:val="en-US" w:eastAsia="zh-CN"/>
        </w:rPr>
        <w:t>份，</w:t>
      </w:r>
      <w:r>
        <w:rPr>
          <w:rFonts w:ascii="宋体" w:hAnsi="宋体" w:cs="宋体"/>
          <w:color w:val="auto"/>
          <w:kern w:val="0"/>
          <w:sz w:val="24"/>
          <w:highlight w:val="none"/>
        </w:rPr>
        <w:t>乙方执</w:t>
      </w:r>
      <w:r>
        <w:rPr>
          <w:rFonts w:hint="eastAsia" w:ascii="宋体" w:hAnsi="宋体" w:cs="宋体"/>
          <w:color w:val="auto"/>
          <w:kern w:val="0"/>
          <w:sz w:val="24"/>
          <w:highlight w:val="none"/>
          <w:u w:val="single"/>
          <w:lang w:val="en-US" w:eastAsia="zh-CN"/>
        </w:rPr>
        <w:t>1</w:t>
      </w:r>
      <w:r>
        <w:rPr>
          <w:rFonts w:ascii="宋体" w:hAnsi="宋体" w:cs="宋体"/>
          <w:color w:val="auto"/>
          <w:kern w:val="0"/>
          <w:sz w:val="24"/>
          <w:highlight w:val="none"/>
        </w:rPr>
        <w:t>份</w:t>
      </w:r>
      <w:r>
        <w:rPr>
          <w:rFonts w:hint="eastAsia" w:ascii="宋体" w:hAnsi="宋体" w:cs="宋体"/>
          <w:color w:val="auto"/>
          <w:kern w:val="0"/>
          <w:sz w:val="24"/>
          <w:highlight w:val="none"/>
        </w:rPr>
        <w:t>，同等具有法律效力</w:t>
      </w:r>
      <w:r>
        <w:rPr>
          <w:rFonts w:ascii="宋体" w:hAnsi="宋体" w:cs="宋体"/>
          <w:color w:val="auto"/>
          <w:kern w:val="0"/>
          <w:sz w:val="24"/>
          <w:highlight w:val="none"/>
        </w:rPr>
        <w:t>。</w:t>
      </w:r>
    </w:p>
    <w:p>
      <w:pPr>
        <w:widowControl/>
        <w:spacing w:line="360" w:lineRule="auto"/>
        <w:ind w:left="359" w:leftChars="171" w:firstLine="288" w:firstLineChars="120"/>
        <w:rPr>
          <w:rFonts w:ascii="宋体" w:hAnsi="宋体" w:cs="宋体"/>
          <w:color w:val="auto"/>
          <w:kern w:val="0"/>
          <w:sz w:val="24"/>
          <w:highlight w:val="none"/>
        </w:rPr>
      </w:pPr>
      <w:r>
        <w:rPr>
          <w:rFonts w:hint="eastAsia" w:ascii="宋体" w:hAnsi="宋体" w:cs="宋体"/>
          <w:color w:val="auto"/>
          <w:kern w:val="0"/>
          <w:sz w:val="24"/>
          <w:highlight w:val="none"/>
        </w:rPr>
        <w:t>（二）</w:t>
      </w:r>
      <w:r>
        <w:rPr>
          <w:rFonts w:ascii="宋体" w:hAnsi="宋体" w:cs="宋体"/>
          <w:color w:val="auto"/>
          <w:kern w:val="0"/>
          <w:sz w:val="24"/>
          <w:highlight w:val="none"/>
        </w:rPr>
        <w:t>甲乙双方在履行</w:t>
      </w:r>
      <w:r>
        <w:rPr>
          <w:rFonts w:hint="eastAsia" w:ascii="宋体" w:hAnsi="宋体" w:cs="宋体"/>
          <w:color w:val="auto"/>
          <w:kern w:val="0"/>
          <w:sz w:val="24"/>
          <w:highlight w:val="none"/>
        </w:rPr>
        <w:t>本</w:t>
      </w:r>
      <w:r>
        <w:rPr>
          <w:rFonts w:ascii="宋体" w:hAnsi="宋体" w:cs="宋体"/>
          <w:color w:val="auto"/>
          <w:kern w:val="0"/>
          <w:sz w:val="24"/>
          <w:highlight w:val="none"/>
        </w:rPr>
        <w:t>协议的过程中如发生争议，协商不成的，可依法向</w:t>
      </w:r>
      <w:r>
        <w:rPr>
          <w:rFonts w:hint="eastAsia" w:ascii="宋体" w:hAnsi="宋体" w:cs="宋体"/>
          <w:color w:val="auto"/>
          <w:kern w:val="0"/>
          <w:sz w:val="24"/>
          <w:highlight w:val="none"/>
        </w:rPr>
        <w:t>甲方</w:t>
      </w:r>
      <w:r>
        <w:rPr>
          <w:rFonts w:ascii="宋体" w:hAnsi="宋体" w:cs="宋体"/>
          <w:color w:val="auto"/>
          <w:kern w:val="0"/>
          <w:sz w:val="24"/>
          <w:highlight w:val="none"/>
        </w:rPr>
        <w:t>所在地人民法院提起诉讼。</w:t>
      </w:r>
    </w:p>
    <w:p>
      <w:pPr>
        <w:spacing w:line="360" w:lineRule="auto"/>
        <w:ind w:left="359" w:leftChars="171" w:firstLine="288" w:firstLineChars="120"/>
        <w:rPr>
          <w:rFonts w:ascii="宋体" w:hAnsi="宋体" w:cs="宋体"/>
          <w:color w:val="auto"/>
          <w:kern w:val="0"/>
          <w:sz w:val="24"/>
          <w:highlight w:val="none"/>
        </w:rPr>
      </w:pPr>
      <w:r>
        <w:rPr>
          <w:rFonts w:hint="eastAsia" w:ascii="宋体" w:hAnsi="宋体" w:cs="宋体"/>
          <w:color w:val="auto"/>
          <w:kern w:val="0"/>
          <w:sz w:val="24"/>
          <w:highlight w:val="none"/>
        </w:rPr>
        <w:t>（三）</w:t>
      </w:r>
      <w:r>
        <w:rPr>
          <w:rFonts w:ascii="宋体" w:hAnsi="宋体" w:cs="宋体"/>
          <w:color w:val="auto"/>
          <w:kern w:val="0"/>
          <w:sz w:val="24"/>
          <w:highlight w:val="none"/>
        </w:rPr>
        <w:t>本协议未尽事宜，双方另行协商解决。</w:t>
      </w:r>
    </w:p>
    <w:p>
      <w:pPr>
        <w:spacing w:line="360" w:lineRule="auto"/>
        <w:ind w:left="359" w:leftChars="171" w:firstLine="288" w:firstLineChars="120"/>
        <w:rPr>
          <w:rFonts w:ascii="宋体" w:hAnsi="宋体" w:cs="宋体"/>
          <w:color w:val="auto"/>
          <w:kern w:val="0"/>
          <w:sz w:val="24"/>
          <w:highlight w:val="none"/>
        </w:rPr>
      </w:pPr>
    </w:p>
    <w:p>
      <w:pPr>
        <w:spacing w:line="360" w:lineRule="auto"/>
        <w:ind w:left="5490" w:leftChars="100" w:hanging="5280" w:hangingChars="2200"/>
        <w:rPr>
          <w:rFonts w:ascii="宋体" w:hAnsi="宋体" w:cs="宋体"/>
          <w:color w:val="auto"/>
          <w:kern w:val="0"/>
          <w:sz w:val="24"/>
          <w:highlight w:val="none"/>
        </w:rPr>
      </w:pPr>
      <w:r>
        <w:rPr>
          <w:rFonts w:ascii="宋体" w:hAnsi="宋体" w:cs="宋体"/>
          <w:color w:val="auto"/>
          <w:kern w:val="0"/>
          <w:sz w:val="24"/>
          <w:highlight w:val="none"/>
        </w:rPr>
        <w:t>甲方：</w:t>
      </w:r>
      <w:r>
        <w:rPr>
          <w:rFonts w:hint="eastAsia" w:ascii="宋体" w:hAnsi="宋体" w:cs="宋体"/>
          <w:color w:val="auto"/>
          <w:sz w:val="24"/>
          <w:highlight w:val="none"/>
        </w:rPr>
        <w:t>广州市净水有限公司</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乙方：</w:t>
      </w:r>
    </w:p>
    <w:p>
      <w:pPr>
        <w:widowControl/>
        <w:spacing w:line="360" w:lineRule="auto"/>
        <w:ind w:firstLine="240" w:firstLineChars="100"/>
        <w:jc w:val="left"/>
        <w:rPr>
          <w:rFonts w:ascii="宋体" w:hAnsi="宋体" w:cs="宋体"/>
          <w:color w:val="auto"/>
          <w:kern w:val="0"/>
          <w:sz w:val="24"/>
          <w:highlight w:val="none"/>
        </w:rPr>
      </w:pPr>
      <w:r>
        <w:rPr>
          <w:rFonts w:ascii="宋体" w:hAnsi="宋体" w:cs="宋体"/>
          <w:color w:val="auto"/>
          <w:kern w:val="0"/>
          <w:sz w:val="24"/>
          <w:highlight w:val="none"/>
        </w:rPr>
        <w:t>法定代表人</w:t>
      </w:r>
      <w:r>
        <w:rPr>
          <w:rFonts w:hint="eastAsia" w:ascii="宋体" w:hAnsi="宋体" w:cs="宋体"/>
          <w:color w:val="auto"/>
          <w:kern w:val="0"/>
          <w:sz w:val="24"/>
          <w:highlight w:val="none"/>
          <w:lang w:val="en-US" w:eastAsia="zh-CN"/>
        </w:rPr>
        <w:t>/经办人</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法定代表人：</w:t>
      </w:r>
    </w:p>
    <w:p>
      <w:pPr>
        <w:widowControl/>
        <w:spacing w:line="360" w:lineRule="auto"/>
        <w:ind w:firstLine="240" w:firstLineChars="100"/>
        <w:jc w:val="left"/>
        <w:rPr>
          <w:rFonts w:ascii="宋体" w:hAnsi="宋体" w:cs="宋体"/>
          <w:color w:val="auto"/>
          <w:kern w:val="0"/>
          <w:sz w:val="24"/>
          <w:highlight w:val="none"/>
        </w:rPr>
      </w:pPr>
      <w:r>
        <w:rPr>
          <w:rFonts w:ascii="宋体" w:hAnsi="宋体" w:cs="宋体"/>
          <w:color w:val="auto"/>
          <w:kern w:val="0"/>
          <w:sz w:val="24"/>
          <w:highlight w:val="none"/>
        </w:rPr>
        <w:t>地址：</w:t>
      </w:r>
      <w:r>
        <w:rPr>
          <w:rFonts w:hint="eastAsia" w:ascii="宋体" w:hAnsi="宋体" w:cs="宋体"/>
          <w:color w:val="auto"/>
          <w:sz w:val="24"/>
          <w:highlight w:val="none"/>
        </w:rPr>
        <w:t>广州市</w:t>
      </w:r>
      <w:r>
        <w:rPr>
          <w:rFonts w:hint="eastAsia" w:ascii="宋体" w:hAnsi="宋体" w:cs="宋体"/>
          <w:color w:val="auto"/>
          <w:sz w:val="24"/>
          <w:highlight w:val="none"/>
          <w:lang w:val="en-US" w:eastAsia="zh-CN"/>
        </w:rPr>
        <w:t>天河区</w:t>
      </w:r>
      <w:r>
        <w:rPr>
          <w:rFonts w:hint="eastAsia" w:ascii="宋体" w:hAnsi="宋体" w:cs="宋体"/>
          <w:color w:val="auto"/>
          <w:sz w:val="24"/>
          <w:highlight w:val="none"/>
        </w:rPr>
        <w:t>临江大道501号</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地址：</w:t>
      </w:r>
    </w:p>
    <w:p>
      <w:pPr>
        <w:widowControl/>
        <w:spacing w:line="360" w:lineRule="auto"/>
        <w:ind w:firstLine="240" w:firstLineChars="100"/>
        <w:jc w:val="left"/>
        <w:rPr>
          <w:rFonts w:ascii="宋体" w:hAnsi="宋体" w:cs="宋体"/>
          <w:color w:val="auto"/>
          <w:kern w:val="0"/>
          <w:sz w:val="24"/>
          <w:highlight w:val="none"/>
        </w:rPr>
      </w:pPr>
      <w:r>
        <w:rPr>
          <w:rFonts w:ascii="宋体" w:hAnsi="宋体" w:cs="宋体"/>
          <w:color w:val="auto"/>
          <w:kern w:val="0"/>
          <w:sz w:val="24"/>
          <w:highlight w:val="none"/>
        </w:rPr>
        <w:t xml:space="preserve">电话：                          </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电话：</w:t>
      </w:r>
    </w:p>
    <w:p>
      <w:pPr>
        <w:widowControl/>
        <w:spacing w:line="360" w:lineRule="auto"/>
        <w:ind w:firstLine="1560" w:firstLineChars="650"/>
        <w:jc w:val="left"/>
        <w:rPr>
          <w:rFonts w:ascii="宋体" w:hAnsi="宋体" w:cs="宋体"/>
          <w:color w:val="auto"/>
          <w:kern w:val="0"/>
          <w:sz w:val="24"/>
          <w:highlight w:val="none"/>
        </w:rPr>
      </w:pPr>
      <w:r>
        <w:rPr>
          <w:rFonts w:ascii="宋体" w:hAnsi="宋体" w:cs="宋体"/>
          <w:color w:val="auto"/>
          <w:kern w:val="0"/>
          <w:sz w:val="24"/>
          <w:highlight w:val="none"/>
        </w:rPr>
        <w:t xml:space="preserve">年  月   日  </w:t>
      </w:r>
      <w:r>
        <w:rPr>
          <w:rFonts w:ascii="宋体" w:hAnsi="宋体" w:cs="宋体"/>
          <w:color w:val="auto"/>
          <w:kern w:val="0"/>
          <w:sz w:val="24"/>
          <w:highlight w:val="none"/>
        </w:rPr>
        <w:tab/>
      </w:r>
      <w:r>
        <w:rPr>
          <w:rFonts w:hint="eastAsia" w:ascii="宋体" w:hAnsi="宋体" w:cs="宋体"/>
          <w:color w:val="auto"/>
          <w:kern w:val="0"/>
          <w:sz w:val="24"/>
          <w:highlight w:val="none"/>
        </w:rPr>
        <w:t xml:space="preserve">                      </w:t>
      </w:r>
    </w:p>
    <w:p>
      <w:pPr>
        <w:widowControl/>
        <w:spacing w:line="360" w:lineRule="auto"/>
        <w:ind w:firstLine="2520" w:firstLineChars="1050"/>
        <w:jc w:val="left"/>
        <w:rPr>
          <w:rFonts w:ascii="宋体" w:hAnsi="宋体" w:cs="宋体"/>
          <w:color w:val="auto"/>
          <w:kern w:val="0"/>
          <w:sz w:val="24"/>
          <w:highlight w:val="none"/>
        </w:rPr>
      </w:pPr>
    </w:p>
    <w:p>
      <w:pPr>
        <w:rPr>
          <w:rFonts w:ascii="宋体" w:hAnsi="宋体" w:cs="宋体"/>
          <w:color w:val="auto"/>
          <w:sz w:val="24"/>
          <w:highlight w:val="none"/>
        </w:rPr>
      </w:pPr>
    </w:p>
    <w:p>
      <w:pPr>
        <w:ind w:right="-80"/>
        <w:rPr>
          <w:rFonts w:ascii="宋体" w:hAnsi="宋体" w:cs="宋体"/>
          <w:b/>
          <w:color w:val="auto"/>
          <w:sz w:val="24"/>
          <w:highlight w:val="none"/>
        </w:rPr>
      </w:pPr>
    </w:p>
    <w:p>
      <w:pPr>
        <w:ind w:right="-80"/>
        <w:rPr>
          <w:rFonts w:ascii="宋体" w:hAnsi="宋体" w:cs="宋体"/>
          <w:b/>
          <w:color w:val="auto"/>
          <w:sz w:val="24"/>
          <w:highlight w:val="none"/>
        </w:rPr>
      </w:pPr>
    </w:p>
    <w:p>
      <w:pPr>
        <w:ind w:right="-80"/>
        <w:rPr>
          <w:rFonts w:ascii="宋体" w:hAnsi="宋体" w:cs="宋体"/>
          <w:b/>
          <w:color w:val="auto"/>
          <w:sz w:val="24"/>
          <w:highlight w:val="none"/>
        </w:rPr>
      </w:pPr>
    </w:p>
    <w:p>
      <w:pPr>
        <w:ind w:right="-80"/>
        <w:rPr>
          <w:rFonts w:ascii="宋体" w:hAnsi="宋体" w:cs="宋体"/>
          <w:b/>
          <w:color w:val="auto"/>
          <w:szCs w:val="21"/>
          <w:highlight w:val="none"/>
        </w:rPr>
      </w:pPr>
      <w:r>
        <w:rPr>
          <w:rFonts w:hint="eastAsia" w:ascii="宋体" w:hAnsi="宋体" w:cs="宋体"/>
          <w:b/>
          <w:color w:val="auto"/>
          <w:szCs w:val="21"/>
          <w:highlight w:val="none"/>
        </w:rPr>
        <w:t>附件3：廉洁协议书（格式）</w:t>
      </w:r>
    </w:p>
    <w:p>
      <w:pPr>
        <w:ind w:right="-80"/>
        <w:rPr>
          <w:rFonts w:ascii="宋体" w:hAnsi="宋体" w:cs="宋体"/>
          <w:b/>
          <w:color w:val="auto"/>
          <w:szCs w:val="21"/>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2"/>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5</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1</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27"/>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签约代表：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宋体" w:hAnsi="宋体" w:cs="宋体" w:eastAsiaTheme="minorEastAsia"/>
          <w:b/>
          <w:bCs w:val="0"/>
          <w:color w:val="auto"/>
          <w:sz w:val="21"/>
          <w:szCs w:val="21"/>
          <w:highlight w:val="none"/>
          <w:lang w:val="en-US" w:eastAsia="zh-CN"/>
        </w:rPr>
        <w:t>附件6：报价清单（详见响应文件报价清单）</w:t>
      </w:r>
      <w:r>
        <w:rPr>
          <w:rFonts w:hint="eastAsia" w:ascii="仿宋_GB2312" w:hAnsi="仿宋_GB2312" w:eastAsia="仿宋_GB2312" w:cs="仿宋_GB2312"/>
          <w:b w:val="0"/>
          <w:bCs/>
          <w:color w:val="auto"/>
          <w:sz w:val="28"/>
          <w:szCs w:val="28"/>
          <w:highlight w:val="none"/>
        </w:rPr>
        <w:tab/>
      </w:r>
    </w:p>
    <w:p>
      <w:pPr>
        <w:ind w:right="-80"/>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：履约保函（模板）</w:t>
      </w:r>
    </w:p>
    <w:p>
      <w:pPr>
        <w:spacing w:line="360" w:lineRule="auto"/>
        <w:rPr>
          <w:rFonts w:ascii="宋体" w:hAnsi="宋体"/>
          <w:color w:val="auto"/>
          <w:sz w:val="44"/>
          <w:highlight w:val="none"/>
        </w:rPr>
      </w:pPr>
    </w:p>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履约保函模板</w:t>
      </w: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rPr>
        <w:t xml:space="preserve">               （受益人）</w:t>
      </w:r>
      <w:r>
        <w:rPr>
          <w:rFonts w:asciiTheme="minorEastAsia" w:hAnsiTheme="minorEastAsia" w:eastAsiaTheme="minorEastAsia"/>
          <w:color w:val="auto"/>
          <w:sz w:val="24"/>
          <w:highlight w:val="none"/>
        </w:rPr>
        <w:br w:type="textWrapping"/>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鉴于</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（以下简称“委托人”）与贵方于</w:t>
      </w:r>
      <w:r>
        <w:rPr>
          <w:rFonts w:hint="eastAsia" w:asciiTheme="minorEastAsia" w:hAnsiTheme="minorEastAsia" w:eastAsiaTheme="minorEastAsia"/>
          <w:color w:val="auto"/>
          <w:sz w:val="24"/>
          <w:highlight w:val="none"/>
          <w:u w:val="single"/>
        </w:rPr>
        <w:t xml:space="preserve">   年  月  日</w:t>
      </w:r>
      <w:r>
        <w:rPr>
          <w:rFonts w:hint="eastAsia" w:asciiTheme="minorEastAsia" w:hAnsiTheme="minorEastAsia" w:eastAsiaTheme="minorEastAsia"/>
          <w:color w:val="auto"/>
          <w:sz w:val="24"/>
          <w:highlight w:val="none"/>
        </w:rPr>
        <w:t>签订了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一、我行保证在收到贵单位于保函有效期内送达的依本保函约定的索赔申请后，在个</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工作日内无条件和不可改变地向贵单位支付最高金额不超过人民币元</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（大写：</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 xml:space="preserve"> ）的履约保证金，并放弃向你方提出任何异议和追索的权利。</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二、贵单位的索赔申请应符合下述条件：</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（一）贵单位法定代表人或其授权代表签字并加盖单位公章；</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（二）在保函有效期内送达我行；</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（三）明确的索赔金额（不得超过本保函第一条所列之限额）。</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三、本保函自签发之日起生效，有效期至</w:t>
      </w:r>
      <w:r>
        <w:rPr>
          <w:rFonts w:hint="eastAsia" w:asciiTheme="minorEastAsia" w:hAnsiTheme="minorEastAsia" w:eastAsiaTheme="minorEastAsia"/>
          <w:color w:val="auto"/>
          <w:sz w:val="24"/>
          <w:highlight w:val="none"/>
          <w:u w:val="single"/>
        </w:rPr>
        <w:t xml:space="preserve">  年  月  日</w:t>
      </w:r>
      <w:r>
        <w:rPr>
          <w:rFonts w:hint="eastAsia" w:asciiTheme="minorEastAsia" w:hAnsiTheme="minorEastAsia" w:eastAsiaTheme="minorEastAsia"/>
          <w:color w:val="auto"/>
          <w:sz w:val="24"/>
          <w:highlight w:val="none"/>
        </w:rPr>
        <w:t>。本保函于下述任一事项发生之时立即失效，我行在本保函项下的保证义务即刻解除：</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（一）本保函有效期限届满；</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（二）我行保证的义务履行完毕。</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五、我行向你方支付索赔金额后，本保函担保金额即按贵方通知的索赔金额予以递减。</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六、保函失效后请将保函退回我行注销，无论正本最终退回与否，不影响本保函依上述约定自动失效。</w:t>
      </w:r>
    </w:p>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落款</w:t>
      </w:r>
    </w:p>
    <w:p>
      <w:pPr>
        <w:ind w:firstLine="420"/>
        <w:rPr>
          <w:rFonts w:asciiTheme="minorEastAsia" w:hAnsiTheme="minorEastAsia" w:eastAsiaTheme="minorEastAsia"/>
          <w:color w:val="auto"/>
          <w:sz w:val="24"/>
          <w:highlight w:val="none"/>
        </w:rPr>
      </w:pPr>
    </w:p>
    <w:p>
      <w:pPr>
        <w:ind w:firstLine="64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保函说明：</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保函不得有下列或类似含义的表述：</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1.银行承担的为连带责任保证、一般保证。</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2.未经银行书面同意，受益人与申请人修改合同或其项下附件时，银行的保证义务解除。</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3.合同撤销或无效的，保函失效。</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4.申请人对受益人的抗辩，银行有权向受益人主张。</w:t>
      </w:r>
    </w:p>
    <w:p>
      <w:pPr>
        <w:ind w:firstLine="645"/>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5.受益人请求付款的请款单据包含法院裁判文书、仲裁裁决、第三方单位出具的鉴定书等申请人违约的证明材料。</w:t>
      </w:r>
    </w:p>
    <w:p>
      <w:pPr>
        <w:adjustRightInd/>
        <w:snapToGrid/>
        <w:spacing w:beforeLines="-2147483648" w:afterLines="-2147483648" w:line="240" w:lineRule="auto"/>
        <w:jc w:val="left"/>
        <w:rPr>
          <w:rFonts w:ascii="方正小标宋简体" w:eastAsia="方正小标宋简体"/>
          <w:color w:val="auto"/>
          <w:sz w:val="44"/>
          <w:szCs w:val="44"/>
          <w:highlight w:val="none"/>
        </w:rPr>
      </w:pPr>
      <w:r>
        <w:rPr>
          <w:color w:val="auto"/>
        </w:rPr>
        <w:br w:type="page"/>
      </w:r>
    </w:p>
    <w:p>
      <w:pPr>
        <w:pStyle w:val="19"/>
        <w:rPr>
          <w:rFonts w:ascii="仿宋_GB2312" w:eastAsia="仿宋_GB2312"/>
          <w:color w:val="auto"/>
          <w:sz w:val="28"/>
          <w:szCs w:val="28"/>
          <w:highlight w:val="none"/>
        </w:rPr>
      </w:pPr>
    </w:p>
    <w:p>
      <w:pPr>
        <w:pStyle w:val="3"/>
        <w:rPr>
          <w:color w:val="auto"/>
          <w:highlight w:val="none"/>
        </w:rPr>
      </w:pPr>
      <w:bookmarkStart w:id="87" w:name="_Toc8147"/>
      <w:bookmarkStart w:id="88" w:name="_Toc5129"/>
      <w:bookmarkStart w:id="89" w:name="_Toc30824"/>
      <w:bookmarkStart w:id="90" w:name="_Toc12169"/>
      <w:bookmarkStart w:id="91" w:name="_Toc1563"/>
      <w:bookmarkStart w:id="92" w:name="_Toc21847"/>
      <w:bookmarkStart w:id="93" w:name="_Toc3723"/>
      <w:bookmarkStart w:id="94" w:name="_Toc16552"/>
      <w:bookmarkStart w:id="95" w:name="_Toc28358"/>
      <w:bookmarkStart w:id="96" w:name="_Toc23515"/>
      <w:bookmarkStart w:id="97" w:name="_Toc6230"/>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NSCJlv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8" name="直接箭头连接符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dpxSzf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26"/>
        <w:rPr>
          <w:color w:val="auto"/>
          <w:highlight w:val="none"/>
        </w:rPr>
      </w:pPr>
    </w:p>
    <w:p>
      <w:pPr>
        <w:pStyle w:val="3"/>
        <w:rPr>
          <w:color w:val="auto"/>
          <w:highlight w:val="none"/>
        </w:rPr>
      </w:pPr>
      <w:bookmarkStart w:id="98" w:name="_Toc17119"/>
      <w:bookmarkStart w:id="99" w:name="_Toc12610"/>
      <w:bookmarkStart w:id="100" w:name="_Toc31564"/>
      <w:bookmarkStart w:id="101" w:name="_Toc21675"/>
      <w:bookmarkStart w:id="102" w:name="_Toc12769"/>
      <w:bookmarkStart w:id="103" w:name="_Toc24490"/>
      <w:bookmarkStart w:id="104" w:name="_Toc87616388"/>
      <w:bookmarkStart w:id="105" w:name="_Toc88209951"/>
      <w:bookmarkStart w:id="106" w:name="_Toc5342"/>
      <w:bookmarkStart w:id="107" w:name="_Toc10840"/>
      <w:bookmarkStart w:id="108" w:name="_Toc30157"/>
      <w:bookmarkStart w:id="109" w:name="_Toc24815"/>
      <w:bookmarkStart w:id="110" w:name="_Toc22764"/>
      <w:r>
        <w:rPr>
          <w:rFonts w:hint="eastAsia"/>
          <w:color w:val="auto"/>
          <w:highlight w:val="none"/>
        </w:rPr>
        <w:t>响应文件</w:t>
      </w:r>
      <w:r>
        <w:rPr>
          <w:rFonts w:hint="eastAsia"/>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4"/>
        <w:rPr>
          <w:rFonts w:hint="eastAsia" w:ascii="方正小标宋简体" w:eastAsia="方正小标宋简体"/>
          <w:color w:val="auto"/>
          <w:sz w:val="48"/>
          <w:szCs w:val="48"/>
          <w:highlight w:val="none"/>
        </w:rPr>
      </w:pPr>
    </w:p>
    <w:p>
      <w:pPr>
        <w:pStyle w:val="24"/>
        <w:rPr>
          <w:rFonts w:hint="eastAsia" w:ascii="方正小标宋简体" w:eastAsia="方正小标宋简体"/>
          <w:color w:val="auto"/>
          <w:sz w:val="48"/>
          <w:szCs w:val="48"/>
          <w:highlight w:val="none"/>
        </w:rPr>
      </w:pPr>
    </w:p>
    <w:p>
      <w:pPr>
        <w:pStyle w:val="24"/>
        <w:rPr>
          <w:rFonts w:hint="eastAsia" w:ascii="方正小标宋简体" w:eastAsia="方正小标宋简体"/>
          <w:color w:val="auto"/>
          <w:sz w:val="48"/>
          <w:szCs w:val="48"/>
          <w:highlight w:val="none"/>
        </w:rPr>
      </w:pPr>
    </w:p>
    <w:p>
      <w:pPr>
        <w:pStyle w:val="24"/>
        <w:rPr>
          <w:rFonts w:hint="eastAsia" w:ascii="方正小标宋简体" w:eastAsia="方正小标宋简体"/>
          <w:color w:val="auto"/>
          <w:sz w:val="48"/>
          <w:szCs w:val="48"/>
          <w:highlight w:val="none"/>
        </w:rPr>
      </w:pPr>
    </w:p>
    <w:p>
      <w:pPr>
        <w:pStyle w:val="24"/>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1" w:name="_Toc87616389"/>
      <w:bookmarkStart w:id="112" w:name="_Toc88209952"/>
      <w:r>
        <w:rPr>
          <w:rFonts w:hint="eastAsia" w:ascii="仿宋_GB2312" w:eastAsia="仿宋_GB2312"/>
          <w:color w:val="auto"/>
          <w:sz w:val="28"/>
          <w:szCs w:val="28"/>
          <w:highlight w:val="none"/>
        </w:rPr>
        <w:t>1.响应函</w:t>
      </w:r>
      <w:bookmarkEnd w:id="111"/>
      <w:bookmarkEnd w:id="112"/>
    </w:p>
    <w:p>
      <w:pPr>
        <w:spacing w:line="600" w:lineRule="exact"/>
        <w:rPr>
          <w:rFonts w:hint="eastAsia" w:ascii="仿宋_GB2312" w:eastAsia="仿宋_GB2312"/>
          <w:color w:val="auto"/>
          <w:sz w:val="28"/>
          <w:szCs w:val="28"/>
          <w:highlight w:val="none"/>
        </w:rPr>
      </w:pPr>
      <w:bookmarkStart w:id="113" w:name="_Toc88209953"/>
      <w:bookmarkStart w:id="114" w:name="_Toc87616390"/>
      <w:r>
        <w:rPr>
          <w:rFonts w:hint="eastAsia" w:ascii="仿宋_GB2312" w:eastAsia="仿宋_GB2312"/>
          <w:color w:val="auto"/>
          <w:sz w:val="28"/>
          <w:szCs w:val="28"/>
          <w:highlight w:val="none"/>
        </w:rPr>
        <w:t>2.法定代表人证明或授权委托书</w:t>
      </w:r>
      <w:bookmarkEnd w:id="113"/>
      <w:bookmarkEnd w:id="114"/>
      <w:bookmarkStart w:id="115" w:name="_Toc87616393"/>
      <w:bookmarkStart w:id="116"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5"/>
      <w:bookmarkEnd w:id="11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19"/>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17" w:name="_Toc88209957"/>
      <w:bookmarkStart w:id="118" w:name="_Toc87616394"/>
      <w:bookmarkStart w:id="119" w:name="_Toc28619645"/>
      <w:bookmarkStart w:id="120" w:name="_Toc6313"/>
      <w:bookmarkStart w:id="121" w:name="_Toc12665"/>
      <w:r>
        <w:rPr>
          <w:rFonts w:hint="eastAsia" w:asciiTheme="minorEastAsia" w:hAnsiTheme="minorEastAsia" w:eastAsiaTheme="minorEastAsia"/>
          <w:color w:val="auto"/>
          <w:sz w:val="28"/>
          <w:szCs w:val="28"/>
          <w:highlight w:val="none"/>
        </w:rPr>
        <w:t>1.响应函</w:t>
      </w:r>
      <w:bookmarkEnd w:id="117"/>
      <w:bookmarkEnd w:id="118"/>
      <w:bookmarkEnd w:id="119"/>
      <w:bookmarkEnd w:id="120"/>
      <w:bookmarkEnd w:id="12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19"/>
        <w:ind w:firstLine="560" w:firstLineChars="200"/>
        <w:rPr>
          <w:rFonts w:hint="eastAsia" w:eastAsia="仿宋_GB2312"/>
          <w:color w:val="auto"/>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2" w:name="_Toc22527"/>
      <w:bookmarkStart w:id="123" w:name="_Toc29833"/>
      <w:bookmarkStart w:id="124" w:name="_Toc88209958"/>
      <w:bookmarkStart w:id="125" w:name="_Toc87616395"/>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2"/>
      <w:bookmarkEnd w:id="123"/>
      <w:bookmarkEnd w:id="124"/>
      <w:bookmarkEnd w:id="12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2"/>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0"/>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3"/>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0"/>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0"/>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0"/>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0"/>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0"/>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0"/>
        <w:snapToGrid w:val="0"/>
        <w:spacing w:line="600" w:lineRule="exact"/>
        <w:ind w:firstLine="3907" w:firstLineChars="1221"/>
        <w:rPr>
          <w:rFonts w:ascii="仿宋_GB2312" w:hAnsi="宋体" w:eastAsia="仿宋_GB2312" w:cs="Times New Roman"/>
          <w:color w:val="auto"/>
          <w:sz w:val="32"/>
          <w:szCs w:val="32"/>
          <w:highlight w:val="none"/>
        </w:rPr>
      </w:pPr>
    </w:p>
    <w:p>
      <w:pPr>
        <w:pStyle w:val="10"/>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Ni3UM1JAgAAmA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2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0"/>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0"/>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0"/>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19"/>
        <w:rPr>
          <w:rFonts w:hint="eastAsia" w:ascii="仿宋_GB2312" w:hAnsi="宋体" w:eastAsia="仿宋_GB2312"/>
          <w:color w:val="auto"/>
          <w:sz w:val="30"/>
          <w:szCs w:val="30"/>
          <w:highlight w:val="none"/>
        </w:rPr>
      </w:pPr>
    </w:p>
    <w:p>
      <w:pPr>
        <w:pStyle w:val="19"/>
        <w:rPr>
          <w:rFonts w:hint="eastAsia" w:ascii="仿宋_GB2312" w:hAnsi="宋体" w:eastAsia="仿宋_GB2312"/>
          <w:color w:val="auto"/>
          <w:sz w:val="30"/>
          <w:szCs w:val="30"/>
          <w:highlight w:val="none"/>
        </w:rPr>
      </w:pPr>
    </w:p>
    <w:p>
      <w:pPr>
        <w:pStyle w:val="19"/>
        <w:rPr>
          <w:rFonts w:hint="eastAsia" w:ascii="仿宋_GB2312" w:hAnsi="宋体" w:eastAsia="仿宋_GB2312"/>
          <w:color w:val="auto"/>
          <w:sz w:val="30"/>
          <w:szCs w:val="30"/>
          <w:highlight w:val="none"/>
        </w:rPr>
      </w:pPr>
    </w:p>
    <w:p>
      <w:pPr>
        <w:pStyle w:val="19"/>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eqxfOSQIAAJY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19"/>
        <w:rPr>
          <w:color w:val="auto"/>
          <w:highlight w:val="none"/>
        </w:rPr>
      </w:pPr>
    </w:p>
    <w:p>
      <w:pPr>
        <w:pStyle w:val="19"/>
        <w:rPr>
          <w:color w:val="auto"/>
          <w:highlight w:val="none"/>
        </w:rPr>
      </w:pPr>
    </w:p>
    <w:p>
      <w:pPr>
        <w:pStyle w:val="19"/>
        <w:rPr>
          <w:color w:val="auto"/>
          <w:highlight w:val="none"/>
        </w:rPr>
      </w:pPr>
    </w:p>
    <w:p>
      <w:pPr>
        <w:pStyle w:val="19"/>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6" w:name="_Toc87616400"/>
      <w:bookmarkStart w:id="127" w:name="_Toc19830"/>
      <w:bookmarkStart w:id="128" w:name="_Toc8086"/>
      <w:bookmarkStart w:id="129"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6"/>
      <w:bookmarkEnd w:id="127"/>
      <w:bookmarkEnd w:id="128"/>
      <w:bookmarkEnd w:id="12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1"/>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0"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广州市净水有限公司2023-2025年氢氧化钠（30%溶液）采购项目（第二次）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19"/>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19"/>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19"/>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0"/>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19"/>
        <w:rPr>
          <w:rFonts w:hint="default" w:ascii="仿宋_GB2312" w:eastAsia="仿宋_GB2312" w:hAnsiTheme="minorEastAsia"/>
          <w:color w:val="auto"/>
          <w:sz w:val="28"/>
          <w:szCs w:val="28"/>
          <w:highlight w:val="none"/>
          <w:lang w:val="en-US" w:eastAsia="zh-CN"/>
        </w:rPr>
      </w:pPr>
    </w:p>
    <w:p>
      <w:pPr>
        <w:pStyle w:val="19"/>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19"/>
        <w:rPr>
          <w:rFonts w:hint="default" w:ascii="仿宋_GB2312" w:eastAsia="仿宋_GB2312" w:hAnsiTheme="minorEastAsia"/>
          <w:color w:val="auto"/>
          <w:sz w:val="28"/>
          <w:szCs w:val="28"/>
          <w:highlight w:val="none"/>
          <w:lang w:val="en-US" w:eastAsia="zh-CN"/>
        </w:rPr>
      </w:pPr>
    </w:p>
    <w:p>
      <w:pPr>
        <w:pStyle w:val="19"/>
        <w:rPr>
          <w:rFonts w:hint="default" w:ascii="仿宋_GB2312" w:eastAsia="仿宋_GB2312" w:hAnsiTheme="minorEastAsia"/>
          <w:color w:val="auto"/>
          <w:sz w:val="28"/>
          <w:szCs w:val="28"/>
          <w:highlight w:val="none"/>
          <w:lang w:val="en-US" w:eastAsia="zh-CN"/>
        </w:rPr>
      </w:pPr>
    </w:p>
    <w:p>
      <w:pPr>
        <w:pStyle w:val="5"/>
        <w:rPr>
          <w:rFonts w:hint="eastAsia" w:asciiTheme="minorEastAsia" w:hAnsiTheme="minorEastAsia" w:eastAsiaTheme="minorEastAsia"/>
          <w:color w:val="auto"/>
          <w:sz w:val="28"/>
          <w:szCs w:val="28"/>
          <w:highlight w:val="none"/>
          <w:lang w:eastAsia="zh-CN"/>
        </w:rPr>
      </w:pPr>
      <w:bookmarkStart w:id="131" w:name="_Toc32430"/>
      <w:bookmarkStart w:id="132"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1"/>
      <w:bookmarkEnd w:id="132"/>
    </w:p>
    <w:tbl>
      <w:tblPr>
        <w:tblStyle w:val="20"/>
        <w:tblpPr w:leftFromText="180" w:rightFromText="180" w:vertAnchor="text" w:horzAnchor="page" w:tblpXSpec="center" w:tblpY="631"/>
        <w:tblOverlap w:val="never"/>
        <w:tblW w:w="9436" w:type="dxa"/>
        <w:jc w:val="center"/>
        <w:tblLayout w:type="fixed"/>
        <w:tblCellMar>
          <w:top w:w="0" w:type="dxa"/>
          <w:left w:w="108" w:type="dxa"/>
          <w:bottom w:w="0" w:type="dxa"/>
          <w:right w:w="108" w:type="dxa"/>
        </w:tblCellMar>
      </w:tblPr>
      <w:tblGrid>
        <w:gridCol w:w="724"/>
        <w:gridCol w:w="724"/>
        <w:gridCol w:w="724"/>
        <w:gridCol w:w="725"/>
        <w:gridCol w:w="696"/>
        <w:gridCol w:w="746"/>
        <w:gridCol w:w="920"/>
        <w:gridCol w:w="804"/>
        <w:gridCol w:w="856"/>
        <w:gridCol w:w="1302"/>
        <w:gridCol w:w="1215"/>
      </w:tblGrid>
      <w:tr>
        <w:tblPrEx>
          <w:tblCellMar>
            <w:top w:w="0" w:type="dxa"/>
            <w:left w:w="108" w:type="dxa"/>
            <w:bottom w:w="0" w:type="dxa"/>
            <w:right w:w="108" w:type="dxa"/>
          </w:tblCellMar>
        </w:tblPrEx>
        <w:trPr>
          <w:trHeight w:val="492" w:hRule="atLeast"/>
          <w:jc w:val="center"/>
        </w:trPr>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序号</w:t>
            </w:r>
          </w:p>
        </w:tc>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名称</w:t>
            </w:r>
          </w:p>
        </w:tc>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型号</w:t>
            </w:r>
          </w:p>
        </w:tc>
        <w:tc>
          <w:tcPr>
            <w:tcW w:w="725"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规格</w:t>
            </w:r>
          </w:p>
        </w:tc>
        <w:tc>
          <w:tcPr>
            <w:tcW w:w="69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数量（</w:t>
            </w:r>
            <w:r>
              <w:rPr>
                <w:rFonts w:hint="eastAsia" w:ascii="宋体" w:hAnsi="宋体" w:cs="宋体"/>
                <w:b/>
                <w:bCs/>
                <w:color w:val="auto"/>
                <w:kern w:val="0"/>
                <w:sz w:val="24"/>
                <w:lang w:val="en-US" w:eastAsia="zh-CN"/>
              </w:rPr>
              <w:t>吨</w:t>
            </w:r>
            <w:r>
              <w:rPr>
                <w:rFonts w:hint="eastAsia" w:ascii="宋体" w:hAnsi="宋体" w:cs="宋体"/>
                <w:b/>
                <w:bCs/>
                <w:color w:val="auto"/>
                <w:kern w:val="0"/>
                <w:sz w:val="24"/>
                <w:lang w:val="zh-CN"/>
              </w:rPr>
              <w:t>）</w:t>
            </w:r>
          </w:p>
        </w:tc>
        <w:tc>
          <w:tcPr>
            <w:tcW w:w="1666"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单价（</w:t>
            </w:r>
            <w:r>
              <w:rPr>
                <w:rFonts w:hint="eastAsia" w:ascii="宋体" w:hAnsi="宋体" w:cs="宋体"/>
                <w:b/>
                <w:bCs/>
                <w:color w:val="auto"/>
                <w:kern w:val="0"/>
                <w:sz w:val="24"/>
                <w:lang w:val="en-US" w:eastAsia="zh-CN"/>
              </w:rPr>
              <w:t>元/吨</w:t>
            </w:r>
            <w:r>
              <w:rPr>
                <w:rFonts w:hint="eastAsia" w:ascii="宋体" w:hAnsi="宋体" w:cs="宋体"/>
                <w:b/>
                <w:bCs/>
                <w:color w:val="auto"/>
                <w:kern w:val="0"/>
                <w:sz w:val="24"/>
                <w:lang w:val="zh-CN"/>
              </w:rPr>
              <w:t>）</w:t>
            </w:r>
          </w:p>
        </w:tc>
        <w:tc>
          <w:tcPr>
            <w:tcW w:w="1660"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金额（万元）</w:t>
            </w:r>
          </w:p>
        </w:tc>
        <w:tc>
          <w:tcPr>
            <w:tcW w:w="1302"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交货期</w:t>
            </w:r>
          </w:p>
        </w:tc>
        <w:tc>
          <w:tcPr>
            <w:tcW w:w="1215" w:type="dxa"/>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备注</w:t>
            </w:r>
          </w:p>
        </w:tc>
      </w:tr>
      <w:tr>
        <w:tblPrEx>
          <w:tblCellMar>
            <w:top w:w="0" w:type="dxa"/>
            <w:left w:w="108" w:type="dxa"/>
            <w:bottom w:w="0" w:type="dxa"/>
            <w:right w:w="108" w:type="dxa"/>
          </w:tblCellMar>
        </w:tblPrEx>
        <w:trPr>
          <w:trHeight w:val="492" w:hRule="atLeast"/>
          <w:jc w:val="center"/>
        </w:trPr>
        <w:tc>
          <w:tcPr>
            <w:tcW w:w="724"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724"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724"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725"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696"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74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含税</w:t>
            </w:r>
          </w:p>
        </w:tc>
        <w:tc>
          <w:tcPr>
            <w:tcW w:w="92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不含税</w:t>
            </w:r>
          </w:p>
        </w:tc>
        <w:tc>
          <w:tcPr>
            <w:tcW w:w="80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含税</w:t>
            </w:r>
          </w:p>
        </w:tc>
        <w:tc>
          <w:tcPr>
            <w:tcW w:w="85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不含税</w:t>
            </w:r>
          </w:p>
        </w:tc>
        <w:tc>
          <w:tcPr>
            <w:tcW w:w="1302"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p>
        </w:tc>
        <w:tc>
          <w:tcPr>
            <w:tcW w:w="1215" w:type="dxa"/>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p>
        </w:tc>
      </w:tr>
      <w:tr>
        <w:tblPrEx>
          <w:tblCellMar>
            <w:top w:w="0" w:type="dxa"/>
            <w:left w:w="108" w:type="dxa"/>
            <w:bottom w:w="0" w:type="dxa"/>
            <w:right w:w="108" w:type="dxa"/>
          </w:tblCellMar>
        </w:tblPrEx>
        <w:trPr>
          <w:trHeight w:val="1417" w:hRule="atLeast"/>
          <w:jc w:val="center"/>
        </w:trPr>
        <w:tc>
          <w:tcPr>
            <w:tcW w:w="72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净水公司</w:t>
            </w:r>
          </w:p>
        </w:tc>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eastAsiaTheme="minorEastAsia"/>
                <w:color w:val="auto"/>
                <w:kern w:val="0"/>
                <w:sz w:val="24"/>
                <w:lang w:eastAsia="zh-CN"/>
              </w:rPr>
            </w:pPr>
            <w:r>
              <w:rPr>
                <w:rFonts w:hint="eastAsia" w:ascii="宋体" w:hAnsi="宋体" w:cs="宋体"/>
                <w:color w:val="auto"/>
                <w:sz w:val="24"/>
                <w:highlight w:val="none"/>
                <w:u w:val="single"/>
                <w:lang w:val="en-US" w:eastAsia="zh-CN"/>
              </w:rPr>
              <w:t>氢氧化钠（30%溶液）</w:t>
            </w:r>
          </w:p>
        </w:tc>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液体</w:t>
            </w:r>
          </w:p>
        </w:tc>
        <w:tc>
          <w:tcPr>
            <w:tcW w:w="725"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eastAsiaTheme="minorEastAsia"/>
                <w:color w:val="auto"/>
                <w:kern w:val="0"/>
                <w:sz w:val="24"/>
                <w:lang w:val="en-US" w:eastAsia="zh-CN"/>
              </w:rPr>
            </w:pPr>
          </w:p>
        </w:tc>
        <w:tc>
          <w:tcPr>
            <w:tcW w:w="69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594</w:t>
            </w:r>
          </w:p>
        </w:tc>
        <w:tc>
          <w:tcPr>
            <w:tcW w:w="74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lang w:val="zh-CN"/>
              </w:rPr>
            </w:pPr>
          </w:p>
        </w:tc>
        <w:tc>
          <w:tcPr>
            <w:tcW w:w="920"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lang w:val="zh-CN"/>
              </w:rPr>
            </w:pPr>
          </w:p>
        </w:tc>
        <w:tc>
          <w:tcPr>
            <w:tcW w:w="80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lang w:val="zh-CN"/>
              </w:rPr>
            </w:pPr>
          </w:p>
        </w:tc>
        <w:tc>
          <w:tcPr>
            <w:tcW w:w="85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lang w:val="zh-CN"/>
              </w:rPr>
            </w:pPr>
          </w:p>
        </w:tc>
        <w:tc>
          <w:tcPr>
            <w:tcW w:w="1302"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zh-CN"/>
              </w:rPr>
            </w:pPr>
            <w:r>
              <w:rPr>
                <w:rFonts w:hint="eastAsia" w:ascii="宋体" w:hAnsi="宋体" w:cs="宋体"/>
                <w:color w:val="auto"/>
                <w:kern w:val="0"/>
                <w:sz w:val="24"/>
                <w:lang w:val="zh-CN"/>
              </w:rPr>
              <w:t>自合同签订日起两年内，具体以甲方通知为准</w:t>
            </w:r>
          </w:p>
          <w:p>
            <w:pPr>
              <w:autoSpaceDE w:val="0"/>
              <w:autoSpaceDN w:val="0"/>
              <w:adjustRightIn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w:t>
            </w:r>
          </w:p>
        </w:tc>
        <w:tc>
          <w:tcPr>
            <w:tcW w:w="1215" w:type="dxa"/>
            <w:tcBorders>
              <w:top w:val="single" w:color="000000" w:sz="2" w:space="0"/>
              <w:left w:val="single" w:color="000000" w:sz="2" w:space="0"/>
              <w:right w:val="single" w:color="000000" w:sz="2" w:space="0"/>
            </w:tcBorders>
            <w:shd w:val="clear" w:color="000000" w:fill="FFFFFF"/>
            <w:noWrap w:val="0"/>
            <w:vAlign w:val="top"/>
          </w:tcPr>
          <w:p>
            <w:pPr>
              <w:spacing w:line="360" w:lineRule="auto"/>
              <w:rPr>
                <w:rFonts w:ascii="宋体" w:hAnsi="宋体" w:cs="宋体"/>
                <w:color w:val="auto"/>
                <w:sz w:val="24"/>
              </w:rPr>
            </w:pPr>
          </w:p>
          <w:p>
            <w:pPr>
              <w:autoSpaceDE w:val="0"/>
              <w:autoSpaceDN w:val="0"/>
              <w:adjustRightInd w:val="0"/>
              <w:spacing w:line="360" w:lineRule="auto"/>
              <w:rPr>
                <w:rFonts w:ascii="宋体" w:hAnsi="宋体" w:cs="宋体"/>
                <w:color w:val="auto"/>
                <w:kern w:val="0"/>
                <w:sz w:val="24"/>
                <w:lang w:val="zh-CN"/>
              </w:rPr>
            </w:pPr>
          </w:p>
        </w:tc>
      </w:tr>
      <w:tr>
        <w:tblPrEx>
          <w:tblCellMar>
            <w:top w:w="0" w:type="dxa"/>
            <w:left w:w="108" w:type="dxa"/>
            <w:bottom w:w="0" w:type="dxa"/>
            <w:right w:w="108" w:type="dxa"/>
          </w:tblCellMar>
        </w:tblPrEx>
        <w:trPr>
          <w:trHeight w:val="861" w:hRule="atLeast"/>
          <w:jc w:val="center"/>
        </w:trPr>
        <w:tc>
          <w:tcPr>
            <w:tcW w:w="72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lang w:val="zh-CN"/>
              </w:rPr>
            </w:pPr>
            <w:r>
              <w:rPr>
                <w:rFonts w:hint="eastAsia" w:ascii="宋体" w:hAnsi="宋体" w:cs="宋体"/>
                <w:color w:val="auto"/>
                <w:kern w:val="0"/>
                <w:sz w:val="24"/>
                <w:lang w:val="en-US" w:eastAsia="zh-CN"/>
              </w:rPr>
              <w:t>从化公司</w:t>
            </w:r>
          </w:p>
        </w:tc>
        <w:tc>
          <w:tcPr>
            <w:tcW w:w="724"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en-US" w:eastAsia="zh-CN"/>
              </w:rPr>
            </w:pPr>
          </w:p>
        </w:tc>
        <w:tc>
          <w:tcPr>
            <w:tcW w:w="724"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en-US" w:eastAsia="zh-CN"/>
              </w:rPr>
            </w:pPr>
          </w:p>
        </w:tc>
        <w:tc>
          <w:tcPr>
            <w:tcW w:w="725"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en-US" w:eastAsia="zh-CN"/>
              </w:rPr>
            </w:pPr>
          </w:p>
        </w:tc>
        <w:tc>
          <w:tcPr>
            <w:tcW w:w="696" w:type="dxa"/>
            <w:vMerge w:val="continue"/>
            <w:tcBorders>
              <w:left w:val="single" w:color="000000" w:sz="2" w:space="0"/>
              <w:bottom w:val="single" w:color="000000" w:sz="2" w:space="0"/>
              <w:right w:val="single" w:color="000000" w:sz="2" w:space="0"/>
            </w:tcBorders>
            <w:shd w:val="clear" w:color="auto" w:fill="auto"/>
            <w:noWrap w:val="0"/>
            <w:vAlign w:val="top"/>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p>
        </w:tc>
        <w:tc>
          <w:tcPr>
            <w:tcW w:w="746" w:type="dxa"/>
            <w:vMerge w:val="continue"/>
            <w:tcBorders>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920" w:type="dxa"/>
            <w:vMerge w:val="continue"/>
            <w:tcBorders>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804" w:type="dxa"/>
            <w:vMerge w:val="continue"/>
            <w:tcBorders>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856" w:type="dxa"/>
            <w:vMerge w:val="continue"/>
            <w:tcBorders>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1302"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lang w:val="zh-CN"/>
              </w:rPr>
            </w:pPr>
          </w:p>
        </w:tc>
        <w:tc>
          <w:tcPr>
            <w:tcW w:w="121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lang w:val="zh-CN"/>
              </w:rPr>
            </w:pPr>
          </w:p>
        </w:tc>
      </w:tr>
      <w:tr>
        <w:tblPrEx>
          <w:tblCellMar>
            <w:top w:w="0" w:type="dxa"/>
            <w:left w:w="108" w:type="dxa"/>
            <w:bottom w:w="0" w:type="dxa"/>
            <w:right w:w="108" w:type="dxa"/>
          </w:tblCellMar>
        </w:tblPrEx>
        <w:trPr>
          <w:trHeight w:val="376" w:hRule="atLeast"/>
          <w:jc w:val="center"/>
        </w:trPr>
        <w:tc>
          <w:tcPr>
            <w:tcW w:w="2897" w:type="dxa"/>
            <w:gridSpan w:val="4"/>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eastAsiaTheme="minorEastAsia"/>
                <w:color w:val="auto"/>
                <w:kern w:val="0"/>
                <w:sz w:val="24"/>
                <w:lang w:val="en-US" w:eastAsia="zh-CN"/>
              </w:rPr>
            </w:pPr>
            <w:bookmarkStart w:id="133" w:name="_Toc87616402"/>
            <w:bookmarkStart w:id="134" w:name="_Toc16386"/>
            <w:bookmarkStart w:id="135" w:name="_Toc88209965"/>
            <w:bookmarkStart w:id="136" w:name="_Toc6058"/>
            <w:r>
              <w:rPr>
                <w:rFonts w:hint="eastAsia" w:ascii="宋体" w:hAnsi="宋体" w:cs="宋体"/>
                <w:color w:val="auto"/>
                <w:kern w:val="0"/>
                <w:sz w:val="24"/>
                <w:lang w:val="en-US" w:eastAsia="zh-CN"/>
              </w:rPr>
              <w:t>合计</w:t>
            </w:r>
          </w:p>
        </w:tc>
        <w:tc>
          <w:tcPr>
            <w:tcW w:w="69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594</w:t>
            </w:r>
          </w:p>
        </w:tc>
        <w:tc>
          <w:tcPr>
            <w:tcW w:w="746"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92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804"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856"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1302"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zh-CN"/>
              </w:rPr>
            </w:pPr>
          </w:p>
        </w:tc>
        <w:tc>
          <w:tcPr>
            <w:tcW w:w="121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lang w:val="zh-CN"/>
              </w:rPr>
            </w:pPr>
          </w:p>
        </w:tc>
      </w:tr>
    </w:tbl>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rPr>
          <w:rFonts w:hint="eastAsia"/>
          <w:lang w:val="en-US" w:eastAsia="zh-CN"/>
        </w:rPr>
      </w:pPr>
    </w:p>
    <w:p>
      <w:pPr>
        <w:rPr>
          <w:rFonts w:hint="eastAsia"/>
          <w:lang w:val="en-US" w:eastAsia="zh-CN"/>
        </w:rPr>
      </w:pPr>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3"/>
      <w:bookmarkEnd w:id="134"/>
      <w:bookmarkEnd w:id="135"/>
      <w:bookmarkEnd w:id="136"/>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rPr>
          <w:color w:val="auto"/>
        </w:rPr>
      </w:pPr>
    </w:p>
    <w:p>
      <w:pPr>
        <w:rPr>
          <w:color w:val="auto"/>
        </w:rPr>
      </w:pP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3"/>
                    </w:pPr>
                  </w:p>
                  <w:p/>
                </w:txbxContent>
              </v:textbox>
            </v:shape>
          </w:pict>
        </mc:Fallback>
      </mc:AlternateConten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3"/>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pPr>
                      <w:pStyle w:val="13"/>
                    </w:pPr>
                  </w:p>
                  <w:p/>
                </w:txbxContent>
              </v:textbox>
            </v:shape>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rFonts w:hint="eastAsia" w:eastAsiaTheme="minor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01686"/>
    <w:multiLevelType w:val="singleLevel"/>
    <w:tmpl w:val="AC801686"/>
    <w:lvl w:ilvl="0" w:tentative="0">
      <w:start w:val="3"/>
      <w:numFmt w:val="chineseCounting"/>
      <w:suff w:val="space"/>
      <w:lvlText w:val="第%1条"/>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7E72221"/>
    <w:multiLevelType w:val="singleLevel"/>
    <w:tmpl w:val="E7E72221"/>
    <w:lvl w:ilvl="0" w:tentative="0">
      <w:start w:val="2"/>
      <w:numFmt w:val="chineseCounting"/>
      <w:suff w:val="nothing"/>
      <w:lvlText w:val="%1、"/>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4E5421C6"/>
    <w:multiLevelType w:val="singleLevel"/>
    <w:tmpl w:val="4E5421C6"/>
    <w:lvl w:ilvl="0" w:tentative="0">
      <w:start w:val="1"/>
      <w:numFmt w:val="decimal"/>
      <w:suff w:val="nothing"/>
      <w:lvlText w:val="（%1）"/>
      <w:lvlJc w:val="left"/>
    </w:lvl>
  </w:abstractNum>
  <w:abstractNum w:abstractNumId="5">
    <w:nsid w:val="67607741"/>
    <w:multiLevelType w:val="singleLevel"/>
    <w:tmpl w:val="67607741"/>
    <w:lvl w:ilvl="0" w:tentative="0">
      <w:start w:val="2"/>
      <w:numFmt w:val="decimal"/>
      <w:lvlText w:val="%1."/>
      <w:lvlJc w:val="left"/>
      <w:pPr>
        <w:tabs>
          <w:tab w:val="left" w:pos="312"/>
        </w:tabs>
        <w:ind w:left="1260" w:firstLine="0"/>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6"/>
  </w:num>
  <w:num w:numId="3">
    <w:abstractNumId w:val="3"/>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B3B83"/>
    <w:rsid w:val="04035DFD"/>
    <w:rsid w:val="14DB3B83"/>
    <w:rsid w:val="177549DC"/>
    <w:rsid w:val="329C254B"/>
    <w:rsid w:val="38B92DB3"/>
    <w:rsid w:val="3FE33198"/>
    <w:rsid w:val="60764021"/>
    <w:rsid w:val="6F6D6A95"/>
    <w:rsid w:val="76D32442"/>
    <w:rsid w:val="79B33792"/>
    <w:rsid w:val="7A920264"/>
    <w:rsid w:val="7B616178"/>
    <w:rsid w:val="7E7844F5"/>
    <w:rsid w:val="7FCB0684"/>
    <w:rsid w:val="7FED54DC"/>
    <w:rsid w:val="7FFB5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w:basedOn w:val="1"/>
    <w:next w:val="7"/>
    <w:qFormat/>
    <w:uiPriority w:val="99"/>
    <w:pPr>
      <w:spacing w:after="120"/>
    </w:pPr>
  </w:style>
  <w:style w:type="paragraph" w:styleId="7">
    <w:name w:val="Body Text 2"/>
    <w:basedOn w:val="1"/>
    <w:qFormat/>
    <w:uiPriority w:val="0"/>
    <w:pPr>
      <w:spacing w:after="120" w:line="480" w:lineRule="auto"/>
    </w:pPr>
  </w:style>
  <w:style w:type="paragraph" w:styleId="8">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9">
    <w:name w:val="Plain Text"/>
    <w:basedOn w:val="1"/>
    <w:next w:val="10"/>
    <w:qFormat/>
    <w:uiPriority w:val="0"/>
    <w:rPr>
      <w:rFonts w:ascii="宋体" w:hAnsi="Courier New"/>
      <w:szCs w:val="21"/>
    </w:rPr>
  </w:style>
  <w:style w:type="paragraph" w:customStyle="1" w:styleId="10">
    <w:name w:val="Default"/>
    <w:next w:val="11"/>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1">
    <w:name w:val="List"/>
    <w:basedOn w:val="1"/>
    <w:next w:val="1"/>
    <w:qFormat/>
    <w:uiPriority w:val="0"/>
    <w:pPr>
      <w:snapToGrid w:val="0"/>
    </w:pPr>
    <w:rPr>
      <w:szCs w:val="24"/>
    </w:rPr>
  </w:style>
  <w:style w:type="paragraph" w:styleId="12">
    <w:name w:val="Body Text Indent 2"/>
    <w:basedOn w:val="1"/>
    <w:qFormat/>
    <w:uiPriority w:val="0"/>
    <w:pPr>
      <w:adjustRightInd w:val="0"/>
      <w:snapToGrid w:val="0"/>
      <w:spacing w:before="163" w:after="163" w:line="300" w:lineRule="auto"/>
      <w:ind w:firstLine="420" w:firstLineChars="200"/>
    </w:pPr>
    <w:rPr>
      <w:rFonts w:ascii="宋体" w:hAnsi="宋体"/>
      <w:color w:val="000000"/>
      <w:szCs w:val="20"/>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76" w:lineRule="auto"/>
      <w:jc w:val="left"/>
    </w:pPr>
    <w:rPr>
      <w:kern w:val="0"/>
      <w:sz w:val="22"/>
    </w:r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w:basedOn w:val="6"/>
    <w:unhideWhenUsed/>
    <w:qFormat/>
    <w:uiPriority w:val="99"/>
    <w:pPr>
      <w:widowControl w:val="0"/>
      <w:spacing w:after="120" w:line="240" w:lineRule="auto"/>
      <w:ind w:firstLine="420"/>
    </w:pPr>
    <w:rPr>
      <w:kern w:val="2"/>
      <w:sz w:val="21"/>
    </w:rPr>
  </w:style>
  <w:style w:type="paragraph" w:styleId="19">
    <w:name w:val="Body Text First Indent 2"/>
    <w:basedOn w:val="8"/>
    <w:qFormat/>
    <w:uiPriority w:val="0"/>
    <w:pPr>
      <w:adjustRightInd w:val="0"/>
      <w:spacing w:line="360" w:lineRule="auto"/>
      <w:ind w:left="0" w:leftChars="0" w:firstLine="420"/>
      <w:textAlignment w:val="baseline"/>
    </w:pPr>
    <w:rPr>
      <w:rFonts w:eastAsia="等线" w:cs="Times New Roman"/>
      <w:color w:val="000000"/>
      <w:szCs w:val="24"/>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22"/>
    <w:rPr>
      <w:b/>
      <w:bCs/>
    </w:rPr>
  </w:style>
  <w:style w:type="paragraph" w:customStyle="1" w:styleId="24">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27">
    <w:name w:val="List Paragraph"/>
    <w:basedOn w:val="1"/>
    <w:qFormat/>
    <w:uiPriority w:val="34"/>
    <w:pPr>
      <w:ind w:firstLine="420" w:firstLineChars="200"/>
    </w:pPr>
  </w:style>
  <w:style w:type="character" w:customStyle="1" w:styleId="28">
    <w:name w:val="font41"/>
    <w:basedOn w:val="22"/>
    <w:qFormat/>
    <w:uiPriority w:val="0"/>
    <w:rPr>
      <w:rFonts w:hint="eastAsia" w:ascii="宋体" w:hAnsi="宋体" w:eastAsia="宋体" w:cs="宋体"/>
      <w:color w:val="000000"/>
      <w:sz w:val="32"/>
      <w:szCs w:val="32"/>
      <w:u w:val="none"/>
    </w:rPr>
  </w:style>
  <w:style w:type="character" w:customStyle="1" w:styleId="29">
    <w:name w:val="font51"/>
    <w:basedOn w:val="22"/>
    <w:qFormat/>
    <w:uiPriority w:val="0"/>
    <w:rPr>
      <w:rFonts w:hint="eastAsia" w:ascii="宋体" w:hAnsi="宋体" w:eastAsia="宋体" w:cs="宋体"/>
      <w:color w:val="000000"/>
      <w:sz w:val="32"/>
      <w:szCs w:val="32"/>
      <w:u w:val="single"/>
    </w:rPr>
  </w:style>
  <w:style w:type="character" w:customStyle="1" w:styleId="30">
    <w:name w:val="font11"/>
    <w:basedOn w:val="22"/>
    <w:qFormat/>
    <w:uiPriority w:val="0"/>
    <w:rPr>
      <w:rFonts w:hint="default" w:ascii="Wingdings 2" w:hAnsi="Wingdings 2" w:eastAsia="Wingdings 2" w:cs="Wingdings 2"/>
      <w:color w:val="000000"/>
      <w:sz w:val="24"/>
      <w:szCs w:val="24"/>
      <w:u w:val="none"/>
    </w:rPr>
  </w:style>
  <w:style w:type="character" w:customStyle="1" w:styleId="31">
    <w:name w:val="font21"/>
    <w:basedOn w:val="22"/>
    <w:qFormat/>
    <w:uiPriority w:val="0"/>
    <w:rPr>
      <w:rFonts w:hint="eastAsia" w:ascii="宋体" w:hAnsi="宋体" w:eastAsia="宋体" w:cs="宋体"/>
      <w:color w:val="000000"/>
      <w:sz w:val="24"/>
      <w:szCs w:val="24"/>
      <w:u w:val="none"/>
    </w:rPr>
  </w:style>
  <w:style w:type="paragraph" w:customStyle="1" w:styleId="32">
    <w:name w:val="CM91"/>
    <w:basedOn w:val="10"/>
    <w:next w:val="10"/>
    <w:qFormat/>
    <w:uiPriority w:val="0"/>
    <w:pPr>
      <w:spacing w:after="160"/>
    </w:pPr>
    <w:rPr>
      <w:color w:val="auto"/>
    </w:rPr>
  </w:style>
  <w:style w:type="paragraph" w:customStyle="1" w:styleId="33">
    <w:name w:val="CM97"/>
    <w:basedOn w:val="10"/>
    <w:next w:val="10"/>
    <w:qFormat/>
    <w:uiPriority w:val="0"/>
    <w:pPr>
      <w:spacing w:after="373"/>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2023-06-07T01:03:00Z</dcterms:created>
  <dc:creator>阮锋</dc:creator>
  <cp:lastModifiedBy>琳</cp:lastModifiedBy>
  <cp:lastPrinted>2023-07-04T08:58:00Z</cp:lastPrinted>
  <dcterms:modified xsi:type="dcterms:W3CDTF">2023-07-18T08:03:20Z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C80927D6622A4E2A9ED5D7BBFDD70438</vt:lpwstr>
  </property>
</Properties>
</file>