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从化公司2023年中心厂、良口厂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出水总磷、总氮在线分析仪采购项目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7519"/>
      <w:bookmarkStart w:id="5" w:name="_Toc19609"/>
      <w:bookmarkStart w:id="6" w:name="_Toc11322"/>
      <w:bookmarkStart w:id="7" w:name="_Toc17801"/>
      <w:bookmarkStart w:id="8" w:name="_Toc31938"/>
      <w:bookmarkStart w:id="9" w:name="_Toc166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4" o:spid="_x0000_s2064" o:spt="32" type="#_x0000_t32" style="position:absolute;left:0pt;margin-left:175.9pt;margin-top:6.4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75.3pt;margin-top:39.95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从化公司2023年中心厂、良口厂出水总磷、总氮在线分析仪采购项目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从化公司2023年中心厂、良口厂出水总磷、总氮在线分析仪采购项目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从化净水询【2023】052501号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360000.00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000000"/>
          <w:sz w:val="28"/>
          <w:szCs w:val="28"/>
          <w:lang w:val="en-US" w:eastAsia="zh-CN"/>
        </w:rPr>
        <w:t>拟采购4套在线监测设备，分别用于中心厂、良口厂。具体</w:t>
      </w:r>
      <w:r>
        <w:rPr>
          <w:rFonts w:hint="eastAsia" w:ascii="仿宋_GB2312" w:hAnsi="仿宋_GB2312" w:eastAsia="仿宋_GB2312" w:cs="仿宋_GB2312"/>
          <w:color w:val="000000"/>
          <w:sz w:val="28"/>
          <w:szCs w:val="28"/>
          <w:lang w:val="zh-CN" w:eastAsia="zh-CN"/>
        </w:rPr>
        <w:t>清单如下：</w:t>
      </w:r>
    </w:p>
    <w:tbl>
      <w:tblPr>
        <w:tblStyle w:val="22"/>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4"/>
        <w:gridCol w:w="1099"/>
        <w:gridCol w:w="809"/>
        <w:gridCol w:w="227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77"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名称</w:t>
            </w:r>
          </w:p>
        </w:tc>
        <w:tc>
          <w:tcPr>
            <w:tcW w:w="115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840"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2430"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测定方法</w:t>
            </w:r>
          </w:p>
        </w:tc>
        <w:tc>
          <w:tcPr>
            <w:tcW w:w="1952"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7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总磷在线分析仪</w:t>
            </w:r>
          </w:p>
        </w:tc>
        <w:tc>
          <w:tcPr>
            <w:tcW w:w="115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40"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430" w:type="dxa"/>
            <w:noWrap w:val="0"/>
            <w:vAlign w:val="center"/>
          </w:tcPr>
          <w:p>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1"/>
                <w:szCs w:val="21"/>
                <w:highlight w:val="none"/>
              </w:rPr>
              <w:t>钼酸铵分光光度法</w:t>
            </w:r>
          </w:p>
        </w:tc>
        <w:tc>
          <w:tcPr>
            <w:tcW w:w="1952" w:type="dxa"/>
            <w:noWrap w:val="0"/>
            <w:vAlign w:val="center"/>
          </w:tcPr>
          <w:p>
            <w:pPr>
              <w:widowControl/>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7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总氮在线分析仪</w:t>
            </w:r>
          </w:p>
        </w:tc>
        <w:tc>
          <w:tcPr>
            <w:tcW w:w="115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40"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430" w:type="dxa"/>
            <w:noWrap w:val="0"/>
            <w:vAlign w:val="center"/>
          </w:tcPr>
          <w:p>
            <w:pPr>
              <w:widowControl/>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1"/>
                <w:szCs w:val="21"/>
                <w:highlight w:val="none"/>
              </w:rPr>
              <w:t>碱性过硫酸钾消解-紫外分光光度法</w:t>
            </w:r>
          </w:p>
        </w:tc>
        <w:tc>
          <w:tcPr>
            <w:tcW w:w="1952" w:type="dxa"/>
            <w:noWrap w:val="0"/>
            <w:vAlign w:val="center"/>
          </w:tcPr>
          <w:p>
            <w:pPr>
              <w:widowControl/>
              <w:spacing w:line="400" w:lineRule="exact"/>
              <w:jc w:val="center"/>
              <w:rPr>
                <w:rFonts w:hint="eastAsia" w:ascii="仿宋_GB2312" w:hAnsi="仿宋_GB2312" w:eastAsia="仿宋_GB2312" w:cs="仿宋_GB2312"/>
                <w:sz w:val="24"/>
                <w:szCs w:val="24"/>
              </w:rPr>
            </w:pPr>
          </w:p>
        </w:tc>
      </w:tr>
    </w:tbl>
    <w:p>
      <w:pPr>
        <w:pStyle w:val="3"/>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注：每台设备应配带试剂1套，并提供在线监测设备相应的试剂配制方法及通讯协议代码。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合同签订后30日内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广州从化净水有限公司中心厂、良口厂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响应</w:t>
      </w:r>
      <w:r>
        <w:rPr>
          <w:rFonts w:hint="eastAsia" w:ascii="仿宋_GB2312" w:eastAsia="仿宋_GB2312"/>
          <w:sz w:val="28"/>
          <w:szCs w:val="28"/>
          <w:u w:val="single"/>
          <w:lang w:val="en-US" w:eastAsia="zh-CN"/>
        </w:rPr>
        <w:t>设备</w:t>
      </w:r>
      <w:r>
        <w:rPr>
          <w:rFonts w:hint="eastAsia" w:ascii="仿宋_GB2312" w:eastAsia="仿宋_GB2312"/>
          <w:sz w:val="28"/>
          <w:szCs w:val="28"/>
          <w:u w:val="single"/>
        </w:rPr>
        <w:t>制造商针对本项目的授权函,制造商盖公章确认（制造商除外）;除制造商以外其他供应商应当书面承诺所提供报价货物/设备均为制造商全新原装产品</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1"/>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1"/>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15918621504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bookmarkStart w:id="198" w:name="_GoBack"/>
            <w:bookmarkEnd w:id="19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23749"/>
      <w:bookmarkStart w:id="16" w:name="_Toc16557"/>
      <w:bookmarkStart w:id="17" w:name="_Toc2324"/>
      <w:bookmarkStart w:id="18" w:name="_Toc7340"/>
      <w:bookmarkStart w:id="19" w:name="_Toc25603"/>
      <w:bookmarkStart w:id="20" w:name="_Toc32588"/>
      <w:bookmarkStart w:id="21" w:name="_Toc19295"/>
      <w:bookmarkStart w:id="22" w:name="_Toc16705"/>
      <w:bookmarkStart w:id="23" w:name="_Toc9448"/>
    </w:p>
    <w:p>
      <w:pPr>
        <w:pStyle w:val="4"/>
        <w:rPr>
          <w:color w:val="auto"/>
          <w:highlight w:val="none"/>
        </w:rPr>
      </w:pPr>
      <w:r>
        <w:rPr>
          <w:color w:val="auto"/>
          <w:highlight w:val="none"/>
        </w:rPr>
        <w:pict>
          <v:shape id="_x0000_s2066" o:spid="_x0000_s2066" o:spt="32" type="#_x0000_t32" style="position:absolute;left:0pt;margin-left:173.15pt;margin-top:39.3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73.1pt;margin-top:6.4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pStyle w:val="21"/>
        <w:ind w:firstLine="0"/>
        <w:rPr>
          <w:rFonts w:hint="eastAsia"/>
          <w:highlight w:val="none"/>
        </w:rPr>
      </w:pPr>
    </w:p>
    <w:p>
      <w:pPr>
        <w:pStyle w:val="21"/>
        <w:ind w:firstLine="0"/>
        <w:rPr>
          <w:rFonts w:hint="eastAsia"/>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hint="default" w:ascii="宋体" w:hAnsi="宋体" w:cs="宋体" w:eastAsiaTheme="minorEastAsia"/>
          <w:b/>
          <w:bCs/>
          <w:color w:val="auto"/>
          <w:sz w:val="44"/>
          <w:szCs w:val="44"/>
          <w:highlight w:val="none"/>
          <w:lang w:val="en-US" w:eastAsia="zh-CN"/>
        </w:rPr>
      </w:pPr>
      <w:r>
        <w:rPr>
          <w:rFonts w:hint="eastAsia" w:ascii="宋体" w:hAnsi="宋体" w:cs="宋体"/>
          <w:b/>
          <w:bCs/>
          <w:sz w:val="44"/>
          <w:szCs w:val="44"/>
          <w:highlight w:val="none"/>
        </w:rPr>
        <w:t>关</w:t>
      </w:r>
      <w:r>
        <w:rPr>
          <w:rFonts w:hint="default" w:ascii="宋体" w:hAnsi="宋体" w:cs="宋体"/>
          <w:b/>
          <w:bCs/>
          <w:sz w:val="44"/>
          <w:szCs w:val="44"/>
          <w:highlight w:val="none"/>
        </w:rPr>
        <w:t>于</w:t>
      </w:r>
      <w:r>
        <w:rPr>
          <w:rFonts w:hint="default" w:ascii="宋体" w:hAnsi="宋体" w:cs="宋体" w:eastAsiaTheme="minorEastAsia"/>
          <w:b/>
          <w:bCs/>
          <w:color w:val="auto"/>
          <w:sz w:val="44"/>
          <w:szCs w:val="44"/>
          <w:highlight w:val="none"/>
          <w:lang w:val="en-US" w:eastAsia="zh-CN"/>
        </w:rPr>
        <w:t>从化公司2023年中心厂、良口厂</w:t>
      </w:r>
    </w:p>
    <w:p>
      <w:pPr>
        <w:jc w:val="center"/>
        <w:rPr>
          <w:rFonts w:hint="default" w:ascii="宋体" w:hAnsi="宋体" w:cs="宋体" w:eastAsiaTheme="minorEastAsia"/>
          <w:b/>
          <w:bCs/>
          <w:color w:val="auto"/>
          <w:sz w:val="44"/>
          <w:szCs w:val="44"/>
          <w:highlight w:val="none"/>
          <w:lang w:val="en-US" w:eastAsia="zh-CN"/>
        </w:rPr>
      </w:pPr>
      <w:r>
        <w:rPr>
          <w:rFonts w:hint="default" w:ascii="宋体" w:hAnsi="宋体" w:cs="宋体" w:eastAsiaTheme="minorEastAsia"/>
          <w:b/>
          <w:bCs/>
          <w:color w:val="auto"/>
          <w:sz w:val="44"/>
          <w:szCs w:val="44"/>
          <w:highlight w:val="none"/>
          <w:lang w:val="en-US" w:eastAsia="zh-CN"/>
        </w:rPr>
        <w:t>出水总磷、总氮在线分析仪采购项目</w:t>
      </w:r>
    </w:p>
    <w:p>
      <w:pPr>
        <w:jc w:val="center"/>
        <w:rPr>
          <w:rFonts w:ascii="宋体" w:hAnsi="宋体" w:cs="宋体"/>
          <w:b/>
          <w:bCs/>
          <w:sz w:val="44"/>
          <w:szCs w:val="44"/>
          <w:highlight w:val="none"/>
        </w:rPr>
      </w:pP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pPr>
    </w:p>
    <w:p>
      <w:pPr>
        <w:pStyle w:val="3"/>
      </w:pPr>
    </w:p>
    <w:p/>
    <w:p>
      <w:pPr>
        <w:pStyle w:val="2"/>
      </w:pPr>
    </w:p>
    <w:p>
      <w:pPr>
        <w:pStyle w:val="3"/>
      </w:pPr>
    </w:p>
    <w:p/>
    <w:p>
      <w:pPr>
        <w:pStyle w:val="2"/>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74.05pt;margin-top:3.9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3" o:spid="_x0000_s2053" o:spt="32" type="#_x0000_t32" style="position:absolute;left:0pt;margin-left:177pt;margin-top:3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4552"/>
      <w:bookmarkStart w:id="36" w:name="_Toc20594"/>
      <w:bookmarkStart w:id="37" w:name="_Toc3156"/>
      <w:bookmarkStart w:id="38" w:name="_Toc7437"/>
      <w:bookmarkStart w:id="39" w:name="_Toc10930"/>
      <w:bookmarkStart w:id="40" w:name="_Toc19759"/>
      <w:bookmarkStart w:id="41" w:name="_Toc4952"/>
      <w:bookmarkStart w:id="42" w:name="_Toc7118"/>
      <w:bookmarkStart w:id="43" w:name="_Toc14870"/>
      <w:bookmarkStart w:id="44" w:name="_Toc23581"/>
      <w:r>
        <w:rPr>
          <w:color w:val="auto"/>
          <w:highlight w:val="none"/>
        </w:rPr>
        <w:pict>
          <v:shape id="_x0000_s2055" o:spid="_x0000_s2055" o:spt="32" type="#_x0000_t32" style="position:absolute;left:0pt;margin-left:174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74.1pt;margin-top:24.1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87616378"/>
      <w:bookmarkStart w:id="46" w:name="_Toc12177"/>
      <w:bookmarkStart w:id="47" w:name="_Toc29484"/>
      <w:bookmarkStart w:id="48" w:name="_Toc22212"/>
      <w:bookmarkStart w:id="49" w:name="_Toc6308"/>
      <w:bookmarkStart w:id="50" w:name="_Toc21079"/>
      <w:bookmarkStart w:id="51" w:name="_Toc29345"/>
      <w:bookmarkStart w:id="52" w:name="_Toc13898"/>
      <w:bookmarkStart w:id="53" w:name="_Toc21840"/>
      <w:bookmarkStart w:id="54" w:name="_Toc30530"/>
      <w:bookmarkStart w:id="55" w:name="_Toc88209941"/>
      <w:bookmarkStart w:id="56" w:name="_Toc7831"/>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77.35pt;margin-top:55.95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76.6pt;margin-top:19.6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ind w:firstLine="2880" w:firstLineChars="800"/>
        <w:jc w:val="both"/>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djustRightInd w:val="0"/>
        <w:snapToGrid w:val="0"/>
        <w:spacing w:line="384" w:lineRule="auto"/>
        <w:ind w:firstLine="560"/>
        <w:jc w:val="lef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8"/>
          <w:szCs w:val="28"/>
        </w:rPr>
        <w:t>根据我公司</w:t>
      </w:r>
      <w:r>
        <w:rPr>
          <w:rFonts w:hint="eastAsia" w:ascii="仿宋_GB2312" w:hAnsi="仿宋_GB2312" w:eastAsia="仿宋_GB2312" w:cs="仿宋_GB2312"/>
          <w:sz w:val="28"/>
          <w:szCs w:val="28"/>
          <w:lang w:val="en-US" w:eastAsia="zh-CN"/>
        </w:rPr>
        <w:t>在线监测</w:t>
      </w:r>
      <w:r>
        <w:rPr>
          <w:rFonts w:hint="eastAsia" w:ascii="仿宋_GB2312" w:hAnsi="仿宋_GB2312" w:eastAsia="仿宋_GB2312" w:cs="仿宋_GB2312"/>
          <w:sz w:val="28"/>
          <w:szCs w:val="28"/>
        </w:rPr>
        <w:t>设备需求，为保障在线监测系统正常运行，确保监控数值准确上传至环保监控平台，自动监测数据有效传输率在90%以上，</w:t>
      </w:r>
      <w:r>
        <w:rPr>
          <w:rFonts w:hint="eastAsia" w:ascii="仿宋_GB2312" w:hAnsi="仿宋_GB2312" w:eastAsia="仿宋_GB2312" w:cs="仿宋_GB2312"/>
          <w:sz w:val="28"/>
          <w:szCs w:val="28"/>
          <w:lang w:val="zh-CN"/>
        </w:rPr>
        <w:t>需</w:t>
      </w:r>
      <w:r>
        <w:rPr>
          <w:rFonts w:hint="eastAsia" w:ascii="仿宋_GB2312" w:hAnsi="仿宋_GB2312" w:eastAsia="仿宋_GB2312" w:cs="仿宋_GB2312"/>
          <w:sz w:val="28"/>
          <w:szCs w:val="28"/>
        </w:rPr>
        <w:t>采购中心厂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良口厂</w:t>
      </w:r>
      <w:r>
        <w:rPr>
          <w:rFonts w:hint="eastAsia" w:ascii="仿宋_GB2312" w:hAnsi="仿宋_GB2312" w:eastAsia="仿宋_GB2312" w:cs="仿宋_GB2312"/>
          <w:sz w:val="28"/>
          <w:szCs w:val="28"/>
        </w:rPr>
        <w:t>出水</w:t>
      </w:r>
      <w:r>
        <w:rPr>
          <w:rFonts w:hint="eastAsia" w:ascii="仿宋_GB2312" w:hAnsi="仿宋_GB2312" w:eastAsia="仿宋_GB2312" w:cs="仿宋_GB2312"/>
          <w:sz w:val="28"/>
          <w:szCs w:val="28"/>
          <w:lang w:val="en-US" w:eastAsia="zh-CN"/>
        </w:rPr>
        <w:t>总磷、出水总氮在线分析仪各2台。</w:t>
      </w:r>
    </w:p>
    <w:p>
      <w:pPr>
        <w:pStyle w:val="13"/>
        <w:adjustRightInd w:val="0"/>
        <w:snapToGrid w:val="0"/>
        <w:spacing w:line="30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采购清单</w:t>
      </w:r>
    </w:p>
    <w:tbl>
      <w:tblPr>
        <w:tblStyle w:val="22"/>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1126"/>
        <w:gridCol w:w="825"/>
        <w:gridCol w:w="235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895"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名称</w:t>
            </w:r>
          </w:p>
        </w:tc>
        <w:tc>
          <w:tcPr>
            <w:tcW w:w="1132"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828"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2366"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测定方法</w:t>
            </w:r>
          </w:p>
        </w:tc>
        <w:tc>
          <w:tcPr>
            <w:tcW w:w="1904"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9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总磷在线分析仪</w:t>
            </w:r>
          </w:p>
        </w:tc>
        <w:tc>
          <w:tcPr>
            <w:tcW w:w="1132"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28"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366" w:type="dxa"/>
            <w:noWrap w:val="0"/>
            <w:vAlign w:val="center"/>
          </w:tcPr>
          <w:p>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1"/>
                <w:szCs w:val="21"/>
                <w:highlight w:val="none"/>
              </w:rPr>
              <w:t>钼酸铵分光光度法</w:t>
            </w:r>
          </w:p>
        </w:tc>
        <w:tc>
          <w:tcPr>
            <w:tcW w:w="1904" w:type="dxa"/>
            <w:noWrap w:val="0"/>
            <w:vAlign w:val="center"/>
          </w:tcPr>
          <w:p>
            <w:pPr>
              <w:widowControl/>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9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总氮在线分析仪</w:t>
            </w:r>
          </w:p>
        </w:tc>
        <w:tc>
          <w:tcPr>
            <w:tcW w:w="1132"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28"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366" w:type="dxa"/>
            <w:noWrap w:val="0"/>
            <w:vAlign w:val="center"/>
          </w:tcPr>
          <w:p>
            <w:pPr>
              <w:widowControl/>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1"/>
                <w:szCs w:val="21"/>
                <w:highlight w:val="none"/>
              </w:rPr>
              <w:t>碱性过硫酸钾消解-紫外分光光度法</w:t>
            </w:r>
          </w:p>
        </w:tc>
        <w:tc>
          <w:tcPr>
            <w:tcW w:w="1904" w:type="dxa"/>
            <w:noWrap w:val="0"/>
            <w:vAlign w:val="center"/>
          </w:tcPr>
          <w:p>
            <w:pPr>
              <w:widowControl/>
              <w:spacing w:line="400" w:lineRule="exact"/>
              <w:jc w:val="center"/>
              <w:rPr>
                <w:rFonts w:hint="eastAsia" w:ascii="仿宋_GB2312" w:hAnsi="仿宋_GB2312" w:eastAsia="仿宋_GB2312" w:cs="仿宋_GB2312"/>
                <w:sz w:val="24"/>
                <w:szCs w:val="24"/>
              </w:rPr>
            </w:pPr>
          </w:p>
        </w:tc>
      </w:tr>
    </w:tbl>
    <w:p>
      <w:pPr>
        <w:adjustRightInd w:val="0"/>
        <w:snapToGrid w:val="0"/>
        <w:spacing w:line="280" w:lineRule="exact"/>
        <w:ind w:firstLine="561"/>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注：每台设备应配带试剂1套，并提供在线监测设备相应的试剂配制方法及通讯协议代码。</w:t>
      </w:r>
    </w:p>
    <w:p>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2.技术参数要求</w:t>
      </w:r>
    </w:p>
    <w:p>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（1）出水总磷水质自动分析仪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21"/>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分析方法</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测定范围</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0～50mg/L</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包含0-1.5mg/L量程切换</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重复性</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5</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示值误差</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default" w:ascii="仿宋_GB2312" w:hAnsi="仿宋_GB2312" w:eastAsia="仿宋_GB2312" w:cs="仿宋_GB2312"/>
                <w:color w:val="auto"/>
                <w:sz w:val="21"/>
                <w:szCs w:val="21"/>
                <w:highlight w:val="none"/>
              </w:rPr>
              <w:t>5</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查询功能</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w:t>
            </w:r>
            <w:r>
              <w:rPr>
                <w:rFonts w:hint="eastAsia" w:ascii="仿宋_GB2312" w:hAnsi="仿宋_GB2312" w:eastAsia="仿宋_GB2312" w:cs="仿宋_GB2312"/>
                <w:b w:val="0"/>
                <w:bCs w:val="0"/>
                <w:color w:val="auto"/>
                <w:sz w:val="21"/>
                <w:szCs w:val="21"/>
                <w:highlight w:val="none"/>
                <w:lang w:val="en-US" w:eastAsia="zh-CN"/>
              </w:rPr>
              <w:t>有测量数据、运行日志查询功能，并至少存储12个月以上</w:t>
            </w:r>
            <w:r>
              <w:rPr>
                <w:rFonts w:hint="eastAsia" w:ascii="仿宋_GB2312" w:hAnsi="仿宋_GB2312" w:eastAsia="仿宋_GB2312" w:cs="仿宋_GB2312"/>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通讯接口</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具有4mA-20mA模拟信号以及RS485输出接口，可接收管理平台的远程控制指令，至少包含远程启动、远程对时功能。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自动标液核查</w:t>
            </w:r>
          </w:p>
        </w:tc>
        <w:tc>
          <w:tcPr>
            <w:tcW w:w="6164"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自动标液核查</w:t>
            </w:r>
            <w:r>
              <w:rPr>
                <w:rFonts w:hint="eastAsia" w:ascii="仿宋_GB2312" w:hAnsi="仿宋_GB2312" w:eastAsia="仿宋_GB2312" w:cs="仿宋_GB2312"/>
                <w:color w:val="auto"/>
                <w:sz w:val="21"/>
                <w:szCs w:val="21"/>
                <w:highlight w:val="none"/>
                <w:lang w:val="en-US" w:eastAsia="zh-CN"/>
              </w:rPr>
              <w:t>功能，周期最长间隔不超过24小时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自动</w:t>
            </w:r>
            <w:r>
              <w:rPr>
                <w:rFonts w:hint="eastAsia" w:ascii="仿宋_GB2312" w:hAnsi="仿宋_GB2312" w:eastAsia="仿宋_GB2312" w:cs="仿宋_GB2312"/>
                <w:color w:val="auto"/>
                <w:sz w:val="21"/>
                <w:szCs w:val="21"/>
                <w:highlight w:val="none"/>
              </w:rPr>
              <w:t>校准</w:t>
            </w:r>
          </w:p>
        </w:tc>
        <w:tc>
          <w:tcPr>
            <w:tcW w:w="6164"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自动</w:t>
            </w:r>
            <w:r>
              <w:rPr>
                <w:rFonts w:hint="eastAsia" w:ascii="仿宋_GB2312" w:hAnsi="仿宋_GB2312" w:eastAsia="仿宋_GB2312" w:cs="仿宋_GB2312"/>
                <w:color w:val="auto"/>
                <w:sz w:val="21"/>
                <w:szCs w:val="21"/>
                <w:highlight w:val="none"/>
                <w:lang w:val="en-US" w:eastAsia="zh-CN"/>
              </w:rPr>
              <w:t>校准功能，可自动</w:t>
            </w:r>
            <w:r>
              <w:rPr>
                <w:rFonts w:hint="eastAsia" w:ascii="仿宋_GB2312" w:hAnsi="仿宋_GB2312" w:eastAsia="仿宋_GB2312" w:cs="仿宋_GB2312"/>
                <w:color w:val="auto"/>
                <w:sz w:val="21"/>
                <w:szCs w:val="21"/>
                <w:highlight w:val="none"/>
              </w:rPr>
              <w:t>调节零点和校准量程值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故障报警</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缺试剂、部件故障、漏液、取样故障和超标</w:t>
            </w:r>
            <w:r>
              <w:rPr>
                <w:rFonts w:hint="eastAsia" w:ascii="仿宋_GB2312" w:hAnsi="仿宋_GB2312" w:eastAsia="仿宋_GB2312" w:cs="仿宋_GB2312"/>
                <w:color w:val="auto"/>
                <w:sz w:val="21"/>
                <w:szCs w:val="21"/>
                <w:highlight w:val="none"/>
                <w:lang w:val="en-US" w:eastAsia="zh-CN"/>
              </w:rPr>
              <w:t>等报警功能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38" w:type="dxa"/>
            <w:vMerge w:val="restart"/>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24h漂移</w:t>
            </w:r>
          </w:p>
        </w:tc>
        <w:tc>
          <w:tcPr>
            <w:tcW w:w="1621"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20%量程上限值</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38" w:type="dxa"/>
            <w:vMerge w:val="continue"/>
            <w:noWrap w:val="0"/>
            <w:vAlign w:val="center"/>
          </w:tcPr>
          <w:p>
            <w:pPr>
              <w:spacing w:line="360" w:lineRule="exact"/>
              <w:jc w:val="center"/>
              <w:rPr>
                <w:rFonts w:hint="eastAsia" w:ascii="仿宋_GB2312" w:hAnsi="仿宋_GB2312" w:eastAsia="仿宋_GB2312" w:cs="仿宋_GB2312"/>
                <w:color w:val="auto"/>
                <w:sz w:val="21"/>
                <w:szCs w:val="21"/>
                <w:highlight w:val="none"/>
              </w:rPr>
            </w:pPr>
          </w:p>
        </w:tc>
        <w:tc>
          <w:tcPr>
            <w:tcW w:w="1621"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80%量程上限值</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定量下限</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04</w:t>
            </w:r>
            <w:r>
              <w:rPr>
                <w:rFonts w:hint="eastAsia" w:ascii="仿宋_GB2312" w:hAnsi="仿宋_GB2312" w:eastAsia="仿宋_GB2312" w:cs="仿宋_GB2312"/>
                <w:color w:val="auto"/>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测量间隔时间</w:t>
            </w:r>
          </w:p>
        </w:tc>
        <w:tc>
          <w:tcPr>
            <w:tcW w:w="6164"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连续测量、1～24h间隔测量、触发启动测量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测量周期</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&lt;30min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最小维护周期</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≥168h/次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有效数据率</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意外断电再度通电</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能自动排出断电前正在测定的水样和试剂、自动清洗各通道、自动复位到重新开始测试状态的功能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三级操作管理权限</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一级为查询权限，只可进行参数、数据等信息的查询；二级为管理权限，可以对仪器进行校准、清洗、参数设置等维护、维修操作；三级为开发者权限，可以对仪器进行内核修改。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废液收集</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具有将分析废液和清洗废水收集、存放的功能。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059"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比对要求</w:t>
            </w:r>
          </w:p>
        </w:tc>
        <w:tc>
          <w:tcPr>
            <w:tcW w:w="6164"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质控样试验和实际水样比对符合国家环保行业标准及技术规范的相关要求，详见水污染源在线监测仪器运行技术指标表</w:t>
            </w:r>
          </w:p>
        </w:tc>
      </w:tr>
    </w:tbl>
    <w:p>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p>
    <w:p>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（2）出水总氮水质自动分析仪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655"/>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分析方法</w:t>
            </w:r>
          </w:p>
        </w:tc>
        <w:tc>
          <w:tcPr>
            <w:tcW w:w="5768"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碱性过硫酸钾消解-紫外分光光度法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测定范围</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0～100mg/L</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含0-50mg/L量程切换</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重复性</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示值误差</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查询功能</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w:t>
            </w:r>
            <w:r>
              <w:rPr>
                <w:rFonts w:hint="eastAsia" w:ascii="仿宋_GB2312" w:hAnsi="仿宋_GB2312" w:eastAsia="仿宋_GB2312" w:cs="仿宋_GB2312"/>
                <w:b w:val="0"/>
                <w:bCs w:val="0"/>
                <w:color w:val="auto"/>
                <w:sz w:val="21"/>
                <w:szCs w:val="21"/>
                <w:highlight w:val="none"/>
                <w:lang w:val="en-US" w:eastAsia="zh-CN"/>
              </w:rPr>
              <w:t>有测量数据、运行日志查询功能，并至少存储12个月以上</w:t>
            </w:r>
            <w:r>
              <w:rPr>
                <w:rFonts w:hint="eastAsia" w:ascii="仿宋_GB2312" w:hAnsi="仿宋_GB2312" w:eastAsia="仿宋_GB2312" w:cs="仿宋_GB2312"/>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通讯接口</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具有4mA-20mA模拟信号以及RS485输出接口，可接收管理平台的远程控制指令，至少包含远程启动、远程对时功能。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自动标液核查</w:t>
            </w:r>
          </w:p>
        </w:tc>
        <w:tc>
          <w:tcPr>
            <w:tcW w:w="5768"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自动标液核查</w:t>
            </w:r>
            <w:r>
              <w:rPr>
                <w:rFonts w:hint="eastAsia" w:ascii="仿宋_GB2312" w:hAnsi="仿宋_GB2312" w:eastAsia="仿宋_GB2312" w:cs="仿宋_GB2312"/>
                <w:color w:val="auto"/>
                <w:sz w:val="21"/>
                <w:szCs w:val="21"/>
                <w:highlight w:val="none"/>
                <w:lang w:val="en-US" w:eastAsia="zh-CN"/>
              </w:rPr>
              <w:t>功能，周期最长间隔不超过24小时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自动</w:t>
            </w:r>
            <w:r>
              <w:rPr>
                <w:rFonts w:hint="eastAsia" w:ascii="仿宋_GB2312" w:hAnsi="仿宋_GB2312" w:eastAsia="仿宋_GB2312" w:cs="仿宋_GB2312"/>
                <w:color w:val="auto"/>
                <w:sz w:val="21"/>
                <w:szCs w:val="21"/>
                <w:highlight w:val="none"/>
              </w:rPr>
              <w:t>校准</w:t>
            </w:r>
          </w:p>
        </w:tc>
        <w:tc>
          <w:tcPr>
            <w:tcW w:w="5768" w:type="dxa"/>
            <w:noWrap w:val="0"/>
            <w:vAlign w:val="center"/>
          </w:tcPr>
          <w:p>
            <w:pPr>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自动</w:t>
            </w:r>
            <w:r>
              <w:rPr>
                <w:rFonts w:hint="eastAsia" w:ascii="仿宋_GB2312" w:hAnsi="仿宋_GB2312" w:eastAsia="仿宋_GB2312" w:cs="仿宋_GB2312"/>
                <w:color w:val="auto"/>
                <w:sz w:val="21"/>
                <w:szCs w:val="21"/>
                <w:highlight w:val="none"/>
                <w:lang w:val="en-US" w:eastAsia="zh-CN"/>
              </w:rPr>
              <w:t>校准功能，可自动</w:t>
            </w:r>
            <w:r>
              <w:rPr>
                <w:rFonts w:hint="eastAsia" w:ascii="仿宋_GB2312" w:hAnsi="仿宋_GB2312" w:eastAsia="仿宋_GB2312" w:cs="仿宋_GB2312"/>
                <w:color w:val="auto"/>
                <w:sz w:val="21"/>
                <w:szCs w:val="21"/>
                <w:highlight w:val="none"/>
              </w:rPr>
              <w:t>调节零点和校准量程值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故障报警</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w:t>
            </w:r>
            <w:r>
              <w:rPr>
                <w:rFonts w:hint="eastAsia" w:ascii="仿宋_GB2312" w:hAnsi="仿宋_GB2312" w:eastAsia="仿宋_GB2312" w:cs="仿宋_GB2312"/>
                <w:color w:val="auto"/>
                <w:sz w:val="21"/>
                <w:szCs w:val="21"/>
                <w:highlight w:val="none"/>
              </w:rPr>
              <w:t>缺试剂、部件故障、漏液、取样故障和超标</w:t>
            </w:r>
            <w:r>
              <w:rPr>
                <w:rFonts w:hint="eastAsia" w:ascii="仿宋_GB2312" w:hAnsi="仿宋_GB2312" w:eastAsia="仿宋_GB2312" w:cs="仿宋_GB2312"/>
                <w:color w:val="auto"/>
                <w:sz w:val="21"/>
                <w:szCs w:val="21"/>
                <w:highlight w:val="none"/>
                <w:lang w:val="en-US" w:eastAsia="zh-CN"/>
              </w:rPr>
              <w:t>等报警功能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16" w:type="dxa"/>
            <w:vMerge w:val="restart"/>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24h漂移</w:t>
            </w:r>
          </w:p>
        </w:tc>
        <w:tc>
          <w:tcPr>
            <w:tcW w:w="1655"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20%量程上限值</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16" w:type="dxa"/>
            <w:vMerge w:val="continue"/>
            <w:noWrap w:val="0"/>
            <w:vAlign w:val="center"/>
          </w:tcPr>
          <w:p>
            <w:pPr>
              <w:spacing w:line="360" w:lineRule="exact"/>
              <w:jc w:val="center"/>
              <w:rPr>
                <w:rFonts w:hint="eastAsia" w:ascii="仿宋_GB2312" w:hAnsi="仿宋_GB2312" w:eastAsia="仿宋_GB2312" w:cs="仿宋_GB2312"/>
                <w:color w:val="auto"/>
                <w:sz w:val="21"/>
                <w:szCs w:val="21"/>
                <w:highlight w:val="none"/>
              </w:rPr>
            </w:pPr>
          </w:p>
        </w:tc>
        <w:tc>
          <w:tcPr>
            <w:tcW w:w="1655"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80%量程上限值</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1" w:type="dxa"/>
            <w:gridSpan w:val="2"/>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定量下限</w:t>
            </w:r>
          </w:p>
        </w:tc>
        <w:tc>
          <w:tcPr>
            <w:tcW w:w="5768" w:type="dxa"/>
            <w:noWrap w:val="0"/>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471" w:type="dxa"/>
            <w:gridSpan w:val="2"/>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测量间隔时间</w:t>
            </w:r>
          </w:p>
        </w:tc>
        <w:tc>
          <w:tcPr>
            <w:tcW w:w="5768" w:type="dxa"/>
            <w:noWrap w:val="0"/>
            <w:vAlign w:val="center"/>
          </w:tcPr>
          <w:p>
            <w:pPr>
              <w:spacing w:line="32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连续测量、1～24h间隔测量、触发启动测量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1" w:type="dxa"/>
            <w:gridSpan w:val="2"/>
            <w:noWrap w:val="0"/>
            <w:vAlign w:val="center"/>
          </w:tcPr>
          <w:p>
            <w:pPr>
              <w:spacing w:line="360" w:lineRule="exact"/>
              <w:jc w:val="center"/>
              <w:rPr>
                <w:rFonts w:hint="eastAsia"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lang w:val="en-US" w:eastAsia="zh-CN"/>
              </w:rPr>
              <w:t>自动标液核查</w:t>
            </w:r>
          </w:p>
        </w:tc>
        <w:tc>
          <w:tcPr>
            <w:tcW w:w="5768" w:type="dxa"/>
            <w:noWrap w:val="0"/>
            <w:vAlign w:val="center"/>
          </w:tcPr>
          <w:p>
            <w:pPr>
              <w:spacing w:line="320" w:lineRule="exact"/>
              <w:jc w:val="center"/>
              <w:rPr>
                <w:rFonts w:hint="eastAsia"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lang w:val="en-US" w:eastAsia="zh-CN"/>
              </w:rPr>
              <w:t>具有</w:t>
            </w:r>
            <w:r>
              <w:rPr>
                <w:rFonts w:hint="eastAsia" w:ascii="仿宋_GB2312" w:hAnsi="宋体" w:eastAsia="仿宋_GB2312"/>
                <w:color w:val="auto"/>
                <w:sz w:val="21"/>
                <w:szCs w:val="21"/>
                <w:highlight w:val="none"/>
              </w:rPr>
              <w:t>自动标液核查</w:t>
            </w:r>
            <w:r>
              <w:rPr>
                <w:rFonts w:hint="eastAsia" w:ascii="仿宋_GB2312" w:hAnsi="宋体" w:eastAsia="仿宋_GB2312"/>
                <w:color w:val="auto"/>
                <w:sz w:val="21"/>
                <w:szCs w:val="21"/>
                <w:highlight w:val="none"/>
                <w:lang w:val="en-US" w:eastAsia="zh-CN"/>
              </w:rPr>
              <w:t>功能，周期最长间隔不超过24小时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1" w:type="dxa"/>
            <w:gridSpan w:val="2"/>
            <w:noWrap w:val="0"/>
            <w:vAlign w:val="center"/>
          </w:tcPr>
          <w:p>
            <w:pPr>
              <w:spacing w:line="360" w:lineRule="exact"/>
              <w:jc w:val="center"/>
              <w:rPr>
                <w:rFonts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rPr>
              <w:t>校准</w:t>
            </w:r>
          </w:p>
        </w:tc>
        <w:tc>
          <w:tcPr>
            <w:tcW w:w="5768" w:type="dxa"/>
            <w:noWrap w:val="0"/>
            <w:vAlign w:val="center"/>
          </w:tcPr>
          <w:p>
            <w:pPr>
              <w:spacing w:line="320" w:lineRule="exact"/>
              <w:jc w:val="center"/>
              <w:rPr>
                <w:rFonts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lang w:val="en-US" w:eastAsia="zh-CN"/>
              </w:rPr>
              <w:t>具有</w:t>
            </w:r>
            <w:r>
              <w:rPr>
                <w:rFonts w:hint="eastAsia" w:ascii="仿宋_GB2312" w:hAnsi="宋体" w:eastAsia="仿宋_GB2312"/>
                <w:color w:val="auto"/>
                <w:sz w:val="21"/>
                <w:szCs w:val="21"/>
                <w:highlight w:val="none"/>
              </w:rPr>
              <w:t>自动</w:t>
            </w:r>
            <w:r>
              <w:rPr>
                <w:rFonts w:hint="eastAsia" w:ascii="仿宋_GB2312" w:hAnsi="宋体" w:eastAsia="仿宋_GB2312"/>
                <w:color w:val="auto"/>
                <w:sz w:val="21"/>
                <w:szCs w:val="21"/>
                <w:highlight w:val="none"/>
                <w:lang w:val="en-US" w:eastAsia="zh-CN"/>
              </w:rPr>
              <w:t>校准功能，可自动</w:t>
            </w:r>
            <w:r>
              <w:rPr>
                <w:rFonts w:hint="eastAsia" w:ascii="仿宋_GB2312" w:hAnsi="宋体" w:eastAsia="仿宋_GB2312"/>
                <w:color w:val="auto"/>
                <w:sz w:val="21"/>
                <w:szCs w:val="21"/>
                <w:highlight w:val="none"/>
              </w:rPr>
              <w:t>调节零点和校准量程值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71" w:type="dxa"/>
            <w:gridSpan w:val="2"/>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测量周期</w:t>
            </w:r>
          </w:p>
        </w:tc>
        <w:tc>
          <w:tcPr>
            <w:tcW w:w="5768" w:type="dxa"/>
            <w:noWrap w:val="0"/>
            <w:vAlign w:val="center"/>
          </w:tcPr>
          <w:p>
            <w:pPr>
              <w:spacing w:line="360" w:lineRule="exact"/>
              <w:jc w:val="center"/>
              <w:rPr>
                <w:rFonts w:ascii="仿宋_GB2312" w:hAnsi="宋体" w:eastAsia="仿宋_GB2312"/>
                <w:color w:val="auto"/>
                <w:sz w:val="21"/>
                <w:szCs w:val="21"/>
                <w:highlight w:val="none"/>
              </w:rPr>
            </w:pPr>
            <w:r>
              <w:rPr>
                <w:rFonts w:ascii="仿宋_GB2312" w:hAnsi="宋体" w:eastAsia="仿宋_GB2312"/>
                <w:color w:val="auto"/>
                <w:sz w:val="21"/>
                <w:szCs w:val="21"/>
                <w:highlight w:val="none"/>
              </w:rPr>
              <w:t>&lt;60min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471" w:type="dxa"/>
            <w:gridSpan w:val="2"/>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最小维护周期</w:t>
            </w:r>
          </w:p>
        </w:tc>
        <w:tc>
          <w:tcPr>
            <w:tcW w:w="5768" w:type="dxa"/>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≥168h/次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1" w:type="dxa"/>
            <w:gridSpan w:val="2"/>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有效数据率</w:t>
            </w:r>
          </w:p>
        </w:tc>
        <w:tc>
          <w:tcPr>
            <w:tcW w:w="5768" w:type="dxa"/>
            <w:noWrap w:val="0"/>
            <w:vAlign w:val="center"/>
          </w:tcPr>
          <w:p>
            <w:pPr>
              <w:spacing w:line="36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471" w:type="dxa"/>
            <w:gridSpan w:val="2"/>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意外断电再度通电</w:t>
            </w:r>
          </w:p>
        </w:tc>
        <w:tc>
          <w:tcPr>
            <w:tcW w:w="5768" w:type="dxa"/>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能自动排出断电前正在测定的水样和试剂、自动清洗各通道、自动复位到重新开始测试状态的功能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471" w:type="dxa"/>
            <w:gridSpan w:val="2"/>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三级操作管理权限</w:t>
            </w:r>
          </w:p>
        </w:tc>
        <w:tc>
          <w:tcPr>
            <w:tcW w:w="5768" w:type="dxa"/>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一级为查询权限，只可进行参数、数据等信息的查询；二级为管理权限，可以对仪器进行校准、清洗、参数设置等维护、维修操作；三级为开发者权限，可以对仪器进行内核修改。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471" w:type="dxa"/>
            <w:gridSpan w:val="2"/>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废液收集</w:t>
            </w:r>
          </w:p>
        </w:tc>
        <w:tc>
          <w:tcPr>
            <w:tcW w:w="5768" w:type="dxa"/>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具有将分析废液和清洗废水收集、存放的功能。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471" w:type="dxa"/>
            <w:gridSpan w:val="2"/>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比对要求</w:t>
            </w:r>
          </w:p>
        </w:tc>
        <w:tc>
          <w:tcPr>
            <w:tcW w:w="5768" w:type="dxa"/>
            <w:noWrap w:val="0"/>
            <w:vAlign w:val="center"/>
          </w:tcPr>
          <w:p>
            <w:pPr>
              <w:spacing w:line="360" w:lineRule="exact"/>
              <w:jc w:val="center"/>
              <w:rPr>
                <w:rFonts w:hint="eastAsia"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质控样试验和实际水样比对符合国家环保行业标准及技术规范的相关要求，详见水污染源在线监测仪器运行技术指标表</w:t>
            </w:r>
          </w:p>
        </w:tc>
      </w:tr>
    </w:tbl>
    <w:p>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p>
    <w:p>
      <w:pPr>
        <w:adjustRightInd w:val="0"/>
        <w:snapToGrid w:val="0"/>
        <w:spacing w:line="384" w:lineRule="auto"/>
        <w:ind w:firstLine="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水污染源在线监测仪器运行技术指标表</w:t>
      </w:r>
    </w:p>
    <w:tbl>
      <w:tblPr>
        <w:tblStyle w:val="2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046"/>
        <w:gridCol w:w="3118"/>
        <w:gridCol w:w="1239"/>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648"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仪器类型</w:t>
            </w:r>
          </w:p>
        </w:tc>
        <w:tc>
          <w:tcPr>
            <w:tcW w:w="4164" w:type="dxa"/>
            <w:gridSpan w:val="2"/>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技术指标要求</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试验指标</w:t>
            </w:r>
          </w:p>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限值</w:t>
            </w:r>
          </w:p>
        </w:tc>
        <w:tc>
          <w:tcPr>
            <w:tcW w:w="2145"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样品数量要求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48" w:type="dxa"/>
            <w:vMerge w:val="restart"/>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TP水质自动分析仪</w:t>
            </w:r>
          </w:p>
        </w:tc>
        <w:tc>
          <w:tcPr>
            <w:tcW w:w="1046" w:type="dxa"/>
            <w:vMerge w:val="restart"/>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准确度</w:t>
            </w:r>
          </w:p>
        </w:tc>
        <w:tc>
          <w:tcPr>
            <w:tcW w:w="3118" w:type="dxa"/>
            <w:noWrap w:val="0"/>
            <w:vAlign w:val="top"/>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有证标准溶液浓度＜0.4mg/L</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±0.04mg/L</w:t>
            </w:r>
          </w:p>
        </w:tc>
        <w:tc>
          <w:tcPr>
            <w:tcW w:w="2145" w:type="dxa"/>
            <w:vMerge w:val="restart"/>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48"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c>
          <w:tcPr>
            <w:tcW w:w="1046"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c>
          <w:tcPr>
            <w:tcW w:w="3118" w:type="dxa"/>
            <w:noWrap w:val="0"/>
            <w:vAlign w:val="top"/>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有证标准溶液浓度≥0.4mg/L</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2145"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48"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c>
          <w:tcPr>
            <w:tcW w:w="1046" w:type="dxa"/>
            <w:vMerge w:val="restart"/>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实际水样</w:t>
            </w:r>
          </w:p>
        </w:tc>
        <w:tc>
          <w:tcPr>
            <w:tcW w:w="3118" w:type="dxa"/>
            <w:noWrap w:val="0"/>
            <w:vAlign w:val="top"/>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实际水样总磷&lt;0.4 mg/L</w:t>
            </w:r>
            <w:r>
              <w:rPr>
                <w:rFonts w:hint="eastAsia" w:ascii="仿宋_GB2312" w:hAnsi="仿宋_GB2312" w:eastAsia="仿宋_GB2312" w:cs="仿宋_GB2312"/>
                <w:color w:val="auto"/>
                <w:sz w:val="21"/>
                <w:szCs w:val="21"/>
                <w:highlight w:val="none"/>
              </w:rPr>
              <w:br w:type="textWrapping"/>
            </w:r>
            <w:r>
              <w:rPr>
                <w:rFonts w:hint="eastAsia" w:ascii="仿宋_GB2312" w:hAnsi="仿宋_GB2312" w:eastAsia="仿宋_GB2312" w:cs="仿宋_GB2312"/>
                <w:color w:val="auto"/>
                <w:sz w:val="21"/>
                <w:szCs w:val="21"/>
                <w:highlight w:val="none"/>
              </w:rPr>
              <w:t xml:space="preserve">（用浓度为0.2 mg/L的标准样品替代实际水样进行测试） </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±0.04mg/L</w:t>
            </w:r>
          </w:p>
        </w:tc>
        <w:tc>
          <w:tcPr>
            <w:tcW w:w="2145"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648"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c>
          <w:tcPr>
            <w:tcW w:w="1046"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c>
          <w:tcPr>
            <w:tcW w:w="3118"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实际水样总磷≥0.4 mg/L </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±15% </w:t>
            </w:r>
          </w:p>
        </w:tc>
        <w:tc>
          <w:tcPr>
            <w:tcW w:w="2145" w:type="dxa"/>
            <w:vMerge w:val="continue"/>
            <w:noWrap w:val="0"/>
            <w:vAlign w:val="center"/>
          </w:tcPr>
          <w:p>
            <w:pPr>
              <w:pStyle w:val="2"/>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8"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TN水质自动分析仪</w:t>
            </w:r>
          </w:p>
        </w:tc>
        <w:tc>
          <w:tcPr>
            <w:tcW w:w="1046"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准确度</w:t>
            </w:r>
          </w:p>
        </w:tc>
        <w:tc>
          <w:tcPr>
            <w:tcW w:w="3118" w:type="dxa"/>
            <w:noWrap w:val="0"/>
            <w:vAlign w:val="top"/>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有证标准溶液浓度＜2mg/L</w:t>
            </w:r>
          </w:p>
        </w:tc>
        <w:tc>
          <w:tcPr>
            <w:tcW w:w="1239"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±0.3mg/L</w:t>
            </w:r>
          </w:p>
        </w:tc>
        <w:tc>
          <w:tcPr>
            <w:tcW w:w="2145" w:type="dxa"/>
            <w:noWrap w:val="0"/>
            <w:vAlign w:val="center"/>
          </w:tcPr>
          <w:p>
            <w:pPr>
              <w:pStyle w:val="2"/>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同化学需氧量比对试验数量要求</w:t>
            </w:r>
          </w:p>
        </w:tc>
      </w:tr>
    </w:tbl>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中如有出现的品牌规格等，仅为方便描述参考，不具有任何指定性及唯一性，报价人原则上应提供须完全符合技术参数的产品。报价人必须在报价明细表中列明所投设备的品牌、型号，如报价响应时无列明设备品牌，则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后履行合同时须按照询价人指定的品牌、型号、技术参数及报价人的中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价进行供货，不予增加任何费用。</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3.安装和调试要求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）报价人应将关键主机设备的用户手册、保修手册、有关单证资料及配备件、随机工具等交付给询价人，使用操作及安全须知等重要资料应附有中文说明。</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pPr>
        <w:pStyle w:val="13"/>
        <w:adjustRightInd w:val="0"/>
        <w:snapToGrid w:val="0"/>
        <w:spacing w:line="300" w:lineRule="auto"/>
        <w:rPr>
          <w:rFonts w:hint="eastAsia" w:ascii="仿宋_GB2312" w:hAnsi="仿宋_GB2312" w:eastAsia="仿宋_GB2312" w:cs="仿宋_GB2312"/>
          <w:b/>
          <w:color w:val="000000"/>
          <w:sz w:val="28"/>
          <w:szCs w:val="28"/>
          <w:lang w:val="zh-CN"/>
        </w:rPr>
      </w:pPr>
    </w:p>
    <w:p>
      <w:pPr>
        <w:pStyle w:val="13"/>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（1）报价人所供设备应为制造商原装出厂包装箱号与设备出厂批号一致，包装须符合同等相关标准，因包装不良造成的损失由报价人负责。各种设备必须提供装箱清单，按装箱清单验收设备。</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设备现场的搬运及有关运输装卸费用等。设备在系统安装调试验收合格前的保险由报价人负责，报价人负责其派出的现场服务人员人身意外保险。</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天内到货；</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w:t>
      </w:r>
      <w:r>
        <w:rPr>
          <w:rFonts w:hint="eastAsia" w:ascii="仿宋_GB2312" w:hAnsi="仿宋_GB2312" w:eastAsia="仿宋_GB2312" w:cs="仿宋_GB2312"/>
          <w:color w:val="auto"/>
          <w:sz w:val="28"/>
          <w:szCs w:val="28"/>
          <w:lang w:val="en-US" w:eastAsia="zh-CN"/>
        </w:rPr>
        <w:t>从化</w:t>
      </w:r>
      <w:r>
        <w:rPr>
          <w:rFonts w:hint="eastAsia" w:ascii="仿宋_GB2312" w:hAnsi="仿宋_GB2312" w:eastAsia="仿宋_GB2312" w:cs="仿宋_GB2312"/>
          <w:color w:val="auto"/>
          <w:sz w:val="28"/>
          <w:szCs w:val="28"/>
        </w:rPr>
        <w:t>净水有限公司</w:t>
      </w:r>
      <w:r>
        <w:rPr>
          <w:rFonts w:hint="eastAsia" w:ascii="仿宋_GB2312" w:hAnsi="仿宋_GB2312" w:eastAsia="仿宋_GB2312" w:cs="仿宋_GB2312"/>
          <w:color w:val="auto"/>
          <w:sz w:val="28"/>
          <w:szCs w:val="28"/>
          <w:lang w:val="en-US" w:eastAsia="zh-CN"/>
        </w:rPr>
        <w:t>中心厂、良口厂</w:t>
      </w:r>
      <w:r>
        <w:rPr>
          <w:rFonts w:hint="eastAsia" w:ascii="仿宋_GB2312" w:hAnsi="仿宋_GB2312" w:eastAsia="仿宋_GB2312" w:cs="仿宋_GB2312"/>
          <w:color w:val="auto"/>
          <w:sz w:val="28"/>
          <w:szCs w:val="28"/>
        </w:rPr>
        <w:t>。</w:t>
      </w:r>
    </w:p>
    <w:p>
      <w:pPr>
        <w:autoSpaceDE/>
        <w:autoSpaceDN/>
        <w:spacing w:line="360" w:lineRule="auto"/>
        <w:ind w:left="0"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安装、调试和验收程序及期限</w:t>
      </w:r>
      <w:r>
        <w:rPr>
          <w:rFonts w:hint="eastAsia" w:ascii="仿宋_GB2312" w:hAnsi="仿宋_GB2312" w:eastAsia="仿宋_GB2312" w:cs="仿宋_GB2312"/>
          <w:color w:val="auto"/>
          <w:sz w:val="28"/>
          <w:szCs w:val="28"/>
          <w:lang w:eastAsia="zh-CN"/>
        </w:rPr>
        <w:t>：</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1 货物到达后</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天内，乙方</w:t>
      </w:r>
      <w:r>
        <w:rPr>
          <w:rFonts w:hint="eastAsia" w:ascii="仿宋_GB2312" w:hAnsi="仿宋_GB2312" w:eastAsia="仿宋_GB2312" w:cs="仿宋_GB2312"/>
          <w:color w:val="auto"/>
          <w:sz w:val="28"/>
          <w:szCs w:val="28"/>
          <w:lang w:val="en-US" w:eastAsia="zh-CN"/>
        </w:rPr>
        <w:t>须派人员到现场</w:t>
      </w:r>
      <w:r>
        <w:rPr>
          <w:rFonts w:hint="eastAsia" w:ascii="仿宋_GB2312" w:hAnsi="仿宋_GB2312" w:eastAsia="仿宋_GB2312" w:cs="仿宋_GB2312"/>
          <w:color w:val="auto"/>
          <w:sz w:val="28"/>
          <w:szCs w:val="28"/>
        </w:rPr>
        <w:t>完成设备调试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设备调试期间，所需试剂由乙方另外提供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完</w:t>
      </w:r>
      <w:r>
        <w:rPr>
          <w:rFonts w:hint="eastAsia" w:ascii="仿宋_GB2312" w:hAnsi="仿宋_GB2312" w:eastAsia="仿宋_GB2312" w:cs="仿宋_GB2312"/>
          <w:color w:val="auto"/>
          <w:sz w:val="28"/>
          <w:szCs w:val="28"/>
          <w:lang w:val="en-US" w:eastAsia="zh-CN"/>
        </w:rPr>
        <w:t>成设备调试15天内，乙方须委托第三方计量单位，对设备进行检定/校准工作，费用由乙方支付。</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（1）确保设备为原装未拆封或未使用的产品；</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（2）设备在质保期为自供货验收合格之日起1年内如有质量问题或未能适配原有设备时，报价人必须48小时内派技术人员到现场进行维修，确保设备运行正常。</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（3）质保期内，如设备或零部件因非人为因素出现故障而造成短期停用时，则质保期和免费维修期相应顺延。如停用时间累计超过60天则质保期重新计算。</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3.询价人将自承包商履行完合同义务之日起15个工作日内组织验收，审定报价人供货的设备合格情况，进行结算审核。</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4.付款方式：</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（1）采用支票、银行汇票、电汇三种形式。</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（2）报价人在收款前需提交相应金额增值税专用发票给询价单位。</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5.承包方式：</w:t>
      </w:r>
    </w:p>
    <w:p>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A3"/>
      </w:r>
      <w:r>
        <w:rPr>
          <w:rFonts w:hint="eastAsia" w:ascii="仿宋_GB2312" w:hAnsi="仿宋_GB2312" w:eastAsia="仿宋_GB2312" w:cs="仿宋_GB2312"/>
          <w:color w:val="auto"/>
          <w:sz w:val="28"/>
          <w:szCs w:val="28"/>
          <w:lang w:val="zh-CN"/>
        </w:rPr>
        <w:t>固定总价：询价响应文件包含总价及综合单价时，总价为合同总价。合同总价在询价文件及施工合同约定的风险范围之内不可调整。</w:t>
      </w:r>
    </w:p>
    <w:p>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52"/>
      </w:r>
      <w:r>
        <w:rPr>
          <w:rFonts w:hint="eastAsia" w:ascii="仿宋_GB2312" w:hAnsi="仿宋_GB2312" w:eastAsia="仿宋_GB2312" w:cs="仿宋_GB2312"/>
          <w:color w:val="auto"/>
          <w:sz w:val="28"/>
          <w:szCs w:val="28"/>
          <w:lang w:val="zh-CN"/>
        </w:rPr>
        <w:t>固定单价：询价响应文件包含总价及综合单价时，综合单价为合同单价。合同单价在询价文件及施工合同约定的风险范围之内不可调整。</w:t>
      </w: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rFonts w:hint="eastAsia"/>
          <w:color w:val="auto"/>
          <w:highlight w:val="none"/>
        </w:rPr>
      </w:pPr>
      <w:bookmarkStart w:id="63" w:name="_Toc12135"/>
      <w:bookmarkStart w:id="64" w:name="_Toc25925"/>
      <w:bookmarkStart w:id="65" w:name="_Toc1284"/>
      <w:bookmarkStart w:id="66" w:name="_Toc23353"/>
      <w:bookmarkStart w:id="67" w:name="_Toc1496"/>
      <w:bookmarkStart w:id="68" w:name="_Toc23330"/>
      <w:bookmarkStart w:id="69" w:name="_Toc18538"/>
      <w:bookmarkStart w:id="70" w:name="_Toc15570"/>
      <w:bookmarkStart w:id="71" w:name="_Toc4680"/>
      <w:bookmarkStart w:id="72" w:name="_Toc29835"/>
      <w:bookmarkStart w:id="73" w:name="_Toc537"/>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pStyle w:val="4"/>
        <w:rPr>
          <w:rFonts w:hint="eastAsia"/>
          <w:color w:val="auto"/>
          <w:highlight w:val="none"/>
        </w:rPr>
      </w:pPr>
    </w:p>
    <w:p>
      <w:pPr>
        <w:pStyle w:val="4"/>
        <w:rPr>
          <w:color w:val="auto"/>
          <w:highlight w:val="none"/>
        </w:rPr>
      </w:pPr>
      <w:r>
        <w:rPr>
          <w:color w:val="auto"/>
          <w:highlight w:val="none"/>
        </w:rPr>
        <w:pict>
          <v:shape id="_x0000_s2057" o:spid="_x0000_s2057" o:spt="32" type="#_x0000_t32" style="position:absolute;left:0pt;margin-left:175.35pt;margin-top:38.65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73.95pt;margin-top:6.75pt;height:0.55pt;width:75pt;z-index:251666432;mso-width-relative:page;mso-height-relative:page;" filled="f" stroked="t" coordsize="21600,21600">
            <v:path arrowok="t"/>
            <v:fill on="f" focussize="0,0"/>
            <v:stroke color="#000000"/>
            <v:imagedata o:title=""/>
            <o:lock v:ext="edit" aspectratio="f"/>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9686"/>
      <w:bookmarkStart w:id="75" w:name="_Toc22797"/>
      <w:bookmarkStart w:id="76" w:name="_Toc88209949"/>
      <w:bookmarkStart w:id="77" w:name="_Toc1375"/>
      <w:bookmarkStart w:id="78" w:name="_Toc8183"/>
      <w:bookmarkStart w:id="79" w:name="_Toc87616386"/>
      <w:bookmarkStart w:id="80" w:name="_Toc12980"/>
      <w:bookmarkStart w:id="81" w:name="_Toc323"/>
      <w:bookmarkStart w:id="82" w:name="_Toc13309"/>
      <w:bookmarkStart w:id="83" w:name="_Toc12968"/>
      <w:bookmarkStart w:id="84" w:name="_Toc22501"/>
      <w:bookmarkStart w:id="85" w:name="_Toc12721"/>
      <w:bookmarkStart w:id="86" w:name="_Toc19088"/>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rPr>
          <w:rFonts w:hint="eastAsia" w:ascii="方正小标宋简体" w:eastAsia="方正小标宋简体"/>
          <w:color w:val="auto"/>
          <w:sz w:val="28"/>
          <w:szCs w:val="28"/>
          <w:highlight w:val="none"/>
        </w:rPr>
      </w:pPr>
    </w:p>
    <w:p>
      <w:pPr>
        <w:pStyle w:val="2"/>
        <w:rPr>
          <w:rFonts w:hint="eastAsia"/>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default" w:eastAsiaTheme="minorEastAsia"/>
          <w:color w:val="auto"/>
          <w:sz w:val="30"/>
          <w:lang w:val="en-US" w:eastAsia="zh-CN"/>
        </w:rPr>
      </w:pPr>
      <w:r>
        <w:rPr>
          <w:rFonts w:hint="eastAsia"/>
          <w:color w:val="auto"/>
          <w:sz w:val="30"/>
        </w:rPr>
        <w:t>项目名称：</w:t>
      </w:r>
      <w:r>
        <w:rPr>
          <w:rFonts w:hint="eastAsia"/>
          <w:color w:val="auto"/>
          <w:sz w:val="30"/>
          <w:lang w:val="en-US" w:eastAsia="zh-CN"/>
        </w:rPr>
        <w:t>从化公司2023年中心厂、良口厂出水总磷、总氮在线分析仪采购项目</w:t>
      </w:r>
    </w:p>
    <w:p>
      <w:pPr>
        <w:rPr>
          <w:color w:val="auto"/>
          <w:sz w:val="30"/>
        </w:rPr>
      </w:pPr>
    </w:p>
    <w:p>
      <w:pPr>
        <w:rPr>
          <w:color w:val="auto"/>
          <w:sz w:val="30"/>
        </w:rPr>
      </w:pPr>
    </w:p>
    <w:p>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pPr>
        <w:jc w:val="center"/>
        <w:rPr>
          <w:color w:val="auto"/>
          <w:sz w:val="30"/>
          <w:szCs w:val="30"/>
        </w:rPr>
      </w:pPr>
    </w:p>
    <w:p>
      <w:pPr>
        <w:rPr>
          <w:color w:val="auto"/>
          <w:sz w:val="30"/>
          <w:szCs w:val="30"/>
        </w:rPr>
      </w:pPr>
    </w:p>
    <w:p>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pPr>
        <w:rPr>
          <w:color w:val="auto"/>
          <w:sz w:val="30"/>
        </w:rPr>
      </w:pPr>
      <w:r>
        <w:rPr>
          <w:rFonts w:hint="eastAsia"/>
          <w:color w:val="auto"/>
          <w:sz w:val="30"/>
        </w:rPr>
        <w:t>乙方（卖方）：</w:t>
      </w:r>
    </w:p>
    <w:p>
      <w:pPr>
        <w:rPr>
          <w:color w:val="auto"/>
          <w:sz w:val="30"/>
        </w:rPr>
      </w:pPr>
    </w:p>
    <w:p>
      <w:pPr>
        <w:rPr>
          <w:color w:val="auto"/>
          <w:sz w:val="30"/>
        </w:rPr>
      </w:pPr>
      <w:r>
        <w:rPr>
          <w:rFonts w:hint="eastAsia"/>
          <w:color w:val="auto"/>
          <w:sz w:val="30"/>
        </w:rPr>
        <w:t>签订日期：</w:t>
      </w:r>
      <w:r>
        <w:rPr>
          <w:rFonts w:hint="eastAsia"/>
          <w:color w:val="auto"/>
          <w:sz w:val="30"/>
          <w:lang w:val="en-US" w:eastAsia="zh-CN"/>
        </w:rPr>
        <w:t xml:space="preserve">  </w:t>
      </w:r>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pPr>
        <w:rPr>
          <w:color w:val="auto"/>
          <w:sz w:val="30"/>
        </w:rPr>
      </w:pPr>
      <w:r>
        <w:rPr>
          <w:rFonts w:hint="eastAsia"/>
          <w:color w:val="auto"/>
          <w:sz w:val="30"/>
        </w:rPr>
        <w:t>签约地点：广州市</w:t>
      </w:r>
    </w:p>
    <w:p>
      <w:pPr>
        <w:pStyle w:val="46"/>
        <w:spacing w:line="500" w:lineRule="exact"/>
        <w:jc w:val="center"/>
        <w:rPr>
          <w:rFonts w:ascii="宋体" w:hAnsi="宋体" w:eastAsia="宋体" w:cs="宋体"/>
          <w:b/>
          <w:bCs/>
          <w:sz w:val="36"/>
          <w:szCs w:val="36"/>
          <w:lang w:val="zh-CN" w:eastAsia="zh-CN"/>
        </w:rPr>
      </w:pPr>
    </w:p>
    <w:p>
      <w:pPr>
        <w:pStyle w:val="46"/>
        <w:spacing w:line="500" w:lineRule="exact"/>
        <w:jc w:val="center"/>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2"/>
        <w:rPr>
          <w:rFonts w:hint="eastAsia" w:ascii="宋体" w:hAnsi="宋体" w:eastAsia="宋体" w:cs="宋体"/>
          <w:b/>
          <w:bCs/>
          <w:sz w:val="21"/>
          <w:szCs w:val="21"/>
          <w:lang w:val="zh-CN" w:eastAsia="zh-CN"/>
        </w:rPr>
      </w:pPr>
    </w:p>
    <w:p>
      <w:pPr>
        <w:pStyle w:val="3"/>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2"/>
        <w:rPr>
          <w:rFonts w:hint="eastAsia" w:ascii="宋体" w:hAnsi="宋体" w:eastAsia="宋体" w:cs="宋体"/>
          <w:b/>
          <w:bCs/>
          <w:sz w:val="21"/>
          <w:szCs w:val="21"/>
          <w:lang w:val="zh-CN" w:eastAsia="zh-CN"/>
        </w:rPr>
      </w:pPr>
    </w:p>
    <w:p>
      <w:pPr>
        <w:pStyle w:val="3"/>
        <w:rPr>
          <w:rFonts w:hint="eastAsia" w:ascii="宋体" w:hAnsi="宋体" w:eastAsia="宋体" w:cs="宋体"/>
          <w:b/>
          <w:bCs/>
          <w:sz w:val="21"/>
          <w:szCs w:val="21"/>
          <w:lang w:val="zh-CN" w:eastAsia="zh-CN"/>
        </w:rPr>
      </w:pPr>
    </w:p>
    <w:p>
      <w:pPr>
        <w:rPr>
          <w:rFonts w:hint="eastAsia" w:ascii="宋体" w:hAnsi="宋体" w:eastAsia="宋体" w:cs="宋体"/>
          <w:b/>
          <w:bCs/>
          <w:sz w:val="21"/>
          <w:szCs w:val="21"/>
          <w:lang w:val="zh-CN" w:eastAsia="zh-CN"/>
        </w:rPr>
      </w:pPr>
    </w:p>
    <w:p>
      <w:pPr>
        <w:pStyle w:val="2"/>
        <w:rPr>
          <w:rFonts w:hint="eastAsia"/>
          <w:lang w:val="zh-CN" w:eastAsia="zh-CN"/>
        </w:rPr>
      </w:pPr>
    </w:p>
    <w:p>
      <w:pPr>
        <w:pStyle w:val="46"/>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pPr>
        <w:rPr>
          <w:rFonts w:ascii="宋体" w:hAnsi="宋体"/>
          <w:color w:val="auto"/>
        </w:rPr>
      </w:pPr>
    </w:p>
    <w:p>
      <w:pPr>
        <w:rPr>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（以下简称“甲方”）与（以下简称“乙方”）就采购和相应技术服务事宜，遵循平等、自愿、公平和诚实信用的原则，双方协商一致，订立本合同。</w:t>
      </w:r>
      <w:bookmarkStart w:id="87" w:name="_Toc520190026"/>
      <w:bookmarkStart w:id="88" w:name="_Toc518992986"/>
      <w:bookmarkStart w:id="89" w:name="_Toc183666513"/>
      <w:bookmarkStart w:id="90" w:name="_Toc474245210"/>
      <w:bookmarkStart w:id="91" w:name="_Toc1018"/>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⑵本合同书；</w:t>
      </w:r>
    </w:p>
    <w:p>
      <w:pPr>
        <w:spacing w:line="384" w:lineRule="auto"/>
        <w:ind w:firstLine="482"/>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⑺图纸；</w:t>
      </w:r>
    </w:p>
    <w:p>
      <w:pPr>
        <w:spacing w:line="384" w:lineRule="auto"/>
        <w:ind w:firstLine="482"/>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⑼本合同其他附件；</w:t>
      </w:r>
    </w:p>
    <w:p>
      <w:pPr>
        <w:spacing w:line="360" w:lineRule="auto"/>
        <w:rPr>
          <w:rFonts w:ascii="宋体" w:hAnsi="宋体" w:cs="宋体"/>
          <w:bCs/>
          <w:color w:val="auto"/>
          <w:sz w:val="24"/>
          <w:szCs w:val="24"/>
        </w:rPr>
      </w:pPr>
      <w:r>
        <w:rPr>
          <w:rFonts w:hint="eastAsia" w:ascii="宋体" w:hAnsi="宋体" w:cs="宋体"/>
          <w:b/>
          <w:bCs/>
          <w:color w:val="auto"/>
          <w:sz w:val="24"/>
          <w:szCs w:val="24"/>
        </w:rPr>
        <w:t>第二条</w:t>
      </w:r>
      <w:bookmarkEnd w:id="87"/>
      <w:bookmarkEnd w:id="88"/>
      <w:bookmarkEnd w:id="89"/>
      <w:bookmarkEnd w:id="90"/>
      <w:bookmarkEnd w:id="91"/>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Lines="50" w:line="360" w:lineRule="auto"/>
        <w:ind w:firstLine="480" w:firstLineChars="200"/>
        <w:rPr>
          <w:rFonts w:ascii="宋体" w:hAnsi="宋体" w:cs="宋体"/>
          <w:color w:val="auto"/>
          <w:kern w:val="0"/>
          <w:sz w:val="24"/>
          <w:szCs w:val="24"/>
        </w:rPr>
      </w:pPr>
      <w:bookmarkStart w:id="92" w:name="_Toc17140"/>
      <w:bookmarkStart w:id="93" w:name="_Toc518992987"/>
      <w:bookmarkStart w:id="94" w:name="_Toc474245211"/>
      <w:bookmarkStart w:id="95" w:name="_Toc520190027"/>
    </w:p>
    <w:p>
      <w:pPr>
        <w:spacing w:afterLines="50" w:line="360" w:lineRule="auto"/>
        <w:ind w:firstLine="480" w:firstLineChars="200"/>
        <w:rPr>
          <w:lang w:val="zh-CN"/>
        </w:rPr>
      </w:pPr>
      <w:r>
        <w:rPr>
          <w:rFonts w:hint="eastAsia" w:ascii="宋体" w:hAnsi="宋体" w:cs="宋体"/>
          <w:color w:val="auto"/>
          <w:kern w:val="0"/>
          <w:sz w:val="24"/>
          <w:szCs w:val="24"/>
          <w:lang w:val="zh-CN"/>
        </w:rPr>
        <w:t>其他技术需求见附件（如需）。</w:t>
      </w:r>
      <w:bookmarkEnd w:id="92"/>
      <w:bookmarkStart w:id="96" w:name="_Toc107447235"/>
      <w:bookmarkStart w:id="97" w:name="_Toc26357"/>
      <w:bookmarkStart w:id="98" w:name="_Toc183666514"/>
      <w:bookmarkStart w:id="99" w:name="_Toc107446842"/>
    </w:p>
    <w:p>
      <w:pPr>
        <w:spacing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第三条交货日期及地点</w:t>
      </w:r>
    </w:p>
    <w:p>
      <w:pPr>
        <w:spacing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00" w:name="_Toc520190029"/>
      <w:bookmarkStart w:id="101" w:name="_Toc518992989"/>
      <w:bookmarkStart w:id="102" w:name="_Toc474245213"/>
      <w:bookmarkStart w:id="103" w:name="_Toc107446843"/>
      <w:bookmarkStart w:id="104" w:name="_Toc107447236"/>
      <w:r>
        <w:rPr>
          <w:rFonts w:hint="eastAsia" w:ascii="宋体" w:hAnsi="宋体" w:cs="宋体"/>
          <w:b/>
          <w:color w:val="auto"/>
          <w:sz w:val="24"/>
          <w:szCs w:val="24"/>
        </w:rPr>
        <w:t>第五条支付方式</w:t>
      </w:r>
      <w:bookmarkEnd w:id="100"/>
      <w:bookmarkEnd w:id="101"/>
      <w:bookmarkEnd w:id="102"/>
    </w:p>
    <w:bookmarkEnd w:id="103"/>
    <w:bookmarkEnd w:id="104"/>
    <w:p>
      <w:pPr>
        <w:tabs>
          <w:tab w:val="left" w:pos="851"/>
        </w:tabs>
        <w:adjustRightInd w:val="0"/>
        <w:snapToGrid w:val="0"/>
        <w:spacing w:after="0" w:line="360" w:lineRule="auto"/>
        <w:ind w:firstLine="480" w:firstLineChars="200"/>
        <w:rPr>
          <w:rFonts w:hint="eastAsia" w:ascii="宋体" w:hAnsi="宋体" w:cs="宋体"/>
          <w:color w:val="auto"/>
          <w:sz w:val="24"/>
          <w:szCs w:val="24"/>
        </w:rPr>
      </w:pPr>
      <w:bookmarkStart w:id="105" w:name="_Toc14703"/>
      <w:bookmarkStart w:id="106"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t>□</w:t>
      </w:r>
      <w:r>
        <w:rPr>
          <w:rFonts w:hint="eastAsia" w:ascii="宋体" w:hAnsi="宋体" w:cs="宋体"/>
          <w:bCs/>
          <w:color w:val="auto"/>
          <w:sz w:val="24"/>
          <w:szCs w:val="24"/>
        </w:rPr>
        <w:t>无；</w:t>
      </w:r>
      <w:r>
        <w:rPr>
          <w:rFonts w:hint="eastAsia" w:ascii="宋体" w:hAnsi="宋体" w:cs="宋体"/>
          <w:bCs/>
          <w:color w:val="auto"/>
          <w:sz w:val="24"/>
          <w:szCs w:val="24"/>
        </w:rPr>
        <w:sym w:font="Wingdings 2" w:char="00A3"/>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w:t>
      </w:r>
      <w:r>
        <w:rPr>
          <w:rFonts w:hint="eastAsia" w:ascii="宋体" w:hAnsi="宋体" w:cs="宋体"/>
          <w:color w:val="auto"/>
          <w:sz w:val="24"/>
          <w:szCs w:val="24"/>
          <w:lang w:val="en-US" w:eastAsia="zh-CN"/>
        </w:rPr>
        <w:t>合格</w:t>
      </w:r>
      <w:r>
        <w:rPr>
          <w:rFonts w:hint="eastAsia" w:ascii="宋体" w:hAnsi="宋体" w:cs="宋体"/>
          <w:color w:val="auto"/>
          <w:sz w:val="24"/>
          <w:szCs w:val="24"/>
        </w:rPr>
        <w:t>完毕，乙方提交请款资料及等额增值税专用发票，甲方支付至合同结算价的</w:t>
      </w:r>
      <w:r>
        <w:rPr>
          <w:rFonts w:ascii="宋体" w:hAnsi="宋体" w:cs="宋体"/>
          <w:color w:val="auto"/>
          <w:sz w:val="24"/>
          <w:szCs w:val="24"/>
        </w:rPr>
        <w:t>95%</w:t>
      </w:r>
      <w:r>
        <w:rPr>
          <w:rFonts w:hint="eastAsia" w:ascii="宋体" w:hAnsi="宋体" w:cs="宋体"/>
          <w:color w:val="auto"/>
          <w:sz w:val="24"/>
          <w:szCs w:val="24"/>
        </w:rPr>
        <w:t>（含预付款），合同结算价的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3"/>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广州从化净水有限公司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hint="eastAsia" w:ascii="宋体" w:hAnsi="宋体" w:cs="宋体"/>
          <w:szCs w:val="21"/>
        </w:rPr>
        <w:t>91440101304391717G</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地址：广州市从化温泉镇冲口路7号；</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A8"/>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pPr>
        <w:pStyle w:val="13"/>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hint="eastAsia" w:ascii="宋体" w:hAnsi="宋体" w:cs="宋体"/>
          <w:color w:val="auto"/>
          <w:szCs w:val="21"/>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pPr>
        <w:pStyle w:val="20"/>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0"/>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0"/>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pPr>
        <w:tabs>
          <w:tab w:val="left" w:pos="1995"/>
        </w:tabs>
        <w:spacing w:line="360" w:lineRule="auto"/>
        <w:ind w:firstLine="480" w:firstLineChars="200"/>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5"/>
    <w:bookmarkEnd w:id="106"/>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3"/>
    <w:bookmarkEnd w:id="94"/>
    <w:bookmarkEnd w:id="95"/>
    <w:bookmarkEnd w:id="96"/>
    <w:bookmarkEnd w:id="97"/>
    <w:bookmarkEnd w:id="98"/>
    <w:bookmarkEnd w:id="99"/>
    <w:p>
      <w:pPr>
        <w:spacing w:before="120" w:after="120" w:line="360" w:lineRule="auto"/>
        <w:ind w:firstLine="482" w:firstLineChars="200"/>
        <w:rPr>
          <w:rFonts w:ascii="宋体" w:hAnsi="宋体" w:cs="宋体"/>
          <w:b/>
          <w:color w:val="auto"/>
          <w:sz w:val="24"/>
          <w:szCs w:val="24"/>
        </w:rPr>
      </w:pPr>
      <w:bookmarkStart w:id="107" w:name="_Toc520190030"/>
      <w:bookmarkStart w:id="108" w:name="_Toc474245215"/>
      <w:bookmarkStart w:id="109" w:name="_Toc518992990"/>
      <w:bookmarkStart w:id="110" w:name="_Toc257"/>
      <w:bookmarkStart w:id="111" w:name="_Toc183666534"/>
      <w:r>
        <w:rPr>
          <w:rFonts w:hint="eastAsia" w:ascii="宋体" w:hAnsi="宋体" w:cs="宋体"/>
          <w:b/>
          <w:color w:val="auto"/>
          <w:sz w:val="24"/>
          <w:szCs w:val="24"/>
        </w:rPr>
        <w:t>第八条包装</w:t>
      </w:r>
      <w:bookmarkEnd w:id="107"/>
      <w:bookmarkEnd w:id="108"/>
      <w:bookmarkEnd w:id="109"/>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2" w:name="_Toc107446851"/>
      <w:bookmarkStart w:id="113" w:name="_Toc107447244"/>
      <w:r>
        <w:rPr>
          <w:rFonts w:hint="eastAsia" w:ascii="宋体" w:hAnsi="宋体" w:cs="宋体"/>
          <w:bCs/>
          <w:color w:val="auto"/>
          <w:sz w:val="24"/>
          <w:szCs w:val="24"/>
        </w:rPr>
        <w:t>标志</w:t>
      </w:r>
    </w:p>
    <w:bookmarkEnd w:id="112"/>
    <w:bookmarkEnd w:id="113"/>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4" w:name="_Toc306350457"/>
      <w:bookmarkStart w:id="115" w:name="_Toc518992992"/>
      <w:bookmarkStart w:id="116" w:name="_Toc183666521"/>
      <w:bookmarkStart w:id="117" w:name="_Toc520190032"/>
      <w:bookmarkStart w:id="118" w:name="_Toc474245218"/>
      <w:bookmarkStart w:id="119"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114"/>
    <w:bookmarkEnd w:id="115"/>
    <w:bookmarkEnd w:id="116"/>
    <w:bookmarkEnd w:id="117"/>
    <w:bookmarkEnd w:id="118"/>
    <w:bookmarkEnd w:id="119"/>
    <w:p>
      <w:pPr>
        <w:adjustRightInd w:val="0"/>
        <w:snapToGrid w:val="0"/>
        <w:spacing w:beforeLines="50" w:afterLines="50" w:line="360" w:lineRule="auto"/>
        <w:ind w:firstLine="482" w:firstLineChars="200"/>
        <w:rPr>
          <w:rFonts w:ascii="宋体" w:hAnsi="宋体" w:cs="宋体"/>
          <w:color w:val="auto"/>
          <w:sz w:val="24"/>
          <w:szCs w:val="24"/>
        </w:rPr>
      </w:pPr>
      <w:bookmarkStart w:id="120" w:name="_Toc18496"/>
      <w:bookmarkStart w:id="121" w:name="_Toc183666522"/>
      <w:bookmarkStart w:id="122" w:name="_Toc306350458"/>
      <w:r>
        <w:rPr>
          <w:rFonts w:hint="eastAsia" w:ascii="宋体" w:hAnsi="宋体" w:cs="宋体"/>
          <w:b/>
          <w:color w:val="auto"/>
          <w:sz w:val="24"/>
          <w:szCs w:val="24"/>
        </w:rPr>
        <w:t>第九条技术服务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autoSpaceDN/>
        <w:spacing w:line="360" w:lineRule="auto"/>
        <w:ind w:left="0" w:firstLine="480" w:firstLineChars="200"/>
        <w:rPr>
          <w:rFonts w:hint="eastAsia" w:hAnsi="宋体" w:cs="宋体" w:asciiTheme="minorHAnsi" w:eastAsiaTheme="minorEastAsia"/>
          <w:bCs/>
          <w:color w:val="auto"/>
          <w:sz w:val="24"/>
          <w:szCs w:val="22"/>
        </w:rPr>
      </w:pPr>
      <w:r>
        <w:rPr>
          <w:rFonts w:hint="eastAsia" w:hAnsi="宋体" w:cs="宋体"/>
          <w:bCs/>
          <w:color w:val="auto"/>
          <w:sz w:val="24"/>
          <w:szCs w:val="22"/>
          <w:lang w:val="en-US" w:eastAsia="zh-CN"/>
        </w:rPr>
        <w:t>9.5</w:t>
      </w:r>
      <w:r>
        <w:rPr>
          <w:rFonts w:hint="eastAsia" w:hAnsi="宋体" w:cs="宋体" w:asciiTheme="minorHAnsi" w:eastAsiaTheme="minorEastAsia"/>
          <w:bCs/>
          <w:color w:val="auto"/>
          <w:sz w:val="24"/>
          <w:szCs w:val="22"/>
        </w:rPr>
        <w:t>货物到达后</w:t>
      </w:r>
      <w:r>
        <w:rPr>
          <w:rFonts w:hint="eastAsia" w:hAnsi="宋体" w:cs="宋体" w:asciiTheme="minorHAnsi" w:eastAsiaTheme="minorEastAsia"/>
          <w:bCs/>
          <w:color w:val="auto"/>
          <w:sz w:val="24"/>
          <w:szCs w:val="22"/>
          <w:lang w:val="en-US" w:eastAsia="zh-CN"/>
        </w:rPr>
        <w:t>15</w:t>
      </w:r>
      <w:r>
        <w:rPr>
          <w:rFonts w:hint="eastAsia" w:hAnsi="宋体" w:cs="宋体" w:asciiTheme="minorHAnsi" w:eastAsiaTheme="minorEastAsia"/>
          <w:bCs/>
          <w:color w:val="auto"/>
          <w:sz w:val="24"/>
          <w:szCs w:val="22"/>
        </w:rPr>
        <w:t>天内，乙方</w:t>
      </w:r>
      <w:r>
        <w:rPr>
          <w:rFonts w:hint="eastAsia" w:hAnsi="宋体" w:cs="宋体" w:asciiTheme="minorHAnsi" w:eastAsiaTheme="minorEastAsia"/>
          <w:bCs/>
          <w:color w:val="auto"/>
          <w:sz w:val="24"/>
          <w:szCs w:val="22"/>
          <w:lang w:val="en-US" w:eastAsia="zh-CN"/>
        </w:rPr>
        <w:t>须派人员到现场</w:t>
      </w:r>
      <w:r>
        <w:rPr>
          <w:rFonts w:hint="eastAsia" w:hAnsi="宋体" w:cs="宋体" w:asciiTheme="minorHAnsi" w:eastAsiaTheme="minorEastAsia"/>
          <w:bCs/>
          <w:color w:val="auto"/>
          <w:sz w:val="24"/>
          <w:szCs w:val="22"/>
        </w:rPr>
        <w:t>完成设备调试</w:t>
      </w:r>
      <w:r>
        <w:rPr>
          <w:rFonts w:hint="eastAsia" w:hAnsi="宋体" w:cs="宋体"/>
          <w:bCs/>
          <w:color w:val="auto"/>
          <w:sz w:val="24"/>
          <w:szCs w:val="22"/>
          <w:lang w:eastAsia="zh-CN"/>
        </w:rPr>
        <w:t>（</w:t>
      </w:r>
      <w:r>
        <w:rPr>
          <w:rFonts w:hint="eastAsia" w:hAnsi="宋体" w:cs="宋体"/>
          <w:bCs/>
          <w:color w:val="auto"/>
          <w:sz w:val="24"/>
          <w:szCs w:val="22"/>
          <w:lang w:val="en-US" w:eastAsia="zh-CN"/>
        </w:rPr>
        <w:t>设备调试期间，所使用试剂由乙方另外提供</w:t>
      </w:r>
      <w:r>
        <w:rPr>
          <w:rFonts w:hint="eastAsia" w:hAnsi="宋体" w:cs="宋体"/>
          <w:bCs/>
          <w:color w:val="auto"/>
          <w:sz w:val="24"/>
          <w:szCs w:val="22"/>
          <w:lang w:eastAsia="zh-CN"/>
        </w:rPr>
        <w:t>）</w:t>
      </w:r>
    </w:p>
    <w:p>
      <w:pPr>
        <w:autoSpaceDE/>
        <w:autoSpaceDN/>
        <w:spacing w:line="360" w:lineRule="auto"/>
        <w:ind w:left="0" w:firstLine="480" w:firstLineChars="200"/>
        <w:rPr>
          <w:rFonts w:hint="eastAsia" w:hAnsi="宋体" w:cs="宋体" w:asciiTheme="minorHAnsi" w:eastAsiaTheme="minorEastAsia"/>
          <w:bCs/>
          <w:color w:val="auto"/>
          <w:sz w:val="24"/>
          <w:szCs w:val="22"/>
        </w:rPr>
      </w:pPr>
      <w:r>
        <w:rPr>
          <w:rFonts w:hint="eastAsia" w:hAnsi="宋体" w:cs="宋体"/>
          <w:bCs/>
          <w:color w:val="auto"/>
          <w:sz w:val="24"/>
          <w:szCs w:val="22"/>
          <w:lang w:val="en-US" w:eastAsia="zh-CN"/>
        </w:rPr>
        <w:t>9.6</w:t>
      </w:r>
      <w:r>
        <w:rPr>
          <w:rFonts w:hint="eastAsia" w:hAnsi="宋体" w:cs="宋体" w:asciiTheme="minorHAnsi" w:eastAsiaTheme="minorEastAsia"/>
          <w:bCs/>
          <w:color w:val="auto"/>
          <w:sz w:val="24"/>
          <w:szCs w:val="22"/>
          <w:lang w:val="en-US" w:eastAsia="zh-CN"/>
        </w:rPr>
        <w:t xml:space="preserve"> </w:t>
      </w:r>
      <w:r>
        <w:rPr>
          <w:rFonts w:hint="eastAsia" w:hAnsi="宋体" w:cs="宋体" w:asciiTheme="minorHAnsi" w:eastAsiaTheme="minorEastAsia"/>
          <w:bCs/>
          <w:color w:val="auto"/>
          <w:sz w:val="24"/>
          <w:szCs w:val="22"/>
        </w:rPr>
        <w:t>完</w:t>
      </w:r>
      <w:r>
        <w:rPr>
          <w:rFonts w:hint="eastAsia" w:hAnsi="宋体" w:cs="宋体" w:asciiTheme="minorHAnsi" w:eastAsiaTheme="minorEastAsia"/>
          <w:bCs/>
          <w:color w:val="auto"/>
          <w:sz w:val="24"/>
          <w:szCs w:val="22"/>
          <w:lang w:val="en-US" w:eastAsia="zh-CN"/>
        </w:rPr>
        <w:t>成设备调试15天内，乙方须委托第三方计量单位，对设备进行检定/校准工作，费用由乙方支付。</w:t>
      </w:r>
    </w:p>
    <w:p>
      <w:pPr>
        <w:pStyle w:val="2"/>
      </w:pPr>
    </w:p>
    <w:bookmarkEnd w:id="120"/>
    <w:bookmarkEnd w:id="121"/>
    <w:bookmarkEnd w:id="122"/>
    <w:p>
      <w:pPr>
        <w:autoSpaceDE w:val="0"/>
        <w:autoSpaceDN w:val="0"/>
        <w:adjustRightInd w:val="0"/>
        <w:spacing w:line="360" w:lineRule="auto"/>
        <w:ind w:firstLine="482" w:firstLineChars="200"/>
        <w:rPr>
          <w:rFonts w:ascii="宋体" w:hAnsi="宋体" w:cs="宋体"/>
          <w:b/>
          <w:color w:val="auto"/>
          <w:sz w:val="24"/>
          <w:szCs w:val="24"/>
        </w:rPr>
      </w:pPr>
      <w:bookmarkStart w:id="123" w:name="_Toc474245220"/>
      <w:bookmarkStart w:id="124" w:name="_Toc518992994"/>
      <w:bookmarkStart w:id="125" w:name="_Toc520190034"/>
      <w:bookmarkStart w:id="126" w:name="_Toc4682"/>
      <w:bookmarkStart w:id="127" w:name="_Toc183666523"/>
      <w:bookmarkStart w:id="128" w:name="_Toc306350459"/>
      <w:r>
        <w:rPr>
          <w:rFonts w:hint="eastAsia" w:ascii="宋体" w:hAnsi="宋体" w:cs="宋体"/>
          <w:b/>
          <w:color w:val="auto"/>
          <w:sz w:val="24"/>
          <w:szCs w:val="24"/>
        </w:rPr>
        <w:t>第十条质量保</w:t>
      </w:r>
      <w:bookmarkEnd w:id="123"/>
      <w:bookmarkEnd w:id="124"/>
      <w:bookmarkEnd w:id="125"/>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rPr>
        <w:t>（时间）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小时内派专业技术人员到场负责解决及维修故障。</w:t>
      </w:r>
      <w:bookmarkEnd w:id="126"/>
      <w:bookmarkEnd w:id="127"/>
      <w:bookmarkEnd w:id="128"/>
      <w:bookmarkStart w:id="129" w:name="_Toc107447250"/>
      <w:bookmarkStart w:id="130" w:name="_Toc306350464"/>
      <w:bookmarkStart w:id="131" w:name="_Toc518992997"/>
      <w:bookmarkStart w:id="132" w:name="_Toc107446857"/>
      <w:bookmarkStart w:id="133" w:name="_Toc474245223"/>
      <w:bookmarkStart w:id="134" w:name="_Toc520190037"/>
      <w:bookmarkStart w:id="135" w:name="_Toc27734"/>
      <w:bookmarkStart w:id="136" w:name="_Toc183666528"/>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第十一条违约责任</w:t>
      </w:r>
      <w:bookmarkEnd w:id="129"/>
      <w:bookmarkEnd w:id="130"/>
      <w:bookmarkEnd w:id="131"/>
      <w:bookmarkEnd w:id="132"/>
      <w:bookmarkEnd w:id="133"/>
      <w:bookmarkEnd w:id="134"/>
      <w:bookmarkEnd w:id="135"/>
      <w:bookmarkEnd w:id="136"/>
    </w:p>
    <w:p>
      <w:pPr>
        <w:spacing w:line="360" w:lineRule="auto"/>
        <w:ind w:firstLine="482"/>
        <w:rPr>
          <w:rFonts w:ascii="宋体" w:hAnsi="宋体" w:cs="宋体"/>
          <w:bCs/>
          <w:color w:val="auto"/>
          <w:sz w:val="24"/>
          <w:szCs w:val="24"/>
        </w:rPr>
      </w:pPr>
      <w:bookmarkStart w:id="137" w:name="_Toc183666529"/>
      <w:bookmarkStart w:id="138" w:name="_Toc5166"/>
      <w:bookmarkStart w:id="139"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w:t>
      </w:r>
      <w:r>
        <w:rPr>
          <w:rFonts w:hint="eastAsia" w:ascii="宋体" w:hAnsi="宋体" w:cs="宋体"/>
          <w:bCs/>
          <w:color w:val="auto"/>
          <w:sz w:val="24"/>
          <w:szCs w:val="24"/>
          <w:lang w:val="en-US" w:eastAsia="zh-CN"/>
        </w:rPr>
        <w:t>损失的</w:t>
      </w:r>
      <w:r>
        <w:rPr>
          <w:rFonts w:hint="eastAsia" w:ascii="宋体" w:hAnsi="宋体" w:cs="宋体"/>
          <w:bCs/>
          <w:color w:val="auto"/>
          <w:sz w:val="24"/>
          <w:szCs w:val="24"/>
        </w:rPr>
        <w:t>，甲方有权要求乙方赔偿损失。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pPr>
        <w:numPr>
          <w:ilvl w:val="0"/>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40" w:name="_Toc107447254"/>
      <w:bookmarkStart w:id="141" w:name="_Toc520190038"/>
      <w:bookmarkStart w:id="142" w:name="_Toc118086592"/>
      <w:bookmarkStart w:id="143" w:name="_Toc474245224"/>
      <w:bookmarkStart w:id="144" w:name="_Toc107446860"/>
      <w:bookmarkStart w:id="145" w:name="_Toc107447253"/>
      <w:bookmarkStart w:id="146" w:name="_Toc107446861"/>
      <w:bookmarkStart w:id="147" w:name="_Toc518992998"/>
      <w:r>
        <w:rPr>
          <w:rFonts w:hint="eastAsia" w:ascii="宋体" w:hAnsi="宋体" w:cs="宋体"/>
          <w:b/>
          <w:color w:val="auto"/>
          <w:sz w:val="24"/>
          <w:szCs w:val="24"/>
        </w:rPr>
        <w:t>第十二条变更或解除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第十三条不可抗力</w:t>
      </w:r>
    </w:p>
    <w:p>
      <w:pPr>
        <w:widowControl w:val="0"/>
        <w:numPr>
          <w:ilvl w:val="0"/>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本合同一式份，甲方执份，乙方执份。均具有同等法律效力。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bookmarkEnd w:id="110"/>
    <w:bookmarkEnd w:id="111"/>
    <w:bookmarkEnd w:id="137"/>
    <w:bookmarkEnd w:id="138"/>
    <w:bookmarkEnd w:id="139"/>
    <w:bookmarkEnd w:id="140"/>
    <w:bookmarkEnd w:id="141"/>
    <w:bookmarkEnd w:id="142"/>
    <w:bookmarkEnd w:id="143"/>
    <w:bookmarkEnd w:id="144"/>
    <w:bookmarkEnd w:id="145"/>
    <w:bookmarkEnd w:id="146"/>
    <w:bookmarkEnd w:id="147"/>
    <w:p>
      <w:pPr>
        <w:spacing w:line="360" w:lineRule="auto"/>
        <w:ind w:firstLine="480"/>
        <w:rPr>
          <w:rFonts w:ascii="宋体" w:hAnsi="宋体" w:cs="宋体"/>
          <w:color w:val="auto"/>
          <w:sz w:val="24"/>
          <w:szCs w:val="24"/>
        </w:rPr>
      </w:pP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发包通知书（如有）</w:t>
      </w:r>
    </w:p>
    <w:tbl>
      <w:tblPr>
        <w:tblStyle w:val="22"/>
        <w:tblpPr w:leftFromText="180" w:rightFromText="180" w:vertAnchor="text" w:horzAnchor="page" w:tblpX="1307" w:tblpY="1105"/>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.安全管理协议书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3"/>
        <w:rPr>
          <w:rFonts w:ascii="宋体" w:hAnsi="宋体" w:cs="宋体"/>
          <w:color w:val="auto"/>
          <w:sz w:val="24"/>
          <w:szCs w:val="24"/>
        </w:rPr>
      </w:pPr>
    </w:p>
    <w:p>
      <w:pPr>
        <w:rPr>
          <w:rFonts w:ascii="宋体" w:hAnsi="宋体" w:cs="宋体"/>
          <w:color w:val="auto"/>
          <w:sz w:val="24"/>
          <w:szCs w:val="24"/>
        </w:rPr>
      </w:pPr>
    </w:p>
    <w:p>
      <w:pPr>
        <w:pStyle w:val="2"/>
        <w:rPr>
          <w:rFonts w:ascii="宋体" w:hAnsi="宋体" w:cs="宋体"/>
          <w:color w:val="auto"/>
          <w:sz w:val="24"/>
          <w:szCs w:val="24"/>
        </w:rPr>
      </w:pPr>
    </w:p>
    <w:p>
      <w:pPr>
        <w:pStyle w:val="3"/>
        <w:rPr>
          <w:rFonts w:ascii="宋体" w:hAnsi="宋体" w:cs="宋体"/>
          <w:color w:val="auto"/>
          <w:sz w:val="24"/>
          <w:szCs w:val="24"/>
        </w:rPr>
      </w:pPr>
    </w:p>
    <w:p/>
    <w:p>
      <w:pPr>
        <w:spacing w:line="360" w:lineRule="auto"/>
        <w:rPr>
          <w:rFonts w:ascii="宋体" w:hAnsi="宋体" w:cs="宋体"/>
          <w:b/>
          <w:color w:val="auto"/>
          <w:szCs w:val="21"/>
        </w:rPr>
      </w:pPr>
      <w:bookmarkStart w:id="148" w:name="_Toc1563"/>
      <w:bookmarkStart w:id="149" w:name="_Toc28358"/>
      <w:bookmarkStart w:id="150" w:name="_Toc6230"/>
      <w:bookmarkStart w:id="151" w:name="_Toc21847"/>
      <w:bookmarkStart w:id="152" w:name="_Toc30824"/>
      <w:bookmarkStart w:id="153" w:name="_Toc23515"/>
      <w:bookmarkStart w:id="154" w:name="_Toc16552"/>
      <w:bookmarkStart w:id="155" w:name="_Toc8147"/>
      <w:bookmarkStart w:id="156" w:name="_Toc3723"/>
      <w:bookmarkStart w:id="157" w:name="_Toc5129"/>
      <w:bookmarkStart w:id="158" w:name="_Toc12169"/>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21"/>
        <w:rPr>
          <w:rFonts w:ascii="宋体" w:hAnsi="宋体" w:cs="宋体"/>
          <w:color w:val="auto"/>
          <w:sz w:val="24"/>
          <w:szCs w:val="24"/>
        </w:rPr>
      </w:pPr>
    </w:p>
    <w:p>
      <w:pPr>
        <w:pStyle w:val="4"/>
        <w:jc w:val="both"/>
        <w:rPr>
          <w:rFonts w:hint="eastAsia"/>
          <w:color w:val="auto"/>
          <w:highlight w:val="none"/>
        </w:rPr>
      </w:pPr>
    </w:p>
    <w:p>
      <w:pPr>
        <w:pStyle w:val="4"/>
        <w:rPr>
          <w:color w:val="auto"/>
          <w:highlight w:val="none"/>
        </w:rPr>
      </w:pPr>
      <w:r>
        <w:rPr>
          <w:color w:val="auto"/>
          <w:highlight w:val="none"/>
        </w:rPr>
        <w:pict>
          <v:shape id="_x0000_s2059" o:spid="_x0000_s2059" o:spt="32" type="#_x0000_t32" style="position:absolute;left:0pt;margin-left:185.1pt;margin-top:44.2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4.5pt;margin-top:6.7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pPr>
        <w:pStyle w:val="35"/>
        <w:rPr>
          <w:color w:val="auto"/>
          <w:highlight w:val="none"/>
        </w:rPr>
      </w:pPr>
    </w:p>
    <w:p>
      <w:pPr>
        <w:pStyle w:val="4"/>
        <w:rPr>
          <w:color w:val="auto"/>
          <w:highlight w:val="none"/>
        </w:rPr>
      </w:pPr>
      <w:bookmarkStart w:id="159" w:name="_Toc22764"/>
      <w:bookmarkStart w:id="160" w:name="_Toc12769"/>
      <w:bookmarkStart w:id="161" w:name="_Toc88209951"/>
      <w:bookmarkStart w:id="162" w:name="_Toc30157"/>
      <w:bookmarkStart w:id="163" w:name="_Toc17119"/>
      <w:bookmarkStart w:id="164" w:name="_Toc24490"/>
      <w:bookmarkStart w:id="165" w:name="_Toc21675"/>
      <w:bookmarkStart w:id="166" w:name="_Toc12610"/>
      <w:bookmarkStart w:id="167" w:name="_Toc10840"/>
      <w:bookmarkStart w:id="168" w:name="_Toc87616388"/>
      <w:bookmarkStart w:id="169" w:name="_Toc31564"/>
      <w:bookmarkStart w:id="170" w:name="_Toc5342"/>
      <w:bookmarkStart w:id="171" w:name="_Toc24815"/>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2" w:name="_Toc87616389"/>
      <w:bookmarkStart w:id="173" w:name="_Toc88209952"/>
      <w:r>
        <w:rPr>
          <w:rFonts w:hint="eastAsia" w:ascii="仿宋_GB2312" w:eastAsia="仿宋_GB2312"/>
          <w:color w:val="auto"/>
          <w:sz w:val="28"/>
          <w:szCs w:val="28"/>
          <w:highlight w:val="none"/>
        </w:rPr>
        <w:t>1.响应函</w:t>
      </w:r>
      <w:bookmarkEnd w:id="172"/>
      <w:bookmarkEnd w:id="173"/>
    </w:p>
    <w:p>
      <w:pPr>
        <w:spacing w:line="600" w:lineRule="exact"/>
        <w:rPr>
          <w:rFonts w:hint="eastAsia" w:ascii="仿宋_GB2312" w:eastAsia="仿宋_GB2312"/>
          <w:color w:val="auto"/>
          <w:sz w:val="28"/>
          <w:szCs w:val="28"/>
          <w:highlight w:val="none"/>
        </w:rPr>
      </w:pPr>
      <w:bookmarkStart w:id="174" w:name="_Toc88209953"/>
      <w:bookmarkStart w:id="175" w:name="_Toc87616390"/>
      <w:r>
        <w:rPr>
          <w:rFonts w:hint="eastAsia" w:ascii="仿宋_GB2312" w:eastAsia="仿宋_GB2312"/>
          <w:color w:val="auto"/>
          <w:sz w:val="28"/>
          <w:szCs w:val="28"/>
          <w:highlight w:val="none"/>
        </w:rPr>
        <w:t>2.法定代表人证明或授权委托书</w:t>
      </w:r>
      <w:bookmarkEnd w:id="174"/>
      <w:bookmarkEnd w:id="175"/>
      <w:bookmarkStart w:id="176" w:name="_Toc87616393"/>
      <w:bookmarkStart w:id="17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pStyle w:val="6"/>
        <w:rPr>
          <w:rFonts w:asciiTheme="minorEastAsia" w:hAnsiTheme="minorEastAsia" w:eastAsiaTheme="minorEastAsia"/>
          <w:color w:val="auto"/>
          <w:sz w:val="28"/>
          <w:szCs w:val="28"/>
          <w:highlight w:val="none"/>
        </w:rPr>
      </w:pPr>
      <w:bookmarkStart w:id="178" w:name="_Toc28619645"/>
      <w:bookmarkStart w:id="179" w:name="_Toc12665"/>
      <w:bookmarkStart w:id="180" w:name="_Toc87616394"/>
      <w:bookmarkStart w:id="181" w:name="_Toc88209957"/>
      <w:bookmarkStart w:id="182" w:name="_Toc6313"/>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pStyle w:val="2"/>
        <w:ind w:firstLine="560" w:firstLineChars="200"/>
        <w:rPr>
          <w:rFonts w:hint="eastAsia" w:ascii="仿宋_GB2312" w:hAnsi="黑体" w:eastAsia="仿宋_GB2312" w:cstheme="minorBidi"/>
          <w:color w:val="auto"/>
          <w:kern w:val="2"/>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stheme="minorBidi"/>
          <w:color w:val="auto"/>
          <w:kern w:val="2"/>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hint="eastAsia" w:asciiTheme="minorEastAsia" w:hAnsiTheme="minorEastAsia" w:eastAsiaTheme="minorEastAsia"/>
          <w:color w:val="auto"/>
          <w:sz w:val="28"/>
          <w:szCs w:val="28"/>
          <w:highlight w:val="none"/>
        </w:rPr>
      </w:pPr>
      <w:bookmarkStart w:id="183" w:name="_Toc87616395"/>
      <w:bookmarkStart w:id="184" w:name="_Toc29833"/>
      <w:bookmarkStart w:id="185" w:name="_Toc22527"/>
      <w:bookmarkStart w:id="186"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8209963"/>
      <w:bookmarkStart w:id="188" w:name="_Toc87616400"/>
      <w:bookmarkStart w:id="189" w:name="_Toc8086"/>
      <w:bookmarkStart w:id="19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2" w:name="_Toc32430"/>
      <w:bookmarkStart w:id="19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2"/>
      <w:bookmarkEnd w:id="193"/>
    </w:p>
    <w:tbl>
      <w:tblPr>
        <w:tblStyle w:val="22"/>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zh-CN"/>
              </w:rPr>
              <w:t>生产厂家品牌</w:t>
            </w:r>
            <w:r>
              <w:rPr>
                <w:rFonts w:hint="eastAsia" w:ascii="宋体" w:hAnsi="宋体" w:cs="宋体"/>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单价（万元）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金额（万元）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备注</w:t>
            </w:r>
          </w:p>
        </w:tc>
      </w:tr>
      <w:tr>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ascii="宋体" w:hAnsi="宋体" w:cs="宋体"/>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仿宋_GB2312" w:hAnsi="仿宋_GB2312" w:eastAsia="仿宋_GB2312" w:cs="仿宋_GB2312"/>
                <w:sz w:val="24"/>
                <w:szCs w:val="24"/>
                <w:lang w:val="en-US" w:eastAsia="zh-CN"/>
              </w:rPr>
              <w:t>中心厂出水总磷在线监测仪</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747"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r>
              <w:rPr>
                <w:rFonts w:hint="eastAsia" w:ascii="仿宋_GB2312" w:hAnsi="仿宋_GB2312" w:eastAsia="仿宋_GB2312" w:cs="仿宋_GB2312"/>
                <w:sz w:val="24"/>
                <w:szCs w:val="24"/>
                <w:lang w:val="en-US" w:eastAsia="zh-CN"/>
              </w:rPr>
              <w:t>中心厂出水总氮在线监测仪</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747"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良口厂出水总磷在线监测仪</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747"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良口厂出水总氮在线监测仪</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r>
        <w:tblPrEx>
          <w:tblCellMar>
            <w:top w:w="0" w:type="dxa"/>
            <w:left w:w="0" w:type="dxa"/>
            <w:bottom w:w="0" w:type="dxa"/>
            <w:right w:w="0" w:type="dxa"/>
          </w:tblCellMar>
        </w:tblPrEx>
        <w:trPr>
          <w:trHeight w:val="567"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hint="eastAsia" w:ascii="宋体" w:hAnsi="宋体" w:cs="宋体"/>
                <w:sz w:val="24"/>
                <w:szCs w:val="24"/>
                <w:lang w:val="en-US" w:eastAsia="zh-CN"/>
              </w:rPr>
            </w:pPr>
            <w:r>
              <w:rPr>
                <w:rFonts w:hint="eastAsia" w:ascii="宋体" w:hAnsi="宋体" w:cs="宋体"/>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napToGrid w:val="0"/>
              <w:jc w:val="center"/>
              <w:rPr>
                <w:rFonts w:ascii="宋体" w:hAnsi="宋体" w:cs="宋体"/>
                <w:sz w:val="24"/>
                <w:szCs w:val="24"/>
                <w:lang w:val="zh-CN"/>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48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eastAsia" w:ascii="仿宋_GB2312" w:hAnsi="仿宋_GB2312" w:eastAsia="仿宋_GB2312" w:cs="仿宋_GB2312"/>
          <w:color w:val="000000" w:themeColor="text1"/>
          <w:sz w:val="28"/>
          <w:szCs w:val="28"/>
          <w:u w:val="none"/>
          <w:lang w:val="en-US" w:eastAsia="zh-CN"/>
        </w:rPr>
      </w:pPr>
    </w:p>
    <w:p>
      <w:pPr>
        <w:pStyle w:val="21"/>
        <w:rPr>
          <w:rFonts w:hint="default" w:ascii="仿宋_GB2312" w:hAnsi="仿宋_GB2312" w:eastAsia="仿宋_GB2312" w:cs="仿宋_GB2312"/>
          <w:color w:val="000000" w:themeColor="text1"/>
          <w:sz w:val="28"/>
          <w:szCs w:val="28"/>
          <w:u w:val="none"/>
          <w:lang w:val="en-US" w:eastAsia="zh-CN"/>
        </w:rPr>
      </w:pPr>
    </w:p>
    <w:p>
      <w:pPr>
        <w:pStyle w:val="21"/>
        <w:rPr>
          <w:rFonts w:hint="default" w:ascii="仿宋_GB2312" w:hAnsi="仿宋_GB2312" w:eastAsia="仿宋_GB2312" w:cs="仿宋_GB2312"/>
          <w:color w:val="000000" w:themeColor="text1"/>
          <w:sz w:val="28"/>
          <w:szCs w:val="28"/>
          <w:u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 </w:t>
      </w:r>
    </w:p>
    <w:p>
      <w:pPr>
        <w:pStyle w:val="6"/>
        <w:rPr>
          <w:rFonts w:asciiTheme="majorEastAsia" w:hAnsiTheme="majorEastAsia" w:eastAsiaTheme="majorEastAsia"/>
          <w:color w:val="auto"/>
          <w:sz w:val="28"/>
          <w:szCs w:val="28"/>
          <w:highlight w:val="none"/>
        </w:rPr>
      </w:pPr>
      <w:bookmarkStart w:id="194" w:name="_Toc16386"/>
      <w:bookmarkStart w:id="195" w:name="_Toc87616402"/>
      <w:bookmarkStart w:id="196" w:name="_Toc88209965"/>
      <w:bookmarkStart w:id="197" w:name="_Toc6058"/>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2A72"/>
    <w:multiLevelType w:val="singleLevel"/>
    <w:tmpl w:val="A7322A72"/>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7304F4"/>
    <w:rsid w:val="067D022E"/>
    <w:rsid w:val="06C64829"/>
    <w:rsid w:val="070E7B6E"/>
    <w:rsid w:val="071D62B7"/>
    <w:rsid w:val="077D16D2"/>
    <w:rsid w:val="082A69F3"/>
    <w:rsid w:val="08675FC8"/>
    <w:rsid w:val="09B713FD"/>
    <w:rsid w:val="09EF6ACC"/>
    <w:rsid w:val="0A315056"/>
    <w:rsid w:val="0A3E3B7B"/>
    <w:rsid w:val="0A694621"/>
    <w:rsid w:val="0AA213B4"/>
    <w:rsid w:val="0AC029D7"/>
    <w:rsid w:val="0AF61C7E"/>
    <w:rsid w:val="0AFB45AD"/>
    <w:rsid w:val="0B351E9B"/>
    <w:rsid w:val="0B4C50D3"/>
    <w:rsid w:val="0B806B92"/>
    <w:rsid w:val="0B827E94"/>
    <w:rsid w:val="0B842F76"/>
    <w:rsid w:val="0BD070E1"/>
    <w:rsid w:val="0BD65B6B"/>
    <w:rsid w:val="0C2361E7"/>
    <w:rsid w:val="0C247926"/>
    <w:rsid w:val="0D76002E"/>
    <w:rsid w:val="0D794204"/>
    <w:rsid w:val="0E2125D1"/>
    <w:rsid w:val="0E214211"/>
    <w:rsid w:val="0E5F2769"/>
    <w:rsid w:val="0ED8332F"/>
    <w:rsid w:val="0EDC5AD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85690B"/>
    <w:rsid w:val="129A2738"/>
    <w:rsid w:val="12B56BF1"/>
    <w:rsid w:val="12CB1A89"/>
    <w:rsid w:val="131840FB"/>
    <w:rsid w:val="13467417"/>
    <w:rsid w:val="136E76CF"/>
    <w:rsid w:val="145F08C6"/>
    <w:rsid w:val="14E43F59"/>
    <w:rsid w:val="15776308"/>
    <w:rsid w:val="15BC6B3C"/>
    <w:rsid w:val="15EC2C59"/>
    <w:rsid w:val="16360A7B"/>
    <w:rsid w:val="164D40B0"/>
    <w:rsid w:val="166B1C30"/>
    <w:rsid w:val="1694429A"/>
    <w:rsid w:val="17210DCB"/>
    <w:rsid w:val="17635326"/>
    <w:rsid w:val="17B803EA"/>
    <w:rsid w:val="1815096B"/>
    <w:rsid w:val="181D21A5"/>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B860DE"/>
    <w:rsid w:val="203C5A02"/>
    <w:rsid w:val="209D4C94"/>
    <w:rsid w:val="20B44FCD"/>
    <w:rsid w:val="20E84705"/>
    <w:rsid w:val="218400BA"/>
    <w:rsid w:val="21AB1E2F"/>
    <w:rsid w:val="21AF3106"/>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5E78CC"/>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DAE7C70"/>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2DD0C65"/>
    <w:rsid w:val="435707E5"/>
    <w:rsid w:val="43694900"/>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B5D81"/>
    <w:rsid w:val="4A7F3979"/>
    <w:rsid w:val="4ADA1F63"/>
    <w:rsid w:val="4AE23D89"/>
    <w:rsid w:val="4B2038D0"/>
    <w:rsid w:val="4B296E7D"/>
    <w:rsid w:val="4B79394E"/>
    <w:rsid w:val="4B877F28"/>
    <w:rsid w:val="4C215BCC"/>
    <w:rsid w:val="4CD200BA"/>
    <w:rsid w:val="4D2044E7"/>
    <w:rsid w:val="4D916BA6"/>
    <w:rsid w:val="4DC44169"/>
    <w:rsid w:val="4DE24E21"/>
    <w:rsid w:val="4E1B19A3"/>
    <w:rsid w:val="4E48787F"/>
    <w:rsid w:val="4EF0709E"/>
    <w:rsid w:val="4F0469A4"/>
    <w:rsid w:val="4FE25169"/>
    <w:rsid w:val="500E56F4"/>
    <w:rsid w:val="50540C73"/>
    <w:rsid w:val="50752AF8"/>
    <w:rsid w:val="50DA17CC"/>
    <w:rsid w:val="513C6A7B"/>
    <w:rsid w:val="517300C9"/>
    <w:rsid w:val="524C566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89435F"/>
    <w:rsid w:val="58B70850"/>
    <w:rsid w:val="58C14957"/>
    <w:rsid w:val="58CC23D2"/>
    <w:rsid w:val="58E66050"/>
    <w:rsid w:val="596B36B6"/>
    <w:rsid w:val="59E63F07"/>
    <w:rsid w:val="59FC7994"/>
    <w:rsid w:val="5A4E176C"/>
    <w:rsid w:val="5ACE4A91"/>
    <w:rsid w:val="5AE83A50"/>
    <w:rsid w:val="5B353193"/>
    <w:rsid w:val="5BAB2917"/>
    <w:rsid w:val="5BFC33FA"/>
    <w:rsid w:val="5C3107A4"/>
    <w:rsid w:val="5C3B1B93"/>
    <w:rsid w:val="5C9220DF"/>
    <w:rsid w:val="5D1C1D3A"/>
    <w:rsid w:val="5D4A15F3"/>
    <w:rsid w:val="5D4A2F73"/>
    <w:rsid w:val="5D69542A"/>
    <w:rsid w:val="5D783B72"/>
    <w:rsid w:val="5E0930EF"/>
    <w:rsid w:val="5E3D4D53"/>
    <w:rsid w:val="5E4717E6"/>
    <w:rsid w:val="5E55774C"/>
    <w:rsid w:val="5E8A70FF"/>
    <w:rsid w:val="60045F96"/>
    <w:rsid w:val="60104DDC"/>
    <w:rsid w:val="605C0804"/>
    <w:rsid w:val="60913E6F"/>
    <w:rsid w:val="611670F9"/>
    <w:rsid w:val="6142679E"/>
    <w:rsid w:val="61733C3E"/>
    <w:rsid w:val="61843BC2"/>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AD7F85"/>
    <w:rsid w:val="6CEA29E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00C3"/>
    <w:rsid w:val="79B61437"/>
    <w:rsid w:val="7AAE2C70"/>
    <w:rsid w:val="7AE15A5C"/>
    <w:rsid w:val="7AF37579"/>
    <w:rsid w:val="7AF87F64"/>
    <w:rsid w:val="7B1C0C84"/>
    <w:rsid w:val="7B5A62DF"/>
    <w:rsid w:val="7B7A04A8"/>
    <w:rsid w:val="7B8E4662"/>
    <w:rsid w:val="7C0C3F6D"/>
    <w:rsid w:val="7C22163C"/>
    <w:rsid w:val="7C457B4B"/>
    <w:rsid w:val="7C595075"/>
    <w:rsid w:val="7C6B07B2"/>
    <w:rsid w:val="7D133243"/>
    <w:rsid w:val="7D4A280A"/>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2"/>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
    <w:next w:val="2"/>
    <w:qFormat/>
    <w:uiPriority w:val="0"/>
    <w:pPr>
      <w:spacing w:after="373"/>
    </w:pPr>
    <w:rPr>
      <w:color w:val="auto"/>
    </w:rPr>
  </w:style>
  <w:style w:type="paragraph" w:customStyle="1" w:styleId="37">
    <w:name w:val="CM91"/>
    <w:basedOn w:val="2"/>
    <w:next w:val="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3"/>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4"/>
    <customShpInfo spid="_x0000_s2065"/>
    <customShpInfo spid="_x0000_s2066"/>
    <customShpInfo spid="_x0000_s2067"/>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23193</Words>
  <Characters>24173</Characters>
  <Lines>300</Lines>
  <Paragraphs>84</Paragraphs>
  <TotalTime>5</TotalTime>
  <ScaleCrop>false</ScaleCrop>
  <LinksUpToDate>false</LinksUpToDate>
  <CharactersWithSpaces>26439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2023-05-25T06:27:00Z</cp:lastPrinted>
  <dcterms:modified xsi:type="dcterms:W3CDTF">2023-07-12T08:03:01Z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