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广州市净水有限公司2023-2025年</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氢氧化钠（30%溶液）采购项目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4" w:name="_Toc17801"/>
      <w:bookmarkStart w:id="5" w:name="_Toc7519"/>
      <w:bookmarkStart w:id="6" w:name="_Toc31938"/>
      <w:bookmarkStart w:id="7" w:name="_Toc1669"/>
      <w:bookmarkStart w:id="8" w:name="_Toc19609"/>
      <w:bookmarkStart w:id="9" w:name="_Toc11322"/>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广州市净水有限公司2023-2025年氢氧化钠（30%溶液）采购项目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广州市净水有限公司2023-2025年氢氧化钠（30%溶液）采购项目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XY-20230707-2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单价1500元/吨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891000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采购量594吨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自合同签订之日起2年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氢氧化钠</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氢氧化钠（30%溶液）</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209-2018</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u w:val="single"/>
        </w:rPr>
        <w:t>2023</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7</w:t>
      </w:r>
      <w:r>
        <w:rPr>
          <w:rFonts w:hint="eastAsia" w:ascii="仿宋_GB2312" w:eastAsia="仿宋_GB2312"/>
          <w:color w:val="auto"/>
          <w:sz w:val="28"/>
          <w:szCs w:val="28"/>
          <w:u w:val="single"/>
        </w:rPr>
        <w:t>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13</w:t>
      </w:r>
      <w:r>
        <w:rPr>
          <w:rFonts w:hint="eastAsia" w:ascii="仿宋_GB2312" w:eastAsia="仿宋_GB2312"/>
          <w:color w:val="auto"/>
          <w:sz w:val="28"/>
          <w:szCs w:val="28"/>
          <w:u w:val="single"/>
        </w:rPr>
        <w:t> </w:t>
      </w:r>
      <w:r>
        <w:rPr>
          <w:rFonts w:hint="eastAsia" w:ascii="仿宋_GB2312" w:eastAsia="仿宋_GB2312"/>
          <w:color w:val="auto"/>
          <w:sz w:val="28"/>
          <w:szCs w:val="28"/>
        </w:rPr>
        <w:t>日</w:t>
      </w:r>
      <w:r>
        <w:rPr>
          <w:rFonts w:hint="eastAsia" w:ascii="仿宋_GB2312" w:eastAsia="仿宋_GB2312"/>
          <w:color w:val="auto"/>
          <w:sz w:val="28"/>
          <w:szCs w:val="28"/>
          <w:u w:val="single"/>
        </w:rPr>
        <w:t>9</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u w:val="single"/>
        </w:rPr>
        <w:t>0</w:t>
      </w:r>
      <w:r>
        <w:rPr>
          <w:rFonts w:hint="eastAsia" w:ascii="仿宋_GB2312" w:eastAsia="仿宋_GB2312"/>
          <w:color w:val="auto"/>
          <w:sz w:val="28"/>
          <w:szCs w:val="28"/>
        </w:rPr>
        <w:t>分至</w:t>
      </w:r>
      <w:r>
        <w:rPr>
          <w:rFonts w:hint="eastAsia" w:ascii="仿宋_GB2312" w:eastAsia="仿宋_GB2312"/>
          <w:color w:val="auto"/>
          <w:sz w:val="28"/>
          <w:szCs w:val="28"/>
          <w:u w:val="single"/>
        </w:rPr>
        <w:t>2023</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val="en-US" w:eastAsia="zh-CN"/>
        </w:rPr>
        <w:t>7</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月 </w:t>
      </w:r>
      <w:r>
        <w:rPr>
          <w:rFonts w:hint="eastAsia" w:ascii="仿宋_GB2312" w:eastAsia="仿宋_GB2312"/>
          <w:color w:val="auto"/>
          <w:sz w:val="28"/>
          <w:szCs w:val="28"/>
          <w:u w:val="single"/>
          <w:lang w:val="en-US" w:eastAsia="zh-CN"/>
        </w:rPr>
        <w:t>13</w:t>
      </w:r>
      <w:r>
        <w:rPr>
          <w:rFonts w:hint="eastAsia" w:ascii="仿宋_GB2312" w:eastAsia="仿宋_GB2312"/>
          <w:color w:val="auto"/>
          <w:sz w:val="28"/>
          <w:szCs w:val="28"/>
        </w:rPr>
        <w:t>日</w:t>
      </w:r>
      <w:r>
        <w:rPr>
          <w:rFonts w:hint="eastAsia" w:ascii="仿宋_GB2312" w:eastAsia="仿宋_GB2312"/>
          <w:color w:val="auto"/>
          <w:sz w:val="28"/>
          <w:szCs w:val="28"/>
          <w:u w:val="single"/>
        </w:rPr>
        <w:t>10</w:t>
      </w:r>
      <w:r>
        <w:rPr>
          <w:rFonts w:hint="eastAsia" w:ascii="仿宋_GB2312" w:eastAsia="仿宋_GB2312"/>
          <w:color w:val="auto"/>
          <w:sz w:val="28"/>
          <w:szCs w:val="28"/>
        </w:rPr>
        <w:t>时</w:t>
      </w:r>
      <w:r>
        <w:rPr>
          <w:rFonts w:hint="eastAsia" w:ascii="仿宋_GB2312" w:eastAsia="仿宋_GB2312"/>
          <w:color w:val="auto"/>
          <w:sz w:val="28"/>
          <w:szCs w:val="28"/>
          <w:u w:val="single"/>
        </w:rPr>
        <w:t>00</w:t>
      </w:r>
      <w:r>
        <w:rPr>
          <w:rFonts w:hint="eastAsia" w:ascii="仿宋_GB2312" w:eastAsia="仿宋_GB2312"/>
          <w:color w:val="auto"/>
          <w:sz w:val="28"/>
          <w:szCs w:val="28"/>
        </w:rPr>
        <w:t>分（北京时间）。截止时间：</w:t>
      </w:r>
      <w:r>
        <w:rPr>
          <w:rFonts w:hint="eastAsia" w:ascii="仿宋_GB2312" w:eastAsia="仿宋_GB2312"/>
          <w:color w:val="auto"/>
          <w:sz w:val="28"/>
          <w:szCs w:val="28"/>
          <w:u w:val="single"/>
        </w:rPr>
        <w:t>2023</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val="en-US" w:eastAsia="zh-CN"/>
        </w:rPr>
        <w:t>7</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月 </w:t>
      </w:r>
      <w:r>
        <w:rPr>
          <w:rFonts w:hint="eastAsia" w:ascii="仿宋_GB2312" w:eastAsia="仿宋_GB2312"/>
          <w:color w:val="auto"/>
          <w:sz w:val="28"/>
          <w:szCs w:val="28"/>
          <w:u w:val="single"/>
          <w:lang w:val="en-US" w:eastAsia="zh-CN"/>
        </w:rPr>
        <w:t>13</w:t>
      </w:r>
      <w:r>
        <w:rPr>
          <w:rFonts w:hint="eastAsia" w:ascii="仿宋_GB2312" w:eastAsia="仿宋_GB2312"/>
          <w:color w:val="auto"/>
          <w:sz w:val="28"/>
          <w:szCs w:val="28"/>
        </w:rPr>
        <w:t>日</w:t>
      </w:r>
      <w:r>
        <w:rPr>
          <w:rFonts w:hint="eastAsia" w:ascii="仿宋_GB2312" w:eastAsia="仿宋_GB2312"/>
          <w:color w:val="auto"/>
          <w:sz w:val="28"/>
          <w:szCs w:val="28"/>
          <w:u w:val="single"/>
        </w:rPr>
        <w:t>10</w:t>
      </w:r>
      <w:r>
        <w:rPr>
          <w:rFonts w:hint="eastAsia" w:ascii="仿宋_GB2312" w:eastAsia="仿宋_GB2312"/>
          <w:color w:val="auto"/>
          <w:sz w:val="28"/>
          <w:szCs w:val="28"/>
        </w:rPr>
        <w:t>时</w:t>
      </w:r>
      <w:r>
        <w:rPr>
          <w:rFonts w:hint="eastAsia" w:ascii="仿宋_GB2312" w:eastAsia="仿宋_GB2312"/>
          <w:color w:val="auto"/>
          <w:sz w:val="28"/>
          <w:szCs w:val="28"/>
          <w:u w:val="single"/>
        </w:rPr>
        <w:t>00</w:t>
      </w:r>
      <w:r>
        <w:rPr>
          <w:rFonts w:hint="eastAsia" w:ascii="仿宋_GB2312" w:eastAsia="仿宋_GB2312"/>
          <w:color w:val="auto"/>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20"/>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0"/>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0"/>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0"/>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0"/>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0"/>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color w:val="auto"/>
          <w:highlight w:val="none"/>
        </w:rPr>
      </w:pPr>
    </w:p>
    <w:p>
      <w:pPr>
        <w:pStyle w:val="2"/>
        <w:rPr>
          <w:rFonts w:hint="eastAsia"/>
        </w:rPr>
      </w:pPr>
    </w:p>
    <w:p>
      <w:pPr>
        <w:pStyle w:val="3"/>
        <w:rPr>
          <w:rFonts w:hint="eastAsia"/>
          <w:color w:val="auto"/>
          <w:highlight w:val="none"/>
        </w:rPr>
      </w:pPr>
      <w:bookmarkStart w:id="14" w:name="_Toc32588"/>
      <w:bookmarkStart w:id="15" w:name="_Toc16557"/>
      <w:bookmarkStart w:id="16" w:name="_Toc23749"/>
      <w:bookmarkStart w:id="17" w:name="_Toc2331"/>
      <w:bookmarkStart w:id="18" w:name="_Toc19295"/>
      <w:bookmarkStart w:id="19" w:name="_Toc2324"/>
      <w:bookmarkStart w:id="20" w:name="_Toc7340"/>
      <w:bookmarkStart w:id="21" w:name="_Toc9448"/>
      <w:bookmarkStart w:id="22" w:name="_Toc16705"/>
      <w:bookmarkStart w:id="23" w:name="_Toc25603"/>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YCxHXAAAACw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pStyle w:val="2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2282190</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7pt;margin-top:52.7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hFO3WAAAACQEAAA8AAAAAAAAAAQAgAAAAIgAAAGRycy9kb3ducmV2Lnht&#10;bFBLAQIUABQAAAAIAIdO4kCf+FTp+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4"/>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20594"/>
      <w:bookmarkStart w:id="36" w:name="_Toc3156"/>
      <w:bookmarkStart w:id="37" w:name="_Toc14870"/>
      <w:bookmarkStart w:id="38" w:name="_Toc7118"/>
      <w:bookmarkStart w:id="39" w:name="_Toc10930"/>
      <w:bookmarkStart w:id="40" w:name="_Toc23581"/>
      <w:bookmarkStart w:id="41" w:name="_Toc7437"/>
      <w:bookmarkStart w:id="42" w:name="_Toc19759"/>
      <w:bookmarkStart w:id="43" w:name="_Toc14552"/>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3"/>
        <w:rPr>
          <w:color w:val="auto"/>
          <w:highlight w:val="none"/>
        </w:rPr>
      </w:pPr>
      <w:bookmarkStart w:id="45" w:name="_Toc88209941"/>
      <w:bookmarkStart w:id="46" w:name="_Toc87616378"/>
      <w:bookmarkStart w:id="47" w:name="_Toc32607"/>
      <w:bookmarkStart w:id="48" w:name="_Toc12177"/>
      <w:bookmarkStart w:id="49" w:name="_Toc21079"/>
      <w:bookmarkStart w:id="50" w:name="_Toc22212"/>
      <w:bookmarkStart w:id="51" w:name="_Toc6308"/>
      <w:bookmarkStart w:id="52" w:name="_Toc21840"/>
      <w:bookmarkStart w:id="53" w:name="_Toc29345"/>
      <w:bookmarkStart w:id="54" w:name="_Toc13898"/>
      <w:bookmarkStart w:id="55" w:name="_Toc29484"/>
      <w:bookmarkStart w:id="56" w:name="_Toc3053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
        <w:rPr>
          <w:rFonts w:hint="eastAsia" w:ascii="仿宋" w:hAnsi="仿宋" w:eastAsia="仿宋"/>
          <w:b/>
          <w:color w:val="auto"/>
          <w:sz w:val="32"/>
          <w:szCs w:val="32"/>
        </w:rPr>
      </w:pPr>
    </w:p>
    <w:p>
      <w:pPr>
        <w:pStyle w:val="2"/>
        <w:rPr>
          <w:rFonts w:hint="eastAsia" w:ascii="仿宋" w:hAnsi="仿宋" w:eastAsia="仿宋"/>
          <w:b/>
          <w:color w:val="auto"/>
          <w:sz w:val="32"/>
          <w:szCs w:val="32"/>
        </w:rPr>
      </w:pPr>
    </w:p>
    <w:p>
      <w:pPr>
        <w:pStyle w:val="2"/>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氢氧化钠（30%溶液）</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594</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氢氧化钠</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8月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5</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7月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594</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6.乙方必须保证为甲方及招标文件中包含的广州市净水有限公司辖下污水处理厂/分公司提供服务及保证满足甲方及广州市净水有限公司的调配要求。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1"/>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pStyle w:val="19"/>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20"/>
        <w:rPr>
          <w:color w:val="auto"/>
          <w:highlight w:val="none"/>
        </w:rPr>
      </w:pPr>
    </w:p>
    <w:p>
      <w:pPr>
        <w:pStyle w:val="20"/>
        <w:rPr>
          <w:color w:val="auto"/>
          <w:highlight w:val="none"/>
        </w:rPr>
      </w:pPr>
    </w:p>
    <w:p>
      <w:pPr>
        <w:pStyle w:val="20"/>
        <w:rPr>
          <w:color w:val="auto"/>
          <w:highlight w:val="none"/>
        </w:rPr>
      </w:pPr>
    </w:p>
    <w:p>
      <w:pPr>
        <w:rPr>
          <w:color w:val="auto"/>
          <w:highlight w:val="none"/>
        </w:rPr>
      </w:pPr>
      <w:r>
        <w:rPr>
          <w:color w:val="auto"/>
          <w:highlight w:val="none"/>
        </w:rPr>
        <w:br w:type="page"/>
      </w:r>
    </w:p>
    <w:p>
      <w:pPr>
        <w:pStyle w:val="20"/>
        <w:rPr>
          <w:color w:val="auto"/>
          <w:highlight w:val="none"/>
        </w:rPr>
      </w:pPr>
    </w:p>
    <w:p>
      <w:pPr>
        <w:pStyle w:val="20"/>
        <w:rPr>
          <w:color w:val="auto"/>
          <w:highlight w:val="none"/>
        </w:rPr>
      </w:pPr>
    </w:p>
    <w:p>
      <w:pPr>
        <w:pStyle w:val="3"/>
        <w:rPr>
          <w:color w:val="auto"/>
          <w:highlight w:val="none"/>
        </w:rPr>
      </w:pPr>
      <w:bookmarkStart w:id="61" w:name="_Toc4680"/>
      <w:bookmarkStart w:id="62" w:name="_Toc15570"/>
      <w:bookmarkStart w:id="63" w:name="_Toc25925"/>
      <w:bookmarkStart w:id="64" w:name="_Toc18538"/>
      <w:bookmarkStart w:id="65" w:name="_Toc537"/>
      <w:bookmarkStart w:id="66" w:name="_Toc12135"/>
      <w:bookmarkStart w:id="67" w:name="_Toc23330"/>
      <w:bookmarkStart w:id="68" w:name="_Toc1284"/>
      <w:bookmarkStart w:id="69" w:name="_Toc23353"/>
      <w:bookmarkStart w:id="70" w:name="_Toc1496"/>
      <w:bookmarkStart w:id="71" w:name="_Toc298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3"/>
        <w:rPr>
          <w:color w:val="auto"/>
          <w:highlight w:val="none"/>
        </w:rPr>
      </w:pPr>
      <w:bookmarkStart w:id="72" w:name="_Toc12980"/>
      <w:bookmarkStart w:id="73" w:name="_Toc87616386"/>
      <w:bookmarkStart w:id="74" w:name="_Toc13309"/>
      <w:bookmarkStart w:id="75" w:name="_Toc323"/>
      <w:bookmarkStart w:id="76" w:name="_Toc19088"/>
      <w:bookmarkStart w:id="77" w:name="_Toc22501"/>
      <w:bookmarkStart w:id="78" w:name="_Toc22797"/>
      <w:bookmarkStart w:id="79" w:name="_Toc19686"/>
      <w:bookmarkStart w:id="80" w:name="_Toc88209949"/>
      <w:bookmarkStart w:id="81" w:name="_Toc12968"/>
      <w:bookmarkStart w:id="82" w:name="_Toc12721"/>
      <w:bookmarkStart w:id="83" w:name="_Toc8183"/>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宋体" w:hAnsi="宋体"/>
          <w:b/>
          <w:color w:val="auto"/>
          <w:sz w:val="52"/>
          <w:szCs w:val="52"/>
          <w:highlight w:val="none"/>
        </w:rPr>
      </w:pPr>
      <w:r>
        <w:rPr>
          <w:rFonts w:ascii="方正小标宋简体" w:eastAsia="方正小标宋简体"/>
          <w:color w:val="auto"/>
          <w:sz w:val="44"/>
          <w:szCs w:val="44"/>
          <w:highlight w:val="none"/>
        </w:rPr>
        <w:br w:type="page"/>
      </w:r>
    </w:p>
    <w:p>
      <w:pPr>
        <w:pStyle w:val="20"/>
        <w:rPr>
          <w:color w:val="auto"/>
        </w:rPr>
      </w:pP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rPr>
        <w:t>广州市净水有限公司2023-2025年氢氧化钠（30%溶液）采购项目合同</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ind w:left="1506" w:hanging="1506" w:hangingChars="500"/>
        <w:rPr>
          <w:rFonts w:hint="eastAsia" w:ascii="宋体" w:hAnsi="宋体" w:cs="宋体"/>
          <w:b/>
          <w:bCs/>
          <w:color w:val="auto"/>
          <w:sz w:val="30"/>
          <w:highlight w:val="none"/>
        </w:rPr>
      </w:pPr>
      <w:r>
        <w:rPr>
          <w:rFonts w:hint="eastAsia" w:ascii="宋体" w:hAnsi="宋体" w:cs="宋体"/>
          <w:b/>
          <w:bCs/>
          <w:color w:val="auto"/>
          <w:sz w:val="30"/>
          <w:highlight w:val="none"/>
        </w:rPr>
        <w:t>项目名称：广州市净水有限公司2023-2025年氢氧化钠（30%溶液）采购项目</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hint="default" w:ascii="宋体" w:hAnsi="宋体" w:eastAsia="宋体"/>
          <w:b/>
          <w:bCs/>
          <w:color w:val="auto"/>
          <w:highlight w:val="none"/>
          <w:u w:val="single"/>
          <w:lang w:val="en-US" w:eastAsia="zh-CN"/>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9"/>
        <w:spacing w:line="520" w:lineRule="exact"/>
        <w:ind w:firstLine="588" w:firstLineChars="245"/>
        <w:rPr>
          <w:rFonts w:hint="eastAsia" w:cs="宋体"/>
          <w:color w:val="auto"/>
          <w:sz w:val="24"/>
          <w:highlight w:val="none"/>
        </w:rPr>
      </w:pPr>
    </w:p>
    <w:p>
      <w:pPr>
        <w:pStyle w:val="9"/>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singl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 xml:space="preserve">氢氧化钠（30%溶液） </w:t>
      </w:r>
      <w:r>
        <w:rPr>
          <w:rFonts w:hint="eastAsia" w:cs="宋体"/>
          <w:color w:val="auto"/>
          <w:sz w:val="24"/>
          <w:highlight w:val="none"/>
        </w:rPr>
        <w:t>采购和相应技术服务事宜，遵循平等、自愿、公平和诚实信用的原则，双方协商一致，订立本合同。</w:t>
      </w:r>
    </w:p>
    <w:p>
      <w:pPr>
        <w:pStyle w:val="7"/>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招标文件/询价文件</w:t>
      </w:r>
      <w:r>
        <w:rPr>
          <w:rFonts w:hint="eastAsia" w:ascii="宋体" w:hAnsi="宋体" w:cs="宋体"/>
          <w:color w:val="auto"/>
          <w:sz w:val="24"/>
          <w:highlight w:val="none"/>
        </w:rPr>
        <w:t>的要求, 交货地点和日期要求如下：</w:t>
      </w:r>
    </w:p>
    <w:tbl>
      <w:tblPr>
        <w:tblStyle w:val="21"/>
        <w:tblpPr w:leftFromText="180" w:rightFromText="180" w:vertAnchor="text" w:horzAnchor="page" w:tblpX="1243" w:tblpY="612"/>
        <w:tblOverlap w:val="never"/>
        <w:tblW w:w="9084" w:type="dxa"/>
        <w:tblInd w:w="0" w:type="dxa"/>
        <w:tblLayout w:type="fixed"/>
        <w:tblCellMar>
          <w:top w:w="0" w:type="dxa"/>
          <w:left w:w="108" w:type="dxa"/>
          <w:bottom w:w="0" w:type="dxa"/>
          <w:right w:w="108" w:type="dxa"/>
        </w:tblCellMar>
      </w:tblPr>
      <w:tblGrid>
        <w:gridCol w:w="789"/>
        <w:gridCol w:w="839"/>
        <w:gridCol w:w="1076"/>
        <w:gridCol w:w="709"/>
        <w:gridCol w:w="882"/>
        <w:gridCol w:w="727"/>
        <w:gridCol w:w="1065"/>
        <w:gridCol w:w="973"/>
        <w:gridCol w:w="103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88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eastAsia"/>
                <w:b/>
                <w:bCs/>
                <w:color w:val="auto"/>
                <w:sz w:val="24"/>
                <w:szCs w:val="24"/>
                <w:highlight w:val="none"/>
                <w:lang w:val="zh-CN"/>
              </w:rPr>
            </w:pPr>
            <w:r>
              <w:rPr>
                <w:rFonts w:hint="eastAsia"/>
                <w:b/>
                <w:bCs/>
                <w:color w:val="auto"/>
                <w:sz w:val="24"/>
                <w:szCs w:val="24"/>
                <w:highlight w:val="none"/>
                <w:lang w:val="zh-CN"/>
              </w:rPr>
              <w:t>数量</w:t>
            </w:r>
          </w:p>
          <w:p>
            <w:pPr>
              <w:pStyle w:val="7"/>
              <w:rPr>
                <w:color w:val="auto"/>
                <w:highlight w:val="none"/>
                <w:lang w:val="zh-CN"/>
              </w:rPr>
            </w:pP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179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005" w:type="dxa"/>
            <w:gridSpan w:val="2"/>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金额（万元）</w:t>
            </w:r>
          </w:p>
        </w:tc>
        <w:tc>
          <w:tcPr>
            <w:tcW w:w="9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3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73" w:type="dxa"/>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3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92" w:type="dxa"/>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CellMar>
            <w:top w:w="0" w:type="dxa"/>
            <w:left w:w="108" w:type="dxa"/>
            <w:bottom w:w="0" w:type="dxa"/>
            <w:right w:w="108" w:type="dxa"/>
          </w:tblCellMar>
        </w:tblPrEx>
        <w:trPr>
          <w:trHeight w:val="1748"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p>
        </w:tc>
        <w:tc>
          <w:tcPr>
            <w:tcW w:w="8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594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973" w:type="dxa"/>
            <w:tcBorders>
              <w:top w:val="single" w:color="000000" w:sz="2" w:space="0"/>
              <w:left w:val="single" w:color="auto" w:sz="4" w:space="0"/>
              <w:bottom w:val="single" w:color="auto" w:sz="4" w:space="0"/>
              <w:right w:val="single" w:color="000000" w:sz="2" w:space="0"/>
            </w:tcBorders>
            <w:shd w:val="clear" w:color="000000" w:fill="FFFFFF"/>
            <w:vAlign w:val="center"/>
          </w:tcPr>
          <w:p>
            <w:pPr>
              <w:pStyle w:val="2"/>
              <w:jc w:val="center"/>
              <w:rPr>
                <w:rFonts w:hint="default"/>
                <w:color w:val="auto"/>
                <w:highlight w:val="none"/>
                <w:lang w:val="en-US" w:eastAsia="zh-CN"/>
              </w:rPr>
            </w:pPr>
          </w:p>
        </w:tc>
        <w:tc>
          <w:tcPr>
            <w:tcW w:w="1032" w:type="dxa"/>
            <w:tcBorders>
              <w:top w:val="single" w:color="000000" w:sz="2" w:space="0"/>
              <w:left w:val="single" w:color="000000" w:sz="2" w:space="0"/>
              <w:bottom w:val="single" w:color="auto" w:sz="4" w:space="0"/>
              <w:right w:val="single" w:color="000000" w:sz="2" w:space="0"/>
            </w:tcBorders>
            <w:shd w:val="clear" w:color="000000" w:fill="FFFFFF"/>
            <w:vAlign w:val="center"/>
          </w:tcPr>
          <w:p>
            <w:pPr>
              <w:pStyle w:val="2"/>
              <w:jc w:val="center"/>
              <w:rPr>
                <w:rFonts w:hint="default"/>
                <w:color w:val="auto"/>
                <w:highlight w:val="none"/>
                <w:lang w:val="en-US" w:eastAsia="zh-CN"/>
              </w:rPr>
            </w:pPr>
          </w:p>
        </w:tc>
        <w:tc>
          <w:tcPr>
            <w:tcW w:w="992" w:type="dxa"/>
            <w:tcBorders>
              <w:top w:val="single" w:color="000000" w:sz="2" w:space="0"/>
              <w:left w:val="single" w:color="000000" w:sz="2" w:space="0"/>
              <w:bottom w:val="single" w:color="auto" w:sz="4" w:space="0"/>
              <w:right w:val="single" w:color="auto" w:sz="4" w:space="0"/>
            </w:tcBorders>
            <w:shd w:val="clear" w:color="000000" w:fill="FFFFFF"/>
            <w:vAlign w:val="center"/>
          </w:tcPr>
          <w:p>
            <w:pPr>
              <w:jc w:val="center"/>
              <w:rPr>
                <w:color w:val="auto"/>
                <w:highlight w:val="none"/>
              </w:rPr>
            </w:pPr>
          </w:p>
          <w:p>
            <w:pPr>
              <w:autoSpaceDE w:val="0"/>
              <w:autoSpaceDN w:val="0"/>
              <w:adjustRightInd w:val="0"/>
              <w:spacing w:line="520" w:lineRule="exact"/>
              <w:jc w:val="center"/>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pStyle w:val="19"/>
        <w:rPr>
          <w:color w:val="auto"/>
        </w:rPr>
      </w:pPr>
    </w:p>
    <w:p>
      <w:pPr>
        <w:pStyle w:val="6"/>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6"/>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u w:val="single"/>
          <w:lang w:val="en-US" w:eastAsia="zh-CN"/>
        </w:rPr>
        <w:t>594</w:t>
      </w:r>
      <w:r>
        <w:rPr>
          <w:rFonts w:hint="eastAsia" w:ascii="宋体" w:hAnsi="宋体" w:cs="宋体"/>
          <w:color w:val="auto"/>
          <w:sz w:val="24"/>
          <w:highlight w:val="none"/>
        </w:rPr>
        <w:t>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1"/>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spacing w:line="520" w:lineRule="exact"/>
        <w:ind w:firstLine="480" w:firstLineChars="200"/>
        <w:rPr>
          <w:rFonts w:hint="eastAsia" w:ascii="宋体" w:hAnsi="宋体" w:cs="宋体"/>
          <w:color w:val="auto"/>
          <w:kern w:val="0"/>
          <w:sz w:val="24"/>
          <w:highlight w:val="none"/>
        </w:rPr>
      </w:pPr>
    </w:p>
    <w:p>
      <w:pPr>
        <w:spacing w:line="520" w:lineRule="exact"/>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255"/>
          <w:numId w:val="0"/>
        </w:num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（适用针对需求量较少的生产类药剂，合同总金额低于30万元）</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第四条 考核办法</w:t>
      </w:r>
    </w:p>
    <w:p>
      <w:pPr>
        <w:spacing w:line="520" w:lineRule="exact"/>
        <w:rPr>
          <w:rFonts w:ascii="宋体" w:hAnsi="宋体" w:cs="宋体"/>
          <w:b/>
          <w:color w:val="auto"/>
          <w:sz w:val="24"/>
          <w:highlight w:val="none"/>
        </w:rPr>
      </w:pPr>
      <w:r>
        <w:rPr>
          <w:rFonts w:hint="eastAsia" w:ascii="宋体" w:hAnsi="宋体" w:cs="宋体"/>
          <w:bCs/>
          <w:color w:val="auto"/>
          <w:sz w:val="24"/>
          <w:highlight w:val="none"/>
        </w:rPr>
        <w:t xml:space="preserve">    4.1本合同考核评价按附表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为标准。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4.2考核期限</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4.3考核评价办法</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4"/>
          <w:highlight w:val="none"/>
        </w:rPr>
      </w:pPr>
      <w:r>
        <w:rPr>
          <w:rFonts w:hint="eastAsia" w:ascii="宋体" w:hAnsi="宋体" w:cs="宋体"/>
          <w:color w:val="auto"/>
          <w:sz w:val="24"/>
          <w:highlight w:val="none"/>
        </w:rPr>
        <w:tab/>
      </w:r>
      <w:r>
        <w:rPr>
          <w:rFonts w:hint="eastAsia" w:ascii="宋体" w:hAnsi="宋体" w:cs="宋体"/>
          <w:b/>
          <w:color w:val="auto"/>
          <w:sz w:val="24"/>
          <w:highlight w:val="none"/>
        </w:rPr>
        <w:t>第五条 双方的权利和义务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5.1甲方的权利和义务</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5.2.1乙方须保证供货量能达到甲方（招标文件/询价文件）要求的标的（包括标段</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本合同约定的价格为含税价价格（税率 </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（1）乙方按每吨（药剂）计价，单价为</w:t>
      </w:r>
      <w:r>
        <w:rPr>
          <w:rFonts w:hint="eastAsia" w:ascii="宋体" w:hAnsi="宋体" w:cs="宋体"/>
          <w:color w:val="auto"/>
          <w:sz w:val="24"/>
          <w:highlight w:val="none"/>
          <w:u w:val="single"/>
          <w:lang w:val="en-US" w:eastAsia="zh-CN"/>
        </w:rPr>
        <w:t xml:space="preserve">氢氧化钠（30%溶液）    </w:t>
      </w:r>
      <w:r>
        <w:rPr>
          <w:rFonts w:hint="eastAsia" w:ascii="宋体" w:hAnsi="宋体" w:cs="宋体"/>
          <w:color w:val="auto"/>
          <w:sz w:val="24"/>
          <w:highlight w:val="none"/>
        </w:rPr>
        <w:t>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color w:val="auto"/>
          <w:sz w:val="24"/>
          <w:highlight w:val="none"/>
        </w:rPr>
        <w:t>适用阳离子药剂</w:t>
      </w:r>
      <w:r>
        <w:rPr>
          <w:rFonts w:hint="eastAsia" w:ascii="宋体" w:hAnsi="宋体" w:cs="宋体"/>
          <w:color w:val="auto"/>
          <w:sz w:val="24"/>
          <w:highlight w:val="none"/>
        </w:rPr>
        <w:t>）</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color w:val="auto"/>
          <w:sz w:val="24"/>
          <w:highlight w:val="none"/>
        </w:rPr>
        <w:t>（适用阳离子药剂）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账号：0301014140006932</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 xml:space="preserve"> 氢氧化钠（30%溶液）</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（1）执行。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，即人民币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元（按招标文件或询价文件要求）。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元（适用应急项目）。</w:t>
      </w:r>
    </w:p>
    <w:p>
      <w:pPr>
        <w:pStyle w:val="18"/>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8"/>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8"/>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户名：</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账号：</w:t>
      </w:r>
    </w:p>
    <w:p>
      <w:pPr>
        <w:tabs>
          <w:tab w:val="left" w:pos="1995"/>
        </w:tabs>
        <w:spacing w:line="520" w:lineRule="exact"/>
        <w:ind w:firstLine="480" w:firstLineChars="200"/>
        <w:rPr>
          <w:color w:val="auto"/>
        </w:rPr>
      </w:pPr>
      <w:r>
        <w:rPr>
          <w:rFonts w:hint="eastAsia" w:ascii="宋体" w:hAnsi="宋体" w:cs="宋体"/>
          <w:bCs/>
          <w:color w:val="auto"/>
          <w:sz w:val="24"/>
          <w:highlight w:val="none"/>
        </w:rPr>
        <w:t>开户行：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份，甲方__</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_份，乙方</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3-1药剂安全情况自查表(普通化学品）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3-2药剂安全情况自查表(危险化学品）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left="1197" w:leftChars="570"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spacing w:line="520" w:lineRule="exact"/>
        <w:rPr>
          <w:color w:val="auto"/>
        </w:rPr>
      </w:pPr>
      <w:r>
        <w:rPr>
          <w:rFonts w:hint="eastAsia" w:ascii="宋体" w:hAnsi="宋体" w:cs="宋体"/>
          <w:color w:val="auto"/>
          <w:sz w:val="24"/>
          <w:highlight w:val="none"/>
        </w:rPr>
        <w:t>甲方：广州市净水有限公司（盖章）         乙方：</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经办人：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经办人：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520" w:lineRule="exact"/>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签署日期：    年    月    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80" w:lineRule="auto"/>
        <w:rPr>
          <w:rFonts w:ascii="宋体" w:hAnsi="宋体"/>
          <w:b/>
          <w:color w:val="auto"/>
          <w:highlight w:val="none"/>
        </w:rPr>
      </w:pPr>
      <w:r>
        <w:rPr>
          <w:rFonts w:hint="eastAsia" w:ascii="宋体" w:hAnsi="宋体"/>
          <w:b/>
          <w:color w:val="auto"/>
          <w:highlight w:val="none"/>
        </w:rPr>
        <w:t>附表1：考核评价标准</w:t>
      </w:r>
    </w:p>
    <w:tbl>
      <w:tblPr>
        <w:tblStyle w:val="21"/>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167"/>
        <w:gridCol w:w="323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36"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233"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7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167" w:type="dxa"/>
          </w:tcPr>
          <w:p>
            <w:pPr>
              <w:spacing w:line="440" w:lineRule="exact"/>
              <w:jc w:val="center"/>
              <w:rPr>
                <w:rFonts w:ascii="宋体" w:hAnsi="宋体" w:cs="宋体"/>
                <w:color w:val="auto"/>
                <w:spacing w:val="8"/>
                <w:kern w:val="0"/>
                <w:szCs w:val="21"/>
                <w:highlight w:val="none"/>
              </w:rPr>
            </w:pPr>
          </w:p>
        </w:tc>
        <w:tc>
          <w:tcPr>
            <w:tcW w:w="3233" w:type="dxa"/>
          </w:tcPr>
          <w:p>
            <w:pPr>
              <w:spacing w:line="440" w:lineRule="exact"/>
              <w:jc w:val="center"/>
              <w:rPr>
                <w:rFonts w:ascii="宋体" w:hAnsi="宋体" w:cs="宋体"/>
                <w:color w:val="auto"/>
                <w:spacing w:val="8"/>
                <w:kern w:val="0"/>
                <w:szCs w:val="21"/>
                <w:highlight w:val="none"/>
              </w:rPr>
            </w:pPr>
          </w:p>
        </w:tc>
        <w:tc>
          <w:tcPr>
            <w:tcW w:w="936"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14"/>
        <w:gridCol w:w="2069"/>
        <w:gridCol w:w="207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914"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6189"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continue"/>
            <w:vAlign w:val="center"/>
          </w:tcPr>
          <w:p>
            <w:pPr>
              <w:spacing w:line="360" w:lineRule="auto"/>
              <w:jc w:val="center"/>
              <w:rPr>
                <w:rFonts w:ascii="宋体" w:hAnsi="宋体" w:cs="宋体"/>
                <w:b/>
                <w:color w:val="auto"/>
                <w:szCs w:val="21"/>
                <w:highlight w:val="none"/>
              </w:rPr>
            </w:pPr>
          </w:p>
        </w:tc>
        <w:tc>
          <w:tcPr>
            <w:tcW w:w="1914"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069"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07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05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1914"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6"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069"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07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050"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rPr>
          <w:rFonts w:hint="eastAsia" w:ascii="宋体" w:hAnsi="宋体"/>
          <w:b/>
          <w:bCs/>
          <w:color w:val="auto"/>
          <w:szCs w:val="21"/>
          <w:highlight w:val="none"/>
        </w:rPr>
      </w:pPr>
      <w:r>
        <w:rPr>
          <w:rFonts w:hint="eastAsia" w:ascii="宋体" w:hAnsi="宋体"/>
          <w:b/>
          <w:bCs/>
          <w:color w:val="auto"/>
          <w:szCs w:val="21"/>
          <w:highlight w:val="none"/>
        </w:rPr>
        <w:br w:type="page"/>
      </w: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8"/>
          <w:rFonts w:hint="default"/>
          <w:b/>
          <w:bCs/>
          <w:color w:val="auto"/>
          <w:sz w:val="21"/>
          <w:szCs w:val="21"/>
          <w:highlight w:val="none"/>
        </w:rPr>
        <w:t>药剂安全情况自查表（危险化学品）</w:t>
      </w:r>
    </w:p>
    <w:tbl>
      <w:tblPr>
        <w:tblStyle w:val="21"/>
        <w:tblpPr w:leftFromText="180" w:rightFromText="180" w:vertAnchor="text" w:horzAnchor="page" w:tblpX="692" w:tblpY="545"/>
        <w:tblOverlap w:val="never"/>
        <w:tblW w:w="9880" w:type="dxa"/>
        <w:tblInd w:w="0" w:type="dxa"/>
        <w:tblLayout w:type="autofit"/>
        <w:tblCellMar>
          <w:top w:w="0" w:type="dxa"/>
          <w:left w:w="0" w:type="dxa"/>
          <w:bottom w:w="0" w:type="dxa"/>
          <w:right w:w="0" w:type="dxa"/>
        </w:tblCellMar>
      </w:tblPr>
      <w:tblGrid>
        <w:gridCol w:w="1467"/>
        <w:gridCol w:w="1629"/>
        <w:gridCol w:w="2774"/>
        <w:gridCol w:w="1811"/>
        <w:gridCol w:w="2199"/>
      </w:tblGrid>
      <w:tr>
        <w:tblPrEx>
          <w:tblCellMar>
            <w:top w:w="0" w:type="dxa"/>
            <w:left w:w="0" w:type="dxa"/>
            <w:bottom w:w="0" w:type="dxa"/>
            <w:right w:w="0" w:type="dxa"/>
          </w:tblCellMar>
        </w:tblPrEx>
        <w:trPr>
          <w:trHeight w:val="1181" w:hRule="atLeast"/>
        </w:trPr>
        <w:tc>
          <w:tcPr>
            <w:tcW w:w="98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29"/>
                <w:rFonts w:hint="default"/>
                <w:color w:val="auto"/>
                <w:highlight w:val="none"/>
              </w:rPr>
              <w:t xml:space="preserve">         </w:t>
            </w:r>
            <w:r>
              <w:rPr>
                <w:rStyle w:val="28"/>
                <w:rFonts w:hint="default"/>
                <w:color w:val="auto"/>
                <w:highlight w:val="none"/>
              </w:rPr>
              <w:t>年</w:t>
            </w:r>
            <w:r>
              <w:rPr>
                <w:rStyle w:val="29"/>
                <w:rFonts w:hint="default"/>
                <w:color w:val="auto"/>
                <w:highlight w:val="none"/>
              </w:rPr>
              <w:t xml:space="preserve">       </w:t>
            </w:r>
            <w:r>
              <w:rPr>
                <w:rStyle w:val="28"/>
                <w:rFonts w:hint="default"/>
                <w:color w:val="auto"/>
                <w:highlight w:val="none"/>
              </w:rPr>
              <w:t>药剂安全情况自查表（危险化学品）</w:t>
            </w:r>
          </w:p>
        </w:tc>
      </w:tr>
      <w:tr>
        <w:tblPrEx>
          <w:tblCellMar>
            <w:top w:w="0" w:type="dxa"/>
            <w:left w:w="0" w:type="dxa"/>
            <w:bottom w:w="0" w:type="dxa"/>
            <w:right w:w="0" w:type="dxa"/>
          </w:tblCellMar>
        </w:tblPrEx>
        <w:trPr>
          <w:trHeight w:val="67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blPrEx>
          <w:tblCellMar>
            <w:top w:w="0" w:type="dxa"/>
            <w:left w:w="0" w:type="dxa"/>
            <w:bottom w:w="0" w:type="dxa"/>
            <w:right w:w="0" w:type="dxa"/>
          </w:tblCellMar>
        </w:tblPrEx>
        <w:trPr>
          <w:trHeight w:val="733"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58" w:hRule="atLeast"/>
        </w:trPr>
        <w:tc>
          <w:tcPr>
            <w:tcW w:w="14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62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7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81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19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2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774"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危险化学品</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377"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3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81"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647" w:hRule="atLeast"/>
        </w:trPr>
        <w:tc>
          <w:tcPr>
            <w:tcW w:w="9880"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240" w:lineRule="auto"/>
        <w:rPr>
          <w:rFonts w:hint="eastAsia" w:ascii="宋体" w:hAnsi="宋体"/>
          <w:b/>
          <w:color w:val="auto"/>
          <w:highlight w:val="none"/>
        </w:rPr>
      </w:pPr>
      <w:r>
        <w:rPr>
          <w:rFonts w:hint="eastAsia" w:ascii="宋体" w:hAnsi="宋体"/>
          <w:b/>
          <w:color w:val="auto"/>
          <w:highlight w:val="none"/>
        </w:rPr>
        <w:br w:type="page"/>
      </w:r>
    </w:p>
    <w:p>
      <w:pPr>
        <w:spacing w:line="360" w:lineRule="auto"/>
        <w:rPr>
          <w:rFonts w:ascii="宋体" w:hAnsi="宋体"/>
          <w:b/>
          <w:color w:val="auto"/>
          <w:highlight w:val="none"/>
        </w:rPr>
      </w:pPr>
      <w:r>
        <w:rPr>
          <w:rFonts w:hint="eastAsia" w:ascii="宋体" w:hAnsi="宋体"/>
          <w:b/>
          <w:color w:val="auto"/>
          <w:highlight w:val="none"/>
        </w:rPr>
        <w:t>附表3-2、</w:t>
      </w:r>
      <w:r>
        <w:rPr>
          <w:rStyle w:val="28"/>
          <w:rFonts w:hint="default"/>
          <w:b/>
          <w:bCs/>
          <w:color w:val="auto"/>
          <w:sz w:val="21"/>
          <w:szCs w:val="21"/>
          <w:highlight w:val="none"/>
        </w:rPr>
        <w:t>药剂安全情况自查表（普通化学品）</w:t>
      </w:r>
    </w:p>
    <w:tbl>
      <w:tblPr>
        <w:tblStyle w:val="21"/>
        <w:tblW w:w="8700" w:type="dxa"/>
        <w:tblInd w:w="0" w:type="dxa"/>
        <w:tblLayout w:type="autofit"/>
        <w:tblCellMar>
          <w:top w:w="0" w:type="dxa"/>
          <w:left w:w="0" w:type="dxa"/>
          <w:bottom w:w="0" w:type="dxa"/>
          <w:right w:w="0" w:type="dxa"/>
        </w:tblCellMar>
      </w:tblPr>
      <w:tblGrid>
        <w:gridCol w:w="1453"/>
        <w:gridCol w:w="1254"/>
        <w:gridCol w:w="2085"/>
        <w:gridCol w:w="1631"/>
        <w:gridCol w:w="2277"/>
      </w:tblGrid>
      <w:tr>
        <w:tblPrEx>
          <w:tblCellMar>
            <w:top w:w="0" w:type="dxa"/>
            <w:left w:w="0" w:type="dxa"/>
            <w:bottom w:w="0" w:type="dxa"/>
            <w:right w:w="0" w:type="dxa"/>
          </w:tblCellMar>
        </w:tblPrEx>
        <w:trPr>
          <w:trHeight w:val="854" w:hRule="atLeast"/>
        </w:trPr>
        <w:tc>
          <w:tcPr>
            <w:tcW w:w="870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04" w:hRule="atLeast"/>
        </w:trPr>
        <w:tc>
          <w:tcPr>
            <w:tcW w:w="1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2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08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63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27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08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73"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085"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氢氧化钠（30%溶液）</w:t>
            </w:r>
            <w:r>
              <w:rPr>
                <w:rFonts w:hint="eastAsia" w:ascii="宋体" w:hAnsi="宋体" w:cs="宋体"/>
                <w:color w:val="auto"/>
                <w:kern w:val="0"/>
                <w:sz w:val="24"/>
                <w:highlight w:val="none"/>
              </w:rPr>
              <w:t>车队的运输资质                     2、道路运输许可证。    3、送货人员的证件资料及职业卫生相关资料</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247"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08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63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629"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23"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79" w:hRule="atLeast"/>
        </w:trPr>
        <w:tc>
          <w:tcPr>
            <w:tcW w:w="870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yellow"/>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10"/>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10"/>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10"/>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乙方：</w:t>
      </w:r>
    </w:p>
    <w:p>
      <w:pPr>
        <w:pStyle w:val="20"/>
        <w:rPr>
          <w:color w:val="auto"/>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w:t>
      </w: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rPr>
        <w:t>份</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甲</w:t>
      </w:r>
      <w:r>
        <w:rPr>
          <w:rFonts w:hint="eastAsia" w:ascii="宋体" w:hAnsi="宋体" w:cs="宋体"/>
          <w:color w:val="auto"/>
          <w:kern w:val="0"/>
          <w:sz w:val="24"/>
          <w:highlight w:val="none"/>
          <w:lang w:val="en-US" w:eastAsia="zh-CN"/>
        </w:rPr>
        <w:t>方执</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lang w:val="en-US" w:eastAsia="zh-CN"/>
        </w:rPr>
        <w:t>份，</w:t>
      </w:r>
      <w:r>
        <w:rPr>
          <w:rFonts w:ascii="宋体" w:hAnsi="宋体" w:cs="宋体"/>
          <w:color w:val="auto"/>
          <w:kern w:val="0"/>
          <w:sz w:val="24"/>
          <w:highlight w:val="none"/>
        </w:rPr>
        <w:t>乙方执</w:t>
      </w:r>
      <w:r>
        <w:rPr>
          <w:rFonts w:hint="eastAsia" w:ascii="宋体" w:hAnsi="宋体" w:cs="宋体"/>
          <w:color w:val="auto"/>
          <w:kern w:val="0"/>
          <w:sz w:val="24"/>
          <w:highlight w:val="none"/>
          <w:u w:val="single"/>
          <w:lang w:val="en-US" w:eastAsia="zh-CN"/>
        </w:rPr>
        <w:t>1</w:t>
      </w:r>
      <w:r>
        <w:rPr>
          <w:rFonts w:ascii="宋体" w:hAnsi="宋体" w:cs="宋体"/>
          <w:color w:val="auto"/>
          <w:kern w:val="0"/>
          <w:sz w:val="24"/>
          <w:highlight w:val="none"/>
        </w:rPr>
        <w:t>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法定代表人</w:t>
      </w:r>
      <w:r>
        <w:rPr>
          <w:rFonts w:hint="eastAsia" w:ascii="宋体" w:hAnsi="宋体" w:cs="宋体"/>
          <w:color w:val="auto"/>
          <w:kern w:val="0"/>
          <w:sz w:val="24"/>
          <w:highlight w:val="none"/>
          <w:lang w:val="en-US" w:eastAsia="zh-CN"/>
        </w:rPr>
        <w:t>/经办人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w:t>
      </w:r>
      <w:r>
        <w:rPr>
          <w:rFonts w:hint="eastAsia" w:ascii="宋体" w:hAnsi="宋体" w:cs="宋体"/>
          <w:color w:val="auto"/>
          <w:sz w:val="24"/>
          <w:highlight w:val="none"/>
          <w:lang w:val="en-US" w:eastAsia="zh-CN"/>
        </w:rPr>
        <w:t>天河区</w:t>
      </w:r>
      <w:r>
        <w:rPr>
          <w:rFonts w:hint="eastAsia" w:ascii="宋体" w:hAnsi="宋体" w:cs="宋体"/>
          <w:color w:val="auto"/>
          <w:sz w:val="24"/>
          <w:highlight w:val="none"/>
        </w:rPr>
        <w:t>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地址：</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color w:val="auto"/>
        </w:rPr>
        <w:br w:type="page"/>
      </w:r>
    </w:p>
    <w:p>
      <w:pPr>
        <w:pStyle w:val="20"/>
        <w:rPr>
          <w:rFonts w:ascii="仿宋_GB2312" w:eastAsia="仿宋_GB2312"/>
          <w:color w:val="auto"/>
          <w:sz w:val="28"/>
          <w:szCs w:val="28"/>
          <w:highlight w:val="none"/>
        </w:rPr>
      </w:pPr>
    </w:p>
    <w:p>
      <w:pPr>
        <w:pStyle w:val="3"/>
        <w:rPr>
          <w:color w:val="auto"/>
          <w:highlight w:val="none"/>
        </w:rPr>
      </w:pPr>
      <w:bookmarkStart w:id="87" w:name="_Toc16552"/>
      <w:bookmarkStart w:id="88" w:name="_Toc28358"/>
      <w:bookmarkStart w:id="89" w:name="_Toc1563"/>
      <w:bookmarkStart w:id="90" w:name="_Toc6230"/>
      <w:bookmarkStart w:id="91" w:name="_Toc3723"/>
      <w:bookmarkStart w:id="92" w:name="_Toc12169"/>
      <w:bookmarkStart w:id="93" w:name="_Toc21847"/>
      <w:bookmarkStart w:id="94" w:name="_Toc30824"/>
      <w:bookmarkStart w:id="95" w:name="_Toc5129"/>
      <w:bookmarkStart w:id="96" w:name="_Toc8147"/>
      <w:bookmarkStart w:id="97" w:name="_Toc2351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6"/>
        <w:rPr>
          <w:color w:val="auto"/>
          <w:highlight w:val="none"/>
        </w:rPr>
      </w:pPr>
    </w:p>
    <w:p>
      <w:pPr>
        <w:pStyle w:val="3"/>
        <w:rPr>
          <w:color w:val="auto"/>
          <w:highlight w:val="none"/>
        </w:rPr>
      </w:pPr>
      <w:bookmarkStart w:id="98" w:name="_Toc17119"/>
      <w:bookmarkStart w:id="99" w:name="_Toc21675"/>
      <w:bookmarkStart w:id="100" w:name="_Toc24815"/>
      <w:bookmarkStart w:id="101" w:name="_Toc10840"/>
      <w:bookmarkStart w:id="102" w:name="_Toc31564"/>
      <w:bookmarkStart w:id="103" w:name="_Toc87616388"/>
      <w:bookmarkStart w:id="104" w:name="_Toc88209951"/>
      <w:bookmarkStart w:id="105" w:name="_Toc12769"/>
      <w:bookmarkStart w:id="106" w:name="_Toc30157"/>
      <w:bookmarkStart w:id="107" w:name="_Toc12610"/>
      <w:bookmarkStart w:id="108" w:name="_Toc24490"/>
      <w:bookmarkStart w:id="109" w:name="_Toc22764"/>
      <w:bookmarkStart w:id="110" w:name="_Toc5342"/>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28619645"/>
      <w:bookmarkStart w:id="118" w:name="_Toc6313"/>
      <w:bookmarkStart w:id="119" w:name="_Toc12665"/>
      <w:bookmarkStart w:id="120" w:name="_Toc88209957"/>
      <w:bookmarkStart w:id="121" w:name="_Toc87616394"/>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22527"/>
      <w:bookmarkStart w:id="124" w:name="_Toc88209958"/>
      <w:bookmarkStart w:id="125"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1983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GB" w:eastAsia="zh-CN"/>
        </w:rPr>
        <w:t>-202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GB" w:eastAsia="zh-CN"/>
        </w:rPr>
        <w:t>年</w:t>
      </w:r>
      <w:r>
        <w:rPr>
          <w:rFonts w:hint="eastAsia" w:ascii="宋体" w:hAnsi="宋体" w:eastAsia="宋体" w:cs="宋体"/>
          <w:color w:val="auto"/>
          <w:kern w:val="2"/>
          <w:sz w:val="24"/>
          <w:szCs w:val="24"/>
          <w:highlight w:val="none"/>
          <w:lang w:val="en-US" w:eastAsia="zh-CN"/>
        </w:rPr>
        <w:t>氢氧化钠（30%溶液）</w:t>
      </w:r>
      <w:r>
        <w:rPr>
          <w:rFonts w:hint="eastAsia" w:ascii="宋体" w:hAnsi="宋体" w:eastAsia="宋体" w:cs="宋体"/>
          <w:color w:val="auto"/>
          <w:kern w:val="2"/>
          <w:sz w:val="24"/>
          <w:szCs w:val="24"/>
          <w:highlight w:val="none"/>
          <w:lang w:val="en-GB" w:eastAsia="zh-CN"/>
        </w:rPr>
        <w:t>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1"/>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氢氧化钠（30%溶液）</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液体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87616402"/>
            <w:bookmarkStart w:id="134" w:name="_Toc16386"/>
            <w:bookmarkStart w:id="135" w:name="_Toc88209965"/>
            <w:bookmarkStart w:id="136" w:name="_Toc6058"/>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rPr>
          <w:rFonts w:hint="eastAsia"/>
          <w:lang w:val="en-US" w:eastAsia="zh-CN"/>
        </w:rPr>
      </w:pPr>
    </w:p>
    <w:p>
      <w:pPr>
        <w:rPr>
          <w:rFonts w:hint="eastAsia"/>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rPr>
      </w:pPr>
    </w:p>
    <w:p>
      <w:pPr>
        <w:rPr>
          <w:color w:val="auto"/>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4035DFD"/>
    <w:rsid w:val="14DB3B83"/>
    <w:rsid w:val="177549DC"/>
    <w:rsid w:val="329C254B"/>
    <w:rsid w:val="38B92DB3"/>
    <w:rsid w:val="3FE33198"/>
    <w:rsid w:val="60764021"/>
    <w:rsid w:val="6F6D6A95"/>
    <w:rsid w:val="76D32442"/>
    <w:rsid w:val="79B33792"/>
    <w:rsid w:val="7A920264"/>
    <w:rsid w:val="7B616178"/>
    <w:rsid w:val="7E7844F5"/>
    <w:rsid w:val="7FCB0684"/>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7"/>
    <w:unhideWhenUsed/>
    <w:qFormat/>
    <w:uiPriority w:val="99"/>
    <w:pPr>
      <w:widowControl w:val="0"/>
      <w:spacing w:after="120" w:line="240" w:lineRule="auto"/>
      <w:ind w:firstLine="420"/>
    </w:pPr>
    <w:rPr>
      <w:kern w:val="2"/>
      <w:sz w:val="21"/>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bCs/>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3"/>
    <w:qFormat/>
    <w:uiPriority w:val="0"/>
    <w:rPr>
      <w:rFonts w:hint="eastAsia" w:ascii="宋体" w:hAnsi="宋体" w:eastAsia="宋体" w:cs="宋体"/>
      <w:color w:val="000000"/>
      <w:sz w:val="32"/>
      <w:szCs w:val="32"/>
      <w:u w:val="none"/>
    </w:rPr>
  </w:style>
  <w:style w:type="character" w:customStyle="1" w:styleId="29">
    <w:name w:val="font51"/>
    <w:basedOn w:val="23"/>
    <w:qFormat/>
    <w:uiPriority w:val="0"/>
    <w:rPr>
      <w:rFonts w:hint="eastAsia" w:ascii="宋体" w:hAnsi="宋体" w:eastAsia="宋体" w:cs="宋体"/>
      <w:color w:val="000000"/>
      <w:sz w:val="32"/>
      <w:szCs w:val="32"/>
      <w:u w:val="single"/>
    </w:rPr>
  </w:style>
  <w:style w:type="character" w:customStyle="1" w:styleId="30">
    <w:name w:val="font11"/>
    <w:basedOn w:val="23"/>
    <w:qFormat/>
    <w:uiPriority w:val="0"/>
    <w:rPr>
      <w:rFonts w:hint="default" w:ascii="Wingdings 2" w:hAnsi="Wingdings 2" w:eastAsia="Wingdings 2" w:cs="Wingdings 2"/>
      <w:color w:val="000000"/>
      <w:sz w:val="24"/>
      <w:szCs w:val="24"/>
      <w:u w:val="none"/>
    </w:rPr>
  </w:style>
  <w:style w:type="character" w:customStyle="1" w:styleId="31">
    <w:name w:val="font21"/>
    <w:basedOn w:val="23"/>
    <w:qFormat/>
    <w:uiPriority w:val="0"/>
    <w:rPr>
      <w:rFonts w:hint="eastAsia" w:ascii="宋体" w:hAnsi="宋体" w:eastAsia="宋体" w:cs="宋体"/>
      <w:color w:val="000000"/>
      <w:sz w:val="24"/>
      <w:szCs w:val="24"/>
      <w:u w:val="none"/>
    </w:rPr>
  </w:style>
  <w:style w:type="paragraph" w:customStyle="1" w:styleId="32">
    <w:name w:val="CM91"/>
    <w:basedOn w:val="11"/>
    <w:next w:val="11"/>
    <w:qFormat/>
    <w:uiPriority w:val="0"/>
    <w:pPr>
      <w:spacing w:after="160"/>
    </w:pPr>
    <w:rPr>
      <w:color w:val="auto"/>
    </w:rPr>
  </w:style>
  <w:style w:type="paragraph" w:customStyle="1" w:styleId="33">
    <w:name w:val="CM97"/>
    <w:basedOn w:val="11"/>
    <w:next w:val="11"/>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2023-07-07T03:54:15Z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C80927D6622A4E2A9ED5D7BBFDD70438</vt:lpwstr>
  </property>
</Properties>
</file>