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6" w:name="_GoBack"/>
      <w:bookmarkEnd w:id="136"/>
    </w:p>
    <w:p>
      <w:pPr>
        <w:pStyle w:val="2"/>
        <w:ind w:left="0" w:leftChars="0" w:firstLine="0" w:firstLineChars="0"/>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广州市净水有限公司大坦沙分公司</w:t>
      </w:r>
    </w:p>
    <w:p>
      <w:pPr>
        <w:pStyle w:val="2"/>
        <w:ind w:left="0" w:leftChars="0" w:firstLine="0" w:firstLineChars="0"/>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能源回收技术研究（第二次）</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rPr>
          <w:color w:val="auto"/>
          <w:highlight w:val="none"/>
        </w:rPr>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pPr>
    </w:p>
    <w:p>
      <w:pPr>
        <w:pStyle w:val="2"/>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color w:val="auto"/>
          <w:highlight w:val="none"/>
        </w:rPr>
      </w:pPr>
      <w:bookmarkStart w:id="0" w:name="_Toc26148"/>
      <w:bookmarkStart w:id="1" w:name="_Toc18145"/>
    </w:p>
    <w:p>
      <w:pPr>
        <w:rPr>
          <w:rFonts w:hint="eastAsia"/>
          <w:color w:val="auto"/>
          <w:highlight w:val="none"/>
        </w:rPr>
      </w:pPr>
    </w:p>
    <w:p>
      <w:pPr>
        <w:pStyle w:val="5"/>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rFonts w:hint="eastAsia"/>
          <w:color w:val="auto"/>
          <w:highlight w:val="none"/>
        </w:rPr>
      </w:pPr>
      <w:bookmarkStart w:id="4" w:name="_Toc11322"/>
      <w:bookmarkStart w:id="5" w:name="_Toc7519"/>
      <w:bookmarkStart w:id="6" w:name="_Toc31938"/>
      <w:bookmarkStart w:id="7" w:name="_Toc19609"/>
      <w:bookmarkStart w:id="8" w:name="_Toc17801"/>
      <w:bookmarkStart w:id="9" w:name="_Toc1669"/>
      <w:bookmarkStart w:id="10" w:name="_Toc4275"/>
    </w:p>
    <w:p>
      <w:pPr>
        <w:pStyle w:val="5"/>
        <w:rPr>
          <w:rFonts w:hint="eastAsia"/>
          <w:color w:val="auto"/>
          <w:highlight w:val="none"/>
        </w:rPr>
      </w:pPr>
    </w:p>
    <w:p>
      <w:pPr>
        <w:pStyle w:val="5"/>
        <w:jc w:val="both"/>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2321560</wp:posOffset>
                </wp:positionH>
                <wp:positionV relativeFrom="paragraph">
                  <wp:posOffset>523240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2.8pt;margin-top:41.2pt;height:0pt;width:75.5pt;z-index:251670528;mso-width-relative:page;mso-height-relative:page;" filled="f" stroked="t" coordsize="21600,21600" o:gfxdata="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pNm5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5"/>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广州市净水有限公司大坦沙分公司能源回收技术研究（第二次）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  □货物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广州市净水有限公司大坦沙分公司能源回收技术研究（第二次）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XJ-20230704-2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342000</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spacing w:line="360" w:lineRule="auto"/>
        <w:ind w:firstLine="640" w:firstLineChars="200"/>
        <w:jc w:val="both"/>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大坦沙分公司接触池出水口渠箱宽2m，落差约2m，水头流量3000-4000m³/小时，拟在接触池加装水力发电装置，利用水的势能转化为电能的原理进行发电为周边设备提供电能。</w:t>
      </w:r>
    </w:p>
    <w:p>
      <w:pPr>
        <w:spacing w:line="360" w:lineRule="auto"/>
        <w:ind w:firstLine="640" w:firstLineChars="200"/>
        <w:jc w:val="both"/>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结合大坦沙分公司接触池现场环境，根据接触池出水口渠箱尺寸及参数加设2组水力发电机组在接触池出水口位置。选用轴流式水轮机，稀土永磁异步发电机，转轮及重要部件为不锈钢。为接触池、离心机房周边照明设备功率约为9kw，一二期后门电动车充电设施功率约为1.7Kw每个充电位提供电力，按照满足上述日常用电设备功率设计、制作、安装能源切换装置，电压等级380V交流电，频率50Hz。</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广州市荔湾区桥中南路10号大坦沙净水厂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满足大坦沙分公司生产需要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同时具有</w:t>
      </w:r>
      <w:r>
        <w:rPr>
          <w:rFonts w:hint="eastAsia" w:ascii="仿宋_GB2312" w:eastAsia="仿宋_GB2312"/>
          <w:color w:val="auto"/>
          <w:sz w:val="28"/>
          <w:szCs w:val="28"/>
          <w:highlight w:val="none"/>
          <w:u w:val="single"/>
          <w:lang w:val="en-US" w:eastAsia="zh-CN"/>
        </w:rPr>
        <w:t>电力工程施工总承包/水利水电工程总承包资质/水利水电机电安装工程专业承包 三级（或以上级别）</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w:t>
      </w:r>
      <w:r>
        <w:rPr>
          <w:rFonts w:hint="eastAsia" w:ascii="仿宋_GB2312" w:eastAsia="仿宋_GB2312" w:hAnsiTheme="minorHAnsi" w:cstheme="minorBidi"/>
          <w:color w:val="auto"/>
          <w:kern w:val="2"/>
          <w:sz w:val="28"/>
          <w:szCs w:val="28"/>
          <w:highlight w:val="none"/>
          <w:lang w:val="en-US" w:eastAsia="zh-CN" w:bidi="ar-SA"/>
        </w:rPr>
        <w:t>同时具有建设主管部门颁发且在有效期内的《安全生产许可证》。</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一项类似</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numPr>
          <w:ilvl w:val="255"/>
          <w:numId w:val="0"/>
        </w:numPr>
        <w:spacing w:line="480" w:lineRule="exact"/>
        <w:rPr>
          <w:rFonts w:hint="eastAsia" w:ascii="仿宋_GB2312" w:eastAsia="仿宋_GB2312" w:hAnsiTheme="minorHAnsi" w:cstheme="minorBidi"/>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lang w:val="en-US" w:eastAsia="zh-CN"/>
        </w:rPr>
        <w:t>机电工程专业二</w:t>
      </w:r>
      <w:r>
        <w:rPr>
          <w:rFonts w:hint="eastAsia" w:ascii="仿宋_GB2312" w:eastAsia="仿宋_GB2312"/>
          <w:color w:val="auto"/>
          <w:sz w:val="28"/>
          <w:szCs w:val="28"/>
          <w:highlight w:val="none"/>
        </w:rPr>
        <w:t>级</w:t>
      </w:r>
      <w:r>
        <w:rPr>
          <w:rFonts w:hint="eastAsia" w:ascii="仿宋_GB2312" w:eastAsia="仿宋_GB2312"/>
          <w:color w:val="auto"/>
          <w:sz w:val="28"/>
          <w:szCs w:val="28"/>
          <w:highlight w:val="none"/>
          <w:lang w:eastAsia="zh-CN"/>
        </w:rPr>
        <w:t>（或以上级别）的注册建造师</w:t>
      </w:r>
      <w:r>
        <w:rPr>
          <w:rFonts w:hint="eastAsia" w:ascii="仿宋_GB2312" w:eastAsia="仿宋_GB2312"/>
          <w:color w:val="auto"/>
          <w:sz w:val="28"/>
          <w:szCs w:val="28"/>
          <w:highlight w:val="none"/>
        </w:rPr>
        <w:t>资格，同时持有项目负责人安全生产考核合格证（B类）（或能够提供广东省建筑施工企业管理人员安全生产考核信</w:t>
      </w:r>
      <w:r>
        <w:rPr>
          <w:rFonts w:hint="eastAsia" w:ascii="仿宋_GB2312" w:eastAsia="仿宋_GB2312" w:hAnsiTheme="minorHAnsi" w:cstheme="minorBidi"/>
          <w:color w:val="auto"/>
          <w:sz w:val="28"/>
          <w:szCs w:val="28"/>
          <w:highlight w:val="none"/>
          <w:u w:val="none"/>
        </w:rPr>
        <w:t>息系统安全生产管理人员证书信息的网页截图）。（注：注册建造师电子证书须由本人在个人签名处手写签名，未手写签名或与签名图像笔迹不一致的，电子证书无效</w:t>
      </w:r>
      <w:r>
        <w:rPr>
          <w:rFonts w:hint="eastAsia" w:ascii="仿宋_GB2312" w:eastAsia="仿宋_GB2312" w:cstheme="minorBidi"/>
          <w:color w:val="auto"/>
          <w:sz w:val="28"/>
          <w:szCs w:val="28"/>
          <w:highlight w:val="none"/>
          <w:u w:val="none"/>
          <w:lang w:eastAsia="zh-CN"/>
        </w:rPr>
        <w:t>。</w:t>
      </w:r>
      <w:r>
        <w:rPr>
          <w:rFonts w:hint="eastAsia" w:ascii="仿宋_GB2312" w:eastAsia="仿宋_GB2312" w:hAnsiTheme="minorHAnsi" w:cstheme="minorBidi"/>
          <w:color w:val="auto"/>
          <w:kern w:val="2"/>
          <w:sz w:val="28"/>
          <w:szCs w:val="28"/>
          <w:highlight w:val="none"/>
          <w:u w:val="none"/>
          <w:lang w:val="en-US" w:eastAsia="zh-CN" w:bidi="ar-SA"/>
        </w:rPr>
        <w:t>广东省外注册的二级建造师人员暂不能在我省执业</w:t>
      </w:r>
      <w:r>
        <w:rPr>
          <w:rFonts w:hint="eastAsia" w:ascii="仿宋_GB2312" w:eastAsia="仿宋_GB2312" w:cstheme="minorBidi"/>
          <w:color w:val="auto"/>
          <w:kern w:val="2"/>
          <w:sz w:val="28"/>
          <w:szCs w:val="28"/>
          <w:highlight w:val="none"/>
          <w:u w:val="none"/>
          <w:lang w:val="en-US" w:eastAsia="zh-CN" w:bidi="ar-SA"/>
        </w:rPr>
        <w:t>。</w:t>
      </w:r>
      <w:r>
        <w:rPr>
          <w:rFonts w:hint="eastAsia" w:ascii="仿宋_GB2312" w:eastAsia="仿宋_GB2312" w:hAnsiTheme="minorHAnsi" w:cstheme="minorBidi"/>
          <w:color w:val="auto"/>
          <w:sz w:val="28"/>
          <w:szCs w:val="28"/>
          <w:highlight w:val="none"/>
          <w:u w:val="none"/>
        </w:rPr>
        <w:t>）</w:t>
      </w:r>
    </w:p>
    <w:p>
      <w:pPr>
        <w:pStyle w:val="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 xml:space="preserve">）其他要求：专职安全人员要求：须具有安全生产考核合格证（C类）（或能够提供广东省建筑施工企业管理人员安全生产考核信息系统安全生产管理人员证书信息的网页截图）；供应商拟担任本工程项目负责人和安全员的人员资质须满足上述要求，且项目负责人不得同时兼任本项目专职安全人员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不组织</w:t>
      </w:r>
    </w:p>
    <w:p>
      <w:pPr>
        <w:adjustRightInd w:val="0"/>
        <w:snapToGrid w:val="0"/>
        <w:spacing w:line="360" w:lineRule="auto"/>
        <w:rPr>
          <w:rFonts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组织：</w:t>
      </w:r>
      <w:r>
        <w:rPr>
          <w:rFonts w:hint="eastAsia" w:ascii="仿宋_GB2312" w:hAnsi="仿宋" w:eastAsia="仿宋_GB2312" w:cs="仿宋_GB2312"/>
          <w:color w:val="000000" w:themeColor="text1"/>
          <w:sz w:val="28"/>
          <w:szCs w:val="28"/>
          <w:highlight w:val="none"/>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rPr>
        <w:t>踏勘现场联系人：</w:t>
      </w:r>
      <w:r>
        <w:rPr>
          <w:rFonts w:hint="eastAsia" w:ascii="仿宋_GB2312" w:eastAsia="仿宋_GB2312" w:hAnsiTheme="minorHAnsi" w:cstheme="minorBidi"/>
          <w:color w:val="auto"/>
          <w:kern w:val="2"/>
          <w:sz w:val="28"/>
          <w:szCs w:val="28"/>
          <w:highlight w:val="none"/>
          <w:lang w:val="en-US" w:eastAsia="zh-CN"/>
        </w:rPr>
        <w:t>陈工</w:t>
      </w:r>
    </w:p>
    <w:p>
      <w:pPr>
        <w:pStyle w:val="2"/>
        <w:ind w:firstLine="0"/>
        <w:rPr>
          <w:rFonts w:hint="default" w:ascii="仿宋_GB2312" w:eastAsia="仿宋_GB2312" w:hAnsiTheme="minorHAnsi"/>
          <w:color w:val="auto"/>
          <w:sz w:val="28"/>
          <w:szCs w:val="28"/>
          <w:highlight w:val="none"/>
          <w:lang w:val="en-US" w:eastAsia="zh-CN"/>
        </w:rPr>
      </w:pPr>
      <w:r>
        <w:rPr>
          <w:rFonts w:hint="eastAsia" w:ascii="仿宋_GB2312" w:eastAsia="仿宋_GB2312" w:hAnsiTheme="minorHAnsi" w:cstheme="minorBidi"/>
          <w:color w:val="auto"/>
          <w:kern w:val="2"/>
          <w:sz w:val="28"/>
          <w:szCs w:val="28"/>
          <w:highlight w:val="none"/>
        </w:rPr>
        <w:t>踏勘现场联系人联系方式：</w:t>
      </w:r>
      <w:r>
        <w:rPr>
          <w:rFonts w:hint="eastAsia" w:ascii="仿宋_GB2312" w:eastAsia="仿宋_GB2312" w:hAnsiTheme="minorHAnsi" w:cstheme="minorBidi"/>
          <w:color w:val="auto"/>
          <w:kern w:val="2"/>
          <w:sz w:val="28"/>
          <w:szCs w:val="28"/>
          <w:highlight w:val="none"/>
          <w:lang w:val="en-US" w:eastAsia="zh-CN"/>
        </w:rPr>
        <w:t>13632408925</w:t>
      </w:r>
    </w:p>
    <w:p>
      <w:pPr>
        <w:adjustRightInd w:val="0"/>
        <w:snapToGrid w:val="0"/>
        <w:spacing w:line="360" w:lineRule="auto"/>
        <w:rPr>
          <w:rFonts w:ascii="仿宋_GB2312" w:eastAsia="仿宋_GB2312"/>
          <w:sz w:val="28"/>
          <w:szCs w:val="28"/>
          <w:highlight w:val="none"/>
        </w:rPr>
      </w:pPr>
      <w:r>
        <w:rPr>
          <w:rFonts w:hint="eastAsia" w:ascii="仿宋_GB2312" w:eastAsia="仿宋_GB2312"/>
          <w:sz w:val="28"/>
          <w:szCs w:val="28"/>
          <w:highlight w:val="none"/>
        </w:rPr>
        <w:t>踏勘（答疑）集合时间：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2023</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0</w:t>
      </w:r>
      <w:r>
        <w:rPr>
          <w:rFonts w:hint="eastAsia" w:ascii="仿宋_GB2312" w:eastAsia="仿宋_GB2312"/>
          <w:sz w:val="28"/>
          <w:szCs w:val="28"/>
          <w:highlight w:val="none"/>
          <w:u w:val="single"/>
          <w:lang w:val="en-US" w:eastAsia="zh-CN"/>
        </w:rPr>
        <w:t>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分-</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9</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 xml:space="preserve">分。                     </w:t>
      </w:r>
    </w:p>
    <w:p>
      <w:pPr>
        <w:adjustRightInd w:val="0"/>
        <w:snapToGrid w:val="0"/>
        <w:spacing w:line="600" w:lineRule="exact"/>
        <w:rPr>
          <w:rFonts w:hint="default" w:eastAsia="仿宋_GB2312"/>
          <w:highlight w:val="none"/>
          <w:lang w:val="en-US" w:eastAsia="zh-CN"/>
        </w:rPr>
      </w:pPr>
      <w:r>
        <w:rPr>
          <w:rFonts w:hint="eastAsia" w:ascii="仿宋_GB2312" w:eastAsia="仿宋_GB2312"/>
          <w:sz w:val="28"/>
          <w:szCs w:val="28"/>
          <w:highlight w:val="none"/>
        </w:rPr>
        <w:t>踏勘集中地点</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广州市荔湾区桥中南路10号大坦沙净水厂</w:t>
      </w:r>
      <w:r>
        <w:rPr>
          <w:rFonts w:hint="eastAsia" w:ascii="仿宋_GB2312" w:eastAsia="仿宋_GB2312" w:hAnsiTheme="minorHAnsi"/>
          <w:sz w:val="28"/>
          <w:szCs w:val="28"/>
          <w:highlight w:val="none"/>
          <w:u w:val="single"/>
        </w:rPr>
        <w:t xml:space="preserve"> </w:t>
      </w:r>
      <w:r>
        <w:rPr>
          <w:rFonts w:hint="eastAsia" w:ascii="仿宋_GB2312" w:eastAsia="仿宋_GB2312"/>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7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分（北京时间）。截止时间：</w:t>
      </w:r>
      <w:r>
        <w:rPr>
          <w:rFonts w:hint="eastAsia" w:ascii="仿宋_GB2312" w:eastAsia="仿宋_GB2312"/>
          <w:sz w:val="28"/>
          <w:szCs w:val="28"/>
          <w:highlight w:val="none"/>
          <w:u w:val="single"/>
          <w:lang w:val="en-US" w:eastAsia="zh-CN"/>
        </w:rPr>
        <w:t xml:space="preserve"> 2023 </w:t>
      </w:r>
      <w:r>
        <w:rPr>
          <w:rFonts w:hint="eastAsia" w:ascii="仿宋_GB2312" w:eastAsia="仿宋_GB2312"/>
          <w:sz w:val="28"/>
          <w:szCs w:val="28"/>
          <w:highlight w:val="none"/>
          <w:u w:val="none"/>
          <w:lang w:val="en-US" w:eastAsia="zh-CN"/>
        </w:rPr>
        <w:t>年</w:t>
      </w:r>
      <w:r>
        <w:rPr>
          <w:rFonts w:hint="eastAsia" w:ascii="仿宋_GB2312" w:eastAsia="仿宋_GB2312"/>
          <w:sz w:val="28"/>
          <w:szCs w:val="28"/>
          <w:highlight w:val="none"/>
          <w:u w:val="single"/>
          <w:lang w:val="en-US" w:eastAsia="zh-CN"/>
        </w:rPr>
        <w:t>7</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10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default"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7"/>
                <w:szCs w:val="27"/>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黄</w:t>
            </w:r>
            <w:r>
              <w:rPr>
                <w:rFonts w:hint="eastAsia" w:ascii="仿宋_GB2312" w:hAnsi="仿宋_GB2312" w:eastAsia="仿宋_GB2312" w:cs="仿宋_GB2312"/>
                <w:i w:val="0"/>
                <w:iCs w:val="0"/>
                <w:caps w:val="0"/>
                <w:color w:val="auto"/>
                <w:spacing w:val="0"/>
                <w:sz w:val="27"/>
                <w:szCs w:val="27"/>
                <w:highlight w:val="none"/>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auto"/>
                <w:spacing w:val="0"/>
                <w:sz w:val="27"/>
                <w:szCs w:val="27"/>
                <w:highlight w:val="none"/>
              </w:rPr>
              <w:t>电 话：020-</w:t>
            </w:r>
            <w:r>
              <w:rPr>
                <w:rFonts w:hint="eastAsia" w:ascii="仿宋_GB2312" w:hAnsi="仿宋_GB2312" w:eastAsia="仿宋_GB2312" w:cs="仿宋_GB2312"/>
                <w:i w:val="0"/>
                <w:iCs w:val="0"/>
                <w:caps w:val="0"/>
                <w:color w:val="auto"/>
                <w:spacing w:val="0"/>
                <w:sz w:val="27"/>
                <w:szCs w:val="27"/>
                <w:highlight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7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ind w:firstLine="0"/>
        <w:rPr>
          <w:rFonts w:hint="eastAsia" w:ascii="仿宋_GB2312" w:eastAsia="仿宋_GB2312" w:hAnsiTheme="majorEastAsia"/>
          <w:color w:val="auto"/>
          <w:sz w:val="28"/>
          <w:szCs w:val="28"/>
          <w:highlight w:val="none"/>
        </w:rPr>
      </w:pPr>
    </w:p>
    <w:p>
      <w:pPr>
        <w:rPr>
          <w:rFonts w:hint="eastAsia" w:asciiTheme="minorEastAsia" w:hAnsiTheme="minorEastAsia"/>
          <w:color w:val="auto"/>
          <w:sz w:val="24"/>
          <w:szCs w:val="24"/>
          <w:highlight w:val="none"/>
        </w:rPr>
      </w:pPr>
    </w:p>
    <w:p>
      <w:pPr>
        <w:pStyle w:val="2"/>
        <w:rPr>
          <w:rFonts w:hint="eastAsia"/>
          <w:highlight w:val="none"/>
        </w:rPr>
      </w:pPr>
    </w:p>
    <w:p>
      <w:pPr>
        <w:adjustRightInd w:val="0"/>
        <w:snapToGrid w:val="0"/>
        <w:spacing w:beforeLines="50" w:afterLines="50" w:line="600" w:lineRule="exact"/>
        <w:jc w:val="left"/>
        <w:rPr>
          <w:rFonts w:hint="eastAsia"/>
          <w:highlight w:val="none"/>
        </w:rPr>
      </w:pPr>
      <w:r>
        <w:rPr>
          <w:rFonts w:hint="eastAsia" w:asciiTheme="minorEastAsia" w:hAnsiTheme="minorEastAsia"/>
          <w:color w:val="auto"/>
          <w:sz w:val="24"/>
          <w:szCs w:val="24"/>
          <w:highlight w:val="none"/>
        </w:rPr>
        <w:t>适用于纸质评审的采购项目</w:t>
      </w:r>
      <w:bookmarkStart w:id="13" w:name="_Toc10891"/>
    </w:p>
    <w:p>
      <w:pPr>
        <w:pStyle w:val="5"/>
        <w:rPr>
          <w:rFonts w:hint="eastAsia"/>
          <w:color w:val="auto"/>
          <w:highlight w:val="none"/>
        </w:rPr>
      </w:pPr>
      <w:bookmarkStart w:id="14" w:name="_Toc2331"/>
      <w:bookmarkStart w:id="15" w:name="_Toc16557"/>
      <w:bookmarkStart w:id="16" w:name="_Toc16705"/>
      <w:bookmarkStart w:id="17" w:name="_Toc19295"/>
      <w:bookmarkStart w:id="18" w:name="_Toc25603"/>
      <w:bookmarkStart w:id="19" w:name="_Toc32588"/>
      <w:bookmarkStart w:id="20" w:name="_Toc2324"/>
      <w:bookmarkStart w:id="21" w:name="_Toc23749"/>
      <w:bookmarkStart w:id="22" w:name="_Toc9448"/>
      <w:bookmarkStart w:id="23" w:name="_Toc7340"/>
    </w:p>
    <w:p>
      <w:pPr>
        <w:pStyle w:val="5"/>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2321560</wp:posOffset>
                </wp:positionH>
                <wp:positionV relativeFrom="paragraph">
                  <wp:posOffset>548640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2.8pt;margin-top:43.2pt;height:0pt;width:75.5pt;z-index:251672576;mso-width-relative:page;mso-height-relative:page;" filled="f" stroked="t" coordsize="21600,21600" o:gfxdata="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2GWeZ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6"/>
        <w:rPr>
          <w:rFonts w:hint="eastAsia"/>
          <w:color w:val="auto"/>
          <w:highlight w:val="none"/>
        </w:rPr>
      </w:pPr>
    </w:p>
    <w:p>
      <w:pPr>
        <w:pStyle w:val="6"/>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snapToGrid/>
        <w:spacing w:line="240" w:lineRule="auto"/>
        <w:jc w:val="left"/>
        <w:rPr>
          <w:rFonts w:asciiTheme="majorEastAsia" w:hAnsiTheme="majorEastAsia" w:eastAsiaTheme="majorEastAsia"/>
          <w:b/>
          <w:color w:val="auto"/>
          <w:sz w:val="28"/>
          <w:szCs w:val="28"/>
          <w:highlight w:val="none"/>
        </w:rPr>
      </w:pPr>
    </w:p>
    <w:p>
      <w:pPr>
        <w:adjustRightInd/>
        <w:snapToGrid/>
        <w:spacing w:line="240" w:lineRule="auto"/>
        <w:jc w:val="left"/>
        <w:rPr>
          <w:rFonts w:asciiTheme="majorEastAsia" w:hAnsiTheme="majorEastAsia" w:eastAsiaTheme="majorEastAsia"/>
          <w:b/>
          <w:color w:val="auto"/>
          <w:sz w:val="28"/>
          <w:szCs w:val="28"/>
          <w:highlight w:val="none"/>
        </w:rPr>
      </w:pPr>
    </w:p>
    <w:p>
      <w:pPr>
        <w:adjustRightInd/>
        <w:snapToGrid/>
        <w:spacing w:line="240" w:lineRule="auto"/>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rPr>
          <w:rFonts w:hint="eastAsia" w:asciiTheme="minorHAnsi" w:hAnsiTheme="minorHAnsi" w:eastAsiaTheme="minorEastAsia" w:cstheme="minorBidi"/>
          <w:kern w:val="2"/>
          <w:sz w:val="21"/>
          <w:szCs w:val="22"/>
          <w:highlight w:val="none"/>
          <w:lang w:val="en-US" w:eastAsia="zh-CN" w:bidi="ar-SA"/>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大坦沙分公司能源回收技术研究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left="2514" w:leftChars="1197" w:firstLine="1960" w:firstLineChars="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lang w:val="en-US" w:eastAsia="zh-CN"/>
        </w:rPr>
        <w:t>大坦沙分公司能源回收技术研究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lang w:val="en-US" w:eastAsia="zh-CN"/>
        </w:rPr>
        <w:t>大坦沙分公司能源回收技术研究</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jc w:val="left"/>
        <w:rPr>
          <w:rFonts w:hint="eastAsia" w:ascii="黑体" w:hAnsi="黑体" w:eastAsia="黑体"/>
          <w:bCs/>
          <w:kern w:val="0"/>
          <w:highlight w:val="none"/>
          <w:lang w:val="en-US" w:eastAsia="zh-CN"/>
        </w:rPr>
      </w:pPr>
      <w:r>
        <w:rPr>
          <w:rFonts w:hint="eastAsia" w:ascii="黑体" w:hAnsi="黑体" w:eastAsia="黑体"/>
          <w:bCs/>
          <w:kern w:val="0"/>
          <w:highlight w:val="none"/>
          <w:lang w:val="en-US" w:eastAsia="zh-CN"/>
        </w:rPr>
        <w:br w:type="page"/>
      </w:r>
    </w:p>
    <w:p>
      <w:pPr>
        <w:jc w:val="left"/>
        <w:rPr>
          <w:rFonts w:hint="eastAsia" w:ascii="黑体" w:hAnsi="黑体" w:eastAsia="黑体"/>
          <w:bCs/>
          <w:kern w:val="0"/>
          <w:sz w:val="28"/>
          <w:szCs w:val="32"/>
          <w:highlight w:val="none"/>
          <w:lang w:val="en-US" w:eastAsia="zh-CN"/>
        </w:rPr>
      </w:pPr>
      <w:r>
        <w:rPr>
          <w:rFonts w:hint="eastAsia" w:ascii="黑体" w:hAnsi="黑体" w:eastAsia="黑体"/>
          <w:bCs/>
          <w:kern w:val="0"/>
          <w:sz w:val="28"/>
          <w:szCs w:val="32"/>
          <w:highlight w:val="none"/>
          <w:lang w:val="en-US" w:eastAsia="zh-CN"/>
        </w:rPr>
        <w:t>附件5</w:t>
      </w: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宋体"/>
          <w:kern w:val="0"/>
          <w:sz w:val="28"/>
          <w:szCs w:val="28"/>
          <w:highlight w:val="none"/>
        </w:rPr>
      </w:pP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6"/>
        <w:rPr>
          <w:rFonts w:hint="eastAsia" w:asciiTheme="minorHAnsi" w:hAnsiTheme="minorHAnsi" w:cstheme="minorBidi"/>
          <w:color w:val="auto"/>
          <w:kern w:val="44"/>
          <w:sz w:val="44"/>
          <w:szCs w:val="44"/>
          <w:highlight w:val="none"/>
        </w:rPr>
      </w:pPr>
      <w:bookmarkStart w:id="26" w:name="_Toc2867"/>
      <w:bookmarkStart w:id="27" w:name="_Toc21455"/>
    </w:p>
    <w:p>
      <w:pPr>
        <w:pStyle w:val="6"/>
        <w:rPr>
          <w:rFonts w:hint="eastAsia" w:asciiTheme="minorHAnsi" w:hAnsiTheme="minorHAnsi" w:cstheme="minorBidi"/>
          <w:color w:val="auto"/>
          <w:kern w:val="44"/>
          <w:sz w:val="44"/>
          <w:szCs w:val="44"/>
          <w:highlight w:val="none"/>
        </w:rPr>
      </w:pPr>
    </w:p>
    <w:p>
      <w:pPr>
        <w:pStyle w:val="6"/>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2357120</wp:posOffset>
                </wp:positionH>
                <wp:positionV relativeFrom="paragraph">
                  <wp:posOffset>502920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5.6pt;margin-top:39.6pt;height:0pt;width:75.5pt;z-index:251660288;mso-width-relative:page;mso-height-relative:page;" filled="f" stroked="t" coordsize="21600,21600" o:gfxdata="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xgQt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52070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4.1pt;height:0pt;width:75.5pt;z-index:251659264;mso-width-relative:page;mso-height-relative:page;" filled="f" stroked="t" coordsize="21600,21600" o:gfxdata="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LetN51QAAAAcBAAAPAAAAAAAAAAEAIAAAACIAAABkcnMvZG93bnJldi54bWxQSwECFAAUAAAA&#10;CACHTuJAFyDFufEBAADiAwAADgAAAAAAAAABACAAAAAkAQAAZHJzL2Uyb0RvYy54bWxQSwUGAAAA&#10;AAYABgBZAQAAh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6"/>
        <w:rPr>
          <w:color w:val="auto"/>
          <w:highlight w:val="none"/>
        </w:rPr>
      </w:pPr>
      <w:bookmarkStart w:id="28" w:name="_Toc7040"/>
      <w:bookmarkStart w:id="29" w:name="_Toc7303"/>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5"/>
        <w:rPr>
          <w:color w:val="auto"/>
          <w:highlight w:val="none"/>
        </w:rPr>
      </w:pPr>
      <w:bookmarkStart w:id="34" w:name="_Toc14552"/>
      <w:bookmarkStart w:id="35" w:name="_Toc10930"/>
      <w:bookmarkStart w:id="36" w:name="_Toc3156"/>
      <w:bookmarkStart w:id="37" w:name="_Toc20594"/>
      <w:bookmarkStart w:id="38" w:name="_Toc19050"/>
      <w:bookmarkStart w:id="39" w:name="_Toc14870"/>
      <w:bookmarkStart w:id="40" w:name="_Toc7437"/>
      <w:bookmarkStart w:id="41" w:name="_Toc7118"/>
      <w:bookmarkStart w:id="42" w:name="_Toc4952"/>
      <w:bookmarkStart w:id="43" w:name="_Toc23581"/>
      <w:bookmarkStart w:id="44" w:name="_Toc19759"/>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5"/>
        <w:rPr>
          <w:color w:val="auto"/>
          <w:highlight w:val="none"/>
        </w:rPr>
      </w:pPr>
      <w:bookmarkStart w:id="45" w:name="_Toc12177"/>
      <w:bookmarkStart w:id="46" w:name="_Toc29484"/>
      <w:bookmarkStart w:id="47" w:name="_Toc88209941"/>
      <w:bookmarkStart w:id="48" w:name="_Toc32607"/>
      <w:bookmarkStart w:id="49" w:name="_Toc22212"/>
      <w:bookmarkStart w:id="50" w:name="_Toc13898"/>
      <w:bookmarkStart w:id="51" w:name="_Toc21079"/>
      <w:bookmarkStart w:id="52" w:name="_Toc87616378"/>
      <w:bookmarkStart w:id="53" w:name="_Toc7831"/>
      <w:bookmarkStart w:id="54" w:name="_Toc21840"/>
      <w:bookmarkStart w:id="55" w:name="_Toc30530"/>
      <w:bookmarkStart w:id="56" w:name="_Toc6308"/>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5"/>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6"/>
        <w:rPr>
          <w:rFonts w:hint="eastAsia"/>
          <w:color w:val="auto"/>
          <w:szCs w:val="44"/>
          <w:highlight w:val="none"/>
        </w:rPr>
      </w:pPr>
      <w:r>
        <w:rPr>
          <w:rFonts w:hint="eastAsia"/>
          <w:color w:val="auto"/>
          <w:szCs w:val="44"/>
          <w:highlight w:val="none"/>
        </w:rPr>
        <w:t>采购需求</w:t>
      </w:r>
    </w:p>
    <w:p>
      <w:pPr>
        <w:pStyle w:val="6"/>
        <w:rPr>
          <w:rFonts w:hint="eastAsia"/>
          <w:color w:val="auto"/>
          <w:szCs w:val="44"/>
          <w:highlight w:val="none"/>
        </w:rPr>
      </w:pPr>
    </w:p>
    <w:p>
      <w:pPr>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firstLine="0"/>
        <w:rPr>
          <w:rFonts w:hint="eastAsia"/>
          <w:color w:val="auto"/>
          <w:szCs w:val="44"/>
          <w:highlight w:val="none"/>
        </w:rPr>
      </w:pPr>
    </w:p>
    <w:p>
      <w:pPr>
        <w:pStyle w:val="8"/>
        <w:ind w:left="0" w:leftChars="0" w:firstLine="0" w:firstLineChars="0"/>
        <w:rPr>
          <w:rFonts w:hint="eastAsia"/>
          <w:color w:val="auto"/>
          <w:szCs w:val="44"/>
          <w:highlight w:val="none"/>
        </w:rPr>
      </w:pPr>
    </w:p>
    <w:p>
      <w:pPr>
        <w:ind w:firstLine="560" w:firstLineChars="200"/>
        <w:rPr>
          <w:rFonts w:hint="eastAsia" w:ascii="仿宋" w:hAnsi="仿宋" w:eastAsia="仿宋" w:cs="仿宋_GB2312"/>
          <w:sz w:val="28"/>
          <w:szCs w:val="28"/>
          <w:highlight w:val="none"/>
          <w:u w:val="none"/>
          <w:lang w:val="en-US" w:eastAsia="zh-CN"/>
        </w:rPr>
      </w:pPr>
      <w:r>
        <w:rPr>
          <w:rFonts w:hint="eastAsia" w:ascii="仿宋" w:hAnsi="仿宋" w:eastAsia="仿宋" w:cs="仿宋_GB2312"/>
          <w:sz w:val="28"/>
          <w:szCs w:val="28"/>
          <w:highlight w:val="none"/>
          <w:u w:val="none"/>
          <w:lang w:val="en-US" w:eastAsia="zh-CN"/>
        </w:rPr>
        <w:t>一、主要实施内容</w:t>
      </w:r>
    </w:p>
    <w:p>
      <w:pPr>
        <w:spacing w:line="360" w:lineRule="auto"/>
        <w:ind w:firstLine="640" w:firstLineChars="200"/>
        <w:jc w:val="both"/>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大坦沙分公司接触池出水口渠箱宽2m，落差约2m，水头流量3000-4000m³/小时，拟在接触池加装水力发电装置，利用水的势能转化为电能的原理进行发电为周边设备提供电能。</w:t>
      </w:r>
    </w:p>
    <w:p>
      <w:pPr>
        <w:spacing w:line="360" w:lineRule="auto"/>
        <w:ind w:firstLine="640" w:firstLineChars="200"/>
        <w:jc w:val="both"/>
        <w:rPr>
          <w:rFonts w:hint="eastAsia" w:ascii="仿宋" w:hAnsi="仿宋" w:eastAsia="仿宋" w:cs="仿宋_GB2312"/>
          <w:sz w:val="28"/>
          <w:szCs w:val="28"/>
          <w:highlight w:val="none"/>
          <w:lang w:eastAsia="zh-CN"/>
        </w:rPr>
      </w:pPr>
      <w:r>
        <w:rPr>
          <w:rFonts w:hint="eastAsia" w:ascii="仿宋" w:hAnsi="仿宋" w:eastAsia="仿宋" w:cs="仿宋"/>
          <w:color w:val="auto"/>
          <w:sz w:val="32"/>
          <w:szCs w:val="32"/>
          <w:highlight w:val="none"/>
          <w:shd w:val="clear" w:color="auto" w:fill="auto"/>
          <w:lang w:val="en-US" w:eastAsia="zh-CN"/>
        </w:rPr>
        <w:t>结合大坦沙分公司接触池现场环境，根据接触池出水口渠箱尺寸及参数加设2组水力发电机组在接触池出水口位置。选用轴流式水轮机，稀土永磁异步发电机，转轮及重要部件为不锈钢。为接触池、离心机房周边照明设备功率约为9kw，一二期后门电动车充电设施功率约为1.7Kw每个充电位提供电力，按照满足上述日常用电设备功率设计、制作、安装能源切换装置，电压等级380V交流电，频率50Hz。</w:t>
      </w:r>
    </w:p>
    <w:p>
      <w:pPr>
        <w:spacing w:line="360" w:lineRule="auto"/>
        <w:ind w:firstLine="560" w:firstLineChars="200"/>
        <w:jc w:val="both"/>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技术要求如下：</w:t>
      </w:r>
    </w:p>
    <w:p>
      <w:pPr>
        <w:spacing w:line="360" w:lineRule="auto"/>
        <w:ind w:firstLine="562" w:firstLineChars="200"/>
        <w:jc w:val="both"/>
        <w:rPr>
          <w:rFonts w:hint="eastAsia" w:ascii="仿宋" w:hAnsi="仿宋" w:eastAsia="仿宋" w:cs="仿宋_GB2312"/>
          <w:b/>
          <w:bCs/>
          <w:sz w:val="28"/>
          <w:szCs w:val="28"/>
          <w:highlight w:val="none"/>
          <w:lang w:val="en-US" w:eastAsia="zh-CN"/>
        </w:rPr>
      </w:pPr>
      <w:r>
        <w:rPr>
          <w:rFonts w:hint="eastAsia" w:ascii="仿宋" w:hAnsi="仿宋" w:eastAsia="仿宋" w:cs="仿宋_GB2312"/>
          <w:b/>
          <w:bCs/>
          <w:sz w:val="28"/>
          <w:szCs w:val="28"/>
          <w:highlight w:val="none"/>
          <w:lang w:val="en-US" w:eastAsia="zh-CN"/>
        </w:rPr>
        <w:t>①按照本询价文件提供的参数，撰写编制能源回收技术的制作方案（方案需含效果图），并附于响应文件中。（加盖单位公章）</w:t>
      </w:r>
    </w:p>
    <w:p>
      <w:pPr>
        <w:spacing w:line="360" w:lineRule="auto"/>
        <w:ind w:firstLine="562" w:firstLineChars="200"/>
        <w:jc w:val="both"/>
        <w:rPr>
          <w:rFonts w:hint="eastAsia" w:ascii="仿宋" w:hAnsi="仿宋" w:eastAsia="仿宋" w:cs="仿宋_GB2312"/>
          <w:b/>
          <w:bCs/>
          <w:sz w:val="28"/>
          <w:szCs w:val="28"/>
          <w:highlight w:val="none"/>
          <w:lang w:val="en-US" w:eastAsia="zh-CN"/>
        </w:rPr>
      </w:pPr>
      <w:r>
        <w:rPr>
          <w:rFonts w:hint="eastAsia" w:ascii="仿宋" w:hAnsi="仿宋" w:eastAsia="仿宋" w:cs="仿宋_GB2312"/>
          <w:b/>
          <w:bCs/>
          <w:sz w:val="28"/>
          <w:szCs w:val="28"/>
          <w:highlight w:val="none"/>
          <w:lang w:val="en-US" w:eastAsia="zh-CN"/>
        </w:rPr>
        <w:t>②递交响应文件时须提供承诺函，承诺制作的能源回收技术装置完全满足采购文件技术电能产生、储存及额定负荷需求指标。</w:t>
      </w:r>
    </w:p>
    <w:p>
      <w:pPr>
        <w:pStyle w:val="14"/>
        <w:jc w:val="center"/>
        <w:rPr>
          <w:highlight w:val="none"/>
        </w:rPr>
      </w:pPr>
      <w:r>
        <w:rPr>
          <w:highlight w:val="none"/>
        </w:rPr>
        <w:drawing>
          <wp:inline distT="0" distB="0" distL="114300" distR="114300">
            <wp:extent cx="2315210" cy="1727200"/>
            <wp:effectExtent l="0" t="0" r="8890" b="6350"/>
            <wp:docPr id="19" name="图片 5" descr="311671279942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descr="311671279942_.pic_hd"/>
                    <pic:cNvPicPr>
                      <a:picLocks noChangeAspect="1"/>
                    </pic:cNvPicPr>
                  </pic:nvPicPr>
                  <pic:blipFill>
                    <a:blip r:embed="rId11"/>
                    <a:srcRect b="13910"/>
                    <a:stretch>
                      <a:fillRect/>
                    </a:stretch>
                  </pic:blipFill>
                  <pic:spPr>
                    <a:xfrm>
                      <a:off x="0" y="0"/>
                      <a:ext cx="2315210" cy="1727200"/>
                    </a:xfrm>
                    <a:prstGeom prst="rect">
                      <a:avLst/>
                    </a:prstGeom>
                  </pic:spPr>
                </pic:pic>
              </a:graphicData>
            </a:graphic>
          </wp:inline>
        </w:drawing>
      </w:r>
    </w:p>
    <w:p>
      <w:pPr>
        <w:spacing w:line="360" w:lineRule="auto"/>
        <w:ind w:firstLine="560" w:firstLineChars="200"/>
        <w:jc w:val="center"/>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图1 大坦沙分公司一期接触池出水口</w:t>
      </w:r>
    </w:p>
    <w:p>
      <w:pPr>
        <w:spacing w:line="360" w:lineRule="auto"/>
        <w:ind w:left="0" w:leftChars="0" w:firstLine="0" w:firstLineChars="0"/>
        <w:jc w:val="center"/>
        <w:rPr>
          <w:rFonts w:hint="default" w:ascii="仿宋" w:hAnsi="仿宋" w:eastAsia="仿宋" w:cs="仿宋_GB2312"/>
          <w:sz w:val="28"/>
          <w:szCs w:val="28"/>
          <w:highlight w:val="none"/>
          <w:lang w:val="en-US" w:eastAsia="zh-CN"/>
        </w:rPr>
      </w:pPr>
      <w:r>
        <w:rPr>
          <w:highlight w:val="none"/>
        </w:rPr>
        <w:drawing>
          <wp:inline distT="0" distB="0" distL="114300" distR="114300">
            <wp:extent cx="5614670" cy="3789045"/>
            <wp:effectExtent l="0" t="0" r="5080" b="1905"/>
            <wp:docPr id="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pic:cNvPicPr>
                      <a:picLocks noChangeAspect="1"/>
                    </pic:cNvPicPr>
                  </pic:nvPicPr>
                  <pic:blipFill>
                    <a:blip r:embed="rId12"/>
                    <a:stretch>
                      <a:fillRect/>
                    </a:stretch>
                  </pic:blipFill>
                  <pic:spPr>
                    <a:xfrm>
                      <a:off x="0" y="0"/>
                      <a:ext cx="5614670" cy="3789045"/>
                    </a:xfrm>
                    <a:prstGeom prst="rect">
                      <a:avLst/>
                    </a:prstGeom>
                    <a:noFill/>
                    <a:ln>
                      <a:noFill/>
                    </a:ln>
                  </pic:spPr>
                </pic:pic>
              </a:graphicData>
            </a:graphic>
          </wp:inline>
        </w:drawing>
      </w:r>
    </w:p>
    <w:p>
      <w:pPr>
        <w:spacing w:line="360" w:lineRule="auto"/>
        <w:ind w:firstLine="560" w:firstLineChars="200"/>
        <w:jc w:val="center"/>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图2 大坦沙分公司接触池出水渠箱示意图</w:t>
      </w:r>
    </w:p>
    <w:p>
      <w:pPr>
        <w:spacing w:line="360" w:lineRule="auto"/>
        <w:ind w:left="0" w:leftChars="0" w:firstLine="0" w:firstLineChars="0"/>
        <w:jc w:val="center"/>
        <w:rPr>
          <w:rFonts w:hint="eastAsia" w:ascii="仿宋" w:hAnsi="仿宋" w:eastAsia="仿宋" w:cs="仿宋_GB2312"/>
          <w:sz w:val="28"/>
          <w:szCs w:val="28"/>
          <w:highlight w:val="none"/>
          <w:lang w:eastAsia="zh-CN"/>
        </w:rPr>
      </w:pPr>
      <w:r>
        <w:rPr>
          <w:highlight w:val="none"/>
        </w:rPr>
        <w:drawing>
          <wp:inline distT="0" distB="0" distL="114300" distR="114300">
            <wp:extent cx="5614035" cy="2927350"/>
            <wp:effectExtent l="0" t="0" r="5715" b="635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13"/>
                    <a:stretch>
                      <a:fillRect/>
                    </a:stretch>
                  </pic:blipFill>
                  <pic:spPr>
                    <a:xfrm>
                      <a:off x="0" y="0"/>
                      <a:ext cx="5614035" cy="2927350"/>
                    </a:xfrm>
                    <a:prstGeom prst="rect">
                      <a:avLst/>
                    </a:prstGeom>
                    <a:noFill/>
                    <a:ln>
                      <a:noFill/>
                    </a:ln>
                  </pic:spPr>
                </pic:pic>
              </a:graphicData>
            </a:graphic>
          </wp:inline>
        </w:drawing>
      </w:r>
    </w:p>
    <w:p>
      <w:pPr>
        <w:spacing w:line="360" w:lineRule="auto"/>
        <w:ind w:firstLine="560" w:firstLineChars="200"/>
        <w:jc w:val="center"/>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图3 能源回收装置流程图</w:t>
      </w:r>
    </w:p>
    <w:p>
      <w:pPr>
        <w:spacing w:line="360" w:lineRule="auto"/>
        <w:ind w:firstLine="560" w:firstLineChars="200"/>
        <w:jc w:val="both"/>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eastAsia="zh-CN"/>
        </w:rPr>
        <w:t>接触池、</w:t>
      </w:r>
      <w:r>
        <w:rPr>
          <w:rFonts w:hint="eastAsia" w:ascii="仿宋" w:hAnsi="仿宋" w:eastAsia="仿宋" w:cs="仿宋_GB2312"/>
          <w:sz w:val="28"/>
          <w:szCs w:val="28"/>
          <w:highlight w:val="none"/>
          <w:lang w:val="en-US" w:eastAsia="zh-CN"/>
        </w:rPr>
        <w:t>离心机房</w:t>
      </w:r>
      <w:r>
        <w:rPr>
          <w:rFonts w:hint="eastAsia" w:ascii="仿宋" w:hAnsi="仿宋" w:eastAsia="仿宋" w:cs="仿宋_GB2312"/>
          <w:sz w:val="28"/>
          <w:szCs w:val="28"/>
          <w:highlight w:val="none"/>
          <w:lang w:eastAsia="zh-CN"/>
        </w:rPr>
        <w:t>周边照明设备功率约为</w:t>
      </w:r>
      <w:r>
        <w:rPr>
          <w:rFonts w:hint="eastAsia" w:ascii="仿宋" w:hAnsi="仿宋" w:eastAsia="仿宋" w:cs="仿宋_GB2312"/>
          <w:sz w:val="28"/>
          <w:szCs w:val="28"/>
          <w:highlight w:val="none"/>
          <w:lang w:val="en-US" w:eastAsia="zh-CN"/>
        </w:rPr>
        <w:t>9</w:t>
      </w:r>
      <w:r>
        <w:rPr>
          <w:rFonts w:hint="eastAsia" w:ascii="仿宋" w:hAnsi="仿宋" w:eastAsia="仿宋" w:cs="仿宋_GB2312"/>
          <w:sz w:val="28"/>
          <w:szCs w:val="28"/>
          <w:highlight w:val="none"/>
          <w:lang w:eastAsia="zh-CN"/>
        </w:rPr>
        <w:t>kw（</w:t>
      </w:r>
      <w:r>
        <w:rPr>
          <w:rFonts w:hint="eastAsia" w:ascii="仿宋" w:hAnsi="仿宋" w:eastAsia="仿宋" w:cs="仿宋_GB2312"/>
          <w:sz w:val="28"/>
          <w:szCs w:val="28"/>
          <w:highlight w:val="none"/>
          <w:lang w:val="en-US" w:eastAsia="zh-CN"/>
        </w:rPr>
        <w:t>每天使用10小时</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一二期后门电动车充电设施功率约为1.7Kw每个充电位（共10个位，每天使用20小时）</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接触池超越阀2个共1.7Kw，通过接入能源储存装置供电，实现市电/自发电自动切换。</w:t>
      </w:r>
    </w:p>
    <w:p>
      <w:pPr>
        <w:spacing w:line="360" w:lineRule="auto"/>
        <w:ind w:firstLine="560" w:firstLineChars="200"/>
        <w:jc w:val="both"/>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能源回收装置技术参数如下：</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536"/>
        <w:gridCol w:w="5243"/>
        <w:gridCol w:w="810"/>
        <w:gridCol w:w="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水轮发电机组</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适配现场设备及安装尺寸</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现场吊车安装</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额定载重30吨以上</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台班</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三相电源稳压</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380V、50Hz、26KW稳压系统</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电度表</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适配现场设备</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电缆</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ZC-YJV 4*16mm²+1*10mm²</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6</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配电箱</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用电负荷分配箱，含零地排、空气开关等</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7</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辅材</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PVC管、钢管、接线端等</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8</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设计、施工、机组整体、配电箱、电缆安装</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9</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设备调试</w:t>
            </w:r>
          </w:p>
        </w:tc>
        <w:tc>
          <w:tcPr>
            <w:tcW w:w="2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447"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bl>
    <w:p>
      <w:pPr>
        <w:pStyle w:val="14"/>
        <w:rPr>
          <w:rFonts w:hint="default"/>
          <w:highlight w:val="none"/>
          <w:lang w:val="en-US" w:eastAsia="zh-CN"/>
        </w:rPr>
      </w:pPr>
    </w:p>
    <w:p>
      <w:pPr>
        <w:spacing w:line="360" w:lineRule="auto"/>
        <w:ind w:firstLine="640" w:firstLineChars="200"/>
        <w:jc w:val="both"/>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二、技术标准和要求</w:t>
      </w:r>
    </w:p>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1、本项目开展期间，承包方必须整理好本项目的所有的技术资料，不限于项目安装图、设备说明书、电气布局图等。项目竣工后，承包方将所有关于本项目的技术资料整理好并交至项目承办单位。</w:t>
      </w:r>
    </w:p>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2、项目使用的电气元件品牌参照或优于施耐德、ABB、西门子等知名品牌。</w:t>
      </w:r>
    </w:p>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3、项目完成后，承包方要完成系统详细使用说明并交至项目承办单位。</w:t>
      </w:r>
    </w:p>
    <w:p>
      <w:pPr>
        <w:spacing w:line="360" w:lineRule="auto"/>
        <w:ind w:firstLine="640" w:firstLineChars="200"/>
        <w:jc w:val="both"/>
        <w:rPr>
          <w:rFonts w:hint="default"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4、能源回收装置必须在不停产不停水的条件下进行整机吊装安装。</w:t>
      </w:r>
    </w:p>
    <w:bookmarkEnd w:id="60"/>
    <w:p>
      <w:pPr>
        <w:spacing w:line="360" w:lineRule="auto"/>
        <w:ind w:firstLine="640" w:firstLineChars="200"/>
        <w:jc w:val="both"/>
        <w:rPr>
          <w:rFonts w:hint="eastAsia" w:ascii="仿宋" w:hAnsi="仿宋" w:eastAsia="仿宋" w:cs="仿宋"/>
          <w:color w:val="auto"/>
          <w:sz w:val="32"/>
          <w:szCs w:val="32"/>
          <w:highlight w:val="none"/>
          <w:shd w:val="clear" w:color="auto" w:fill="auto"/>
          <w:lang w:val="en-US" w:eastAsia="zh-CN"/>
        </w:rPr>
      </w:pPr>
      <w:r>
        <w:rPr>
          <w:rFonts w:hint="eastAsia" w:ascii="仿宋" w:hAnsi="仿宋" w:eastAsia="仿宋" w:cs="仿宋"/>
          <w:color w:val="auto"/>
          <w:sz w:val="32"/>
          <w:szCs w:val="32"/>
          <w:highlight w:val="none"/>
          <w:shd w:val="clear" w:color="auto" w:fill="auto"/>
          <w:lang w:val="en-US" w:eastAsia="zh-CN"/>
        </w:rPr>
        <w:t>三、项目商务要求</w:t>
      </w:r>
    </w:p>
    <w:p>
      <w:pPr>
        <w:numPr>
          <w:ilvl w:val="0"/>
          <w:numId w:val="4"/>
        </w:numPr>
        <w:autoSpaceDE w:val="0"/>
        <w:autoSpaceDN w:val="0"/>
        <w:ind w:left="425" w:hanging="425"/>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lang w:val="en-US" w:eastAsia="zh-CN"/>
        </w:rPr>
        <w:t>工期：60</w:t>
      </w:r>
      <w:r>
        <w:rPr>
          <w:rFonts w:hint="eastAsia" w:ascii="仿宋" w:hAnsi="仿宋" w:eastAsia="仿宋" w:cs="仿宋"/>
          <w:color w:val="auto"/>
          <w:sz w:val="28"/>
          <w:szCs w:val="28"/>
          <w:highlight w:val="none"/>
          <w:u w:val="none"/>
          <w:lang w:val="en-US" w:eastAsia="zh-CN"/>
        </w:rPr>
        <w:t>天。</w:t>
      </w:r>
      <w:r>
        <w:rPr>
          <w:rFonts w:hint="eastAsia" w:ascii="仿宋" w:hAnsi="仿宋" w:eastAsia="仿宋" w:cs="仿宋"/>
          <w:color w:val="auto"/>
          <w:sz w:val="28"/>
          <w:szCs w:val="28"/>
          <w:highlight w:val="none"/>
        </w:rPr>
        <w:t>(具体施工日期及工期调整根据分公司实际计划时间而定</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none"/>
        </w:rPr>
        <w:t>具体开工时间以开工报告时间为准。</w:t>
      </w:r>
      <w:r>
        <w:rPr>
          <w:rFonts w:hint="eastAsia" w:ascii="仿宋" w:hAnsi="仿宋" w:eastAsia="仿宋" w:cs="仿宋"/>
          <w:color w:val="auto"/>
          <w:sz w:val="28"/>
          <w:szCs w:val="28"/>
          <w:highlight w:val="none"/>
          <w:u w:val="none"/>
          <w:lang w:eastAsia="zh-CN"/>
        </w:rPr>
        <w:t>）</w:t>
      </w:r>
    </w:p>
    <w:p>
      <w:pPr>
        <w:numPr>
          <w:ilvl w:val="0"/>
          <w:numId w:val="4"/>
        </w:numPr>
        <w:autoSpaceDE w:val="0"/>
        <w:autoSpaceDN w:val="0"/>
        <w:ind w:left="425" w:hanging="42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质量要求：质保</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年</w:t>
      </w:r>
    </w:p>
    <w:p>
      <w:pPr>
        <w:pStyle w:val="2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安全文明施工要求：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（1）在工程进行中，承包单位要注意保护场内的各种管线和设施。</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若有任何损坏，须立即通知有关部门和发包人，并由损坏单位承担损失和修复费用。</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(2)发生重大伤亡及其他安全事故，承包单位应按有关规定立即上报</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有关部门并通知发包人，同时按政府有关部门要求处理，由事故责任方承担发生的费用。发包人、承包单位对事故责任有争议时，应按政府有关部门的认定处理。</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80" w:firstLineChars="100"/>
        <w:jc w:val="both"/>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承包单位在施工期间应严格遵守《中华人民共和国安全生产法》</w:t>
      </w:r>
    </w:p>
    <w:p>
      <w:pPr>
        <w:pStyle w:val="2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总包及分包规定：</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承包单位不许转包，不许擅自分包,</w:t>
      </w:r>
      <w:r>
        <w:rPr>
          <w:rFonts w:hint="eastAsia" w:ascii="仿宋" w:hAnsi="仿宋" w:eastAsia="仿宋" w:cs="仿宋"/>
          <w:i w:val="0"/>
          <w:caps w:val="0"/>
          <w:color w:val="auto"/>
          <w:spacing w:val="0"/>
          <w:sz w:val="21"/>
          <w:szCs w:val="21"/>
          <w:highlight w:val="none"/>
          <w:shd w:val="clear" w:color="auto" w:fill="FFFFFF"/>
        </w:rPr>
        <w:t xml:space="preserve"> </w:t>
      </w:r>
      <w:r>
        <w:rPr>
          <w:rFonts w:hint="eastAsia" w:ascii="仿宋" w:hAnsi="仿宋" w:eastAsia="仿宋" w:cs="仿宋"/>
          <w:i w:val="0"/>
          <w:caps w:val="0"/>
          <w:color w:val="auto"/>
          <w:spacing w:val="0"/>
          <w:sz w:val="28"/>
          <w:szCs w:val="28"/>
          <w:highlight w:val="none"/>
          <w:shd w:val="clear" w:color="auto" w:fill="FFFFFF"/>
        </w:rPr>
        <w:t>否则，发包人有权单方面终止合同，并令其立即退场，由此而造成的经济损失由承包单位负责赔偿。</w:t>
      </w:r>
    </w:p>
    <w:p>
      <w:pPr>
        <w:pStyle w:val="2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保修期（保养期）：</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560" w:firstLineChars="200"/>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维修部位质保期12个月，更换的新部件质保期为12个月。</w:t>
      </w:r>
    </w:p>
    <w:p>
      <w:pPr>
        <w:pStyle w:val="2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发包人将自承包商履行完合同义务之日起三十个工作日内组织验收，验收要求、验收标准及方法如下：</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验收依据：询价文件、询价响应文件、厂家货物技术标准说明及国家有关的质量标准规定，均为验收依据。</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承包单位根据要求进行设备的安装、调试、测试后，由发包人或政府相关部门进行使用性能方面的验收。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验收合格条件</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确保能够达到</w:t>
      </w:r>
      <w:r>
        <w:rPr>
          <w:rFonts w:hint="eastAsia" w:ascii="仿宋" w:hAnsi="仿宋" w:eastAsia="仿宋" w:cs="仿宋"/>
          <w:i w:val="0"/>
          <w:caps w:val="0"/>
          <w:color w:val="auto"/>
          <w:spacing w:val="0"/>
          <w:sz w:val="28"/>
          <w:szCs w:val="28"/>
          <w:highlight w:val="none"/>
          <w:shd w:val="clear" w:color="auto" w:fill="FFFFFF"/>
          <w:lang w:val="en-US" w:eastAsia="zh-CN"/>
        </w:rPr>
        <w:t>甲方使用要求</w:t>
      </w:r>
      <w:r>
        <w:rPr>
          <w:rFonts w:hint="eastAsia" w:ascii="仿宋" w:hAnsi="仿宋" w:eastAsia="仿宋" w:cs="仿宋"/>
          <w:i w:val="0"/>
          <w:caps w:val="0"/>
          <w:color w:val="auto"/>
          <w:spacing w:val="0"/>
          <w:sz w:val="28"/>
          <w:szCs w:val="28"/>
          <w:highlight w:val="none"/>
          <w:shd w:val="clear" w:color="auto" w:fill="FFFFFF"/>
        </w:rPr>
        <w:t>的标准。</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验收时承包单位必须派代表参加。</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 w:lineRule="atLeast"/>
        <w:ind w:left="0" w:right="0" w:firstLine="560" w:firstLineChars="200"/>
        <w:jc w:val="left"/>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6</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验收过程所发生的一切费用由承包单位承担。</w:t>
      </w:r>
    </w:p>
    <w:p>
      <w:pPr>
        <w:pStyle w:val="2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5" w:right="0" w:hanging="425"/>
        <w:jc w:val="both"/>
        <w:rPr>
          <w:rFonts w:hint="eastAsia" w:ascii="仿宋" w:hAnsi="仿宋" w:eastAsia="仿宋" w:cs="仿宋"/>
          <w:i w:val="0"/>
          <w:caps w:val="0"/>
          <w:color w:val="auto"/>
          <w:spacing w:val="0"/>
          <w:sz w:val="21"/>
          <w:szCs w:val="21"/>
          <w:highlight w:val="none"/>
        </w:rPr>
      </w:pPr>
      <w:r>
        <w:rPr>
          <w:rFonts w:hint="eastAsia" w:ascii="仿宋" w:hAnsi="仿宋" w:eastAsia="仿宋" w:cs="仿宋"/>
          <w:i w:val="0"/>
          <w:caps w:val="0"/>
          <w:color w:val="auto"/>
          <w:spacing w:val="0"/>
          <w:sz w:val="28"/>
          <w:szCs w:val="28"/>
          <w:highlight w:val="none"/>
          <w:shd w:val="clear" w:color="auto" w:fill="FFFFFF"/>
        </w:rPr>
        <w:t>付款方式：采用网银支付形式。</w:t>
      </w:r>
    </w:p>
    <w:p>
      <w:pPr>
        <w:pStyle w:val="2"/>
        <w:numPr>
          <w:ilvl w:val="0"/>
          <w:numId w:val="4"/>
        </w:numPr>
        <w:adjustRightInd w:val="0"/>
        <w:snapToGrid w:val="0"/>
        <w:spacing w:line="600" w:lineRule="exact"/>
        <w:ind w:left="425" w:hanging="425" w:firstLineChars="0"/>
        <w:jc w:val="left"/>
        <w:rPr>
          <w:rFonts w:hint="default" w:ascii="仿宋_GB2312" w:eastAsia="仿宋_GB2312"/>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承包方式：</w:t>
      </w:r>
      <w:r>
        <w:rPr>
          <w:rFonts w:hint="eastAsia" w:ascii="仿宋" w:hAnsi="仿宋" w:eastAsia="仿宋" w:cs="仿宋"/>
          <w:i w:val="0"/>
          <w:caps w:val="0"/>
          <w:color w:val="auto"/>
          <w:spacing w:val="0"/>
          <w:sz w:val="28"/>
          <w:szCs w:val="28"/>
          <w:highlight w:val="none"/>
          <w:shd w:val="clear" w:color="auto" w:fill="FFFFFF"/>
          <w:lang w:val="en-US" w:eastAsia="zh-CN"/>
        </w:rPr>
        <w:t>总价包干。</w:t>
      </w:r>
    </w:p>
    <w:p>
      <w:pPr>
        <w:pStyle w:val="2"/>
        <w:rPr>
          <w:rFonts w:ascii="仿宋_GB2312" w:eastAsia="仿宋_GB2312"/>
          <w:color w:val="auto"/>
          <w:sz w:val="28"/>
          <w:szCs w:val="28"/>
          <w:highlight w:val="none"/>
        </w:rPr>
      </w:pPr>
    </w:p>
    <w:p>
      <w:pPr>
        <w:pStyle w:val="2"/>
        <w:ind w:firstLine="0"/>
        <w:rPr>
          <w:rFonts w:hint="eastAsia"/>
          <w:color w:val="auto"/>
          <w:highlight w:val="none"/>
        </w:rPr>
      </w:pPr>
      <w:bookmarkStart w:id="61" w:name="_Toc1496"/>
      <w:bookmarkStart w:id="62" w:name="_Toc29835"/>
      <w:bookmarkStart w:id="63" w:name="_Toc4680"/>
      <w:bookmarkStart w:id="64" w:name="_Toc537"/>
      <w:bookmarkStart w:id="65" w:name="_Toc18538"/>
      <w:bookmarkStart w:id="66" w:name="_Toc23353"/>
      <w:bookmarkStart w:id="67" w:name="_Toc15570"/>
      <w:bookmarkStart w:id="68" w:name="_Toc23330"/>
      <w:bookmarkStart w:id="69" w:name="_Toc1284"/>
      <w:bookmarkStart w:id="70" w:name="_Toc25925"/>
      <w:bookmarkStart w:id="71" w:name="_Toc12135"/>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8"/>
        <w:rPr>
          <w:rFonts w:hint="eastAsia"/>
          <w:color w:val="auto"/>
          <w:highlight w:val="none"/>
        </w:rPr>
      </w:pPr>
    </w:p>
    <w:p>
      <w:pPr>
        <w:pStyle w:val="28"/>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2371090</wp:posOffset>
                </wp:positionH>
                <wp:positionV relativeFrom="paragraph">
                  <wp:posOffset>748665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6.7pt;margin-top:58.95pt;height:0pt;width:75.5pt;z-index:251664384;mso-width-relative:page;mso-height-relative:page;" filled="f" stroked="t" coordsize="21600,21600" o:gfxdata="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5TZTdgAAAALAQAADwAAAAAAAAABACAAAAAiAAAAZHJzL2Rvd25yZXYueG1sUEsBAhQA&#10;FAAAAAgAh07iQCQdo6DyAQAA4gMAAA4AAAAAAAAAAQAgAAAAJw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2372360</wp:posOffset>
                </wp:positionH>
                <wp:positionV relativeFrom="paragraph">
                  <wp:posOffset>227330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6.8pt;margin-top:17.9pt;height:0pt;width:75.5pt;z-index:251663360;mso-width-relative:page;mso-height-relative:page;" filled="f" stroked="t" coordsize="21600,21600" o:gfxdata="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kUz8b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5"/>
        <w:rPr>
          <w:color w:val="auto"/>
          <w:highlight w:val="none"/>
        </w:rPr>
      </w:pPr>
      <w:bookmarkStart w:id="72" w:name="_Toc22797"/>
      <w:bookmarkStart w:id="73" w:name="_Toc12721"/>
      <w:bookmarkStart w:id="74" w:name="_Toc22501"/>
      <w:bookmarkStart w:id="75" w:name="_Toc1375"/>
      <w:bookmarkStart w:id="76" w:name="_Toc323"/>
      <w:bookmarkStart w:id="77" w:name="_Toc13309"/>
      <w:bookmarkStart w:id="78" w:name="_Toc19686"/>
      <w:bookmarkStart w:id="79" w:name="_Toc88209949"/>
      <w:bookmarkStart w:id="80" w:name="_Toc19088"/>
      <w:bookmarkStart w:id="81" w:name="_Toc87616386"/>
      <w:bookmarkStart w:id="82" w:name="_Toc8183"/>
      <w:bookmarkStart w:id="83" w:name="_Toc12968"/>
      <w:bookmarkStart w:id="84" w:name="_Toc12980"/>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spacing w:line="400" w:lineRule="atLeast"/>
        <w:jc w:val="center"/>
        <w:rPr>
          <w:rFonts w:hint="eastAsia" w:ascii="宋体" w:hAnsi="宋体" w:cs="宋体"/>
          <w:b/>
          <w:bCs/>
          <w:color w:val="auto"/>
          <w:sz w:val="48"/>
          <w:szCs w:val="48"/>
          <w:highlight w:val="none"/>
        </w:rPr>
      </w:pPr>
    </w:p>
    <w:p>
      <w:pPr>
        <w:pStyle w:val="2"/>
        <w:rPr>
          <w:rFonts w:hint="eastAsia" w:ascii="宋体" w:hAnsi="宋体" w:cs="宋体"/>
          <w:b/>
          <w:bCs/>
          <w:color w:val="auto"/>
          <w:sz w:val="48"/>
          <w:szCs w:val="48"/>
          <w:highlight w:val="none"/>
        </w:rPr>
      </w:pPr>
    </w:p>
    <w:p>
      <w:pPr>
        <w:pStyle w:val="2"/>
        <w:rPr>
          <w:rFonts w:hint="eastAsia" w:ascii="宋体" w:hAnsi="宋体" w:cs="宋体"/>
          <w:b/>
          <w:bCs/>
          <w:color w:val="auto"/>
          <w:sz w:val="48"/>
          <w:szCs w:val="48"/>
          <w:highlight w:val="none"/>
        </w:rPr>
      </w:pPr>
    </w:p>
    <w:p>
      <w:pPr>
        <w:pStyle w:val="2"/>
        <w:rPr>
          <w:rFonts w:hint="eastAsia" w:ascii="宋体" w:hAnsi="宋体" w:cs="宋体"/>
          <w:b/>
          <w:bCs/>
          <w:color w:val="auto"/>
          <w:sz w:val="48"/>
          <w:szCs w:val="48"/>
          <w:highlight w:val="none"/>
        </w:rPr>
      </w:pPr>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pStyle w:val="28"/>
        <w:spacing w:line="360" w:lineRule="auto"/>
        <w:rPr>
          <w:color w:val="auto"/>
          <w:highlight w:val="none"/>
        </w:rPr>
      </w:pPr>
      <w:r>
        <w:rPr>
          <w:rFonts w:hint="eastAsia" w:ascii="宋体" w:hAnsi="宋体" w:cs="宋体"/>
          <w:b/>
          <w:color w:val="auto"/>
          <w:sz w:val="30"/>
          <w:szCs w:val="30"/>
          <w:highlight w:val="none"/>
        </w:rPr>
        <w:t xml:space="preserve">项目名称: </w:t>
      </w:r>
      <w:r>
        <w:rPr>
          <w:rFonts w:hint="eastAsia" w:hAnsi="宋体" w:cs="宋体"/>
          <w:b/>
          <w:color w:val="auto"/>
          <w:sz w:val="30"/>
          <w:szCs w:val="30"/>
          <w:highlight w:val="none"/>
          <w:lang w:val="en-US" w:eastAsia="zh-CN"/>
        </w:rPr>
        <w:t>广州市净水有限公司大坦沙分公司能源回收技术研究（第二次）</w:t>
      </w:r>
    </w:p>
    <w:p>
      <w:pPr>
        <w:spacing w:line="400" w:lineRule="atLeast"/>
        <w:rPr>
          <w:rFonts w:hint="eastAsia" w:ascii="宋体" w:hAnsi="宋体"/>
          <w:b/>
          <w:color w:val="auto"/>
          <w:sz w:val="30"/>
          <w:szCs w:val="30"/>
          <w:highlight w:val="none"/>
          <w:lang w:val="en-US" w:eastAsia="zh-CN"/>
        </w:rPr>
      </w:pPr>
      <w:r>
        <w:rPr>
          <w:rFonts w:hint="eastAsia" w:ascii="宋体" w:hAnsi="宋体"/>
          <w:b/>
          <w:color w:val="auto"/>
          <w:sz w:val="30"/>
          <w:szCs w:val="30"/>
          <w:highlight w:val="none"/>
        </w:rPr>
        <w:t>项目编号：</w:t>
      </w:r>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hint="eastAsia" w:ascii="宋体" w:hAnsi="宋体" w:cs="宋体"/>
          <w:b/>
          <w:bCs/>
          <w:color w:val="auto"/>
          <w:sz w:val="30"/>
          <w:szCs w:val="30"/>
          <w:highlight w:val="none"/>
          <w:lang w:val="en-US" w:eastAsia="zh-CN"/>
        </w:rPr>
        <w:t>2023</w:t>
      </w:r>
      <w:r>
        <w:rPr>
          <w:rFonts w:hint="eastAsia" w:ascii="宋体" w:hAnsi="宋体" w:cs="宋体"/>
          <w:b/>
          <w:bCs/>
          <w:color w:val="auto"/>
          <w:sz w:val="30"/>
          <w:szCs w:val="30"/>
          <w:highlight w:val="none"/>
        </w:rPr>
        <w:t>]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rFonts w:hint="eastAsia" w:ascii="宋体" w:hAnsi="宋体" w:cs="宋体"/>
          <w:b/>
          <w:color w:val="auto"/>
          <w:sz w:val="30"/>
          <w:highlight w:val="none"/>
        </w:rPr>
      </w:pPr>
      <w:r>
        <w:rPr>
          <w:rFonts w:hint="eastAsia" w:ascii="宋体" w:hAnsi="宋体" w:cs="宋体"/>
          <w:b/>
          <w:color w:val="auto"/>
          <w:sz w:val="30"/>
          <w:highlight w:val="none"/>
        </w:rPr>
        <w:t>签约地点：广州市</w:t>
      </w:r>
    </w:p>
    <w:p>
      <w:pPr>
        <w:spacing w:before="0" w:beforeLines="-2147483648" w:line="240" w:lineRule="auto"/>
        <w:ind w:left="0" w:leftChars="0" w:firstLine="0" w:firstLineChars="0"/>
        <w:rPr>
          <w:rFonts w:hint="eastAsia" w:ascii="宋体" w:hAnsi="宋体" w:cs="宋体"/>
          <w:b/>
          <w:color w:val="auto"/>
          <w:sz w:val="30"/>
          <w:highlight w:val="none"/>
          <w:lang w:val="en-US" w:eastAsia="zh-CN"/>
        </w:rPr>
      </w:pPr>
    </w:p>
    <w:p>
      <w:pPr>
        <w:pStyle w:val="2"/>
        <w:rPr>
          <w:rFonts w:hint="eastAsia" w:ascii="宋体" w:hAnsi="宋体" w:cs="宋体"/>
          <w:b/>
          <w:color w:val="auto"/>
          <w:sz w:val="30"/>
          <w:highlight w:val="none"/>
          <w:lang w:val="en-US" w:eastAsia="zh-CN"/>
        </w:rPr>
      </w:pPr>
    </w:p>
    <w:p>
      <w:pPr>
        <w:pStyle w:val="2"/>
        <w:rPr>
          <w:rFonts w:hint="eastAsia" w:ascii="宋体" w:hAnsi="宋体" w:cs="宋体"/>
          <w:b/>
          <w:color w:val="auto"/>
          <w:sz w:val="30"/>
          <w:highlight w:val="none"/>
          <w:lang w:val="en-US" w:eastAsia="zh-CN"/>
        </w:rPr>
      </w:pPr>
    </w:p>
    <w:p>
      <w:pPr>
        <w:spacing w:before="93" w:beforeLines="30" w:line="500" w:lineRule="exact"/>
        <w:ind w:left="0" w:leftChars="0" w:firstLine="0" w:firstLineChars="0"/>
        <w:rPr>
          <w:rFonts w:ascii="宋体" w:hAnsi="宋体" w:cs="宋体"/>
          <w:color w:val="auto"/>
          <w:sz w:val="24"/>
          <w:highlight w:val="none"/>
          <w:u w:val="single"/>
        </w:rPr>
      </w:pPr>
      <w:r>
        <w:rPr>
          <w:rFonts w:hint="eastAsia" w:ascii="宋体" w:hAnsi="宋体" w:cs="宋体"/>
          <w:b/>
          <w:color w:val="auto"/>
          <w:sz w:val="30"/>
          <w:highlight w:val="none"/>
          <w:lang w:val="en-US" w:eastAsia="zh-CN"/>
        </w:rPr>
        <w:t xml:space="preserve">    </w:t>
      </w: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val="en-US" w:eastAsia="zh-CN"/>
        </w:rPr>
        <w:t>广州市净水有限公司大坦沙分公司能源回收技术研究（第二次）</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default"/>
          <w:color w:val="auto"/>
          <w:highlight w:val="none"/>
          <w:lang w:val="en-US" w:eastAsia="zh-CN"/>
        </w:rPr>
      </w:pPr>
      <w:r>
        <w:rPr>
          <w:rFonts w:hint="eastAsia" w:ascii="宋体" w:hAnsi="宋体" w:cs="宋体"/>
          <w:color w:val="auto"/>
          <w:sz w:val="24"/>
          <w:highlight w:val="none"/>
        </w:rPr>
        <w:t>2.1项目名称：</w:t>
      </w:r>
      <w:r>
        <w:rPr>
          <w:rFonts w:hint="eastAsia" w:ascii="宋体" w:hAnsi="宋体" w:cs="宋体"/>
          <w:color w:val="auto"/>
          <w:sz w:val="24"/>
          <w:highlight w:val="none"/>
          <w:u w:val="single"/>
          <w:lang w:val="en-US" w:eastAsia="zh-CN"/>
        </w:rPr>
        <w:t>广州市净水有限公司大坦沙分公司能源回收技术研究（第二次）</w:t>
      </w:r>
    </w:p>
    <w:p>
      <w:pPr>
        <w:pStyle w:val="2"/>
        <w:rPr>
          <w:rFonts w:hint="default" w:cs="宋体" w:eastAsiaTheme="minorEastAsia"/>
          <w:color w:val="auto"/>
          <w:kern w:val="2"/>
          <w:szCs w:val="22"/>
          <w:highlight w:val="none"/>
          <w:u w:val="single"/>
          <w:lang w:val="en-US" w:eastAsia="zh-CN"/>
        </w:rPr>
      </w:pPr>
      <w:r>
        <w:rPr>
          <w:rFonts w:hint="eastAsia" w:ascii="宋体" w:hAnsi="宋体" w:cs="宋体" w:eastAsiaTheme="minorEastAsia"/>
          <w:color w:val="auto"/>
          <w:kern w:val="2"/>
          <w:sz w:val="24"/>
          <w:szCs w:val="22"/>
          <w:highlight w:val="none"/>
          <w:u w:val="none"/>
        </w:rPr>
        <w:t>2.2项目地点：</w:t>
      </w:r>
      <w:r>
        <w:rPr>
          <w:rFonts w:hint="eastAsia" w:cs="宋体" w:eastAsiaTheme="minorEastAsia"/>
          <w:color w:val="auto"/>
          <w:kern w:val="2"/>
          <w:sz w:val="24"/>
          <w:szCs w:val="22"/>
          <w:highlight w:val="none"/>
          <w:u w:val="single"/>
          <w:lang w:val="en-US" w:eastAsia="zh-CN"/>
        </w:rPr>
        <w:t>大坦沙净水厂</w:t>
      </w:r>
    </w:p>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2.4项目内容</w:t>
      </w:r>
      <w:r>
        <w:rPr>
          <w:rFonts w:hint="eastAsia" w:ascii="宋体" w:hAnsi="宋体" w:cs="宋体"/>
          <w:color w:val="auto"/>
          <w:sz w:val="24"/>
          <w:highlight w:val="none"/>
          <w:lang w:eastAsia="zh-CN"/>
        </w:rPr>
        <w:t>：</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大坦沙分公司一期接触池出水渠箱宽2m，落差约2m，水头流量3000-4000m³/小时。结合大坦沙分公司接触池现场环境尺寸，加设2组发电机组在接触池出水口位置。选用机组等重要部件为不锈钢。</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接触池、离心机房周边照明设备功率约为9kw（每天使用10小时），一二期后门电动车充电设施功率约为1.7Kw每个充电位（共10个位，每天使用20小时），按照满足上述日常用电设备功率设计、制作、安装能源回收装置，电压等级380V交流电，频率50Hz。通过接入能源储存装置供电，实现市电/自发电自动切换。</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FE"/>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5"/>
        </w:num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综合单价</w:t>
      </w:r>
      <w:r>
        <w:rPr>
          <w:rFonts w:hint="eastAsia" w:ascii="宋体" w:hAnsi="宋体" w:cs="宋体"/>
          <w:color w:val="auto"/>
          <w:sz w:val="24"/>
          <w:highlight w:val="none"/>
          <w:lang w:val="en-US" w:eastAsia="zh-CN"/>
        </w:rPr>
        <w:t>详见</w:t>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工程量清单报价。</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）。经甲方或甲方委托有资质第三方机构审核后，若结算审核价比合同暂定总价低，则以结算审核价作为合同结算价，否则以合同暂定总价为合同结算价。工程量</w:t>
      </w:r>
      <w:r>
        <w:rPr>
          <w:rFonts w:hint="eastAsia" w:ascii="宋体" w:hAnsi="宋体" w:cs="宋体"/>
          <w:color w:val="auto"/>
          <w:sz w:val="24"/>
          <w:highlight w:val="none"/>
          <w:lang w:val="en-US" w:eastAsia="zh-CN"/>
        </w:rPr>
        <w:t>详见</w:t>
      </w: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4</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color w:val="auto"/>
          <w:kern w:val="0"/>
          <w:sz w:val="24"/>
          <w:highlight w:val="none"/>
          <w:lang w:val="zh-CN"/>
        </w:rPr>
      </w:pPr>
      <w:r>
        <w:rPr>
          <w:rFonts w:ascii="宋体" w:hAnsi="宋体" w:cs="宋体"/>
          <w:color w:val="auto"/>
          <w:kern w:val="0"/>
          <w:sz w:val="24"/>
          <w:highlight w:val="none"/>
          <w:lang w:val="zh-CN"/>
        </w:rPr>
        <w:t>4.3</w:t>
      </w:r>
      <w:r>
        <w:rPr>
          <w:rFonts w:hint="eastAsia" w:ascii="宋体" w:hAnsi="宋体" w:cs="宋体"/>
          <w:color w:val="auto"/>
          <w:kern w:val="0"/>
          <w:sz w:val="24"/>
          <w:highlight w:val="none"/>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新增单价计价原则：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5.1</w:t>
      </w:r>
      <w:r>
        <w:rPr>
          <w:rFonts w:hint="eastAsia" w:ascii="宋体" w:hAnsi="宋体" w:cs="宋体"/>
          <w:color w:val="auto"/>
          <w:sz w:val="24"/>
          <w:highlight w:val="none"/>
        </w:rPr>
        <w:t>开工日期暂定为：</w:t>
      </w:r>
      <w:r>
        <w:rPr>
          <w:rFonts w:hint="eastAsia" w:ascii="宋体" w:hAnsi="宋体" w:cs="宋体"/>
          <w:color w:val="auto"/>
          <w:sz w:val="24"/>
          <w:highlight w:val="none"/>
          <w:u w:val="single"/>
        </w:rPr>
        <w:t>合同签订后15天内</w:t>
      </w:r>
      <w:r>
        <w:rPr>
          <w:rFonts w:hint="eastAsia" w:ascii="宋体" w:hAnsi="宋体" w:cs="宋体"/>
          <w:color w:val="auto"/>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color w:val="auto"/>
          <w:sz w:val="24"/>
          <w:highlight w:val="none"/>
          <w:lang w:val="en-US" w:eastAsia="zh-CN"/>
        </w:rPr>
        <w:t>及总日历</w:t>
      </w:r>
      <w:r>
        <w:rPr>
          <w:rFonts w:hint="eastAsia" w:ascii="宋体" w:hAnsi="宋体" w:cs="宋体"/>
          <w:color w:val="auto"/>
          <w:sz w:val="24"/>
          <w:highlight w:val="none"/>
          <w:u w:val="single"/>
          <w:lang w:val="en-US" w:eastAsia="zh-CN"/>
        </w:rPr>
        <w:t>60</w:t>
      </w:r>
      <w:r>
        <w:rPr>
          <w:rFonts w:hint="eastAsia" w:ascii="宋体" w:hAnsi="宋体" w:cs="宋体"/>
          <w:color w:val="auto"/>
          <w:sz w:val="24"/>
          <w:highlight w:val="none"/>
          <w:lang w:val="en-US" w:eastAsia="zh-CN"/>
        </w:rPr>
        <w:t>天</w:t>
      </w:r>
      <w:r>
        <w:rPr>
          <w:rFonts w:hint="eastAsia" w:ascii="宋体" w:hAnsi="宋体" w:eastAsia="等线" w:cs="宋体"/>
          <w:color w:val="auto"/>
          <w:sz w:val="24"/>
          <w:szCs w:val="24"/>
          <w:highlight w:val="none"/>
          <w:lang w:val="en-US" w:eastAsia="zh-CN"/>
        </w:rPr>
        <w:t>。</w:t>
      </w:r>
      <w:r>
        <w:rPr>
          <w:rFonts w:hint="eastAsia" w:ascii="宋体" w:hAnsi="宋体" w:cs="宋体"/>
          <w:color w:val="auto"/>
          <w:sz w:val="24"/>
          <w:highlight w:val="none"/>
        </w:rPr>
        <w:t>乙方未能按合同工期竣工验收的，每逾期一天，甲方有权要求乙方按合同暂定总价的 1%支付违约金，逾期达到</w:t>
      </w:r>
      <w:r>
        <w:rPr>
          <w:rFonts w:ascii="宋体" w:hAnsi="宋体" w:cs="宋体"/>
          <w:color w:val="auto"/>
          <w:sz w:val="24"/>
          <w:highlight w:val="none"/>
          <w:u w:val="single"/>
        </w:rPr>
        <w:t>30</w:t>
      </w:r>
      <w:r>
        <w:rPr>
          <w:rFonts w:hint="eastAsia" w:ascii="宋体" w:hAnsi="宋体" w:cs="宋体"/>
          <w:color w:val="auto"/>
          <w:sz w:val="24"/>
          <w:highlight w:val="none"/>
        </w:rPr>
        <w:t>天及以上的，甲方有权解除合同并要求乙方支付</w:t>
      </w:r>
      <w:r>
        <w:rPr>
          <w:rFonts w:hint="eastAsia" w:ascii="宋体" w:hAnsi="宋体" w:cs="宋体"/>
          <w:color w:val="auto"/>
          <w:sz w:val="24"/>
          <w:highlight w:val="none"/>
          <w:u w:val="single"/>
        </w:rPr>
        <w:t>合同暂定总价的</w:t>
      </w:r>
      <w:r>
        <w:rPr>
          <w:rFonts w:ascii="宋体" w:hAnsi="宋体" w:cs="宋体"/>
          <w:color w:val="auto"/>
          <w:sz w:val="24"/>
          <w:highlight w:val="none"/>
          <w:u w:val="single"/>
        </w:rPr>
        <w:t>20%</w:t>
      </w:r>
      <w:r>
        <w:rPr>
          <w:rFonts w:ascii="宋体" w:hAnsi="宋体" w:cs="宋体"/>
          <w:color w:val="auto"/>
          <w:sz w:val="24"/>
          <w:highlight w:val="none"/>
        </w:rPr>
        <w:t>作为违约金。</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乙方不得随意更换项目负责人及附件6中的相关人员，如确须更换，应提前征得甲方同意。如有违反，甲方有权解除合同并要求乙方支付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color w:val="auto"/>
          <w:spacing w:val="-8"/>
          <w:sz w:val="24"/>
          <w:szCs w:val="24"/>
          <w:highlight w:val="none"/>
        </w:rPr>
      </w:pPr>
      <w:r>
        <w:rPr>
          <w:rFonts w:hint="eastAsia" w:ascii="宋体" w:hAnsi="宋体" w:cs="宋体"/>
          <w:color w:val="auto"/>
          <w:spacing w:val="-8"/>
          <w:sz w:val="24"/>
          <w:szCs w:val="24"/>
          <w:highlight w:val="none"/>
        </w:rPr>
        <w:t>5.9</w:t>
      </w:r>
      <w:r>
        <w:rPr>
          <w:rFonts w:hint="eastAsia" w:ascii="宋体" w:hAnsi="宋体" w:eastAsia="宋体" w:cs="宋体"/>
          <w:color w:val="auto"/>
          <w:sz w:val="24"/>
          <w:szCs w:val="24"/>
          <w:highlight w:val="none"/>
          <w:lang w:val="en-US" w:eastAsia="zh-CN"/>
        </w:rPr>
        <w:t>在合同有效期内，乙方自愿接受甲方按《营运项目承包单位日常履约考评参照表（安全）》处理，具体处理标准详见附件</w:t>
      </w:r>
      <w:r>
        <w:rPr>
          <w:rFonts w:hint="eastAsia" w:ascii="宋体" w:hAnsi="宋体" w:cs="宋体"/>
          <w:color w:val="auto"/>
          <w:sz w:val="24"/>
          <w:szCs w:val="24"/>
          <w:highlight w:val="none"/>
          <w:lang w:val="en-US" w:eastAsia="zh-CN"/>
        </w:rPr>
        <w:t>8、9</w:t>
      </w:r>
      <w:r>
        <w:rPr>
          <w:rFonts w:hint="eastAsia" w:ascii="宋体" w:hAnsi="宋体" w:eastAsia="宋体" w:cs="宋体"/>
          <w:color w:val="auto"/>
          <w:sz w:val="24"/>
          <w:szCs w:val="24"/>
          <w:highlight w:val="none"/>
          <w:lang w:val="en-US" w:eastAsia="zh-CN"/>
        </w:rPr>
        <w:t>。</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lang w:val="en-US" w:eastAsia="zh-CN"/>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28"/>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6.6</w:t>
      </w:r>
      <w:r>
        <w:rPr>
          <w:rFonts w:hint="eastAsia" w:ascii="宋体" w:hAnsi="宋体" w:cs="宋体"/>
          <w:color w:val="auto"/>
          <w:sz w:val="24"/>
          <w:highlight w:val="none"/>
        </w:rPr>
        <w:t>本项目开展期间，承包方必须整理好本项目的所有的技术资料，不限于项目安装图、设备说明书、电气布局图等。项目竣工后，承包方将所有关于本项目的技术资料整理好并交至项目承办单位。</w:t>
      </w:r>
    </w:p>
    <w:p>
      <w:pPr>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6.7</w:t>
      </w:r>
      <w:r>
        <w:rPr>
          <w:rFonts w:hint="eastAsia" w:ascii="宋体" w:hAnsi="宋体" w:cs="宋体"/>
          <w:color w:val="auto"/>
          <w:sz w:val="24"/>
          <w:highlight w:val="none"/>
        </w:rPr>
        <w:t>项目使用的电气元件品牌须优于施耐德、ABB、西门子等一线品牌。</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6.8</w:t>
      </w:r>
      <w:r>
        <w:rPr>
          <w:rFonts w:hint="eastAsia" w:ascii="宋体" w:hAnsi="宋体" w:cs="宋体"/>
          <w:color w:val="auto"/>
          <w:sz w:val="24"/>
          <w:highlight w:val="none"/>
        </w:rPr>
        <w:t>项目完成后，承包方要完成系统详细使用说明并交至项目承办单位。</w:t>
      </w:r>
    </w:p>
    <w:p>
      <w:pPr>
        <w:snapToGrid w:val="0"/>
        <w:spacing w:line="50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按相关法律法规及甲方相关作业施工管理要求执行。</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6.10</w:t>
      </w:r>
      <w:r>
        <w:rPr>
          <w:rFonts w:hint="eastAsia" w:ascii="宋体" w:hAnsi="宋体" w:cs="宋体"/>
          <w:color w:val="auto"/>
          <w:sz w:val="24"/>
          <w:highlight w:val="none"/>
        </w:rPr>
        <w:t>能源回收装置必须在不停产不停水的条件下进行整机吊装安装。</w:t>
      </w:r>
    </w:p>
    <w:p>
      <w:pPr>
        <w:pStyle w:val="13"/>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A8"/>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52"/>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w:t>
      </w:r>
      <w:r>
        <w:rPr>
          <w:rFonts w:hint="eastAsia" w:ascii="宋体" w:hAnsi="宋体" w:cs="宋体"/>
          <w:bCs/>
          <w:color w:val="auto"/>
          <w:sz w:val="24"/>
          <w:highlight w:val="none"/>
          <w:lang w:val="en-US" w:eastAsia="zh-CN"/>
        </w:rPr>
        <w:t>预付款保函</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3"/>
        <w:spacing w:line="500" w:lineRule="exact"/>
        <w:ind w:firstLine="480" w:firstLineChars="200"/>
        <w:outlineLvl w:val="1"/>
        <w:rPr>
          <w:rFonts w:hint="default" w:hAnsi="宋体" w:cs="宋体"/>
          <w:color w:val="auto"/>
          <w:sz w:val="24"/>
          <w:highlight w:val="none"/>
          <w:u w:val="single"/>
          <w:lang w:val="en-US" w:eastAsia="zh-CN"/>
        </w:rPr>
      </w:pPr>
      <w:r>
        <w:rPr>
          <w:rFonts w:hAnsi="宋体" w:cs="宋体"/>
          <w:color w:val="auto"/>
          <w:sz w:val="24"/>
          <w:szCs w:val="24"/>
          <w:highlight w:val="none"/>
        </w:rPr>
        <w:t>8.2</w:t>
      </w:r>
      <w:r>
        <w:rPr>
          <w:rFonts w:hint="eastAsia" w:hAnsi="宋体" w:cs="宋体"/>
          <w:color w:val="auto"/>
          <w:sz w:val="24"/>
          <w:szCs w:val="24"/>
          <w:highlight w:val="none"/>
        </w:rPr>
        <w:t>项目验收合格后，由乙方提交申请支付资料 15 个工作日内，甲方支付至合同暂定总价的</w:t>
      </w:r>
      <w:r>
        <w:rPr>
          <w:rFonts w:hint="eastAsia" w:hAnsi="宋体" w:cs="宋体"/>
          <w:color w:val="auto"/>
          <w:sz w:val="24"/>
          <w:szCs w:val="24"/>
          <w:highlight w:val="none"/>
          <w:u w:val="single"/>
          <w:lang w:val="en-US" w:eastAsia="zh-CN"/>
        </w:rPr>
        <w:t>80%</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项目验收合同后，经甲方或甲方委托有资质第三方机构审核后，由乙方提交申请支付资料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个工作日内，甲方支付至合同结算价的</w:t>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t>%。</w:t>
      </w:r>
    </w:p>
    <w:p>
      <w:pPr>
        <w:spacing w:line="500" w:lineRule="exact"/>
        <w:ind w:firstLine="480" w:firstLineChars="200"/>
        <w:outlineLvl w:val="1"/>
        <w:rPr>
          <w:rFonts w:hint="eastAsia" w:hAnsi="宋体" w:cs="宋体"/>
          <w:color w:val="auto"/>
          <w:sz w:val="24"/>
          <w:highlight w:val="none"/>
          <w:u w:val="single"/>
          <w:lang w:val="en-US" w:eastAsia="zh-CN"/>
        </w:rPr>
      </w:pPr>
      <w:r>
        <w:rPr>
          <w:rFonts w:ascii="宋体" w:hAnsi="宋体" w:cs="宋体"/>
          <w:color w:val="auto"/>
          <w:sz w:val="24"/>
          <w:highlight w:val="none"/>
        </w:rPr>
        <w:t>8.2.</w:t>
      </w:r>
      <w:r>
        <w:rPr>
          <w:rFonts w:hint="eastAsia" w:ascii="宋体" w:hAnsi="宋体" w:cs="宋体"/>
          <w:color w:val="auto"/>
          <w:sz w:val="24"/>
          <w:highlight w:val="none"/>
          <w:lang w:val="en-US" w:eastAsia="zh-CN"/>
        </w:rPr>
        <w:t>1</w:t>
      </w:r>
      <w:r>
        <w:rPr>
          <w:rFonts w:hint="eastAsia" w:hAnsi="宋体" w:cs="宋体"/>
          <w:color w:val="auto"/>
          <w:sz w:val="24"/>
          <w:highlight w:val="none"/>
        </w:rPr>
        <w:t>本项目工程款的支付单位为：</w:t>
      </w:r>
      <w:r>
        <w:rPr>
          <w:rFonts w:hint="eastAsia" w:hAnsi="宋体" w:cs="宋体"/>
          <w:color w:val="auto"/>
          <w:sz w:val="24"/>
          <w:highlight w:val="none"/>
          <w:u w:val="single"/>
          <w:lang w:val="en-US" w:eastAsia="zh-CN"/>
        </w:rPr>
        <w:t>广州市净水有限公司大坦沙分公司</w:t>
      </w:r>
    </w:p>
    <w:p>
      <w:pPr>
        <w:spacing w:line="50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u w:val="none"/>
          <w:lang w:val="en-US" w:eastAsia="zh-CN"/>
        </w:rPr>
        <w:t>8.2.2质保期按合同第十条规定执行，质保期满后且乙方不存在违约情形，由乙方提交申请质保金退还资料 15 个工作日内，由甲方属下大坦沙分公司支付合同结算价的5％（质保金）给乙方（无息）。</w:t>
      </w:r>
    </w:p>
    <w:p>
      <w:pPr>
        <w:spacing w:line="500" w:lineRule="exact"/>
        <w:ind w:firstLine="480" w:firstLineChars="200"/>
        <w:outlineLvl w:val="1"/>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cs="Segoe UI Symbol" w:eastAsiaTheme="minorEastAsia"/>
          <w:b/>
          <w:bCs/>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500" w:lineRule="exact"/>
        <w:ind w:firstLine="480"/>
        <w:rPr>
          <w:color w:val="auto"/>
          <w:highlight w:val="none"/>
        </w:rPr>
      </w:pPr>
      <w:r>
        <w:rPr>
          <w:rFonts w:hint="eastAsia"/>
          <w:color w:val="auto"/>
          <w:highlight w:val="none"/>
        </w:rPr>
        <w:t>（1）符合甲方要求（详见附件保函格式）的银行独立保函，</w:t>
      </w:r>
    </w:p>
    <w:p>
      <w:pPr>
        <w:pStyle w:val="22"/>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（3）延长担保期限。乙方以履约银行保函形式提交履约保证金的，在银行保函到期前，乙方应提前</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3"/>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hint="eastAsia"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spacing w:line="50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9.5</w:t>
      </w:r>
      <w:r>
        <w:rPr>
          <w:rFonts w:hint="eastAsia" w:ascii="宋体" w:hAnsi="宋体" w:cs="宋体"/>
          <w:color w:val="auto"/>
          <w:sz w:val="24"/>
          <w:highlight w:val="none"/>
        </w:rPr>
        <w:t>本合同竣工验收结算单位为：</w:t>
      </w:r>
      <w:r>
        <w:rPr>
          <w:rFonts w:hint="eastAsia" w:ascii="宋体" w:hAnsi="宋体" w:cs="宋体"/>
          <w:color w:val="auto"/>
          <w:sz w:val="24"/>
          <w:highlight w:val="none"/>
          <w:lang w:val="en-US" w:eastAsia="zh-CN"/>
        </w:rPr>
        <w:t>广州市净水有限公司大坦沙分公司</w:t>
      </w:r>
    </w:p>
    <w:p>
      <w:pPr>
        <w:numPr>
          <w:ilvl w:val="0"/>
          <w:numId w:val="6"/>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28"/>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highlight w:val="none"/>
        </w:rPr>
        <w:t>工程量清单报价</w:t>
      </w:r>
    </w:p>
    <w:p>
      <w:pPr>
        <w:spacing w:line="50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5</w:t>
      </w:r>
      <w:r>
        <w:rPr>
          <w:rFonts w:ascii="宋体" w:hAnsi="宋体" w:cs="宋体"/>
          <w:color w:val="auto"/>
          <w:sz w:val="24"/>
          <w:highlight w:val="none"/>
        </w:rPr>
        <w:t>.</w:t>
      </w:r>
      <w:r>
        <w:rPr>
          <w:rFonts w:hint="eastAsia" w:ascii="宋体" w:hAnsi="宋体" w:cs="宋体"/>
          <w:color w:val="auto"/>
          <w:sz w:val="24"/>
          <w:highlight w:val="none"/>
        </w:rPr>
        <w:t>项目投入人员架构表</w:t>
      </w:r>
      <w:r>
        <w:rPr>
          <w:rFonts w:hint="eastAsia" w:asciiTheme="minorEastAsia" w:hAnsiTheme="minorEastAsia" w:eastAsiaTheme="minorEastAsia" w:cstheme="minorEastAsia"/>
          <w:color w:val="auto"/>
          <w:sz w:val="24"/>
          <w:highlight w:val="none"/>
        </w:rPr>
        <w:t>/应急救援物资清单</w:t>
      </w:r>
    </w:p>
    <w:p>
      <w:pPr>
        <w:spacing w:line="5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营运项目承包单位日常履约考评参照表（安全）</w:t>
      </w:r>
    </w:p>
    <w:p>
      <w:pPr>
        <w:spacing w:line="500" w:lineRule="exact"/>
        <w:ind w:left="718" w:leftChars="342" w:firstLine="0" w:firstLineChars="0"/>
        <w:rPr>
          <w:rFonts w:hint="eastAsia" w:ascii="宋体" w:hAnsi="宋体" w:cs="宋体"/>
          <w:color w:val="auto"/>
          <w:sz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营运项目承包单位综合履约考评表（安全）</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lang w:val="en-US" w:eastAsia="zh-CN"/>
        </w:rPr>
        <w:t>8.</w:t>
      </w:r>
      <w:r>
        <w:rPr>
          <w:rFonts w:hint="eastAsia" w:ascii="宋体" w:hAnsi="宋体" w:cs="宋体"/>
          <w:color w:val="auto"/>
          <w:sz w:val="24"/>
          <w:highlight w:val="none"/>
        </w:rPr>
        <w:t>履约保函（模板）</w:t>
      </w:r>
      <w:r>
        <w:rPr>
          <w:rFonts w:hint="eastAsia" w:ascii="宋体" w:hAnsi="宋体" w:cs="宋体"/>
          <w:color w:val="auto"/>
          <w:sz w:val="24"/>
          <w:highlight w:val="none"/>
        </w:rPr>
        <w:br w:type="textWrapping"/>
      </w:r>
      <w:r>
        <w:rPr>
          <w:rFonts w:hint="eastAsia" w:ascii="宋体" w:hAnsi="宋体" w:cs="宋体"/>
          <w:color w:val="auto"/>
          <w:sz w:val="24"/>
          <w:highlight w:val="none"/>
          <w:lang w:val="en-US" w:eastAsia="zh-CN"/>
        </w:rPr>
        <w:t>9.预付款保函</w:t>
      </w:r>
    </w:p>
    <w:p>
      <w:pPr>
        <w:pStyle w:val="2"/>
        <w:ind w:firstLine="720" w:firstLineChars="300"/>
        <w:rPr>
          <w:rFonts w:hint="eastAsia" w:cs="宋体" w:eastAsiaTheme="minorEastAsia"/>
          <w:color w:val="auto"/>
          <w:kern w:val="2"/>
          <w:sz w:val="24"/>
          <w:szCs w:val="22"/>
          <w:highlight w:val="none"/>
          <w:lang w:val="en-US" w:eastAsia="zh-CN"/>
        </w:rPr>
      </w:pPr>
      <w:r>
        <w:rPr>
          <w:rFonts w:hint="eastAsia" w:cs="宋体" w:eastAsiaTheme="minorEastAsia"/>
          <w:color w:val="auto"/>
          <w:kern w:val="2"/>
          <w:sz w:val="24"/>
          <w:szCs w:val="22"/>
          <w:highlight w:val="none"/>
          <w:lang w:val="en-US" w:eastAsia="zh-CN"/>
        </w:rPr>
        <w:t>10.消防安全管理协议书</w:t>
      </w:r>
    </w:p>
    <w:p>
      <w:pPr>
        <w:pStyle w:val="2"/>
        <w:ind w:firstLine="720" w:firstLineChars="300"/>
        <w:rPr>
          <w:rFonts w:hint="default" w:cs="宋体" w:eastAsiaTheme="minorEastAsia"/>
          <w:color w:val="auto"/>
          <w:kern w:val="2"/>
          <w:szCs w:val="22"/>
          <w:highlight w:val="none"/>
          <w:lang w:val="en-US" w:eastAsia="zh-CN"/>
        </w:rPr>
      </w:pPr>
      <w:r>
        <w:rPr>
          <w:rFonts w:hint="eastAsia" w:cs="宋体" w:eastAsiaTheme="minorEastAsia"/>
          <w:color w:val="auto"/>
          <w:kern w:val="2"/>
          <w:sz w:val="24"/>
          <w:szCs w:val="22"/>
          <w:highlight w:val="none"/>
          <w:lang w:val="en-US" w:eastAsia="zh-CN"/>
        </w:rPr>
        <w:t>11.消 防 安 全 承 诺 书</w:t>
      </w:r>
    </w:p>
    <w:p>
      <w:pPr>
        <w:spacing w:line="46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46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46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46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46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46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460" w:lineRule="exact"/>
        <w:ind w:left="6360" w:hanging="6360" w:hangingChars="2650"/>
        <w:rPr>
          <w:rFonts w:hint="eastAsia"/>
          <w:color w:val="auto"/>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spacing w:line="240" w:lineRule="auto"/>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pStyle w:val="2"/>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广州市净水有限公司大坦沙分公司能源回收技术研究（第二次）</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eastAsia="仿宋_GB2312"/>
          <w:color w:val="auto"/>
          <w:sz w:val="28"/>
          <w:szCs w:val="28"/>
          <w:highlight w:val="none"/>
          <w:u w:val="single"/>
          <w:lang w:val="en-US" w:eastAsia="zh-CN"/>
        </w:rPr>
        <w:t>广州市净水有限公司大坦沙分公司能源回收技术研究（第二次）</w:t>
      </w:r>
      <w:r>
        <w:rPr>
          <w:rFonts w:hint="eastAsia" w:ascii="仿宋_GB2312" w:hAnsi="仿宋_GB2312" w:eastAsia="仿宋_GB2312" w:cs="仿宋_GB2312"/>
          <w:b w:val="0"/>
          <w:bCs/>
          <w:color w:val="auto"/>
          <w:sz w:val="28"/>
          <w:szCs w:val="28"/>
          <w:highlight w:val="none"/>
          <w:u w:val="single"/>
          <w:lang w:val="en-US" w:eastAsia="zh-CN"/>
        </w:rPr>
        <w:t>合同</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穗净水合【2023】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
        <w:ind w:firstLine="0"/>
        <w:rPr>
          <w:rFonts w:hint="eastAsia" w:ascii="仿宋_GB2312" w:hAnsi="仿宋_GB2312" w:eastAsia="仿宋_GB2312" w:cs="仿宋_GB2312"/>
          <w:b w:val="0"/>
          <w:bCs/>
          <w:color w:val="auto"/>
          <w:sz w:val="28"/>
          <w:szCs w:val="28"/>
          <w:highlight w:val="none"/>
        </w:rPr>
      </w:pPr>
    </w:p>
    <w:p>
      <w:pPr>
        <w:spacing w:line="240" w:lineRule="auto"/>
        <w:rPr>
          <w:rFonts w:hint="eastAsia" w:ascii="宋体" w:hAnsi="宋体" w:cs="宋体"/>
          <w:b/>
          <w:color w:val="auto"/>
          <w:szCs w:val="21"/>
          <w:highlight w:val="none"/>
        </w:rPr>
      </w:pPr>
      <w:r>
        <w:rPr>
          <w:rFonts w:hint="eastAsia" w:ascii="宋体" w:hAnsi="宋体" w:cs="宋体"/>
          <w:b/>
          <w:color w:val="auto"/>
          <w:szCs w:val="21"/>
          <w:highlight w:val="none"/>
        </w:rPr>
        <w:br w:type="page"/>
      </w:r>
    </w:p>
    <w:p>
      <w:pPr>
        <w:tabs>
          <w:tab w:val="left" w:pos="417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pStyle w:val="2"/>
        <w:ind w:firstLine="0"/>
        <w:rPr>
          <w:rFonts w:hint="eastAsia" w:ascii="宋体" w:hAnsi="宋体" w:cs="宋体"/>
          <w:b/>
          <w:color w:val="auto"/>
          <w:szCs w:val="21"/>
          <w:highlight w:val="none"/>
        </w:rPr>
      </w:pP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jc w:val="left"/>
        <w:rPr>
          <w:rStyle w:val="26"/>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color w:val="auto"/>
          <w:sz w:val="24"/>
          <w:highlight w:val="none"/>
          <w:lang w:val="en-US" w:eastAsia="zh-CN"/>
        </w:rPr>
        <w:t>广州市净水有限公司大坦沙分公司能源回收技术研究（第二次）</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乙方：</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联系电话：</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b/>
          <w:color w:val="auto"/>
          <w:szCs w:val="21"/>
          <w:highlight w:val="none"/>
        </w:rPr>
      </w:pPr>
    </w:p>
    <w:p>
      <w:pPr>
        <w:pStyle w:val="2"/>
        <w:ind w:firstLine="0"/>
        <w:rPr>
          <w:rFonts w:ascii="宋体" w:hAnsi="宋体" w:cs="宋体"/>
          <w:b/>
          <w:color w:val="auto"/>
          <w:szCs w:val="21"/>
          <w:highlight w:val="none"/>
        </w:rPr>
      </w:pP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工程量报价</w:t>
      </w:r>
    </w:p>
    <w:tbl>
      <w:tblPr>
        <w:tblStyle w:val="23"/>
        <w:tblW w:w="49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536"/>
        <w:gridCol w:w="4176"/>
        <w:gridCol w:w="656"/>
        <w:gridCol w:w="656"/>
        <w:gridCol w:w="1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364" w:type="pct"/>
            <w:tcBorders>
              <w:top w:val="single" w:color="auto"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731" w:type="pct"/>
            <w:tcBorders>
              <w:top w:val="single" w:color="auto"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水轮发电机组</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适配现场设备及安装尺寸</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现场吊车安装</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额定载重30吨以上</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台班</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三相电源稳压</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380V、50Hz、26KW稳压系统</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电度表</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适配现场设备</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电缆</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ZC-YJV 4*16mm²+1*10mm²</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6</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配电箱</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用电负荷分配箱，含零地排、空气开关等</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7</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辅材</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PVC管、钢管、接线端等</w:t>
            </w: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8</w:t>
            </w:r>
          </w:p>
        </w:tc>
        <w:tc>
          <w:tcPr>
            <w:tcW w:w="8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设计、施工、机组整体、配电箱、电缆安装</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9</w:t>
            </w:r>
          </w:p>
        </w:tc>
        <w:tc>
          <w:tcPr>
            <w:tcW w:w="8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设备调试</w:t>
            </w:r>
          </w:p>
        </w:tc>
        <w:tc>
          <w:tcPr>
            <w:tcW w:w="2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364"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364" w:type="pct"/>
            <w:tcBorders>
              <w:top w:val="single" w:color="000000" w:sz="4" w:space="0"/>
              <w:left w:val="single" w:color="auto"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6" w:hRule="atLeast"/>
        </w:trPr>
        <w:tc>
          <w:tcPr>
            <w:tcW w:w="5000" w:type="pct"/>
            <w:gridSpan w:val="6"/>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sz w:val="22"/>
                <w:szCs w:val="22"/>
                <w:highlight w:val="none"/>
                <w:u w:val="none"/>
                <w:lang w:val="en-US" w:eastAsia="zh-CN"/>
              </w:rPr>
              <w:t>总价（元） 含税</w:t>
            </w:r>
            <w:r>
              <w:rPr>
                <w:rFonts w:hint="eastAsia" w:ascii="宋体" w:hAnsi="宋体" w:eastAsia="宋体" w:cs="宋体"/>
                <w:i w:val="0"/>
                <w:iCs w:val="0"/>
                <w:color w:val="000000"/>
                <w:sz w:val="22"/>
                <w:szCs w:val="22"/>
                <w:highlight w:val="none"/>
                <w:u w:val="single"/>
                <w:lang w:val="en-US" w:eastAsia="zh-CN"/>
              </w:rPr>
              <w:t xml:space="preserve">   %：</w:t>
            </w:r>
          </w:p>
        </w:tc>
      </w:tr>
    </w:tbl>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spacing w:line="240" w:lineRule="auto"/>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：项目投入人员架构表/应急救援物资清单</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2"/>
        <w:ind w:firstLine="0"/>
        <w:rPr>
          <w:rFonts w:hint="eastAsia" w:ascii="宋体" w:hAnsi="宋体" w:cs="宋体"/>
          <w:b/>
          <w:bCs/>
          <w:color w:val="auto"/>
          <w:szCs w:val="21"/>
          <w:highlight w:val="none"/>
        </w:rPr>
      </w:pPr>
    </w:p>
    <w:p>
      <w:pPr>
        <w:pStyle w:val="2"/>
        <w:ind w:firstLine="0"/>
        <w:rPr>
          <w:rFonts w:hint="eastAsia" w:ascii="宋体" w:hAnsi="宋体" w:cs="宋体"/>
          <w:b/>
          <w:bCs/>
          <w:color w:val="auto"/>
          <w:szCs w:val="21"/>
          <w:highlight w:val="none"/>
        </w:rPr>
      </w:pPr>
    </w:p>
    <w:p>
      <w:pPr>
        <w:spacing w:line="24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br w:type="page"/>
      </w:r>
    </w:p>
    <w:p>
      <w:pPr>
        <w:spacing w:line="360" w:lineRule="auto"/>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附件6</w:t>
      </w:r>
      <w:r>
        <w:rPr>
          <w:rFonts w:hint="eastAsia" w:ascii="宋体" w:hAnsi="宋体" w:cs="宋体"/>
          <w:b/>
          <w:bCs/>
          <w:color w:val="auto"/>
          <w:sz w:val="21"/>
          <w:szCs w:val="21"/>
          <w:highlight w:val="none"/>
        </w:rPr>
        <w:t>营运项目承包单位日常履约考评参照表（安全）</w:t>
      </w:r>
    </w:p>
    <w:tbl>
      <w:tblPr>
        <w:tblStyle w:val="23"/>
        <w:tblpPr w:leftFromText="180" w:rightFromText="180" w:vertAnchor="text" w:horzAnchor="page" w:tblpX="1421" w:tblpY="536"/>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numPr>
                <w:ilvl w:val="0"/>
                <w:numId w:val="3"/>
              </w:numPr>
              <w:ind w:left="643" w:hanging="260" w:hangingChars="200"/>
              <w:rPr>
                <w:rFonts w:hint="eastAsia"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pStyle w:val="2"/>
              <w:numPr>
                <w:ilvl w:val="0"/>
                <w:numId w:val="0"/>
              </w:numPr>
              <w:rPr>
                <w:color w:val="auto"/>
                <w:highlight w:val="none"/>
              </w:rPr>
            </w:pPr>
          </w:p>
          <w:p>
            <w:pPr>
              <w:spacing w:line="360" w:lineRule="auto"/>
              <w:ind w:firstLine="0" w:firstLineChars="0"/>
              <w:jc w:val="left"/>
              <w:rPr>
                <w:rFonts w:hint="eastAsia" w:ascii="宋体" w:hAnsi="宋体" w:cs="宋体"/>
                <w:b/>
                <w:bCs/>
                <w:color w:val="auto"/>
                <w:sz w:val="21"/>
                <w:szCs w:val="21"/>
                <w:highlight w:val="none"/>
              </w:rPr>
            </w:pPr>
            <w:r>
              <w:rPr>
                <w:rFonts w:hint="eastAsia" w:ascii="宋体" w:hAnsi="宋体" w:cs="宋体"/>
                <w:b/>
                <w:bCs/>
                <w:color w:val="auto"/>
                <w:szCs w:val="21"/>
                <w:highlight w:val="none"/>
                <w:lang w:val="en-US" w:eastAsia="zh-CN"/>
              </w:rPr>
              <w:t>附件7</w:t>
            </w:r>
            <w:r>
              <w:rPr>
                <w:rFonts w:hint="eastAsia" w:ascii="宋体" w:hAnsi="宋体" w:cs="宋体"/>
                <w:b/>
                <w:bCs/>
                <w:color w:val="auto"/>
                <w:sz w:val="21"/>
                <w:szCs w:val="21"/>
                <w:highlight w:val="none"/>
              </w:rPr>
              <w:t>营运项目承包单位综合履约考评表（安全）</w:t>
            </w:r>
          </w:p>
          <w:p>
            <w:pPr>
              <w:pStyle w:val="2"/>
              <w:ind w:firstLine="0"/>
              <w:rPr>
                <w:rFonts w:hint="default" w:eastAsia="仿宋_GB2312"/>
                <w:color w:val="auto"/>
                <w:highlight w:val="none"/>
                <w:lang w:val="en-US" w:eastAsia="zh-CN"/>
              </w:rPr>
            </w:pPr>
          </w:p>
        </w:tc>
      </w:tr>
    </w:tbl>
    <w:p>
      <w:pPr>
        <w:tabs>
          <w:tab w:val="left" w:pos="673"/>
        </w:tabs>
        <w:jc w:val="left"/>
        <w:rPr>
          <w:rFonts w:hint="default"/>
          <w:color w:val="auto"/>
          <w:highlight w:val="none"/>
          <w:lang w:val="en-US" w:eastAsia="zh-CN"/>
        </w:rPr>
      </w:pPr>
    </w:p>
    <w:p>
      <w:pPr>
        <w:pStyle w:val="2"/>
        <w:ind w:left="0" w:leftChars="0" w:firstLine="0" w:firstLineChars="0"/>
        <w:rPr>
          <w:rFonts w:ascii="宋体" w:hAnsi="宋体" w:cs="宋体"/>
          <w:b/>
          <w:bCs/>
          <w:color w:val="auto"/>
          <w:sz w:val="24"/>
          <w:szCs w:val="24"/>
          <w:highlight w:val="none"/>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spacing w:line="360" w:lineRule="auto"/>
        <w:rPr>
          <w:rFonts w:hint="eastAsia"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：履约保函（模板）</w:t>
      </w:r>
    </w:p>
    <w:p>
      <w:pPr>
        <w:jc w:val="center"/>
        <w:rPr>
          <w:rFonts w:asciiTheme="minorEastAsia" w:hAnsiTheme="minorEastAsia"/>
          <w:b/>
          <w:color w:val="auto"/>
          <w:sz w:val="24"/>
          <w:highlight w:val="none"/>
        </w:rPr>
      </w:pPr>
      <w:r>
        <w:rPr>
          <w:rFonts w:hint="eastAsia" w:asciiTheme="minorEastAsia" w:hAnsiTheme="minorEastAsia"/>
          <w:b/>
          <w:color w:val="auto"/>
          <w:sz w:val="24"/>
          <w:highlight w:val="none"/>
        </w:rPr>
        <w:t>履约保函模板</w:t>
      </w:r>
    </w:p>
    <w:p>
      <w:pPr>
        <w:rPr>
          <w:rFonts w:asciiTheme="minorEastAsia" w:hAnsiTheme="minorEastAsia"/>
          <w:color w:val="auto"/>
          <w:sz w:val="24"/>
          <w:highlight w:val="none"/>
        </w:rPr>
      </w:pPr>
    </w:p>
    <w:p>
      <w:pPr>
        <w:rPr>
          <w:rFonts w:asciiTheme="minorEastAsia" w:hAnsiTheme="minorEastAsia"/>
          <w:color w:val="auto"/>
          <w:sz w:val="24"/>
          <w:highlight w:val="none"/>
        </w:rPr>
      </w:pPr>
      <w:r>
        <w:rPr>
          <w:rFonts w:hint="eastAsia" w:asciiTheme="minorEastAsia" w:hAnsiTheme="minorEastAsia"/>
          <w:color w:val="auto"/>
          <w:sz w:val="24"/>
          <w:highlight w:val="none"/>
        </w:rPr>
        <w:t>致：</w:t>
      </w:r>
      <w:r>
        <w:rPr>
          <w:rFonts w:hint="eastAsia" w:asciiTheme="minorEastAsia" w:hAnsiTheme="minorEastAsia"/>
          <w:color w:val="auto"/>
          <w:sz w:val="24"/>
          <w:highlight w:val="none"/>
          <w:u w:val="single"/>
        </w:rPr>
        <w:t xml:space="preserve">               （受益人）</w:t>
      </w:r>
      <w:r>
        <w:rPr>
          <w:rFonts w:asciiTheme="minorEastAsia" w:hAnsiTheme="minorEastAsia"/>
          <w:color w:val="auto"/>
          <w:sz w:val="24"/>
          <w:highlight w:val="none"/>
        </w:rPr>
        <w:br w:type="textWrapping"/>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鉴于（以下简称“委托人”）与贵方于</w:t>
      </w:r>
      <w:r>
        <w:rPr>
          <w:rFonts w:hint="eastAsia" w:asciiTheme="minorEastAsia" w:hAnsiTheme="minorEastAsia"/>
          <w:color w:val="auto"/>
          <w:sz w:val="24"/>
          <w:highlight w:val="none"/>
          <w:u w:val="single"/>
        </w:rPr>
        <w:t xml:space="preserve">   年  月  日</w:t>
      </w:r>
      <w:r>
        <w:rPr>
          <w:rFonts w:hint="eastAsia" w:asciiTheme="minorEastAsia" w:hAnsiTheme="minorEastAsia"/>
          <w:color w:val="auto"/>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二、贵单位的索赔申请应符合下述条件：</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（一）贵单位法定代表人或其授权代表签字并加盖单位公章；</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（二）在保函有效期内送达我行；</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（三）明确的索赔金额（不得超过本保函第一条所列之限额）。</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三、本保函自签发之日起生效，有效期至</w:t>
      </w:r>
      <w:r>
        <w:rPr>
          <w:rFonts w:hint="eastAsia" w:asciiTheme="minorEastAsia" w:hAnsiTheme="minorEastAsia"/>
          <w:color w:val="auto"/>
          <w:sz w:val="24"/>
          <w:highlight w:val="none"/>
          <w:u w:val="single"/>
        </w:rPr>
        <w:t xml:space="preserve">  年  月  日</w:t>
      </w:r>
      <w:r>
        <w:rPr>
          <w:rFonts w:hint="eastAsia" w:asciiTheme="minorEastAsia" w:hAnsiTheme="minorEastAsia"/>
          <w:color w:val="auto"/>
          <w:sz w:val="24"/>
          <w:highlight w:val="none"/>
        </w:rPr>
        <w:t>。本保函于下述任一事项发生之时立即失效，我行在本保函项下的保证义务即刻解除：</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（一）本保函有效期限届满；</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（二）我行保证的义务履行完毕。</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五、我行向你方支付索赔金额后，本保函担保金额即按贵方通知的索赔金额予以递减。</w:t>
      </w: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六、保函失效后请将保函退回我行注销，无论正本最终退回与否，不影响本保函依上述约定自动失效。</w:t>
      </w:r>
    </w:p>
    <w:p>
      <w:pPr>
        <w:ind w:firstLine="420"/>
        <w:rPr>
          <w:rFonts w:asciiTheme="minorEastAsia" w:hAnsiTheme="minorEastAsia"/>
          <w:color w:val="auto"/>
          <w:sz w:val="24"/>
          <w:highlight w:val="none"/>
        </w:rPr>
      </w:pPr>
    </w:p>
    <w:p>
      <w:pPr>
        <w:ind w:firstLine="420"/>
        <w:rPr>
          <w:rFonts w:asciiTheme="minorEastAsia" w:hAnsiTheme="minorEastAsia"/>
          <w:color w:val="auto"/>
          <w:sz w:val="24"/>
          <w:highlight w:val="none"/>
        </w:rPr>
      </w:pPr>
    </w:p>
    <w:p>
      <w:pPr>
        <w:ind w:firstLine="420"/>
        <w:rPr>
          <w:rFonts w:asciiTheme="minorEastAsia" w:hAnsiTheme="minorEastAsia"/>
          <w:color w:val="auto"/>
          <w:sz w:val="24"/>
          <w:highlight w:val="none"/>
        </w:rPr>
      </w:pPr>
      <w:r>
        <w:rPr>
          <w:rFonts w:hint="eastAsia" w:asciiTheme="minorEastAsia" w:hAnsiTheme="minorEastAsia"/>
          <w:color w:val="auto"/>
          <w:sz w:val="24"/>
          <w:highlight w:val="none"/>
        </w:rPr>
        <w:t xml:space="preserve">                                                   落款</w:t>
      </w:r>
    </w:p>
    <w:p>
      <w:pPr>
        <w:ind w:firstLine="420"/>
        <w:rPr>
          <w:rFonts w:asciiTheme="minorEastAsia" w:hAnsiTheme="minorEastAsia"/>
          <w:color w:val="auto"/>
          <w:sz w:val="24"/>
          <w:highlight w:val="none"/>
        </w:rPr>
      </w:pPr>
    </w:p>
    <w:p>
      <w:pPr>
        <w:ind w:firstLine="645"/>
        <w:rPr>
          <w:rFonts w:asciiTheme="minorEastAsia" w:hAnsiTheme="minorEastAsia"/>
          <w:color w:val="auto"/>
          <w:sz w:val="24"/>
          <w:highlight w:val="none"/>
        </w:rPr>
      </w:pPr>
      <w:r>
        <w:rPr>
          <w:rFonts w:hint="eastAsia" w:asciiTheme="minorEastAsia" w:hAnsiTheme="minorEastAsia"/>
          <w:color w:val="auto"/>
          <w:sz w:val="24"/>
          <w:highlight w:val="none"/>
        </w:rPr>
        <w:t>保函说明：</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保函不得有下列或类似含义的表述：</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1.银行承担的为连带责任保证、一般保证。</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3.合同撤销或无效的，保函失效。</w:t>
      </w:r>
    </w:p>
    <w:p>
      <w:pPr>
        <w:ind w:firstLine="645"/>
        <w:rPr>
          <w:rFonts w:cs="仿宋_GB2312" w:asciiTheme="minorEastAsia" w:hAnsiTheme="minorEastAsia"/>
          <w:color w:val="auto"/>
          <w:sz w:val="24"/>
          <w:highlight w:val="none"/>
        </w:rPr>
      </w:pPr>
      <w:r>
        <w:rPr>
          <w:rFonts w:hint="eastAsia" w:cs="仿宋_GB2312" w:asciiTheme="minorEastAsia" w:hAnsiTheme="minorEastAsia"/>
          <w:color w:val="auto"/>
          <w:sz w:val="24"/>
          <w:highlight w:val="none"/>
        </w:rPr>
        <w:t>4.申请人对受益人的抗辩，银行有权向受益人主张。</w:t>
      </w:r>
    </w:p>
    <w:p>
      <w:pPr>
        <w:spacing w:line="360" w:lineRule="auto"/>
        <w:rPr>
          <w:rFonts w:ascii="宋体" w:hAnsi="宋体" w:cs="宋体"/>
          <w:b/>
          <w:bCs/>
          <w:color w:val="auto"/>
          <w:szCs w:val="21"/>
          <w:highlight w:val="none"/>
        </w:rPr>
      </w:pPr>
      <w:r>
        <w:rPr>
          <w:rFonts w:hint="eastAsia" w:cs="仿宋_GB2312" w:asciiTheme="minorEastAsia" w:hAnsiTheme="minorEastAsia"/>
          <w:color w:val="auto"/>
          <w:sz w:val="24"/>
          <w:highlight w:val="none"/>
        </w:rPr>
        <w:t>5.受益人请求付款的请款单据包含法院裁判文书、仲裁裁决、第三方单位出具的鉴定书等申请人违约的证明材料。</w:t>
      </w:r>
      <w:r>
        <w:rPr>
          <w:rFonts w:hint="eastAsia" w:cs="仿宋_GB2312" w:asciiTheme="minorEastAsia" w:hAnsiTheme="minorEastAsia"/>
          <w:color w:val="auto"/>
          <w:sz w:val="24"/>
          <w:highlight w:val="none"/>
        </w:rPr>
        <w:br w:type="textWrapping"/>
      </w: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：预付款保函（格式）</w:t>
      </w:r>
    </w:p>
    <w:p>
      <w:pPr>
        <w:pStyle w:val="28"/>
        <w:numPr>
          <w:ilvl w:val="255"/>
          <w:numId w:val="0"/>
        </w:numPr>
        <w:jc w:val="center"/>
        <w:rPr>
          <w:rFonts w:hAnsi="宋体" w:eastAsia="宋体"/>
          <w:color w:val="auto"/>
          <w:highlight w:val="none"/>
        </w:rPr>
      </w:pPr>
    </w:p>
    <w:p>
      <w:pPr>
        <w:pStyle w:val="28"/>
        <w:numPr>
          <w:ilvl w:val="255"/>
          <w:numId w:val="0"/>
        </w:numPr>
        <w:jc w:val="center"/>
        <w:rPr>
          <w:rFonts w:hAnsi="宋体" w:eastAsia="宋体"/>
          <w:color w:val="auto"/>
          <w:highlight w:val="none"/>
        </w:rPr>
      </w:pPr>
    </w:p>
    <w:p>
      <w:pPr>
        <w:pStyle w:val="28"/>
        <w:numPr>
          <w:ilvl w:val="255"/>
          <w:numId w:val="0"/>
        </w:numPr>
        <w:jc w:val="center"/>
        <w:rPr>
          <w:rFonts w:hAnsi="宋体" w:eastAsia="宋体"/>
          <w:color w:val="auto"/>
          <w:highlight w:val="none"/>
        </w:rPr>
      </w:pPr>
      <w:r>
        <w:rPr>
          <w:rFonts w:hint="eastAsia" w:hAnsi="宋体" w:eastAsia="宋体"/>
          <w:color w:val="auto"/>
          <w:highlight w:val="none"/>
        </w:rPr>
        <w:t>预付款保函模板</w:t>
      </w:r>
    </w:p>
    <w:p>
      <w:pPr>
        <w:rPr>
          <w:rFonts w:ascii="宋体" w:hAnsi="宋体" w:cs="宋体"/>
          <w:color w:val="auto"/>
          <w:sz w:val="24"/>
          <w:highlight w:val="none"/>
        </w:rPr>
      </w:pPr>
    </w:p>
    <w:p>
      <w:pPr>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（受益人）</w:t>
      </w:r>
    </w:p>
    <w:p>
      <w:pPr>
        <w:rPr>
          <w:rFonts w:ascii="宋体" w:hAnsi="宋体" w:cs="宋体"/>
          <w:color w:val="auto"/>
          <w:sz w:val="24"/>
          <w:highlight w:val="none"/>
        </w:rPr>
      </w:pPr>
    </w:p>
    <w:p>
      <w:pPr>
        <w:ind w:firstLine="240" w:firstLineChars="100"/>
        <w:rPr>
          <w:rFonts w:ascii="宋体" w:hAnsi="宋体" w:cs="宋体"/>
          <w:color w:val="auto"/>
          <w:sz w:val="24"/>
          <w:highlight w:val="none"/>
        </w:rPr>
      </w:pPr>
      <w:r>
        <w:rPr>
          <w:rFonts w:hint="eastAsia" w:ascii="宋体" w:hAnsi="宋体" w:cs="宋体"/>
          <w:color w:val="auto"/>
          <w:sz w:val="24"/>
          <w:highlight w:val="none"/>
        </w:rPr>
        <w:t>鉴于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（以下简称“委托人”）与你方于</w:t>
      </w:r>
      <w:r>
        <w:rPr>
          <w:rFonts w:hint="eastAsia" w:ascii="宋体" w:hAnsi="宋体" w:cs="宋体"/>
          <w:color w:val="auto"/>
          <w:sz w:val="24"/>
          <w:highlight w:val="none"/>
          <w:u w:val="single"/>
        </w:rPr>
        <w:t xml:space="preserve">   年  月  日</w:t>
      </w:r>
      <w:r>
        <w:rPr>
          <w:rFonts w:hint="eastAsia" w:ascii="宋体" w:hAnsi="宋体" w:cs="宋体"/>
          <w:color w:val="auto"/>
          <w:sz w:val="24"/>
          <w:highlight w:val="none"/>
        </w:rPr>
        <w:t>签订了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（以下简称“合同”），你方将按上述基础交易合同约定向委托人支付预付款人民币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）。我行接受委托人的申请，特此开立以你方为受益人的最高金额为人民币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）（以下称“保函金额”）的保函。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一、本保函为不可撤销、见索即付的独立保函。</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二、在本保函的有效期内，如委托人违反上述基础交易合同约定的义务而未向你方退还预付款，我行将在收到你方提交的符合下述要求的索赔通知书后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日内，以上述保函金额为限向你方支付相应款项。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（一）索赔通知书须写明请求付款的金额，并声明该款项并未由委托人或其代理人直接或间接地支付给你方；</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（二）索赔通知书应由你方法定代表人签  字并加盖公章；</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（三）索赔通知书必须于本保函有效期截止日前送达我行。</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三、合同的任何修改、变更、解释或不可执行都不能削弱或免除我行按本保函应承担的义务。</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本保函金额将随我行已向你方支付的金额而自动作相应递减。</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四、本保函未经我行书面同意不得转让。</w:t>
      </w:r>
    </w:p>
    <w:p>
      <w:pPr>
        <w:ind w:firstLine="480" w:firstLineChars="200"/>
        <w:rPr>
          <w:rFonts w:ascii="宋体" w:hAnsi="宋体" w:cs="宋体"/>
          <w:color w:val="auto"/>
          <w:sz w:val="24"/>
          <w:highlight w:val="none"/>
        </w:rPr>
      </w:pPr>
      <w:r>
        <w:rPr>
          <w:rFonts w:hint="eastAsia" w:ascii="宋体" w:hAnsi="宋体" w:cs="宋体"/>
          <w:color w:val="auto"/>
          <w:sz w:val="24"/>
          <w:highlight w:val="none"/>
        </w:rPr>
        <w:t>五、本保函自签发之日起生效，有效期至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止。在上述期限内若累计赔偿额达到前述保函金额，本保函提前失效。本保函到期后，无论保函原件是否退回我行，皆告失效。</w:t>
      </w:r>
    </w:p>
    <w:p>
      <w:pPr>
        <w:spacing w:line="400" w:lineRule="exact"/>
        <w:ind w:firstLine="540" w:firstLineChars="225"/>
        <w:rPr>
          <w:rFonts w:ascii="宋体" w:hAnsi="宋体" w:cs="宋体"/>
          <w:color w:val="auto"/>
          <w:sz w:val="24"/>
          <w:highlight w:val="none"/>
        </w:rPr>
      </w:pPr>
      <w:r>
        <w:rPr>
          <w:rFonts w:hint="eastAsia" w:ascii="宋体" w:hAnsi="宋体" w:cs="宋体"/>
          <w:color w:val="auto"/>
          <w:sz w:val="24"/>
          <w:highlight w:val="none"/>
        </w:rPr>
        <w:t xml:space="preserve"> </w:t>
      </w:r>
    </w:p>
    <w:p>
      <w:pPr>
        <w:pStyle w:val="2"/>
        <w:rPr>
          <w:rFonts w:hint="default"/>
          <w:color w:val="auto"/>
          <w:highlight w:val="none"/>
          <w:lang w:val="en-US" w:eastAsia="zh-CN"/>
        </w:rPr>
      </w:pPr>
      <w:r>
        <w:rPr>
          <w:rFonts w:hint="eastAsia" w:ascii="宋体" w:hAnsi="宋体" w:cs="宋体"/>
          <w:b/>
          <w:color w:val="auto"/>
          <w:sz w:val="24"/>
          <w:highlight w:val="none"/>
        </w:rPr>
        <w:t>备注：</w:t>
      </w:r>
      <w:r>
        <w:rPr>
          <w:rFonts w:hint="eastAsia" w:ascii="宋体" w:hAnsi="宋体" w:cs="宋体"/>
          <w:color w:val="auto"/>
          <w:sz w:val="24"/>
          <w:highlight w:val="none"/>
        </w:rPr>
        <w:t>本预付款担保格式可采用经甲方认可的其他格式，但相关内容不得违背合同文件约定的实质性内容。</w:t>
      </w:r>
    </w:p>
    <w:p>
      <w:pPr>
        <w:pStyle w:val="2"/>
        <w:ind w:firstLine="0"/>
        <w:rPr>
          <w:rFonts w:ascii="仿宋_GB2312" w:eastAsia="仿宋_GB2312"/>
          <w:color w:val="auto"/>
          <w:sz w:val="28"/>
          <w:szCs w:val="28"/>
          <w:highlight w:val="none"/>
        </w:rPr>
        <w:sectPr>
          <w:headerReference r:id="rId5" w:type="first"/>
          <w:footerReference r:id="rId8" w:type="first"/>
          <w:footerReference r:id="rId6" w:type="default"/>
          <w:footerReference r:id="rId7" w:type="even"/>
          <w:pgSz w:w="11906" w:h="16838"/>
          <w:pgMar w:top="2098" w:right="1474" w:bottom="1985" w:left="1588" w:header="851" w:footer="992" w:gutter="0"/>
          <w:pgNumType w:fmt="decimal"/>
          <w:cols w:space="720" w:num="1"/>
          <w:titlePg/>
          <w:docGrid w:type="lines" w:linePitch="312" w:charSpace="0"/>
        </w:sectPr>
      </w:pPr>
    </w:p>
    <w:p>
      <w:pPr>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附件10：消防安全管理协议书</w:t>
      </w:r>
    </w:p>
    <w:p>
      <w:pPr>
        <w:keepNext w:val="0"/>
        <w:keepLines w:val="0"/>
        <w:widowControl/>
        <w:suppressLineNumbers w:val="0"/>
        <w:spacing w:before="0" w:beforeAutospacing="0" w:after="0" w:afterAutospacing="0"/>
        <w:ind w:left="0" w:right="0"/>
        <w:jc w:val="center"/>
        <w:rPr>
          <w:rFonts w:ascii="仿宋_GB2312" w:eastAsia="仿宋_GB2312" w:cs="仿宋_GB2312"/>
          <w:sz w:val="32"/>
          <w:szCs w:val="32"/>
          <w:highlight w:val="none"/>
        </w:rPr>
      </w:pPr>
      <w:r>
        <w:rPr>
          <w:rFonts w:ascii="方正小标宋简体" w:hAnsi="方正小标宋简体" w:eastAsia="方正小标宋简体" w:cs="方正小标宋简体"/>
          <w:i w:val="0"/>
          <w:iCs w:val="0"/>
          <w:caps w:val="0"/>
          <w:color w:val="000000"/>
          <w:spacing w:val="0"/>
          <w:kern w:val="0"/>
          <w:sz w:val="44"/>
          <w:szCs w:val="44"/>
          <w:highlight w:val="none"/>
          <w:lang w:val="en-US" w:eastAsia="zh-CN" w:bidi="ar"/>
        </w:rPr>
        <w:t>消防安全管理协议书</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甲方：</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乙方：</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为加强和规范消防安全管理，预防火灾事故，明确甲乙双方消防安全责任和义务，保障人员生命、财产安全，根据《中华人民共和国消防法》、《消防安全责任制实施办法》（国办发〔2017〕87号）、《机关、团体、企业、事业企业消防安全管理规定》（公安部第61号令）、《广东省实施〈中华人民共和国消防法〉办法》等法律、法规的规定，经过甲乙双方共同协商，特制定消防安全管理协议书，甲乙双方共同遵守执行。</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一、总则</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1.甲乙双方应遵守国家、省、市有关消防安全的法律、法规、规章，贯彻“预防为主、防消结合”的方针，履行消防安全职责，保障人员生命、财产安全。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2.甲方、乙方明确专人为本协议的消防安全责任（管理）人，对本协议涉及的场所、场地、区域、施工作业项目的消防安全工作进行管理。</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3.甲乙双方应当逐级落实消防安全责任制，明确逐级岗位人员的消防安全职责。</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二、甲乙双方消防安全责任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1.贯彻执行国家、省、市消防安全法律、法规和规章，确保消防安全工作符合法规规定。</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2.为消防安全工作提供必要的经费投入、组织和物资保障。</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3.建立并落实消防安全制度、操作规程、灭火和应急疏散预案。</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4.组织消防安全检查，督促落实隐患整改，及时处理消防安全重大问题。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5.组织所属人员开展消防安全知识宣传、教育培训，并定期组织灭火和应急疏散演练。</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6.协助、配合有关部门对所涉及的消防安全事故的调查、取证工作。</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三、甲方消防安全责任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1.制定并落实消防安全制度，落实层级消防安全责任，开展消防安全知识宣传、教育培训。</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2.对乙方开展定期或不定期消防安全检查，发现隐患的，要求乙方立即整改；乙方不能立即整改的，甲方发出隐患整改通知书要求乙方限期整改、消除隐患。</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3.督促乙方落实消防安全措施、整改消防隐患以及及时处理消防安全重大问题。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四、乙方消防安全责任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1.掌握本协议书涉及的场所、场地、区域、施工作业项目的消防安全情况，服从甲方的消防安全管理，并承担相应消防安全责任。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2.建立健全消防安全组织架构，明确并落实相关人员的消防安全责任。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3.建立并落实消防安全制度、操作规程和灭火和应急疏散预案，落实防火措施。</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4.依法办理有关消防安全设施、所需的消防审核、报批手续，并经主管部门验收合格后方可投入使用。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5.负责监护甲方配置给乙方的消防设施、设备、灭火器材和消防安全警示标识，未经甲方许可乙方不得损坏、遮挡、占用或随意移动位置或挪做他用，不得占用、堵塞安全出口、疏散通道、消防车通道、防火卷帘门等部位，影响其功能及使用。</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6.配备、保障所属消防设施、设备、灭火器材和消防安全警示标识完好、有效，并进行定期检查、维修保养、检测，保证正常运转；维护、保养、检测应当作好记录，并由有关人员签字；在有效期结束前或使用后及时更换或填充材料。</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7.将容易发生火灾或一旦发生火灾可能严重危及人身和财产安全的部位确定为消防安全重点部位，设置明显的防火标志，实行严格管理，落实防火措施。</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8.对所属人员进行消防知识培训、火警发生后逃生、自救技能的学习，提高其消防安全意识、对初发火灾的自扑自救能力，使其能正确使用消防设施、设备、灭火器材，落实“会报警、会使用灭火器、懂灭火、懂疏散”的要求。</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9.落实专/兼职消防安全管理人员，对消防控制室（监控中心）人员、自动消防设施操作人员、电（气）焊工、电工等特殊岗位、工种人员做到持证上岗，要依时培训、年审。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10.组建义务消防队，制定火警火灾处置程序，定期组织开展火警火灾处置程序的演练，一旦发生火灾应按处置程序积极组织扑救，迅速疏散人员。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11.严禁超负荷使用电器，严禁私拉乱用电源、不安全灯具；严禁存放、使用煤气、汽油、酒精、雷管、炸药等易燃、易爆、危险化学品；严格禁止“生产、仓储、住宿”为一体的“三合一”现象。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12.若需动用明火作业的，严格实行动火作业票审批制度，并报请甲方审批。严禁私自动火作业。</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13.配合甲方的消防安全检查并及时落实整改；同时对自查发现存在的火灾隐患，应及时消除。</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14.参加甲方或有关企业、部门组织的消防安全教育培训和消防演练，并履行相应义务。</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15.当发生火灾时，应第一时间向甲方和公安消防部门报告。</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16.如发生由乙方原因造成的火灾责任事故，乙方应自行承担全部责任。</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五、消防安全隐患整改</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1.对下列违反消防安全的行为，甲方应责成乙方立即整改并督促落实，对违反规定情况和整改情况应记录在案、存档备查：</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（1）使用、储存易燃易爆危险化学品的。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（2）私自使用明火、动火作业，或者在具有火灾、爆炸危险的场所吸烟、使用明火、动火作业，或者在具有火灾、爆炸危险的场所吸烟、使用明火、动火作业的。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（3）将安全出口上锁、遮挡或者占用、堆放物品影响防火卷帘门、疏散通道、消防车通道畅通的。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（4）消火栓、灭火器材被遮挡、影响使用或者被挪作他用的。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（5）消防设施管理、值班人员和防火巡查人员脱岗的。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（6）违章关闭消防设施、切断消防电源的。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（7）乱接乱拉电线、使用不安全灯具、超负荷使用电气设备的。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（8）存在“三合一”场所的。</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（9）其他违反消防安全的行为。</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2.对不能立即整改的消防隐患，甲方有权向乙方发出消防安全整改通知书，提出整改方案，责令乙方在规定期限内整改完成。</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3.在隐患未消除之前，甲方应督促乙方落实防范措施，保障安全。不能确保安全的、随时有可能引发火灾或者一旦发生火灾将严重危及人身安全的，甲方有权勒令乙方无条件整改或撤离人员。</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4.消防安全隐患整改完毕，乙方应将整改情况记录报送甲方签字确认后存档备查。</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5.对于乙方确无能力解决的重大消防安全隐患，乙方应及时向甲方报告。</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6.若乙方未在规定期限内完成整改或乙方拒绝配合整改的，且无正当理由的，甲方有权自行予以整改，产生的整改费由乙方负责支付，拒不支付的，甲方有权从乙方租金、工程进度款、运营服务费等款项中予以扣除，不足以扣除部分，甲方将通过其他途径（如合同违约条款）扣除或采取法律途径予以追缴；必要时，甲方有权或申请有关行政部门扣减乙方的诚信评价分数。若发生安全事故的，甲方可将乙方纳入到甲方的招投标黑名单中，有权申请有关行政部门暂停乙方在一段时期内不得参加甲方招标项目的投标资格。</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本协议书一式肆份，甲乙双方各执贰份，双方明确有效期限。</w:t>
      </w:r>
    </w:p>
    <w:p>
      <w:pPr>
        <w:keepNext w:val="0"/>
        <w:keepLines w:val="0"/>
        <w:widowControl/>
        <w:suppressLineNumbers w:val="0"/>
        <w:spacing w:before="0" w:beforeAutospacing="0" w:after="0" w:afterAutospacing="0"/>
        <w:ind w:left="0" w:right="0" w:firstLine="64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甲方（盖章）：</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乙方（盖章）：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甲方签字：</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乙方签字:</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联系电话：</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联系电话：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联系地址：</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联系地址：</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eastAsia" w:ascii="宋体" w:hAnsi="宋体" w:eastAsia="宋体" w:cs="宋体"/>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签定时间：</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年</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月  日</w:t>
      </w:r>
      <w:r>
        <w:rPr>
          <w:rFonts w:hint="eastAsia" w:ascii="宋体" w:hAnsi="宋体" w:eastAsia="宋体" w:cs="宋体"/>
          <w:i w:val="0"/>
          <w:iCs w:val="0"/>
          <w:caps w:val="0"/>
          <w:color w:val="000000"/>
          <w:spacing w:val="0"/>
          <w:kern w:val="0"/>
          <w:sz w:val="32"/>
          <w:szCs w:val="32"/>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签定时间：  年  月  日</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 </w:t>
      </w:r>
    </w:p>
    <w:p>
      <w:pPr>
        <w:keepNext w:val="0"/>
        <w:keepLines w:val="0"/>
        <w:widowControl/>
        <w:suppressLineNumbers w:val="0"/>
        <w:spacing w:before="0" w:beforeAutospacing="0" w:after="0" w:afterAutospacing="0"/>
        <w:ind w:left="0" w:right="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 </w:t>
      </w:r>
    </w:p>
    <w:p>
      <w:pPr>
        <w:keepNext w:val="0"/>
        <w:keepLines w:val="0"/>
        <w:widowControl/>
        <w:suppressLineNumbers w:val="0"/>
        <w:ind w:left="0" w:firstLine="0"/>
        <w:jc w:val="left"/>
        <w:rPr>
          <w:i w:val="0"/>
          <w:iCs w:val="0"/>
          <w:caps w:val="0"/>
          <w:color w:val="000000"/>
          <w:spacing w:val="0"/>
          <w:sz w:val="27"/>
          <w:szCs w:val="27"/>
          <w:highlight w:val="none"/>
        </w:rPr>
      </w:pPr>
    </w:p>
    <w:p>
      <w:pPr>
        <w:keepNext w:val="0"/>
        <w:keepLines w:val="0"/>
        <w:widowControl/>
        <w:suppressLineNumbers w:val="0"/>
        <w:spacing w:before="0" w:beforeAutospacing="0" w:after="0" w:afterAutospacing="0"/>
        <w:ind w:left="0" w:right="0"/>
        <w:jc w:val="center"/>
        <w:rPr>
          <w:rFonts w:hint="default" w:ascii="仿宋_GB2312" w:eastAsia="仿宋_GB2312" w:cs="仿宋_GB2312"/>
          <w:sz w:val="32"/>
          <w:szCs w:val="32"/>
          <w:highlight w:val="none"/>
        </w:rPr>
      </w:pPr>
      <w:r>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t> </w:t>
      </w:r>
    </w:p>
    <w:p>
      <w:pPr>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pPr>
      <w:r>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br w:type="page"/>
      </w:r>
    </w:p>
    <w:p>
      <w:pPr>
        <w:keepNext w:val="0"/>
        <w:keepLines w:val="0"/>
        <w:widowControl/>
        <w:suppressLineNumbers w:val="0"/>
        <w:spacing w:before="0" w:beforeAutospacing="0" w:after="0" w:afterAutospacing="0"/>
        <w:ind w:left="0" w:right="0"/>
        <w:jc w:val="left"/>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11</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消防安全承诺书</w:t>
      </w:r>
    </w:p>
    <w:p>
      <w:pPr>
        <w:keepNext w:val="0"/>
        <w:keepLines w:val="0"/>
        <w:widowControl/>
        <w:suppressLineNumbers w:val="0"/>
        <w:spacing w:before="0" w:beforeAutospacing="0" w:after="0" w:afterAutospacing="0"/>
        <w:ind w:left="0" w:right="0"/>
        <w:jc w:val="center"/>
        <w:rPr>
          <w:rFonts w:hint="default" w:ascii="仿宋_GB2312" w:eastAsia="仿宋_GB2312" w:cs="仿宋_GB2312"/>
          <w:sz w:val="32"/>
          <w:szCs w:val="32"/>
          <w:highlight w:val="none"/>
        </w:rPr>
      </w:pPr>
      <w:r>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t>消 防 安 全 承 诺 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880" w:firstLineChars="200"/>
        <w:jc w:val="left"/>
        <w:textAlignment w:val="auto"/>
        <w:rPr>
          <w:rFonts w:hint="default" w:ascii="仿宋_GB2312" w:eastAsia="仿宋_GB2312" w:cs="仿宋_GB2312"/>
          <w:sz w:val="32"/>
          <w:szCs w:val="32"/>
          <w:highlight w:val="none"/>
        </w:rPr>
      </w:pPr>
      <w:r>
        <w:rPr>
          <w:rFonts w:hint="eastAsia" w:ascii="方正小标宋简体" w:hAnsi="方正小标宋简体" w:eastAsia="方正小标宋简体" w:cs="方正小标宋简体"/>
          <w:i w:val="0"/>
          <w:iCs w:val="0"/>
          <w:caps w:val="0"/>
          <w:color w:val="000000"/>
          <w:spacing w:val="0"/>
          <w:kern w:val="0"/>
          <w:sz w:val="44"/>
          <w:szCs w:val="44"/>
          <w:highlight w:val="none"/>
          <w:lang w:val="en-US" w:eastAsia="zh-CN" w:bidi="ar"/>
        </w:rPr>
        <w:t> </w:t>
      </w:r>
      <w:r>
        <w:rPr>
          <w:rFonts w:hint="default" w:ascii="仿宋_GB2312" w:eastAsia="仿宋_GB2312" w:cs="仿宋_GB2312" w:hAnsiTheme="minorHAnsi"/>
          <w:i w:val="0"/>
          <w:iCs w:val="0"/>
          <w:caps w:val="0"/>
          <w:color w:val="000000"/>
          <w:spacing w:val="0"/>
          <w:kern w:val="0"/>
          <w:sz w:val="32"/>
          <w:szCs w:val="32"/>
          <w:highlight w:val="none"/>
          <w:lang w:val="en-US" w:eastAsia="zh-CN" w:bidi="ar"/>
        </w:rPr>
        <w:t>为贯彻执行《中华人民共和国消防法》《消防安全责任制实施办法》（国办法〔2017〕87号）《机关、团体、企业、事业单位消防安全管理规定》（公安部令第61号）和《广东省实施〈中华人民共和国消防法〉办法》（广东省人大常委会公告第48号）等法律法规，落实消防安全主体责任，配备专职消防安全管理人、兼职消防安全管理人，确保消防安全，我单位郑重承诺认真开展自查自纠，对发现的隐患问题，承诺在规定时间内完成整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我单位将自愿接受社会公众的监督，依照承诺书内容履行好承诺，严格按照相关消防法律法规做好消防工作，若有违反，依据《中华人民共和国消防法》和《广东省实施〈中华人民共和国消防法〉办法》的有关规定，我单位将承担相关法律责任，切实做到安全自查、隐患自除、责任自负、接受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本承诺书一式两份。一份由业主（如：出租、权属等）单位存档，一份由承诺（如：有合同关系的在建工地施工总承包、租赁、运营服务等）单位存档。</w:t>
      </w:r>
    </w:p>
    <w:p>
      <w:pPr>
        <w:keepNext w:val="0"/>
        <w:keepLines w:val="0"/>
        <w:widowControl/>
        <w:suppressLineNumbers w:val="0"/>
        <w:spacing w:before="0" w:beforeAutospacing="0" w:after="0" w:afterAutospacing="0" w:line="360" w:lineRule="exact"/>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承诺单位（公章）：</w:t>
      </w:r>
    </w:p>
    <w:p>
      <w:pPr>
        <w:keepNext w:val="0"/>
        <w:keepLines w:val="0"/>
        <w:widowControl/>
        <w:suppressLineNumbers w:val="0"/>
        <w:spacing w:before="0" w:beforeAutospacing="0" w:after="0" w:afterAutospacing="0" w:line="360" w:lineRule="exact"/>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承诺人（签名）：</w:t>
      </w:r>
    </w:p>
    <w:p>
      <w:pPr>
        <w:keepNext w:val="0"/>
        <w:keepLines w:val="0"/>
        <w:widowControl/>
        <w:suppressLineNumbers w:val="0"/>
        <w:spacing w:before="0" w:beforeAutospacing="0" w:after="0" w:afterAutospacing="0" w:line="360" w:lineRule="exact"/>
        <w:ind w:left="0" w:right="0" w:firstLine="640"/>
        <w:jc w:val="left"/>
        <w:rPr>
          <w:rFonts w:hint="default" w:ascii="仿宋_GB2312" w:eastAsia="仿宋_GB2312" w:cs="仿宋_GB2312"/>
          <w:sz w:val="32"/>
          <w:szCs w:val="32"/>
          <w:highlight w:val="none"/>
        </w:r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消防安全责任人（签名）：</w:t>
      </w:r>
    </w:p>
    <w:p>
      <w:pPr>
        <w:pStyle w:val="2"/>
        <w:spacing w:line="360" w:lineRule="exact"/>
        <w:ind w:firstLine="0"/>
        <w:rPr>
          <w:rFonts w:ascii="仿宋_GB2312" w:eastAsia="仿宋_GB2312"/>
          <w:color w:val="auto"/>
          <w:sz w:val="28"/>
          <w:szCs w:val="28"/>
          <w:highlight w:val="none"/>
        </w:rPr>
        <w:sectPr>
          <w:pgSz w:w="11906" w:h="16838"/>
          <w:pgMar w:top="2098" w:right="1474" w:bottom="1985" w:left="1588" w:header="851" w:footer="992" w:gutter="0"/>
          <w:pgNumType w:fmt="decimal"/>
          <w:cols w:space="720" w:num="1"/>
          <w:titlePg/>
          <w:docGrid w:type="lines" w:linePitch="312" w:charSpace="0"/>
        </w:sectPr>
      </w:pPr>
      <w:r>
        <w:rPr>
          <w:rFonts w:hint="default" w:ascii="仿宋_GB2312" w:eastAsia="仿宋_GB2312" w:cs="仿宋_GB2312" w:hAnsiTheme="minorHAnsi"/>
          <w:i w:val="0"/>
          <w:iCs w:val="0"/>
          <w:caps w:val="0"/>
          <w:color w:val="000000"/>
          <w:spacing w:val="0"/>
          <w:kern w:val="0"/>
          <w:sz w:val="32"/>
          <w:szCs w:val="32"/>
          <w:highlight w:val="none"/>
          <w:lang w:val="en-US" w:eastAsia="zh-CN" w:bidi="ar"/>
        </w:rPr>
        <w:t>年    月   日</w:t>
      </w:r>
    </w:p>
    <w:p>
      <w:pPr>
        <w:pStyle w:val="2"/>
        <w:ind w:firstLine="0"/>
        <w:rPr>
          <w:rFonts w:ascii="仿宋_GB2312" w:eastAsia="仿宋_GB2312"/>
          <w:color w:val="auto"/>
          <w:sz w:val="28"/>
          <w:szCs w:val="28"/>
          <w:highlight w:val="none"/>
        </w:rPr>
      </w:pPr>
    </w:p>
    <w:p>
      <w:pPr>
        <w:pStyle w:val="5"/>
        <w:rPr>
          <w:rFonts w:hint="eastAsia"/>
          <w:color w:val="auto"/>
          <w:highlight w:val="none"/>
        </w:rPr>
      </w:pPr>
      <w:bookmarkStart w:id="85" w:name="_Toc8147"/>
      <w:bookmarkStart w:id="86" w:name="_Toc3723"/>
      <w:bookmarkStart w:id="87" w:name="_Toc28358"/>
      <w:bookmarkStart w:id="88" w:name="_Toc16552"/>
      <w:bookmarkStart w:id="89" w:name="_Toc1563"/>
      <w:bookmarkStart w:id="90" w:name="_Toc30824"/>
      <w:bookmarkStart w:id="91" w:name="_Toc6230"/>
      <w:bookmarkStart w:id="92" w:name="_Toc21847"/>
      <w:bookmarkStart w:id="93" w:name="_Toc23515"/>
      <w:bookmarkStart w:id="94" w:name="_Toc5129"/>
      <w:bookmarkStart w:id="95" w:name="_Toc12169"/>
    </w:p>
    <w:p>
      <w:pPr>
        <w:pStyle w:val="5"/>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586740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46.2pt;height:0pt;width:75.5pt;z-index:251666432;mso-width-relative:page;mso-height-relative:page;" filled="f" stroked="t" coordsize="21600,21600" o:gfxdata="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V5ce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2299970</wp:posOffset>
                </wp:positionH>
                <wp:positionV relativeFrom="paragraph">
                  <wp:posOffset>41910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1pt;margin-top:3.3pt;height:0pt;width:75.5pt;z-index:251665408;mso-width-relative:page;mso-height-relative:page;" filled="f" stroked="t" coordsize="21600,21600" o:gfxdata="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afxh7UAAAABwEAAA8AAAAAAAAAAQAgAAAAIgAAAGRycy9kb3ducmV2LnhtbFBLAQIUABQAAAAI&#10;AIdO4kBCwcCZ8QEAAOM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7"/>
        <w:rPr>
          <w:color w:val="auto"/>
          <w:highlight w:val="none"/>
        </w:rPr>
      </w:pPr>
    </w:p>
    <w:p>
      <w:pPr>
        <w:pStyle w:val="5"/>
        <w:rPr>
          <w:color w:val="auto"/>
          <w:highlight w:val="none"/>
        </w:rPr>
      </w:pPr>
      <w:bookmarkStart w:id="96" w:name="_Toc31564"/>
      <w:bookmarkStart w:id="97" w:name="_Toc12769"/>
      <w:bookmarkStart w:id="98" w:name="_Toc88209951"/>
      <w:bookmarkStart w:id="99" w:name="_Toc21675"/>
      <w:bookmarkStart w:id="100" w:name="_Toc5342"/>
      <w:bookmarkStart w:id="101" w:name="_Toc87616388"/>
      <w:bookmarkStart w:id="102" w:name="_Toc24815"/>
      <w:bookmarkStart w:id="103" w:name="_Toc17119"/>
      <w:bookmarkStart w:id="104" w:name="_Toc24490"/>
      <w:bookmarkStart w:id="105" w:name="_Toc30157"/>
      <w:bookmarkStart w:id="106" w:name="_Toc10840"/>
      <w:bookmarkStart w:id="107" w:name="_Toc22764"/>
      <w:bookmarkStart w:id="108" w:name="_Toc12610"/>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广州市净水有限公司大坦沙分公司能源回收技术研究（第二次）</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8"/>
        <w:rPr>
          <w:rFonts w:hint="eastAsia" w:ascii="方正小标宋简体" w:eastAsia="方正小标宋简体"/>
          <w:color w:val="auto"/>
          <w:sz w:val="48"/>
          <w:szCs w:val="48"/>
          <w:highlight w:val="none"/>
        </w:rPr>
      </w:pPr>
    </w:p>
    <w:p>
      <w:pPr>
        <w:pStyle w:val="8"/>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8"/>
        <w:ind w:firstLine="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color w:val="auto"/>
          <w:highlight w:val="none"/>
        </w:rPr>
      </w:pPr>
    </w:p>
    <w:p>
      <w:pPr>
        <w:pStyle w:val="7"/>
        <w:rPr>
          <w:rFonts w:asciiTheme="minorEastAsia" w:hAnsiTheme="minorEastAsia" w:eastAsiaTheme="minorEastAsia"/>
          <w:color w:val="auto"/>
          <w:sz w:val="28"/>
          <w:szCs w:val="28"/>
          <w:highlight w:val="none"/>
        </w:rPr>
      </w:pPr>
      <w:bookmarkStart w:id="115" w:name="_Toc88209957"/>
      <w:bookmarkStart w:id="116" w:name="_Toc87616394"/>
      <w:bookmarkStart w:id="117" w:name="_Toc12665"/>
      <w:bookmarkStart w:id="118" w:name="_Toc6313"/>
      <w:bookmarkStart w:id="119" w:name="_Toc2861964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2527"/>
      <w:bookmarkStart w:id="121" w:name="_Toc29833"/>
      <w:bookmarkStart w:id="122" w:name="_Toc87616395"/>
      <w:bookmarkStart w:id="123" w:name="_Toc88209958"/>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573145" cy="864870"/>
                <wp:effectExtent l="4445" t="4445" r="22860" b="698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73145" cy="86487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68.1pt;width:281.35pt;mso-wrap-distance-bottom:0pt;mso-wrap-distance-left:9pt;mso-wrap-distance-right:9pt;mso-wrap-distance-top:0pt;z-index:251667456;mso-width-relative:page;mso-height-relative:page;" fillcolor="#FFFFFF" filled="t" stroked="t" coordsize="21600,21600" o:gfxdata="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3erxk2AAAAAkBAAAPAAAAAAAAAAEA&#10;IAAAACIAAABkcnMvZG93bnJldi54bWxQSwECFAAUAAAACACHTuJAEm1J/0gCAACV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0"/>
        <w:rPr>
          <w:rFonts w:ascii="仿宋_GB2312" w:eastAsia="仿宋_GB2312"/>
          <w:color w:val="auto"/>
          <w:sz w:val="18"/>
          <w:szCs w:val="18"/>
          <w:highlight w:val="none"/>
        </w:rPr>
      </w:pPr>
      <w:r>
        <w:rPr>
          <w:rFonts w:hint="eastAsia" w:ascii="仿宋_GB2312" w:hAnsi="宋体" w:eastAsia="仿宋_GB2312"/>
          <w:color w:val="auto"/>
          <w:kern w:val="0"/>
          <w:sz w:val="18"/>
          <w:szCs w:val="18"/>
          <w:highlight w:val="none"/>
        </w:rPr>
        <w:t>注：法定代表人证明书亦可采用工商行政管理局统一制订的格式。</w:t>
      </w:r>
    </w:p>
    <w:p>
      <w:pPr>
        <w:spacing w:line="360" w:lineRule="auto"/>
        <w:rPr>
          <w:color w:val="auto"/>
          <w:highlight w:val="none"/>
        </w:rPr>
      </w:pP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7"/>
        <w:rPr>
          <w:rFonts w:asciiTheme="minorEastAsia" w:hAnsiTheme="minorEastAsia" w:eastAsiaTheme="minorEastAsia"/>
          <w:color w:val="auto"/>
          <w:sz w:val="28"/>
          <w:szCs w:val="28"/>
          <w:highlight w:val="none"/>
        </w:rPr>
      </w:pPr>
      <w:bookmarkStart w:id="124" w:name="_Toc88209963"/>
      <w:bookmarkStart w:id="125" w:name="_Toc87616400"/>
      <w:bookmarkStart w:id="126" w:name="_Toc8086"/>
      <w:bookmarkStart w:id="127"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bookmarkStart w:id="128"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广州市净水有限公司大坦沙分公司能源回收技术研究（第二次）</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8"/>
        <w:rPr>
          <w:rFonts w:hint="eastAsia" w:ascii="宋体" w:hAnsi="宋体" w:eastAsia="宋体" w:cs="宋体"/>
          <w:color w:val="auto"/>
          <w:kern w:val="2"/>
          <w:sz w:val="24"/>
          <w:szCs w:val="24"/>
          <w:highlight w:val="none"/>
          <w:lang w:val="en-GB"/>
        </w:rPr>
      </w:pPr>
    </w:p>
    <w:p>
      <w:pPr>
        <w:pStyle w:val="8"/>
        <w:rPr>
          <w:rFonts w:hint="eastAsia" w:ascii="宋体" w:hAnsi="宋体" w:eastAsia="宋体" w:cs="宋体"/>
          <w:color w:val="auto"/>
          <w:kern w:val="2"/>
          <w:sz w:val="24"/>
          <w:szCs w:val="24"/>
          <w:highlight w:val="none"/>
          <w:lang w:val="en-GB"/>
        </w:rPr>
      </w:pPr>
    </w:p>
    <w:p>
      <w:pPr>
        <w:pStyle w:val="2"/>
        <w:ind w:firstLine="0"/>
        <w:rPr>
          <w:rFonts w:hint="eastAsia"/>
          <w:color w:val="auto"/>
          <w:highlight w:val="none"/>
          <w:lang w:eastAsia="zh-CN"/>
        </w:rPr>
      </w:pP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7"/>
        <w:rPr>
          <w:rFonts w:asciiTheme="minorEastAsia" w:hAnsiTheme="minorEastAsia" w:eastAsiaTheme="minorEastAsia"/>
          <w:color w:val="auto"/>
          <w:sz w:val="28"/>
          <w:szCs w:val="28"/>
          <w:highlight w:val="none"/>
        </w:rPr>
      </w:pPr>
      <w:bookmarkStart w:id="129" w:name="_Toc32430"/>
      <w:bookmarkStart w:id="130"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tbl>
      <w:tblPr>
        <w:tblStyle w:val="23"/>
        <w:tblW w:w="433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536"/>
        <w:gridCol w:w="4176"/>
        <w:gridCol w:w="656"/>
        <w:gridCol w:w="656"/>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bookmarkStart w:id="131" w:name="_Toc16386"/>
            <w:bookmarkStart w:id="132" w:name="_Toc88209965"/>
            <w:bookmarkStart w:id="133" w:name="_Toc87616402"/>
            <w:bookmarkStart w:id="134" w:name="_Toc6058"/>
            <w:r>
              <w:rPr>
                <w:rFonts w:hint="eastAsia" w:ascii="宋体" w:hAnsi="宋体" w:eastAsia="宋体" w:cs="宋体"/>
                <w:i w:val="0"/>
                <w:iCs w:val="0"/>
                <w:color w:val="000000"/>
                <w:kern w:val="0"/>
                <w:sz w:val="22"/>
                <w:szCs w:val="22"/>
                <w:highlight w:val="none"/>
                <w:u w:val="none"/>
                <w:lang w:val="en-US" w:eastAsia="zh-CN" w:bidi="ar"/>
              </w:rPr>
              <w:t>序号</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名称</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水轮发电机组</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适配现场设备及安装尺寸</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现场吊车安装</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额定载重30吨以上</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台班</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三相电源稳压</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380V、50Hz、26KW稳压系统</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电度表</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适配现场设备</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电缆</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ZC-YJV 4*16mm²+1*10mm²</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配电箱</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用电负荷分配箱，含零地排、空气开关等</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辅材</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PVC管、钢管、接线端等</w:t>
            </w: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8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设计、施工、机组整体、配电箱、电缆安装</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8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设备调试</w:t>
            </w:r>
          </w:p>
        </w:tc>
        <w:tc>
          <w:tcPr>
            <w:tcW w:w="2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391" w:type="pct"/>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val="en-US" w:eastAsia="zh-CN"/>
              </w:rPr>
              <w:t>总价（元） 含税</w:t>
            </w:r>
            <w:r>
              <w:rPr>
                <w:rFonts w:hint="eastAsia" w:ascii="宋体" w:hAnsi="宋体" w:eastAsia="宋体" w:cs="宋体"/>
                <w:i w:val="0"/>
                <w:iCs w:val="0"/>
                <w:color w:val="000000"/>
                <w:sz w:val="22"/>
                <w:szCs w:val="22"/>
                <w:highlight w:val="none"/>
                <w:u w:val="single"/>
                <w:lang w:val="en-US" w:eastAsia="zh-CN"/>
              </w:rPr>
              <w:t xml:space="preserve">   %：</w:t>
            </w:r>
          </w:p>
        </w:tc>
      </w:tr>
    </w:tbl>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pStyle w:val="2"/>
        <w:rPr>
          <w:rFonts w:hint="eastAsia" w:ascii="宋体" w:hAnsi="宋体" w:cs="宋体"/>
          <w:b/>
          <w:bCs/>
          <w:color w:val="auto"/>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7"/>
        <w:rPr>
          <w:rFonts w:hint="eastAsia" w:eastAsiaTheme="majorEastAsia"/>
          <w:color w:val="auto"/>
          <w:highlight w:val="none"/>
          <w:lang w:val="en-US" w:eastAsia="zh-CN"/>
        </w:rPr>
      </w:pPr>
    </w:p>
    <w:p>
      <w:pPr>
        <w:rPr>
          <w:rFonts w:hint="eastAsia" w:eastAsiaTheme="majorEastAsia"/>
          <w:color w:val="auto"/>
          <w:highlight w:val="none"/>
          <w:lang w:val="en-US" w:eastAsia="zh-CN"/>
        </w:rPr>
      </w:pPr>
      <w:r>
        <w:rPr>
          <w:rFonts w:hint="eastAsia" w:eastAsiaTheme="majorEastAsia"/>
          <w:color w:val="auto"/>
          <w:highlight w:val="none"/>
          <w:lang w:val="en-US" w:eastAsia="zh-CN"/>
        </w:rPr>
        <w:br w:type="page"/>
      </w:r>
    </w:p>
    <w:p>
      <w:pPr>
        <w:pStyle w:val="7"/>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6.承诺函</w:t>
      </w:r>
    </w:p>
    <w:p>
      <w:pPr>
        <w:pStyle w:val="2"/>
        <w:ind w:firstLine="0"/>
        <w:jc w:val="center"/>
        <w:rPr>
          <w:rFonts w:hint="eastAsia"/>
          <w:color w:val="auto"/>
          <w:highlight w:val="none"/>
        </w:rPr>
      </w:pPr>
      <w:r>
        <w:rPr>
          <w:rFonts w:hint="eastAsia" w:ascii="仿宋_GB2312" w:hAnsi="仿宋_GB2312" w:eastAsia="仿宋_GB2312" w:cs="仿宋_GB2312"/>
          <w:color w:val="auto"/>
          <w:kern w:val="2"/>
          <w:sz w:val="28"/>
          <w:szCs w:val="28"/>
          <w:highlight w:val="none"/>
          <w:lang w:val="en-US" w:eastAsia="zh-CN"/>
        </w:rPr>
        <w:t>能源回收装置</w:t>
      </w:r>
      <w:r>
        <w:rPr>
          <w:rFonts w:hint="eastAsia" w:ascii="仿宋_GB2312" w:hAnsi="仿宋_GB2312" w:eastAsia="仿宋_GB2312" w:cs="仿宋_GB2312"/>
          <w:color w:val="auto"/>
          <w:kern w:val="2"/>
          <w:sz w:val="28"/>
          <w:szCs w:val="28"/>
          <w:highlight w:val="none"/>
        </w:rPr>
        <w:t>制作承诺函</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广州市净水有限公司：</w:t>
      </w:r>
    </w:p>
    <w:p>
      <w:pPr>
        <w:ind w:firstLine="560" w:firstLineChars="200"/>
        <w:rPr>
          <w:rFonts w:hint="eastAsia" w:ascii="仿宋_GB2312" w:hAnsi="仿宋_GB2312" w:eastAsia="仿宋_GB2312" w:cs="仿宋_GB2312"/>
          <w:color w:val="auto"/>
          <w:sz w:val="28"/>
          <w:szCs w:val="28"/>
          <w:highlight w:val="none"/>
        </w:rPr>
      </w:pPr>
      <w:bookmarkStart w:id="135" w:name="_Hlk112856095"/>
      <w:r>
        <w:rPr>
          <w:rFonts w:hint="eastAsia" w:ascii="仿宋_GB2312" w:hAnsi="仿宋_GB2312" w:eastAsia="仿宋_GB2312" w:cs="仿宋_GB2312"/>
          <w:color w:val="auto"/>
          <w:sz w:val="28"/>
          <w:szCs w:val="28"/>
          <w:highlight w:val="none"/>
        </w:rPr>
        <w:t>我方承诺所提供报价及制作的</w:t>
      </w:r>
      <w:r>
        <w:rPr>
          <w:rFonts w:hint="eastAsia" w:ascii="仿宋_GB2312" w:hAnsi="仿宋_GB2312" w:eastAsia="仿宋_GB2312" w:cs="仿宋_GB2312"/>
          <w:color w:val="auto"/>
          <w:sz w:val="28"/>
          <w:szCs w:val="28"/>
          <w:highlight w:val="none"/>
          <w:lang w:val="en-US" w:eastAsia="zh-CN"/>
        </w:rPr>
        <w:t>能源回收</w:t>
      </w:r>
      <w:r>
        <w:rPr>
          <w:rFonts w:hint="eastAsia" w:ascii="仿宋_GB2312" w:hAnsi="仿宋_GB2312" w:eastAsia="仿宋_GB2312" w:cs="仿宋_GB2312"/>
          <w:color w:val="auto"/>
          <w:sz w:val="28"/>
          <w:szCs w:val="28"/>
          <w:highlight w:val="none"/>
        </w:rPr>
        <w:t>装置能满足</w:t>
      </w:r>
      <w:r>
        <w:rPr>
          <w:rFonts w:hint="eastAsia" w:ascii="仿宋_GB2312" w:hAnsi="仿宋_GB2312" w:eastAsia="仿宋_GB2312" w:cs="仿宋_GB2312"/>
          <w:color w:val="auto"/>
          <w:sz w:val="28"/>
          <w:szCs w:val="28"/>
          <w:highlight w:val="none"/>
          <w:lang w:eastAsia="zh-CN"/>
        </w:rPr>
        <w:t>“大坦沙分公司能源回收技术研究”</w:t>
      </w:r>
      <w:r>
        <w:rPr>
          <w:rFonts w:hint="eastAsia" w:ascii="仿宋_GB2312" w:hAnsi="仿宋_GB2312" w:eastAsia="仿宋_GB2312" w:cs="仿宋_GB2312"/>
          <w:color w:val="auto"/>
          <w:sz w:val="28"/>
          <w:szCs w:val="28"/>
          <w:highlight w:val="none"/>
          <w:lang w:val="en-US" w:eastAsia="zh-CN"/>
        </w:rPr>
        <w:t>项目询价文件</w:t>
      </w:r>
      <w:r>
        <w:rPr>
          <w:rFonts w:hint="eastAsia" w:ascii="仿宋_GB2312" w:hAnsi="仿宋_GB2312" w:eastAsia="仿宋_GB2312" w:cs="仿宋_GB2312"/>
          <w:color w:val="auto"/>
          <w:sz w:val="28"/>
          <w:szCs w:val="28"/>
          <w:highlight w:val="none"/>
        </w:rPr>
        <w:t>附件中所有技术需求</w:t>
      </w:r>
      <w:bookmarkEnd w:id="135"/>
      <w:r>
        <w:rPr>
          <w:rFonts w:hint="eastAsia" w:ascii="仿宋_GB2312" w:hAnsi="仿宋_GB2312" w:eastAsia="仿宋_GB2312" w:cs="仿宋_GB2312"/>
          <w:color w:val="auto"/>
          <w:sz w:val="28"/>
          <w:szCs w:val="28"/>
          <w:highlight w:val="none"/>
        </w:rPr>
        <w:t xml:space="preserve">，货物在质保期(为自供货验收合格之日起1年内）如有质量问题或未能满足技术需求时，及时派技术人员指导进行维修。                     </w:t>
      </w:r>
    </w:p>
    <w:p>
      <w:pPr>
        <w:pStyle w:val="2"/>
        <w:ind w:firstLine="0"/>
        <w:rPr>
          <w:rFonts w:ascii="仿宋_GB2312" w:hAnsi="仿宋_GB2312" w:eastAsia="仿宋_GB2312" w:cs="仿宋_GB2312"/>
          <w:color w:val="auto"/>
          <w:sz w:val="28"/>
          <w:szCs w:val="28"/>
          <w:highlight w:val="none"/>
        </w:rPr>
      </w:pPr>
    </w:p>
    <w:p>
      <w:pPr>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u w:val="single"/>
        </w:rPr>
        <w:t>（报价单位）</w:t>
      </w:r>
      <w:r>
        <w:rPr>
          <w:rFonts w:hint="eastAsia" w:ascii="仿宋_GB2312" w:hAnsi="仿宋_GB2312" w:eastAsia="仿宋_GB2312" w:cs="仿宋_GB2312"/>
          <w:color w:val="auto"/>
          <w:sz w:val="28"/>
          <w:szCs w:val="28"/>
          <w:highlight w:val="none"/>
        </w:rPr>
        <w:t>盖章</w:t>
      </w:r>
    </w:p>
    <w:p>
      <w:pPr>
        <w:pStyle w:val="15"/>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年  月  日</w:t>
      </w:r>
    </w:p>
    <w:p>
      <w:pPr>
        <w:pStyle w:val="15"/>
        <w:rPr>
          <w:color w:val="auto"/>
          <w:highlight w:val="none"/>
        </w:rPr>
        <w:sectPr>
          <w:pgSz w:w="11906" w:h="16838"/>
          <w:pgMar w:top="2098" w:right="1474" w:bottom="1985" w:left="1588" w:header="851" w:footer="992" w:gutter="0"/>
          <w:pgNumType w:fmt="decimal"/>
          <w:cols w:space="720" w:num="1"/>
          <w:titlePg/>
          <w:docGrid w:type="lines" w:linePitch="312" w:charSpace="0"/>
        </w:sectPr>
      </w:pPr>
    </w:p>
    <w:p>
      <w:pPr>
        <w:pStyle w:val="7"/>
        <w:rPr>
          <w:rFonts w:ascii="宋体" w:hAnsi="宋体"/>
          <w:color w:val="auto"/>
          <w:sz w:val="28"/>
          <w:szCs w:val="28"/>
          <w:highlight w:val="none"/>
        </w:rPr>
      </w:pPr>
      <w:r>
        <w:rPr>
          <w:rFonts w:hint="eastAsia"/>
          <w:color w:val="auto"/>
          <w:highlight w:val="none"/>
        </w:rPr>
        <w:t>7</w:t>
      </w:r>
      <w:r>
        <w:rPr>
          <w:rFonts w:hint="eastAsia" w:ascii="宋体" w:hAnsi="宋体"/>
          <w:color w:val="auto"/>
          <w:sz w:val="28"/>
          <w:szCs w:val="28"/>
          <w:highlight w:val="none"/>
        </w:rPr>
        <w:t>.制作方案</w:t>
      </w:r>
    </w:p>
    <w:p>
      <w:pPr>
        <w:ind w:firstLine="562" w:firstLineChars="200"/>
        <w:rPr>
          <w:rFonts w:eastAsia="仿宋_GB2312"/>
          <w:b/>
          <w:bCs/>
          <w:color w:val="auto"/>
          <w:sz w:val="28"/>
          <w:szCs w:val="28"/>
          <w:highlight w:val="none"/>
          <w:u w:val="single"/>
        </w:rPr>
      </w:pPr>
      <w:r>
        <w:rPr>
          <w:rFonts w:hint="eastAsia" w:eastAsia="仿宋_GB2312"/>
          <w:b/>
          <w:bCs/>
          <w:color w:val="auto"/>
          <w:sz w:val="28"/>
          <w:szCs w:val="28"/>
          <w:highlight w:val="none"/>
          <w:u w:val="single"/>
        </w:rPr>
        <w:t>（该部分需包含</w:t>
      </w:r>
      <w:r>
        <w:rPr>
          <w:rFonts w:hint="eastAsia" w:eastAsia="仿宋_GB2312"/>
          <w:b/>
          <w:bCs/>
          <w:color w:val="auto"/>
          <w:sz w:val="28"/>
          <w:szCs w:val="28"/>
          <w:highlight w:val="none"/>
          <w:u w:val="single"/>
          <w:lang w:val="en-US" w:eastAsia="zh-CN"/>
        </w:rPr>
        <w:t>能源回收装置、供电方式切换系统</w:t>
      </w:r>
      <w:r>
        <w:rPr>
          <w:rFonts w:hint="eastAsia" w:eastAsia="仿宋_GB2312"/>
          <w:b/>
          <w:bCs/>
          <w:color w:val="auto"/>
          <w:sz w:val="28"/>
          <w:szCs w:val="28"/>
          <w:highlight w:val="none"/>
          <w:u w:val="single"/>
        </w:rPr>
        <w:t>的制作方案，且含</w:t>
      </w:r>
      <w:r>
        <w:rPr>
          <w:rFonts w:hint="eastAsia" w:eastAsia="仿宋_GB2312"/>
          <w:b/>
          <w:bCs/>
          <w:color w:val="auto"/>
          <w:sz w:val="28"/>
          <w:szCs w:val="28"/>
          <w:highlight w:val="none"/>
          <w:u w:val="single"/>
          <w:lang w:val="en-US" w:eastAsia="zh-CN"/>
        </w:rPr>
        <w:t>相应的</w:t>
      </w:r>
      <w:r>
        <w:rPr>
          <w:rFonts w:hint="eastAsia" w:eastAsia="仿宋_GB2312"/>
          <w:b/>
          <w:bCs/>
          <w:color w:val="auto"/>
          <w:sz w:val="28"/>
          <w:szCs w:val="28"/>
          <w:highlight w:val="none"/>
          <w:u w:val="single"/>
        </w:rPr>
        <w:t>效果图或模型图）</w:t>
      </w:r>
    </w:p>
    <w:p>
      <w:pPr>
        <w:pStyle w:val="7"/>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8</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rPr>
          <w:color w:val="auto"/>
          <w:highlight w:val="none"/>
        </w:rPr>
      </w:pPr>
    </w:p>
    <w:sectPr>
      <w:footerReference r:id="rId9" w:type="default"/>
      <w:pgSz w:w="11906" w:h="16838"/>
      <w:pgMar w:top="2098" w:right="1474" w:bottom="1985"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BZC8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OVrShy3OPHzzx/nX3/Ov7+T&#10;t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YFkL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oEPsgBAACb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q5eUOG5x4pfv3y4/fl1+fiXL&#10;IlAfoMa8h4CZaXjjB1ybLFz2Azoz70FFm7/IiGAc5T1f5ZVDIiI/Wq/W6wpDAmPzBXHY7XmIkN5K&#10;b0k2GhpxfkVWfnoPaUydU3I15++1MWWGxv3lQMzsYbces5WG/TA1vvftGfn0OPqGOtx0Ssw7h8rm&#10;LZmNOBv72TiGqA9dWaNcD8LrY8ImSm+5wgg7FcaZFXbTfuWl+PNesm7/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9aBD7IAQAAmw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z7AM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8z7AMoBAACbAwAADgAAAAAAAAABACAAAAAeAQAAZHJzL2Uyb0Rv&#10;Yy54bWxQSwUGAAAAAAYABgBZAQAAWgU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EunnSzOAQAAqQMAAA4AAAAAAAAAAQAgAAAAHgEAAGRycy9l&#10;Mm9Eb2MueG1sUEsFBgAAAAAGAAYAWQEAAF4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8"/>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8dRJ8cBAACa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FOIaoD33ZolwPwutjwiZKb7nCBDsXxpEVdvN65Z34816yHn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u8dRJ8cBAACaAwAADgAAAAAAAAABACAAAAAeAQAAZHJzL2Uyb0RvYy54&#10;bWxQSwUGAAAAAAYABgBZAQAAVwU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DuR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Hn7rjFiZ+/fzv/+HX++ZW8&#10;zvr0AWpMewyYmIa3fsDc2Q/ozLQHFW3+IiGCcVT3dFFXDomI/Gi1XK0qDAmMzRfEZ0/PQ4T0IL0l&#10;2WhoxPEVVfnxPaQxdU7J1Zy/18aUERr3lwMxs4fl3sces5WG3TAR2vn2hHx6nHxDHS46JeadQ2Hz&#10;ksxGnI3dbBxC1PuubFGuB+HNIWETpbdcYYSdCuPICrtpvfJO/HkvWU+/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Rw7kbIAQAAmgMAAA4AAAAAAAAAAQAgAAAAHgEAAGRycy9lMm9Eb2Mu&#10;eG1sUEsFBgAAAAAGAAYAWQEAAFg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D6DB4D3"/>
    <w:multiLevelType w:val="singleLevel"/>
    <w:tmpl w:val="DD6DB4D3"/>
    <w:lvl w:ilvl="0" w:tentative="0">
      <w:start w:val="1"/>
      <w:numFmt w:val="decimal"/>
      <w:lvlText w:val="%1)"/>
      <w:lvlJc w:val="left"/>
      <w:pPr>
        <w:ind w:left="425" w:hanging="425"/>
      </w:pPr>
      <w:rPr>
        <w:rFonts w:hint="default" w:ascii="仿宋" w:hAnsi="仿宋" w:eastAsia="仿宋" w:cs="仿宋"/>
        <w:sz w:val="28"/>
        <w:szCs w:val="28"/>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 w:name="KSO_WPS_MARK_KEY" w:val="2957899f-05d1-4f8f-946c-d44e8c688c40"/>
  </w:docVars>
  <w:rsids>
    <w:rsidRoot w:val="005D618A"/>
    <w:rsid w:val="003D60BA"/>
    <w:rsid w:val="00411689"/>
    <w:rsid w:val="005D618A"/>
    <w:rsid w:val="00911ECD"/>
    <w:rsid w:val="00A042E0"/>
    <w:rsid w:val="00B26BB1"/>
    <w:rsid w:val="00B26E21"/>
    <w:rsid w:val="00D5767A"/>
    <w:rsid w:val="00F83B64"/>
    <w:rsid w:val="013E3461"/>
    <w:rsid w:val="01A51B86"/>
    <w:rsid w:val="01D043FF"/>
    <w:rsid w:val="01D95EFA"/>
    <w:rsid w:val="02090C75"/>
    <w:rsid w:val="02A23A3C"/>
    <w:rsid w:val="02CE606D"/>
    <w:rsid w:val="035A0C6F"/>
    <w:rsid w:val="03822D3F"/>
    <w:rsid w:val="039110A9"/>
    <w:rsid w:val="03AC246A"/>
    <w:rsid w:val="03B23056"/>
    <w:rsid w:val="03DC3EBA"/>
    <w:rsid w:val="03F9794D"/>
    <w:rsid w:val="046A2461"/>
    <w:rsid w:val="051A4589"/>
    <w:rsid w:val="051C2970"/>
    <w:rsid w:val="055406CA"/>
    <w:rsid w:val="06C64829"/>
    <w:rsid w:val="06D77967"/>
    <w:rsid w:val="077D16D2"/>
    <w:rsid w:val="07945DC6"/>
    <w:rsid w:val="082A69F3"/>
    <w:rsid w:val="08561AC2"/>
    <w:rsid w:val="08675FC8"/>
    <w:rsid w:val="086E5E0A"/>
    <w:rsid w:val="091870A2"/>
    <w:rsid w:val="0956230E"/>
    <w:rsid w:val="09B713FD"/>
    <w:rsid w:val="09EF6ACC"/>
    <w:rsid w:val="0A315056"/>
    <w:rsid w:val="0AC10AB1"/>
    <w:rsid w:val="0AFB45AD"/>
    <w:rsid w:val="0B351E9B"/>
    <w:rsid w:val="0B4C50D3"/>
    <w:rsid w:val="0B806B92"/>
    <w:rsid w:val="0B827E94"/>
    <w:rsid w:val="0BD070E1"/>
    <w:rsid w:val="0C247926"/>
    <w:rsid w:val="0C6D41C8"/>
    <w:rsid w:val="0D794204"/>
    <w:rsid w:val="0E1327A4"/>
    <w:rsid w:val="0E2125D1"/>
    <w:rsid w:val="0E214211"/>
    <w:rsid w:val="0E5F2769"/>
    <w:rsid w:val="0EDE51A1"/>
    <w:rsid w:val="0F470958"/>
    <w:rsid w:val="0F4D75A3"/>
    <w:rsid w:val="0F5B2DCA"/>
    <w:rsid w:val="0FED051E"/>
    <w:rsid w:val="0FEE4C29"/>
    <w:rsid w:val="10046082"/>
    <w:rsid w:val="10417A9D"/>
    <w:rsid w:val="108B4A83"/>
    <w:rsid w:val="111703D2"/>
    <w:rsid w:val="112B101A"/>
    <w:rsid w:val="119B53FC"/>
    <w:rsid w:val="12424CDC"/>
    <w:rsid w:val="126E7188"/>
    <w:rsid w:val="129A2738"/>
    <w:rsid w:val="12B56BF1"/>
    <w:rsid w:val="12CB1A89"/>
    <w:rsid w:val="131751EF"/>
    <w:rsid w:val="131840FB"/>
    <w:rsid w:val="13467417"/>
    <w:rsid w:val="136E76CF"/>
    <w:rsid w:val="136F05BC"/>
    <w:rsid w:val="14E03833"/>
    <w:rsid w:val="15776308"/>
    <w:rsid w:val="15BC6B3C"/>
    <w:rsid w:val="15D66983"/>
    <w:rsid w:val="15E753AD"/>
    <w:rsid w:val="164D40B0"/>
    <w:rsid w:val="165F6ABE"/>
    <w:rsid w:val="1694429A"/>
    <w:rsid w:val="16B51304"/>
    <w:rsid w:val="17635326"/>
    <w:rsid w:val="177B643E"/>
    <w:rsid w:val="18236EFD"/>
    <w:rsid w:val="189B4138"/>
    <w:rsid w:val="189D5B1F"/>
    <w:rsid w:val="18A34CD0"/>
    <w:rsid w:val="19A53EA8"/>
    <w:rsid w:val="19B64DBC"/>
    <w:rsid w:val="1A373ACF"/>
    <w:rsid w:val="1A37418B"/>
    <w:rsid w:val="1A7E0D17"/>
    <w:rsid w:val="1A895341"/>
    <w:rsid w:val="1A9A3595"/>
    <w:rsid w:val="1B0D071F"/>
    <w:rsid w:val="1B4568CE"/>
    <w:rsid w:val="1B6573DB"/>
    <w:rsid w:val="1B9015B7"/>
    <w:rsid w:val="1BB137ED"/>
    <w:rsid w:val="1BF54245"/>
    <w:rsid w:val="1C874A89"/>
    <w:rsid w:val="1D0E6976"/>
    <w:rsid w:val="1D2F61C2"/>
    <w:rsid w:val="1D5A79EE"/>
    <w:rsid w:val="1D712256"/>
    <w:rsid w:val="1E0E2CD0"/>
    <w:rsid w:val="1E7B6870"/>
    <w:rsid w:val="1E831280"/>
    <w:rsid w:val="1EBC4704"/>
    <w:rsid w:val="1F172EB5"/>
    <w:rsid w:val="1F917B02"/>
    <w:rsid w:val="1F94592D"/>
    <w:rsid w:val="1FB860DE"/>
    <w:rsid w:val="203C5A02"/>
    <w:rsid w:val="209D4C94"/>
    <w:rsid w:val="20A23F56"/>
    <w:rsid w:val="20E84705"/>
    <w:rsid w:val="218400BA"/>
    <w:rsid w:val="21AB1E2F"/>
    <w:rsid w:val="21D40498"/>
    <w:rsid w:val="22767047"/>
    <w:rsid w:val="227E1CD5"/>
    <w:rsid w:val="23087F7D"/>
    <w:rsid w:val="23A05588"/>
    <w:rsid w:val="240476A1"/>
    <w:rsid w:val="241677BD"/>
    <w:rsid w:val="245E5DAF"/>
    <w:rsid w:val="248A3369"/>
    <w:rsid w:val="24DF72FC"/>
    <w:rsid w:val="25431AEB"/>
    <w:rsid w:val="25BF43FD"/>
    <w:rsid w:val="25F86BCD"/>
    <w:rsid w:val="2605748B"/>
    <w:rsid w:val="269E416A"/>
    <w:rsid w:val="272100D3"/>
    <w:rsid w:val="272C72FC"/>
    <w:rsid w:val="275131CB"/>
    <w:rsid w:val="27EB149D"/>
    <w:rsid w:val="27FA25B3"/>
    <w:rsid w:val="27FD3E52"/>
    <w:rsid w:val="28B30B78"/>
    <w:rsid w:val="28E11370"/>
    <w:rsid w:val="294A756A"/>
    <w:rsid w:val="29781BF8"/>
    <w:rsid w:val="29C33ED0"/>
    <w:rsid w:val="29D5322D"/>
    <w:rsid w:val="2A025DD9"/>
    <w:rsid w:val="2A2619CB"/>
    <w:rsid w:val="2A715316"/>
    <w:rsid w:val="2A7C2231"/>
    <w:rsid w:val="2ABB753D"/>
    <w:rsid w:val="2B575A48"/>
    <w:rsid w:val="2B7A49FA"/>
    <w:rsid w:val="2C292579"/>
    <w:rsid w:val="2C3D33B6"/>
    <w:rsid w:val="2C615D26"/>
    <w:rsid w:val="2C7A0167"/>
    <w:rsid w:val="2CB679ED"/>
    <w:rsid w:val="2CE40A03"/>
    <w:rsid w:val="2D173C07"/>
    <w:rsid w:val="2D1A32EB"/>
    <w:rsid w:val="2D424A86"/>
    <w:rsid w:val="2E3B3D00"/>
    <w:rsid w:val="2E7B52DB"/>
    <w:rsid w:val="2ED17B8A"/>
    <w:rsid w:val="2EF004E6"/>
    <w:rsid w:val="2F324CFE"/>
    <w:rsid w:val="2FA20164"/>
    <w:rsid w:val="2FBA09F1"/>
    <w:rsid w:val="2FEF2ACF"/>
    <w:rsid w:val="3026243D"/>
    <w:rsid w:val="30540211"/>
    <w:rsid w:val="30A87547"/>
    <w:rsid w:val="30F57440"/>
    <w:rsid w:val="31112A0D"/>
    <w:rsid w:val="311F4B20"/>
    <w:rsid w:val="312D7741"/>
    <w:rsid w:val="316F137F"/>
    <w:rsid w:val="31BC6B2B"/>
    <w:rsid w:val="31DF525F"/>
    <w:rsid w:val="3207424B"/>
    <w:rsid w:val="32324C2E"/>
    <w:rsid w:val="327171DF"/>
    <w:rsid w:val="333A7C40"/>
    <w:rsid w:val="341519F5"/>
    <w:rsid w:val="341E3434"/>
    <w:rsid w:val="34BB4442"/>
    <w:rsid w:val="35E07FA2"/>
    <w:rsid w:val="36074F8A"/>
    <w:rsid w:val="360B7EBA"/>
    <w:rsid w:val="366E6B49"/>
    <w:rsid w:val="369C32FD"/>
    <w:rsid w:val="37666E72"/>
    <w:rsid w:val="38167A04"/>
    <w:rsid w:val="383513E6"/>
    <w:rsid w:val="394B167A"/>
    <w:rsid w:val="39B10FA1"/>
    <w:rsid w:val="3A4E4336"/>
    <w:rsid w:val="3A6007FE"/>
    <w:rsid w:val="3B1F36BA"/>
    <w:rsid w:val="3B58123B"/>
    <w:rsid w:val="3B5C4450"/>
    <w:rsid w:val="3B7C2CE4"/>
    <w:rsid w:val="3B9D3C2D"/>
    <w:rsid w:val="3C0B5355"/>
    <w:rsid w:val="3CD4176B"/>
    <w:rsid w:val="3D1F44D9"/>
    <w:rsid w:val="3D5C38CD"/>
    <w:rsid w:val="3D707ECA"/>
    <w:rsid w:val="3DFC754A"/>
    <w:rsid w:val="3E5070F1"/>
    <w:rsid w:val="3E952BDE"/>
    <w:rsid w:val="3EA350AA"/>
    <w:rsid w:val="3F6C3589"/>
    <w:rsid w:val="3F754E50"/>
    <w:rsid w:val="3F850180"/>
    <w:rsid w:val="3F9004D6"/>
    <w:rsid w:val="400E4D5E"/>
    <w:rsid w:val="40414DCB"/>
    <w:rsid w:val="40E1138C"/>
    <w:rsid w:val="413814BA"/>
    <w:rsid w:val="41847A25"/>
    <w:rsid w:val="41872511"/>
    <w:rsid w:val="41D946A5"/>
    <w:rsid w:val="41E00475"/>
    <w:rsid w:val="422B35B4"/>
    <w:rsid w:val="42466655"/>
    <w:rsid w:val="425B7C9B"/>
    <w:rsid w:val="42C82F57"/>
    <w:rsid w:val="43000F6E"/>
    <w:rsid w:val="43C76AF7"/>
    <w:rsid w:val="446828F0"/>
    <w:rsid w:val="45093E85"/>
    <w:rsid w:val="45AA6F6F"/>
    <w:rsid w:val="45C13B4D"/>
    <w:rsid w:val="46054BCA"/>
    <w:rsid w:val="464C6AFC"/>
    <w:rsid w:val="468B0091"/>
    <w:rsid w:val="46A107C3"/>
    <w:rsid w:val="46B15CE2"/>
    <w:rsid w:val="46BE113D"/>
    <w:rsid w:val="46E44B13"/>
    <w:rsid w:val="4703508A"/>
    <w:rsid w:val="475023F8"/>
    <w:rsid w:val="479D361E"/>
    <w:rsid w:val="47B74789"/>
    <w:rsid w:val="47D87096"/>
    <w:rsid w:val="480F2B9D"/>
    <w:rsid w:val="48282920"/>
    <w:rsid w:val="485321E0"/>
    <w:rsid w:val="48546AD3"/>
    <w:rsid w:val="48CA4868"/>
    <w:rsid w:val="48E75FAF"/>
    <w:rsid w:val="48EA5238"/>
    <w:rsid w:val="48F005D3"/>
    <w:rsid w:val="493A3899"/>
    <w:rsid w:val="494E6AD6"/>
    <w:rsid w:val="498F4AF1"/>
    <w:rsid w:val="49C05787"/>
    <w:rsid w:val="49CF518D"/>
    <w:rsid w:val="4ADA1F63"/>
    <w:rsid w:val="4AE23D89"/>
    <w:rsid w:val="4B2038D0"/>
    <w:rsid w:val="4B296E7D"/>
    <w:rsid w:val="4B877F28"/>
    <w:rsid w:val="4BE12B49"/>
    <w:rsid w:val="4CAC43AA"/>
    <w:rsid w:val="4D3B2BA3"/>
    <w:rsid w:val="4D916BA6"/>
    <w:rsid w:val="4DC44169"/>
    <w:rsid w:val="4E9A48CE"/>
    <w:rsid w:val="4EF0709E"/>
    <w:rsid w:val="4F0469A4"/>
    <w:rsid w:val="513C6A7B"/>
    <w:rsid w:val="520743E2"/>
    <w:rsid w:val="520F4F36"/>
    <w:rsid w:val="52B36AD0"/>
    <w:rsid w:val="532D486F"/>
    <w:rsid w:val="5333545B"/>
    <w:rsid w:val="538D0E89"/>
    <w:rsid w:val="5450213C"/>
    <w:rsid w:val="54AE6F5B"/>
    <w:rsid w:val="54D24048"/>
    <w:rsid w:val="54D64CD5"/>
    <w:rsid w:val="54DD263F"/>
    <w:rsid w:val="556709D9"/>
    <w:rsid w:val="55887D69"/>
    <w:rsid w:val="55DF4274"/>
    <w:rsid w:val="561A0928"/>
    <w:rsid w:val="56423872"/>
    <w:rsid w:val="56B279F0"/>
    <w:rsid w:val="56EE0C86"/>
    <w:rsid w:val="5711330F"/>
    <w:rsid w:val="57124BAE"/>
    <w:rsid w:val="579D710E"/>
    <w:rsid w:val="57BB540A"/>
    <w:rsid w:val="581F22F6"/>
    <w:rsid w:val="58276B45"/>
    <w:rsid w:val="58416AA8"/>
    <w:rsid w:val="585D2BE3"/>
    <w:rsid w:val="586E1E17"/>
    <w:rsid w:val="58862C35"/>
    <w:rsid w:val="58C0353E"/>
    <w:rsid w:val="58C14957"/>
    <w:rsid w:val="58E4174E"/>
    <w:rsid w:val="59225823"/>
    <w:rsid w:val="59655DB9"/>
    <w:rsid w:val="5A32187C"/>
    <w:rsid w:val="5A5322F0"/>
    <w:rsid w:val="5ACC0E33"/>
    <w:rsid w:val="5AE83A50"/>
    <w:rsid w:val="5B1C4013"/>
    <w:rsid w:val="5B291AC6"/>
    <w:rsid w:val="5BAB2917"/>
    <w:rsid w:val="5BFC33FA"/>
    <w:rsid w:val="5C3107A4"/>
    <w:rsid w:val="5C3B1B93"/>
    <w:rsid w:val="5C9220DF"/>
    <w:rsid w:val="5D4A15F3"/>
    <w:rsid w:val="5D69542A"/>
    <w:rsid w:val="5D783B72"/>
    <w:rsid w:val="5E0930EF"/>
    <w:rsid w:val="5E3D4D53"/>
    <w:rsid w:val="5E4717E6"/>
    <w:rsid w:val="5E55774C"/>
    <w:rsid w:val="5E974981"/>
    <w:rsid w:val="5EF13A09"/>
    <w:rsid w:val="5F582A91"/>
    <w:rsid w:val="600122DD"/>
    <w:rsid w:val="60104DDC"/>
    <w:rsid w:val="605C0804"/>
    <w:rsid w:val="60624BBE"/>
    <w:rsid w:val="6169596C"/>
    <w:rsid w:val="6189617B"/>
    <w:rsid w:val="61B52BB6"/>
    <w:rsid w:val="61B749C2"/>
    <w:rsid w:val="61C511D0"/>
    <w:rsid w:val="6221095A"/>
    <w:rsid w:val="62280D20"/>
    <w:rsid w:val="62CA2457"/>
    <w:rsid w:val="631562F7"/>
    <w:rsid w:val="638240A1"/>
    <w:rsid w:val="63833423"/>
    <w:rsid w:val="63A5257B"/>
    <w:rsid w:val="63BD3DCC"/>
    <w:rsid w:val="63C61741"/>
    <w:rsid w:val="64505489"/>
    <w:rsid w:val="64560967"/>
    <w:rsid w:val="648F5856"/>
    <w:rsid w:val="64986E00"/>
    <w:rsid w:val="64EB28C8"/>
    <w:rsid w:val="656B1D10"/>
    <w:rsid w:val="65B841F9"/>
    <w:rsid w:val="66022B28"/>
    <w:rsid w:val="664A38E2"/>
    <w:rsid w:val="66581E87"/>
    <w:rsid w:val="66FA11D5"/>
    <w:rsid w:val="67084900"/>
    <w:rsid w:val="674302C7"/>
    <w:rsid w:val="67472418"/>
    <w:rsid w:val="680A5986"/>
    <w:rsid w:val="680D5F4B"/>
    <w:rsid w:val="68113F51"/>
    <w:rsid w:val="68820A62"/>
    <w:rsid w:val="68E94770"/>
    <w:rsid w:val="68F949C9"/>
    <w:rsid w:val="69126A56"/>
    <w:rsid w:val="695A4290"/>
    <w:rsid w:val="69FB6FA4"/>
    <w:rsid w:val="6A334932"/>
    <w:rsid w:val="6A3353FF"/>
    <w:rsid w:val="6A340173"/>
    <w:rsid w:val="6A5D63E6"/>
    <w:rsid w:val="6A5F24D1"/>
    <w:rsid w:val="6AE347EB"/>
    <w:rsid w:val="6B112C05"/>
    <w:rsid w:val="6B434AF0"/>
    <w:rsid w:val="6B57675A"/>
    <w:rsid w:val="6B7427A3"/>
    <w:rsid w:val="6BDD7B4D"/>
    <w:rsid w:val="6D992A1C"/>
    <w:rsid w:val="6E4E3785"/>
    <w:rsid w:val="6EBC0B3A"/>
    <w:rsid w:val="6EF51C7D"/>
    <w:rsid w:val="6F8363E5"/>
    <w:rsid w:val="6FC746F5"/>
    <w:rsid w:val="6FF23324"/>
    <w:rsid w:val="70317AC6"/>
    <w:rsid w:val="7060040D"/>
    <w:rsid w:val="70863262"/>
    <w:rsid w:val="70A76ED3"/>
    <w:rsid w:val="71860B17"/>
    <w:rsid w:val="718B0395"/>
    <w:rsid w:val="71B238FB"/>
    <w:rsid w:val="720860A3"/>
    <w:rsid w:val="723B27CC"/>
    <w:rsid w:val="72687227"/>
    <w:rsid w:val="72A03FD9"/>
    <w:rsid w:val="72E23271"/>
    <w:rsid w:val="73406CFF"/>
    <w:rsid w:val="7383028C"/>
    <w:rsid w:val="73965482"/>
    <w:rsid w:val="73A25E44"/>
    <w:rsid w:val="741F68CF"/>
    <w:rsid w:val="75041948"/>
    <w:rsid w:val="75252DF3"/>
    <w:rsid w:val="75621536"/>
    <w:rsid w:val="75BF3154"/>
    <w:rsid w:val="7621652A"/>
    <w:rsid w:val="764A07CF"/>
    <w:rsid w:val="764F6B3D"/>
    <w:rsid w:val="76CD2B7B"/>
    <w:rsid w:val="76D80645"/>
    <w:rsid w:val="76E03371"/>
    <w:rsid w:val="77D346F8"/>
    <w:rsid w:val="780E5898"/>
    <w:rsid w:val="782642CC"/>
    <w:rsid w:val="7894095E"/>
    <w:rsid w:val="78964555"/>
    <w:rsid w:val="78CF4963"/>
    <w:rsid w:val="79000679"/>
    <w:rsid w:val="79A416F0"/>
    <w:rsid w:val="79B03EB6"/>
    <w:rsid w:val="79C06055"/>
    <w:rsid w:val="79FF08DC"/>
    <w:rsid w:val="7AD26CA8"/>
    <w:rsid w:val="7AE15A5C"/>
    <w:rsid w:val="7AF057AD"/>
    <w:rsid w:val="7AF37579"/>
    <w:rsid w:val="7AF87F64"/>
    <w:rsid w:val="7B1C0C84"/>
    <w:rsid w:val="7B444D3F"/>
    <w:rsid w:val="7B5A62DF"/>
    <w:rsid w:val="7B7A04A8"/>
    <w:rsid w:val="7C0C3F6D"/>
    <w:rsid w:val="7C22163C"/>
    <w:rsid w:val="7C457B4B"/>
    <w:rsid w:val="7C595075"/>
    <w:rsid w:val="7C6B07B2"/>
    <w:rsid w:val="7D133243"/>
    <w:rsid w:val="7D945420"/>
    <w:rsid w:val="7D956750"/>
    <w:rsid w:val="7DF06F0E"/>
    <w:rsid w:val="7E394207"/>
    <w:rsid w:val="7E4007A2"/>
    <w:rsid w:val="7E791CAD"/>
    <w:rsid w:val="7EA50DFB"/>
    <w:rsid w:val="7EC86878"/>
    <w:rsid w:val="7F16390D"/>
    <w:rsid w:val="7F565496"/>
    <w:rsid w:val="7F752917"/>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next w:val="4"/>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4">
    <w:name w:val="envelope return"/>
    <w:basedOn w:val="1"/>
    <w:qFormat/>
    <w:uiPriority w:val="0"/>
    <w:pPr>
      <w:snapToGrid w:val="0"/>
    </w:pPr>
    <w:rPr>
      <w:rFonts w:ascii="Arial" w:hAnsi="Arial"/>
      <w:szCs w:val="24"/>
    </w:rPr>
  </w:style>
  <w:style w:type="paragraph" w:styleId="8">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Body Text 3"/>
    <w:basedOn w:val="1"/>
    <w:link w:val="41"/>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页眉 Char"/>
    <w:basedOn w:val="25"/>
    <w:link w:val="19"/>
    <w:semiHidden/>
    <w:qFormat/>
    <w:uiPriority w:val="99"/>
    <w:rPr>
      <w:sz w:val="18"/>
      <w:szCs w:val="18"/>
    </w:rPr>
  </w:style>
  <w:style w:type="character" w:customStyle="1" w:styleId="30">
    <w:name w:val="页脚 Char"/>
    <w:basedOn w:val="25"/>
    <w:link w:val="18"/>
    <w:qFormat/>
    <w:uiPriority w:val="99"/>
    <w:rPr>
      <w:sz w:val="18"/>
      <w:szCs w:val="18"/>
    </w:rPr>
  </w:style>
  <w:style w:type="character" w:customStyle="1" w:styleId="31">
    <w:name w:val="标题 1 Char"/>
    <w:basedOn w:val="25"/>
    <w:link w:val="5"/>
    <w:qFormat/>
    <w:uiPriority w:val="9"/>
    <w:rPr>
      <w:rFonts w:eastAsia="方正小标宋简体"/>
      <w:bCs/>
      <w:kern w:val="44"/>
      <w:sz w:val="44"/>
      <w:szCs w:val="44"/>
    </w:rPr>
  </w:style>
  <w:style w:type="character" w:customStyle="1" w:styleId="32">
    <w:name w:val="标题 2 Char"/>
    <w:basedOn w:val="25"/>
    <w:link w:val="6"/>
    <w:qFormat/>
    <w:uiPriority w:val="9"/>
    <w:rPr>
      <w:rFonts w:eastAsia="方正小标宋简体" w:asciiTheme="majorHAnsi" w:hAnsiTheme="majorHAnsi" w:cstheme="majorBidi"/>
      <w:bCs/>
      <w:sz w:val="36"/>
      <w:szCs w:val="32"/>
    </w:rPr>
  </w:style>
  <w:style w:type="character" w:customStyle="1" w:styleId="33">
    <w:name w:val="标题 3 Char"/>
    <w:basedOn w:val="25"/>
    <w:link w:val="7"/>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5"/>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9"/>
    <w:qFormat/>
    <w:uiPriority w:val="99"/>
    <w:rPr>
      <w:sz w:val="16"/>
      <w:szCs w:val="16"/>
    </w:rPr>
  </w:style>
  <w:style w:type="character" w:customStyle="1" w:styleId="41">
    <w:name w:val="正文文本 3 Char1"/>
    <w:basedOn w:val="25"/>
    <w:link w:val="9"/>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BodyText"/>
    <w:basedOn w:val="1"/>
    <w:next w:val="48"/>
    <w:qFormat/>
    <w:uiPriority w:val="0"/>
    <w:pPr>
      <w:jc w:val="both"/>
      <w:textAlignment w:val="baseline"/>
    </w:pPr>
    <w:rPr>
      <w:rFonts w:ascii="Times New Roman" w:hAnsi="Times New Roman" w:eastAsia="宋体"/>
      <w:kern w:val="2"/>
      <w:sz w:val="28"/>
      <w:lang w:val="en-US" w:eastAsia="zh-CN" w:bidi="ar-SA"/>
    </w:rPr>
  </w:style>
  <w:style w:type="paragraph" w:customStyle="1" w:styleId="48">
    <w:name w:val="BodyText2"/>
    <w:basedOn w:val="1"/>
    <w:qFormat/>
    <w:uiPriority w:val="0"/>
    <w:pPr>
      <w:spacing w:after="120" w:line="480" w:lineRule="auto"/>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33832</Words>
  <Characters>35529</Characters>
  <Lines>300</Lines>
  <Paragraphs>84</Paragraphs>
  <TotalTime>4</TotalTime>
  <ScaleCrop>false</ScaleCrop>
  <LinksUpToDate>false</LinksUpToDate>
  <CharactersWithSpaces>37947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2023-05-18T08:00:00Z</cp:lastPrinted>
  <dcterms:modified xsi:type="dcterms:W3CDTF">2023-07-04T08:19:16Z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B85922C46A534EA6B65A136ABFA37F0E</vt:lpwstr>
  </property>
</Properties>
</file>