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71" w:name="_GoBack"/>
      <w:bookmarkEnd w:id="171"/>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广州市净水有限公司竹料分公司磁悬浮鼓风机备件购置项目</w:t>
      </w:r>
    </w:p>
    <w:p>
      <w:pPr>
        <w:pStyle w:val="7"/>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pStyle w:val="2"/>
        <w:rPr>
          <w:color w:val="auto"/>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二三年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7"/>
        <w:rPr>
          <w:color w:val="auto"/>
          <w:highlight w:val="none"/>
        </w:rPr>
      </w:pPr>
    </w:p>
    <w:p>
      <w:pPr>
        <w:pStyle w:val="3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采购公告（采购邀请书）</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11322"/>
      <w:bookmarkStart w:id="5" w:name="_Toc31938"/>
      <w:bookmarkStart w:id="6" w:name="_Toc19609"/>
      <w:bookmarkStart w:id="7" w:name="_Toc4275"/>
      <w:bookmarkStart w:id="8" w:name="_Toc17801"/>
      <w:bookmarkStart w:id="9" w:name="_Toc1669"/>
      <w:bookmarkStart w:id="10" w:name="_Toc751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广州市净水有限公司竹料分公司磁悬浮鼓风机备件购置项目</w:t>
      </w:r>
      <w:r>
        <w:rPr>
          <w:rFonts w:hint="eastAsia" w:ascii="仿宋_GB2312" w:eastAsia="仿宋_GB2312"/>
          <w:color w:val="auto"/>
          <w:sz w:val="28"/>
          <w:szCs w:val="28"/>
          <w:highlight w:val="none"/>
        </w:rPr>
        <w:t>已具备采购条件，现邀请合格单位参加本□施工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t>邀请询比</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广州市净水有限公司竹料分公司磁悬浮鼓风机备件购置项目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XJ-20230607-1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hint="eastAsia" w:eastAsia="仿宋_GB2312"/>
          <w:color w:val="auto"/>
          <w:highlight w:val="none"/>
          <w:lang w:eastAsia="zh-CN"/>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380590元，税率13%。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35"/>
        <w:gridCol w:w="148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523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配件名称</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数量(个)</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HST2500鼓风机磁性轴承控制器（MBC）功率板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HST2500鼓风机磁性轴承控制器（MBC)控制板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HST2500鼓风机磁性轴承控制器（MBC)放大板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HST2500鼓风机磁性轴承控制器（MBC)UPS控制卡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3#鼓风机进气口压差计，序列号：900853</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3#鼓风机合闸手柄 901348</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HST2500鼓风机NXP0460变频器通讯卡</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Pocket filter HI-CAP 287x592x500-6-G4(过滤袋）</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HST2500鼓风机磁性轴承控制器散热风扇（COMPACT FAN 80X25,24VDC PUDC24H4C-049)</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HST2500鼓风机NXP0460变频器ASIC板散热风扇</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r>
    </w:tbl>
    <w:p>
      <w:pPr>
        <w:pStyle w:val="7"/>
        <w:rPr>
          <w:color w:val="auto"/>
          <w:highlight w:val="non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2.2项目工期：□计划工期   ☑交货期  □服务期为自合同签订之日起</w:t>
      </w:r>
      <w:r>
        <w:rPr>
          <w:rFonts w:hint="eastAsia" w:ascii="仿宋_GB2312" w:eastAsia="仿宋_GB2312"/>
          <w:color w:val="auto"/>
          <w:sz w:val="28"/>
          <w:szCs w:val="28"/>
          <w:highlight w:val="none"/>
          <w:u w:val="single"/>
        </w:rPr>
        <w:t>90</w:t>
      </w:r>
      <w:r>
        <w:rPr>
          <w:rFonts w:hint="eastAsia" w:ascii="仿宋_GB2312" w:eastAsia="仿宋_GB2312"/>
          <w:color w:val="auto"/>
          <w:sz w:val="28"/>
          <w:szCs w:val="28"/>
          <w:highlight w:val="none"/>
        </w:rPr>
        <w:t>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2.3地点：□建设地点  ☑交货地点  □服务地点位于</w:t>
      </w:r>
      <w:r>
        <w:rPr>
          <w:rFonts w:hint="eastAsia" w:ascii="仿宋_GB2312" w:eastAsia="仿宋_GB2312"/>
          <w:color w:val="auto"/>
          <w:sz w:val="28"/>
          <w:szCs w:val="28"/>
          <w:highlight w:val="none"/>
          <w:u w:val="single"/>
        </w:rPr>
        <w:t xml:space="preserve">  广州市净水有限公司竹料分公司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（1)使用的各种材料必须符合设计和规范要求。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（2)各种构件在运输过程中必须有可靠的保护措施。构件外观表面无明显的凹面和损伤。焊疤、飞溅物、毛刺应清理干净。</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（3)必须用合格焊工。焊接、防锈、安装精度必须合格。</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bidi="ar"/>
        </w:rPr>
        <w:t>更换整套发电机（含轴承</w:t>
      </w:r>
      <w:r>
        <w:rPr>
          <w:rFonts w:hint="eastAsia" w:ascii="仿宋_GB2312" w:eastAsia="仿宋_GB2312"/>
          <w:color w:val="auto"/>
          <w:sz w:val="28"/>
          <w:szCs w:val="28"/>
          <w:highlight w:val="none"/>
        </w:rPr>
        <w:t xml:space="preserve">）必须是全新正品。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u w:val="singl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）2020 年1月1日至今，供应商最少具有一项</w:t>
      </w:r>
      <w:r>
        <w:rPr>
          <w:rFonts w:hint="eastAsia" w:ascii="仿宋_GB2312" w:eastAsia="仿宋_GB2312"/>
          <w:color w:val="auto"/>
          <w:sz w:val="28"/>
          <w:szCs w:val="28"/>
          <w:highlight w:val="none"/>
          <w:u w:val="single"/>
        </w:rPr>
        <w:t>磁悬浮鼓风机</w:t>
      </w:r>
      <w:r>
        <w:rPr>
          <w:rFonts w:hint="eastAsia" w:ascii="仿宋_GB2312" w:eastAsia="仿宋_GB2312"/>
          <w:color w:val="auto"/>
          <w:sz w:val="28"/>
          <w:szCs w:val="28"/>
          <w:highlight w:val="none"/>
          <w:u w:val="single"/>
          <w:lang w:val="en-US" w:eastAsia="zh-CN"/>
        </w:rPr>
        <w:t>备件供货</w:t>
      </w:r>
      <w:r>
        <w:rPr>
          <w:rFonts w:hint="eastAsia" w:ascii="仿宋_GB2312" w:eastAsia="仿宋_GB2312"/>
          <w:color w:val="auto"/>
          <w:sz w:val="28"/>
          <w:szCs w:val="28"/>
          <w:highlight w:val="none"/>
          <w:u w:val="single"/>
        </w:rPr>
        <w:t>业绩。（提供合同复印件证明，包括但不</w:t>
      </w:r>
      <w:r>
        <w:rPr>
          <w:rFonts w:hint="eastAsia" w:ascii="仿宋_GB2312" w:eastAsia="仿宋_GB2312"/>
          <w:color w:val="auto"/>
          <w:sz w:val="28"/>
          <w:szCs w:val="28"/>
          <w:highlight w:val="none"/>
          <w:u w:val="single"/>
        </w:rPr>
        <w:t>限于项目名称、金额及实施内容、合同盖章、签订日期，加盖单位公章）</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其他要求：供应商须出具承诺函，承诺中选后提供报价设备均为制造商原装全新产品（加盖单位公章）。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6.2递交地址：广州市天河区临江大道501号广州市净水有限公司6楼招标部。</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pStyle w:val="2"/>
        <w:rPr>
          <w:rFonts w:ascii="仿宋_GB2312" w:hAnsi="仿宋" w:eastAsia="仿宋_GB2312"/>
          <w:color w:val="auto"/>
          <w:sz w:val="28"/>
          <w:szCs w:val="28"/>
          <w:highlight w:val="none"/>
        </w:rPr>
      </w:pPr>
    </w:p>
    <w:p>
      <w:pPr>
        <w:pStyle w:val="2"/>
        <w:rPr>
          <w:rFonts w:ascii="仿宋_GB2312" w:hAnsi="仿宋" w:eastAsia="仿宋_GB2312"/>
          <w:color w:val="auto"/>
          <w:sz w:val="28"/>
          <w:szCs w:val="28"/>
          <w:highlight w:val="none"/>
        </w:rPr>
      </w:pPr>
    </w:p>
    <w:p>
      <w:pPr>
        <w:pStyle w:val="2"/>
        <w:rPr>
          <w:rFonts w:ascii="仿宋_GB2312" w:hAnsi="仿宋" w:eastAsia="仿宋_GB2312"/>
          <w:color w:val="auto"/>
          <w:sz w:val="28"/>
          <w:szCs w:val="28"/>
          <w:highlight w:val="none"/>
        </w:rPr>
      </w:pPr>
    </w:p>
    <w:p>
      <w:pPr>
        <w:pStyle w:val="2"/>
        <w:rPr>
          <w:rFonts w:ascii="仿宋_GB2312" w:hAnsi="仿宋" w:eastAsia="仿宋_GB2312"/>
          <w:color w:val="auto"/>
          <w:sz w:val="28"/>
          <w:szCs w:val="28"/>
          <w:highlight w:val="none"/>
        </w:rPr>
      </w:pPr>
    </w:p>
    <w:p>
      <w:pPr>
        <w:pStyle w:val="2"/>
        <w:rPr>
          <w:rFonts w:ascii="仿宋_GB2312" w:hAnsi="仿宋" w:eastAsia="仿宋_GB2312"/>
          <w:color w:val="auto"/>
          <w:sz w:val="28"/>
          <w:szCs w:val="28"/>
          <w:highlight w:val="none"/>
        </w:rPr>
      </w:pPr>
    </w:p>
    <w:p>
      <w:pPr>
        <w:numPr>
          <w:ilvl w:val="0"/>
          <w:numId w:val="3"/>
        </w:numPr>
        <w:adjustRightInd w:val="0"/>
        <w:snapToGrid w:val="0"/>
        <w:spacing w:before="190" w:beforeLines="50" w:after="19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联系方式</w:t>
      </w:r>
    </w:p>
    <w:p>
      <w:pPr>
        <w:pStyle w:val="2"/>
        <w:numPr>
          <w:ilvl w:val="-1"/>
          <w:numId w:val="0"/>
        </w:numPr>
        <w:ind w:firstLine="0"/>
        <w:rPr>
          <w:color w:val="auto"/>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before="190" w:beforeLines="50" w:after="190" w:afterLines="50" w:line="600" w:lineRule="exact"/>
        <w:jc w:val="left"/>
        <w:rPr>
          <w:rFonts w:asciiTheme="minorEastAsia" w:hAnsiTheme="minorEastAsia"/>
          <w:color w:val="auto"/>
          <w:sz w:val="24"/>
          <w:szCs w:val="24"/>
          <w:highlight w:val="none"/>
        </w:rPr>
      </w:pPr>
    </w:p>
    <w:p>
      <w:pPr>
        <w:adjustRightInd w:val="0"/>
        <w:snapToGrid w:val="0"/>
        <w:spacing w:before="190" w:beforeLines="50" w:after="190" w:afterLines="50" w:line="600" w:lineRule="exact"/>
        <w:jc w:val="left"/>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pStyle w:val="2"/>
        <w:rPr>
          <w:rFonts w:asciiTheme="minorEastAsia" w:hAnsiTheme="minorEastAsia"/>
          <w:color w:val="auto"/>
          <w:sz w:val="24"/>
          <w:szCs w:val="24"/>
          <w:highlight w:val="none"/>
        </w:rPr>
      </w:pPr>
    </w:p>
    <w:p>
      <w:pPr>
        <w:adjustRightInd w:val="0"/>
        <w:snapToGrid w:val="0"/>
        <w:spacing w:before="190" w:beforeLines="50" w:after="19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7"/>
        <w:rPr>
          <w:color w:val="auto"/>
          <w:highlight w:val="none"/>
        </w:rPr>
      </w:pPr>
      <w:bookmarkStart w:id="13" w:name="_Toc23749"/>
      <w:bookmarkStart w:id="14" w:name="_Toc10891"/>
      <w:bookmarkStart w:id="15" w:name="_Toc7340"/>
      <w:bookmarkStart w:id="16" w:name="_Toc25603"/>
      <w:bookmarkStart w:id="17" w:name="_Toc2331"/>
      <w:bookmarkStart w:id="18" w:name="_Toc2324"/>
      <w:bookmarkStart w:id="19" w:name="_Toc32588"/>
      <w:bookmarkStart w:id="20" w:name="_Toc19295"/>
      <w:bookmarkStart w:id="21" w:name="_Toc16705"/>
      <w:bookmarkStart w:id="22" w:name="_Toc9448"/>
      <w:bookmarkStart w:id="23" w:name="_Toc16557"/>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2368550</wp:posOffset>
                </wp:positionH>
                <wp:positionV relativeFrom="paragraph">
                  <wp:posOffset>589280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5pt;margin-top:46.4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pStyle w:val="2"/>
        <w:rPr>
          <w:color w:val="auto"/>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asciiTheme="minorEastAsia" w:hAnsiTheme="minorEastAsia"/>
          <w:b/>
          <w:color w:val="auto"/>
          <w:sz w:val="32"/>
          <w:szCs w:val="32"/>
          <w:highlight w:val="none"/>
        </w:rPr>
      </w:pPr>
    </w:p>
    <w:p>
      <w:pPr>
        <w:pStyle w:val="2"/>
        <w:ind w:firstLine="0"/>
        <w:rPr>
          <w:rFonts w:asciiTheme="minorEastAsia" w:hAnsiTheme="minorEastAsia"/>
          <w:b/>
          <w:color w:val="auto"/>
          <w:sz w:val="32"/>
          <w:szCs w:val="32"/>
          <w:highlight w:val="none"/>
        </w:rPr>
      </w:pPr>
    </w:p>
    <w:p>
      <w:pPr>
        <w:numPr>
          <w:ilvl w:val="0"/>
          <w:numId w:val="4"/>
        </w:numPr>
        <w:adjustRightInd w:val="0"/>
        <w:snapToGrid w:val="0"/>
        <w:spacing w:before="190" w:beforeLines="50" w:after="190" w:afterLines="50" w:line="50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90" w:beforeLines="50" w:after="190"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left="279" w:leftChars="133" w:firstLine="459" w:firstLineChars="164"/>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  </w:t>
      </w:r>
      <w:r>
        <w:rPr>
          <w:rFonts w:hint="eastAsia" w:ascii="仿宋_GB2312" w:eastAsia="仿宋_GB2312"/>
          <w:color w:val="auto"/>
          <w:sz w:val="28"/>
          <w:szCs w:val="28"/>
          <w:highlight w:val="none"/>
        </w:rPr>
        <w:t xml:space="preserve">   附件5：关于**项目异议书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附件5 </w:t>
      </w:r>
    </w:p>
    <w:p>
      <w:pPr>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ind w:left="0" w:leftChars="0" w:firstLine="0" w:firstLineChars="0"/>
        <w:rPr>
          <w:rFonts w:ascii="仿宋_GB2312" w:eastAsia="仿宋_GB2312"/>
          <w:color w:val="auto"/>
          <w:sz w:val="28"/>
          <w:szCs w:val="28"/>
          <w:highlight w:val="none"/>
        </w:rPr>
      </w:pPr>
    </w:p>
    <w:p>
      <w:pPr>
        <w:pStyle w:val="7"/>
        <w:ind w:firstLine="0"/>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2197100</wp:posOffset>
                </wp:positionH>
                <wp:positionV relativeFrom="paragraph">
                  <wp:posOffset>551815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pt;margin-top:43.4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2233295</wp:posOffset>
                </wp:positionH>
                <wp:positionV relativeFrom="paragraph">
                  <wp:posOffset>31115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5.85pt;margin-top:2.4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第三章</w:t>
      </w:r>
      <w:bookmarkEnd w:id="26"/>
      <w:bookmarkEnd w:id="27"/>
    </w:p>
    <w:p>
      <w:pPr>
        <w:pStyle w:val="38"/>
        <w:rPr>
          <w:color w:val="auto"/>
          <w:highlight w:val="none"/>
        </w:rPr>
      </w:pPr>
    </w:p>
    <w:p>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7"/>
        <w:rPr>
          <w:color w:val="auto"/>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3156"/>
      <w:bookmarkStart w:id="36" w:name="_Toc10930"/>
      <w:bookmarkStart w:id="37" w:name="_Toc14552"/>
      <w:bookmarkStart w:id="38" w:name="_Toc19759"/>
      <w:bookmarkStart w:id="39" w:name="_Toc19050"/>
      <w:bookmarkStart w:id="40" w:name="_Toc7437"/>
      <w:bookmarkStart w:id="41" w:name="_Toc23581"/>
      <w:bookmarkStart w:id="42" w:name="_Toc4952"/>
      <w:bookmarkStart w:id="43" w:name="_Toc20594"/>
      <w:bookmarkStart w:id="44"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30530"/>
      <w:bookmarkStart w:id="46" w:name="_Toc29345"/>
      <w:bookmarkStart w:id="47" w:name="_Toc32607"/>
      <w:bookmarkStart w:id="48" w:name="_Toc88209941"/>
      <w:bookmarkStart w:id="49" w:name="_Toc7831"/>
      <w:bookmarkStart w:id="50" w:name="_Toc87616378"/>
      <w:bookmarkStart w:id="51" w:name="_Toc29484"/>
      <w:bookmarkStart w:id="52" w:name="_Toc6308"/>
      <w:bookmarkStart w:id="53" w:name="_Toc21079"/>
      <w:bookmarkStart w:id="54" w:name="_Toc12177"/>
      <w:bookmarkStart w:id="55" w:name="_Toc21840"/>
      <w:bookmarkStart w:id="56" w:name="_Toc13898"/>
      <w:bookmarkStart w:id="57" w:name="_Toc22212"/>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235585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8.55pt;height:0pt;width:75.5pt;z-index:251674624;mso-width-relative:page;mso-height-relative:page;" filled="f" stroked="t" coordsize="21600,21600" o:gfxdata="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Bb0c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5"/>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5"/>
        <w:rPr>
          <w:color w:val="auto"/>
          <w:szCs w:val="44"/>
          <w:highlight w:val="none"/>
        </w:rPr>
      </w:pPr>
    </w:p>
    <w:p>
      <w:pPr>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rPr>
          <w:color w:val="auto"/>
          <w:szCs w:val="44"/>
          <w:highlight w:val="none"/>
        </w:rPr>
      </w:pPr>
    </w:p>
    <w:p>
      <w:pPr>
        <w:pStyle w:val="7"/>
        <w:ind w:firstLine="0"/>
        <w:rPr>
          <w:color w:val="auto"/>
          <w:szCs w:val="44"/>
          <w:highlight w:val="none"/>
        </w:rPr>
      </w:pPr>
    </w:p>
    <w:bookmarkEnd w:id="60"/>
    <w:p>
      <w:pPr>
        <w:pStyle w:val="13"/>
        <w:numPr>
          <w:ilvl w:val="0"/>
          <w:numId w:val="5"/>
        </w:numPr>
        <w:adjustRightInd w:val="0"/>
        <w:snapToGrid w:val="0"/>
        <w:spacing w:line="360" w:lineRule="auto"/>
        <w:ind w:firstLine="560" w:firstLineChars="200"/>
        <w:rPr>
          <w:rFonts w:ascii="仿宋_GB2312" w:eastAsia="仿宋_GB2312" w:hAnsiTheme="minorHAnsi"/>
          <w:b/>
          <w:bCs/>
          <w:color w:val="auto"/>
          <w:sz w:val="28"/>
          <w:szCs w:val="28"/>
          <w:highlight w:val="none"/>
        </w:rPr>
      </w:pPr>
      <w:r>
        <w:rPr>
          <w:rFonts w:hint="eastAsia" w:ascii="仿宋_GB2312" w:eastAsia="仿宋_GB2312" w:hAnsiTheme="minorHAnsi"/>
          <w:b/>
          <w:bCs/>
          <w:color w:val="auto"/>
          <w:sz w:val="28"/>
          <w:szCs w:val="28"/>
          <w:highlight w:val="none"/>
        </w:rPr>
        <w:t>项目内容及需求</w:t>
      </w:r>
    </w:p>
    <w:p>
      <w:pPr>
        <w:spacing w:line="360" w:lineRule="auto"/>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竹料分公司现一期</w:t>
      </w:r>
      <w:r>
        <w:rPr>
          <w:rFonts w:hint="eastAsia" w:ascii="仿宋_GB2312" w:eastAsia="仿宋_GB2312" w:hAnsiTheme="minorEastAsia"/>
          <w:color w:val="auto"/>
          <w:sz w:val="28"/>
          <w:szCs w:val="28"/>
          <w:highlight w:val="none"/>
          <w:lang w:val="en-US" w:eastAsia="zh-CN"/>
        </w:rPr>
        <w:t>及一期扩建</w:t>
      </w:r>
      <w:r>
        <w:rPr>
          <w:rFonts w:hint="eastAsia" w:ascii="仿宋_GB2312" w:eastAsia="仿宋_GB2312" w:hAnsiTheme="minorEastAsia"/>
          <w:color w:val="auto"/>
          <w:sz w:val="28"/>
          <w:szCs w:val="28"/>
          <w:highlight w:val="none"/>
        </w:rPr>
        <w:t>磁悬浮鼓风机有</w:t>
      </w:r>
      <w:r>
        <w:rPr>
          <w:rFonts w:hint="eastAsia" w:ascii="仿宋_GB2312" w:eastAsia="仿宋_GB2312" w:hAnsiTheme="minorEastAsia"/>
          <w:color w:val="auto"/>
          <w:sz w:val="28"/>
          <w:szCs w:val="28"/>
          <w:highlight w:val="none"/>
          <w:lang w:eastAsia="zh-CN"/>
        </w:rPr>
        <w:t>6</w:t>
      </w:r>
      <w:r>
        <w:rPr>
          <w:rFonts w:hint="eastAsia" w:ascii="仿宋_GB2312" w:eastAsia="仿宋_GB2312" w:hAnsiTheme="minorEastAsia"/>
          <w:color w:val="auto"/>
          <w:sz w:val="28"/>
          <w:szCs w:val="28"/>
          <w:highlight w:val="none"/>
        </w:rPr>
        <w:t>台，厂家为：SULZER，型号为：HST2500-1-H-4,目前仓库没有磁悬浮鼓风机备件，需购置。</w:t>
      </w:r>
    </w:p>
    <w:p>
      <w:pPr>
        <w:pStyle w:val="14"/>
        <w:rPr>
          <w:color w:val="auto"/>
          <w:highlight w:val="none"/>
        </w:rPr>
      </w:pPr>
    </w:p>
    <w:p>
      <w:pPr>
        <w:pStyle w:val="13"/>
        <w:numPr>
          <w:ilvl w:val="0"/>
          <w:numId w:val="6"/>
        </w:numPr>
        <w:adjustRightInd w:val="0"/>
        <w:snapToGrid w:val="0"/>
        <w:spacing w:line="300" w:lineRule="auto"/>
        <w:ind w:left="0" w:leftChars="0" w:firstLine="0" w:firstLine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adjustRightInd w:val="0"/>
        <w:snapToGrid w:val="0"/>
        <w:spacing w:line="600" w:lineRule="exact"/>
        <w:ind w:left="0" w:leftChars="0" w:firstLine="0" w:firstLineChars="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w:t>
      </w:r>
      <w:r>
        <w:rPr>
          <w:rFonts w:hint="eastAsia" w:ascii="仿宋_GB2312" w:hAnsi="仿宋_GB2312" w:eastAsia="仿宋_GB2312" w:cs="仿宋_GB2312"/>
          <w:color w:val="auto"/>
          <w:sz w:val="28"/>
          <w:szCs w:val="28"/>
          <w:highlight w:val="none"/>
          <w:u w:val="none"/>
          <w:lang w:val="en-US" w:eastAsia="zh-CN"/>
        </w:rPr>
        <w:t>采购货物必须是全新、质量合格的产品</w:t>
      </w:r>
      <w:r>
        <w:rPr>
          <w:rFonts w:hint="eastAsia" w:ascii="仿宋_GB2312" w:eastAsia="仿宋_GB2312" w:hAnsiTheme="minorEastAsia"/>
          <w:color w:val="auto"/>
          <w:sz w:val="28"/>
          <w:szCs w:val="28"/>
          <w:highlight w:val="none"/>
        </w:rPr>
        <w:t>；</w:t>
      </w:r>
    </w:p>
    <w:p>
      <w:pPr>
        <w:pStyle w:val="14"/>
        <w:numPr>
          <w:ilvl w:val="255"/>
          <w:numId w:val="0"/>
        </w:numPr>
        <w:rPr>
          <w:color w:val="auto"/>
          <w:highlight w:val="none"/>
        </w:rPr>
      </w:pP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adjustRightInd w:val="0"/>
        <w:snapToGrid w:val="0"/>
        <w:spacing w:line="60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eastAsia="仿宋_GB2312"/>
          <w:color w:val="auto"/>
          <w:sz w:val="28"/>
          <w:szCs w:val="28"/>
          <w:highlight w:val="none"/>
        </w:rPr>
        <w:t>自合同签订之日起90天</w:t>
      </w:r>
      <w:r>
        <w:rPr>
          <w:rFonts w:hint="eastAsia" w:ascii="仿宋_GB2312" w:hAnsi="仿宋_GB2312" w:eastAsia="仿宋_GB2312" w:cs="仿宋_GB2312"/>
          <w:color w:val="auto"/>
          <w:sz w:val="28"/>
          <w:szCs w:val="28"/>
          <w:highlight w:val="none"/>
        </w:rPr>
        <w:t>。</w:t>
      </w:r>
    </w:p>
    <w:p>
      <w:pPr>
        <w:autoSpaceDE w:val="0"/>
        <w:autoSpaceDN w:val="0"/>
        <w:spacing w:line="52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rPr>
        <w:t>（4）</w:t>
      </w:r>
      <w:r>
        <w:rPr>
          <w:rFonts w:ascii="仿宋_GB2312" w:hAnsi="宋体" w:eastAsia="仿宋_GB2312" w:cs="仿宋_GB2312"/>
          <w:color w:val="auto"/>
          <w:sz w:val="28"/>
          <w:szCs w:val="28"/>
          <w:highlight w:val="none"/>
          <w:shd w:val="clear" w:color="auto" w:fill="FFFFFF"/>
        </w:rPr>
        <w:t>本项目开展期间，承包方必须整理好本项目的所有的技术</w:t>
      </w:r>
      <w:r>
        <w:rPr>
          <w:rFonts w:hint="eastAsia" w:ascii="仿宋_GB2312" w:hAnsi="宋体" w:eastAsia="仿宋_GB2312" w:cs="仿宋_GB2312"/>
          <w:color w:val="auto"/>
          <w:sz w:val="28"/>
          <w:szCs w:val="28"/>
          <w:highlight w:val="none"/>
          <w:shd w:val="clear" w:color="auto" w:fill="FFFFFF"/>
        </w:rPr>
        <w:t>、质量</w:t>
      </w:r>
      <w:r>
        <w:rPr>
          <w:rFonts w:ascii="仿宋_GB2312" w:hAnsi="宋体" w:eastAsia="仿宋_GB2312" w:cs="仿宋_GB2312"/>
          <w:color w:val="auto"/>
          <w:sz w:val="28"/>
          <w:szCs w:val="28"/>
          <w:highlight w:val="none"/>
          <w:shd w:val="clear" w:color="auto" w:fill="FFFFFF"/>
        </w:rPr>
        <w:t>资料，不限于项目施工图、竣工图、设备技术说明书</w:t>
      </w:r>
      <w:r>
        <w:rPr>
          <w:rFonts w:hint="eastAsia" w:ascii="仿宋_GB2312" w:hAnsi="宋体" w:eastAsia="仿宋_GB2312" w:cs="仿宋_GB2312"/>
          <w:color w:val="auto"/>
          <w:sz w:val="28"/>
          <w:szCs w:val="28"/>
          <w:highlight w:val="none"/>
          <w:shd w:val="clear" w:color="auto" w:fill="FFFFFF"/>
        </w:rPr>
        <w:t>、产品合格证</w:t>
      </w:r>
      <w:r>
        <w:rPr>
          <w:rFonts w:ascii="仿宋_GB2312" w:hAnsi="宋体" w:eastAsia="仿宋_GB2312" w:cs="仿宋_GB2312"/>
          <w:color w:val="auto"/>
          <w:sz w:val="28"/>
          <w:szCs w:val="28"/>
          <w:highlight w:val="none"/>
          <w:shd w:val="clear" w:color="auto" w:fill="FFFFFF"/>
        </w:rPr>
        <w:t>等。项目竣工后，承包方将所有关于本项目的技术资料整理好并交至项目承办单位。</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宋体" w:eastAsia="仿宋_GB2312" w:cs="仿宋_GB2312"/>
          <w:color w:val="auto"/>
          <w:sz w:val="28"/>
          <w:szCs w:val="28"/>
          <w:highlight w:val="none"/>
          <w:shd w:val="clear" w:color="auto" w:fill="FFFFFF"/>
        </w:rPr>
        <w:t>（5）</w:t>
      </w:r>
      <w:r>
        <w:rPr>
          <w:rFonts w:hint="eastAsia" w:ascii="仿宋_GB2312" w:hAnsi="仿宋_GB2312" w:eastAsia="仿宋_GB2312" w:cs="仿宋_GB2312"/>
          <w:color w:val="auto"/>
          <w:sz w:val="28"/>
          <w:szCs w:val="28"/>
          <w:highlight w:val="none"/>
          <w:lang w:val="zh-CN"/>
        </w:rPr>
        <w:t>周边环境恢复。</w:t>
      </w:r>
    </w:p>
    <w:p>
      <w:pPr>
        <w:ind w:firstLine="560"/>
        <w:rPr>
          <w:rFonts w:eastAsia="仿宋_GB2312"/>
          <w:color w:val="auto"/>
          <w:highlight w:val="none"/>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特种作业人员须持有对应工作的特种作业操作证。</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7.付款方式：银行汇票/网银转账形式。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7"/>
        <w:rPr>
          <w:color w:val="auto"/>
          <w:highlight w:val="none"/>
        </w:rPr>
      </w:pPr>
      <w:bookmarkStart w:id="61" w:name="_Toc23353"/>
      <w:bookmarkStart w:id="62" w:name="_Toc29835"/>
      <w:bookmarkStart w:id="63" w:name="_Toc18538"/>
      <w:bookmarkStart w:id="64" w:name="_Toc25925"/>
      <w:bookmarkStart w:id="65" w:name="_Toc4680"/>
      <w:bookmarkStart w:id="66" w:name="_Toc15570"/>
      <w:bookmarkStart w:id="67" w:name="_Toc537"/>
      <w:bookmarkStart w:id="68" w:name="_Toc23330"/>
      <w:bookmarkStart w:id="69" w:name="_Toc1284"/>
      <w:bookmarkStart w:id="70" w:name="_Toc12135"/>
      <w:bookmarkStart w:id="71" w:name="_Toc1496"/>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ind w:firstLine="0"/>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621030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85pt;margin-top:48.9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
        <w:rPr>
          <w:color w:val="auto"/>
          <w:highlight w:val="none"/>
        </w:rPr>
      </w:pPr>
      <w:bookmarkStart w:id="72" w:name="_Toc88209949"/>
      <w:bookmarkStart w:id="73" w:name="_Toc12968"/>
      <w:bookmarkStart w:id="74" w:name="_Toc19088"/>
      <w:bookmarkStart w:id="75" w:name="_Toc22797"/>
      <w:bookmarkStart w:id="76" w:name="_Toc1375"/>
      <w:bookmarkStart w:id="77" w:name="_Toc22501"/>
      <w:bookmarkStart w:id="78" w:name="_Toc87616386"/>
      <w:bookmarkStart w:id="79" w:name="_Toc12980"/>
      <w:bookmarkStart w:id="80" w:name="_Toc19686"/>
      <w:bookmarkStart w:id="81" w:name="_Toc13309"/>
      <w:bookmarkStart w:id="82" w:name="_Toc12721"/>
      <w:bookmarkStart w:id="83" w:name="_Toc8183"/>
      <w:bookmarkStart w:id="84" w:name="_Toc323"/>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spacing w:after="0" w:line="240" w:lineRule="auto"/>
        <w:jc w:val="righ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14:shadow w14:blurRad="50800" w14:dist="38100" w14:dir="2700000" w14:sx="100000" w14:sy="100000" w14:kx="0" w14:ky="0" w14:algn="tl">
            <w14:srgbClr w14:val="000000">
              <w14:alpha w14:val="60000"/>
            </w14:srgbClr>
          </w14:shadow>
        </w:rPr>
        <w:t>2022年8月版</w:t>
      </w:r>
      <w:r>
        <w:rPr>
          <w:rFonts w:hint="eastAsia" w:ascii="宋体" w:hAnsi="宋体" w:eastAsia="宋体" w:cs="宋体"/>
          <w:b/>
          <w:bCs w:val="0"/>
          <w:color w:val="auto"/>
          <w:sz w:val="21"/>
          <w:szCs w:val="21"/>
          <w:highlight w:val="none"/>
          <w14:shadow w14:blurRad="50800" w14:dist="38100" w14:dir="2700000" w14:sx="100000" w14:sy="100000" w14:kx="0" w14:ky="0" w14:algn="tl">
            <w14:srgbClr w14:val="000000">
              <w14:alpha w14:val="60000"/>
            </w14:srgbClr>
          </w14:shadow>
        </w:rPr>
        <w:t xml:space="preserve"> </w:t>
      </w:r>
    </w:p>
    <w:p>
      <w:pPr>
        <w:jc w:val="center"/>
        <w:rPr>
          <w:b/>
          <w:color w:val="auto"/>
          <w:sz w:val="52"/>
          <w:szCs w:val="84"/>
          <w:highlight w:val="none"/>
        </w:rPr>
      </w:pPr>
    </w:p>
    <w:p>
      <w:pPr>
        <w:jc w:val="center"/>
        <w:rPr>
          <w:b/>
          <w:color w:val="auto"/>
          <w:sz w:val="52"/>
          <w:szCs w:val="84"/>
          <w:highlight w:val="none"/>
        </w:rPr>
      </w:pP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u w:val="single"/>
          <w:lang w:val="en-US" w:eastAsia="zh-CN"/>
        </w:rPr>
        <w:t>厂区设备</w:t>
      </w:r>
      <w:r>
        <w:rPr>
          <w:rFonts w:hint="eastAsia"/>
          <w:b/>
          <w:bCs w:val="0"/>
          <w:color w:val="auto"/>
          <w:sz w:val="48"/>
          <w:szCs w:val="48"/>
          <w:highlight w:val="none"/>
          <w:u w:val="single"/>
          <w:lang w:eastAsia="zh-CN"/>
        </w:rPr>
        <w:t>备件</w:t>
      </w:r>
      <w:r>
        <w:rPr>
          <w:rFonts w:hint="eastAsia"/>
          <w:b/>
          <w:bCs w:val="0"/>
          <w:color w:val="auto"/>
          <w:sz w:val="48"/>
          <w:szCs w:val="48"/>
          <w:highlight w:val="none"/>
        </w:rPr>
        <w:t>采购合同</w:t>
      </w:r>
    </w:p>
    <w:p>
      <w:pPr>
        <w:jc w:val="center"/>
        <w:rPr>
          <w:b/>
          <w:bCs w:val="0"/>
          <w:color w:val="auto"/>
          <w:sz w:val="28"/>
          <w:szCs w:val="28"/>
          <w:highlight w:val="none"/>
        </w:rPr>
      </w:pPr>
    </w:p>
    <w:p>
      <w:pPr>
        <w:jc w:val="center"/>
        <w:rPr>
          <w:b/>
          <w:bCs w:val="0"/>
          <w:color w:val="auto"/>
          <w:sz w:val="30"/>
          <w:highlight w:val="none"/>
        </w:rPr>
      </w:pPr>
    </w:p>
    <w:p>
      <w:pPr>
        <w:rPr>
          <w:rFonts w:hint="eastAsia"/>
          <w:b/>
          <w:bCs w:val="0"/>
          <w:color w:val="auto"/>
          <w:sz w:val="30"/>
          <w:highlight w:val="none"/>
        </w:rPr>
      </w:pPr>
      <w:r>
        <w:rPr>
          <w:rFonts w:hint="eastAsia"/>
          <w:b/>
          <w:bCs w:val="0"/>
          <w:color w:val="auto"/>
          <w:sz w:val="30"/>
          <w:highlight w:val="none"/>
        </w:rPr>
        <w:t>项目名称：</w:t>
      </w:r>
      <w:r>
        <w:rPr>
          <w:rFonts w:hint="eastAsia"/>
          <w:b/>
          <w:bCs w:val="0"/>
          <w:color w:val="auto"/>
          <w:sz w:val="30"/>
          <w:highlight w:val="none"/>
        </w:rPr>
        <w:t>广州市净水有限公司竹料分公司磁悬浮鼓风机备件购置项目</w:t>
      </w:r>
    </w:p>
    <w:p>
      <w:pPr>
        <w:rPr>
          <w:rFonts w:hint="eastAsia"/>
          <w:b/>
          <w:bCs w:val="0"/>
          <w:color w:val="auto"/>
          <w:sz w:val="30"/>
          <w:highlight w:val="none"/>
          <w:lang w:val="en-US" w:eastAsia="zh-CN"/>
        </w:rPr>
      </w:pPr>
    </w:p>
    <w:p>
      <w:pPr>
        <w:rPr>
          <w:rFonts w:hint="eastAsia"/>
          <w:b/>
          <w:bCs w:val="0"/>
          <w:color w:val="auto"/>
          <w:sz w:val="30"/>
          <w:highlight w:val="none"/>
          <w:lang w:val="en-US" w:eastAsia="zh-CN"/>
        </w:rPr>
      </w:pPr>
      <w:r>
        <w:rPr>
          <w:rFonts w:hint="eastAsia"/>
          <w:b/>
          <w:bCs w:val="0"/>
          <w:color w:val="auto"/>
          <w:sz w:val="30"/>
          <w:highlight w:val="none"/>
          <w:lang w:val="en-US" w:eastAsia="zh-CN"/>
        </w:rPr>
        <w:t>项目编号：</w:t>
      </w:r>
    </w:p>
    <w:p>
      <w:pPr>
        <w:rPr>
          <w:rFonts w:hint="eastAsia"/>
          <w:b/>
          <w:bCs w:val="0"/>
          <w:color w:val="auto"/>
          <w:sz w:val="30"/>
          <w:highlight w:val="none"/>
          <w:lang w:val="en-US" w:eastAsia="zh-CN"/>
        </w:rPr>
      </w:pPr>
    </w:p>
    <w:p>
      <w:pPr>
        <w:rPr>
          <w:b/>
          <w:bCs w:val="0"/>
          <w:color w:val="auto"/>
          <w:sz w:val="30"/>
          <w:szCs w:val="30"/>
          <w:highlight w:val="none"/>
        </w:rPr>
      </w:pPr>
      <w:r>
        <w:rPr>
          <w:rFonts w:hint="eastAsia"/>
          <w:b/>
          <w:bCs w:val="0"/>
          <w:color w:val="auto"/>
          <w:sz w:val="30"/>
          <w:highlight w:val="none"/>
        </w:rPr>
        <w:t>合同编号：</w:t>
      </w:r>
      <w:r>
        <w:rPr>
          <w:rFonts w:hint="eastAsia" w:ascii="宋体" w:hAnsi="宋体" w:cs="宋体"/>
          <w:b/>
          <w:bCs w:val="0"/>
          <w:color w:val="auto"/>
          <w:sz w:val="30"/>
          <w:szCs w:val="30"/>
          <w:highlight w:val="none"/>
        </w:rPr>
        <w:t>穗净水合</w:t>
      </w:r>
      <w:r>
        <w:rPr>
          <w:rFonts w:ascii="宋体" w:hAnsi="宋体" w:cs="宋体"/>
          <w:b/>
          <w:bCs w:val="0"/>
          <w:color w:val="auto"/>
          <w:sz w:val="30"/>
          <w:szCs w:val="30"/>
          <w:highlight w:val="none"/>
        </w:rPr>
        <w:t xml:space="preserve">[     ]    </w:t>
      </w:r>
      <w:r>
        <w:rPr>
          <w:rFonts w:hint="eastAsia" w:ascii="宋体" w:hAnsi="宋体" w:cs="宋体"/>
          <w:b/>
          <w:bCs w:val="0"/>
          <w:color w:val="auto"/>
          <w:sz w:val="30"/>
          <w:szCs w:val="30"/>
          <w:highlight w:val="none"/>
        </w:rPr>
        <w:t>号</w:t>
      </w:r>
    </w:p>
    <w:p>
      <w:pPr>
        <w:rPr>
          <w:b/>
          <w:bCs w:val="0"/>
          <w:color w:val="auto"/>
          <w:sz w:val="30"/>
          <w:szCs w:val="30"/>
          <w:highlight w:val="none"/>
        </w:rPr>
      </w:pPr>
    </w:p>
    <w:p>
      <w:pPr>
        <w:rPr>
          <w:b/>
          <w:bCs w:val="0"/>
          <w:color w:val="auto"/>
          <w:sz w:val="30"/>
          <w:highlight w:val="none"/>
          <w:u w:val="single"/>
        </w:rPr>
      </w:pPr>
      <w:r>
        <w:rPr>
          <w:rFonts w:hint="eastAsia"/>
          <w:b/>
          <w:bCs w:val="0"/>
          <w:color w:val="auto"/>
          <w:sz w:val="30"/>
          <w:highlight w:val="none"/>
        </w:rPr>
        <w:t>甲方（买方）：</w:t>
      </w:r>
      <w:r>
        <w:rPr>
          <w:rFonts w:hint="eastAsia"/>
          <w:b/>
          <w:bCs w:val="0"/>
          <w:color w:val="auto"/>
          <w:sz w:val="30"/>
          <w:highlight w:val="none"/>
          <w:u w:val="none"/>
        </w:rPr>
        <w:t>广州市净水有限公司</w:t>
      </w:r>
    </w:p>
    <w:p>
      <w:pPr>
        <w:rPr>
          <w:rFonts w:hint="eastAsia"/>
          <w:b/>
          <w:bCs w:val="0"/>
          <w:color w:val="auto"/>
          <w:sz w:val="30"/>
          <w:highlight w:val="none"/>
        </w:rPr>
      </w:pPr>
    </w:p>
    <w:p>
      <w:pPr>
        <w:rPr>
          <w:b/>
          <w:bCs w:val="0"/>
          <w:color w:val="auto"/>
          <w:sz w:val="30"/>
          <w:highlight w:val="none"/>
          <w:u w:val="single"/>
        </w:rPr>
      </w:pPr>
      <w:r>
        <w:rPr>
          <w:rFonts w:hint="eastAsia"/>
          <w:b/>
          <w:bCs w:val="0"/>
          <w:color w:val="auto"/>
          <w:sz w:val="30"/>
          <w:highlight w:val="none"/>
        </w:rPr>
        <w:t>乙方（卖方）：</w:t>
      </w:r>
      <w:r>
        <w:rPr>
          <w:b/>
          <w:bCs w:val="0"/>
          <w:color w:val="auto"/>
          <w:sz w:val="30"/>
          <w:highlight w:val="none"/>
          <w:u w:val="none"/>
        </w:rPr>
        <w:t xml:space="preserve">                  </w:t>
      </w:r>
    </w:p>
    <w:p>
      <w:pPr>
        <w:pStyle w:val="2"/>
        <w:rPr>
          <w:rFonts w:hint="eastAsia"/>
          <w:b/>
          <w:bCs w:val="0"/>
          <w:color w:val="auto"/>
          <w:highlight w:val="none"/>
        </w:rPr>
      </w:pPr>
    </w:p>
    <w:p>
      <w:pPr>
        <w:spacing w:line="500" w:lineRule="exact"/>
        <w:jc w:val="both"/>
        <w:rPr>
          <w:rFonts w:hint="eastAsia"/>
          <w:b/>
          <w:bCs w:val="0"/>
          <w:color w:val="auto"/>
          <w:sz w:val="30"/>
          <w:highlight w:val="none"/>
        </w:rPr>
      </w:pPr>
      <w:r>
        <w:rPr>
          <w:rFonts w:hint="eastAsia" w:ascii="宋体" w:hAnsi="宋体" w:cs="宋体"/>
          <w:b/>
          <w:color w:val="auto"/>
          <w:sz w:val="30"/>
          <w:szCs w:val="30"/>
          <w:highlight w:val="none"/>
        </w:rPr>
        <w:t xml:space="preserve">签订日期：       年   月   日   </w:t>
      </w:r>
    </w:p>
    <w:p>
      <w:pPr>
        <w:spacing w:line="500" w:lineRule="exact"/>
        <w:jc w:val="left"/>
        <w:rPr>
          <w:rFonts w:hint="eastAsia"/>
          <w:b/>
          <w:bCs w:val="0"/>
          <w:color w:val="auto"/>
          <w:sz w:val="30"/>
          <w:highlight w:val="none"/>
        </w:rPr>
      </w:pPr>
    </w:p>
    <w:p>
      <w:pPr>
        <w:spacing w:line="500" w:lineRule="exact"/>
        <w:jc w:val="left"/>
        <w:rPr>
          <w:rFonts w:ascii="宋体" w:hAnsi="宋体" w:eastAsia="宋体" w:cs="宋体"/>
          <w:b/>
          <w:bCs w:val="0"/>
          <w:color w:val="auto"/>
          <w:sz w:val="36"/>
          <w:szCs w:val="36"/>
          <w:highlight w:val="none"/>
          <w:lang w:val="zh-CN" w:eastAsia="zh-CN"/>
        </w:rPr>
      </w:pPr>
      <w:r>
        <w:rPr>
          <w:rFonts w:hint="eastAsia"/>
          <w:b/>
          <w:bCs w:val="0"/>
          <w:color w:val="auto"/>
          <w:sz w:val="30"/>
          <w:highlight w:val="none"/>
        </w:rPr>
        <w:t>签约地点：广州市</w:t>
      </w:r>
    </w:p>
    <w:p>
      <w:pPr>
        <w:spacing w:line="360" w:lineRule="auto"/>
        <w:ind w:firstLine="0" w:firstLineChars="0"/>
        <w:rPr>
          <w:rFonts w:hint="eastAsia"/>
          <w:b/>
          <w:bCs w:val="0"/>
          <w:color w:val="auto"/>
          <w:highlight w:val="none"/>
          <w:lang w:val="en-US" w:eastAsia="zh-CN"/>
        </w:rPr>
      </w:pPr>
      <w:r>
        <w:rPr>
          <w:rFonts w:hint="eastAsia"/>
          <w:b/>
          <w:bCs w:val="0"/>
          <w:color w:val="auto"/>
          <w:highlight w:val="none"/>
          <w:lang w:val="en-US" w:eastAsia="zh-CN"/>
        </w:rPr>
        <w:t xml:space="preserve">    </w:t>
      </w:r>
    </w:p>
    <w:p>
      <w:pPr>
        <w:spacing w:line="360" w:lineRule="auto"/>
        <w:ind w:firstLine="480" w:firstLineChars="200"/>
        <w:rPr>
          <w:rFonts w:hint="eastAsia" w:ascii="宋体" w:hAnsi="宋体" w:cs="宋体"/>
          <w:b/>
          <w:bCs w:val="0"/>
          <w:color w:val="auto"/>
          <w:sz w:val="24"/>
          <w:szCs w:val="24"/>
          <w:highlight w:val="none"/>
        </w:rPr>
      </w:pPr>
    </w:p>
    <w:p>
      <w:pPr>
        <w:jc w:val="center"/>
        <w:rPr>
          <w:rFonts w:hint="eastAsia" w:ascii="宋体" w:hAnsi="宋体" w:cs="宋体"/>
          <w:b/>
          <w:bCs/>
          <w:color w:val="auto"/>
          <w:sz w:val="24"/>
          <w:szCs w:val="24"/>
          <w:highlight w:val="none"/>
          <w:lang w:val="zh-CN"/>
        </w:rPr>
      </w:pPr>
    </w:p>
    <w:p>
      <w:pPr>
        <w:jc w:val="center"/>
        <w:rPr>
          <w:rFonts w:hint="eastAsia" w:ascii="宋体" w:hAnsi="宋体" w:cs="宋体"/>
          <w:b/>
          <w:bCs/>
          <w:color w:val="auto"/>
          <w:sz w:val="24"/>
          <w:szCs w:val="24"/>
          <w:highlight w:val="none"/>
          <w:lang w:val="zh-CN"/>
        </w:rPr>
      </w:pPr>
    </w:p>
    <w:p>
      <w:pPr>
        <w:jc w:val="center"/>
        <w:rPr>
          <w:rFonts w:hint="eastAsia" w:ascii="宋体" w:hAnsi="宋体" w:cs="宋体"/>
          <w:b/>
          <w:bCs/>
          <w:color w:val="auto"/>
          <w:sz w:val="24"/>
          <w:szCs w:val="24"/>
          <w:highlight w:val="none"/>
          <w:lang w:val="zh-CN"/>
        </w:rPr>
      </w:pPr>
    </w:p>
    <w:p>
      <w:pPr>
        <w:jc w:val="center"/>
        <w:rPr>
          <w:rFonts w:hint="eastAsia" w:ascii="宋体" w:hAnsi="宋体" w:cs="宋体"/>
          <w:b/>
          <w:bCs/>
          <w:color w:val="auto"/>
          <w:sz w:val="24"/>
          <w:szCs w:val="24"/>
          <w:highlight w:val="none"/>
          <w:lang w:val="zh-CN"/>
        </w:rPr>
      </w:pPr>
    </w:p>
    <w:p>
      <w:pPr>
        <w:spacing w:line="360" w:lineRule="auto"/>
        <w:rPr>
          <w:color w:val="auto"/>
          <w:highlight w:val="none"/>
        </w:rPr>
        <w:sectPr>
          <w:footerReference r:id="rId9" w:type="default"/>
          <w:headerReference r:id="rId8" w:type="even"/>
          <w:footerReference r:id="rId10" w:type="even"/>
          <w:pgSz w:w="11907" w:h="16840"/>
          <w:pgMar w:top="1440" w:right="1746" w:bottom="1440" w:left="1746" w:header="851" w:footer="992" w:gutter="0"/>
          <w:cols w:space="0" w:num="1"/>
          <w:docGrid w:type="linesAndChars" w:linePitch="381" w:charSpace="0"/>
        </w:sectPr>
      </w:pPr>
    </w:p>
    <w:p>
      <w:pPr>
        <w:spacing w:line="360" w:lineRule="auto"/>
        <w:rPr>
          <w:rFonts w:hint="eastAsia" w:ascii="宋体" w:hAnsi="宋体" w:cs="宋体"/>
          <w:b/>
          <w:bCs w:val="0"/>
          <w:color w:val="auto"/>
          <w:sz w:val="24"/>
          <w:szCs w:val="24"/>
          <w:highlight w:val="none"/>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w:t>
      </w:r>
      <w:r>
        <w:rPr>
          <w:rFonts w:hint="eastAsia" w:ascii="宋体" w:hAnsi="宋体" w:eastAsia="宋体" w:cs="宋体"/>
          <w:color w:val="auto"/>
          <w:sz w:val="28"/>
          <w:szCs w:val="28"/>
          <w:highlight w:val="none"/>
          <w:u w:val="single"/>
        </w:rPr>
        <w:t>广州市净水有限公司</w:t>
      </w:r>
      <w:r>
        <w:rPr>
          <w:rFonts w:hint="eastAsia" w:ascii="宋体" w:hAnsi="宋体" w:eastAsia="宋体" w:cs="宋体"/>
          <w:color w:val="auto"/>
          <w:sz w:val="28"/>
          <w:szCs w:val="28"/>
          <w:highlight w:val="none"/>
        </w:rPr>
        <w:t xml:space="preserve"> （以下简称“甲方”）与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（以下简称“乙方”）就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广州市净水有限公司竹料分公司磁悬浮鼓风机备件购置项目</w:t>
      </w:r>
      <w:r>
        <w:rPr>
          <w:rFonts w:hint="eastAsia" w:ascii="宋体" w:hAnsi="宋体" w:eastAsia="宋体" w:cs="宋体"/>
          <w:color w:val="auto"/>
          <w:sz w:val="28"/>
          <w:szCs w:val="28"/>
          <w:highlight w:val="none"/>
          <w:u w:val="single"/>
        </w:rPr>
        <w:t>采购</w:t>
      </w:r>
      <w:r>
        <w:rPr>
          <w:rFonts w:hint="eastAsia" w:ascii="宋体" w:hAnsi="宋体" w:eastAsia="宋体" w:cs="宋体"/>
          <w:color w:val="auto"/>
          <w:sz w:val="28"/>
          <w:szCs w:val="28"/>
          <w:highlight w:val="none"/>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⑴ </w:t>
      </w:r>
      <w:r>
        <w:rPr>
          <w:rFonts w:hint="eastAsia" w:ascii="宋体" w:hAnsi="宋体" w:eastAsia="宋体" w:cs="宋体"/>
          <w:color w:val="auto"/>
          <w:sz w:val="28"/>
          <w:szCs w:val="28"/>
          <w:highlight w:val="none"/>
        </w:rPr>
        <w:t>在本合同实施过程双方签署的补充与修正文件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⑵ 本合同书</w:t>
      </w:r>
      <w:r>
        <w:rPr>
          <w:rFonts w:hint="eastAsia" w:ascii="宋体" w:hAnsi="宋体" w:cs="宋体"/>
          <w:bCs/>
          <w:color w:val="auto"/>
          <w:sz w:val="28"/>
          <w:szCs w:val="28"/>
          <w:highlight w:val="none"/>
          <w:lang w:val="en-US" w:eastAsia="zh-CN"/>
        </w:rPr>
        <w:t>及附件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⑶ 中标通知书/发包通知书/</w:t>
      </w:r>
      <w:r>
        <w:rPr>
          <w:rFonts w:hint="eastAsia" w:ascii="宋体" w:hAnsi="宋体" w:eastAsia="宋体" w:cs="宋体"/>
          <w:bCs/>
          <w:color w:val="auto"/>
          <w:sz w:val="28"/>
          <w:szCs w:val="28"/>
          <w:highlight w:val="none"/>
          <w:lang w:val="en-US" w:eastAsia="zh-CN"/>
        </w:rPr>
        <w:t>成交通知书</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⑻ 工程量清单/</w:t>
      </w:r>
      <w:r>
        <w:rPr>
          <w:rFonts w:hint="eastAsia" w:ascii="宋体" w:hAnsi="宋体" w:eastAsia="宋体" w:cs="宋体"/>
          <w:color w:val="auto"/>
          <w:sz w:val="28"/>
          <w:szCs w:val="28"/>
          <w:highlight w:val="none"/>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第二条 </w:t>
      </w:r>
      <w:r>
        <w:rPr>
          <w:rFonts w:hint="eastAsia" w:ascii="宋体" w:hAnsi="宋体" w:eastAsia="宋体" w:cs="宋体"/>
          <w:b/>
          <w:color w:val="auto"/>
          <w:sz w:val="28"/>
          <w:szCs w:val="28"/>
          <w:highlight w:val="none"/>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本合同所指</w:t>
      </w:r>
      <w:r>
        <w:rPr>
          <w:rFonts w:hint="eastAsia" w:ascii="宋体" w:hAnsi="宋体" w:eastAsia="宋体" w:cs="宋体"/>
          <w:color w:val="auto"/>
          <w:kern w:val="0"/>
          <w:sz w:val="28"/>
          <w:szCs w:val="28"/>
          <w:highlight w:val="none"/>
          <w:lang w:val="en-US" w:eastAsia="zh-CN"/>
        </w:rPr>
        <w:t>货物</w:t>
      </w:r>
      <w:r>
        <w:rPr>
          <w:rFonts w:hint="eastAsia" w:ascii="宋体" w:hAnsi="宋体" w:eastAsia="宋体" w:cs="宋体"/>
          <w:color w:val="auto"/>
          <w:kern w:val="0"/>
          <w:sz w:val="28"/>
          <w:szCs w:val="28"/>
          <w:highlight w:val="none"/>
          <w:lang w:val="zh-CN"/>
        </w:rPr>
        <w:t>为</w:t>
      </w:r>
      <w:r>
        <w:rPr>
          <w:rFonts w:hint="eastAsia" w:ascii="宋体" w:hAnsi="宋体" w:eastAsia="宋体" w:cs="宋体"/>
          <w:color w:val="auto"/>
          <w:kern w:val="0"/>
          <w:sz w:val="28"/>
          <w:szCs w:val="28"/>
          <w:highlight w:val="none"/>
          <w:u w:val="single"/>
          <w:lang w:val="zh-CN"/>
        </w:rPr>
        <w:t>备件</w:t>
      </w:r>
      <w:r>
        <w:rPr>
          <w:rFonts w:hint="eastAsia" w:ascii="宋体" w:hAnsi="宋体" w:eastAsia="宋体" w:cs="宋体"/>
          <w:color w:val="auto"/>
          <w:kern w:val="0"/>
          <w:sz w:val="28"/>
          <w:szCs w:val="28"/>
          <w:highlight w:val="none"/>
          <w:lang w:val="zh-CN"/>
        </w:rPr>
        <w:t>全新的原装产品，</w:t>
      </w:r>
      <w:r>
        <w:rPr>
          <w:rFonts w:hint="eastAsia" w:ascii="宋体" w:hAnsi="宋体" w:eastAsia="宋体" w:cs="宋体"/>
          <w:color w:val="auto"/>
          <w:kern w:val="0"/>
          <w:sz w:val="28"/>
          <w:szCs w:val="28"/>
          <w:highlight w:val="none"/>
        </w:rPr>
        <w:t>其</w:t>
      </w:r>
      <w:r>
        <w:rPr>
          <w:rFonts w:hint="eastAsia" w:ascii="宋体" w:hAnsi="宋体" w:eastAsia="宋体" w:cs="宋体"/>
          <w:color w:val="auto"/>
          <w:kern w:val="0"/>
          <w:sz w:val="28"/>
          <w:szCs w:val="28"/>
          <w:highlight w:val="none"/>
          <w:lang w:val="zh-CN"/>
        </w:rPr>
        <w:t>名称、型号、规格、数量、</w:t>
      </w:r>
      <w:r>
        <w:rPr>
          <w:rFonts w:hint="eastAsia" w:ascii="宋体" w:hAnsi="宋体" w:eastAsia="宋体" w:cs="宋体"/>
          <w:color w:val="auto"/>
          <w:kern w:val="0"/>
          <w:sz w:val="28"/>
          <w:szCs w:val="28"/>
          <w:highlight w:val="none"/>
          <w:lang w:val="en-US" w:eastAsia="zh-CN"/>
        </w:rPr>
        <w:t>品牌</w:t>
      </w:r>
      <w:r>
        <w:rPr>
          <w:rFonts w:hint="eastAsia" w:ascii="宋体" w:hAnsi="宋体" w:eastAsia="宋体" w:cs="宋体"/>
          <w:color w:val="auto"/>
          <w:kern w:val="0"/>
          <w:sz w:val="28"/>
          <w:szCs w:val="28"/>
          <w:highlight w:val="none"/>
          <w:lang w:val="zh-CN"/>
        </w:rPr>
        <w:t>详见</w:t>
      </w:r>
      <w:r>
        <w:rPr>
          <w:rFonts w:hint="eastAsia" w:ascii="宋体" w:hAnsi="宋体" w:eastAsia="宋体" w:cs="宋体"/>
          <w:color w:val="auto"/>
          <w:kern w:val="0"/>
          <w:sz w:val="28"/>
          <w:szCs w:val="28"/>
          <w:highlight w:val="none"/>
          <w:lang w:val="en-US" w:eastAsia="zh-CN"/>
        </w:rPr>
        <w:t>附件报价清单。</w:t>
      </w:r>
      <w:bookmarkStart w:id="85" w:name="_Toc17140"/>
      <w:bookmarkStart w:id="86" w:name="_Toc474245211"/>
      <w:bookmarkStart w:id="87" w:name="_Toc518992987"/>
      <w:bookmarkStart w:id="88" w:name="_Toc520190027"/>
    </w:p>
    <w:bookmarkEnd w:id="85"/>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auto"/>
          <w:sz w:val="28"/>
          <w:szCs w:val="28"/>
          <w:highlight w:val="none"/>
        </w:rPr>
      </w:pPr>
      <w:bookmarkStart w:id="89" w:name="_Toc107446842"/>
      <w:bookmarkStart w:id="90" w:name="_Toc107447235"/>
      <w:bookmarkStart w:id="91" w:name="_Toc26357"/>
      <w:bookmarkStart w:id="92" w:name="_Toc183666514"/>
      <w:r>
        <w:rPr>
          <w:rFonts w:hint="eastAsia" w:ascii="宋体" w:hAnsi="宋体" w:eastAsia="宋体" w:cs="宋体"/>
          <w:b/>
          <w:color w:val="auto"/>
          <w:sz w:val="28"/>
          <w:szCs w:val="28"/>
          <w:highlight w:val="none"/>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交货日期：</w:t>
      </w:r>
      <w:r>
        <w:rPr>
          <w:rFonts w:hint="eastAsia" w:ascii="宋体" w:hAnsi="宋体" w:eastAsia="宋体" w:cs="宋体"/>
          <w:color w:val="auto"/>
          <w:sz w:val="28"/>
          <w:szCs w:val="28"/>
          <w:highlight w:val="none"/>
          <w:u w:val="single"/>
          <w:lang w:eastAsia="zh-CN"/>
        </w:rPr>
        <w:t>…</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3.2交货地点：</w:t>
      </w:r>
      <w:r>
        <w:rPr>
          <w:rFonts w:hint="eastAsia" w:ascii="宋体" w:hAnsi="宋体" w:eastAsia="宋体" w:cs="宋体"/>
          <w:bCs/>
          <w:color w:val="auto"/>
          <w:sz w:val="28"/>
          <w:szCs w:val="28"/>
          <w:highlight w:val="none"/>
          <w:u w:val="single"/>
          <w:lang w:val="en-US" w:eastAsia="zh-CN"/>
        </w:rPr>
        <w:t>广州市净水有限公司竹料分公司</w:t>
      </w:r>
      <w:r>
        <w:rPr>
          <w:rFonts w:hint="eastAsia" w:ascii="宋体" w:hAnsi="宋体" w:eastAsia="宋体" w:cs="宋体"/>
          <w:bCs/>
          <w:color w:val="auto"/>
          <w:sz w:val="28"/>
          <w:szCs w:val="28"/>
          <w:highlight w:val="none"/>
          <w:u w:val="none"/>
          <w:lang w:val="en-US" w:eastAsia="zh-CN"/>
        </w:rPr>
        <w:t>，</w:t>
      </w:r>
      <w:r>
        <w:rPr>
          <w:rFonts w:hint="eastAsia" w:ascii="宋体" w:hAnsi="宋体" w:eastAsia="宋体" w:cs="宋体"/>
          <w:bCs/>
          <w:color w:val="auto"/>
          <w:sz w:val="28"/>
          <w:szCs w:val="28"/>
          <w:highlight w:val="none"/>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 w:val="28"/>
          <w:szCs w:val="28"/>
          <w:highlight w:val="none"/>
        </w:rPr>
        <w:t>3.3 其他：</w:t>
      </w:r>
      <w:r>
        <w:rPr>
          <w:rFonts w:hint="eastAsia" w:ascii="宋体" w:hAnsi="宋体" w:eastAsia="宋体" w:cs="宋体"/>
          <w:bCs/>
          <w:color w:val="auto"/>
          <w:sz w:val="28"/>
          <w:szCs w:val="28"/>
          <w:highlight w:val="none"/>
          <w:u w:val="single"/>
          <w:lang w:val="en-US" w:eastAsia="zh-CN"/>
        </w:rPr>
        <w:t xml:space="preserve"> …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b/>
          <w:color w:val="auto"/>
          <w:sz w:val="28"/>
          <w:szCs w:val="28"/>
          <w:highlight w:val="none"/>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kern w:val="0"/>
          <w:sz w:val="28"/>
          <w:szCs w:val="28"/>
          <w:highlight w:val="none"/>
          <w:lang w:val="zh-CN"/>
        </w:rPr>
        <w:t>本合同</w:t>
      </w:r>
      <w:r>
        <w:rPr>
          <w:rFonts w:hint="eastAsia" w:ascii="宋体" w:hAnsi="宋体" w:eastAsia="宋体" w:cs="宋体"/>
          <w:color w:val="auto"/>
          <w:kern w:val="0"/>
          <w:sz w:val="28"/>
          <w:szCs w:val="28"/>
          <w:highlight w:val="none"/>
        </w:rPr>
        <w:t>暂定</w:t>
      </w:r>
      <w:r>
        <w:rPr>
          <w:rFonts w:hint="eastAsia" w:ascii="宋体" w:hAnsi="宋体" w:eastAsia="宋体" w:cs="宋体"/>
          <w:color w:val="auto"/>
          <w:kern w:val="0"/>
          <w:sz w:val="28"/>
          <w:szCs w:val="28"/>
          <w:highlight w:val="none"/>
          <w:lang w:val="zh-CN"/>
        </w:rPr>
        <w:t>总价为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万元，（人民币）大写：</w:t>
      </w:r>
      <w:r>
        <w:rPr>
          <w:rFonts w:hint="eastAsia" w:ascii="宋体" w:hAnsi="宋体" w:eastAsia="宋体" w:cs="宋体"/>
          <w:color w:val="auto"/>
          <w:kern w:val="0"/>
          <w:sz w:val="28"/>
          <w:szCs w:val="28"/>
          <w:highlight w:val="none"/>
          <w:u w:val="single"/>
          <w:lang w:val="en-US" w:eastAsia="zh-CN"/>
        </w:rPr>
        <w:t xml:space="preserve"> …  </w:t>
      </w:r>
      <w:r>
        <w:rPr>
          <w:rFonts w:hint="eastAsia" w:ascii="宋体" w:hAnsi="宋体" w:eastAsia="宋体" w:cs="宋体"/>
          <w:color w:val="auto"/>
          <w:kern w:val="0"/>
          <w:sz w:val="28"/>
          <w:szCs w:val="28"/>
          <w:highlight w:val="none"/>
          <w:lang w:val="zh-CN"/>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.2</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auto"/>
          <w:kern w:val="0"/>
          <w:sz w:val="28"/>
          <w:szCs w:val="28"/>
          <w:highlight w:val="none"/>
          <w:u w:val="single"/>
          <w:lang w:val="zh-CN"/>
        </w:rPr>
        <w:t>安装调试运行</w:t>
      </w:r>
      <w:r>
        <w:rPr>
          <w:rFonts w:hint="eastAsia" w:ascii="宋体" w:hAnsi="宋体" w:eastAsia="宋体" w:cs="宋体"/>
          <w:color w:val="auto"/>
          <w:kern w:val="0"/>
          <w:sz w:val="28"/>
          <w:szCs w:val="28"/>
          <w:highlight w:val="none"/>
          <w:u w:val="none"/>
          <w:lang w:val="zh-CN"/>
        </w:rPr>
        <w:t>（</w:t>
      </w:r>
      <w:r>
        <w:rPr>
          <w:rFonts w:hint="eastAsia" w:ascii="宋体" w:hAnsi="宋体" w:eastAsia="宋体" w:cs="宋体"/>
          <w:color w:val="auto"/>
          <w:kern w:val="0"/>
          <w:sz w:val="28"/>
          <w:szCs w:val="28"/>
          <w:highlight w:val="none"/>
          <w:lang w:val="zh-CN"/>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rPr>
        <w:t xml:space="preserve"> 本合同约定的价格为含税价价格</w:t>
      </w:r>
      <w:r>
        <w:rPr>
          <w:rFonts w:hint="eastAsia" w:ascii="宋体" w:hAnsi="宋体" w:eastAsia="宋体" w:cs="宋体"/>
          <w:color w:val="auto"/>
          <w:sz w:val="28"/>
          <w:szCs w:val="28"/>
          <w:highlight w:val="none"/>
        </w:rPr>
        <w:t>（税率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13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预付款的支付：</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sym w:font="Wingdings 2" w:char="00A3"/>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合同签订后，乙方开具等额的增值税专用发票</w:t>
      </w:r>
      <w:r>
        <w:rPr>
          <w:rFonts w:hint="eastAsia" w:ascii="宋体" w:hAnsi="宋体" w:eastAsia="宋体" w:cs="宋体"/>
          <w:bCs/>
          <w:color w:val="auto"/>
          <w:sz w:val="28"/>
          <w:szCs w:val="28"/>
          <w:highlight w:val="none"/>
          <w:u w:val="single"/>
        </w:rPr>
        <w:t>及</w:t>
      </w:r>
      <w:r>
        <w:rPr>
          <w:rFonts w:hint="eastAsia" w:ascii="宋体" w:hAnsi="宋体" w:eastAsia="宋体" w:cs="宋体"/>
          <w:bCs/>
          <w:color w:val="auto"/>
          <w:sz w:val="28"/>
          <w:szCs w:val="28"/>
          <w:highlight w:val="none"/>
          <w:u w:val="single"/>
          <w:lang w:eastAsia="zh-CN"/>
        </w:rPr>
        <w:t>提交预付款担保</w:t>
      </w:r>
      <w:r>
        <w:rPr>
          <w:rFonts w:hint="eastAsia" w:ascii="宋体" w:hAnsi="宋体" w:eastAsia="宋体" w:cs="宋体"/>
          <w:bCs/>
          <w:color w:val="auto"/>
          <w:sz w:val="28"/>
          <w:szCs w:val="28"/>
          <w:highlight w:val="none"/>
          <w:u w:val="single"/>
          <w:lang w:val="en-US" w:eastAsia="zh-CN"/>
        </w:rPr>
        <w:t>/履约担保（如需）</w:t>
      </w:r>
      <w:r>
        <w:rPr>
          <w:rFonts w:hint="eastAsia" w:ascii="宋体" w:hAnsi="宋体" w:eastAsia="宋体" w:cs="宋体"/>
          <w:bCs/>
          <w:color w:val="auto"/>
          <w:sz w:val="28"/>
          <w:szCs w:val="28"/>
          <w:highlight w:val="none"/>
        </w:rPr>
        <w:t>后</w:t>
      </w:r>
      <w:r>
        <w:rPr>
          <w:rFonts w:hint="eastAsia" w:ascii="宋体" w:hAnsi="宋体" w:eastAsia="宋体" w:cs="宋体"/>
          <w:bCs/>
          <w:color w:val="auto"/>
          <w:sz w:val="28"/>
          <w:szCs w:val="28"/>
          <w:highlight w:val="none"/>
          <w:u w:val="single"/>
        </w:rPr>
        <w:t>10</w:t>
      </w:r>
      <w:r>
        <w:rPr>
          <w:rFonts w:hint="eastAsia" w:ascii="宋体" w:hAnsi="宋体" w:eastAsia="宋体" w:cs="宋体"/>
          <w:bCs/>
          <w:color w:val="auto"/>
          <w:sz w:val="28"/>
          <w:szCs w:val="28"/>
          <w:highlight w:val="none"/>
        </w:rPr>
        <w:t>个工作日内，</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bCs/>
          <w:color w:val="auto"/>
          <w:sz w:val="28"/>
          <w:szCs w:val="28"/>
          <w:highlight w:val="none"/>
        </w:rPr>
        <w:t xml:space="preserve">支付合同暂定总价的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w:t>
      </w: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元，（大写：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u w:val="single"/>
          <w:lang w:eastAsia="zh-CN"/>
        </w:rPr>
        <w:t>（合并项目需补充各项目支付比例及金额）</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若合同解除或终止，乙方在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个工作日内返还预付款（无息）。</w:t>
      </w:r>
      <w:r>
        <w:rPr>
          <w:rFonts w:hint="eastAsia" w:ascii="宋体" w:hAnsi="宋体" w:eastAsia="宋体" w:cs="宋体"/>
          <w:bCs/>
          <w:color w:val="auto"/>
          <w:kern w:val="0"/>
          <w:sz w:val="28"/>
          <w:szCs w:val="28"/>
          <w:highlight w:val="none"/>
        </w:rPr>
        <w:t>逾期未返还，每逾期一天，乙方应按合同暂定总价的</w:t>
      </w:r>
      <w:r>
        <w:rPr>
          <w:rFonts w:hint="eastAsia" w:ascii="宋体" w:hAnsi="宋体" w:eastAsia="宋体" w:cs="宋体"/>
          <w:bCs/>
          <w:color w:val="auto"/>
          <w:kern w:val="0"/>
          <w:sz w:val="28"/>
          <w:szCs w:val="28"/>
          <w:highlight w:val="none"/>
          <w:u w:val="single"/>
        </w:rPr>
        <w:t>万分之五/天</w:t>
      </w:r>
      <w:r>
        <w:rPr>
          <w:rFonts w:hint="eastAsia" w:ascii="宋体" w:hAnsi="宋体" w:eastAsia="宋体" w:cs="宋体"/>
          <w:bCs/>
          <w:color w:val="auto"/>
          <w:kern w:val="0"/>
          <w:sz w:val="28"/>
          <w:szCs w:val="28"/>
          <w:highlight w:val="none"/>
        </w:rPr>
        <w:t>支付违约金</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5.2.1乙方按时交付合同货物后，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。当预付款不足抵扣时，</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在该部分设备经检验合格及收到等额的增值税专用发票后</w:t>
      </w:r>
      <w:r>
        <w:rPr>
          <w:rFonts w:hint="eastAsia" w:ascii="宋体" w:hAnsi="宋体" w:eastAsia="宋体" w:cs="宋体"/>
          <w:color w:val="auto"/>
          <w:sz w:val="28"/>
          <w:szCs w:val="28"/>
          <w:highlight w:val="none"/>
          <w:u w:val="single"/>
        </w:rPr>
        <w:t> 28 </w:t>
      </w:r>
      <w:r>
        <w:rPr>
          <w:rFonts w:hint="eastAsia" w:ascii="宋体" w:hAnsi="宋体" w:eastAsia="宋体" w:cs="宋体"/>
          <w:color w:val="auto"/>
          <w:sz w:val="28"/>
          <w:szCs w:val="28"/>
          <w:highlight w:val="none"/>
        </w:rPr>
        <w:t>日内向乙方支付至该批次设备合同价格的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5.2.2乙方按合同约定交付全部合同设备后，经甲方结算审核后，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收到等额的增值税专用发票后</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个工作日内，支付至合同结算</w:t>
      </w:r>
      <w:r>
        <w:rPr>
          <w:rFonts w:hint="eastAsia" w:ascii="宋体" w:hAnsi="宋体" w:cs="宋体"/>
          <w:color w:val="auto"/>
          <w:sz w:val="28"/>
          <w:szCs w:val="28"/>
          <w:highlight w:val="none"/>
          <w:lang w:val="en-US" w:eastAsia="zh-CN"/>
        </w:rPr>
        <w:t>审定</w:t>
      </w:r>
      <w:r>
        <w:rPr>
          <w:rFonts w:hint="eastAsia" w:ascii="宋体" w:hAnsi="宋体" w:eastAsia="宋体" w:cs="宋体"/>
          <w:color w:val="auto"/>
          <w:sz w:val="28"/>
          <w:szCs w:val="28"/>
          <w:highlight w:val="none"/>
        </w:rPr>
        <w:t>价的95%（含预付款）（若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审核价低于合同暂定总价，则以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审核价作为合同结算价，否则以合同暂定总价为合同结算价），合同结算价的5%作为质保金留存。</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5.2.3质保期按合同规定执行，质保期满且乙方不存在违约情形，乙方提交请款资料及等额增值税专用发票，甲方审核无误后在</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乙方收款账户：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税号：</w:t>
      </w:r>
      <w:r>
        <w:rPr>
          <w:rFonts w:hint="eastAsia" w:ascii="宋体" w:hAnsi="宋体" w:eastAsia="宋体" w:cs="宋体"/>
          <w:color w:val="auto"/>
          <w:sz w:val="28"/>
          <w:szCs w:val="28"/>
          <w:highlight w:val="none"/>
          <w:u w:val="single"/>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地址及电话：</w:t>
      </w:r>
      <w:r>
        <w:rPr>
          <w:rFonts w:hint="eastAsia" w:ascii="宋体" w:hAnsi="宋体" w:eastAsia="宋体" w:cs="宋体"/>
          <w:color w:val="auto"/>
          <w:sz w:val="28"/>
          <w:szCs w:val="28"/>
          <w:highlight w:val="none"/>
          <w:u w:val="single"/>
        </w:rPr>
        <w:t>广州市天河区临江大道501号 020-38890283</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开户行/账号：</w:t>
      </w:r>
      <w:r>
        <w:rPr>
          <w:rFonts w:hint="eastAsia" w:ascii="宋体" w:hAnsi="宋体" w:eastAsia="宋体" w:cs="宋体"/>
          <w:color w:val="auto"/>
          <w:sz w:val="28"/>
          <w:szCs w:val="28"/>
          <w:highlight w:val="none"/>
          <w:u w:val="single"/>
        </w:rPr>
        <w:t>民生银行广州分行0301014140006932</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5.3付款方式：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网银支付；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支票；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其他：       </w:t>
      </w:r>
    </w:p>
    <w:p>
      <w:pPr>
        <w:keepNext w:val="0"/>
        <w:keepLines w:val="0"/>
        <w:pageBreakBefore w:val="0"/>
        <w:numPr>
          <w:ilvl w:val="0"/>
          <w:numId w:val="7"/>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履约担保</w:t>
      </w:r>
      <w:r>
        <w:rPr>
          <w:rFonts w:hint="eastAsia" w:ascii="宋体" w:hAnsi="宋体" w:cs="宋体"/>
          <w:b/>
          <w:color w:val="auto"/>
          <w:sz w:val="28"/>
          <w:szCs w:val="28"/>
          <w:highlight w:val="none"/>
          <w:lang w:val="en-US" w:eastAsia="zh-CN"/>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w:char="00FE"/>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sym w:font="Wingdings" w:char="00A8"/>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rPr>
        <w:t>本合同签订后10日内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（大写人民币：</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6.2履约担保按以下任一种形式提供：</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1、符合甲方要求（详见附件保函格式）的银行独立保函，</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rPr>
        <w:t>延长担保期限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2"/>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6.7</w:t>
      </w:r>
      <w:r>
        <w:rPr>
          <w:rFonts w:hint="eastAsia" w:ascii="宋体" w:hAnsi="宋体" w:eastAsia="宋体" w:cs="宋体"/>
          <w:color w:val="auto"/>
          <w:sz w:val="28"/>
          <w:szCs w:val="28"/>
          <w:highlight w:val="none"/>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甲方按合同约定提取履约担保金额后，乙方应在收到甲方通知后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天内补足数额，逾期未补足，则甲方有权提取履约担保的全部余额并解除合同。</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6.9.1预付款保函的担保金额应与预付款金额相同。预付款保函的担保金额可根据完成的工作量的金额相应递减。</w:t>
      </w:r>
    </w:p>
    <w:p>
      <w:pPr>
        <w:pStyle w:val="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6.9.2预付款保函应与甲方确认相应完成的工作量后</w:t>
      </w:r>
      <w:r>
        <w:rPr>
          <w:rFonts w:hint="eastAsia" w:ascii="宋体" w:hAnsi="宋体" w:eastAsia="宋体" w:cs="宋体"/>
          <w:color w:val="auto"/>
          <w:sz w:val="28"/>
          <w:szCs w:val="28"/>
          <w:highlight w:val="none"/>
          <w:u w:val="single"/>
          <w:lang w:val="en-US" w:eastAsia="zh-CN"/>
        </w:rPr>
        <w:t>14天</w:t>
      </w:r>
      <w:r>
        <w:rPr>
          <w:rFonts w:hint="eastAsia" w:ascii="宋体" w:hAnsi="宋体" w:eastAsia="宋体" w:cs="宋体"/>
          <w:color w:val="auto"/>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 xml:space="preserve">第七条 </w:t>
      </w:r>
      <w:r>
        <w:rPr>
          <w:rFonts w:hint="eastAsia" w:ascii="宋体" w:hAnsi="宋体" w:eastAsia="宋体" w:cs="宋体"/>
          <w:b/>
          <w:color w:val="auto"/>
          <w:sz w:val="28"/>
          <w:szCs w:val="28"/>
          <w:highlight w:val="none"/>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7.1 交货要求：乙方应在交货时向甲方提供出厂合格证、</w:t>
      </w:r>
      <w:r>
        <w:rPr>
          <w:rFonts w:hint="eastAsia" w:ascii="宋体" w:hAnsi="宋体" w:eastAsia="宋体" w:cs="宋体"/>
          <w:bCs/>
          <w:color w:val="auto"/>
          <w:sz w:val="28"/>
          <w:szCs w:val="28"/>
          <w:highlight w:val="none"/>
          <w:u w:val="single"/>
          <w:lang w:val="en-US" w:eastAsia="zh-CN"/>
        </w:rPr>
        <w:t>厂家品牌授权（如需）</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产品质量证明文件、操作维修手册等（手册应包含</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7.2外观验收：</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运抵交货地点后，甲乙双方根据合同约定对合同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的包装、外观与件数进行清点检查，并共同签署合同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7.3 开箱验收：开箱检验在合同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交付地点进行，</w:t>
      </w:r>
      <w:r>
        <w:rPr>
          <w:rFonts w:hint="eastAsia" w:ascii="宋体" w:hAnsi="宋体" w:eastAsia="宋体" w:cs="宋体"/>
          <w:color w:val="auto"/>
          <w:sz w:val="28"/>
          <w:szCs w:val="28"/>
          <w:highlight w:val="none"/>
        </w:rPr>
        <w:t>包括但不限于对合同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数量、规格、外观完好性进行检验。经验收合格后，甲方签发开箱检验合格证明。开箱验收合格前，</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7.4如双方对合同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7.5对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外观检查与开箱检查发现的问题，如数量、规格、外表质量等与合同约定不符，</w:t>
      </w:r>
      <w:r>
        <w:rPr>
          <w:rFonts w:hint="eastAsia" w:ascii="宋体" w:hAnsi="宋体" w:eastAsia="宋体" w:cs="宋体"/>
          <w:color w:val="auto"/>
          <w:sz w:val="28"/>
          <w:szCs w:val="28"/>
          <w:highlight w:val="none"/>
          <w:lang w:eastAsia="zh-CN"/>
        </w:rPr>
        <w:t>货物或部件</w:t>
      </w:r>
      <w:r>
        <w:rPr>
          <w:rFonts w:hint="eastAsia" w:ascii="宋体" w:hAnsi="宋体" w:eastAsia="宋体" w:cs="宋体"/>
          <w:color w:val="auto"/>
          <w:sz w:val="28"/>
          <w:szCs w:val="28"/>
          <w:highlight w:val="none"/>
        </w:rPr>
        <w:t>因包装、运输、装卸问题造成的任何损坏、丢失，装箱文件短缺等，乙方应在不影响甲方生产运营的前提下，在甲方规定期限内消除合同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中存在的缺陷，用合格的新</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更换有缺陷的</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、退货或补发，并自行承担费用。甲方有权在</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缺陷消除或</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7.6 甲方有权对合同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进行原厂正品验证，若合同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无法获原厂验证，甲方有权退回</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，要求乙方在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个工作日内退回已支付款项并按</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价格的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支付违约金。</w:t>
      </w:r>
    </w:p>
    <w:bookmarkEnd w:id="86"/>
    <w:bookmarkEnd w:id="87"/>
    <w:bookmarkEnd w:id="88"/>
    <w:bookmarkEnd w:id="89"/>
    <w:bookmarkEnd w:id="90"/>
    <w:bookmarkEnd w:id="91"/>
    <w:bookmarkEnd w:id="92"/>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auto"/>
          <w:sz w:val="28"/>
          <w:szCs w:val="28"/>
          <w:highlight w:val="none"/>
        </w:rPr>
      </w:pPr>
      <w:bookmarkStart w:id="93" w:name="_Toc518992990"/>
      <w:bookmarkStart w:id="94" w:name="_Toc520190030"/>
      <w:bookmarkStart w:id="95" w:name="_Toc474245215"/>
      <w:r>
        <w:rPr>
          <w:rFonts w:hint="eastAsia" w:ascii="宋体" w:hAnsi="宋体" w:eastAsia="宋体" w:cs="宋体"/>
          <w:b/>
          <w:color w:val="auto"/>
          <w:sz w:val="28"/>
          <w:szCs w:val="28"/>
          <w:highlight w:val="none"/>
        </w:rPr>
        <w:t>第八条 包装</w:t>
      </w:r>
      <w:bookmarkEnd w:id="93"/>
      <w:bookmarkEnd w:id="94"/>
      <w:bookmarkEnd w:id="95"/>
      <w:r>
        <w:rPr>
          <w:rFonts w:hint="eastAsia" w:ascii="宋体" w:hAnsi="宋体" w:eastAsia="宋体" w:cs="宋体"/>
          <w:b/>
          <w:color w:val="auto"/>
          <w:sz w:val="28"/>
          <w:szCs w:val="28"/>
          <w:highlight w:val="none"/>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8.1.1乙方根据</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的特点，按照有关国家、行业标准要求，对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及其零配件进行适合长途运输、多次搬运与装卸、防震、防水、防潮、防霉、防锈、防腐蚀等的坚固可靠包装，确保</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8.1.2超限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的包装要求：</w:t>
      </w:r>
      <w:r>
        <w:rPr>
          <w:rFonts w:hint="eastAsia" w:ascii="宋体" w:hAnsi="宋体" w:eastAsia="宋体" w:cs="宋体"/>
          <w:bCs/>
          <w:color w:val="auto"/>
          <w:sz w:val="28"/>
          <w:szCs w:val="28"/>
          <w:highlight w:val="none"/>
          <w:u w:val="single"/>
        </w:rPr>
        <w:t xml:space="preserve">  /  </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8.2 </w:t>
      </w:r>
      <w:bookmarkStart w:id="96" w:name="_Toc107446851"/>
      <w:bookmarkStart w:id="97" w:name="_Toc107447244"/>
      <w:r>
        <w:rPr>
          <w:rFonts w:hint="eastAsia" w:ascii="宋体" w:hAnsi="宋体" w:eastAsia="宋体" w:cs="宋体"/>
          <w:bCs/>
          <w:color w:val="auto"/>
          <w:sz w:val="28"/>
          <w:szCs w:val="28"/>
          <w:highlight w:val="none"/>
        </w:rPr>
        <w:t>标志</w:t>
      </w:r>
    </w:p>
    <w:bookmarkEnd w:id="96"/>
    <w:bookmarkEnd w:id="97"/>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8.2.1乙方应按照国家标准对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8.2.2根据合同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8.2.3  如由于包装不当或包装箱内部保护措施不符合要求而导致在装车或运输中发生</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或其任何部件的损坏或遗失，乙方应自费对缺损的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、部件进行修理、更换或补供。</w:t>
      </w:r>
      <w:bookmarkStart w:id="98" w:name="_Toc306350457"/>
      <w:bookmarkStart w:id="99" w:name="_Toc183666521"/>
      <w:bookmarkStart w:id="100" w:name="_Toc474245218"/>
      <w:bookmarkStart w:id="101" w:name="_Toc518992992"/>
      <w:bookmarkStart w:id="102" w:name="_Toc520190032"/>
      <w:bookmarkStart w:id="103" w:name="_Toc9269"/>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8.3.1乙方应自行选择适宜的运输工具及线路安排合同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8.3.2 除合同条款另有约定外，每件</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8.3.3 除合同条款另有约定外，乙方应在合同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预计启运7日前，将合同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名称、数量、箱数、总毛重、每箱尺寸、装运合同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总金额、运输方式、预计交付日期和合同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启运后 24 小时之内正式通知甲方。</w:t>
      </w:r>
    </w:p>
    <w:bookmarkEnd w:id="98"/>
    <w:bookmarkEnd w:id="99"/>
    <w:bookmarkEnd w:id="100"/>
    <w:bookmarkEnd w:id="101"/>
    <w:bookmarkEnd w:id="102"/>
    <w:bookmarkEnd w:id="103"/>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auto"/>
          <w:sz w:val="28"/>
          <w:szCs w:val="28"/>
          <w:highlight w:val="none"/>
        </w:rPr>
      </w:pPr>
      <w:bookmarkStart w:id="104" w:name="_Toc18496"/>
      <w:bookmarkStart w:id="105" w:name="_Toc306350458"/>
      <w:bookmarkStart w:id="106" w:name="_Toc183666522"/>
      <w:r>
        <w:rPr>
          <w:rFonts w:hint="eastAsia" w:ascii="宋体" w:hAnsi="宋体" w:eastAsia="宋体" w:cs="宋体"/>
          <w:b/>
          <w:color w:val="auto"/>
          <w:sz w:val="28"/>
          <w:szCs w:val="28"/>
          <w:highlight w:val="none"/>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乙方应按甲方需求，派遣技术熟练、称职的技术人员到现场为甲方提供</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4"/>
    <w:bookmarkEnd w:id="105"/>
    <w:bookmarkEnd w:id="106"/>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auto"/>
          <w:sz w:val="28"/>
          <w:szCs w:val="28"/>
          <w:highlight w:val="none"/>
        </w:rPr>
      </w:pPr>
      <w:bookmarkStart w:id="107" w:name="_Toc474245220"/>
      <w:bookmarkStart w:id="108" w:name="_Toc520190034"/>
      <w:bookmarkStart w:id="109" w:name="_Toc518992994"/>
      <w:bookmarkStart w:id="110" w:name="_Toc183666523"/>
      <w:bookmarkStart w:id="111" w:name="_Toc4682"/>
      <w:bookmarkStart w:id="112" w:name="_Toc306350459"/>
      <w:r>
        <w:rPr>
          <w:rFonts w:hint="eastAsia" w:ascii="宋体" w:hAnsi="宋体" w:eastAsia="宋体" w:cs="宋体"/>
          <w:b/>
          <w:color w:val="auto"/>
          <w:sz w:val="28"/>
          <w:szCs w:val="28"/>
          <w:highlight w:val="none"/>
        </w:rPr>
        <w:t>第十条 质量保</w:t>
      </w:r>
      <w:bookmarkEnd w:id="107"/>
      <w:bookmarkEnd w:id="108"/>
      <w:bookmarkEnd w:id="109"/>
      <w:r>
        <w:rPr>
          <w:rFonts w:hint="eastAsia" w:ascii="宋体" w:hAnsi="宋体" w:eastAsia="宋体" w:cs="宋体"/>
          <w:b/>
          <w:color w:val="auto"/>
          <w:sz w:val="28"/>
          <w:szCs w:val="28"/>
          <w:highlight w:val="none"/>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10.1保修期：自</w:t>
      </w:r>
      <w:r>
        <w:rPr>
          <w:rFonts w:hint="eastAsia" w:ascii="宋体" w:hAnsi="宋体" w:eastAsia="宋体" w:cs="宋体"/>
          <w:color w:val="auto"/>
          <w:kern w:val="0"/>
          <w:sz w:val="28"/>
          <w:szCs w:val="28"/>
          <w:highlight w:val="none"/>
          <w:lang w:val="zh-CN"/>
        </w:rPr>
        <w:t>货物</w:t>
      </w:r>
      <w:r>
        <w:rPr>
          <w:rFonts w:hint="eastAsia" w:ascii="宋体" w:hAnsi="宋体" w:eastAsia="宋体" w:cs="宋体"/>
          <w:color w:val="auto"/>
          <w:kern w:val="0"/>
          <w:sz w:val="28"/>
          <w:szCs w:val="28"/>
          <w:highlight w:val="none"/>
          <w:lang w:val="en-US" w:eastAsia="zh-CN"/>
        </w:rPr>
        <w:t>安装调试</w:t>
      </w:r>
      <w:r>
        <w:rPr>
          <w:rFonts w:hint="eastAsia" w:ascii="宋体" w:hAnsi="宋体" w:eastAsia="宋体" w:cs="宋体"/>
          <w:color w:val="auto"/>
          <w:kern w:val="0"/>
          <w:sz w:val="28"/>
          <w:szCs w:val="28"/>
          <w:highlight w:val="none"/>
          <w:lang w:val="zh-CN"/>
        </w:rPr>
        <w:t>验收合格之日起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eastAsia="zh-CN"/>
        </w:rPr>
        <w:t>且不得低于法定规定保修时间</w:t>
      </w:r>
      <w:r>
        <w:rPr>
          <w:rFonts w:hint="eastAsia" w:ascii="宋体" w:hAnsi="宋体" w:eastAsia="宋体" w:cs="宋体"/>
          <w:color w:val="auto"/>
          <w:sz w:val="28"/>
          <w:szCs w:val="28"/>
          <w:highlight w:val="none"/>
        </w:rPr>
        <w:t>。保修期内乙方应免费对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10.2</w:t>
      </w:r>
      <w:r>
        <w:rPr>
          <w:rFonts w:hint="eastAsia" w:ascii="宋体" w:hAnsi="宋体" w:eastAsia="宋体" w:cs="宋体"/>
          <w:color w:val="auto"/>
          <w:kern w:val="0"/>
          <w:sz w:val="28"/>
          <w:szCs w:val="28"/>
          <w:highlight w:val="none"/>
        </w:rPr>
        <w:t>保修</w:t>
      </w:r>
      <w:r>
        <w:rPr>
          <w:rFonts w:hint="eastAsia" w:ascii="宋体" w:hAnsi="宋体" w:eastAsia="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auto"/>
          <w:kern w:val="0"/>
          <w:sz w:val="28"/>
          <w:szCs w:val="28"/>
          <w:highlight w:val="none"/>
          <w:u w:val="single"/>
          <w:lang w:val="zh-CN"/>
        </w:rPr>
        <w:t>同暂定总价的10%作为</w:t>
      </w:r>
      <w:r>
        <w:rPr>
          <w:rFonts w:hint="eastAsia" w:ascii="宋体" w:hAnsi="宋体" w:eastAsia="宋体" w:cs="宋体"/>
          <w:color w:val="auto"/>
          <w:kern w:val="0"/>
          <w:sz w:val="28"/>
          <w:szCs w:val="28"/>
          <w:highlight w:val="none"/>
          <w:lang w:val="zh-CN"/>
        </w:rPr>
        <w:t>违约金，</w:t>
      </w:r>
      <w:r>
        <w:rPr>
          <w:rFonts w:hint="eastAsia" w:ascii="宋体" w:hAnsi="宋体" w:eastAsia="宋体" w:cs="宋体"/>
          <w:color w:val="auto"/>
          <w:kern w:val="0"/>
          <w:sz w:val="28"/>
          <w:szCs w:val="28"/>
          <w:highlight w:val="none"/>
        </w:rPr>
        <w:t>由此产生的</w:t>
      </w:r>
      <w:r>
        <w:rPr>
          <w:rFonts w:hint="eastAsia" w:ascii="宋体" w:hAnsi="宋体" w:eastAsia="宋体" w:cs="宋体"/>
          <w:color w:val="auto"/>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10.3 保修期间由于</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10.4 质量保修期间，如合同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出现故障，乙方应在接到甲方通知后</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小时内派专业技术人员到场负责解决及维修故障。</w:t>
      </w:r>
      <w:bookmarkEnd w:id="110"/>
      <w:bookmarkEnd w:id="111"/>
      <w:bookmarkEnd w:id="112"/>
      <w:bookmarkStart w:id="113" w:name="_Toc474245223"/>
      <w:bookmarkStart w:id="114" w:name="_Toc183666528"/>
      <w:bookmarkStart w:id="115" w:name="_Toc107446857"/>
      <w:bookmarkStart w:id="116" w:name="_Toc518992997"/>
      <w:bookmarkStart w:id="117" w:name="_Toc520190037"/>
      <w:bookmarkStart w:id="118" w:name="_Toc306350464"/>
      <w:bookmarkStart w:id="119" w:name="_Toc27734"/>
      <w:bookmarkStart w:id="120" w:name="_Toc107447250"/>
      <w:r>
        <w:rPr>
          <w:rFonts w:hint="eastAsia" w:ascii="宋体" w:hAnsi="宋体" w:eastAsia="宋体" w:cs="宋体"/>
          <w:bCs/>
          <w:color w:val="auto"/>
          <w:sz w:val="28"/>
          <w:szCs w:val="28"/>
          <w:highlight w:val="none"/>
        </w:rPr>
        <w:t>如果乙方不按时到场维修或到场后不能修复的，甲方有权委托他人予以维修，乙方承担由此发生的费用并支付</w:t>
      </w:r>
      <w:r>
        <w:rPr>
          <w:rFonts w:hint="eastAsia" w:ascii="宋体" w:hAnsi="宋体" w:eastAsia="宋体" w:cs="宋体"/>
          <w:bCs/>
          <w:color w:val="auto"/>
          <w:sz w:val="28"/>
          <w:szCs w:val="28"/>
          <w:highlight w:val="none"/>
          <w:u w:val="single"/>
        </w:rPr>
        <w:t>合同暂定总价10%/次</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第十一条 违约责任</w:t>
      </w:r>
      <w:bookmarkEnd w:id="113"/>
      <w:bookmarkEnd w:id="114"/>
      <w:bookmarkEnd w:id="115"/>
      <w:bookmarkEnd w:id="116"/>
      <w:bookmarkEnd w:id="117"/>
      <w:bookmarkEnd w:id="118"/>
      <w:bookmarkEnd w:id="119"/>
      <w:bookmarkEnd w:id="120"/>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11.1.1 乙方应按照本合同约定的时间交货。如乙方因客观情况导致无法按时交货，乙方应在交货期前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11.1.2乙方未能在合同规定期限内交货并交付完整技术资料的，每逾期一天，甲方有权按迟</w:t>
      </w:r>
      <w:r>
        <w:rPr>
          <w:rFonts w:hint="eastAsia" w:ascii="宋体" w:hAnsi="宋体" w:eastAsia="宋体" w:cs="宋体"/>
          <w:bCs/>
          <w:color w:val="auto"/>
          <w:sz w:val="28"/>
          <w:szCs w:val="28"/>
          <w:highlight w:val="none"/>
          <w:u w:val="single"/>
        </w:rPr>
        <w:t>交货</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价格的1%/天</w:t>
      </w:r>
      <w:r>
        <w:rPr>
          <w:rFonts w:hint="eastAsia" w:ascii="宋体" w:hAnsi="宋体" w:eastAsia="宋体" w:cs="宋体"/>
          <w:bCs/>
          <w:color w:val="auto"/>
          <w:sz w:val="28"/>
          <w:szCs w:val="28"/>
          <w:highlight w:val="none"/>
        </w:rPr>
        <w:t>要求乙方支付违约金。逾期超过</w:t>
      </w:r>
      <w:r>
        <w:rPr>
          <w:rFonts w:hint="eastAsia" w:ascii="宋体" w:hAnsi="宋体" w:eastAsia="宋体" w:cs="宋体"/>
          <w:bCs/>
          <w:color w:val="auto"/>
          <w:sz w:val="28"/>
          <w:szCs w:val="28"/>
          <w:highlight w:val="none"/>
          <w:u w:val="single"/>
        </w:rPr>
        <w:t xml:space="preserve"> 15 </w:t>
      </w:r>
      <w:r>
        <w:rPr>
          <w:rFonts w:hint="eastAsia" w:ascii="宋体" w:hAnsi="宋体" w:eastAsia="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11.2.1 自乙方交货后至质量保修期满的期间内，甲方经检查发现或合同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经安装、调试、试车或运行显示，合同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（1）乙方承担费用，用合格的新</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更换有缺陷的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（2）退还</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（3）按不合格</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价格的</w:t>
      </w:r>
      <w:r>
        <w:rPr>
          <w:rFonts w:hint="eastAsia" w:ascii="宋体" w:hAnsi="宋体" w:eastAsia="宋体" w:cs="宋体"/>
          <w:bCs/>
          <w:color w:val="auto"/>
          <w:sz w:val="28"/>
          <w:szCs w:val="28"/>
          <w:highlight w:val="none"/>
          <w:u w:val="single"/>
        </w:rPr>
        <w:t>50</w:t>
      </w:r>
      <w:r>
        <w:rPr>
          <w:rFonts w:hint="eastAsia" w:ascii="宋体" w:hAnsi="宋体" w:eastAsia="宋体" w:cs="宋体"/>
          <w:bCs/>
          <w:color w:val="auto"/>
          <w:sz w:val="28"/>
          <w:szCs w:val="28"/>
          <w:highlight w:val="none"/>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（4）赔偿甲方因</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11.2.2 如果乙方提供的技术资料有错误，或者由于乙方技术人员原因造成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安装、调试不成功和（或）造成合同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损坏的情况，乙方应在</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rPr>
        <w:t>小时内采取修理、更换、退货等补救措施并负担因此发生的费用，同时需向甲方支付</w:t>
      </w:r>
      <w:r>
        <w:rPr>
          <w:rFonts w:hint="eastAsia" w:ascii="宋体" w:hAnsi="宋体" w:eastAsia="宋体" w:cs="宋体"/>
          <w:bCs/>
          <w:color w:val="auto"/>
          <w:sz w:val="28"/>
          <w:szCs w:val="28"/>
          <w:highlight w:val="none"/>
          <w:u w:val="single"/>
        </w:rPr>
        <w:t>不合格</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 xml:space="preserve">价格的 50 </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11.2.3 在开箱检验、或使用过程中发现乙方提交的合同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为贴牌、假冒、伪劣、翻新产品，或生产组成合同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的原材料、配件是贴牌、假冒、伪劣货物时，乙方应在甲方通知之日自行收回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，甲方不负保管责任，</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毁损灭失风险自甲方通知之时起由乙方承担，乙方将已支付款项（含预付款）退还甲方，并按</w:t>
      </w:r>
      <w:r>
        <w:rPr>
          <w:rFonts w:hint="eastAsia" w:ascii="宋体" w:hAnsi="宋体" w:eastAsia="宋体" w:cs="宋体"/>
          <w:bCs/>
          <w:color w:val="auto"/>
          <w:sz w:val="28"/>
          <w:szCs w:val="28"/>
          <w:highlight w:val="none"/>
          <w:u w:val="single"/>
        </w:rPr>
        <w:t>合同暂定总价的 100 %</w:t>
      </w:r>
      <w:r>
        <w:rPr>
          <w:rFonts w:hint="eastAsia" w:ascii="宋体" w:hAnsi="宋体" w:eastAsia="宋体" w:cs="宋体"/>
          <w:bCs/>
          <w:color w:val="auto"/>
          <w:sz w:val="28"/>
          <w:szCs w:val="28"/>
          <w:highlight w:val="none"/>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11.2.4 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设计使用寿命期内，如果乙方发现合同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由于设计、制造、标识等原因存在足以危及人身、财产安全的缺陷，应及时通知甲方并采取修正或者补充标识、修理、更换等措施消除缺陷，因</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11.3 如乙方未按合同六条约定递交履约保证金，甲方有权解除合同并要求乙方支付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11.4 如双方对质量责任认定有争议，</w:t>
      </w:r>
      <w:r>
        <w:rPr>
          <w:rFonts w:hint="eastAsia" w:ascii="宋体" w:hAnsi="宋体" w:eastAsia="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auto"/>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rPr>
        <w:t>日，甲方有权解除合同并要求乙方支付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12.1.1 乙方未能在本合同约定或甲方另行指定的期限内提供部分或全部</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12.1.2乙方交付的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60</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天仍未支付，乙方有权以书面通知解除本合同。</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eastAsia="宋体" w:cs="宋体"/>
          <w:color w:val="auto"/>
          <w:sz w:val="28"/>
          <w:szCs w:val="28"/>
          <w:highlight w:val="none"/>
          <w:u w:val="single"/>
        </w:rPr>
        <w:t>甲方所在地人民法院</w:t>
      </w:r>
      <w:r>
        <w:rPr>
          <w:rFonts w:hint="eastAsia" w:ascii="宋体" w:hAnsi="宋体" w:eastAsia="宋体" w:cs="宋体"/>
          <w:color w:val="auto"/>
          <w:sz w:val="28"/>
          <w:szCs w:val="28"/>
          <w:highlight w:val="none"/>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15.1</w:t>
      </w:r>
      <w:r>
        <w:rPr>
          <w:rFonts w:hint="eastAsia" w:ascii="宋体" w:hAnsi="宋体" w:eastAsia="宋体" w:cs="宋体"/>
          <w:color w:val="auto"/>
          <w:sz w:val="28"/>
          <w:szCs w:val="28"/>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15.4补充条款：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rPr>
        <w:t xml:space="preserve">     </w:t>
      </w:r>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附件：1.中标通知书</w:t>
      </w:r>
      <w:r>
        <w:rPr>
          <w:rFonts w:hint="eastAsia" w:ascii="宋体" w:hAnsi="宋体" w:eastAsia="宋体" w:cs="宋体"/>
          <w:color w:val="auto"/>
          <w:sz w:val="28"/>
          <w:szCs w:val="28"/>
          <w:highlight w:val="none"/>
          <w:lang w:val="en-US" w:eastAsia="zh-CN"/>
        </w:rPr>
        <w:t>/成交通知书</w:t>
      </w:r>
    </w:p>
    <w:p>
      <w:pPr>
        <w:keepNext w:val="0"/>
        <w:keepLines w:val="0"/>
        <w:pageBreakBefore w:val="0"/>
        <w:numPr>
          <w:ilvl w:val="-1"/>
          <w:numId w:val="0"/>
        </w:numPr>
        <w:kinsoku/>
        <w:wordWrap/>
        <w:overflowPunct/>
        <w:topLinePunct w:val="0"/>
        <w:bidi w:val="0"/>
        <w:snapToGrid/>
        <w:spacing w:line="520" w:lineRule="exact"/>
        <w:ind w:left="0"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.履约保函（模板）</w:t>
      </w:r>
    </w:p>
    <w:p>
      <w:pPr>
        <w:pStyle w:val="2"/>
        <w:ind w:firstLine="1400" w:firstLineChars="500"/>
        <w:rPr>
          <w:rFonts w:hint="default" w:eastAsia="宋体"/>
          <w:color w:val="auto"/>
          <w:highlight w:val="none"/>
          <w:lang w:val="en-US" w:eastAsia="zh-CN"/>
        </w:rPr>
      </w:pPr>
      <w:r>
        <w:rPr>
          <w:rFonts w:hint="eastAsia" w:eastAsia="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lang w:val="en-US" w:eastAsia="zh-CN"/>
        </w:rPr>
        <w:t>.预付款保函（模板）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lang w:val="en-US" w:eastAsia="zh-CN"/>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cs="宋体"/>
          <w:b/>
          <w:bCs/>
          <w:color w:val="auto"/>
          <w:szCs w:val="21"/>
          <w:highlight w:val="none"/>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color w:val="auto"/>
          <w:szCs w:val="21"/>
          <w:highlight w:val="none"/>
          <w:lang w:val="en-US" w:eastAsia="zh-CN"/>
        </w:rPr>
        <w:t xml:space="preserve">附件2  </w:t>
      </w:r>
      <w:r>
        <w:rPr>
          <w:rFonts w:hint="eastAsia" w:ascii="宋体" w:hAnsi="宋体" w:eastAsia="宋体" w:cs="宋体"/>
          <w:b/>
          <w:bCs/>
          <w:color w:val="auto"/>
          <w:szCs w:val="21"/>
          <w:highlight w:val="none"/>
        </w:rPr>
        <w:t>廉洁协议</w:t>
      </w:r>
      <w:r>
        <w:rPr>
          <w:rFonts w:hint="eastAsia" w:ascii="宋体" w:hAnsi="宋体" w:eastAsia="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2、解除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b w:val="0"/>
          <w:bCs/>
          <w:color w:val="auto"/>
          <w:sz w:val="28"/>
          <w:szCs w:val="28"/>
          <w:highlight w:val="none"/>
          <w:u w:val="single"/>
        </w:rPr>
        <w:t>（合同名称）+（合同编号）</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numPr>
          <w:ilvl w:val="0"/>
          <w:numId w:val="0"/>
        </w:numPr>
        <w:spacing w:line="200" w:lineRule="exact"/>
        <w:ind w:firstLine="0" w:firstLineChars="0"/>
        <w:contextualSpacing/>
        <w:jc w:val="left"/>
        <w:rPr>
          <w:rFonts w:hint="eastAsia" w:ascii="宋体" w:hAnsi="宋体" w:eastAsia="宋体" w:cs="宋体"/>
          <w:color w:val="auto"/>
          <w:sz w:val="15"/>
          <w:szCs w:val="15"/>
          <w:highlight w:val="none"/>
          <w:lang w:val="en-US" w:eastAsia="zh-CN"/>
        </w:rPr>
      </w:pPr>
    </w:p>
    <w:p>
      <w:pPr>
        <w:spacing w:line="520" w:lineRule="exact"/>
        <w:rPr>
          <w:rFonts w:hint="eastAsia" w:ascii="宋体" w:hAnsi="宋体" w:eastAsia="宋体" w:cs="宋体"/>
          <w:b/>
          <w:color w:val="auto"/>
          <w:sz w:val="24"/>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pStyle w:val="2"/>
        <w:spacing w:line="520" w:lineRule="exact"/>
        <w:ind w:firstLine="0" w:firstLineChars="0"/>
        <w:rPr>
          <w:rFonts w:hint="eastAsia" w:ascii="宋体" w:hAnsi="宋体" w:eastAsia="宋体" w:cs="宋体"/>
          <w:b/>
          <w:color w:val="auto"/>
          <w:szCs w:val="21"/>
          <w:highlight w:val="none"/>
        </w:rPr>
      </w:pPr>
    </w:p>
    <w:p>
      <w:pPr>
        <w:spacing w:line="360" w:lineRule="auto"/>
        <w:rPr>
          <w:rFonts w:hint="eastAsia" w:ascii="黑体" w:hAnsi="宋体" w:eastAsia="黑体" w:cs="宋体"/>
          <w:bCs/>
          <w:color w:val="auto"/>
          <w:kern w:val="0"/>
          <w:sz w:val="44"/>
          <w:szCs w:val="44"/>
          <w:highlight w:val="none"/>
        </w:rPr>
      </w:pPr>
      <w:r>
        <w:rPr>
          <w:rFonts w:hint="eastAsia" w:ascii="宋体" w:hAnsi="宋体" w:eastAsia="宋体" w:cs="宋体"/>
          <w:b/>
          <w:bCs/>
          <w:color w:val="auto"/>
          <w:szCs w:val="21"/>
          <w:highlight w:val="none"/>
          <w:lang w:val="en-US" w:eastAsia="zh-CN"/>
        </w:rPr>
        <w:t>附件3：安全管理协议书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8"/>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8"/>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p>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报价清单</w:t>
      </w:r>
    </w:p>
    <w:p>
      <w:pPr>
        <w:pStyle w:val="2"/>
        <w:rPr>
          <w:rFonts w:hint="eastAsia"/>
          <w:color w:val="auto"/>
          <w:highlight w:val="none"/>
          <w:lang w:val="en-US" w:eastAsia="zh-CN"/>
        </w:rPr>
      </w:pPr>
    </w:p>
    <w:p>
      <w:pPr>
        <w:pStyle w:val="2"/>
        <w:rPr>
          <w:rFonts w:hint="default"/>
          <w:color w:val="auto"/>
          <w:highlight w:val="none"/>
          <w:lang w:val="en-US" w:eastAsia="zh-CN"/>
        </w:rPr>
      </w:pPr>
    </w:p>
    <w:tbl>
      <w:tblPr>
        <w:tblStyle w:val="24"/>
        <w:tblW w:w="11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35"/>
        <w:gridCol w:w="1481"/>
        <w:gridCol w:w="1231"/>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523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配件名称</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数量(个)</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厂家</w:t>
            </w:r>
          </w:p>
        </w:tc>
        <w:tc>
          <w:tcPr>
            <w:tcW w:w="1231" w:type="dxa"/>
          </w:tcPr>
          <w:p>
            <w:pPr>
              <w:widowControl/>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单价（元）</w:t>
            </w:r>
          </w:p>
        </w:tc>
        <w:tc>
          <w:tcPr>
            <w:tcW w:w="1231" w:type="dxa"/>
          </w:tcPr>
          <w:p>
            <w:pPr>
              <w:widowControl/>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HST2500鼓风机磁性轴承控制器（MBC）功率板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HST2500鼓风机磁性轴承控制器（MBC)控制板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HST2500鼓风机磁性轴承控制器（MBC)放大板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HST2500鼓风机磁性轴承控制器（MBC)UPS控制卡 </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3#鼓风机进气口压差计，序列号：900853</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3#鼓风机合闸手柄 901348</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HST2500鼓风机NXP0460变频器通讯卡</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Pocket filter HI-CAP 287x592x500-6-G4(过滤袋）</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HST2500鼓风机磁性轴承控制器散热风扇（COMPACT FAN 80X25,24VDC PUDC24H4C-049)</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523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HST2500鼓风机NXP0460变频器ASIC板散热风扇</w:t>
            </w:r>
          </w:p>
        </w:tc>
        <w:tc>
          <w:tcPr>
            <w:tcW w:w="148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231"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231" w:type="dxa"/>
          </w:tcPr>
          <w:p>
            <w:pPr>
              <w:widowControl/>
              <w:jc w:val="center"/>
              <w:rPr>
                <w:rFonts w:hint="eastAsia" w:ascii="宋体" w:hAnsi="宋体" w:eastAsia="宋体" w:cs="宋体"/>
                <w:color w:val="auto"/>
                <w:kern w:val="0"/>
                <w:sz w:val="24"/>
                <w:szCs w:val="24"/>
                <w:highlight w:val="none"/>
                <w:lang w:bidi="ar"/>
              </w:rPr>
            </w:pPr>
          </w:p>
        </w:tc>
        <w:tc>
          <w:tcPr>
            <w:tcW w:w="1231" w:type="dxa"/>
          </w:tcPr>
          <w:p>
            <w:pPr>
              <w:widowControl/>
              <w:jc w:val="center"/>
              <w:rPr>
                <w:rFonts w:hint="eastAsia" w:ascii="宋体" w:hAnsi="宋体" w:eastAsia="宋体" w:cs="宋体"/>
                <w:color w:val="auto"/>
                <w:kern w:val="0"/>
                <w:sz w:val="24"/>
                <w:szCs w:val="24"/>
                <w:highlight w:val="none"/>
                <w:lang w:bidi="ar"/>
              </w:rPr>
            </w:pPr>
          </w:p>
        </w:tc>
      </w:tr>
    </w:tbl>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spacing w:line="560" w:lineRule="exac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szCs w:val="21"/>
          <w:highlight w:val="none"/>
          <w:lang w:val="en-US" w:eastAsia="zh-CN"/>
        </w:rPr>
        <w:t>附件</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 xml:space="preserve">履约保函模板     </w:t>
      </w:r>
      <w:r>
        <w:rPr>
          <w:rFonts w:hint="eastAsia" w:ascii="宋体" w:hAnsi="宋体" w:eastAsia="宋体" w:cs="宋体"/>
          <w:color w:val="auto"/>
          <w:kern w:val="0"/>
          <w:sz w:val="24"/>
          <w:highlight w:val="none"/>
          <w:lang w:val="en-US" w:eastAsia="zh-CN"/>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               （受益人）</w:t>
      </w:r>
      <w:r>
        <w:rPr>
          <w:rFonts w:hint="eastAsia" w:ascii="宋体" w:hAnsi="宋体" w:eastAsia="宋体" w:cs="宋体"/>
          <w:color w:val="auto"/>
          <w:kern w:val="0"/>
          <w:sz w:val="24"/>
          <w:szCs w:val="24"/>
          <w:highlight w:val="none"/>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5.受益人请求付款的请款单据包含法院裁判文书、仲裁裁决、第三方单位出具的鉴定书等申请人违约的证明材料。</w:t>
      </w: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hAnsi="宋体" w:eastAsia="宋体" w:cs="宋体"/>
          <w:b/>
          <w:bCs/>
          <w:color w:val="auto"/>
          <w:sz w:val="24"/>
          <w:szCs w:val="24"/>
          <w:highlight w:val="none"/>
          <w:lang w:val="en-US" w:eastAsia="zh-CN"/>
        </w:rPr>
        <w:t>6</w:t>
      </w:r>
      <w:r>
        <w:rPr>
          <w:rFonts w:hint="eastAsia" w:hAnsi="宋体" w:eastAsia="宋体" w:cs="宋体"/>
          <w:b/>
          <w:bCs/>
          <w:color w:val="auto"/>
          <w:sz w:val="24"/>
          <w:szCs w:val="24"/>
          <w:highlight w:val="none"/>
          <w:lang w:val="en-US" w:eastAsia="zh-CN"/>
        </w:rPr>
        <w:t>预付款</w:t>
      </w:r>
      <w:r>
        <w:rPr>
          <w:rFonts w:hint="eastAsia" w:ascii="宋体" w:hAnsi="宋体" w:eastAsia="宋体" w:cs="宋体"/>
          <w:b/>
          <w:bCs/>
          <w:color w:val="auto"/>
          <w:sz w:val="24"/>
          <w:szCs w:val="24"/>
          <w:highlight w:val="none"/>
          <w:lang w:val="en-US" w:eastAsia="zh-CN"/>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模板</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（以下简称“委托人”）与你方于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（以下简称“合同”），你方将按上述基础交易合同约定向委托人支付预付款人民币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）。我行接受委托人的申请，特此开立以你方为受益人的最高金额为人民币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五、本保函自签发之日起生效，有效期至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本预付款担保格式可采用经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认可的其他格式，但相关内容不得违背合同文件约定的实质性内容。</w:t>
      </w:r>
    </w:p>
    <w:p>
      <w:pPr>
        <w:pStyle w:val="4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7"/>
        <w:rPr>
          <w:rFonts w:ascii="方正小标宋简体" w:eastAsia="方正小标宋简体"/>
          <w:color w:val="auto"/>
          <w:sz w:val="44"/>
          <w:szCs w:val="44"/>
          <w:highlight w:val="none"/>
        </w:rPr>
      </w:pPr>
    </w:p>
    <w:p>
      <w:pPr>
        <w:spacing w:line="360" w:lineRule="auto"/>
        <w:jc w:val="both"/>
        <w:rPr>
          <w:rFonts w:ascii="宋体" w:hAnsi="宋体" w:cs="宋体"/>
          <w:color w:val="auto"/>
          <w:sz w:val="24"/>
          <w:szCs w:val="24"/>
          <w:highlight w:val="none"/>
        </w:rPr>
      </w:pPr>
    </w:p>
    <w:p>
      <w:pPr>
        <w:pStyle w:val="7"/>
        <w:ind w:firstLine="0"/>
        <w:rPr>
          <w:rFonts w:hint="eastAsia" w:eastAsia="微软雅黑"/>
          <w:color w:val="auto"/>
          <w:highlight w:val="none"/>
          <w:lang w:val="en-US" w:eastAsia="zh-CN"/>
        </w:rPr>
      </w:pPr>
    </w:p>
    <w:p>
      <w:pPr>
        <w:pStyle w:val="7"/>
        <w:ind w:firstLine="0"/>
        <w:rPr>
          <w:rFonts w:hint="eastAsia" w:eastAsia="微软雅黑"/>
          <w:color w:val="auto"/>
          <w:highlight w:val="none"/>
          <w:lang w:val="en-US" w:eastAsia="zh-CN"/>
        </w:rPr>
      </w:pPr>
    </w:p>
    <w:p>
      <w:pPr>
        <w:pStyle w:val="7"/>
        <w:ind w:firstLine="0"/>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2324735</wp:posOffset>
                </wp:positionH>
                <wp:positionV relativeFrom="paragraph">
                  <wp:posOffset>627380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05pt;margin-top:49.4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121" w:name="_Toc28358"/>
      <w:bookmarkStart w:id="122" w:name="_Toc3723"/>
      <w:bookmarkStart w:id="123" w:name="_Toc16552"/>
      <w:bookmarkStart w:id="124" w:name="_Toc30824"/>
      <w:bookmarkStart w:id="125" w:name="_Toc23515"/>
      <w:bookmarkStart w:id="126" w:name="_Toc5129"/>
      <w:bookmarkStart w:id="127" w:name="_Toc1563"/>
      <w:bookmarkStart w:id="128" w:name="_Toc8147"/>
      <w:bookmarkStart w:id="129" w:name="_Toc21847"/>
      <w:bookmarkStart w:id="130" w:name="_Toc12169"/>
      <w:bookmarkStart w:id="131" w:name="_Toc6230"/>
      <w:r>
        <w:rPr>
          <w:rFonts w:hint="eastAsia"/>
          <w:color w:val="auto"/>
          <w:highlight w:val="none"/>
        </w:rPr>
        <w:t>第七章</w:t>
      </w:r>
      <w:bookmarkEnd w:id="121"/>
      <w:bookmarkEnd w:id="122"/>
      <w:bookmarkEnd w:id="123"/>
      <w:bookmarkEnd w:id="124"/>
      <w:bookmarkEnd w:id="125"/>
      <w:bookmarkEnd w:id="126"/>
      <w:bookmarkEnd w:id="127"/>
      <w:bookmarkEnd w:id="128"/>
      <w:bookmarkEnd w:id="129"/>
      <w:bookmarkEnd w:id="130"/>
      <w:bookmarkEnd w:id="131"/>
    </w:p>
    <w:p>
      <w:pPr>
        <w:pStyle w:val="38"/>
        <w:rPr>
          <w:color w:val="auto"/>
          <w:highlight w:val="none"/>
        </w:rPr>
      </w:pPr>
    </w:p>
    <w:p>
      <w:pPr>
        <w:pStyle w:val="4"/>
        <w:adjustRightInd w:val="0"/>
        <w:snapToGrid w:val="0"/>
        <w:spacing w:before="156" w:beforeLines="50" w:after="156" w:afterLines="50" w:line="600" w:lineRule="exact"/>
        <w:jc w:val="center"/>
        <w:rPr>
          <w:rFonts w:hint="eastAsia"/>
          <w:color w:val="auto"/>
          <w:highlight w:val="none"/>
        </w:rPr>
      </w:pPr>
      <w:bookmarkStart w:id="132" w:name="_Toc88209951"/>
      <w:bookmarkStart w:id="133" w:name="_Toc31564"/>
      <w:bookmarkStart w:id="134" w:name="_Toc87616388"/>
      <w:bookmarkStart w:id="135" w:name="_Toc12769"/>
      <w:bookmarkStart w:id="136" w:name="_Toc5342"/>
      <w:bookmarkStart w:id="137" w:name="_Toc24815"/>
      <w:bookmarkStart w:id="138" w:name="_Toc12610"/>
      <w:bookmarkStart w:id="139" w:name="_Toc17119"/>
      <w:bookmarkStart w:id="140" w:name="_Toc24490"/>
      <w:bookmarkStart w:id="141" w:name="_Toc10840"/>
      <w:bookmarkStart w:id="142" w:name="_Toc22764"/>
      <w:bookmarkStart w:id="143" w:name="_Toc21675"/>
      <w:bookmarkStart w:id="144" w:name="_Toc30157"/>
      <w:r>
        <w:rPr>
          <w:rFonts w:hint="eastAsia"/>
          <w:color w:val="auto"/>
          <w:highlight w:val="none"/>
        </w:rPr>
        <w:t>响应文件格式要求</w:t>
      </w:r>
      <w:bookmarkEnd w:id="132"/>
      <w:bookmarkEnd w:id="133"/>
      <w:bookmarkEnd w:id="134"/>
      <w:bookmarkEnd w:id="135"/>
      <w:bookmarkEnd w:id="136"/>
      <w:bookmarkEnd w:id="137"/>
      <w:bookmarkEnd w:id="138"/>
      <w:bookmarkEnd w:id="139"/>
      <w:bookmarkEnd w:id="140"/>
      <w:bookmarkEnd w:id="141"/>
      <w:bookmarkEnd w:id="142"/>
      <w:bookmarkEnd w:id="143"/>
      <w:bookmarkEnd w:id="144"/>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hint="eastAsia" w:ascii="仿宋_GB2312" w:eastAsia="仿宋_GB2312"/>
          <w:color w:val="auto"/>
          <w:sz w:val="30"/>
          <w:szCs w:val="30"/>
          <w:highlight w:val="none"/>
        </w:rPr>
        <w:t>（项目编号：   ）</w:t>
      </w:r>
    </w:p>
    <w:p>
      <w:pPr>
        <w:pStyle w:val="7"/>
        <w:rPr>
          <w:rFonts w:ascii="方正小标宋简体" w:eastAsia="方正小标宋简体"/>
          <w:color w:val="auto"/>
          <w:sz w:val="44"/>
          <w:szCs w:val="44"/>
          <w:highlight w:val="none"/>
        </w:rPr>
      </w:pPr>
    </w:p>
    <w:p>
      <w:pPr>
        <w:jc w:val="both"/>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5" w:name="_Toc87616389"/>
      <w:bookmarkStart w:id="146" w:name="_Toc88209952"/>
      <w:r>
        <w:rPr>
          <w:rFonts w:hint="eastAsia" w:ascii="仿宋_GB2312" w:eastAsia="仿宋_GB2312"/>
          <w:color w:val="auto"/>
          <w:sz w:val="28"/>
          <w:szCs w:val="28"/>
          <w:highlight w:val="none"/>
        </w:rPr>
        <w:t>1.响应函</w:t>
      </w:r>
      <w:bookmarkEnd w:id="145"/>
      <w:bookmarkEnd w:id="146"/>
    </w:p>
    <w:p>
      <w:pPr>
        <w:spacing w:line="600" w:lineRule="exact"/>
        <w:rPr>
          <w:rFonts w:ascii="仿宋_GB2312" w:eastAsia="仿宋_GB2312"/>
          <w:color w:val="auto"/>
          <w:sz w:val="28"/>
          <w:szCs w:val="28"/>
          <w:highlight w:val="none"/>
        </w:rPr>
      </w:pPr>
      <w:bookmarkStart w:id="147" w:name="_Toc87616390"/>
      <w:bookmarkStart w:id="148" w:name="_Toc88209953"/>
      <w:r>
        <w:rPr>
          <w:rFonts w:hint="eastAsia" w:ascii="仿宋_GB2312" w:eastAsia="仿宋_GB2312"/>
          <w:color w:val="auto"/>
          <w:sz w:val="28"/>
          <w:szCs w:val="28"/>
          <w:highlight w:val="none"/>
        </w:rPr>
        <w:t>2.法定代表人证明或授权委托书</w:t>
      </w:r>
      <w:bookmarkEnd w:id="147"/>
      <w:bookmarkEnd w:id="148"/>
      <w:bookmarkStart w:id="149" w:name="_Toc87616393"/>
      <w:bookmarkStart w:id="15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6.拟投入工程人员配备响应表</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bookmarkEnd w:id="149"/>
      <w:bookmarkEnd w:id="150"/>
      <w:r>
        <w:rPr>
          <w:rFonts w:hint="eastAsia" w:ascii="仿宋_GB2312" w:eastAsia="仿宋_GB2312"/>
          <w:color w:val="auto"/>
          <w:sz w:val="28"/>
          <w:szCs w:val="28"/>
          <w:highlight w:val="none"/>
        </w:rPr>
        <w:t>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51" w:name="_Toc87616394"/>
      <w:bookmarkStart w:id="152" w:name="_Toc12665"/>
      <w:bookmarkStart w:id="153" w:name="_Toc88209957"/>
      <w:bookmarkStart w:id="154" w:name="_Toc28619645"/>
      <w:bookmarkStart w:id="155" w:name="_Toc6313"/>
      <w:r>
        <w:rPr>
          <w:rFonts w:hint="eastAsia" w:asciiTheme="minorEastAsia" w:hAnsiTheme="minorEastAsia" w:eastAsiaTheme="minorEastAsia"/>
          <w:color w:val="auto"/>
          <w:sz w:val="28"/>
          <w:szCs w:val="28"/>
          <w:highlight w:val="none"/>
        </w:rPr>
        <w:t>1.响应函</w:t>
      </w:r>
      <w:bookmarkEnd w:id="151"/>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rPr>
        <w:t>（5）报价表</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）拟投入工程人员配备响应表</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）承诺函</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8</w:t>
      </w:r>
      <w:r>
        <w:rPr>
          <w:rFonts w:hint="eastAsia" w:ascii="仿宋_GB2312" w:hAnsi="黑体" w:eastAsia="仿宋_GB2312"/>
          <w:color w:val="auto"/>
          <w:sz w:val="28"/>
          <w:szCs w:val="28"/>
          <w:highlight w:val="none"/>
        </w:rPr>
        <w:t>）</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eastAsia="仿宋_GB2312"/>
          <w:color w:val="auto"/>
          <w:highlight w:val="none"/>
        </w:rPr>
      </w:pP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spacing w:line="400" w:lineRule="exact"/>
        <w:rPr>
          <w:rFonts w:asciiTheme="minorEastAsia" w:hAnsiTheme="minorEastAsia" w:eastAsiaTheme="minorEastAsia"/>
          <w:color w:val="auto"/>
          <w:sz w:val="28"/>
          <w:szCs w:val="28"/>
          <w:highlight w:val="none"/>
        </w:rPr>
      </w:pPr>
      <w:bookmarkStart w:id="156" w:name="_Toc87616395"/>
      <w:bookmarkStart w:id="157" w:name="_Toc88209958"/>
      <w:bookmarkStart w:id="158" w:name="_Toc29833"/>
      <w:bookmarkStart w:id="159" w:name="_Toc22527"/>
      <w:r>
        <w:rPr>
          <w:rFonts w:hint="eastAsia" w:asciiTheme="minorEastAsia" w:hAnsiTheme="minorEastAsia" w:eastAsiaTheme="minorEastAsia"/>
          <w:color w:val="auto"/>
          <w:sz w:val="28"/>
          <w:szCs w:val="28"/>
          <w:highlight w:val="none"/>
        </w:rPr>
        <w:t>2.法定代表人证明或授权委托书</w:t>
      </w:r>
      <w:bookmarkEnd w:id="156"/>
      <w:bookmarkEnd w:id="157"/>
      <w:bookmarkEnd w:id="158"/>
      <w:bookmarkEnd w:id="159"/>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5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4"/>
        <w:snapToGrid w:val="0"/>
        <w:spacing w:line="5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4"/>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5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8"/>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0" w:name="_Toc87616400"/>
      <w:bookmarkStart w:id="161" w:name="_Toc88209963"/>
      <w:bookmarkStart w:id="162" w:name="_Toc19830"/>
      <w:bookmarkStart w:id="163"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60"/>
      <w:bookmarkEnd w:id="161"/>
      <w:bookmarkEnd w:id="162"/>
      <w:bookmarkEnd w:id="16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64"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6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val="en-GB"/>
        </w:rPr>
        <w:t>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highlight w:val="none"/>
          <w:lang w:val="en-GB"/>
        </w:rPr>
      </w:pPr>
      <w:r>
        <w:rPr>
          <w:rFonts w:hint="eastAsia" w:cs="宋体" w:eastAsiaTheme="minorEastAsia"/>
          <w:color w:val="auto"/>
          <w:highlight w:val="none"/>
          <w:lang w:val="en-GB"/>
        </w:rPr>
        <w:t>（</w:t>
      </w:r>
      <w:r>
        <w:rPr>
          <w:rFonts w:hint="eastAsia" w:cs="宋体"/>
          <w:color w:val="auto"/>
          <w:highlight w:val="none"/>
        </w:rPr>
        <w:t>8</w:t>
      </w:r>
      <w:r>
        <w:rPr>
          <w:rFonts w:hint="eastAsia" w:cs="宋体" w:eastAsiaTheme="minorEastAsia"/>
          <w:color w:val="auto"/>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color w:val="auto"/>
          <w:szCs w:val="21"/>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p>
    <w:p>
      <w:pPr>
        <w:pStyle w:val="7"/>
        <w:rPr>
          <w:rFonts w:cs="Times New Roman" w:asciiTheme="minorEastAsia" w:hAnsiTheme="minorEastAsia"/>
          <w:b/>
          <w:bCs/>
          <w:color w:val="auto"/>
          <w:sz w:val="28"/>
          <w:szCs w:val="28"/>
          <w:highlight w:val="none"/>
        </w:rPr>
      </w:pPr>
    </w:p>
    <w:p>
      <w:pPr>
        <w:pStyle w:val="7"/>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numPr>
          <w:ilvl w:val="0"/>
          <w:numId w:val="9"/>
        </w:numPr>
        <w:rPr>
          <w:rFonts w:asciiTheme="minorEastAsia" w:hAnsiTheme="minorEastAsia" w:eastAsiaTheme="minorEastAsia"/>
          <w:color w:val="auto"/>
          <w:sz w:val="28"/>
          <w:szCs w:val="28"/>
          <w:highlight w:val="none"/>
        </w:rPr>
      </w:pPr>
      <w:bookmarkStart w:id="165" w:name="_Toc32430"/>
      <w:bookmarkStart w:id="166" w:name="_Toc19423"/>
      <w:r>
        <w:rPr>
          <w:rFonts w:hint="eastAsia" w:asciiTheme="minorEastAsia" w:hAnsiTheme="minorEastAsia" w:eastAsiaTheme="minorEastAsia"/>
          <w:color w:val="auto"/>
          <w:sz w:val="28"/>
          <w:szCs w:val="28"/>
          <w:highlight w:val="none"/>
        </w:rPr>
        <w:t>报价表</w:t>
      </w:r>
    </w:p>
    <w:p>
      <w:pPr>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广州市净水有限公司</w:t>
      </w:r>
      <w:r>
        <w:rPr>
          <w:rFonts w:hint="eastAsia" w:ascii="仿宋_GB2312" w:eastAsia="仿宋_GB2312"/>
          <w:color w:val="auto"/>
          <w:sz w:val="28"/>
          <w:szCs w:val="28"/>
          <w:highlight w:val="none"/>
          <w:u w:val="single"/>
        </w:rPr>
        <w:t>竹料分公司磁悬浮鼓风机备件购置项目</w:t>
      </w:r>
      <w:r>
        <w:rPr>
          <w:rFonts w:hint="eastAsia" w:asciiTheme="minorEastAsia" w:hAnsiTheme="minorEastAsia"/>
          <w:color w:val="auto"/>
          <w:sz w:val="28"/>
          <w:szCs w:val="28"/>
          <w:highlight w:val="none"/>
        </w:rPr>
        <w:t>报价表</w:t>
      </w:r>
    </w:p>
    <w:bookmarkEnd w:id="165"/>
    <w:bookmarkEnd w:id="166"/>
    <w:tbl>
      <w:tblPr>
        <w:tblStyle w:val="24"/>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825"/>
        <w:gridCol w:w="1215"/>
        <w:gridCol w:w="1455"/>
        <w:gridCol w:w="156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382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配件名称</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数量(个)</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厂家</w:t>
            </w:r>
          </w:p>
        </w:tc>
        <w:tc>
          <w:tcPr>
            <w:tcW w:w="1560"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单价</w:t>
            </w:r>
          </w:p>
        </w:tc>
        <w:tc>
          <w:tcPr>
            <w:tcW w:w="1424"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HST2500鼓风机磁性轴承控制器（MBC）功率板 </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HST2500鼓风机磁性轴承控制器（MBC)控制板 </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HST2500鼓风机磁性轴承控制器（MBC)放大板 </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HST2500鼓风机磁性轴承控制器（MBC)UPS控制卡 </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3#鼓风机进气口压差计，序列号：900853</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3#鼓风机合闸手柄 901348</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HST2500鼓风机NXP0460变频器通讯卡</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Pocket filter HI-CAP 287x592x500-6-G4(过滤袋）</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HST2500鼓风机磁性轴承控制器散热风扇（COMPACT FAN 80X25,24VDC PUDC24H4C-049)</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3825" w:type="dxa"/>
          </w:tcPr>
          <w:p>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HST2500鼓风机NXP0460变频器ASIC板散热风扇</w:t>
            </w:r>
          </w:p>
        </w:tc>
        <w:tc>
          <w:tcPr>
            <w:tcW w:w="121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455" w:type="dxa"/>
          </w:tcPr>
          <w:p>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Sulzer</w:t>
            </w:r>
          </w:p>
        </w:tc>
        <w:tc>
          <w:tcPr>
            <w:tcW w:w="1560" w:type="dxa"/>
          </w:tcPr>
          <w:p>
            <w:pPr>
              <w:widowControl/>
              <w:jc w:val="center"/>
              <w:rPr>
                <w:rFonts w:ascii="宋体" w:hAnsi="宋体" w:eastAsia="宋体" w:cs="宋体"/>
                <w:color w:val="auto"/>
                <w:kern w:val="0"/>
                <w:sz w:val="24"/>
                <w:szCs w:val="24"/>
                <w:highlight w:val="none"/>
                <w:lang w:bidi="ar"/>
              </w:rPr>
            </w:pPr>
          </w:p>
        </w:tc>
        <w:tc>
          <w:tcPr>
            <w:tcW w:w="1424" w:type="dxa"/>
          </w:tcPr>
          <w:p>
            <w:pPr>
              <w:widowControl/>
              <w:jc w:val="center"/>
              <w:rPr>
                <w:rFonts w:ascii="宋体" w:hAnsi="宋体" w:eastAsia="宋体" w:cs="宋体"/>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251" w:type="dxa"/>
            <w:gridSpan w:val="6"/>
          </w:tcPr>
          <w:p>
            <w:pPr>
              <w:widowControl/>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合计：   元（含税：  %）</w:t>
            </w:r>
          </w:p>
        </w:tc>
      </w:tr>
    </w:tbl>
    <w:p>
      <w:pPr>
        <w:pStyle w:val="11"/>
        <w:rPr>
          <w:b/>
          <w:bCs/>
          <w:color w:val="auto"/>
          <w:sz w:val="28"/>
          <w:szCs w:val="32"/>
          <w:highlight w:val="none"/>
        </w:rPr>
      </w:pPr>
    </w:p>
    <w:p>
      <w:pPr>
        <w:pStyle w:val="7"/>
        <w:ind w:firstLine="0"/>
        <w:rPr>
          <w:rFonts w:ascii="仿宋" w:hAnsi="仿宋" w:eastAsia="仿宋" w:cs="仿宋_GB2312"/>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11"/>
        <w:rPr>
          <w:rFonts w:ascii="仿宋" w:hAnsi="仿宋" w:eastAsia="仿宋" w:cs="仿宋_GB2312"/>
          <w:color w:val="auto"/>
          <w:szCs w:val="28"/>
          <w:highlight w:val="none"/>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pStyle w:val="2"/>
        <w:ind w:firstLine="0"/>
        <w:rPr>
          <w:color w:val="auto"/>
          <w:highlight w:val="none"/>
        </w:rPr>
      </w:pPr>
    </w:p>
    <w:p>
      <w:pPr>
        <w:pStyle w:val="6"/>
        <w:rPr>
          <w:rFonts w:asciiTheme="majorEastAsia" w:hAnsiTheme="majorEastAsia" w:eastAsiaTheme="majorEastAsia"/>
          <w:color w:val="auto"/>
          <w:sz w:val="28"/>
          <w:szCs w:val="28"/>
          <w:highlight w:val="none"/>
        </w:rPr>
      </w:pPr>
      <w:bookmarkStart w:id="167" w:name="_Toc16386"/>
      <w:bookmarkStart w:id="168" w:name="_Toc87616402"/>
      <w:bookmarkStart w:id="169" w:name="_Toc6058"/>
      <w:bookmarkStart w:id="170" w:name="_Toc88209965"/>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67"/>
      <w:bookmarkEnd w:id="168"/>
      <w:bookmarkEnd w:id="169"/>
      <w:bookmarkEnd w:id="170"/>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7"/>
        <w:ind w:firstLine="6480" w:firstLineChars="2700"/>
        <w:rPr>
          <w:rFonts w:cs="Times New Roman" w:asciiTheme="majorEastAsia" w:hAnsiTheme="majorEastAsia" w:eastAsiaTheme="majorEastAsia"/>
          <w:b/>
          <w:color w:val="auto"/>
          <w:sz w:val="28"/>
          <w:szCs w:val="28"/>
          <w:highlight w:val="none"/>
        </w:rPr>
      </w:pPr>
      <w:r>
        <w:rPr>
          <w:rFonts w:hint="eastAsia" w:ascii="宋体" w:hAnsi="宋体" w:eastAsia="宋体" w:cs="宋体"/>
          <w:color w:val="auto"/>
          <w:kern w:val="2"/>
          <w:sz w:val="24"/>
          <w:szCs w:val="24"/>
          <w:highlight w:val="none"/>
          <w:lang w:val="en-GB"/>
        </w:rPr>
        <w:t>年  月  日</w:t>
      </w:r>
    </w:p>
    <w:p>
      <w:pPr>
        <w:keepNext/>
        <w:keepLines/>
        <w:rPr>
          <w:rFonts w:cs="Times New Roman"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keepNext/>
        <w:keepLines/>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rPr>
        <w:t>7.承诺函</w:t>
      </w:r>
    </w:p>
    <w:p>
      <w:pPr>
        <w:widowControl/>
        <w:snapToGrid w:val="0"/>
        <w:spacing w:line="520" w:lineRule="exact"/>
        <w:ind w:firstLine="562" w:firstLineChars="200"/>
        <w:jc w:val="left"/>
        <w:rPr>
          <w:rFonts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供应商须出具承诺函，承诺中选后提供报价设备均为制造商原装全新产品。</w:t>
      </w:r>
    </w:p>
    <w:p>
      <w:pPr>
        <w:widowControl/>
        <w:snapToGrid w:val="0"/>
        <w:spacing w:line="520" w:lineRule="exact"/>
        <w:jc w:val="left"/>
        <w:rPr>
          <w:rFonts w:ascii="仿宋_GB2312" w:eastAsia="仿宋_GB2312" w:hAnsiTheme="minorEastAsia"/>
          <w:b/>
          <w:bCs/>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widowControl/>
        <w:snapToGrid w:val="0"/>
        <w:spacing w:line="520" w:lineRule="exact"/>
        <w:ind w:firstLine="6480" w:firstLineChars="2700"/>
        <w:jc w:val="left"/>
        <w:rPr>
          <w:rFonts w:ascii="仿宋_GB2312" w:eastAsia="仿宋_GB2312" w:hAnsiTheme="minorEastAsia"/>
          <w:b/>
          <w:bCs/>
          <w:color w:val="auto"/>
          <w:sz w:val="28"/>
          <w:szCs w:val="28"/>
          <w:highlight w:val="none"/>
        </w:rPr>
      </w:pPr>
      <w:r>
        <w:rPr>
          <w:rFonts w:hint="eastAsia" w:ascii="宋体" w:hAnsi="宋体" w:eastAsia="宋体" w:cs="宋体"/>
          <w:color w:val="auto"/>
          <w:sz w:val="24"/>
          <w:szCs w:val="24"/>
          <w:highlight w:val="none"/>
          <w:lang w:val="en-GB"/>
        </w:rPr>
        <w:t>年  月  日</w:t>
      </w:r>
    </w:p>
    <w:p>
      <w:pPr>
        <w:widowControl/>
        <w:snapToGrid w:val="0"/>
        <w:spacing w:line="520" w:lineRule="exact"/>
        <w:jc w:val="left"/>
        <w:rPr>
          <w:rFonts w:ascii="仿宋_GB2312" w:eastAsia="仿宋_GB2312" w:hAnsiTheme="minorEastAsia"/>
          <w:b/>
          <w:bCs/>
          <w:color w:val="auto"/>
          <w:sz w:val="28"/>
          <w:szCs w:val="28"/>
          <w:highlight w:val="none"/>
        </w:rPr>
      </w:pPr>
    </w:p>
    <w:p>
      <w:pPr>
        <w:widowControl/>
        <w:snapToGrid w:val="0"/>
        <w:spacing w:line="520" w:lineRule="exact"/>
        <w:jc w:val="left"/>
        <w:rPr>
          <w:rFonts w:ascii="仿宋_GB2312" w:eastAsia="仿宋_GB2312" w:hAnsiTheme="minorEastAsia"/>
          <w:b/>
          <w:bCs/>
          <w:color w:val="auto"/>
          <w:sz w:val="28"/>
          <w:szCs w:val="28"/>
          <w:highlight w:val="none"/>
        </w:rPr>
      </w:pPr>
    </w:p>
    <w:p>
      <w:pPr>
        <w:widowControl/>
        <w:snapToGrid w:val="0"/>
        <w:spacing w:line="520" w:lineRule="exact"/>
        <w:jc w:val="left"/>
        <w:rPr>
          <w:rFonts w:ascii="仿宋_GB2312" w:eastAsia="仿宋_GB2312" w:hAnsiTheme="minorEastAsia"/>
          <w:b/>
          <w:bCs/>
          <w:color w:val="auto"/>
          <w:sz w:val="28"/>
          <w:szCs w:val="28"/>
          <w:highlight w:val="none"/>
        </w:rPr>
      </w:pPr>
    </w:p>
    <w:p>
      <w:pPr>
        <w:widowControl/>
        <w:snapToGrid w:val="0"/>
        <w:spacing w:line="520" w:lineRule="exact"/>
        <w:jc w:val="left"/>
        <w:rPr>
          <w:rFonts w:ascii="仿宋_GB2312" w:eastAsia="仿宋_GB2312" w:hAnsiTheme="minorEastAsia"/>
          <w:b/>
          <w:bCs/>
          <w:color w:val="auto"/>
          <w:sz w:val="28"/>
          <w:szCs w:val="28"/>
          <w:highlight w:val="none"/>
        </w:rPr>
      </w:pPr>
    </w:p>
    <w:p>
      <w:pPr>
        <w:widowControl/>
        <w:snapToGrid w:val="0"/>
        <w:spacing w:line="520" w:lineRule="exact"/>
        <w:jc w:val="left"/>
        <w:rPr>
          <w:rFonts w:ascii="仿宋_GB2312" w:eastAsia="仿宋_GB2312" w:hAnsiTheme="minorEastAsia"/>
          <w:b/>
          <w:bCs/>
          <w:color w:val="auto"/>
          <w:sz w:val="28"/>
          <w:szCs w:val="28"/>
          <w:highlight w:val="none"/>
        </w:rPr>
      </w:pPr>
    </w:p>
    <w:p>
      <w:pPr>
        <w:widowControl/>
        <w:snapToGrid w:val="0"/>
        <w:spacing w:line="520" w:lineRule="exact"/>
        <w:jc w:val="left"/>
        <w:rPr>
          <w:rFonts w:ascii="仿宋_GB2312" w:eastAsia="仿宋_GB2312" w:hAnsiTheme="minorEastAsia"/>
          <w:b/>
          <w:bCs/>
          <w:color w:val="auto"/>
          <w:sz w:val="28"/>
          <w:szCs w:val="28"/>
          <w:highlight w:val="none"/>
        </w:rPr>
      </w:pPr>
    </w:p>
    <w:p>
      <w:pPr>
        <w:widowControl/>
        <w:snapToGrid w:val="0"/>
        <w:spacing w:line="520" w:lineRule="exact"/>
        <w:jc w:val="left"/>
        <w:rPr>
          <w:rFonts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2" w:type="first"/>
      <w:footerReference r:id="rId11"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zJD8IBAACO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hMyQ/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7Bc0M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OwXND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F86B6C30"/>
    <w:multiLevelType w:val="singleLevel"/>
    <w:tmpl w:val="F86B6C30"/>
    <w:lvl w:ilvl="0" w:tentative="0">
      <w:start w:val="6"/>
      <w:numFmt w:val="chineseCounting"/>
      <w:suff w:val="space"/>
      <w:lvlText w:val="第%1条"/>
      <w:lvlJc w:val="left"/>
      <w:rPr>
        <w:rFonts w:hint="eastAsia"/>
      </w:rPr>
    </w:lvl>
  </w:abstractNum>
  <w:abstractNum w:abstractNumId="5">
    <w:nsid w:val="15CBB2CD"/>
    <w:multiLevelType w:val="singleLevel"/>
    <w:tmpl w:val="15CBB2CD"/>
    <w:lvl w:ilvl="0" w:tentative="0">
      <w:start w:val="9"/>
      <w:numFmt w:val="decimal"/>
      <w:lvlText w:val="%1."/>
      <w:lvlJc w:val="left"/>
      <w:pPr>
        <w:tabs>
          <w:tab w:val="left" w:pos="312"/>
        </w:tabs>
      </w:p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D076128"/>
    <w:multiLevelType w:val="singleLevel"/>
    <w:tmpl w:val="5D076128"/>
    <w:lvl w:ilvl="0" w:tentative="0">
      <w:start w:val="2"/>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8"/>
  </w:num>
  <w:num w:numId="3">
    <w:abstractNumId w:val="5"/>
  </w:num>
  <w:num w:numId="4">
    <w:abstractNumId w:val="6"/>
  </w:num>
  <w:num w:numId="5">
    <w:abstractNumId w:val="3"/>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NjAxZjg1ODM1YzRjYTM5Mjc3NmQ5MzQwOWVkNzkifQ=="/>
  </w:docVars>
  <w:rsids>
    <w:rsidRoot w:val="005D618A"/>
    <w:rsid w:val="000073FD"/>
    <w:rsid w:val="001A6E7C"/>
    <w:rsid w:val="00397CFB"/>
    <w:rsid w:val="003C6F83"/>
    <w:rsid w:val="003D2B75"/>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762DF9"/>
    <w:rsid w:val="02A23A3C"/>
    <w:rsid w:val="02FB196F"/>
    <w:rsid w:val="032F0A28"/>
    <w:rsid w:val="035D130A"/>
    <w:rsid w:val="039110A9"/>
    <w:rsid w:val="03AC246A"/>
    <w:rsid w:val="03AE6061"/>
    <w:rsid w:val="03B23056"/>
    <w:rsid w:val="03DA023E"/>
    <w:rsid w:val="03DC3EBA"/>
    <w:rsid w:val="03F9794D"/>
    <w:rsid w:val="046A2461"/>
    <w:rsid w:val="051C2970"/>
    <w:rsid w:val="05524952"/>
    <w:rsid w:val="05545D73"/>
    <w:rsid w:val="05CC0199"/>
    <w:rsid w:val="05CF0EB8"/>
    <w:rsid w:val="060C3611"/>
    <w:rsid w:val="06C64829"/>
    <w:rsid w:val="070E7B6E"/>
    <w:rsid w:val="071D62B7"/>
    <w:rsid w:val="077D16D2"/>
    <w:rsid w:val="07931514"/>
    <w:rsid w:val="082A69F3"/>
    <w:rsid w:val="08675FC8"/>
    <w:rsid w:val="08E54BF6"/>
    <w:rsid w:val="094C2AD0"/>
    <w:rsid w:val="096D6157"/>
    <w:rsid w:val="09B713FD"/>
    <w:rsid w:val="09EF6ACC"/>
    <w:rsid w:val="0A1010FE"/>
    <w:rsid w:val="0A315056"/>
    <w:rsid w:val="0A3E3B7B"/>
    <w:rsid w:val="0A5A6874"/>
    <w:rsid w:val="0A694621"/>
    <w:rsid w:val="0AA213B4"/>
    <w:rsid w:val="0AF61C7E"/>
    <w:rsid w:val="0AFB45AD"/>
    <w:rsid w:val="0B136AE7"/>
    <w:rsid w:val="0B184EE1"/>
    <w:rsid w:val="0B351E9B"/>
    <w:rsid w:val="0B4C50D3"/>
    <w:rsid w:val="0B806B92"/>
    <w:rsid w:val="0B827E94"/>
    <w:rsid w:val="0B842F76"/>
    <w:rsid w:val="0BD070E1"/>
    <w:rsid w:val="0BD65B6B"/>
    <w:rsid w:val="0C2361E7"/>
    <w:rsid w:val="0C247926"/>
    <w:rsid w:val="0C5E598A"/>
    <w:rsid w:val="0C8C7917"/>
    <w:rsid w:val="0CD850FC"/>
    <w:rsid w:val="0CF45541"/>
    <w:rsid w:val="0D037263"/>
    <w:rsid w:val="0D794204"/>
    <w:rsid w:val="0DCB035E"/>
    <w:rsid w:val="0DD677E1"/>
    <w:rsid w:val="0DE4113F"/>
    <w:rsid w:val="0DFF7475"/>
    <w:rsid w:val="0E2125D1"/>
    <w:rsid w:val="0E214211"/>
    <w:rsid w:val="0E5F2769"/>
    <w:rsid w:val="0EA94EE3"/>
    <w:rsid w:val="0EBB3C3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9B53FC"/>
    <w:rsid w:val="1215733B"/>
    <w:rsid w:val="121821D6"/>
    <w:rsid w:val="123F049F"/>
    <w:rsid w:val="12424CDC"/>
    <w:rsid w:val="12606B78"/>
    <w:rsid w:val="129A2738"/>
    <w:rsid w:val="12B56BF1"/>
    <w:rsid w:val="12CB1A89"/>
    <w:rsid w:val="131840FB"/>
    <w:rsid w:val="1339277B"/>
    <w:rsid w:val="13467417"/>
    <w:rsid w:val="135A0957"/>
    <w:rsid w:val="136E76CF"/>
    <w:rsid w:val="13934999"/>
    <w:rsid w:val="13CE1647"/>
    <w:rsid w:val="145F08C6"/>
    <w:rsid w:val="14E43F59"/>
    <w:rsid w:val="14FE0367"/>
    <w:rsid w:val="15115A93"/>
    <w:rsid w:val="15776308"/>
    <w:rsid w:val="159759D3"/>
    <w:rsid w:val="15BC6B3C"/>
    <w:rsid w:val="15EC2C59"/>
    <w:rsid w:val="16360A7B"/>
    <w:rsid w:val="164D40B0"/>
    <w:rsid w:val="168A65C0"/>
    <w:rsid w:val="1694429A"/>
    <w:rsid w:val="169B415C"/>
    <w:rsid w:val="173167D3"/>
    <w:rsid w:val="17630C63"/>
    <w:rsid w:val="17635326"/>
    <w:rsid w:val="17B803EA"/>
    <w:rsid w:val="1815096B"/>
    <w:rsid w:val="18236EFD"/>
    <w:rsid w:val="18377249"/>
    <w:rsid w:val="185D743E"/>
    <w:rsid w:val="185E60AE"/>
    <w:rsid w:val="189D5B1F"/>
    <w:rsid w:val="18A01FEE"/>
    <w:rsid w:val="18A34CD0"/>
    <w:rsid w:val="19443CF0"/>
    <w:rsid w:val="19A53EA8"/>
    <w:rsid w:val="19B64DBC"/>
    <w:rsid w:val="19EC6A4A"/>
    <w:rsid w:val="1A1B310D"/>
    <w:rsid w:val="1A373ACF"/>
    <w:rsid w:val="1A7B10BA"/>
    <w:rsid w:val="1A895341"/>
    <w:rsid w:val="1AE01BA2"/>
    <w:rsid w:val="1B0D071F"/>
    <w:rsid w:val="1B4568CE"/>
    <w:rsid w:val="1B7332BB"/>
    <w:rsid w:val="1B9015B7"/>
    <w:rsid w:val="1B950DA6"/>
    <w:rsid w:val="1BF3583D"/>
    <w:rsid w:val="1BF54245"/>
    <w:rsid w:val="1D0E6976"/>
    <w:rsid w:val="1D5A79EE"/>
    <w:rsid w:val="1DCD55AE"/>
    <w:rsid w:val="1DDD4E4F"/>
    <w:rsid w:val="1E0E2CD0"/>
    <w:rsid w:val="1E831280"/>
    <w:rsid w:val="1EBC4704"/>
    <w:rsid w:val="1ED633E5"/>
    <w:rsid w:val="1EE522C8"/>
    <w:rsid w:val="1EF70FD8"/>
    <w:rsid w:val="1F172EB5"/>
    <w:rsid w:val="1F22070B"/>
    <w:rsid w:val="1F2E0F47"/>
    <w:rsid w:val="1F94592D"/>
    <w:rsid w:val="1FB76C2B"/>
    <w:rsid w:val="1FB860DE"/>
    <w:rsid w:val="203C5A02"/>
    <w:rsid w:val="204C61C0"/>
    <w:rsid w:val="205945BD"/>
    <w:rsid w:val="205E0BE7"/>
    <w:rsid w:val="209D4C94"/>
    <w:rsid w:val="20B44FCD"/>
    <w:rsid w:val="20E84705"/>
    <w:rsid w:val="217E77AA"/>
    <w:rsid w:val="218400BA"/>
    <w:rsid w:val="21AB1E2F"/>
    <w:rsid w:val="21D40498"/>
    <w:rsid w:val="21EA0C02"/>
    <w:rsid w:val="22493963"/>
    <w:rsid w:val="22767047"/>
    <w:rsid w:val="22863F44"/>
    <w:rsid w:val="22BC1419"/>
    <w:rsid w:val="23A05588"/>
    <w:rsid w:val="23C42853"/>
    <w:rsid w:val="23C72154"/>
    <w:rsid w:val="240476A1"/>
    <w:rsid w:val="24E953B9"/>
    <w:rsid w:val="25431AEB"/>
    <w:rsid w:val="25B875EB"/>
    <w:rsid w:val="25BE3BFB"/>
    <w:rsid w:val="25BF43FD"/>
    <w:rsid w:val="25F86BCD"/>
    <w:rsid w:val="2605748B"/>
    <w:rsid w:val="261849A4"/>
    <w:rsid w:val="26396D26"/>
    <w:rsid w:val="264544A6"/>
    <w:rsid w:val="2658429D"/>
    <w:rsid w:val="267702FB"/>
    <w:rsid w:val="269E416A"/>
    <w:rsid w:val="26C11C6B"/>
    <w:rsid w:val="272100D3"/>
    <w:rsid w:val="272C72FC"/>
    <w:rsid w:val="275131CB"/>
    <w:rsid w:val="278F6521"/>
    <w:rsid w:val="27EB149D"/>
    <w:rsid w:val="27FD3E52"/>
    <w:rsid w:val="2818615F"/>
    <w:rsid w:val="281C4C20"/>
    <w:rsid w:val="281D56E4"/>
    <w:rsid w:val="28201C07"/>
    <w:rsid w:val="28E11370"/>
    <w:rsid w:val="294A756A"/>
    <w:rsid w:val="2952530A"/>
    <w:rsid w:val="29781BF8"/>
    <w:rsid w:val="297939E2"/>
    <w:rsid w:val="29997B66"/>
    <w:rsid w:val="29C33ED0"/>
    <w:rsid w:val="29D5322D"/>
    <w:rsid w:val="2A025DD9"/>
    <w:rsid w:val="2A0C2A72"/>
    <w:rsid w:val="2A2619CB"/>
    <w:rsid w:val="2A7317D3"/>
    <w:rsid w:val="2A7C2231"/>
    <w:rsid w:val="2A920E4F"/>
    <w:rsid w:val="2ABB753D"/>
    <w:rsid w:val="2AF0266B"/>
    <w:rsid w:val="2AFE6EC4"/>
    <w:rsid w:val="2B345DDC"/>
    <w:rsid w:val="2B7A49FA"/>
    <w:rsid w:val="2B9A11D5"/>
    <w:rsid w:val="2BAA3FE1"/>
    <w:rsid w:val="2C320769"/>
    <w:rsid w:val="2C615D26"/>
    <w:rsid w:val="2C626979"/>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2F3090"/>
    <w:rsid w:val="32324C2E"/>
    <w:rsid w:val="327171DF"/>
    <w:rsid w:val="32803532"/>
    <w:rsid w:val="329D1AD3"/>
    <w:rsid w:val="32B62CC5"/>
    <w:rsid w:val="336558EB"/>
    <w:rsid w:val="337D1D45"/>
    <w:rsid w:val="3391569E"/>
    <w:rsid w:val="33CC077F"/>
    <w:rsid w:val="341E3434"/>
    <w:rsid w:val="34350E8E"/>
    <w:rsid w:val="34BB4442"/>
    <w:rsid w:val="35787AAF"/>
    <w:rsid w:val="3584136B"/>
    <w:rsid w:val="35FF5AA4"/>
    <w:rsid w:val="360B7EBA"/>
    <w:rsid w:val="36416867"/>
    <w:rsid w:val="367D5DD4"/>
    <w:rsid w:val="369C32FD"/>
    <w:rsid w:val="37666E72"/>
    <w:rsid w:val="379A65CC"/>
    <w:rsid w:val="37A64395"/>
    <w:rsid w:val="38081EA3"/>
    <w:rsid w:val="38167A04"/>
    <w:rsid w:val="381C3783"/>
    <w:rsid w:val="38B74699"/>
    <w:rsid w:val="394B167A"/>
    <w:rsid w:val="39AD34EA"/>
    <w:rsid w:val="39B71ABE"/>
    <w:rsid w:val="39DA2868"/>
    <w:rsid w:val="39DF6BF2"/>
    <w:rsid w:val="39EF679C"/>
    <w:rsid w:val="3A055F4B"/>
    <w:rsid w:val="3A4E4336"/>
    <w:rsid w:val="3A6007FE"/>
    <w:rsid w:val="3A802587"/>
    <w:rsid w:val="3A852164"/>
    <w:rsid w:val="3AF93D6C"/>
    <w:rsid w:val="3AFA5DF5"/>
    <w:rsid w:val="3AFD06C8"/>
    <w:rsid w:val="3B477B26"/>
    <w:rsid w:val="3B7C2CE4"/>
    <w:rsid w:val="3BAF716B"/>
    <w:rsid w:val="3C0B5355"/>
    <w:rsid w:val="3C4A461E"/>
    <w:rsid w:val="3CD4176B"/>
    <w:rsid w:val="3D1F44D9"/>
    <w:rsid w:val="3D5C38CD"/>
    <w:rsid w:val="3D98044D"/>
    <w:rsid w:val="3DD3648A"/>
    <w:rsid w:val="3E1C0706"/>
    <w:rsid w:val="3E5070F1"/>
    <w:rsid w:val="3E69598F"/>
    <w:rsid w:val="3E7569E0"/>
    <w:rsid w:val="3EC370CB"/>
    <w:rsid w:val="3ED75868"/>
    <w:rsid w:val="3F541662"/>
    <w:rsid w:val="3F6C3589"/>
    <w:rsid w:val="3F850180"/>
    <w:rsid w:val="3F9004D6"/>
    <w:rsid w:val="3FEE7CFA"/>
    <w:rsid w:val="400E4D5E"/>
    <w:rsid w:val="40E1138C"/>
    <w:rsid w:val="412547F1"/>
    <w:rsid w:val="413814BA"/>
    <w:rsid w:val="41872511"/>
    <w:rsid w:val="41DF1251"/>
    <w:rsid w:val="424236D9"/>
    <w:rsid w:val="42466655"/>
    <w:rsid w:val="42480A06"/>
    <w:rsid w:val="42C82F57"/>
    <w:rsid w:val="42E86E15"/>
    <w:rsid w:val="43052AAA"/>
    <w:rsid w:val="435707E5"/>
    <w:rsid w:val="43987249"/>
    <w:rsid w:val="439927E1"/>
    <w:rsid w:val="43C76AF7"/>
    <w:rsid w:val="43DD4A29"/>
    <w:rsid w:val="43E97E4A"/>
    <w:rsid w:val="440D65DA"/>
    <w:rsid w:val="446828F0"/>
    <w:rsid w:val="45093E85"/>
    <w:rsid w:val="450B3BFA"/>
    <w:rsid w:val="455F6FFF"/>
    <w:rsid w:val="45A14109"/>
    <w:rsid w:val="45C13B4D"/>
    <w:rsid w:val="46054BCA"/>
    <w:rsid w:val="461A44A1"/>
    <w:rsid w:val="464C6AFC"/>
    <w:rsid w:val="468B0091"/>
    <w:rsid w:val="46A107C3"/>
    <w:rsid w:val="46B15CE2"/>
    <w:rsid w:val="46BE113D"/>
    <w:rsid w:val="46E2698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EB5460"/>
    <w:rsid w:val="48F005D3"/>
    <w:rsid w:val="49466522"/>
    <w:rsid w:val="49547ADD"/>
    <w:rsid w:val="49732351"/>
    <w:rsid w:val="498F4AF1"/>
    <w:rsid w:val="49BC10F6"/>
    <w:rsid w:val="49C05787"/>
    <w:rsid w:val="49CF518D"/>
    <w:rsid w:val="49D56585"/>
    <w:rsid w:val="4A7F3979"/>
    <w:rsid w:val="4ADA1F63"/>
    <w:rsid w:val="4AE23D89"/>
    <w:rsid w:val="4AEE5828"/>
    <w:rsid w:val="4B2038D0"/>
    <w:rsid w:val="4B296E7D"/>
    <w:rsid w:val="4B5A2A91"/>
    <w:rsid w:val="4B697E5D"/>
    <w:rsid w:val="4B79394E"/>
    <w:rsid w:val="4B7C1F28"/>
    <w:rsid w:val="4B877F28"/>
    <w:rsid w:val="4B9154A8"/>
    <w:rsid w:val="4C4E4CAE"/>
    <w:rsid w:val="4CD200BA"/>
    <w:rsid w:val="4D2044E7"/>
    <w:rsid w:val="4D916BA6"/>
    <w:rsid w:val="4D933D29"/>
    <w:rsid w:val="4DA66743"/>
    <w:rsid w:val="4DC44169"/>
    <w:rsid w:val="4DE24E21"/>
    <w:rsid w:val="4E1B19A3"/>
    <w:rsid w:val="4E48787F"/>
    <w:rsid w:val="4EC21A55"/>
    <w:rsid w:val="4EF0709E"/>
    <w:rsid w:val="4F0469A4"/>
    <w:rsid w:val="4F542EE9"/>
    <w:rsid w:val="4FAC5B19"/>
    <w:rsid w:val="50075C0E"/>
    <w:rsid w:val="500E56F4"/>
    <w:rsid w:val="5052336C"/>
    <w:rsid w:val="50540C73"/>
    <w:rsid w:val="50752AF8"/>
    <w:rsid w:val="50927531"/>
    <w:rsid w:val="50A80B24"/>
    <w:rsid w:val="50DD03FB"/>
    <w:rsid w:val="513C6A7B"/>
    <w:rsid w:val="51675490"/>
    <w:rsid w:val="517300C9"/>
    <w:rsid w:val="517805B3"/>
    <w:rsid w:val="5255184F"/>
    <w:rsid w:val="52EC6EC2"/>
    <w:rsid w:val="532D486F"/>
    <w:rsid w:val="5333545B"/>
    <w:rsid w:val="53617681"/>
    <w:rsid w:val="536579BD"/>
    <w:rsid w:val="538D0E89"/>
    <w:rsid w:val="54252ED6"/>
    <w:rsid w:val="5450213C"/>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79D710E"/>
    <w:rsid w:val="581F22F6"/>
    <w:rsid w:val="58644833"/>
    <w:rsid w:val="586E1E17"/>
    <w:rsid w:val="58862C35"/>
    <w:rsid w:val="58C14957"/>
    <w:rsid w:val="58CC23D2"/>
    <w:rsid w:val="58E1471F"/>
    <w:rsid w:val="58E66050"/>
    <w:rsid w:val="590615F5"/>
    <w:rsid w:val="596B36B6"/>
    <w:rsid w:val="59C56E0E"/>
    <w:rsid w:val="59E63F07"/>
    <w:rsid w:val="59F85883"/>
    <w:rsid w:val="59FC7994"/>
    <w:rsid w:val="5A1D1BD0"/>
    <w:rsid w:val="5A9509A6"/>
    <w:rsid w:val="5AE83A50"/>
    <w:rsid w:val="5B1D185C"/>
    <w:rsid w:val="5B353193"/>
    <w:rsid w:val="5B3E6FD8"/>
    <w:rsid w:val="5BAB2917"/>
    <w:rsid w:val="5BFC33FA"/>
    <w:rsid w:val="5C061864"/>
    <w:rsid w:val="5C3107A4"/>
    <w:rsid w:val="5C3B1B93"/>
    <w:rsid w:val="5C512563"/>
    <w:rsid w:val="5C9220DF"/>
    <w:rsid w:val="5C9F1F8B"/>
    <w:rsid w:val="5CAF3AF5"/>
    <w:rsid w:val="5D17404F"/>
    <w:rsid w:val="5D4A15F3"/>
    <w:rsid w:val="5D4F0909"/>
    <w:rsid w:val="5D69542A"/>
    <w:rsid w:val="5D783B72"/>
    <w:rsid w:val="5E0930EF"/>
    <w:rsid w:val="5E3D4D53"/>
    <w:rsid w:val="5E4717E6"/>
    <w:rsid w:val="5E55774C"/>
    <w:rsid w:val="5E575DBA"/>
    <w:rsid w:val="5E6F197A"/>
    <w:rsid w:val="5E8A70FF"/>
    <w:rsid w:val="5EE906B0"/>
    <w:rsid w:val="5F036867"/>
    <w:rsid w:val="60045F96"/>
    <w:rsid w:val="60104DDC"/>
    <w:rsid w:val="603A4981"/>
    <w:rsid w:val="605C0804"/>
    <w:rsid w:val="60913E6F"/>
    <w:rsid w:val="61733C3E"/>
    <w:rsid w:val="61782BD0"/>
    <w:rsid w:val="617B1325"/>
    <w:rsid w:val="6189617B"/>
    <w:rsid w:val="61B52BB6"/>
    <w:rsid w:val="61B749C2"/>
    <w:rsid w:val="61BA2050"/>
    <w:rsid w:val="61CB0541"/>
    <w:rsid w:val="62280D20"/>
    <w:rsid w:val="6293296C"/>
    <w:rsid w:val="62B4786E"/>
    <w:rsid w:val="62CA2457"/>
    <w:rsid w:val="638240A1"/>
    <w:rsid w:val="63833423"/>
    <w:rsid w:val="63A5257B"/>
    <w:rsid w:val="63BD3DCC"/>
    <w:rsid w:val="63C61741"/>
    <w:rsid w:val="64560967"/>
    <w:rsid w:val="64B11E55"/>
    <w:rsid w:val="6512208F"/>
    <w:rsid w:val="655A065C"/>
    <w:rsid w:val="656B1D10"/>
    <w:rsid w:val="65B841F9"/>
    <w:rsid w:val="65FE3864"/>
    <w:rsid w:val="66022B28"/>
    <w:rsid w:val="664A38E2"/>
    <w:rsid w:val="66581E87"/>
    <w:rsid w:val="66766EBB"/>
    <w:rsid w:val="66FA11D5"/>
    <w:rsid w:val="674302C7"/>
    <w:rsid w:val="679E626A"/>
    <w:rsid w:val="67CB09D8"/>
    <w:rsid w:val="67EE3B0F"/>
    <w:rsid w:val="680A5986"/>
    <w:rsid w:val="680D5F4B"/>
    <w:rsid w:val="68113F51"/>
    <w:rsid w:val="68B272C7"/>
    <w:rsid w:val="68E94770"/>
    <w:rsid w:val="68EC1CEF"/>
    <w:rsid w:val="68F949C9"/>
    <w:rsid w:val="69223C33"/>
    <w:rsid w:val="69392234"/>
    <w:rsid w:val="695A4290"/>
    <w:rsid w:val="696F3649"/>
    <w:rsid w:val="698E6C8E"/>
    <w:rsid w:val="6A267606"/>
    <w:rsid w:val="6A300BD5"/>
    <w:rsid w:val="6A334932"/>
    <w:rsid w:val="6A3353FF"/>
    <w:rsid w:val="6A5D63E6"/>
    <w:rsid w:val="6A5F24D1"/>
    <w:rsid w:val="6ACA70C4"/>
    <w:rsid w:val="6ADA2D9B"/>
    <w:rsid w:val="6AE347EB"/>
    <w:rsid w:val="6B056C51"/>
    <w:rsid w:val="6B330365"/>
    <w:rsid w:val="6B434AF0"/>
    <w:rsid w:val="6B57675A"/>
    <w:rsid w:val="6B6A5780"/>
    <w:rsid w:val="6B87098A"/>
    <w:rsid w:val="6BDD7B4D"/>
    <w:rsid w:val="6C306176"/>
    <w:rsid w:val="6D8B7221"/>
    <w:rsid w:val="6D995F16"/>
    <w:rsid w:val="6DB064C7"/>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0F6648"/>
    <w:rsid w:val="71860B17"/>
    <w:rsid w:val="71B717B8"/>
    <w:rsid w:val="72107D17"/>
    <w:rsid w:val="723B27CC"/>
    <w:rsid w:val="724F75B7"/>
    <w:rsid w:val="72687227"/>
    <w:rsid w:val="727B61BC"/>
    <w:rsid w:val="72A03FD9"/>
    <w:rsid w:val="72A3156E"/>
    <w:rsid w:val="72DB1AE4"/>
    <w:rsid w:val="73406CFF"/>
    <w:rsid w:val="7383028C"/>
    <w:rsid w:val="73A25E44"/>
    <w:rsid w:val="74142DC4"/>
    <w:rsid w:val="741F68CF"/>
    <w:rsid w:val="742C7EED"/>
    <w:rsid w:val="744D4D87"/>
    <w:rsid w:val="74E405C0"/>
    <w:rsid w:val="75252DF3"/>
    <w:rsid w:val="75621536"/>
    <w:rsid w:val="75874327"/>
    <w:rsid w:val="759C03E1"/>
    <w:rsid w:val="75BF3154"/>
    <w:rsid w:val="75DA4A2D"/>
    <w:rsid w:val="764A07CF"/>
    <w:rsid w:val="764F6B3D"/>
    <w:rsid w:val="76CD2B7B"/>
    <w:rsid w:val="76D80645"/>
    <w:rsid w:val="76E03371"/>
    <w:rsid w:val="771211AA"/>
    <w:rsid w:val="7735630E"/>
    <w:rsid w:val="77495D38"/>
    <w:rsid w:val="77736C04"/>
    <w:rsid w:val="780E5898"/>
    <w:rsid w:val="782642CC"/>
    <w:rsid w:val="787212BF"/>
    <w:rsid w:val="7894095E"/>
    <w:rsid w:val="78964555"/>
    <w:rsid w:val="78C767F3"/>
    <w:rsid w:val="78CF4963"/>
    <w:rsid w:val="79000679"/>
    <w:rsid w:val="7916258F"/>
    <w:rsid w:val="791C0FE5"/>
    <w:rsid w:val="798B776C"/>
    <w:rsid w:val="79A416F0"/>
    <w:rsid w:val="79AA6E1B"/>
    <w:rsid w:val="79B03EB6"/>
    <w:rsid w:val="79B61437"/>
    <w:rsid w:val="79D35E29"/>
    <w:rsid w:val="79F638A7"/>
    <w:rsid w:val="7AD50586"/>
    <w:rsid w:val="7AE15A5C"/>
    <w:rsid w:val="7AF37579"/>
    <w:rsid w:val="7AF87F64"/>
    <w:rsid w:val="7B1C0C84"/>
    <w:rsid w:val="7B5A62DF"/>
    <w:rsid w:val="7B7A04A8"/>
    <w:rsid w:val="7B8E4662"/>
    <w:rsid w:val="7BFE24EE"/>
    <w:rsid w:val="7C0C3F6D"/>
    <w:rsid w:val="7C22163C"/>
    <w:rsid w:val="7C457B4B"/>
    <w:rsid w:val="7C595075"/>
    <w:rsid w:val="7C6B07B2"/>
    <w:rsid w:val="7CCC3693"/>
    <w:rsid w:val="7D030168"/>
    <w:rsid w:val="7D133243"/>
    <w:rsid w:val="7D2F437A"/>
    <w:rsid w:val="7D945420"/>
    <w:rsid w:val="7D997857"/>
    <w:rsid w:val="7DD07A4B"/>
    <w:rsid w:val="7DD115E7"/>
    <w:rsid w:val="7DFF12E2"/>
    <w:rsid w:val="7E394207"/>
    <w:rsid w:val="7E4007A2"/>
    <w:rsid w:val="7E791CAD"/>
    <w:rsid w:val="7EA50DFB"/>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字符"/>
    <w:basedOn w:val="25"/>
    <w:link w:val="19"/>
    <w:semiHidden/>
    <w:qFormat/>
    <w:uiPriority w:val="99"/>
    <w:rPr>
      <w:sz w:val="18"/>
      <w:szCs w:val="18"/>
    </w:rPr>
  </w:style>
  <w:style w:type="character" w:customStyle="1" w:styleId="31">
    <w:name w:val="页脚 字符"/>
    <w:basedOn w:val="25"/>
    <w:link w:val="18"/>
    <w:qFormat/>
    <w:uiPriority w:val="99"/>
    <w:rPr>
      <w:sz w:val="18"/>
      <w:szCs w:val="18"/>
    </w:rPr>
  </w:style>
  <w:style w:type="character" w:customStyle="1" w:styleId="32">
    <w:name w:val="标题 1 字符"/>
    <w:basedOn w:val="25"/>
    <w:link w:val="4"/>
    <w:qFormat/>
    <w:uiPriority w:val="9"/>
    <w:rPr>
      <w:rFonts w:eastAsia="方正小标宋简体"/>
      <w:bCs/>
      <w:kern w:val="44"/>
      <w:sz w:val="44"/>
      <w:szCs w:val="44"/>
    </w:rPr>
  </w:style>
  <w:style w:type="character" w:customStyle="1" w:styleId="33">
    <w:name w:val="标题 2 字符"/>
    <w:basedOn w:val="25"/>
    <w:link w:val="5"/>
    <w:qFormat/>
    <w:uiPriority w:val="9"/>
    <w:rPr>
      <w:rFonts w:eastAsia="方正小标宋简体" w:asciiTheme="majorHAnsi" w:hAnsiTheme="majorHAnsi" w:cstheme="majorBidi"/>
      <w:bCs/>
      <w:sz w:val="36"/>
      <w:szCs w:val="32"/>
    </w:rPr>
  </w:style>
  <w:style w:type="character" w:customStyle="1" w:styleId="34">
    <w:name w:val="标题 3 字符"/>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5"/>
    <w:link w:val="9"/>
    <w:semiHidden/>
    <w:qFormat/>
    <w:uiPriority w:val="99"/>
    <w:rPr>
      <w:sz w:val="16"/>
      <w:szCs w:val="16"/>
    </w:rPr>
  </w:style>
  <w:style w:type="character" w:customStyle="1" w:styleId="43">
    <w:name w:val="列表段落 字符"/>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21"/>
    <w:basedOn w:val="25"/>
    <w:qFormat/>
    <w:uiPriority w:val="0"/>
    <w:rPr>
      <w:rFonts w:hint="eastAsia" w:ascii="宋体" w:hAnsi="宋体" w:eastAsia="宋体" w:cs="宋体"/>
      <w:color w:val="000000"/>
      <w:sz w:val="22"/>
      <w:szCs w:val="22"/>
      <w:u w:val="none"/>
    </w:rPr>
  </w:style>
  <w:style w:type="paragraph" w:customStyle="1" w:styleId="51">
    <w:name w:val="p15"/>
    <w:basedOn w:val="1"/>
    <w:qFormat/>
    <w:uiPriority w:val="0"/>
    <w:pPr>
      <w:widowControl/>
      <w:spacing w:before="100" w:after="100"/>
      <w:ind w:firstLine="3584"/>
    </w:pPr>
    <w:rPr>
      <w:rFonts w:ascii="Tahoma"/>
    </w:rPr>
  </w:style>
  <w:style w:type="paragraph" w:customStyle="1" w:styleId="52">
    <w:name w:val="my 正文"/>
    <w:basedOn w:val="1"/>
    <w:qFormat/>
    <w:uiPriority w:val="0"/>
    <w:pPr>
      <w:spacing w:line="360" w:lineRule="auto"/>
      <w:ind w:firstLine="200" w:firstLineChars="200"/>
      <w:jc w:val="left"/>
    </w:pPr>
    <w:rPr>
      <w:sz w:val="24"/>
    </w:rPr>
  </w:style>
  <w:style w:type="paragraph" w:customStyle="1" w:styleId="53">
    <w:name w:val="_Style 4"/>
    <w:basedOn w:val="4"/>
    <w:next w:val="1"/>
    <w:qFormat/>
    <w:uiPriority w:val="0"/>
    <w:pPr>
      <w:spacing w:line="576" w:lineRule="auto"/>
      <w:outlineLvl w:val="9"/>
    </w:pPr>
    <w:rPr>
      <w:rFonts w:ascii="Calibri" w:hAnsi="Calibri"/>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5">
    <w:name w:val="BodyText"/>
    <w:basedOn w:val="1"/>
    <w:next w:val="56"/>
    <w:qFormat/>
    <w:uiPriority w:val="0"/>
    <w:pPr>
      <w:textAlignment w:val="baseline"/>
    </w:pPr>
    <w:rPr>
      <w:rFonts w:ascii="Times New Roman" w:hAnsi="Times New Roman" w:eastAsia="宋体"/>
      <w:sz w:val="28"/>
    </w:rPr>
  </w:style>
  <w:style w:type="paragraph" w:customStyle="1" w:styleId="56">
    <w:name w:val="BodyText2"/>
    <w:basedOn w:val="1"/>
    <w:qFormat/>
    <w:uiPriority w:val="0"/>
    <w:pPr>
      <w:spacing w:after="120" w:line="480" w:lineRule="auto"/>
      <w:textAlignment w:val="baseline"/>
    </w:pPr>
  </w:style>
  <w:style w:type="paragraph" w:customStyle="1" w:styleId="57">
    <w:name w:val="+标题3"/>
    <w:basedOn w:val="6"/>
    <w:qFormat/>
    <w:uiPriority w:val="0"/>
    <w:pPr>
      <w:tabs>
        <w:tab w:val="left" w:pos="520"/>
        <w:tab w:val="left" w:pos="900"/>
      </w:tabs>
      <w:spacing w:before="120" w:after="120"/>
      <w:ind w:left="407" w:hanging="227"/>
    </w:pPr>
    <w:rPr>
      <w:rFonts w:ascii="Times New Roman" w:hAnsi="Times New Roman"/>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3234</Words>
  <Characters>18439</Characters>
  <Lines>153</Lines>
  <Paragraphs>43</Paragraphs>
  <TotalTime>0</TotalTime>
  <ScaleCrop>false</ScaleCrop>
  <LinksUpToDate>false</LinksUpToDate>
  <CharactersWithSpaces>21630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2023-05-08T05:45:00Z</dcterms:created>
  <dc:creator>陈义春</dc:creator>
  <cp:lastModifiedBy>琳</cp:lastModifiedBy>
  <cp:lastPrinted>2023-03-28T03:16:00Z</cp:lastPrinted>
  <dcterms:modified xsi:type="dcterms:W3CDTF">2023-06-07T07:30:53Z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