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keepNext w:val="0"/>
        <w:keepLines w:val="0"/>
        <w:pageBreakBefore w:val="0"/>
        <w:widowControl w:val="0"/>
        <w:kinsoku/>
        <w:wordWrap/>
        <w:overflowPunct/>
        <w:topLinePunct w:val="0"/>
        <w:autoSpaceDE/>
        <w:autoSpaceDN/>
        <w:bidi w:val="0"/>
        <w:adjustRightInd/>
        <w:snapToGrid w:val="0"/>
        <w:spacing w:line="560" w:lineRule="exact"/>
        <w:contextualSpacing/>
        <w:jc w:val="center"/>
        <w:textAlignment w:val="auto"/>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广州市净水有限公司2023年度大坦沙、江高分公司在线监测设备及</w:t>
      </w:r>
    </w:p>
    <w:p>
      <w:pPr>
        <w:keepNext w:val="0"/>
        <w:keepLines w:val="0"/>
        <w:pageBreakBefore w:val="0"/>
        <w:widowControl w:val="0"/>
        <w:kinsoku/>
        <w:wordWrap/>
        <w:overflowPunct/>
        <w:topLinePunct w:val="0"/>
        <w:autoSpaceDE/>
        <w:autoSpaceDN/>
        <w:bidi w:val="0"/>
        <w:adjustRightInd/>
        <w:snapToGrid w:val="0"/>
        <w:spacing w:line="560" w:lineRule="exact"/>
        <w:contextualSpacing/>
        <w:jc w:val="center"/>
        <w:textAlignment w:val="auto"/>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水质中心在线监测备机第三方</w:t>
      </w:r>
    </w:p>
    <w:p>
      <w:pPr>
        <w:keepNext w:val="0"/>
        <w:keepLines w:val="0"/>
        <w:pageBreakBefore w:val="0"/>
        <w:widowControl w:val="0"/>
        <w:kinsoku/>
        <w:wordWrap/>
        <w:overflowPunct/>
        <w:topLinePunct w:val="0"/>
        <w:autoSpaceDE/>
        <w:autoSpaceDN/>
        <w:bidi w:val="0"/>
        <w:adjustRightInd/>
        <w:snapToGrid w:val="0"/>
        <w:spacing w:line="560" w:lineRule="exact"/>
        <w:contextualSpacing/>
        <w:jc w:val="center"/>
        <w:textAlignment w:val="auto"/>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校准服务项目（第二次）</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采购公告（采购邀请书）</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rPr>
      </w:pPr>
      <w:bookmarkStart w:id="0" w:name="_Toc18145"/>
      <w:bookmarkStart w:id="1" w:name="_Toc26148"/>
    </w:p>
    <w:p>
      <w:pPr>
        <w:rPr>
          <w:rFonts w:hint="eastAsia"/>
        </w:rPr>
      </w:pPr>
    </w:p>
    <w:p>
      <w:pPr>
        <w:pStyle w:val="5"/>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rPr>
          <w:rFonts w:hint="eastAsia"/>
        </w:rPr>
      </w:pPr>
      <w:bookmarkStart w:id="4" w:name="_Toc31938"/>
      <w:bookmarkStart w:id="5" w:name="_Toc4275"/>
      <w:bookmarkStart w:id="6" w:name="_Toc1669"/>
      <w:bookmarkStart w:id="7" w:name="_Toc11322"/>
      <w:bookmarkStart w:id="8" w:name="_Toc17801"/>
      <w:bookmarkStart w:id="9" w:name="_Toc7519"/>
      <w:bookmarkStart w:id="10" w:name="_Toc19609"/>
    </w:p>
    <w:p>
      <w:pPr>
        <w:pStyle w:val="5"/>
        <w:rPr>
          <w:rFonts w:hint="eastAsia"/>
        </w:rPr>
      </w:pPr>
    </w:p>
    <w:p>
      <w:pPr>
        <w:pStyle w:val="5"/>
        <w:rPr>
          <w:rFonts w:hint="eastAsia"/>
        </w:rPr>
      </w:pPr>
    </w:p>
    <w:p>
      <w:pPr>
        <w:pStyle w:val="5"/>
      </w:pPr>
      <w:r>
        <mc:AlternateContent>
          <mc:Choice Requires="wps">
            <w:drawing>
              <wp:anchor distT="0" distB="0" distL="114300" distR="114300" simplePos="0" relativeHeight="251670528" behindDoc="0" locked="0" layoutInCell="1" allowOverlap="1">
                <wp:simplePos x="0" y="0"/>
                <wp:positionH relativeFrom="column">
                  <wp:posOffset>2224405</wp:posOffset>
                </wp:positionH>
                <wp:positionV relativeFrom="paragraph">
                  <wp:posOffset>88900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15pt;margin-top:7pt;height:0pt;width:75.5pt;z-index:251670528;mso-width-relative:page;mso-height-relative:page;" filled="f" stroked="t" coordsize="21600,21600" o:gfxdata="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8zjfLVAAAACQ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2207260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3.8pt;margin-top:39.95pt;height:0pt;width:75.5pt;z-index:251671552;mso-width-relative:page;mso-height-relative:page;" filled="f" stroked="t" coordsize="21600,21600" o:gfxdata="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imK8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5"/>
        <w:rPr>
          <w:rFonts w:hint="eastAsia" w:eastAsia="方正小标宋简体"/>
          <w:lang w:eastAsia="zh-CN"/>
        </w:rPr>
      </w:pPr>
      <w:bookmarkStart w:id="11" w:name="_Toc2659"/>
      <w:bookmarkStart w:id="12" w:name="_Toc26363"/>
      <w:bookmarkStart w:id="13" w:name="_Toc14238"/>
      <w:bookmarkStart w:id="14" w:name="_Toc30989"/>
      <w:bookmarkStart w:id="15" w:name="_Toc8201"/>
      <w:bookmarkStart w:id="16" w:name="_Toc88209924"/>
      <w:bookmarkStart w:id="17" w:name="_Toc10122"/>
      <w:bookmarkStart w:id="18" w:name="_Toc15709"/>
      <w:bookmarkStart w:id="19" w:name="_Toc5230"/>
      <w:bookmarkStart w:id="20" w:name="_Toc999"/>
      <w:bookmarkStart w:id="21" w:name="_Toc28995"/>
      <w:bookmarkStart w:id="22" w:name="_Toc3013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r>
        <w:rPr>
          <w:rFonts w:hint="eastAsia"/>
          <w:lang w:eastAsia="zh-CN"/>
        </w:rPr>
        <w:t>（</w:t>
      </w:r>
      <w:r>
        <w:rPr>
          <w:rFonts w:hint="eastAsia"/>
          <w:lang w:val="en-US" w:eastAsia="zh-CN"/>
        </w:rPr>
        <w:t>采购邀请书</w:t>
      </w:r>
      <w:r>
        <w:rPr>
          <w:rFonts w:hint="eastAsia"/>
          <w:lang w:eastAsia="zh-CN"/>
        </w:rPr>
        <w:t>）</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6"/>
        <w:spacing w:line="600" w:lineRule="exact"/>
        <w:rPr>
          <w:rFonts w:hint="default" w:eastAsia="方正小标宋简体"/>
          <w:lang w:val="en-US" w:eastAsia="zh-CN"/>
        </w:rPr>
      </w:pPr>
      <w:r>
        <w:rPr>
          <w:rFonts w:hint="eastAsia"/>
          <w:lang w:val="en-US" w:eastAsia="zh-CN"/>
        </w:rPr>
        <w:t>采购公告（采购邀请书）</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广州市净水有限公司2023年度大坦沙、江高分公司在线监测</w:t>
      </w:r>
      <w:r>
        <w:rPr>
          <w:rFonts w:hint="eastAsia" w:ascii="仿宋_GB2312" w:eastAsia="仿宋_GB2312"/>
          <w:sz w:val="28"/>
          <w:szCs w:val="28"/>
          <w:u w:val="single"/>
          <w:lang w:eastAsia="zh-CN"/>
        </w:rPr>
        <w:t>设备</w:t>
      </w:r>
      <w:r>
        <w:rPr>
          <w:rFonts w:hint="eastAsia" w:ascii="仿宋_GB2312" w:eastAsia="仿宋_GB2312"/>
          <w:sz w:val="28"/>
          <w:szCs w:val="28"/>
          <w:u w:val="single"/>
          <w:lang w:val="en-US" w:eastAsia="zh-CN"/>
        </w:rPr>
        <w:t>及水质中心在线监测备机第</w:t>
      </w:r>
      <w:r>
        <w:rPr>
          <w:rFonts w:hint="eastAsia" w:ascii="仿宋_GB2312" w:eastAsia="仿宋_GB2312"/>
          <w:sz w:val="28"/>
          <w:szCs w:val="28"/>
          <w:u w:val="single"/>
          <w:lang w:eastAsia="zh-CN"/>
        </w:rPr>
        <w:t>三方校准服务</w:t>
      </w:r>
      <w:r>
        <w:rPr>
          <w:rFonts w:hint="eastAsia" w:ascii="仿宋_GB2312" w:eastAsia="仿宋_GB2312"/>
          <w:sz w:val="28"/>
          <w:szCs w:val="28"/>
          <w:u w:val="single"/>
          <w:lang w:val="en-US" w:eastAsia="zh-CN"/>
        </w:rPr>
        <w:t>项目</w:t>
      </w:r>
      <w:r>
        <w:rPr>
          <w:rFonts w:hint="eastAsia" w:ascii="仿宋_GB2312" w:eastAsia="仿宋_GB2312"/>
          <w:sz w:val="28"/>
          <w:szCs w:val="28"/>
        </w:rPr>
        <w:t xml:space="preserve">已具备采购条件，现对该□施工  </w:t>
      </w:r>
      <w:r>
        <w:rPr>
          <w:rFonts w:hint="eastAsia" w:ascii="仿宋_GB2312" w:eastAsia="仿宋_GB2312"/>
          <w:sz w:val="28"/>
          <w:szCs w:val="28"/>
          <w:lang w:eastAsia="zh-CN"/>
        </w:rPr>
        <w:t>□</w:t>
      </w:r>
      <w:r>
        <w:rPr>
          <w:rFonts w:hint="eastAsia" w:ascii="仿宋_GB2312" w:eastAsia="仿宋_GB2312"/>
          <w:sz w:val="28"/>
          <w:szCs w:val="28"/>
        </w:rPr>
        <w:t xml:space="preserve">货物 </w:t>
      </w:r>
      <w:r>
        <w:rPr>
          <w:rFonts w:hint="eastAsia" w:ascii="仿宋_GB2312" w:eastAsia="仿宋_GB2312"/>
          <w:sz w:val="28"/>
          <w:szCs w:val="28"/>
          <w:lang w:eastAsia="zh-CN"/>
        </w:rPr>
        <w:t>☑</w:t>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2023年度大坦沙、江高分公司在线监测</w:t>
      </w:r>
      <w:r>
        <w:rPr>
          <w:rFonts w:hint="eastAsia" w:ascii="仿宋_GB2312" w:eastAsia="仿宋_GB2312"/>
          <w:sz w:val="28"/>
          <w:szCs w:val="28"/>
          <w:u w:val="single"/>
          <w:lang w:eastAsia="zh-CN"/>
        </w:rPr>
        <w:t>设备</w:t>
      </w:r>
      <w:r>
        <w:rPr>
          <w:rFonts w:hint="eastAsia" w:ascii="仿宋_GB2312" w:eastAsia="仿宋_GB2312"/>
          <w:sz w:val="28"/>
          <w:szCs w:val="28"/>
          <w:u w:val="single"/>
          <w:lang w:val="en-US" w:eastAsia="zh-CN"/>
        </w:rPr>
        <w:t>及水质中心在线监测备机第</w:t>
      </w:r>
      <w:r>
        <w:rPr>
          <w:rFonts w:hint="eastAsia" w:ascii="仿宋_GB2312" w:eastAsia="仿宋_GB2312"/>
          <w:sz w:val="28"/>
          <w:szCs w:val="28"/>
          <w:u w:val="single"/>
          <w:lang w:eastAsia="zh-CN"/>
        </w:rPr>
        <w:t>三方校准服务</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49800.00元</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为保障公司下辖大坦沙、江高分公司在用的6套在线监测设备及水质中心5套在线监测备机测定示值的准确性，需开展年度校准。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w:t>
      </w:r>
      <w:r>
        <w:rPr>
          <w:rFonts w:hint="eastAsia" w:ascii="仿宋_GB2312" w:eastAsia="仿宋_GB2312"/>
          <w:sz w:val="28"/>
          <w:szCs w:val="28"/>
          <w:u w:val="single"/>
          <w:lang w:val="en-US" w:eastAsia="zh-CN"/>
        </w:rPr>
        <w:t>3</w:t>
      </w:r>
      <w:r>
        <w:rPr>
          <w:rFonts w:hint="eastAsia" w:ascii="仿宋_GB2312" w:eastAsia="仿宋_GB2312"/>
          <w:sz w:val="28"/>
          <w:szCs w:val="28"/>
          <w:u w:val="single"/>
          <w:lang w:eastAsia="zh-CN"/>
        </w:rPr>
        <w:t>年12月31日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大坦沙分公司、江高分公司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eastAsia="zh-CN"/>
        </w:rPr>
        <w:t>☑</w:t>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实验室计量校准认证资质，所认证的校准能力必须包含但不限于本项目中所要求的（</w:t>
      </w:r>
      <w:r>
        <w:rPr>
          <w:rFonts w:hint="eastAsia" w:ascii="仿宋_GB2312" w:eastAsia="仿宋_GB2312"/>
          <w:sz w:val="28"/>
          <w:szCs w:val="28"/>
          <w:u w:val="single"/>
          <w:lang w:val="en-US" w:eastAsia="zh-CN"/>
        </w:rPr>
        <w:t>化学需氧量、氨氮、总磷、总氮、悬浮物、pH、水温</w:t>
      </w:r>
      <w:r>
        <w:rPr>
          <w:rFonts w:hint="eastAsia" w:ascii="仿宋_GB2312" w:eastAsia="仿宋_GB2312"/>
          <w:sz w:val="28"/>
          <w:szCs w:val="28"/>
          <w:u w:val="single"/>
          <w:lang w:eastAsia="zh-CN"/>
        </w:rPr>
        <w:t>）校准项目，并能出具CNAS校准证书</w:t>
      </w:r>
      <w:r>
        <w:rPr>
          <w:rFonts w:hint="eastAsia" w:ascii="仿宋_GB2312" w:eastAsia="仿宋_GB2312"/>
          <w:sz w:val="28"/>
          <w:szCs w:val="28"/>
          <w:u w:val="single"/>
          <w:lang w:val="en-US" w:eastAsia="zh-CN"/>
        </w:rPr>
        <w:t>的</w:t>
      </w:r>
      <w:r>
        <w:rPr>
          <w:rFonts w:hint="eastAsia" w:ascii="仿宋_GB2312" w:eastAsia="仿宋_GB2312"/>
          <w:sz w:val="28"/>
          <w:szCs w:val="28"/>
          <w:u w:val="single"/>
          <w:lang w:eastAsia="zh-CN"/>
        </w:rPr>
        <w:t>资质</w:t>
      </w:r>
      <w:r>
        <w:rPr>
          <w:rFonts w:hint="eastAsia" w:ascii="仿宋_GB2312" w:eastAsia="仿宋_GB2312"/>
          <w:sz w:val="28"/>
          <w:szCs w:val="28"/>
        </w:rPr>
        <w:t>。</w:t>
      </w:r>
    </w:p>
    <w:p>
      <w:pPr>
        <w:pStyle w:val="2"/>
        <w:rPr>
          <w:rFonts w:hint="default" w:ascii="仿宋_GB2312" w:eastAsia="仿宋_GB2312" w:hAnsiTheme="minorHAnsi" w:cstheme="minorBidi"/>
          <w:b/>
          <w:bCs/>
          <w:color w:val="auto"/>
          <w:kern w:val="2"/>
          <w:sz w:val="28"/>
          <w:szCs w:val="28"/>
          <w:u w:val="single"/>
          <w:lang w:val="en-US" w:eastAsia="zh-CN" w:bidi="ar-SA"/>
        </w:rPr>
      </w:pPr>
      <w:r>
        <w:rPr>
          <w:rFonts w:hint="eastAsia" w:ascii="仿宋_GB2312" w:eastAsia="仿宋_GB2312" w:hAnsiTheme="minorHAnsi" w:cstheme="minorBidi"/>
          <w:b/>
          <w:bCs/>
          <w:color w:val="auto"/>
          <w:kern w:val="2"/>
          <w:sz w:val="28"/>
          <w:szCs w:val="28"/>
          <w:u w:val="single"/>
          <w:lang w:val="en-US" w:eastAsia="zh-CN" w:bidi="ar-SA"/>
        </w:rPr>
        <w:t>注：提供CNAS复印件并标注本项目中所要求涵盖的校准设备项目，不标注则视为不响应。</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2020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计量校准服务</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u w:val="single"/>
          <w:lang w:val="en-US" w:eastAsia="zh-CN"/>
        </w:rPr>
        <w:t>2023</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5</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29</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2023</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不</w:t>
      </w:r>
      <w:r>
        <w:rPr>
          <w:rFonts w:hint="eastAsia" w:ascii="仿宋_GB2312" w:eastAsia="仿宋_GB2312" w:hAnsiTheme="minorHAnsi"/>
          <w:sz w:val="28"/>
          <w:szCs w:val="28"/>
          <w:highlight w:val="none"/>
        </w:rPr>
        <w:t>组织</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bookmarkStart w:id="180" w:name="_GoBack"/>
      <w:bookmarkEnd w:id="180"/>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lang w:val="en-US" w:eastAsia="zh-CN"/>
        </w:rPr>
        <w:t>6</w:t>
      </w:r>
      <w:r>
        <w:rPr>
          <w:rFonts w:hint="eastAsia" w:ascii="仿宋_GB2312" w:eastAsia="仿宋_GB2312"/>
          <w:sz w:val="28"/>
          <w:szCs w:val="28"/>
        </w:rPr>
        <w:t>.2递交地址：</w:t>
      </w:r>
      <w:r>
        <w:rPr>
          <w:rFonts w:hint="eastAsia" w:ascii="仿宋_GB2312" w:eastAsia="仿宋_GB2312"/>
          <w:sz w:val="28"/>
          <w:szCs w:val="28"/>
          <w:u w:val="single"/>
          <w:lang w:val="en-US" w:eastAsia="zh-CN"/>
        </w:rPr>
        <w:t>广州市荔湾区桥中南路10号广州市净水有限公司水质检测中心</w:t>
      </w:r>
      <w:r>
        <w:rPr>
          <w:rFonts w:hint="eastAsia" w:ascii="仿宋_GB2312" w:eastAsia="仿宋_GB2312"/>
          <w:sz w:val="28"/>
          <w:szCs w:val="28"/>
          <w:u w:val="single"/>
        </w:rPr>
        <w:t>。</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不接受快递形式</w:t>
      </w:r>
      <w:r>
        <w:rPr>
          <w:rFonts w:hint="eastAsia" w:ascii="仿宋_GB2312" w:eastAsia="仿宋_GB2312"/>
          <w:sz w:val="28"/>
          <w:szCs w:val="28"/>
          <w:u w:val="single"/>
          <w:lang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谢工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13104862272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29</w:t>
            </w:r>
            <w:r>
              <w:rPr>
                <w:rFonts w:hint="eastAsia" w:ascii="仿宋_GB2312" w:eastAsia="仿宋_GB2312"/>
                <w:sz w:val="28"/>
                <w:szCs w:val="28"/>
              </w:rPr>
              <w:t>日</w:t>
            </w:r>
          </w:p>
        </w:tc>
      </w:tr>
    </w:tbl>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r>
        <w:rPr>
          <w:rFonts w:hint="eastAsia" w:asciiTheme="minorEastAsia" w:hAnsiTheme="minorEastAsia"/>
          <w:sz w:val="24"/>
          <w:szCs w:val="24"/>
        </w:rPr>
        <w:t>适用于纸质评审的采购项目</w:t>
      </w:r>
      <w:bookmarkStart w:id="23" w:name="_Toc2331"/>
      <w:bookmarkStart w:id="24" w:name="_Toc19295"/>
      <w:bookmarkStart w:id="25" w:name="_Toc10891"/>
      <w:bookmarkStart w:id="26" w:name="_Toc7340"/>
      <w:bookmarkStart w:id="27" w:name="_Toc2324"/>
      <w:bookmarkStart w:id="28" w:name="_Toc16557"/>
      <w:bookmarkStart w:id="29" w:name="_Toc23749"/>
      <w:bookmarkStart w:id="30" w:name="_Toc32588"/>
      <w:bookmarkStart w:id="31" w:name="_Toc25603"/>
      <w:bookmarkStart w:id="32" w:name="_Toc9448"/>
      <w:bookmarkStart w:id="33" w:name="_Toc16705"/>
    </w:p>
    <w:p>
      <w:pPr>
        <w:pStyle w:val="2"/>
        <w:rPr>
          <w:rFonts w:hint="eastAsia" w:asciiTheme="minorEastAsia" w:hAnsiTheme="minorEastAsia"/>
          <w:sz w:val="24"/>
          <w:szCs w:val="24"/>
        </w:rPr>
      </w:pPr>
    </w:p>
    <w:p>
      <w:pPr>
        <w:pStyle w:val="2"/>
        <w:rPr>
          <w:rFonts w:hint="eastAsia" w:asciiTheme="minorEastAsia" w:hAnsiTheme="minorEastAsia"/>
          <w:sz w:val="24"/>
          <w:szCs w:val="24"/>
        </w:rPr>
      </w:pPr>
    </w:p>
    <w:p>
      <w:pPr>
        <w:pStyle w:val="5"/>
        <w:jc w:val="both"/>
        <w:rPr>
          <w:rFonts w:hint="eastAsia"/>
        </w:rPr>
      </w:pPr>
    </w:p>
    <w:p>
      <w:pPr>
        <w:pStyle w:val="5"/>
      </w:pPr>
      <w: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41275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65pt;margin-top:3.25pt;height:0pt;width:75.5pt;z-index:251672576;mso-width-relative:page;mso-height-relative:page;" filled="f" stroked="t" coordsize="21600,21600" o:gfxdata="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UpLvVAAAABwEAAA8AAAAAAAAAAQAgAAAAIgAAAGRycy9kb3ducmV2LnhtbFBLAQIUABQA&#10;AAAIAIdO4kD2Yu3q8wEAAOQDAAAOAAAAAAAAAAEAIAAAACQ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2197735</wp:posOffset>
                </wp:positionH>
                <wp:positionV relativeFrom="paragraph">
                  <wp:posOffset>545465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05pt;margin-top:42.95pt;height:0pt;width:75.5pt;z-index:251673600;mso-width-relative:page;mso-height-relative:page;" filled="f" stroked="t" coordsize="21600,21600" o:gfxdata="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7tY0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3"/>
      <w:bookmarkEnd w:id="24"/>
      <w:bookmarkEnd w:id="25"/>
      <w:bookmarkEnd w:id="26"/>
      <w:bookmarkEnd w:id="27"/>
      <w:bookmarkEnd w:id="28"/>
      <w:bookmarkEnd w:id="29"/>
      <w:bookmarkEnd w:id="30"/>
      <w:bookmarkEnd w:id="31"/>
      <w:bookmarkEnd w:id="32"/>
      <w:bookmarkEnd w:id="33"/>
    </w:p>
    <w:p>
      <w:pPr>
        <w:pStyle w:val="6"/>
        <w:rPr>
          <w:rFonts w:hint="eastAsia"/>
        </w:rPr>
      </w:pPr>
    </w:p>
    <w:p>
      <w:pPr>
        <w:pStyle w:val="6"/>
      </w:pPr>
      <w:bookmarkStart w:id="34" w:name="_Toc3416"/>
      <w:bookmarkStart w:id="35" w:name="_Toc2339"/>
      <w:r>
        <w:rPr>
          <w:rFonts w:hint="eastAsia"/>
        </w:rPr>
        <w:t>供应商须知</w:t>
      </w:r>
      <w:bookmarkEnd w:id="34"/>
      <w:bookmarkEnd w:id="35"/>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ind w:left="0" w:leftChars="0" w:firstLine="0" w:firstLineChars="0"/>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w:t>
      </w:r>
      <w:r>
        <w:rPr>
          <w:rFonts w:hint="eastAsia"/>
          <w:color w:val="auto"/>
          <w:highlight w:val="none"/>
          <w:lang w:val="en-US" w:eastAsia="zh-CN"/>
        </w:rPr>
        <w:t>（采购邀请书）</w:t>
      </w:r>
      <w:r>
        <w:rPr>
          <w:rFonts w:hint="eastAsia"/>
          <w:lang w:val="en-US" w:eastAsia="zh-CN"/>
        </w:rPr>
        <w:t>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准备</w:t>
            </w:r>
          </w:p>
          <w:p>
            <w:pPr>
              <w:adjustRightInd w:val="0"/>
              <w:snapToGrid w:val="0"/>
              <w:spacing w:line="240" w:lineRule="auto"/>
              <w:jc w:val="center"/>
              <w:rPr>
                <w:rFonts w:ascii="仿宋_GB2312" w:eastAsia="仿宋_GB2312"/>
                <w:sz w:val="24"/>
                <w:szCs w:val="24"/>
              </w:rPr>
            </w:pPr>
            <w:r>
              <w:rPr>
                <w:rFonts w:ascii="仿宋_GB2312" w:eastAsia="仿宋_GB2312"/>
                <w:sz w:val="24"/>
                <w:szCs w:val="24"/>
              </w:rPr>
              <w:t>及其</w:t>
            </w:r>
          </w:p>
          <w:p>
            <w:pPr>
              <w:spacing w:line="240" w:lineRule="auto"/>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spacing w:line="240" w:lineRule="auto"/>
              <w:jc w:val="left"/>
              <w:rPr>
                <w:rFonts w:ascii="仿宋_GB2312" w:eastAsia="仿宋_GB2312"/>
                <w:sz w:val="24"/>
                <w:szCs w:val="24"/>
              </w:rPr>
            </w:pPr>
            <w:r>
              <w:rPr>
                <w:rFonts w:hint="eastAsia" w:ascii="仿宋_GB2312" w:eastAsia="仿宋_GB2312" w:hAnsiTheme="minorEastAsia"/>
                <w:sz w:val="24"/>
                <w:szCs w:val="24"/>
              </w:rPr>
              <w:t>（1）采购公告</w:t>
            </w:r>
            <w:r>
              <w:rPr>
                <w:rFonts w:hint="eastAsia"/>
                <w:color w:val="auto"/>
                <w:highlight w:val="none"/>
                <w:lang w:val="en-US" w:eastAsia="zh-CN"/>
              </w:rPr>
              <w:t>（采购邀请书）</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（3）采购方式</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（5）采购需求</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（6）合同草案</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（7）响应文件</w:t>
            </w:r>
          </w:p>
          <w:p>
            <w:pPr>
              <w:adjustRightInd w:val="0"/>
              <w:snapToGrid w:val="0"/>
              <w:spacing w:line="240" w:lineRule="auto"/>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spacing w:line="240" w:lineRule="auto"/>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spacing w:line="240" w:lineRule="auto"/>
              <w:jc w:val="center"/>
              <w:rPr>
                <w:sz w:val="24"/>
                <w:szCs w:val="24"/>
              </w:rPr>
            </w:pPr>
          </w:p>
        </w:tc>
        <w:tc>
          <w:tcPr>
            <w:tcW w:w="1263" w:type="dxa"/>
            <w:vAlign w:val="center"/>
          </w:tcPr>
          <w:p>
            <w:pPr>
              <w:adjustRightInd w:val="0"/>
              <w:snapToGrid w:val="0"/>
              <w:spacing w:line="240" w:lineRule="auto"/>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spacing w:line="240" w:lineRule="auto"/>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w:t>
            </w:r>
            <w:r>
              <w:rPr>
                <w:rFonts w:hint="eastAsia"/>
                <w:color w:val="auto"/>
                <w:highlight w:val="none"/>
                <w:lang w:val="en-US" w:eastAsia="zh-CN"/>
              </w:rPr>
              <w:t>（采购邀请书）</w:t>
            </w:r>
            <w:r>
              <w:rPr>
                <w:rFonts w:hint="eastAsia" w:ascii="仿宋_GB2312" w:eastAsia="仿宋_GB2312" w:hAnsiTheme="minorEastAsia"/>
                <w:sz w:val="24"/>
                <w:szCs w:val="24"/>
                <w:lang w:val="en-US" w:eastAsia="zh-CN"/>
              </w:rPr>
              <w:t>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spacing w:line="240" w:lineRule="auto"/>
              <w:jc w:val="center"/>
              <w:rPr>
                <w:rFonts w:ascii="Calibri" w:hAnsi="Calibri" w:eastAsia="宋体" w:cs="Times New Roman"/>
                <w:b/>
                <w:bCs/>
                <w:sz w:val="24"/>
                <w:szCs w:val="24"/>
              </w:rPr>
            </w:pPr>
          </w:p>
        </w:tc>
        <w:tc>
          <w:tcPr>
            <w:tcW w:w="936"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spacing w:line="240" w:lineRule="auto"/>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spacing w:line="240" w:lineRule="auto"/>
              <w:jc w:val="center"/>
              <w:rPr>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spacing w:line="240" w:lineRule="auto"/>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r>
              <w:rPr>
                <w:rFonts w:hint="eastAsia"/>
                <w:color w:val="auto"/>
                <w:highlight w:val="none"/>
                <w:lang w:val="en-US" w:eastAsia="zh-CN"/>
              </w:rPr>
              <w:t>（采购邀请书）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准备</w:t>
            </w:r>
          </w:p>
          <w:p>
            <w:pPr>
              <w:adjustRightInd w:val="0"/>
              <w:snapToGrid w:val="0"/>
              <w:spacing w:line="240" w:lineRule="auto"/>
              <w:jc w:val="center"/>
              <w:rPr>
                <w:rFonts w:ascii="仿宋_GB2312" w:eastAsia="仿宋_GB2312"/>
                <w:sz w:val="24"/>
                <w:szCs w:val="24"/>
              </w:rPr>
            </w:pPr>
            <w:r>
              <w:rPr>
                <w:rFonts w:ascii="仿宋_GB2312" w:eastAsia="仿宋_GB2312"/>
                <w:sz w:val="24"/>
                <w:szCs w:val="24"/>
              </w:rPr>
              <w:t>及其</w:t>
            </w:r>
          </w:p>
          <w:p>
            <w:pPr>
              <w:spacing w:line="240" w:lineRule="auto"/>
              <w:jc w:val="center"/>
              <w:rPr>
                <w:sz w:val="24"/>
                <w:szCs w:val="24"/>
              </w:rPr>
            </w:pPr>
            <w:r>
              <w:rPr>
                <w:rFonts w:ascii="仿宋_GB2312" w:eastAsia="仿宋_GB2312"/>
                <w:sz w:val="24"/>
                <w:szCs w:val="24"/>
              </w:rPr>
              <w:t>响应</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spacing w:line="240" w:lineRule="auto"/>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color w:val="auto"/>
                <w:highlight w:val="none"/>
                <w:lang w:val="en-US" w:eastAsia="zh-CN"/>
              </w:rPr>
              <w:t>（采购邀请书）</w:t>
            </w:r>
            <w:r>
              <w:rPr>
                <w:rFonts w:hint="eastAsia" w:ascii="仿宋_GB2312" w:eastAsia="仿宋_GB2312" w:hAnsiTheme="minorEastAsia"/>
                <w:sz w:val="24"/>
                <w:szCs w:val="24"/>
                <w:lang w:val="en-US" w:eastAsia="zh-CN"/>
              </w:rPr>
              <w:t>；</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spacing w:line="240" w:lineRule="auto"/>
              <w:jc w:val="center"/>
              <w:rPr>
                <w:sz w:val="24"/>
                <w:szCs w:val="24"/>
              </w:rPr>
            </w:pPr>
          </w:p>
        </w:tc>
        <w:tc>
          <w:tcPr>
            <w:tcW w:w="936" w:type="dxa"/>
            <w:vAlign w:val="center"/>
          </w:tcPr>
          <w:p>
            <w:pPr>
              <w:adjustRightInd w:val="0"/>
              <w:snapToGrid w:val="0"/>
              <w:spacing w:line="240" w:lineRule="auto"/>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spacing w:line="240" w:lineRule="auto"/>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spacing w:line="240" w:lineRule="auto"/>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准备</w:t>
            </w:r>
          </w:p>
          <w:p>
            <w:pPr>
              <w:adjustRightInd w:val="0"/>
              <w:snapToGrid w:val="0"/>
              <w:spacing w:line="240" w:lineRule="auto"/>
              <w:jc w:val="center"/>
              <w:rPr>
                <w:rFonts w:ascii="仿宋_GB2312" w:eastAsia="仿宋_GB2312"/>
                <w:sz w:val="24"/>
                <w:szCs w:val="24"/>
              </w:rPr>
            </w:pPr>
            <w:r>
              <w:rPr>
                <w:rFonts w:ascii="仿宋_GB2312" w:eastAsia="仿宋_GB2312"/>
                <w:sz w:val="24"/>
                <w:szCs w:val="24"/>
              </w:rPr>
              <w:t>及其</w:t>
            </w:r>
          </w:p>
          <w:p>
            <w:pPr>
              <w:adjustRightInd w:val="0"/>
              <w:snapToGrid w:val="0"/>
              <w:spacing w:line="240" w:lineRule="auto"/>
              <w:jc w:val="center"/>
              <w:rPr>
                <w:sz w:val="24"/>
                <w:szCs w:val="24"/>
              </w:rPr>
            </w:pPr>
            <w:r>
              <w:rPr>
                <w:rFonts w:ascii="仿宋_GB2312" w:eastAsia="仿宋_GB2312"/>
                <w:sz w:val="24"/>
                <w:szCs w:val="24"/>
              </w:rPr>
              <w:t>响应</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spacing w:line="240" w:lineRule="auto"/>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spacing w:line="240" w:lineRule="auto"/>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spacing w:line="240" w:lineRule="auto"/>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r>
              <w:rPr>
                <w:rFonts w:hint="eastAsia"/>
                <w:color w:val="auto"/>
                <w:highlight w:val="none"/>
                <w:lang w:val="en-US" w:eastAsia="zh-CN"/>
              </w:rPr>
              <w:t>（采购邀请书）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spacing w:line="240" w:lineRule="auto"/>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spacing w:line="240" w:lineRule="auto"/>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w:t>
            </w:r>
            <w:r>
              <w:rPr>
                <w:rFonts w:hint="eastAsia"/>
                <w:color w:val="auto"/>
                <w:highlight w:val="none"/>
                <w:lang w:val="en-US" w:eastAsia="zh-CN"/>
              </w:rPr>
              <w:t>（采购邀请书）</w:t>
            </w:r>
            <w:r>
              <w:rPr>
                <w:rFonts w:hint="eastAsia" w:ascii="仿宋_GB2312" w:eastAsia="仿宋_GB2312" w:hAnsiTheme="minorEastAsia"/>
                <w:sz w:val="24"/>
                <w:szCs w:val="24"/>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spacing w:line="240" w:lineRule="auto"/>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spacing w:line="240" w:lineRule="auto"/>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spacing w:line="240" w:lineRule="auto"/>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spacing w:line="240" w:lineRule="auto"/>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r>
        <w:rPr>
          <w:rFonts w:hint="eastAsia" w:ascii="仿宋_GB2312" w:eastAsia="仿宋_GB2312"/>
          <w:color w:val="auto"/>
          <w:sz w:val="28"/>
          <w:szCs w:val="28"/>
          <w:highlight w:val="none"/>
          <w:lang w:val="en-US" w:eastAsia="zh-CN"/>
        </w:rPr>
        <w:t>:</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pPr>
    </w:p>
    <w:p>
      <w:pPr>
        <w:pStyle w:val="2"/>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6"/>
        <w:rPr>
          <w:rFonts w:hint="eastAsia" w:asciiTheme="minorHAnsi" w:hAnsiTheme="minorHAnsi" w:cstheme="minorBidi"/>
          <w:kern w:val="44"/>
          <w:sz w:val="44"/>
          <w:szCs w:val="44"/>
        </w:rPr>
      </w:pPr>
      <w:bookmarkStart w:id="36" w:name="_Toc2867"/>
      <w:bookmarkStart w:id="37" w:name="_Toc21455"/>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2242185</wp:posOffset>
                </wp:positionH>
                <wp:positionV relativeFrom="paragraph">
                  <wp:posOffset>577850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6.55pt;margin-top:45.5pt;height:0pt;width:75.5pt;z-index:251662336;mso-width-relative:page;mso-height-relative:page;" filled="f" stroked="t" coordsize="21600,21600" o:gfxdata="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mDWF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2192020</wp:posOffset>
                </wp:positionH>
                <wp:positionV relativeFrom="paragraph">
                  <wp:posOffset>109220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2.6pt;margin-top:8.6pt;height:0pt;width:75.5pt;z-index:251661312;mso-width-relative:page;mso-height-relative:page;" filled="f" stroked="t" coordsize="21600,21600" o:gfxdata="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3f4wz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6"/>
      <w:bookmarkEnd w:id="37"/>
    </w:p>
    <w:p>
      <w:pPr>
        <w:pStyle w:val="36"/>
      </w:pPr>
    </w:p>
    <w:p>
      <w:pPr>
        <w:pStyle w:val="6"/>
      </w:pPr>
      <w:bookmarkStart w:id="38" w:name="_Toc7303"/>
      <w:bookmarkStart w:id="39" w:name="_Toc7040"/>
      <w:bookmarkStart w:id="40" w:name="_Toc88209934"/>
      <w:bookmarkStart w:id="41" w:name="_Toc87616371"/>
      <w:r>
        <w:rPr>
          <w:rFonts w:hint="eastAsia"/>
        </w:rPr>
        <w:t>采购方法</w:t>
      </w:r>
      <w:bookmarkEnd w:id="38"/>
      <w:bookmarkEnd w:id="39"/>
      <w:bookmarkEnd w:id="40"/>
      <w:bookmarkEnd w:id="4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6"/>
      </w:pPr>
      <w:bookmarkStart w:id="42" w:name="_Toc3789"/>
      <w:bookmarkStart w:id="43" w:name="_Toc24895"/>
      <w:r>
        <w:rPr>
          <w:rFonts w:hint="eastAsia"/>
        </w:rPr>
        <w:t>询比采购</w:t>
      </w:r>
      <w:bookmarkEnd w:id="42"/>
      <w:bookmarkEnd w:id="4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pStyle w:val="2"/>
              <w:ind w:left="0" w:leftChars="0" w:firstLine="0" w:firstLineChars="0"/>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pPr>
      <w:bookmarkStart w:id="44" w:name="_Toc19759"/>
      <w:bookmarkStart w:id="45" w:name="_Toc23581"/>
      <w:bookmarkStart w:id="46" w:name="_Toc19050"/>
      <w:bookmarkStart w:id="47" w:name="_Toc10930"/>
      <w:bookmarkStart w:id="48" w:name="_Toc3156"/>
      <w:bookmarkStart w:id="49" w:name="_Toc7437"/>
      <w:bookmarkStart w:id="50" w:name="_Toc20594"/>
      <w:bookmarkStart w:id="51" w:name="_Toc4952"/>
      <w:bookmarkStart w:id="52" w:name="_Toc14552"/>
      <w:bookmarkStart w:id="53" w:name="_Toc7118"/>
      <w:bookmarkStart w:id="54" w:name="_Toc14870"/>
      <w:r>
        <mc:AlternateContent>
          <mc:Choice Requires="wps">
            <w:drawing>
              <wp:anchor distT="0" distB="0" distL="114300" distR="114300" simplePos="0" relativeHeight="251664384" behindDoc="0" locked="0" layoutInCell="1" allowOverlap="1">
                <wp:simplePos x="0" y="0"/>
                <wp:positionH relativeFrom="column">
                  <wp:posOffset>2230120</wp:posOffset>
                </wp:positionH>
                <wp:positionV relativeFrom="paragraph">
                  <wp:posOffset>710565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5.6pt;margin-top:55.95pt;height:0pt;width:75.5pt;z-index:251664384;mso-width-relative:page;mso-height-relative:page;" filled="f" stroked="t" coordsize="21600,21600" o:gfxdata="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BY8zWAAAACw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2220595</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85pt;margin-top:21.3pt;height:0pt;width:75.5pt;z-index:251663360;mso-width-relative:page;mso-height-relative:page;" filled="f" stroked="t" coordsize="21600,21600" o:gfxdata="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PobF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4"/>
      <w:bookmarkEnd w:id="45"/>
      <w:bookmarkEnd w:id="46"/>
      <w:bookmarkEnd w:id="47"/>
      <w:bookmarkEnd w:id="48"/>
      <w:bookmarkEnd w:id="49"/>
      <w:bookmarkEnd w:id="50"/>
      <w:bookmarkEnd w:id="51"/>
      <w:bookmarkEnd w:id="52"/>
      <w:bookmarkEnd w:id="53"/>
      <w:bookmarkEnd w:id="54"/>
    </w:p>
    <w:p>
      <w:pPr>
        <w:pStyle w:val="36"/>
      </w:pPr>
    </w:p>
    <w:p>
      <w:pPr>
        <w:pStyle w:val="5"/>
      </w:pPr>
      <w:bookmarkStart w:id="55" w:name="_Toc30530"/>
      <w:bookmarkStart w:id="56" w:name="_Toc6308"/>
      <w:bookmarkStart w:id="57" w:name="_Toc21840"/>
      <w:bookmarkStart w:id="58" w:name="_Toc29484"/>
      <w:bookmarkStart w:id="59" w:name="_Toc13898"/>
      <w:bookmarkStart w:id="60" w:name="_Toc32607"/>
      <w:bookmarkStart w:id="61" w:name="_Toc87616378"/>
      <w:bookmarkStart w:id="62" w:name="_Toc22212"/>
      <w:bookmarkStart w:id="63" w:name="_Toc21079"/>
      <w:bookmarkStart w:id="64" w:name="_Toc12177"/>
      <w:bookmarkStart w:id="65" w:name="_Toc7831"/>
      <w:bookmarkStart w:id="66" w:name="_Toc88209941"/>
      <w:bookmarkStart w:id="67" w:name="_Toc29345"/>
      <w:r>
        <w:rPr>
          <w:rFonts w:hint="eastAsia"/>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68" w:name="_Toc23033"/>
      <w:bookmarkStart w:id="69" w:name="_Toc26826"/>
      <w:r>
        <w:rPr>
          <w:rFonts w:hint="eastAsia"/>
        </w:rPr>
        <w:t>经评审的最低价法</w:t>
      </w:r>
      <w:bookmarkEnd w:id="68"/>
      <w:bookmarkEnd w:id="6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2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06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33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1"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061"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339"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1" w:type="dxa"/>
            <w:vMerge w:val="continue"/>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33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1" w:type="dxa"/>
            <w:vMerge w:val="continue"/>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339"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061"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339"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21" w:type="dxa"/>
            <w:vMerge w:val="continue"/>
            <w:vAlign w:val="center"/>
          </w:tcPr>
          <w:p>
            <w:pPr>
              <w:adjustRightInd w:val="0"/>
              <w:snapToGrid w:val="0"/>
              <w:jc w:val="center"/>
              <w:rPr>
                <w:rFonts w:ascii="仿宋_GB2312" w:eastAsia="仿宋_GB2312"/>
                <w:sz w:val="24"/>
                <w:szCs w:val="24"/>
              </w:rPr>
            </w:pPr>
          </w:p>
        </w:tc>
        <w:tc>
          <w:tcPr>
            <w:tcW w:w="2061"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339"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061"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339"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2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339"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339"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5"/>
        <w:rPr>
          <w:rFonts w:hint="eastAsia"/>
        </w:rPr>
      </w:pPr>
      <w:bookmarkStart w:id="70" w:name="_Toc88209947"/>
    </w:p>
    <w:p>
      <w:pPr>
        <w:pStyle w:val="5"/>
        <w:rPr>
          <w:rFonts w:hint="eastAsia"/>
        </w:rPr>
      </w:pPr>
    </w:p>
    <w:p>
      <w:pPr>
        <w:pStyle w:val="5"/>
        <w:rPr>
          <w:rFonts w:hint="eastAsia"/>
        </w:rPr>
      </w:pPr>
    </w:p>
    <w:p>
      <w:pPr>
        <w:pStyle w:val="5"/>
      </w:pPr>
      <w:r>
        <mc:AlternateContent>
          <mc:Choice Requires="wps">
            <w:drawing>
              <wp:anchor distT="0" distB="0" distL="114300" distR="114300" simplePos="0" relativeHeight="251675648" behindDoc="0" locked="0" layoutInCell="1" allowOverlap="1">
                <wp:simplePos x="0" y="0"/>
                <wp:positionH relativeFrom="column">
                  <wp:posOffset>2235835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6.05pt;margin-top:41.45pt;height:0pt;width:75.5pt;z-index:251675648;mso-width-relative:page;mso-height-relative:page;" filled="f" stroked="t" coordsize="21600,21600" o:gfxdata="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U9Ab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2252980</wp:posOffset>
                </wp:positionH>
                <wp:positionV relativeFrom="paragraph">
                  <wp:posOffset>60325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7.4pt;margin-top:4.75pt;height:0pt;width:75.5pt;z-index:251674624;mso-width-relative:page;mso-height-relative:page;" filled="f" stroked="t" coordsize="21600,21600" o:gfxdata="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QLs8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6"/>
        <w:rPr>
          <w:rFonts w:hint="eastAsia"/>
        </w:rPr>
      </w:pPr>
    </w:p>
    <w:p>
      <w:pPr>
        <w:pStyle w:val="6"/>
        <w:rPr>
          <w:rFonts w:hint="eastAsia"/>
          <w:szCs w:val="44"/>
        </w:rPr>
      </w:pPr>
      <w:r>
        <w:rPr>
          <w:rFonts w:hint="eastAsia"/>
          <w:szCs w:val="44"/>
        </w:rPr>
        <w:t>采购需求</w:t>
      </w:r>
    </w:p>
    <w:p>
      <w:pPr>
        <w:pStyle w:val="6"/>
        <w:rPr>
          <w:rFonts w:hint="eastAsia"/>
          <w:szCs w:val="44"/>
        </w:rPr>
      </w:pPr>
    </w:p>
    <w:bookmarkEnd w:id="70"/>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13"/>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sz w:val="28"/>
          <w:szCs w:val="28"/>
          <w:u w:val="none"/>
          <w:lang w:eastAsia="zh-CN"/>
        </w:rPr>
      </w:pPr>
      <w:r>
        <w:rPr>
          <w:rFonts w:hint="eastAsia" w:ascii="仿宋" w:hAnsi="仿宋" w:eastAsia="仿宋" w:cs="仿宋"/>
          <w:bCs/>
          <w:sz w:val="28"/>
          <w:szCs w:val="28"/>
          <w:u w:val="none"/>
          <w:lang w:val="en-US" w:eastAsia="zh-CN"/>
        </w:rPr>
        <w:t>根据《广州市净水有限公司水质管理办法》（穗净水〔2021〕253号）中关于在线监测设备管理要求，为保障公司下辖大坦沙、江高分公司在用的6套在线监测设备及水质中心5套在线监测备机测定示值的准确性</w:t>
      </w:r>
      <w:r>
        <w:rPr>
          <w:rFonts w:hint="eastAsia" w:ascii="仿宋" w:hAnsi="仿宋" w:eastAsia="仿宋" w:cs="仿宋"/>
          <w:bCs/>
          <w:sz w:val="28"/>
          <w:szCs w:val="28"/>
          <w:u w:val="none"/>
          <w:lang w:val="zh-CN" w:eastAsia="zh-CN"/>
        </w:rPr>
        <w:t>，委托具有CNAS资质第三方校准单位负责202</w:t>
      </w:r>
      <w:r>
        <w:rPr>
          <w:rFonts w:hint="eastAsia" w:ascii="仿宋" w:hAnsi="仿宋" w:eastAsia="仿宋" w:cs="仿宋"/>
          <w:bCs/>
          <w:sz w:val="28"/>
          <w:szCs w:val="28"/>
          <w:u w:val="none"/>
          <w:lang w:val="en-US" w:eastAsia="zh-CN"/>
        </w:rPr>
        <w:t>3</w:t>
      </w:r>
      <w:r>
        <w:rPr>
          <w:rFonts w:hint="eastAsia" w:ascii="仿宋" w:hAnsi="仿宋" w:eastAsia="仿宋" w:cs="仿宋"/>
          <w:bCs/>
          <w:sz w:val="28"/>
          <w:szCs w:val="28"/>
          <w:u w:val="none"/>
          <w:lang w:val="zh-CN" w:eastAsia="zh-CN"/>
        </w:rPr>
        <w:t>年大坦沙、江高分公司在用的6套在线监测设备</w:t>
      </w:r>
      <w:r>
        <w:rPr>
          <w:rFonts w:hint="eastAsia" w:ascii="仿宋" w:hAnsi="仿宋" w:eastAsia="仿宋" w:cs="仿宋"/>
          <w:bCs/>
          <w:sz w:val="28"/>
          <w:szCs w:val="28"/>
          <w:u w:val="none"/>
          <w:lang w:val="en-US" w:eastAsia="zh-CN"/>
        </w:rPr>
        <w:t>及水质中心5套在线监测备机</w:t>
      </w:r>
      <w:r>
        <w:rPr>
          <w:rFonts w:hint="eastAsia" w:ascii="仿宋" w:hAnsi="仿宋" w:eastAsia="仿宋" w:cs="仿宋"/>
          <w:bCs/>
          <w:sz w:val="28"/>
          <w:szCs w:val="28"/>
          <w:u w:val="none"/>
          <w:lang w:val="zh-CN" w:eastAsia="zh-CN"/>
        </w:rPr>
        <w:t>校准服务，并出具（</w:t>
      </w:r>
      <w:r>
        <w:rPr>
          <w:rFonts w:hint="eastAsia" w:ascii="仿宋" w:hAnsi="仿宋" w:eastAsia="仿宋" w:cs="仿宋"/>
          <w:bCs/>
          <w:sz w:val="28"/>
          <w:szCs w:val="28"/>
          <w:u w:val="none"/>
          <w:lang w:val="en-US" w:eastAsia="zh-CN"/>
        </w:rPr>
        <w:t>化学需氧量、氨氮、总磷、总氮、悬浮物、pH、水温</w:t>
      </w:r>
      <w:r>
        <w:rPr>
          <w:rFonts w:hint="eastAsia" w:ascii="仿宋" w:hAnsi="仿宋" w:eastAsia="仿宋" w:cs="仿宋"/>
          <w:bCs/>
          <w:sz w:val="28"/>
          <w:szCs w:val="28"/>
          <w:u w:val="none"/>
          <w:lang w:val="zh-CN" w:eastAsia="zh-CN"/>
        </w:rPr>
        <w:t>）CNAS校准证书。</w:t>
      </w:r>
    </w:p>
    <w:p>
      <w:pPr>
        <w:pStyle w:val="13"/>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ascii="仿宋" w:hAnsi="仿宋" w:eastAsia="仿宋" w:cs="仿宋"/>
          <w:sz w:val="28"/>
          <w:szCs w:val="28"/>
          <w:lang w:val="zh-CN"/>
        </w:rPr>
        <w:t>计划时间服务要求</w:t>
      </w:r>
    </w:p>
    <w:tbl>
      <w:tblPr>
        <w:tblStyle w:val="23"/>
        <w:tblpPr w:leftFromText="180" w:rightFromText="180" w:vertAnchor="text" w:horzAnchor="page" w:tblpX="1339" w:tblpY="629"/>
        <w:tblOverlap w:val="never"/>
        <w:tblW w:w="9598" w:type="dxa"/>
        <w:tblInd w:w="0" w:type="dxa"/>
        <w:tblLayout w:type="fixed"/>
        <w:tblCellMar>
          <w:top w:w="0" w:type="dxa"/>
          <w:left w:w="0" w:type="dxa"/>
          <w:bottom w:w="0" w:type="dxa"/>
          <w:right w:w="0" w:type="dxa"/>
        </w:tblCellMar>
      </w:tblPr>
      <w:tblGrid>
        <w:gridCol w:w="987"/>
        <w:gridCol w:w="2972"/>
        <w:gridCol w:w="1779"/>
        <w:gridCol w:w="1238"/>
        <w:gridCol w:w="2622"/>
      </w:tblGrid>
      <w:tr>
        <w:tblPrEx>
          <w:tblCellMar>
            <w:top w:w="0" w:type="dxa"/>
            <w:left w:w="0" w:type="dxa"/>
            <w:bottom w:w="0" w:type="dxa"/>
            <w:right w:w="0" w:type="dxa"/>
          </w:tblCellMar>
        </w:tblPrEx>
        <w:trPr>
          <w:trHeight w:val="655"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大坦沙分公司</w:t>
            </w:r>
            <w:r>
              <w:rPr>
                <w:rFonts w:hint="eastAsia" w:ascii="宋体" w:hAnsi="宋体" w:eastAsia="宋体" w:cs="宋体"/>
                <w:b/>
                <w:sz w:val="36"/>
                <w:szCs w:val="36"/>
                <w:lang w:eastAsia="zh-CN" w:bidi="ar"/>
              </w:rPr>
              <w:t>2023年</w:t>
            </w:r>
            <w:r>
              <w:rPr>
                <w:rFonts w:hint="eastAsia" w:ascii="宋体" w:hAnsi="宋体" w:eastAsia="宋体" w:cs="宋体"/>
                <w:b/>
                <w:sz w:val="36"/>
                <w:szCs w:val="36"/>
                <w:lang w:val="en-US" w:eastAsia="zh-CN" w:bidi="ar"/>
              </w:rPr>
              <w:t>度在线监测设备</w:t>
            </w:r>
            <w:r>
              <w:rPr>
                <w:rFonts w:hint="eastAsia" w:ascii="宋体" w:hAnsi="宋体" w:eastAsia="宋体" w:cs="宋体"/>
                <w:b/>
                <w:sz w:val="36"/>
                <w:szCs w:val="36"/>
                <w:lang w:eastAsia="zh-CN" w:bidi="ar"/>
              </w:rPr>
              <w:t>校准需求统计表</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sz w:val="22"/>
                <w:szCs w:val="22"/>
                <w:lang w:eastAsia="zh-CN" w:bidi="ar"/>
              </w:rPr>
              <w:t>碧兴COD</w:t>
            </w:r>
            <w:r>
              <w:rPr>
                <w:rFonts w:hint="eastAsia" w:ascii="宋体" w:hAnsi="宋体" w:eastAsia="宋体" w:cs="宋体"/>
                <w:b w:val="0"/>
                <w:bCs/>
                <w:sz w:val="22"/>
                <w:szCs w:val="22"/>
                <w:lang w:val="en-US" w:eastAsia="zh-CN" w:bidi="ar"/>
              </w:rPr>
              <w:t>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sz w:val="22"/>
                <w:szCs w:val="22"/>
                <w:lang w:eastAsia="zh-CN" w:bidi="ar"/>
              </w:rPr>
              <w:t>碧兴氨氮</w:t>
            </w:r>
            <w:r>
              <w:rPr>
                <w:rFonts w:hint="eastAsia" w:ascii="宋体" w:hAnsi="宋体" w:eastAsia="宋体" w:cs="宋体"/>
                <w:b w:val="0"/>
                <w:bCs/>
                <w:sz w:val="22"/>
                <w:szCs w:val="22"/>
                <w:lang w:val="en-US" w:eastAsia="zh-CN" w:bidi="ar"/>
              </w:rPr>
              <w:t>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进水赛莱默</w:t>
            </w:r>
            <w:r>
              <w:rPr>
                <w:rFonts w:hint="eastAsia" w:ascii="宋体" w:hAnsi="宋体" w:eastAsia="宋体" w:cs="宋体"/>
                <w:b w:val="0"/>
                <w:bCs/>
                <w:sz w:val="22"/>
                <w:szCs w:val="22"/>
                <w:lang w:eastAsia="zh-CN" w:bidi="ar"/>
              </w:rPr>
              <w:t>总磷总氮</w:t>
            </w:r>
            <w:r>
              <w:rPr>
                <w:rFonts w:hint="eastAsia" w:ascii="宋体" w:hAnsi="宋体" w:eastAsia="宋体" w:cs="宋体"/>
                <w:b w:val="0"/>
                <w:bCs/>
                <w:sz w:val="22"/>
                <w:szCs w:val="22"/>
                <w:lang w:val="en-US" w:eastAsia="zh-CN" w:bidi="ar"/>
              </w:rPr>
              <w:t>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TCU/TPN111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进水碧兴pH水温监测设备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S</w:t>
            </w:r>
            <w:r>
              <w:rPr>
                <w:rFonts w:hint="eastAsia" w:ascii="宋体" w:hAnsi="宋体" w:eastAsia="宋体" w:cs="宋体"/>
                <w:b w:val="0"/>
                <w:bCs/>
                <w:sz w:val="22"/>
                <w:szCs w:val="22"/>
                <w:lang w:eastAsia="zh-CN" w:bidi="ar"/>
              </w:rPr>
              <w:t>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进水碧兴SS监测设备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S310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sz w:val="22"/>
                <w:szCs w:val="22"/>
                <w:lang w:eastAsia="zh-CN" w:bidi="ar"/>
              </w:rPr>
              <w:t>碧兴留样</w:t>
            </w:r>
            <w:r>
              <w:rPr>
                <w:rFonts w:hint="eastAsia" w:ascii="宋体" w:hAnsi="宋体" w:eastAsia="宋体" w:cs="宋体"/>
                <w:b w:val="0"/>
                <w:bCs/>
                <w:sz w:val="22"/>
                <w:szCs w:val="22"/>
                <w:lang w:val="en-US" w:eastAsia="zh-CN" w:bidi="ar"/>
              </w:rPr>
              <w:t>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W310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出水哈希COD监测设备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CODmax Ⅱ</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出水哈希氨氮监测设备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NA8000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出水哈希总磷监测设备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出水哈希总氮监测设备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 pH水温监测设备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出水哈希SS监测设备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出水恒达留样器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ZSC-VI</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10</w:t>
            </w:r>
            <w:r>
              <w:rPr>
                <w:rFonts w:hint="eastAsia" w:ascii="宋体" w:hAnsi="宋体" w:eastAsia="宋体" w:cs="宋体"/>
                <w:b w:val="0"/>
                <w:bCs/>
                <w:sz w:val="22"/>
                <w:szCs w:val="22"/>
                <w:lang w:eastAsia="zh-CN" w:bidi="ar"/>
              </w:rPr>
              <w:t>日</w:t>
            </w:r>
          </w:p>
        </w:tc>
      </w:tr>
    </w:tbl>
    <w:p>
      <w:pPr>
        <w:spacing w:line="360" w:lineRule="auto"/>
        <w:jc w:val="both"/>
        <w:rPr>
          <w:rFonts w:ascii="仿宋_GB2312" w:eastAsia="仿宋_GB2312"/>
          <w:sz w:val="32"/>
          <w:szCs w:val="32"/>
          <w:lang w:eastAsia="zh-CN"/>
        </w:rPr>
      </w:pPr>
    </w:p>
    <w:tbl>
      <w:tblPr>
        <w:tblStyle w:val="23"/>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江高分公司</w:t>
            </w:r>
            <w:r>
              <w:rPr>
                <w:rFonts w:hint="eastAsia" w:ascii="宋体" w:hAnsi="宋体" w:eastAsia="宋体" w:cs="宋体"/>
                <w:b/>
                <w:sz w:val="36"/>
                <w:szCs w:val="36"/>
                <w:lang w:eastAsia="zh-CN" w:bidi="ar"/>
              </w:rPr>
              <w:t>202</w:t>
            </w:r>
            <w:r>
              <w:rPr>
                <w:rFonts w:hint="eastAsia" w:ascii="宋体" w:hAnsi="宋体" w:eastAsia="宋体" w:cs="宋体"/>
                <w:b/>
                <w:sz w:val="36"/>
                <w:szCs w:val="36"/>
                <w:lang w:val="en-US" w:eastAsia="zh-CN" w:bidi="ar"/>
              </w:rPr>
              <w:t>3</w:t>
            </w:r>
            <w:r>
              <w:rPr>
                <w:rFonts w:hint="eastAsia" w:ascii="宋体" w:hAnsi="宋体" w:eastAsia="宋体" w:cs="宋体"/>
                <w:b/>
                <w:sz w:val="36"/>
                <w:szCs w:val="36"/>
                <w:lang w:eastAsia="zh-CN" w:bidi="ar"/>
              </w:rPr>
              <w:t>年</w:t>
            </w:r>
            <w:r>
              <w:rPr>
                <w:rFonts w:hint="eastAsia" w:ascii="宋体" w:hAnsi="宋体" w:eastAsia="宋体" w:cs="宋体"/>
                <w:b/>
                <w:sz w:val="36"/>
                <w:szCs w:val="36"/>
                <w:lang w:val="en-US" w:eastAsia="zh-CN" w:bidi="ar"/>
              </w:rPr>
              <w:t>度在线监测设备</w:t>
            </w:r>
            <w:r>
              <w:rPr>
                <w:rFonts w:hint="eastAsia" w:ascii="宋体" w:hAnsi="宋体" w:eastAsia="宋体" w:cs="宋体"/>
                <w:b/>
                <w:sz w:val="36"/>
                <w:szCs w:val="36"/>
                <w:lang w:eastAsia="zh-CN" w:bidi="ar"/>
              </w:rPr>
              <w:t>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出水总磷总氮在线监测设备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出水氨氮在线监测设备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出水COD在线监测设备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出水</w:t>
            </w:r>
            <w:r>
              <w:rPr>
                <w:rFonts w:hint="eastAsia" w:ascii="宋体" w:hAnsi="宋体" w:eastAsia="宋体" w:cs="宋体"/>
                <w:b w:val="0"/>
                <w:bCs/>
                <w:color w:val="000000"/>
                <w:sz w:val="22"/>
                <w:szCs w:val="22"/>
                <w:lang w:val="en-US" w:eastAsia="zh-CN" w:bidi="ar"/>
              </w:rPr>
              <w:t>SS</w:t>
            </w:r>
            <w:r>
              <w:rPr>
                <w:rFonts w:hint="eastAsia" w:ascii="宋体" w:hAnsi="宋体" w:eastAsia="宋体" w:cs="宋体"/>
                <w:b w:val="0"/>
                <w:bCs/>
                <w:sz w:val="22"/>
                <w:szCs w:val="22"/>
                <w:lang w:val="en-US" w:eastAsia="zh-CN" w:bidi="ar"/>
              </w:rPr>
              <w:t>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出水</w:t>
            </w:r>
            <w:r>
              <w:rPr>
                <w:rFonts w:hint="eastAsia" w:ascii="宋体" w:hAnsi="宋体" w:eastAsia="宋体" w:cs="宋体"/>
                <w:b w:val="0"/>
                <w:bCs/>
                <w:color w:val="000000"/>
                <w:sz w:val="22"/>
                <w:szCs w:val="22"/>
                <w:lang w:val="en-US" w:eastAsia="zh-CN" w:bidi="ar"/>
              </w:rPr>
              <w:t>pH水温</w:t>
            </w:r>
            <w:r>
              <w:rPr>
                <w:rFonts w:hint="eastAsia" w:ascii="宋体" w:hAnsi="宋体" w:eastAsia="宋体" w:cs="宋体"/>
                <w:b w:val="0"/>
                <w:bCs/>
                <w:sz w:val="22"/>
                <w:szCs w:val="22"/>
                <w:lang w:val="en-US" w:eastAsia="zh-CN" w:bidi="ar"/>
              </w:rPr>
              <w:t>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进水总磷总氮在线监测设备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进水氨氮在线监测设备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进水COD在线监测设备</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11</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color w:val="000000"/>
                <w:sz w:val="22"/>
                <w:szCs w:val="22"/>
                <w:lang w:val="en-US" w:eastAsia="zh-CN" w:bidi="ar"/>
              </w:rPr>
              <w:t>SS</w:t>
            </w:r>
            <w:r>
              <w:rPr>
                <w:rFonts w:hint="eastAsia" w:ascii="宋体" w:hAnsi="宋体" w:eastAsia="宋体" w:cs="宋体"/>
                <w:b w:val="0"/>
                <w:bCs/>
                <w:sz w:val="22"/>
                <w:szCs w:val="22"/>
                <w:lang w:val="en-US" w:eastAsia="zh-CN" w:bidi="ar"/>
              </w:rPr>
              <w:t>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12</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color w:val="000000"/>
                <w:sz w:val="22"/>
                <w:szCs w:val="22"/>
                <w:lang w:val="en-US" w:eastAsia="zh-CN" w:bidi="ar"/>
              </w:rPr>
              <w:t>pH水温</w:t>
            </w:r>
            <w:r>
              <w:rPr>
                <w:rFonts w:hint="eastAsia" w:ascii="宋体" w:hAnsi="宋体" w:eastAsia="宋体" w:cs="宋体"/>
                <w:b w:val="0"/>
                <w:bCs/>
                <w:sz w:val="22"/>
                <w:szCs w:val="22"/>
                <w:lang w:val="en-US" w:eastAsia="zh-CN" w:bidi="ar"/>
              </w:rPr>
              <w:t>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2023年9月10日</w:t>
            </w:r>
          </w:p>
        </w:tc>
      </w:tr>
    </w:tbl>
    <w:p>
      <w:pPr>
        <w:pStyle w:val="2"/>
        <w:ind w:left="0" w:leftChars="0" w:firstLine="0" w:firstLineChars="0"/>
        <w:rPr>
          <w:rFonts w:hint="eastAsia"/>
        </w:rPr>
      </w:pPr>
    </w:p>
    <w:p>
      <w:pPr>
        <w:pStyle w:val="13"/>
        <w:spacing w:line="300" w:lineRule="auto"/>
        <w:ind w:firstLine="560" w:firstLineChars="200"/>
        <w:rPr>
          <w:rFonts w:hint="eastAsia" w:ascii="仿宋" w:hAnsi="仿宋" w:eastAsia="仿宋" w:cs="仿宋"/>
          <w:bCs/>
          <w:sz w:val="28"/>
          <w:szCs w:val="28"/>
          <w:lang w:val="zh-CN"/>
        </w:rPr>
      </w:pPr>
    </w:p>
    <w:p>
      <w:pPr>
        <w:pStyle w:val="14"/>
        <w:rPr>
          <w:rFonts w:hint="eastAsia" w:ascii="仿宋" w:hAnsi="仿宋" w:eastAsia="仿宋" w:cs="仿宋"/>
          <w:bCs/>
          <w:sz w:val="28"/>
          <w:szCs w:val="28"/>
          <w:lang w:val="zh-CN"/>
        </w:rPr>
      </w:pPr>
    </w:p>
    <w:p>
      <w:pPr>
        <w:pStyle w:val="15"/>
        <w:rPr>
          <w:rFonts w:hint="eastAsia" w:ascii="仿宋" w:hAnsi="仿宋" w:eastAsia="仿宋" w:cs="仿宋"/>
          <w:bCs/>
          <w:sz w:val="28"/>
          <w:szCs w:val="28"/>
          <w:lang w:val="zh-CN"/>
        </w:rPr>
      </w:pPr>
    </w:p>
    <w:p>
      <w:pPr>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ind w:left="0" w:leftChars="0" w:firstLine="0" w:firstLineChars="0"/>
        <w:rPr>
          <w:rFonts w:hint="eastAsia" w:ascii="仿宋" w:hAnsi="仿宋" w:eastAsia="仿宋" w:cs="仿宋"/>
          <w:bCs/>
          <w:sz w:val="28"/>
          <w:szCs w:val="28"/>
          <w:lang w:val="zh-CN"/>
        </w:rPr>
      </w:pPr>
    </w:p>
    <w:tbl>
      <w:tblPr>
        <w:tblStyle w:val="23"/>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水质中心</w:t>
            </w:r>
            <w:r>
              <w:rPr>
                <w:rFonts w:hint="eastAsia" w:ascii="宋体" w:hAnsi="宋体" w:eastAsia="宋体" w:cs="宋体"/>
                <w:b/>
                <w:sz w:val="36"/>
                <w:szCs w:val="36"/>
                <w:lang w:eastAsia="zh-CN" w:bidi="ar"/>
              </w:rPr>
              <w:t>2023年</w:t>
            </w:r>
            <w:r>
              <w:rPr>
                <w:rFonts w:hint="eastAsia" w:ascii="宋体" w:hAnsi="宋体" w:eastAsia="宋体" w:cs="宋体"/>
                <w:b/>
                <w:sz w:val="36"/>
                <w:szCs w:val="36"/>
                <w:lang w:val="en-US" w:eastAsia="zh-CN" w:bidi="ar"/>
              </w:rPr>
              <w:t>度在线监测备机</w:t>
            </w:r>
            <w:r>
              <w:rPr>
                <w:rFonts w:hint="eastAsia" w:ascii="宋体" w:hAnsi="宋体" w:eastAsia="宋体" w:cs="宋体"/>
                <w:b/>
                <w:sz w:val="36"/>
                <w:szCs w:val="36"/>
                <w:lang w:eastAsia="zh-CN" w:bidi="ar"/>
              </w:rPr>
              <w:t>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普贝斯COD监测设备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PCM200-CODCr</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普贝斯氨氮监测设备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PCM200-NH3N</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普贝斯TP监测设备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PCM200-TP</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普贝斯TN监测设备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PCM200-TN</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普贝斯pH水温监测设备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UNI-20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普贝斯SS监测设备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UNI-20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普贝斯水质自动采样器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default" w:ascii="宋体" w:hAnsi="宋体" w:eastAsia="宋体" w:cs="宋体"/>
                <w:b w:val="0"/>
                <w:bCs/>
                <w:color w:val="000000"/>
                <w:sz w:val="22"/>
                <w:szCs w:val="22"/>
                <w:lang w:val="en-US" w:eastAsia="zh-CN" w:bidi="ar"/>
              </w:rPr>
              <w:t>PAS-305A</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2</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碧兴COD监测设备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C310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碧兴氨氮监测设备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C310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赛莱默总磷总氮监测设备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TCU/TPN111</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2023年6月30日</w:t>
            </w:r>
          </w:p>
        </w:tc>
      </w:tr>
    </w:tbl>
    <w:p>
      <w:pPr>
        <w:pStyle w:val="14"/>
        <w:rPr>
          <w:rFonts w:hint="eastAsia"/>
          <w:lang w:val="zh-CN"/>
        </w:rPr>
      </w:pPr>
    </w:p>
    <w:p>
      <w:pPr>
        <w:pStyle w:val="13"/>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3"/>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3"/>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3"/>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w:t>
      </w:r>
      <w:r>
        <w:rPr>
          <w:rFonts w:hint="eastAsia" w:ascii="仿宋" w:hAnsi="仿宋" w:eastAsia="仿宋" w:cs="仿宋"/>
          <w:bCs/>
          <w:sz w:val="28"/>
          <w:szCs w:val="28"/>
          <w:u w:val="none"/>
          <w:lang w:val="zh-CN" w:eastAsia="zh-CN"/>
        </w:rPr>
        <w:t>（</w:t>
      </w:r>
      <w:r>
        <w:rPr>
          <w:rFonts w:hint="eastAsia" w:ascii="仿宋" w:hAnsi="仿宋" w:eastAsia="仿宋" w:cs="仿宋"/>
          <w:bCs/>
          <w:sz w:val="28"/>
          <w:szCs w:val="28"/>
          <w:u w:val="none"/>
          <w:lang w:val="en-US" w:eastAsia="zh-CN"/>
        </w:rPr>
        <w:t>化学需氧量、氨氮、总磷、总氮、悬浮物、pH、水温</w:t>
      </w:r>
      <w:r>
        <w:rPr>
          <w:rFonts w:hint="eastAsia" w:ascii="仿宋" w:hAnsi="仿宋" w:eastAsia="仿宋" w:cs="仿宋"/>
          <w:bCs/>
          <w:sz w:val="28"/>
          <w:szCs w:val="28"/>
          <w:u w:val="none"/>
          <w:lang w:val="zh-CN" w:eastAsia="zh-CN"/>
        </w:rPr>
        <w:t>）</w:t>
      </w:r>
      <w:r>
        <w:rPr>
          <w:rFonts w:hint="eastAsia" w:ascii="仿宋" w:hAnsi="仿宋" w:eastAsia="仿宋" w:cs="仿宋"/>
          <w:bCs/>
          <w:sz w:val="28"/>
          <w:szCs w:val="28"/>
          <w:lang w:val="zh-CN" w:eastAsia="zh-CN"/>
        </w:rPr>
        <w:t>校准项目，并能出具CNAS校准证书。</w:t>
      </w:r>
    </w:p>
    <w:p>
      <w:pPr>
        <w:pStyle w:val="13"/>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、商务要求</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一</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服务</w:t>
      </w:r>
      <w:r>
        <w:rPr>
          <w:rFonts w:hint="eastAsia" w:ascii="仿宋" w:hAnsi="仿宋" w:eastAsia="仿宋" w:cs="仿宋"/>
          <w:bCs/>
          <w:sz w:val="28"/>
          <w:szCs w:val="28"/>
          <w:lang w:val="zh-CN"/>
        </w:rPr>
        <w:t>工期：合同签订之日起至202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年12月31日，报价人接到询价人校准通知后须</w:t>
      </w:r>
      <w:r>
        <w:rPr>
          <w:rFonts w:hint="eastAsia" w:ascii="仿宋" w:hAnsi="仿宋" w:eastAsia="仿宋" w:cs="仿宋"/>
          <w:bCs/>
          <w:sz w:val="28"/>
          <w:szCs w:val="28"/>
          <w:lang w:val="en-US" w:eastAsia="zh-CN"/>
        </w:rPr>
        <w:t>于</w:t>
      </w:r>
      <w:r>
        <w:rPr>
          <w:rFonts w:hint="eastAsia" w:ascii="仿宋" w:hAnsi="仿宋" w:eastAsia="仿宋" w:cs="仿宋"/>
          <w:bCs/>
          <w:sz w:val="28"/>
          <w:szCs w:val="28"/>
          <w:lang w:val="zh-CN"/>
        </w:rPr>
        <w:t>10个工作日内到指定地点开展校准服务。报价人在校准之日起7天内，将校准证书发送至询价人。</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二</w:t>
      </w:r>
      <w:r>
        <w:rPr>
          <w:rFonts w:hint="eastAsia" w:ascii="仿宋" w:hAnsi="仿宋" w:eastAsia="仿宋" w:cs="仿宋"/>
          <w:bCs/>
          <w:sz w:val="28"/>
          <w:szCs w:val="28"/>
          <w:lang w:val="zh-CN"/>
        </w:rPr>
        <w:t>）质量要求：</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报价人必须严格按照所采用的标准、规范及本技术协议制定校准工作方案，校准人员须具有校准相关资格证书，校准所需工具、仪器、物料等符合校准规范要求。</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校准方法须以校准项目的国家标准或行业标准等为准。</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三</w:t>
      </w:r>
      <w:r>
        <w:rPr>
          <w:rFonts w:hint="eastAsia" w:ascii="仿宋" w:hAnsi="仿宋" w:eastAsia="仿宋" w:cs="仿宋"/>
          <w:bCs/>
          <w:sz w:val="28"/>
          <w:szCs w:val="28"/>
          <w:lang w:val="zh-CN"/>
        </w:rPr>
        <w:t>）付款方式：</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承包人完成合同规定期限的校准服务工作后，经询价人确认工作量和验收，按照校准服务工作量据实结算，支付至审核价的100%。</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承包人在收款前需提交相应金额增值税专用发票给询价人。</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四</w:t>
      </w:r>
      <w:r>
        <w:rPr>
          <w:rFonts w:hint="eastAsia" w:ascii="仿宋" w:hAnsi="仿宋" w:eastAsia="仿宋" w:cs="仿宋"/>
          <w:bCs/>
          <w:sz w:val="28"/>
          <w:szCs w:val="28"/>
          <w:lang w:val="zh-CN"/>
        </w:rPr>
        <w:t>）承包方式：</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3"/>
        <w:numPr>
          <w:ilvl w:val="0"/>
          <w:numId w:val="0"/>
        </w:numPr>
        <w:spacing w:line="300" w:lineRule="auto"/>
        <w:ind w:leftChars="0" w:firstLine="560" w:firstLineChars="200"/>
        <w:rPr>
          <w:rFonts w:hint="eastAsia" w:ascii="仿宋" w:hAnsi="仿宋" w:eastAsia="仿宋" w:cs="仿宋"/>
          <w:b/>
          <w:bCs w:val="0"/>
          <w:sz w:val="28"/>
          <w:szCs w:val="28"/>
          <w:lang w:val="zh-CN" w:eastAsia="zh-CN"/>
        </w:rPr>
      </w:pPr>
      <w:r>
        <w:rPr>
          <w:rFonts w:hint="eastAsia" w:ascii="仿宋" w:hAnsi="仿宋" w:eastAsia="仿宋" w:cs="仿宋"/>
          <w:b/>
          <w:bCs w:val="0"/>
          <w:sz w:val="28"/>
          <w:szCs w:val="28"/>
          <w:lang w:val="en-US" w:eastAsia="zh-CN"/>
        </w:rPr>
        <w:t>四、</w:t>
      </w:r>
      <w:r>
        <w:rPr>
          <w:rFonts w:hint="eastAsia" w:ascii="仿宋" w:hAnsi="仿宋" w:eastAsia="仿宋" w:cs="仿宋"/>
          <w:b/>
          <w:bCs w:val="0"/>
          <w:sz w:val="28"/>
          <w:szCs w:val="28"/>
          <w:lang w:val="zh-CN" w:eastAsia="zh-CN"/>
        </w:rPr>
        <w:t>其他</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不得转包、分包。否则，</w:t>
      </w:r>
      <w:r>
        <w:rPr>
          <w:rFonts w:hint="eastAsia" w:ascii="仿宋" w:hAnsi="仿宋" w:eastAsia="仿宋" w:cs="仿宋"/>
          <w:color w:val="auto"/>
          <w:sz w:val="28"/>
          <w:szCs w:val="28"/>
        </w:rPr>
        <w:t>询价人</w:t>
      </w:r>
      <w:r>
        <w:rPr>
          <w:rFonts w:ascii="Times New Roman" w:hAnsi="Times New Roman" w:eastAsia="仿宋_GB2312" w:cs="Times New Roman"/>
          <w:color w:val="auto"/>
          <w:sz w:val="28"/>
          <w:szCs w:val="28"/>
        </w:rPr>
        <w:t>有权单方面终止合同，拒收其货物，由此而造成的经济损失由</w:t>
      </w: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负责赔偿。</w:t>
      </w:r>
    </w:p>
    <w:p>
      <w:pPr>
        <w:pStyle w:val="2"/>
        <w:rPr>
          <w:rFonts w:hint="default"/>
          <w:lang w:val="en-US" w:eastAsia="zh-CN"/>
        </w:rPr>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5"/>
        <w:rPr>
          <w:rFonts w:hint="eastAsia"/>
        </w:rPr>
      </w:pPr>
      <w:bookmarkStart w:id="71" w:name="_Toc1284"/>
      <w:bookmarkStart w:id="72" w:name="_Toc29835"/>
      <w:bookmarkStart w:id="73" w:name="_Toc15570"/>
      <w:bookmarkStart w:id="74" w:name="_Toc537"/>
      <w:bookmarkStart w:id="75" w:name="_Toc4680"/>
      <w:bookmarkStart w:id="76" w:name="_Toc23353"/>
      <w:bookmarkStart w:id="77" w:name="_Toc25925"/>
      <w:bookmarkStart w:id="78" w:name="_Toc18538"/>
      <w:bookmarkStart w:id="79" w:name="_Toc23330"/>
      <w:bookmarkStart w:id="80" w:name="_Toc1496"/>
      <w:bookmarkStart w:id="81" w:name="_Toc12135"/>
    </w:p>
    <w:p>
      <w:pPr>
        <w:pStyle w:val="5"/>
        <w:rPr>
          <w:rFonts w:hint="eastAsia"/>
        </w:rPr>
      </w:pPr>
    </w:p>
    <w:p>
      <w:pPr>
        <w:pStyle w:val="5"/>
        <w:rPr>
          <w:rFonts w:hint="eastAsia"/>
        </w:rPr>
      </w:pPr>
    </w:p>
    <w:p>
      <w:pPr>
        <w:pStyle w:val="5"/>
      </w:pPr>
      <w:r>
        <mc:AlternateContent>
          <mc:Choice Requires="wps">
            <w:drawing>
              <wp:anchor distT="0" distB="0" distL="114300" distR="114300" simplePos="0" relativeHeight="251666432" behindDoc="0" locked="0" layoutInCell="1" allowOverlap="1">
                <wp:simplePos x="0" y="0"/>
                <wp:positionH relativeFrom="column">
                  <wp:posOffset>2182495</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1.85pt;margin-top:40.95pt;height:0pt;width:75.5pt;z-index:251666432;mso-width-relative:page;mso-height-relative:page;" filled="f" stroked="t" coordsize="21600,21600" o:gfxdata="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Tszz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2182495</wp:posOffset>
                </wp:positionH>
                <wp:positionV relativeFrom="paragraph">
                  <wp:posOffset>108585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85pt;margin-top:8.55pt;height:0pt;width:75.5pt;z-index:251665408;mso-width-relative:page;mso-height-relative:page;" filled="f" stroked="t" coordsize="21600,21600" o:gfxdata="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SM7Tr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1"/>
      <w:bookmarkEnd w:id="72"/>
      <w:bookmarkEnd w:id="73"/>
      <w:bookmarkEnd w:id="74"/>
      <w:bookmarkEnd w:id="75"/>
      <w:bookmarkEnd w:id="76"/>
      <w:bookmarkEnd w:id="77"/>
      <w:bookmarkEnd w:id="78"/>
      <w:bookmarkEnd w:id="79"/>
      <w:bookmarkEnd w:id="80"/>
      <w:bookmarkEnd w:id="81"/>
    </w:p>
    <w:p>
      <w:pPr>
        <w:pStyle w:val="36"/>
      </w:pPr>
    </w:p>
    <w:p>
      <w:pPr>
        <w:pStyle w:val="5"/>
        <w:rPr>
          <w:rFonts w:hint="eastAsia"/>
          <w:b/>
          <w:sz w:val="52"/>
          <w:szCs w:val="84"/>
          <w:lang w:val="en-US" w:eastAsia="zh-CN"/>
        </w:rPr>
      </w:pPr>
      <w:bookmarkStart w:id="82" w:name="_Toc12980"/>
      <w:bookmarkStart w:id="83" w:name="_Toc19686"/>
      <w:bookmarkStart w:id="84" w:name="_Toc12968"/>
      <w:bookmarkStart w:id="85" w:name="_Toc88209949"/>
      <w:bookmarkStart w:id="86" w:name="_Toc22501"/>
      <w:bookmarkStart w:id="87" w:name="_Toc323"/>
      <w:bookmarkStart w:id="88" w:name="_Toc19088"/>
      <w:bookmarkStart w:id="89" w:name="_Toc87616386"/>
      <w:bookmarkStart w:id="90" w:name="_Toc12721"/>
      <w:bookmarkStart w:id="91" w:name="_Toc22797"/>
      <w:bookmarkStart w:id="92" w:name="_Toc13309"/>
      <w:bookmarkStart w:id="93" w:name="_Toc8183"/>
      <w:bookmarkStart w:id="94" w:name="_Toc1375"/>
      <w:r>
        <w:rPr>
          <w:rFonts w:hint="eastAsia"/>
        </w:rPr>
        <w:t>合同</w:t>
      </w:r>
      <w:bookmarkEnd w:id="82"/>
      <w:bookmarkEnd w:id="83"/>
      <w:bookmarkEnd w:id="84"/>
      <w:bookmarkEnd w:id="85"/>
      <w:bookmarkEnd w:id="86"/>
      <w:bookmarkEnd w:id="87"/>
      <w:bookmarkEnd w:id="88"/>
      <w:bookmarkEnd w:id="89"/>
      <w:bookmarkEnd w:id="90"/>
      <w:bookmarkEnd w:id="91"/>
      <w:bookmarkEnd w:id="92"/>
      <w:bookmarkEnd w:id="93"/>
      <w:bookmarkEnd w:id="94"/>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pStyle w:val="47"/>
        <w:jc w:val="center"/>
        <w:rPr>
          <w:rFonts w:eastAsia="方正小标宋简体"/>
          <w:sz w:val="48"/>
          <w:szCs w:val="48"/>
        </w:rPr>
      </w:pPr>
      <w:r>
        <w:rPr>
          <w:rFonts w:eastAsia="方正小标宋简体"/>
          <w:sz w:val="48"/>
          <w:szCs w:val="48"/>
        </w:rPr>
        <w:t>广州市净水有限公司</w:t>
      </w:r>
    </w:p>
    <w:p>
      <w:pPr>
        <w:pStyle w:val="47"/>
        <w:jc w:val="center"/>
        <w:rPr>
          <w:rFonts w:eastAsia="方正小标宋简体"/>
          <w:sz w:val="48"/>
          <w:szCs w:val="48"/>
        </w:rPr>
      </w:pPr>
      <w:r>
        <w:rPr>
          <w:rFonts w:eastAsia="方正小标宋简体"/>
          <w:sz w:val="48"/>
          <w:szCs w:val="48"/>
        </w:rPr>
        <w:t>采购合同</w:t>
      </w:r>
    </w:p>
    <w:p>
      <w:pPr>
        <w:widowControl w:val="0"/>
        <w:spacing w:after="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（示范文本）</w:t>
      </w:r>
    </w:p>
    <w:p>
      <w:pPr>
        <w:widowControl w:val="0"/>
        <w:spacing w:after="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（适用非公招简易项目）</w:t>
      </w:r>
    </w:p>
    <w:p>
      <w:pPr>
        <w:jc w:val="center"/>
        <w:rPr>
          <w:rFonts w:ascii="Times New Roman" w:hAnsi="Times New Roman" w:cs="Times New Roman"/>
          <w:color w:val="auto"/>
          <w:sz w:val="30"/>
        </w:rPr>
      </w:pPr>
    </w:p>
    <w:p>
      <w:pPr>
        <w:rPr>
          <w:rFonts w:ascii="Times New Roman" w:hAnsi="Times New Roman" w:cs="Times New Roman"/>
          <w:b/>
          <w:bCs/>
          <w:color w:val="auto"/>
          <w:sz w:val="30"/>
        </w:rPr>
      </w:pPr>
    </w:p>
    <w:p>
      <w:pPr>
        <w:spacing w:line="480" w:lineRule="auto"/>
        <w:jc w:val="center"/>
        <w:rPr>
          <w:rFonts w:hint="default" w:ascii="宋体" w:hAnsi="宋体" w:cs="Times New Roman" w:eastAsiaTheme="minorEastAsia"/>
          <w:b/>
          <w:bCs/>
          <w:color w:val="auto"/>
          <w:sz w:val="30"/>
          <w:lang w:val="en-US" w:eastAsia="zh-CN"/>
        </w:rPr>
      </w:pPr>
      <w:r>
        <w:rPr>
          <w:rFonts w:ascii="Times New Roman" w:hAnsi="Times New Roman" w:cs="Times New Roman"/>
          <w:b/>
          <w:bCs/>
          <w:color w:val="auto"/>
          <w:sz w:val="30"/>
        </w:rPr>
        <w:t>项目名称：</w:t>
      </w:r>
      <w:r>
        <w:rPr>
          <w:b/>
          <w:bCs/>
          <w:color w:val="000000"/>
          <w:sz w:val="30"/>
          <w:szCs w:val="30"/>
        </w:rPr>
        <w:t>广州市净水有限公司</w:t>
      </w:r>
      <w:r>
        <w:rPr>
          <w:rFonts w:hint="eastAsia"/>
          <w:b/>
          <w:bCs/>
          <w:color w:val="000000"/>
          <w:sz w:val="30"/>
          <w:szCs w:val="30"/>
          <w:lang w:eastAsia="zh-CN"/>
        </w:rPr>
        <w:t>202</w:t>
      </w:r>
      <w:r>
        <w:rPr>
          <w:rFonts w:hint="eastAsia"/>
          <w:b/>
          <w:bCs/>
          <w:color w:val="000000"/>
          <w:sz w:val="30"/>
          <w:szCs w:val="30"/>
          <w:lang w:val="en-US" w:eastAsia="zh-CN"/>
        </w:rPr>
        <w:t>3</w:t>
      </w:r>
      <w:r>
        <w:rPr>
          <w:rFonts w:hint="eastAsia"/>
          <w:b/>
          <w:bCs/>
          <w:color w:val="000000"/>
          <w:sz w:val="30"/>
          <w:szCs w:val="30"/>
          <w:lang w:eastAsia="zh-CN"/>
        </w:rPr>
        <w:t>年</w:t>
      </w:r>
      <w:r>
        <w:rPr>
          <w:rFonts w:hint="eastAsia"/>
          <w:b/>
          <w:bCs/>
          <w:color w:val="000000"/>
          <w:sz w:val="30"/>
          <w:szCs w:val="30"/>
          <w:lang w:val="en-US" w:eastAsia="zh-CN"/>
        </w:rPr>
        <w:t>度大坦沙、江高分公司在线监测设备及水质中心在线监测备机第三方校准服务项目</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项目编号：</w:t>
      </w:r>
    </w:p>
    <w:p>
      <w:pPr>
        <w:pStyle w:val="49"/>
        <w:rPr>
          <w:rFonts w:ascii="Times New Roman" w:hAnsi="Times New Roman"/>
        </w:rPr>
      </w:pPr>
    </w:p>
    <w:p>
      <w:pPr>
        <w:spacing w:line="480" w:lineRule="auto"/>
        <w:rPr>
          <w:rFonts w:ascii="Times New Roman" w:hAnsi="Times New Roman" w:cs="Times New Roman"/>
          <w:b/>
          <w:bCs/>
          <w:color w:val="auto"/>
          <w:sz w:val="30"/>
          <w:szCs w:val="30"/>
        </w:rPr>
      </w:pPr>
      <w:r>
        <w:rPr>
          <w:rFonts w:ascii="Times New Roman" w:hAnsi="Times New Roman" w:cs="Times New Roman"/>
          <w:b/>
          <w:bCs/>
          <w:color w:val="auto"/>
          <w:sz w:val="30"/>
        </w:rPr>
        <w:t>合同编号：</w:t>
      </w:r>
      <w:r>
        <w:rPr>
          <w:rFonts w:ascii="Times New Roman" w:hAnsi="Times New Roman" w:cs="Times New Roman"/>
          <w:b/>
          <w:bCs/>
          <w:color w:val="auto"/>
          <w:sz w:val="30"/>
          <w:szCs w:val="30"/>
        </w:rPr>
        <w:t>穗净水合[     ]    号</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u w:val="none"/>
        </w:rPr>
      </w:pPr>
      <w:r>
        <w:rPr>
          <w:rFonts w:ascii="Times New Roman" w:hAnsi="Times New Roman" w:cs="Times New Roman"/>
          <w:b/>
          <w:bCs/>
          <w:color w:val="auto"/>
          <w:sz w:val="30"/>
        </w:rPr>
        <w:t>甲方（买方）：</w:t>
      </w:r>
      <w:r>
        <w:rPr>
          <w:rFonts w:ascii="Times New Roman" w:hAnsi="Times New Roman" w:cs="Times New Roman"/>
          <w:b/>
          <w:bCs/>
          <w:color w:val="auto"/>
          <w:sz w:val="30"/>
          <w:u w:val="none"/>
        </w:rPr>
        <w:t>广州市净水有限公司</w:t>
      </w:r>
    </w:p>
    <w:p>
      <w:pPr>
        <w:spacing w:line="480" w:lineRule="auto"/>
        <w:rPr>
          <w:rFonts w:ascii="Times New Roman" w:hAnsi="Times New Roman" w:cs="Times New Roman"/>
          <w:b w:val="0"/>
          <w:bCs w:val="0"/>
          <w:color w:val="auto"/>
          <w:sz w:val="30"/>
          <w:u w:val="none"/>
        </w:rPr>
      </w:pPr>
      <w:r>
        <w:rPr>
          <w:rFonts w:ascii="Times New Roman" w:hAnsi="Times New Roman" w:cs="Times New Roman"/>
          <w:b/>
          <w:bCs/>
          <w:color w:val="auto"/>
          <w:sz w:val="30"/>
          <w:u w:val="none"/>
        </w:rPr>
        <w:t>乙方（卖方）：</w:t>
      </w:r>
      <w:r>
        <w:rPr>
          <w:rFonts w:ascii="Times New Roman" w:hAnsi="Times New Roman" w:cs="Times New Roman"/>
          <w:b w:val="0"/>
          <w:bCs w:val="0"/>
          <w:color w:val="auto"/>
          <w:sz w:val="30"/>
          <w:u w:val="none"/>
        </w:rPr>
        <w:t xml:space="preserve">                    </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签订日期：    年  月  日</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rPr>
        <w:t>广州市净水有限公司</w:t>
      </w:r>
      <w:r>
        <w:rPr>
          <w:rFonts w:hint="eastAsia"/>
          <w:bCs/>
          <w:sz w:val="24"/>
          <w:u w:val="single"/>
          <w:lang w:eastAsia="zh-CN"/>
        </w:rPr>
        <w:t>202</w:t>
      </w:r>
      <w:r>
        <w:rPr>
          <w:rFonts w:hint="eastAsia"/>
          <w:bCs/>
          <w:sz w:val="24"/>
          <w:u w:val="single"/>
          <w:lang w:val="en-US" w:eastAsia="zh-CN"/>
        </w:rPr>
        <w:t>3</w:t>
      </w:r>
      <w:r>
        <w:rPr>
          <w:rFonts w:hint="eastAsia"/>
          <w:bCs/>
          <w:sz w:val="24"/>
          <w:u w:val="single"/>
          <w:lang w:eastAsia="zh-CN"/>
        </w:rPr>
        <w:t>年</w:t>
      </w:r>
      <w:r>
        <w:rPr>
          <w:rFonts w:hint="eastAsia"/>
          <w:bCs/>
          <w:sz w:val="24"/>
          <w:u w:val="single"/>
          <w:lang w:val="en-US" w:eastAsia="zh-CN"/>
        </w:rPr>
        <w:t>度大坦沙、江高分公司在线监测</w:t>
      </w:r>
      <w:r>
        <w:rPr>
          <w:rFonts w:hint="eastAsia"/>
          <w:bCs/>
          <w:sz w:val="24"/>
          <w:u w:val="single"/>
          <w:lang w:eastAsia="zh-CN"/>
        </w:rPr>
        <w:t>设备</w:t>
      </w:r>
      <w:r>
        <w:rPr>
          <w:rFonts w:hint="eastAsia"/>
          <w:bCs/>
          <w:sz w:val="24"/>
          <w:u w:val="single"/>
          <w:lang w:val="en-US" w:eastAsia="zh-CN"/>
        </w:rPr>
        <w:t>及水质中心在线监测备机</w:t>
      </w:r>
      <w:r>
        <w:rPr>
          <w:rFonts w:hint="eastAsia"/>
          <w:bCs/>
          <w:sz w:val="24"/>
          <w:u w:val="single"/>
          <w:lang w:eastAsia="zh-CN"/>
        </w:rPr>
        <w:t>第三方</w:t>
      </w:r>
      <w:r>
        <w:rPr>
          <w:rFonts w:hint="eastAsia"/>
          <w:bCs/>
          <w:sz w:val="24"/>
          <w:u w:val="single"/>
          <w:lang w:val="en-US" w:eastAsia="zh-CN"/>
        </w:rPr>
        <w:t>校准</w:t>
      </w:r>
      <w:r>
        <w:rPr>
          <w:rFonts w:hint="eastAsia"/>
          <w:bCs/>
          <w:sz w:val="24"/>
          <w:u w:val="single"/>
          <w:lang w:eastAsia="zh-CN"/>
        </w:rPr>
        <w:t>服务</w:t>
      </w:r>
      <w:r>
        <w:rPr>
          <w:rFonts w:hint="eastAsia"/>
          <w:bCs/>
          <w:sz w:val="24"/>
          <w:u w:val="single"/>
        </w:rPr>
        <w:t>项目</w:t>
      </w:r>
      <w:r>
        <w:rPr>
          <w:rFonts w:hint="eastAsia"/>
          <w:bCs/>
          <w:sz w:val="24"/>
        </w:rPr>
        <w:t>开展相关指标校准服务工作</w:t>
      </w:r>
      <w:bookmarkStart w:id="95" w:name="_Toc1018"/>
      <w:bookmarkStart w:id="96" w:name="_Toc183666513"/>
      <w:bookmarkStart w:id="97" w:name="_Toc474245210"/>
      <w:bookmarkStart w:id="98" w:name="_Toc518992986"/>
      <w:bookmarkStart w:id="99" w:name="_Toc520190026"/>
      <w:r>
        <w:rPr>
          <w:rFonts w:hint="eastAsia"/>
          <w:bCs/>
          <w:sz w:val="24"/>
        </w:rPr>
        <w:t>。为明确双方的权利和义务，甲乙双方经友好协商，签订本合同。</w:t>
      </w:r>
    </w:p>
    <w:p>
      <w:pPr>
        <w:keepNext w:val="0"/>
        <w:keepLines w:val="0"/>
        <w:pageBreakBefore w:val="0"/>
        <w:kinsoku/>
        <w:wordWrap/>
        <w:overflowPunct/>
        <w:topLinePunct w:val="0"/>
        <w:bidi w:val="0"/>
        <w:spacing w:after="156" w:afterLines="50" w:line="400" w:lineRule="exact"/>
        <w:ind w:firstLine="482" w:firstLineChars="200"/>
        <w:textAlignment w:val="auto"/>
        <w:rPr>
          <w:rFonts w:ascii="宋体" w:hAnsi="宋体" w:cs="宋体"/>
          <w:b/>
          <w:bCs/>
          <w:color w:val="000000"/>
          <w:sz w:val="24"/>
        </w:rPr>
      </w:pPr>
      <w:r>
        <w:rPr>
          <w:rFonts w:ascii="宋体" w:hAnsi="宋体" w:cs="宋体"/>
          <w:b/>
          <w:bCs/>
          <w:color w:val="000000"/>
          <w:sz w:val="24"/>
        </w:rPr>
        <w:t>第一条 组成合同的文件及优先顺序</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5"/>
    <w:bookmarkEnd w:id="96"/>
    <w:bookmarkEnd w:id="97"/>
    <w:bookmarkEnd w:id="98"/>
    <w:bookmarkEnd w:id="99"/>
    <w:p>
      <w:pPr>
        <w:keepNext w:val="0"/>
        <w:keepLines w:val="0"/>
        <w:pageBreakBefore w:val="0"/>
        <w:kinsoku/>
        <w:wordWrap/>
        <w:overflowPunct/>
        <w:topLinePunct w:val="0"/>
        <w:bidi w:val="0"/>
        <w:spacing w:line="400" w:lineRule="exact"/>
        <w:ind w:firstLine="482"/>
        <w:textAlignment w:val="auto"/>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keepNext w:val="0"/>
        <w:keepLines w:val="0"/>
        <w:pageBreakBefore w:val="0"/>
        <w:kinsoku/>
        <w:wordWrap/>
        <w:overflowPunct/>
        <w:topLinePunct w:val="0"/>
        <w:bidi w:val="0"/>
        <w:spacing w:line="400" w:lineRule="exact"/>
        <w:ind w:firstLine="482"/>
        <w:textAlignment w:val="auto"/>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keepNext w:val="0"/>
        <w:keepLines w:val="0"/>
        <w:pageBreakBefore w:val="0"/>
        <w:kinsoku/>
        <w:wordWrap/>
        <w:overflowPunct/>
        <w:topLinePunct w:val="0"/>
        <w:bidi w:val="0"/>
        <w:spacing w:line="400" w:lineRule="exact"/>
        <w:ind w:firstLine="482"/>
        <w:textAlignment w:val="auto"/>
        <w:rPr>
          <w:rFonts w:ascii="宋体" w:hAnsi="宋体" w:cs="宋体"/>
          <w:bCs/>
          <w:color w:val="000000"/>
          <w:sz w:val="24"/>
        </w:rPr>
      </w:pPr>
      <w:r>
        <w:rPr>
          <w:rFonts w:hint="eastAsia" w:ascii="宋体" w:hAnsi="宋体" w:cs="宋体"/>
          <w:bCs/>
          <w:color w:val="000000"/>
          <w:sz w:val="24"/>
        </w:rPr>
        <w:t>⑶ 发包通知书；</w:t>
      </w:r>
    </w:p>
    <w:p>
      <w:pPr>
        <w:keepNext w:val="0"/>
        <w:keepLines w:val="0"/>
        <w:pageBreakBefore w:val="0"/>
        <w:kinsoku/>
        <w:wordWrap/>
        <w:overflowPunct/>
        <w:topLinePunct w:val="0"/>
        <w:bidi w:val="0"/>
        <w:spacing w:line="400" w:lineRule="exact"/>
        <w:ind w:firstLine="482"/>
        <w:textAlignment w:val="auto"/>
        <w:rPr>
          <w:rFonts w:ascii="宋体" w:hAnsi="宋体" w:cs="宋体"/>
          <w:bCs/>
          <w:color w:val="000000"/>
          <w:sz w:val="24"/>
        </w:rPr>
      </w:pPr>
      <w:r>
        <w:rPr>
          <w:rFonts w:hint="eastAsia" w:ascii="宋体" w:hAnsi="宋体" w:cs="宋体"/>
          <w:bCs/>
          <w:color w:val="000000"/>
          <w:sz w:val="24"/>
        </w:rPr>
        <w:t>⑷ 询价文件；</w:t>
      </w:r>
    </w:p>
    <w:p>
      <w:pPr>
        <w:keepNext w:val="0"/>
        <w:keepLines w:val="0"/>
        <w:pageBreakBefore w:val="0"/>
        <w:kinsoku/>
        <w:wordWrap/>
        <w:overflowPunct/>
        <w:topLinePunct w:val="0"/>
        <w:bidi w:val="0"/>
        <w:spacing w:line="400" w:lineRule="exact"/>
        <w:ind w:firstLine="482"/>
        <w:textAlignment w:val="auto"/>
        <w:rPr>
          <w:rFonts w:ascii="宋体" w:hAnsi="宋体" w:cs="宋体"/>
          <w:bCs/>
          <w:color w:val="000000"/>
          <w:sz w:val="24"/>
        </w:rPr>
      </w:pPr>
      <w:r>
        <w:rPr>
          <w:rFonts w:hint="eastAsia" w:ascii="宋体" w:hAnsi="宋体" w:cs="宋体"/>
          <w:bCs/>
          <w:color w:val="000000"/>
          <w:sz w:val="24"/>
        </w:rPr>
        <w:t>⑸ 响应文件；</w:t>
      </w:r>
    </w:p>
    <w:p>
      <w:pPr>
        <w:keepNext w:val="0"/>
        <w:keepLines w:val="0"/>
        <w:pageBreakBefore w:val="0"/>
        <w:kinsoku/>
        <w:wordWrap/>
        <w:overflowPunct/>
        <w:topLinePunct w:val="0"/>
        <w:bidi w:val="0"/>
        <w:spacing w:line="400" w:lineRule="exact"/>
        <w:ind w:firstLine="482"/>
        <w:textAlignment w:val="auto"/>
        <w:rPr>
          <w:rFonts w:ascii="宋体" w:hAnsi="宋体" w:cs="宋体"/>
          <w:bCs/>
          <w:color w:val="000000"/>
          <w:sz w:val="24"/>
        </w:rPr>
      </w:pPr>
      <w:r>
        <w:rPr>
          <w:rFonts w:hint="eastAsia" w:ascii="宋体" w:hAnsi="宋体" w:cs="宋体"/>
          <w:bCs/>
          <w:color w:val="000000"/>
          <w:sz w:val="24"/>
        </w:rPr>
        <w:t>⑹ 标准、规范及有关技术性文件；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bookmarkStart w:id="100" w:name="_Toc474245211"/>
      <w:bookmarkStart w:id="101" w:name="_Toc183666514"/>
      <w:bookmarkStart w:id="102" w:name="_Toc26357"/>
      <w:bookmarkStart w:id="103" w:name="_Toc520190027"/>
      <w:bookmarkStart w:id="104" w:name="_Toc107447235"/>
      <w:bookmarkStart w:id="105" w:name="_Toc518992987"/>
      <w:bookmarkStart w:id="106" w:name="_Toc107446842"/>
      <w:r>
        <w:rPr>
          <w:rFonts w:hint="eastAsia" w:ascii="宋体" w:hAnsi="宋体" w:cs="宋体"/>
          <w:bCs/>
          <w:color w:val="auto"/>
          <w:sz w:val="24"/>
        </w:rPr>
        <w:t>⑺</w:t>
      </w:r>
      <w:r>
        <w:rPr>
          <w:rFonts w:ascii="Times New Roman" w:hAnsi="Times New Roman" w:cs="Times New Roman"/>
          <w:bCs/>
          <w:color w:val="auto"/>
          <w:sz w:val="24"/>
        </w:rPr>
        <w:t xml:space="preserve"> 图纸；</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⑻</w:t>
      </w:r>
      <w:r>
        <w:rPr>
          <w:rFonts w:ascii="Times New Roman" w:hAnsi="Times New Roman" w:cs="Times New Roman"/>
          <w:bCs/>
          <w:color w:val="auto"/>
          <w:sz w:val="24"/>
        </w:rPr>
        <w:t xml:space="preserve"> 工程量清单/</w:t>
      </w:r>
      <w:r>
        <w:rPr>
          <w:rFonts w:ascii="Times New Roman" w:hAnsi="Times New Roman" w:cs="Times New Roman"/>
          <w:color w:val="auto"/>
          <w:sz w:val="24"/>
        </w:rPr>
        <w:t>工程报价单或预算书</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Times New Roman" w:hAnsi="Times New Roman" w:cs="Times New Roman"/>
          <w:b/>
          <w:color w:val="auto"/>
          <w:sz w:val="24"/>
          <w:szCs w:val="24"/>
        </w:rPr>
      </w:pPr>
      <w:r>
        <w:rPr>
          <w:rFonts w:hint="eastAsia" w:ascii="宋体" w:hAnsi="宋体" w:cs="宋体"/>
          <w:bCs/>
          <w:color w:val="auto"/>
          <w:sz w:val="24"/>
        </w:rPr>
        <w:t>⑼</w:t>
      </w:r>
      <w:r>
        <w:rPr>
          <w:rFonts w:ascii="Times New Roman" w:hAnsi="Times New Roman" w:cs="Times New Roman"/>
          <w:bCs/>
          <w:color w:val="auto"/>
          <w:sz w:val="24"/>
        </w:rPr>
        <w:t xml:space="preserve"> 本合同其他附件；</w:t>
      </w:r>
    </w:p>
    <w:p>
      <w:pPr>
        <w:keepNext w:val="0"/>
        <w:keepLines w:val="0"/>
        <w:pageBreakBefore w:val="0"/>
        <w:kinsoku/>
        <w:wordWrap/>
        <w:overflowPunct/>
        <w:topLinePunct w:val="0"/>
        <w:bidi w:val="0"/>
        <w:spacing w:line="400" w:lineRule="exact"/>
        <w:ind w:firstLine="482" w:firstLineChars="200"/>
        <w:textAlignment w:val="auto"/>
        <w:rPr>
          <w:rFonts w:ascii="宋体" w:hAnsi="宋体" w:cs="宋体"/>
          <w:bCs/>
          <w:sz w:val="24"/>
        </w:rPr>
      </w:pPr>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6"/>
        <w:keepNext w:val="0"/>
        <w:keepLines w:val="0"/>
        <w:pageBreakBefore w:val="0"/>
        <w:kinsoku/>
        <w:wordWrap/>
        <w:overflowPunct/>
        <w:topLinePunct w:val="0"/>
        <w:bidi w:val="0"/>
        <w:spacing w:line="400" w:lineRule="exact"/>
        <w:ind w:firstLine="480" w:firstLineChars="200"/>
        <w:textAlignment w:val="auto"/>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设备校准服务，并出具</w:t>
      </w:r>
      <w:r>
        <w:rPr>
          <w:rFonts w:hint="eastAsia" w:ascii="Times New Roman" w:eastAsia="宋体" w:cs="Times New Roman"/>
          <w:bCs/>
          <w:color w:val="auto"/>
          <w:kern w:val="2"/>
          <w:lang w:val="en-US" w:eastAsia="zh-CN"/>
        </w:rPr>
        <w:t>CNAS</w:t>
      </w:r>
      <w:r>
        <w:rPr>
          <w:rFonts w:ascii="Times New Roman" w:eastAsia="宋体" w:cs="Times New Roman"/>
          <w:bCs/>
          <w:color w:val="auto"/>
          <w:kern w:val="2"/>
        </w:rPr>
        <w:t>校准证书。服务内容</w:t>
      </w:r>
      <w:r>
        <w:rPr>
          <w:rFonts w:hint="eastAsia" w:ascii="Times New Roman" w:eastAsia="宋体" w:cs="Times New Roman"/>
          <w:bCs/>
          <w:color w:val="auto"/>
          <w:kern w:val="2"/>
        </w:rPr>
        <w:t>详见附件2。</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2.2服务工期及检测报告</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服务工期：合同签订之日起至202</w:t>
      </w:r>
      <w:r>
        <w:rPr>
          <w:rFonts w:hint="eastAsia"/>
          <w:bCs/>
          <w:sz w:val="24"/>
          <w:lang w:val="en-US" w:eastAsia="zh-CN"/>
        </w:rPr>
        <w:t>3</w:t>
      </w:r>
      <w:r>
        <w:rPr>
          <w:bCs/>
          <w:sz w:val="24"/>
        </w:rPr>
        <w:t>年12月31日。</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keepNext w:val="0"/>
        <w:keepLines w:val="0"/>
        <w:pageBreakBefore w:val="0"/>
        <w:widowControl/>
        <w:kinsoku/>
        <w:wordWrap/>
        <w:overflowPunct/>
        <w:topLinePunct w:val="0"/>
        <w:bidi w:val="0"/>
        <w:spacing w:after="160" w:line="400" w:lineRule="exact"/>
        <w:ind w:firstLine="482"/>
        <w:jc w:val="left"/>
        <w:textAlignment w:val="auto"/>
        <w:rPr>
          <w:b/>
          <w:bCs/>
          <w:sz w:val="24"/>
        </w:rPr>
      </w:pPr>
      <w:r>
        <w:rPr>
          <w:b/>
          <w:bCs/>
          <w:sz w:val="24"/>
        </w:rPr>
        <w:t>第三条 合同价格</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pP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3.2所有的服务价格包括了校准所需车辆、人员、工具、仪器、物料、运输保存、校准和复测、证书出具等的全部费用。</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keepNext w:val="0"/>
        <w:keepLines w:val="0"/>
        <w:pageBreakBefore w:val="0"/>
        <w:kinsoku/>
        <w:wordWrap/>
        <w:overflowPunct/>
        <w:topLinePunct w:val="0"/>
        <w:bidi w:val="0"/>
        <w:spacing w:after="156" w:afterLines="50" w:line="400" w:lineRule="exact"/>
        <w:ind w:firstLine="482" w:firstLineChars="200"/>
        <w:textAlignment w:val="auto"/>
        <w:rPr>
          <w:b/>
          <w:sz w:val="24"/>
        </w:rPr>
      </w:pPr>
      <w:bookmarkStart w:id="107" w:name="_Toc474245213"/>
      <w:bookmarkStart w:id="108" w:name="_Toc520190029"/>
      <w:bookmarkStart w:id="109" w:name="_Toc518992989"/>
      <w:bookmarkStart w:id="110" w:name="_Toc107446843"/>
      <w:bookmarkStart w:id="111" w:name="_Toc107447236"/>
      <w:r>
        <w:rPr>
          <w:b/>
          <w:sz w:val="24"/>
        </w:rPr>
        <w:t>第四条 服务要求</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4.1.双方签订《安全协议书》，自觉遵守甲方管理单位安全生产相关的管理制度，承担安全主体责任。</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4.3.校准结果必须公平公正，不受外界影响；遵守相关保密条约；校准结果提供符合相关标准的纸质版校准证书和提供纸质版校准证书扫描件。</w:t>
      </w:r>
    </w:p>
    <w:p>
      <w:pPr>
        <w:keepNext w:val="0"/>
        <w:keepLines w:val="0"/>
        <w:pageBreakBefore w:val="0"/>
        <w:kinsoku/>
        <w:wordWrap/>
        <w:overflowPunct/>
        <w:topLinePunct w:val="0"/>
        <w:bidi w:val="0"/>
        <w:spacing w:after="156" w:afterLines="50" w:line="400" w:lineRule="exact"/>
        <w:ind w:firstLine="480" w:firstLineChars="200"/>
        <w:textAlignment w:val="auto"/>
        <w:rPr>
          <w:bCs/>
          <w:sz w:val="24"/>
        </w:rPr>
      </w:pPr>
      <w:r>
        <w:rPr>
          <w:bCs/>
          <w:sz w:val="24"/>
        </w:rPr>
        <w:t>4.4.本合同工作范围应包括提供所有需要的材料、人力以及其他校准设备，双方完成合同文件里规定的工作和校准服务，并达到预期的目标。</w:t>
      </w:r>
    </w:p>
    <w:p>
      <w:pPr>
        <w:keepNext w:val="0"/>
        <w:keepLines w:val="0"/>
        <w:pageBreakBefore w:val="0"/>
        <w:kinsoku/>
        <w:wordWrap/>
        <w:overflowPunct/>
        <w:topLinePunct w:val="0"/>
        <w:autoSpaceDE w:val="0"/>
        <w:autoSpaceDN w:val="0"/>
        <w:bidi w:val="0"/>
        <w:adjustRightInd w:val="0"/>
        <w:spacing w:line="400" w:lineRule="exact"/>
        <w:ind w:firstLine="482" w:firstLineChars="200"/>
        <w:textAlignment w:val="auto"/>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7"/>
      <w:bookmarkEnd w:id="108"/>
      <w:bookmarkEnd w:id="109"/>
    </w:p>
    <w:bookmarkEnd w:id="110"/>
    <w:bookmarkEnd w:id="111"/>
    <w:p>
      <w:pPr>
        <w:keepNext w:val="0"/>
        <w:keepLines w:val="0"/>
        <w:pageBreakBefore w:val="0"/>
        <w:tabs>
          <w:tab w:val="left" w:pos="851"/>
        </w:tabs>
        <w:kinsoku/>
        <w:wordWrap/>
        <w:overflowPunct/>
        <w:topLinePunct w:val="0"/>
        <w:bidi w:val="0"/>
        <w:adjustRightInd w:val="0"/>
        <w:snapToGrid w:val="0"/>
        <w:spacing w:line="400" w:lineRule="exact"/>
        <w:ind w:firstLine="480" w:firstLineChars="200"/>
        <w:textAlignment w:val="auto"/>
        <w:rPr>
          <w:rFonts w:ascii="宋体" w:hAnsi="宋体" w:cs="宋体"/>
          <w:sz w:val="24"/>
        </w:rPr>
      </w:pPr>
      <w:bookmarkStart w:id="112" w:name="_Toc183666516"/>
      <w:bookmarkStart w:id="113" w:name="_Toc14703"/>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 xml:space="preserve">5.2 </w:t>
      </w:r>
      <w:r>
        <w:rPr>
          <w:rFonts w:hint="eastAsia" w:ascii="宋体" w:hAnsi="宋体" w:cs="宋体"/>
          <w:sz w:val="24"/>
        </w:rPr>
        <w:t>支付方式：</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5.2.1乙方完成合同规定期限的校准和出具</w:t>
      </w:r>
      <w:r>
        <w:rPr>
          <w:rFonts w:hint="eastAsia"/>
          <w:sz w:val="24"/>
          <w:lang w:val="en-US" w:eastAsia="zh-CN"/>
        </w:rPr>
        <w:t>CNAS校准</w:t>
      </w:r>
      <w:r>
        <w:rPr>
          <w:sz w:val="24"/>
        </w:rPr>
        <w:t>证书等服务工作后，经甲方按照校准服务工作量据实结算，支付至审核价的100%。</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5.2.2乙方收款账户：</w:t>
      </w:r>
      <w:r>
        <w:rPr>
          <w:rFonts w:hint="eastAsia"/>
          <w:sz w:val="24"/>
          <w:u w:val="single"/>
          <w:lang w:val="en-US" w:eastAsia="zh-CN"/>
        </w:rPr>
        <w:t xml:space="preserve">                               </w:t>
      </w:r>
      <w:r>
        <w:rPr>
          <w:sz w:val="24"/>
        </w:rPr>
        <w:t>；</w:t>
      </w:r>
    </w:p>
    <w:p>
      <w:pPr>
        <w:keepNext w:val="0"/>
        <w:keepLines w:val="0"/>
        <w:pageBreakBefore w:val="0"/>
        <w:kinsoku/>
        <w:wordWrap/>
        <w:overflowPunct/>
        <w:topLinePunct w:val="0"/>
        <w:bidi w:val="0"/>
        <w:spacing w:line="400" w:lineRule="exact"/>
        <w:ind w:firstLine="1200" w:firstLineChars="500"/>
        <w:textAlignment w:val="auto"/>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rPr>
        <w:t>；</w:t>
      </w:r>
    </w:p>
    <w:p>
      <w:pPr>
        <w:keepNext w:val="0"/>
        <w:keepLines w:val="0"/>
        <w:pageBreakBefore w:val="0"/>
        <w:kinsoku/>
        <w:wordWrap/>
        <w:overflowPunct/>
        <w:topLinePunct w:val="0"/>
        <w:bidi w:val="0"/>
        <w:spacing w:line="400" w:lineRule="exact"/>
        <w:ind w:firstLine="1200" w:firstLineChars="500"/>
        <w:textAlignment w:val="auto"/>
        <w:rPr>
          <w:sz w:val="24"/>
        </w:rPr>
      </w:pPr>
      <w:r>
        <w:rPr>
          <w:sz w:val="24"/>
        </w:rPr>
        <w:t>开户行：</w:t>
      </w:r>
      <w:r>
        <w:rPr>
          <w:rFonts w:hint="eastAsia"/>
          <w:sz w:val="24"/>
          <w:u w:val="single"/>
          <w:lang w:val="en-US" w:eastAsia="zh-CN"/>
        </w:rPr>
        <w:t xml:space="preserve">                                   </w:t>
      </w:r>
      <w:r>
        <w:rPr>
          <w:sz w:val="24"/>
        </w:rPr>
        <w:t>；</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5.2.3乙方在收款前需提交相应金额增值税专用发票给甲方。</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增值税专用发票信息：</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名称：广州市净水有限公司</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税号：</w:t>
      </w:r>
      <w:r>
        <w:rPr>
          <w:sz w:val="24"/>
          <w:u w:val="single"/>
        </w:rPr>
        <w:t xml:space="preserve"> 91440101755584729Q</w:t>
      </w:r>
      <w:r>
        <w:rPr>
          <w:sz w:val="24"/>
        </w:rPr>
        <w:t xml:space="preserve"> ；  </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地址：</w:t>
      </w:r>
      <w:r>
        <w:rPr>
          <w:sz w:val="24"/>
          <w:u w:val="single"/>
        </w:rPr>
        <w:t xml:space="preserve"> 广州市天河区临江大道501号 </w:t>
      </w:r>
      <w:r>
        <w:rPr>
          <w:sz w:val="24"/>
        </w:rPr>
        <w:t>；</w:t>
      </w:r>
    </w:p>
    <w:p>
      <w:pPr>
        <w:keepNext w:val="0"/>
        <w:keepLines w:val="0"/>
        <w:pageBreakBefore w:val="0"/>
        <w:kinsoku/>
        <w:wordWrap/>
        <w:overflowPunct/>
        <w:topLinePunct w:val="0"/>
        <w:bidi w:val="0"/>
        <w:spacing w:line="400" w:lineRule="exact"/>
        <w:ind w:firstLine="480"/>
        <w:textAlignment w:val="auto"/>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keepNext w:val="0"/>
        <w:keepLines w:val="0"/>
        <w:pageBreakBefore w:val="0"/>
        <w:kinsoku/>
        <w:wordWrap/>
        <w:overflowPunct/>
        <w:topLinePunct w:val="0"/>
        <w:autoSpaceDE w:val="0"/>
        <w:autoSpaceDN w:val="0"/>
        <w:bidi w:val="0"/>
        <w:adjustRightInd w:val="0"/>
        <w:spacing w:line="400" w:lineRule="exact"/>
        <w:ind w:firstLine="482" w:firstLineChars="200"/>
        <w:textAlignment w:val="auto"/>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2"/>
    <w:bookmarkEnd w:id="113"/>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0"/>
    <w:bookmarkEnd w:id="101"/>
    <w:bookmarkEnd w:id="102"/>
    <w:bookmarkEnd w:id="103"/>
    <w:bookmarkEnd w:id="104"/>
    <w:bookmarkEnd w:id="105"/>
    <w:bookmarkEnd w:id="106"/>
    <w:p>
      <w:pPr>
        <w:keepNext w:val="0"/>
        <w:keepLines w:val="0"/>
        <w:pageBreakBefore w:val="0"/>
        <w:kinsoku/>
        <w:wordWrap/>
        <w:overflowPunct/>
        <w:topLinePunct w:val="0"/>
        <w:bidi w:val="0"/>
        <w:spacing w:line="400" w:lineRule="exact"/>
        <w:ind w:firstLine="482"/>
        <w:textAlignment w:val="auto"/>
        <w:rPr>
          <w:b/>
          <w:sz w:val="24"/>
        </w:rPr>
      </w:pPr>
      <w:bookmarkStart w:id="114" w:name="_Toc257"/>
      <w:bookmarkStart w:id="115" w:name="_Toc520190030"/>
      <w:bookmarkStart w:id="116" w:name="_Toc518992990"/>
      <w:bookmarkStart w:id="117" w:name="_Toc183666534"/>
      <w:bookmarkStart w:id="118" w:name="_Toc474245215"/>
      <w:r>
        <w:rPr>
          <w:b/>
          <w:sz w:val="24"/>
        </w:rPr>
        <w:t>第</w:t>
      </w:r>
      <w:r>
        <w:rPr>
          <w:rFonts w:hint="eastAsia"/>
          <w:b/>
          <w:sz w:val="24"/>
        </w:rPr>
        <w:t>七</w:t>
      </w:r>
      <w:r>
        <w:rPr>
          <w:b/>
          <w:sz w:val="24"/>
        </w:rPr>
        <w:t>条  质量保证</w:t>
      </w:r>
    </w:p>
    <w:p>
      <w:pPr>
        <w:keepNext w:val="0"/>
        <w:keepLines w:val="0"/>
        <w:pageBreakBefore w:val="0"/>
        <w:kinsoku/>
        <w:wordWrap/>
        <w:overflowPunct/>
        <w:topLinePunct w:val="0"/>
        <w:bidi w:val="0"/>
        <w:spacing w:line="400" w:lineRule="exact"/>
        <w:ind w:firstLine="480"/>
        <w:textAlignment w:val="auto"/>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keepNext w:val="0"/>
        <w:keepLines w:val="0"/>
        <w:pageBreakBefore w:val="0"/>
        <w:kinsoku/>
        <w:wordWrap/>
        <w:overflowPunct/>
        <w:topLinePunct w:val="0"/>
        <w:bidi w:val="0"/>
        <w:spacing w:line="400" w:lineRule="exact"/>
        <w:ind w:firstLine="480"/>
        <w:textAlignment w:val="auto"/>
        <w:outlineLvl w:val="0"/>
        <w:rPr>
          <w:sz w:val="24"/>
        </w:rPr>
      </w:pPr>
      <w:r>
        <w:rPr>
          <w:rFonts w:hint="eastAsia"/>
          <w:sz w:val="24"/>
        </w:rPr>
        <w:t>7</w:t>
      </w:r>
      <w:r>
        <w:rPr>
          <w:sz w:val="24"/>
        </w:rPr>
        <w:t>.2校准方法须按照以校准项目的国家标准或行业标准等为准。</w:t>
      </w:r>
    </w:p>
    <w:p>
      <w:pPr>
        <w:keepNext w:val="0"/>
        <w:keepLines w:val="0"/>
        <w:pageBreakBefore w:val="0"/>
        <w:kinsoku/>
        <w:wordWrap/>
        <w:overflowPunct/>
        <w:topLinePunct w:val="0"/>
        <w:bidi w:val="0"/>
        <w:spacing w:line="400" w:lineRule="exact"/>
        <w:ind w:firstLine="480"/>
        <w:textAlignment w:val="auto"/>
        <w:outlineLvl w:val="0"/>
        <w:rPr>
          <w:rFonts w:ascii="宋体" w:hAnsi="宋体" w:cs="宋体"/>
          <w:sz w:val="24"/>
        </w:rPr>
      </w:pPr>
      <w:r>
        <w:rPr>
          <w:rFonts w:hint="eastAsia"/>
          <w:sz w:val="24"/>
        </w:rPr>
        <w:t>7</w:t>
      </w:r>
      <w:r>
        <w:rPr>
          <w:sz w:val="24"/>
        </w:rPr>
        <w:t>.3</w:t>
      </w:r>
      <w:r>
        <w:rPr>
          <w:rFonts w:hint="eastAsia" w:ascii="宋体" w:hAnsi="宋体" w:cs="宋体"/>
          <w:sz w:val="24"/>
        </w:rPr>
        <w:t>乙方所具有实验室计量校准认证资质（CNAS），</w:t>
      </w:r>
      <w:r>
        <w:rPr>
          <w:rFonts w:ascii="宋体" w:hAnsi="宋体" w:cs="宋体"/>
          <w:sz w:val="24"/>
        </w:rPr>
        <w:t>所认证的校准能力</w:t>
      </w:r>
      <w:r>
        <w:rPr>
          <w:rFonts w:hint="eastAsia" w:ascii="宋体" w:hAnsi="宋体" w:cs="宋体"/>
          <w:sz w:val="24"/>
        </w:rPr>
        <w:t>涵盖本项目中所要求的校准设备种类，并能出具CNAS校准证书。</w:t>
      </w:r>
    </w:p>
    <w:p>
      <w:pPr>
        <w:keepNext w:val="0"/>
        <w:keepLines w:val="0"/>
        <w:pageBreakBefore w:val="0"/>
        <w:kinsoku/>
        <w:wordWrap/>
        <w:overflowPunct/>
        <w:topLinePunct w:val="0"/>
        <w:bidi w:val="0"/>
        <w:spacing w:line="400" w:lineRule="exact"/>
        <w:ind w:firstLine="480"/>
        <w:textAlignment w:val="auto"/>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keepNext w:val="0"/>
        <w:keepLines w:val="0"/>
        <w:pageBreakBefore w:val="0"/>
        <w:kinsoku/>
        <w:wordWrap/>
        <w:overflowPunct/>
        <w:topLinePunct w:val="0"/>
        <w:bidi w:val="0"/>
        <w:spacing w:line="400" w:lineRule="exact"/>
        <w:ind w:firstLine="480"/>
        <w:textAlignment w:val="auto"/>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4"/>
    <w:bookmarkEnd w:id="115"/>
    <w:bookmarkEnd w:id="116"/>
    <w:bookmarkEnd w:id="117"/>
    <w:bookmarkEnd w:id="118"/>
    <w:p>
      <w:pPr>
        <w:keepNext w:val="0"/>
        <w:keepLines w:val="0"/>
        <w:pageBreakBefore w:val="0"/>
        <w:kinsoku/>
        <w:wordWrap/>
        <w:overflowPunct/>
        <w:topLinePunct w:val="0"/>
        <w:bidi w:val="0"/>
        <w:spacing w:line="400" w:lineRule="exact"/>
        <w:ind w:firstLine="482"/>
        <w:textAlignment w:val="auto"/>
        <w:rPr>
          <w:bCs/>
          <w:sz w:val="24"/>
        </w:rPr>
      </w:pPr>
      <w:bookmarkStart w:id="119" w:name="_Toc306350465"/>
      <w:bookmarkStart w:id="120" w:name="_Toc118086592"/>
      <w:bookmarkStart w:id="121" w:name="_Toc5166"/>
      <w:bookmarkStart w:id="122" w:name="_Toc107447254"/>
      <w:bookmarkStart w:id="123" w:name="_Toc107446860"/>
      <w:bookmarkStart w:id="124" w:name="_Toc474245224"/>
      <w:bookmarkStart w:id="125" w:name="_Toc518992998"/>
      <w:bookmarkStart w:id="126" w:name="_Toc107447253"/>
      <w:bookmarkStart w:id="127" w:name="_Toc520190038"/>
      <w:bookmarkStart w:id="128" w:name="_Toc183666529"/>
      <w:bookmarkStart w:id="129" w:name="_Toc107446861"/>
      <w:r>
        <w:rPr>
          <w:b/>
          <w:sz w:val="24"/>
        </w:rPr>
        <w:t>第</w:t>
      </w:r>
      <w:r>
        <w:rPr>
          <w:rFonts w:hint="eastAsia"/>
          <w:b/>
          <w:sz w:val="24"/>
        </w:rPr>
        <w:t>八</w:t>
      </w:r>
      <w:r>
        <w:rPr>
          <w:b/>
          <w:sz w:val="24"/>
        </w:rPr>
        <w:t>条 违约责任</w:t>
      </w:r>
    </w:p>
    <w:p>
      <w:pPr>
        <w:keepNext w:val="0"/>
        <w:keepLines w:val="0"/>
        <w:pageBreakBefore w:val="0"/>
        <w:kinsoku/>
        <w:wordWrap/>
        <w:overflowPunct/>
        <w:topLinePunct w:val="0"/>
        <w:bidi w:val="0"/>
        <w:spacing w:line="400" w:lineRule="exact"/>
        <w:ind w:firstLine="482"/>
        <w:textAlignment w:val="auto"/>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keepNext w:val="0"/>
        <w:keepLines w:val="0"/>
        <w:pageBreakBefore w:val="0"/>
        <w:kinsoku/>
        <w:wordWrap/>
        <w:overflowPunct/>
        <w:topLinePunct w:val="0"/>
        <w:bidi w:val="0"/>
        <w:spacing w:line="400" w:lineRule="exact"/>
        <w:ind w:firstLine="482"/>
        <w:textAlignment w:val="auto"/>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keepNext w:val="0"/>
        <w:keepLines w:val="0"/>
        <w:pageBreakBefore w:val="0"/>
        <w:kinsoku/>
        <w:wordWrap/>
        <w:overflowPunct/>
        <w:topLinePunct w:val="0"/>
        <w:bidi w:val="0"/>
        <w:spacing w:line="400" w:lineRule="exact"/>
        <w:ind w:firstLine="482"/>
        <w:textAlignment w:val="auto"/>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keepNext w:val="0"/>
        <w:keepLines w:val="0"/>
        <w:pageBreakBefore w:val="0"/>
        <w:kinsoku/>
        <w:wordWrap/>
        <w:overflowPunct/>
        <w:topLinePunct w:val="0"/>
        <w:bidi w:val="0"/>
        <w:spacing w:line="400" w:lineRule="exact"/>
        <w:ind w:firstLine="482"/>
        <w:textAlignment w:val="auto"/>
        <w:rPr>
          <w:bCs/>
          <w:sz w:val="24"/>
        </w:rPr>
      </w:pPr>
      <w:r>
        <w:rPr>
          <w:b/>
          <w:sz w:val="24"/>
        </w:rPr>
        <w:t>第九条 变更或解除</w:t>
      </w:r>
    </w:p>
    <w:p>
      <w:pPr>
        <w:keepNext w:val="0"/>
        <w:keepLines w:val="0"/>
        <w:pageBreakBefore w:val="0"/>
        <w:kinsoku/>
        <w:wordWrap/>
        <w:overflowPunct/>
        <w:topLinePunct w:val="0"/>
        <w:bidi w:val="0"/>
        <w:spacing w:line="400" w:lineRule="exact"/>
        <w:ind w:firstLine="482"/>
        <w:textAlignment w:val="auto"/>
        <w:rPr>
          <w:bCs/>
          <w:sz w:val="24"/>
        </w:rPr>
      </w:pPr>
      <w:bookmarkStart w:id="130" w:name="_Toc183666530"/>
      <w:bookmarkStart w:id="131" w:name="_Toc5786"/>
      <w:bookmarkStart w:id="132" w:name="_Toc306350466"/>
      <w:r>
        <w:rPr>
          <w:bCs/>
          <w:sz w:val="24"/>
        </w:rPr>
        <w:t>9.1 甲方解除合同</w:t>
      </w:r>
    </w:p>
    <w:p>
      <w:pPr>
        <w:keepNext w:val="0"/>
        <w:keepLines w:val="0"/>
        <w:pageBreakBefore w:val="0"/>
        <w:kinsoku/>
        <w:wordWrap/>
        <w:overflowPunct/>
        <w:topLinePunct w:val="0"/>
        <w:bidi w:val="0"/>
        <w:spacing w:line="400" w:lineRule="exact"/>
        <w:ind w:firstLine="482"/>
        <w:textAlignment w:val="auto"/>
        <w:rPr>
          <w:bCs/>
          <w:sz w:val="24"/>
        </w:rPr>
      </w:pPr>
      <w:r>
        <w:rPr>
          <w:bCs/>
          <w:sz w:val="24"/>
        </w:rPr>
        <w:t>如乙方存在下述情况之一，甲方有权向乙方发出书面通知，全部或部分解除本合同：</w:t>
      </w:r>
    </w:p>
    <w:p>
      <w:pPr>
        <w:keepNext w:val="0"/>
        <w:keepLines w:val="0"/>
        <w:pageBreakBefore w:val="0"/>
        <w:kinsoku/>
        <w:wordWrap/>
        <w:overflowPunct/>
        <w:topLinePunct w:val="0"/>
        <w:bidi w:val="0"/>
        <w:spacing w:line="400" w:lineRule="exact"/>
        <w:ind w:firstLine="482"/>
        <w:textAlignment w:val="auto"/>
        <w:rPr>
          <w:bCs/>
          <w:sz w:val="24"/>
        </w:rPr>
      </w:pPr>
      <w:r>
        <w:rPr>
          <w:bCs/>
          <w:sz w:val="24"/>
        </w:rPr>
        <w:t xml:space="preserve">9.1.1 乙方未能在本合同约定或甲方另行指定的期限内提供部分或全部服务，并经甲方催告后在合理期限内仍未提供； </w:t>
      </w:r>
    </w:p>
    <w:p>
      <w:pPr>
        <w:keepNext w:val="0"/>
        <w:keepLines w:val="0"/>
        <w:pageBreakBefore w:val="0"/>
        <w:kinsoku/>
        <w:wordWrap/>
        <w:overflowPunct/>
        <w:topLinePunct w:val="0"/>
        <w:bidi w:val="0"/>
        <w:spacing w:line="400" w:lineRule="exact"/>
        <w:ind w:firstLine="482"/>
        <w:textAlignment w:val="auto"/>
        <w:rPr>
          <w:bCs/>
          <w:sz w:val="24"/>
        </w:rPr>
      </w:pPr>
      <w:r>
        <w:rPr>
          <w:bCs/>
          <w:sz w:val="24"/>
        </w:rPr>
        <w:t>9.1.2 乙方提供服务存在严重的质量问题，导致本合同目的不能实现；</w:t>
      </w:r>
    </w:p>
    <w:p>
      <w:pPr>
        <w:keepNext w:val="0"/>
        <w:keepLines w:val="0"/>
        <w:pageBreakBefore w:val="0"/>
        <w:kinsoku/>
        <w:wordWrap/>
        <w:overflowPunct/>
        <w:topLinePunct w:val="0"/>
        <w:bidi w:val="0"/>
        <w:spacing w:line="400" w:lineRule="exact"/>
        <w:ind w:firstLine="482"/>
        <w:textAlignment w:val="auto"/>
        <w:rPr>
          <w:bCs/>
          <w:sz w:val="24"/>
        </w:rPr>
      </w:pPr>
      <w:r>
        <w:rPr>
          <w:bCs/>
          <w:sz w:val="24"/>
        </w:rPr>
        <w:t>9.1.3 乙方存在违反合同义务的其他情形。</w:t>
      </w:r>
    </w:p>
    <w:p>
      <w:pPr>
        <w:keepNext w:val="0"/>
        <w:keepLines w:val="0"/>
        <w:pageBreakBefore w:val="0"/>
        <w:kinsoku/>
        <w:wordWrap/>
        <w:overflowPunct/>
        <w:topLinePunct w:val="0"/>
        <w:bidi w:val="0"/>
        <w:spacing w:line="400" w:lineRule="exact"/>
        <w:ind w:firstLine="482"/>
        <w:textAlignment w:val="auto"/>
        <w:rPr>
          <w:bCs/>
          <w:sz w:val="24"/>
        </w:rPr>
      </w:pPr>
      <w:r>
        <w:rPr>
          <w:bCs/>
          <w:sz w:val="24"/>
        </w:rPr>
        <w:t>9.2 乙方解除合同</w:t>
      </w:r>
    </w:p>
    <w:p>
      <w:pPr>
        <w:keepNext w:val="0"/>
        <w:keepLines w:val="0"/>
        <w:pageBreakBefore w:val="0"/>
        <w:kinsoku/>
        <w:wordWrap/>
        <w:overflowPunct/>
        <w:topLinePunct w:val="0"/>
        <w:bidi w:val="0"/>
        <w:spacing w:line="400" w:lineRule="exact"/>
        <w:ind w:firstLine="482"/>
        <w:textAlignment w:val="auto"/>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keepNext w:val="0"/>
        <w:keepLines w:val="0"/>
        <w:pageBreakBefore w:val="0"/>
        <w:kinsoku/>
        <w:wordWrap/>
        <w:overflowPunct/>
        <w:topLinePunct w:val="0"/>
        <w:bidi w:val="0"/>
        <w:spacing w:line="400" w:lineRule="exact"/>
        <w:ind w:firstLine="482"/>
        <w:textAlignment w:val="auto"/>
        <w:rPr>
          <w:bCs/>
          <w:sz w:val="24"/>
        </w:rPr>
      </w:pPr>
      <w:r>
        <w:rPr>
          <w:bCs/>
          <w:sz w:val="24"/>
        </w:rPr>
        <w:t xml:space="preserve">9.3 </w:t>
      </w:r>
      <w:r>
        <w:rPr>
          <w:sz w:val="24"/>
        </w:rPr>
        <w:t>甲乙双方经协商一致后解除合同。</w:t>
      </w:r>
    </w:p>
    <w:bookmarkEnd w:id="130"/>
    <w:bookmarkEnd w:id="131"/>
    <w:bookmarkEnd w:id="132"/>
    <w:p>
      <w:pPr>
        <w:keepNext w:val="0"/>
        <w:keepLines w:val="0"/>
        <w:pageBreakBefore w:val="0"/>
        <w:kinsoku/>
        <w:wordWrap/>
        <w:overflowPunct/>
        <w:topLinePunct w:val="0"/>
        <w:bidi w:val="0"/>
        <w:spacing w:line="400" w:lineRule="exact"/>
        <w:ind w:firstLine="482"/>
        <w:textAlignment w:val="auto"/>
        <w:rPr>
          <w:bCs/>
          <w:sz w:val="24"/>
        </w:rPr>
      </w:pPr>
      <w:r>
        <w:rPr>
          <w:b/>
          <w:sz w:val="24"/>
        </w:rPr>
        <w:t>第十条 不可抗力</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（1）地震、火山爆发、滑坡、暴雨（橙色预警及以上）、台风（黄色预警及以上）、海啸、龙卷风、大面积流行病(如：非典型性肺炎等)或瘟疫；</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（2）战争行为、入侵、武装冲突或外敌行为、封锁、暴乱、恐怖行为或军事演习；</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400" w:lineRule="exact"/>
        <w:ind w:firstLine="480" w:firstLineChars="200"/>
        <w:textAlignment w:val="auto"/>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400" w:lineRule="exact"/>
        <w:ind w:firstLine="482"/>
        <w:textAlignment w:val="auto"/>
        <w:rPr>
          <w:bCs/>
          <w:sz w:val="24"/>
        </w:rPr>
      </w:pPr>
      <w:r>
        <w:rPr>
          <w:b/>
          <w:sz w:val="24"/>
        </w:rPr>
        <w:t>第十一条  争议解决</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keepNext w:val="0"/>
        <w:keepLines w:val="0"/>
        <w:pageBreakBefore w:val="0"/>
        <w:kinsoku/>
        <w:wordWrap/>
        <w:overflowPunct/>
        <w:topLinePunct w:val="0"/>
        <w:bidi w:val="0"/>
        <w:spacing w:line="400" w:lineRule="exact"/>
        <w:ind w:firstLine="480" w:firstLineChars="200"/>
        <w:textAlignment w:val="auto"/>
        <w:rPr>
          <w:sz w:val="24"/>
        </w:rPr>
      </w:pPr>
      <w:r>
        <w:rPr>
          <w:sz w:val="24"/>
        </w:rPr>
        <w:t>11.2 在甲方同意的情况下，除有争端之外的合同其它部分在争端解决前应继续执行。</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cs="宋体"/>
          <w:b/>
          <w:sz w:val="24"/>
        </w:rPr>
      </w:pPr>
    </w:p>
    <w:p>
      <w:pPr>
        <w:keepNext w:val="0"/>
        <w:keepLines w:val="0"/>
        <w:pageBreakBefore w:val="0"/>
        <w:kinsoku/>
        <w:wordWrap/>
        <w:overflowPunct/>
        <w:topLinePunct w:val="0"/>
        <w:bidi w:val="0"/>
        <w:spacing w:line="400" w:lineRule="exact"/>
        <w:ind w:firstLine="482" w:firstLineChars="200"/>
        <w:textAlignment w:val="auto"/>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keepNext w:val="0"/>
        <w:keepLines w:val="0"/>
        <w:pageBreakBefore w:val="0"/>
        <w:kinsoku/>
        <w:wordWrap/>
        <w:overflowPunct/>
        <w:topLinePunct w:val="0"/>
        <w:bidi w:val="0"/>
        <w:spacing w:line="400" w:lineRule="exact"/>
        <w:ind w:firstLine="595" w:firstLineChars="248"/>
        <w:textAlignment w:val="auto"/>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keepNext w:val="0"/>
        <w:keepLines w:val="0"/>
        <w:pageBreakBefore w:val="0"/>
        <w:kinsoku/>
        <w:wordWrap/>
        <w:overflowPunct/>
        <w:topLinePunct w:val="0"/>
        <w:bidi w:val="0"/>
        <w:spacing w:line="400" w:lineRule="exact"/>
        <w:ind w:firstLine="600" w:firstLineChars="250"/>
        <w:textAlignment w:val="auto"/>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keepNext w:val="0"/>
        <w:keepLines w:val="0"/>
        <w:pageBreakBefore w:val="0"/>
        <w:kinsoku/>
        <w:wordWrap/>
        <w:overflowPunct/>
        <w:topLinePunct w:val="0"/>
        <w:bidi w:val="0"/>
        <w:spacing w:line="400" w:lineRule="exact"/>
        <w:ind w:firstLine="600" w:firstLineChars="250"/>
        <w:textAlignment w:val="auto"/>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lang w:val="en-US" w:eastAsia="zh-CN"/>
        </w:rPr>
        <w:t>肆</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lang w:val="en-US" w:eastAsia="zh-CN"/>
        </w:rPr>
        <w:t xml:space="preserve">贰 </w:t>
      </w:r>
      <w:r>
        <w:rPr>
          <w:rFonts w:hint="eastAsia" w:ascii="宋体" w:hAnsi="宋体" w:cs="宋体"/>
          <w:sz w:val="24"/>
        </w:rPr>
        <w:t>份。均具有同等法律效力。</w:t>
      </w:r>
    </w:p>
    <w:p>
      <w:pPr>
        <w:keepNext w:val="0"/>
        <w:keepLines w:val="0"/>
        <w:pageBreakBefore w:val="0"/>
        <w:kinsoku/>
        <w:wordWrap/>
        <w:overflowPunct/>
        <w:topLinePunct w:val="0"/>
        <w:bidi w:val="0"/>
        <w:spacing w:line="400" w:lineRule="exact"/>
        <w:ind w:firstLine="720" w:firstLineChars="300"/>
        <w:textAlignment w:val="auto"/>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keepNext w:val="0"/>
        <w:keepLines w:val="0"/>
        <w:pageBreakBefore w:val="0"/>
        <w:kinsoku/>
        <w:wordWrap/>
        <w:overflowPunct/>
        <w:topLinePunct w:val="0"/>
        <w:bidi w:val="0"/>
        <w:spacing w:line="400" w:lineRule="exact"/>
        <w:ind w:firstLine="480"/>
        <w:textAlignment w:val="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keepNext w:val="0"/>
        <w:keepLines w:val="0"/>
        <w:pageBreakBefore w:val="0"/>
        <w:kinsoku/>
        <w:wordWrap/>
        <w:overflowPunct/>
        <w:topLinePunct w:val="0"/>
        <w:bidi w:val="0"/>
        <w:spacing w:line="400" w:lineRule="exact"/>
        <w:ind w:left="1200"/>
        <w:textAlignment w:val="auto"/>
        <w:rPr>
          <w:rFonts w:ascii="宋体" w:hAnsi="宋体" w:cs="宋体"/>
          <w:sz w:val="24"/>
        </w:rPr>
      </w:pPr>
      <w:r>
        <w:rPr>
          <w:rFonts w:hint="eastAsia" w:ascii="宋体" w:hAnsi="宋体" w:cs="宋体"/>
          <w:sz w:val="24"/>
        </w:rPr>
        <w:t>2.服务内容及报价清单</w:t>
      </w:r>
    </w:p>
    <w:p>
      <w:pPr>
        <w:keepNext w:val="0"/>
        <w:keepLines w:val="0"/>
        <w:pageBreakBefore w:val="0"/>
        <w:kinsoku/>
        <w:wordWrap/>
        <w:overflowPunct/>
        <w:topLinePunct w:val="0"/>
        <w:bidi w:val="0"/>
        <w:spacing w:line="400" w:lineRule="exact"/>
        <w:ind w:left="1200"/>
        <w:textAlignment w:val="auto"/>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keepNext w:val="0"/>
        <w:keepLines w:val="0"/>
        <w:pageBreakBefore w:val="0"/>
        <w:kinsoku/>
        <w:wordWrap/>
        <w:overflowPunct/>
        <w:topLinePunct w:val="0"/>
        <w:bidi w:val="0"/>
        <w:spacing w:line="400" w:lineRule="exact"/>
        <w:ind w:firstLine="1200" w:firstLineChars="500"/>
        <w:textAlignment w:val="auto"/>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keepNext w:val="0"/>
        <w:keepLines w:val="0"/>
        <w:pageBreakBefore w:val="0"/>
        <w:kinsoku/>
        <w:wordWrap/>
        <w:overflowPunct/>
        <w:topLinePunct w:val="0"/>
        <w:bidi w:val="0"/>
        <w:spacing w:line="400" w:lineRule="exact"/>
        <w:ind w:firstLine="1200" w:firstLineChars="500"/>
        <w:textAlignment w:val="auto"/>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19"/>
    <w:bookmarkEnd w:id="120"/>
    <w:bookmarkEnd w:id="121"/>
    <w:bookmarkEnd w:id="122"/>
    <w:bookmarkEnd w:id="123"/>
    <w:bookmarkEnd w:id="124"/>
    <w:bookmarkEnd w:id="125"/>
    <w:bookmarkEnd w:id="126"/>
    <w:bookmarkEnd w:id="127"/>
    <w:bookmarkEnd w:id="128"/>
    <w:bookmarkEnd w:id="129"/>
    <w:tbl>
      <w:tblPr>
        <w:tblStyle w:val="23"/>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大坦沙分公司2023年度在线监测设备校准需求报价清单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进水赛莱默</w:t>
            </w:r>
            <w:r>
              <w:rPr>
                <w:rFonts w:hint="eastAsia" w:ascii="宋体" w:hAnsi="宋体" w:eastAsia="宋体" w:cs="宋体"/>
                <w:b w:val="0"/>
                <w:bCs/>
                <w:sz w:val="18"/>
                <w:szCs w:val="18"/>
                <w:lang w:eastAsia="zh-CN" w:bidi="ar"/>
              </w:rPr>
              <w:t>总磷总氮</w:t>
            </w:r>
            <w:r>
              <w:rPr>
                <w:rFonts w:hint="eastAsia" w:ascii="宋体" w:hAnsi="宋体" w:eastAsia="宋体" w:cs="宋体"/>
                <w:b w:val="0"/>
                <w:bCs/>
                <w:sz w:val="18"/>
                <w:szCs w:val="18"/>
                <w:lang w:val="en-US" w:eastAsia="zh-CN" w:bidi="ar"/>
              </w:rPr>
              <w:t>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碧兴留样</w:t>
            </w:r>
            <w:r>
              <w:rPr>
                <w:rFonts w:hint="eastAsia" w:ascii="宋体" w:hAnsi="宋体" w:eastAsia="宋体" w:cs="宋体"/>
                <w:b w:val="0"/>
                <w:bCs/>
                <w:sz w:val="18"/>
                <w:szCs w:val="18"/>
                <w:lang w:val="en-US" w:eastAsia="zh-CN" w:bidi="ar"/>
              </w:rPr>
              <w:t>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出水恒达留样器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spacing w:line="360" w:lineRule="auto"/>
        <w:jc w:val="both"/>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江高分公司2023年度在线监测设备校准需求报价清单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出水总磷总氮在线监测设备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出水氨氮在线监测设备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出水COD在线监测设备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rPr>
          <w:rFonts w:hint="eastAsia" w:ascii="宋体" w:hAnsi="宋体" w:cs="宋体"/>
          <w:b/>
          <w:bCs/>
          <w:szCs w:val="21"/>
        </w:rPr>
      </w:pPr>
    </w:p>
    <w:p>
      <w:pPr>
        <w:pStyle w:val="2"/>
        <w:rPr>
          <w:rFonts w:hint="eastAsia"/>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水质中心2023年度在线监测备机校准需求报价清单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普贝斯CODcr监测设备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PCM200-CODCr</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PCM200-NH3N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普贝斯TP监测设备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PCM200-TP</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普贝斯TN监测设备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普贝斯水质自动采样器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color w:val="000000"/>
                <w:sz w:val="18"/>
                <w:szCs w:val="18"/>
                <w:lang w:val="en-US" w:eastAsia="zh-CN" w:bidi="ar"/>
              </w:rPr>
              <w:t>PAS-305A</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赛莱默总磷总氮监测设备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rPr>
          <w:rFonts w:hint="eastAsia" w:ascii="宋体" w:hAnsi="宋体" w:cs="宋体"/>
          <w:b/>
          <w:bCs/>
          <w:szCs w:val="21"/>
        </w:rPr>
      </w:pPr>
    </w:p>
    <w:p>
      <w:pPr>
        <w:rPr>
          <w:rFonts w:hint="eastAsia" w:ascii="宋体" w:hAnsi="宋体" w:cs="宋体"/>
          <w:b/>
          <w:bCs/>
          <w:szCs w:val="21"/>
        </w:rPr>
        <w:sectPr>
          <w:footerReference r:id="rId12" w:type="first"/>
          <w:footerReference r:id="rId11" w:type="default"/>
          <w:pgSz w:w="11906" w:h="16838"/>
          <w:pgMar w:top="2098" w:right="1474" w:bottom="1985" w:left="1588" w:header="851" w:footer="992" w:gutter="0"/>
          <w:pgNumType w:fmt="decimal"/>
          <w:cols w:space="425" w:num="1"/>
          <w:titlePg/>
          <w:docGrid w:type="lines" w:linePitch="312" w:charSpace="0"/>
        </w:sect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lang w:eastAsia="zh-CN"/>
        </w:rPr>
        <w:t>年</w:t>
      </w:r>
      <w:r>
        <w:rPr>
          <w:rFonts w:hint="eastAsia" w:ascii="仿宋_GB2312" w:hAnsi="仿宋_GB2312" w:eastAsia="仿宋_GB2312" w:cs="仿宋_GB2312"/>
          <w:bCs/>
          <w:sz w:val="28"/>
          <w:szCs w:val="28"/>
          <w:u w:val="single"/>
          <w:lang w:val="en-US" w:eastAsia="zh-CN"/>
        </w:rPr>
        <w:t>度大坦沙、江高分公司在线监测</w:t>
      </w:r>
      <w:r>
        <w:rPr>
          <w:rFonts w:hint="eastAsia" w:ascii="仿宋_GB2312" w:hAnsi="仿宋_GB2312" w:eastAsia="仿宋_GB2312" w:cs="仿宋_GB2312"/>
          <w:bCs/>
          <w:sz w:val="28"/>
          <w:szCs w:val="28"/>
          <w:u w:val="single"/>
          <w:lang w:eastAsia="zh-CN"/>
        </w:rPr>
        <w:t>设备</w:t>
      </w:r>
      <w:r>
        <w:rPr>
          <w:rFonts w:hint="eastAsia" w:ascii="仿宋_GB2312" w:hAnsi="仿宋_GB2312" w:eastAsia="仿宋_GB2312" w:cs="仿宋_GB2312"/>
          <w:bCs/>
          <w:sz w:val="28"/>
          <w:szCs w:val="28"/>
          <w:u w:val="single"/>
          <w:lang w:val="en-US" w:eastAsia="zh-CN"/>
        </w:rPr>
        <w:t>及水质中心在线监测备机</w:t>
      </w:r>
      <w:r>
        <w:rPr>
          <w:rFonts w:hint="eastAsia" w:ascii="仿宋_GB2312" w:hAnsi="仿宋_GB2312" w:eastAsia="仿宋_GB2312" w:cs="仿宋_GB2312"/>
          <w:bCs/>
          <w:sz w:val="28"/>
          <w:szCs w:val="28"/>
          <w:u w:val="single"/>
          <w:lang w:eastAsia="zh-CN"/>
        </w:rPr>
        <w:t>第三方</w:t>
      </w:r>
      <w:r>
        <w:rPr>
          <w:rFonts w:hint="eastAsia" w:ascii="仿宋_GB2312" w:hAnsi="仿宋_GB2312" w:eastAsia="仿宋_GB2312" w:cs="仿宋_GB2312"/>
          <w:bCs/>
          <w:sz w:val="28"/>
          <w:szCs w:val="28"/>
          <w:u w:val="single"/>
          <w:lang w:val="en-US" w:eastAsia="zh-CN"/>
        </w:rPr>
        <w:t>校准</w:t>
      </w:r>
      <w:r>
        <w:rPr>
          <w:rFonts w:hint="eastAsia" w:ascii="仿宋_GB2312" w:hAnsi="仿宋_GB2312" w:eastAsia="仿宋_GB2312" w:cs="仿宋_GB2312"/>
          <w:bCs/>
          <w:sz w:val="28"/>
          <w:szCs w:val="28"/>
          <w:u w:val="single"/>
          <w:lang w:eastAsia="zh-CN"/>
        </w:rPr>
        <w:t>服务</w:t>
      </w:r>
      <w:r>
        <w:rPr>
          <w:rFonts w:hint="eastAsia" w:ascii="仿宋_GB2312" w:hAnsi="仿宋_GB2312" w:eastAsia="仿宋_GB2312" w:cs="仿宋_GB2312"/>
          <w:bCs/>
          <w:sz w:val="28"/>
          <w:szCs w:val="28"/>
          <w:u w:val="single"/>
          <w:lang w:val="en-US" w:eastAsia="zh-CN"/>
        </w:rPr>
        <w:t xml:space="preserve">项目 穗净水合[      ]    </w:t>
      </w:r>
      <w:r>
        <w:rPr>
          <w:rFonts w:ascii="Times New Roman" w:hAnsi="Times New Roman" w:cs="Times New Roman"/>
          <w:color w:val="auto"/>
          <w:sz w:val="28"/>
          <w:szCs w:val="28"/>
          <w:u w:val="single"/>
        </w:rPr>
        <w:t>号</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lang w:eastAsia="zh-CN"/>
        </w:rPr>
        <w:t>年</w:t>
      </w:r>
      <w:r>
        <w:rPr>
          <w:rFonts w:hint="eastAsia" w:ascii="仿宋_GB2312" w:hAnsi="仿宋_GB2312" w:eastAsia="仿宋_GB2312" w:cs="仿宋_GB2312"/>
          <w:bCs/>
          <w:sz w:val="28"/>
          <w:szCs w:val="28"/>
          <w:u w:val="single"/>
          <w:lang w:val="en-US" w:eastAsia="zh-CN"/>
        </w:rPr>
        <w:t>度大坦沙、江高分公司在线监测</w:t>
      </w:r>
      <w:r>
        <w:rPr>
          <w:rFonts w:hint="eastAsia" w:ascii="仿宋_GB2312" w:hAnsi="仿宋_GB2312" w:eastAsia="仿宋_GB2312" w:cs="仿宋_GB2312"/>
          <w:bCs/>
          <w:sz w:val="28"/>
          <w:szCs w:val="28"/>
          <w:u w:val="single"/>
          <w:lang w:eastAsia="zh-CN"/>
        </w:rPr>
        <w:t>设备</w:t>
      </w:r>
      <w:r>
        <w:rPr>
          <w:rFonts w:hint="eastAsia" w:ascii="仿宋_GB2312" w:hAnsi="仿宋_GB2312" w:eastAsia="仿宋_GB2312" w:cs="仿宋_GB2312"/>
          <w:bCs/>
          <w:sz w:val="28"/>
          <w:szCs w:val="28"/>
          <w:u w:val="single"/>
          <w:lang w:val="en-US" w:eastAsia="zh-CN"/>
        </w:rPr>
        <w:t>及水质中心在线监测备机</w:t>
      </w:r>
      <w:r>
        <w:rPr>
          <w:rFonts w:hint="eastAsia" w:ascii="仿宋_GB2312" w:hAnsi="仿宋_GB2312" w:eastAsia="仿宋_GB2312" w:cs="仿宋_GB2312"/>
          <w:bCs/>
          <w:sz w:val="28"/>
          <w:szCs w:val="28"/>
          <w:u w:val="single"/>
          <w:lang w:eastAsia="zh-CN"/>
        </w:rPr>
        <w:t>第三方</w:t>
      </w:r>
      <w:r>
        <w:rPr>
          <w:rFonts w:hint="eastAsia" w:ascii="仿宋_GB2312" w:hAnsi="仿宋_GB2312" w:eastAsia="仿宋_GB2312" w:cs="仿宋_GB2312"/>
          <w:bCs/>
          <w:sz w:val="28"/>
          <w:szCs w:val="28"/>
          <w:u w:val="single"/>
          <w:lang w:val="en-US" w:eastAsia="zh-CN"/>
        </w:rPr>
        <w:t>校准</w:t>
      </w:r>
      <w:r>
        <w:rPr>
          <w:rFonts w:hint="eastAsia" w:ascii="仿宋_GB2312" w:hAnsi="仿宋_GB2312" w:eastAsia="仿宋_GB2312" w:cs="仿宋_GB2312"/>
          <w:bCs/>
          <w:sz w:val="28"/>
          <w:szCs w:val="28"/>
          <w:u w:val="single"/>
          <w:lang w:eastAsia="zh-CN"/>
        </w:rPr>
        <w:t>服务</w:t>
      </w:r>
      <w:r>
        <w:rPr>
          <w:rFonts w:hint="eastAsia" w:ascii="仿宋_GB2312" w:hAnsi="仿宋_GB2312" w:eastAsia="仿宋_GB2312" w:cs="仿宋_GB2312"/>
          <w:bCs/>
          <w:sz w:val="28"/>
          <w:szCs w:val="28"/>
          <w:u w:val="single"/>
          <w:lang w:val="en-US" w:eastAsia="zh-CN"/>
        </w:rPr>
        <w:t>项目</w:t>
      </w:r>
      <w:r>
        <w:rPr>
          <w:rFonts w:hint="eastAsia" w:ascii="仿宋_GB2312" w:hAnsi="仿宋_GB2312" w:eastAsia="仿宋_GB2312" w:cs="仿宋_GB2312"/>
          <w:bCs/>
          <w:sz w:val="28"/>
          <w:szCs w:val="28"/>
          <w:u w:val="single"/>
        </w:rPr>
        <w:t>（合同编号：穗净水合[</w:t>
      </w:r>
      <w:r>
        <w:rPr>
          <w:rFonts w:hint="eastAsia" w:ascii="仿宋_GB2312" w:hAnsi="仿宋_GB2312" w:eastAsia="仿宋_GB2312" w:cs="仿宋_GB2312"/>
          <w:bCs/>
          <w:sz w:val="28"/>
          <w:szCs w:val="28"/>
          <w:u w:val="single"/>
          <w:lang w:eastAsia="zh-CN"/>
        </w:rPr>
        <w:t>2023</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lang w:val="en-US" w:eastAsia="zh-CN"/>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lang w:val="en-US" w:eastAsia="zh-CN"/>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lang w:val="en-US" w:eastAsia="zh-CN"/>
        </w:rPr>
        <w:t>贰</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3"/>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keepNext w:val="0"/>
        <w:keepLines w:val="0"/>
        <w:pageBreakBefore w:val="0"/>
        <w:widowControl w:val="0"/>
        <w:kinsoku/>
        <w:wordWrap/>
        <w:overflowPunct/>
        <w:topLinePunct w:val="0"/>
        <w:autoSpaceDE/>
        <w:autoSpaceDN/>
        <w:bidi w:val="0"/>
        <w:spacing w:line="560" w:lineRule="exact"/>
        <w:textAlignment w:val="auto"/>
        <w:rPr>
          <w:kern w:val="0"/>
          <w:sz w:val="24"/>
        </w:rPr>
      </w:pPr>
      <w:bookmarkStart w:id="133" w:name="_Hlk40084940"/>
      <w:r>
        <w:rPr>
          <w:kern w:val="0"/>
          <w:sz w:val="24"/>
        </w:rPr>
        <w:t>甲方：</w:t>
      </w:r>
      <w:r>
        <w:rPr>
          <w:sz w:val="24"/>
        </w:rPr>
        <w:t>广州市净水有限公司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kern w:val="0"/>
          <w:sz w:val="24"/>
        </w:rPr>
      </w:pPr>
      <w:r>
        <w:rPr>
          <w:kern w:val="0"/>
          <w:sz w:val="24"/>
        </w:rPr>
        <w:t>乙方：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60" w:lineRule="exact"/>
        <w:ind w:left="105" w:firstLine="480" w:firstLineChars="200"/>
        <w:jc w:val="left"/>
        <w:textAlignment w:val="auto"/>
        <w:rPr>
          <w:sz w:val="24"/>
        </w:rPr>
      </w:pPr>
      <w:r>
        <w:rPr>
          <w:sz w:val="24"/>
        </w:rPr>
        <w:t>本协议作为</w:t>
      </w:r>
      <w:r>
        <w:rPr>
          <w:rFonts w:hint="eastAsia" w:ascii="宋体" w:hAnsi="宋体" w:cs="宋体"/>
          <w:color w:val="000000"/>
          <w:sz w:val="24"/>
          <w:u w:val="single"/>
        </w:rPr>
        <w:t xml:space="preserve"> 广州市净水有限公司</w:t>
      </w:r>
      <w:r>
        <w:rPr>
          <w:rFonts w:hint="eastAsia" w:ascii="宋体" w:hAnsi="宋体" w:cs="宋体"/>
          <w:color w:val="000000"/>
          <w:sz w:val="24"/>
          <w:u w:val="single"/>
          <w:lang w:eastAsia="zh-CN"/>
        </w:rPr>
        <w:t>202</w:t>
      </w:r>
      <w:r>
        <w:rPr>
          <w:rFonts w:hint="eastAsia" w:ascii="宋体" w:hAnsi="宋体" w:cs="宋体"/>
          <w:color w:val="000000"/>
          <w:sz w:val="24"/>
          <w:u w:val="single"/>
          <w:lang w:val="en-US" w:eastAsia="zh-CN"/>
        </w:rPr>
        <w:t>3</w:t>
      </w:r>
      <w:r>
        <w:rPr>
          <w:rFonts w:hint="eastAsia" w:ascii="宋体" w:hAnsi="宋体" w:cs="宋体"/>
          <w:color w:val="000000"/>
          <w:sz w:val="24"/>
          <w:u w:val="single"/>
          <w:lang w:eastAsia="zh-CN"/>
        </w:rPr>
        <w:t>年</w:t>
      </w:r>
      <w:r>
        <w:rPr>
          <w:rFonts w:hint="eastAsia" w:ascii="宋体" w:hAnsi="宋体" w:cs="宋体"/>
          <w:color w:val="000000"/>
          <w:sz w:val="24"/>
          <w:u w:val="single"/>
          <w:lang w:val="en-US" w:eastAsia="zh-CN"/>
        </w:rPr>
        <w:t>度大坦沙、江高分公司在线监测</w:t>
      </w:r>
      <w:r>
        <w:rPr>
          <w:rFonts w:hint="eastAsia" w:ascii="宋体" w:hAnsi="宋体" w:cs="宋体"/>
          <w:color w:val="000000"/>
          <w:sz w:val="24"/>
          <w:u w:val="single"/>
          <w:lang w:eastAsia="zh-CN"/>
        </w:rPr>
        <w:t>设备</w:t>
      </w:r>
      <w:r>
        <w:rPr>
          <w:rFonts w:hint="eastAsia" w:ascii="宋体" w:hAnsi="宋体" w:cs="宋体"/>
          <w:color w:val="000000"/>
          <w:sz w:val="24"/>
          <w:u w:val="single"/>
          <w:lang w:val="en-US" w:eastAsia="zh-CN"/>
        </w:rPr>
        <w:t>及水质中心在线监测备机</w:t>
      </w:r>
      <w:r>
        <w:rPr>
          <w:rFonts w:hint="eastAsia" w:ascii="宋体" w:hAnsi="宋体" w:cs="宋体"/>
          <w:color w:val="000000"/>
          <w:sz w:val="24"/>
          <w:u w:val="single"/>
          <w:lang w:eastAsia="zh-CN"/>
        </w:rPr>
        <w:t>第三方</w:t>
      </w:r>
      <w:r>
        <w:rPr>
          <w:rFonts w:hint="eastAsia" w:ascii="宋体" w:hAnsi="宋体" w:cs="宋体"/>
          <w:color w:val="000000"/>
          <w:sz w:val="24"/>
          <w:u w:val="single"/>
          <w:lang w:val="en-US" w:eastAsia="zh-CN"/>
        </w:rPr>
        <w:t>校准</w:t>
      </w:r>
      <w:r>
        <w:rPr>
          <w:rFonts w:hint="eastAsia" w:ascii="宋体" w:hAnsi="宋体" w:cs="宋体"/>
          <w:color w:val="000000"/>
          <w:sz w:val="24"/>
          <w:u w:val="single"/>
          <w:lang w:eastAsia="zh-CN"/>
        </w:rPr>
        <w:t>服务</w:t>
      </w:r>
      <w:r>
        <w:rPr>
          <w:rFonts w:hint="eastAsia" w:ascii="宋体" w:hAnsi="宋体" w:cs="宋体"/>
          <w:color w:val="000000"/>
          <w:sz w:val="24"/>
          <w:u w:val="single"/>
          <w:lang w:val="en-US" w:eastAsia="zh-CN"/>
        </w:rPr>
        <w:t>项目</w:t>
      </w:r>
      <w:r>
        <w:rPr>
          <w:rFonts w:hint="eastAsia" w:ascii="宋体" w:hAnsi="宋体" w:cs="宋体"/>
          <w:color w:val="000000"/>
          <w:sz w:val="24"/>
          <w:u w:val="single"/>
        </w:rPr>
        <w:t xml:space="preserve"> </w:t>
      </w:r>
      <w:r>
        <w:rPr>
          <w:rFonts w:ascii="Times New Roman" w:hAnsi="Times New Roman" w:cs="Times New Roman"/>
          <w:color w:val="auto"/>
          <w:kern w:val="0"/>
          <w:sz w:val="24"/>
          <w:u w:val="single"/>
        </w:rPr>
        <w:t>穗净水合[     ]      号</w:t>
      </w:r>
      <w:r>
        <w:rPr>
          <w:sz w:val="24"/>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二、甲方权责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（二）告知乙方在甲方应当遵守的安全管理要求。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（三）乙方对存在问题拒不整改，或违法甲方安全管理要求的，视为违约，甲方有权对乙方进行违约金扣罚。如乙方拒不缴纳违约金的，甲方有权在履约保证金中扣除。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三、乙方权责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（五）配合甲方的安全监督检查，并立即组织对提出的问题隐患进行整改。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四、事故责任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（二）乙方人员在非承包区域遭受意外伤害的，乙方负全部责任。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（三）乙方人员违规进入甲方或第三方承包区域，造成事故的，乙方负全部事故责任；乙方人员遭受人身伤害的，乙方负全部责任。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（五）乙方在甲方生产区域内发生生产安全事故后，必须在第一时间向甲方报告，迟报或者隐瞒不报生产安全事故，承担事故的全部责任。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（六）乙方各类人员在甲方生产区域内发生人身伤害事故和其他事故，由乙方负责调查、处理和统计上报，并报甲方安全监督部门备案。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（七）乙方违反本协议，造成的事故或造成事故扩大的，由乙方承担事故造成的赔偿一切损失及由甲方对乙方进行经济处罚。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赔偿包括：1.甲方所有损失；2造成的第三方损害；3恢复生产产生的一切费用；4.甲方因事故造成被上级追究的经济考核处罚。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经济处罚金额为以下赔偿金额总和的双倍：1.甲方所有损失；2造成的第三方损害；3恢复生产产生的一切费用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（八）本协议未尽事宜，依据有关法规。规章处理，法规、规章没有明确规定的，经双方协商处理解决。</w:t>
      </w:r>
    </w:p>
    <w:p>
      <w:pPr>
        <w:pStyle w:val="36"/>
        <w:keepNext w:val="0"/>
        <w:keepLines w:val="0"/>
        <w:pageBreakBefore w:val="0"/>
        <w:widowControl w:val="0"/>
        <w:kinsoku/>
        <w:wordWrap/>
        <w:overflowPunct/>
        <w:topLinePunct w:val="0"/>
        <w:autoSpaceDE/>
        <w:autoSpaceDN/>
        <w:bidi w:val="0"/>
        <w:spacing w:line="560" w:lineRule="exact"/>
        <w:ind w:firstLine="482" w:firstLineChars="200"/>
        <w:textAlignment w:val="auto"/>
        <w:rPr>
          <w:sz w:val="24"/>
        </w:rPr>
      </w:pPr>
      <w:r>
        <w:rPr>
          <w:b/>
          <w:sz w:val="24"/>
        </w:rPr>
        <w:t>五、补充条款：</w:t>
      </w:r>
      <w:r>
        <w:rPr>
          <w:sz w:val="24"/>
          <w:u w:val="single"/>
        </w:rPr>
        <w:t xml:space="preserve">                 </w:t>
      </w:r>
      <w:r>
        <w:rPr>
          <w:sz w:val="24"/>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六、附则</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3"/>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sectPr>
          <w:footerReference r:id="rId14" w:type="first"/>
          <w:footerReference r:id="rId13" w:type="default"/>
          <w:pgSz w:w="11906" w:h="16838"/>
          <w:pgMar w:top="2098" w:right="1474" w:bottom="1985" w:left="1588" w:header="851" w:footer="992" w:gutter="0"/>
          <w:pgNumType w:fmt="decimal" w:start="1"/>
          <w:cols w:space="425" w:num="1"/>
          <w:docGrid w:type="lines" w:linePitch="312" w:charSpace="0"/>
        </w:sect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5"/>
      </w:pPr>
      <w:bookmarkStart w:id="134" w:name="_Toc23515"/>
      <w:bookmarkStart w:id="135" w:name="_Toc6230"/>
      <w:bookmarkStart w:id="136" w:name="_Toc1563"/>
      <w:bookmarkStart w:id="137" w:name="_Toc30824"/>
      <w:bookmarkStart w:id="138" w:name="_Toc16552"/>
      <w:bookmarkStart w:id="139" w:name="_Toc28358"/>
      <w:bookmarkStart w:id="140" w:name="_Toc12169"/>
      <w:bookmarkStart w:id="141" w:name="_Toc5129"/>
      <w:bookmarkStart w:id="142" w:name="_Toc8147"/>
      <w:bookmarkStart w:id="143" w:name="_Toc21847"/>
      <w:bookmarkStart w:id="144" w:name="_Toc3723"/>
      <w: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34"/>
      <w:bookmarkEnd w:id="135"/>
      <w:bookmarkEnd w:id="136"/>
      <w:bookmarkEnd w:id="137"/>
      <w:bookmarkEnd w:id="138"/>
      <w:bookmarkEnd w:id="139"/>
      <w:bookmarkEnd w:id="140"/>
      <w:bookmarkEnd w:id="141"/>
      <w:bookmarkEnd w:id="142"/>
      <w:bookmarkEnd w:id="143"/>
      <w:bookmarkEnd w:id="144"/>
    </w:p>
    <w:p>
      <w:pPr>
        <w:pStyle w:val="36"/>
      </w:pPr>
    </w:p>
    <w:p>
      <w:pPr>
        <w:pStyle w:val="5"/>
        <w:rPr>
          <w:rFonts w:ascii="仿宋_GB2312" w:eastAsia="仿宋_GB2312"/>
          <w:sz w:val="30"/>
          <w:szCs w:val="30"/>
        </w:rPr>
      </w:pPr>
      <w:bookmarkStart w:id="145" w:name="_Toc88209951"/>
      <w:bookmarkStart w:id="146" w:name="_Toc31564"/>
      <w:bookmarkStart w:id="147" w:name="_Toc12769"/>
      <w:bookmarkStart w:id="148" w:name="_Toc12610"/>
      <w:bookmarkStart w:id="149" w:name="_Toc17119"/>
      <w:bookmarkStart w:id="150" w:name="_Toc22764"/>
      <w:bookmarkStart w:id="151" w:name="_Toc87616388"/>
      <w:bookmarkStart w:id="152" w:name="_Toc30157"/>
      <w:bookmarkStart w:id="153" w:name="_Toc24490"/>
      <w:bookmarkStart w:id="154" w:name="_Toc5342"/>
      <w:bookmarkStart w:id="155" w:name="_Toc10840"/>
      <w:bookmarkStart w:id="156" w:name="_Toc21675"/>
      <w:bookmarkStart w:id="157" w:name="_Toc24815"/>
      <w:r>
        <w:rPr>
          <w:rFonts w:hint="eastAsia"/>
        </w:rPr>
        <w:t>响应文件</w:t>
      </w:r>
      <w:r>
        <w:rPr>
          <w:rFonts w:hint="eastAsia"/>
          <w:lang w:val="en-US" w:eastAsia="zh-CN"/>
        </w:rPr>
        <w:t>格式要求</w:t>
      </w:r>
      <w:bookmarkEnd w:id="145"/>
      <w:bookmarkEnd w:id="146"/>
      <w:bookmarkEnd w:id="147"/>
      <w:bookmarkEnd w:id="148"/>
      <w:bookmarkEnd w:id="149"/>
      <w:bookmarkEnd w:id="150"/>
      <w:bookmarkEnd w:id="151"/>
      <w:bookmarkEnd w:id="152"/>
      <w:bookmarkEnd w:id="153"/>
      <w:bookmarkEnd w:id="154"/>
      <w:bookmarkEnd w:id="155"/>
      <w:bookmarkEnd w:id="156"/>
      <w:bookmarkEnd w:id="157"/>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en-US" w:eastAsia="zh-CN"/>
        </w:rPr>
        <w:t xml:space="preserve">    </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8" w:name="_Toc88209952"/>
      <w:bookmarkStart w:id="159" w:name="_Toc87616389"/>
      <w:r>
        <w:rPr>
          <w:rFonts w:hint="eastAsia" w:ascii="仿宋_GB2312" w:eastAsia="仿宋_GB2312"/>
          <w:sz w:val="28"/>
          <w:szCs w:val="28"/>
        </w:rPr>
        <w:t>1.响应函</w:t>
      </w:r>
      <w:bookmarkEnd w:id="158"/>
      <w:bookmarkEnd w:id="159"/>
    </w:p>
    <w:p>
      <w:pPr>
        <w:spacing w:line="600" w:lineRule="exact"/>
        <w:rPr>
          <w:rFonts w:hint="eastAsia" w:ascii="仿宋_GB2312" w:eastAsia="仿宋_GB2312"/>
          <w:sz w:val="28"/>
          <w:szCs w:val="28"/>
        </w:rPr>
      </w:pPr>
      <w:bookmarkStart w:id="160" w:name="_Toc88209953"/>
      <w:bookmarkStart w:id="161" w:name="_Toc87616390"/>
      <w:r>
        <w:rPr>
          <w:rFonts w:hint="eastAsia" w:ascii="仿宋_GB2312" w:eastAsia="仿宋_GB2312"/>
          <w:sz w:val="28"/>
          <w:szCs w:val="28"/>
        </w:rPr>
        <w:t>2.法定代表人证明或授权委托书</w:t>
      </w:r>
      <w:bookmarkEnd w:id="160"/>
      <w:bookmarkEnd w:id="161"/>
      <w:bookmarkStart w:id="162" w:name="_Toc87616393"/>
      <w:bookmarkStart w:id="163"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2"/>
      <w:bookmarkEnd w:id="16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7"/>
        <w:rPr>
          <w:rFonts w:asciiTheme="minorEastAsia" w:hAnsiTheme="minorEastAsia" w:eastAsiaTheme="minorEastAsia"/>
          <w:sz w:val="28"/>
          <w:szCs w:val="28"/>
        </w:rPr>
      </w:pPr>
      <w:bookmarkStart w:id="164" w:name="_Toc12665"/>
      <w:bookmarkStart w:id="165" w:name="_Toc88209957"/>
      <w:bookmarkStart w:id="166" w:name="_Toc6313"/>
      <w:bookmarkStart w:id="167" w:name="_Toc28619645"/>
      <w:bookmarkStart w:id="168" w:name="_Toc87616394"/>
      <w:r>
        <w:rPr>
          <w:rFonts w:hint="eastAsia" w:asciiTheme="minorEastAsia" w:hAnsiTheme="minorEastAsia" w:eastAsiaTheme="minorEastAsia"/>
          <w:sz w:val="28"/>
          <w:szCs w:val="28"/>
        </w:rPr>
        <w:t>1.响应函</w:t>
      </w:r>
      <w:bookmarkEnd w:id="164"/>
      <w:bookmarkEnd w:id="165"/>
      <w:bookmarkEnd w:id="166"/>
      <w:bookmarkEnd w:id="167"/>
      <w:bookmarkEnd w:id="16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rPr>
        <w:t>）的报价完成/提供本项目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lang w:eastAsia="zh-CN"/>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w:t>
      </w:r>
      <w:r>
        <w:rPr>
          <w:rFonts w:hint="eastAsia" w:ascii="仿宋_GB2312" w:hAnsi="黑体" w:eastAsia="仿宋_GB2312"/>
          <w:color w:val="auto"/>
          <w:sz w:val="28"/>
          <w:szCs w:val="28"/>
          <w:highlight w:val="none"/>
          <w:lang w:eastAsia="zh-CN"/>
        </w:rPr>
        <w:t>（采购邀请书）</w:t>
      </w:r>
      <w:r>
        <w:rPr>
          <w:rFonts w:hint="eastAsia" w:ascii="仿宋_GB2312" w:hAnsi="黑体" w:eastAsia="仿宋_GB2312"/>
          <w:sz w:val="28"/>
          <w:szCs w:val="28"/>
        </w:rPr>
        <w:t>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769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rFonts w:hint="eastAsia" w:ascii="宋体" w:hAnsi="宋体" w:eastAsia="宋体" w:cs="宋体"/>
                                <w:sz w:val="24"/>
                              </w:rPr>
                            </w:pPr>
                            <w:r>
                              <w:rPr>
                                <w:rFonts w:hint="eastAsia" w:ascii="宋体" w:hAnsi="宋体" w:eastAsia="宋体" w:cs="宋体"/>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2qfxf2AAAAAkBAAAPAAAAAAAA&#10;AAEAIAAAACIAAABkcnMvZG93bnJldi54bWxQSwECFAAUAAAACACHTuJAgPh15ksCAACYBAAADgAA&#10;AAAAAAABACAAAAAnAQAAZHJzL2Uyb0RvYy54bWxQSwUGAAAAAAYABgBZAQAA5A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rFonts w:hint="eastAsia" w:ascii="宋体" w:hAnsi="宋体" w:eastAsia="宋体" w:cs="宋体"/>
                          <w:sz w:val="24"/>
                        </w:rPr>
                      </w:pPr>
                      <w:r>
                        <w:rPr>
                          <w:rFonts w:hint="eastAsia" w:ascii="宋体" w:hAnsi="宋体" w:eastAsia="宋体" w:cs="宋体"/>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pPr>
      <w:r>
        <w:rPr>
          <w:rFonts w:hint="eastAsia" w:ascii="仿宋_GB2312" w:hAnsi="宋体" w:eastAsia="仿宋_GB2312"/>
          <w:color w:val="auto"/>
          <w:kern w:val="0"/>
          <w:szCs w:val="21"/>
          <w:highlight w:val="none"/>
        </w:rPr>
        <w:t>注：法定代表人证明书亦可采用工商行政管理局统一制订的格式。</w:t>
      </w: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8"/>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7"/>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9" w:name="_Toc8086"/>
      <w:bookmarkStart w:id="170" w:name="_Toc88209963"/>
      <w:bookmarkStart w:id="171" w:name="_Toc19830"/>
      <w:bookmarkStart w:id="172"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9"/>
      <w:bookmarkEnd w:id="170"/>
      <w:bookmarkEnd w:id="171"/>
      <w:bookmarkEnd w:id="172"/>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center"/>
        <w:outlineLvl w:val="9"/>
        <w:rPr>
          <w:rFonts w:hint="eastAsia" w:eastAsia="宋体" w:cs="Times New Roman" w:asciiTheme="minorEastAsia" w:hAnsiTheme="minorEastAsia"/>
          <w:b/>
          <w:bCs/>
          <w:color w:val="auto"/>
          <w:sz w:val="28"/>
          <w:szCs w:val="28"/>
          <w:highlight w:val="none"/>
          <w:lang w:val="en-US" w:eastAsia="zh-CN"/>
        </w:rPr>
      </w:pPr>
      <w:bookmarkStart w:id="173"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3"/>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jc w:val="right"/>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7"/>
        <w:rPr>
          <w:rFonts w:hint="eastAsia" w:ascii="仿宋_GB2312" w:eastAsia="仿宋_GB2312" w:hAnsiTheme="minorEastAsia"/>
          <w:sz w:val="28"/>
          <w:szCs w:val="28"/>
          <w:lang w:val="en-US" w:eastAsia="zh-CN"/>
        </w:rPr>
        <w:sectPr>
          <w:footerReference r:id="rId16" w:type="first"/>
          <w:footerReference r:id="rId15" w:type="default"/>
          <w:pgSz w:w="11906" w:h="16838"/>
          <w:pgMar w:top="2098" w:right="1474" w:bottom="1985" w:left="1588" w:header="851" w:footer="992" w:gutter="0"/>
          <w:pgNumType w:fmt="decimal" w:start="0"/>
          <w:cols w:space="425" w:num="1"/>
          <w:titlePg/>
          <w:docGrid w:type="lines" w:linePitch="312" w:charSpace="0"/>
        </w:sectPr>
      </w:pPr>
      <w:bookmarkStart w:id="174" w:name="_Toc19423"/>
      <w:bookmarkStart w:id="175" w:name="_Toc32430"/>
    </w:p>
    <w:p>
      <w:pPr>
        <w:pStyle w:val="7"/>
        <w:rPr>
          <w:rFonts w:ascii="仿宋_GB2312" w:eastAsia="仿宋_GB2312" w:hAnsiTheme="minorEastAsia"/>
          <w:sz w:val="28"/>
          <w:szCs w:val="28"/>
        </w:rPr>
      </w:pPr>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74"/>
      <w:bookmarkEnd w:id="175"/>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大坦沙分公司2023年在线监测设备校准需求合同报价清单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出水恒达在线留样器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江高分公司2023年在线监测设备校准需求报价清单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水质中心2023年在线监测备机校准需求合同报价清单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PCM200-CODCr</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PCM200-NH3N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普贝斯TP监测设备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PCM200-TP</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普贝斯TN监测设备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普贝斯水质自动采样器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PAS-305A</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赛莱默总磷总氮监测设备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7"/>
        <w:rPr>
          <w:rFonts w:asciiTheme="majorEastAsia" w:hAnsiTheme="majorEastAsia" w:eastAsiaTheme="majorEastAsia"/>
          <w:sz w:val="28"/>
          <w:szCs w:val="28"/>
        </w:rPr>
      </w:pPr>
      <w:bookmarkStart w:id="176" w:name="_Toc88209965"/>
      <w:bookmarkStart w:id="177" w:name="_Toc16386"/>
      <w:bookmarkStart w:id="178" w:name="_Toc87616402"/>
      <w:bookmarkStart w:id="179"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76"/>
      <w:bookmarkEnd w:id="177"/>
      <w:bookmarkEnd w:id="178"/>
      <w:bookmarkEnd w:id="17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18" w:type="first"/>
      <w:footerReference r:id="rId17" w:type="default"/>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Db3skBAACa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UbShy3OPHzzx/nX3/Ov7+T&#10;V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sNve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AWAMk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qNkjhuceLnnz/Ov/6cf38n&#10;11mfPkCNafcBE9Pwzg+4NbMf0JlpDyra/EVCBOMIdbqoK4dERH60Wq5WFYYExuYL4rOH5yFCei+9&#10;JdloaMTxFVX58SOkMXVOydWcv9PGlBEa948DMbOH5d7HHrOVht0wEdr59oR8epx8Qx0uOiXmg0Nh&#10;sb80G3E2drNxCFHvu7JFuR6E20PCJkpvucIIOxXGkRV203rlnXh8L1kP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oBYA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iDNM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lxS4rjFiV++f7v8+HX5+ZW8&#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CeIM0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lq6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s3EIUe+7skW5HoR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kJaur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OWVkNzAwNjk2ODMyNGE1ZGFiN2NiZWNhNDJlYT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5CC22CA"/>
    <w:rsid w:val="06C64829"/>
    <w:rsid w:val="077D16D2"/>
    <w:rsid w:val="08675FC8"/>
    <w:rsid w:val="08B50376"/>
    <w:rsid w:val="09B713FD"/>
    <w:rsid w:val="09EF6ACC"/>
    <w:rsid w:val="0A1D7DE0"/>
    <w:rsid w:val="0A315056"/>
    <w:rsid w:val="0AFB45AD"/>
    <w:rsid w:val="0B351E9B"/>
    <w:rsid w:val="0B4C50D3"/>
    <w:rsid w:val="0B806B92"/>
    <w:rsid w:val="0B827E94"/>
    <w:rsid w:val="0BD070E1"/>
    <w:rsid w:val="0C247926"/>
    <w:rsid w:val="0D794204"/>
    <w:rsid w:val="0DAE3603"/>
    <w:rsid w:val="0E2125D1"/>
    <w:rsid w:val="0E214211"/>
    <w:rsid w:val="0E385741"/>
    <w:rsid w:val="0E5F2769"/>
    <w:rsid w:val="0F4D75A3"/>
    <w:rsid w:val="0F5B2DCA"/>
    <w:rsid w:val="0FC176F8"/>
    <w:rsid w:val="0FED051E"/>
    <w:rsid w:val="0FEE4C29"/>
    <w:rsid w:val="10046082"/>
    <w:rsid w:val="112B101A"/>
    <w:rsid w:val="11772C89"/>
    <w:rsid w:val="119B53FC"/>
    <w:rsid w:val="12424CDC"/>
    <w:rsid w:val="129A2738"/>
    <w:rsid w:val="12B56BF1"/>
    <w:rsid w:val="12CB1A89"/>
    <w:rsid w:val="131840FB"/>
    <w:rsid w:val="13201CCE"/>
    <w:rsid w:val="13467417"/>
    <w:rsid w:val="136E76CF"/>
    <w:rsid w:val="15293724"/>
    <w:rsid w:val="156A20D5"/>
    <w:rsid w:val="15BC6B3C"/>
    <w:rsid w:val="160D549A"/>
    <w:rsid w:val="1694429A"/>
    <w:rsid w:val="17635326"/>
    <w:rsid w:val="18236EFD"/>
    <w:rsid w:val="189D5B1F"/>
    <w:rsid w:val="18A34CD0"/>
    <w:rsid w:val="19B64DBC"/>
    <w:rsid w:val="1A373ACF"/>
    <w:rsid w:val="1A3E0168"/>
    <w:rsid w:val="1A895341"/>
    <w:rsid w:val="1B0D071F"/>
    <w:rsid w:val="1B4568CE"/>
    <w:rsid w:val="1B9015B7"/>
    <w:rsid w:val="1D5A79EE"/>
    <w:rsid w:val="1D76324D"/>
    <w:rsid w:val="1E0E2CD0"/>
    <w:rsid w:val="1E831280"/>
    <w:rsid w:val="1EBC4704"/>
    <w:rsid w:val="1F172EB5"/>
    <w:rsid w:val="1F94592D"/>
    <w:rsid w:val="1FB860DE"/>
    <w:rsid w:val="203C5A02"/>
    <w:rsid w:val="209D4C94"/>
    <w:rsid w:val="20D57EAA"/>
    <w:rsid w:val="20E84705"/>
    <w:rsid w:val="21620737"/>
    <w:rsid w:val="218400BA"/>
    <w:rsid w:val="21AB1E2F"/>
    <w:rsid w:val="21D40498"/>
    <w:rsid w:val="22767047"/>
    <w:rsid w:val="23921CEC"/>
    <w:rsid w:val="23A05588"/>
    <w:rsid w:val="25431AEB"/>
    <w:rsid w:val="25BF43FD"/>
    <w:rsid w:val="25F86BCD"/>
    <w:rsid w:val="2605748B"/>
    <w:rsid w:val="266855AF"/>
    <w:rsid w:val="269E416A"/>
    <w:rsid w:val="272100D3"/>
    <w:rsid w:val="272C72FC"/>
    <w:rsid w:val="27591169"/>
    <w:rsid w:val="27EB149D"/>
    <w:rsid w:val="27FD3E52"/>
    <w:rsid w:val="28E11370"/>
    <w:rsid w:val="294A756A"/>
    <w:rsid w:val="29D5322D"/>
    <w:rsid w:val="2A025DD9"/>
    <w:rsid w:val="2A7C2231"/>
    <w:rsid w:val="2ABB753D"/>
    <w:rsid w:val="2B7A49FA"/>
    <w:rsid w:val="2C615D26"/>
    <w:rsid w:val="2CB679ED"/>
    <w:rsid w:val="2D173C07"/>
    <w:rsid w:val="2D424A86"/>
    <w:rsid w:val="2E7B52DB"/>
    <w:rsid w:val="2F2B0B3B"/>
    <w:rsid w:val="2F324CFE"/>
    <w:rsid w:val="2FBA09F1"/>
    <w:rsid w:val="2FEF2ACF"/>
    <w:rsid w:val="304B6F31"/>
    <w:rsid w:val="30540211"/>
    <w:rsid w:val="30552FB2"/>
    <w:rsid w:val="312D7741"/>
    <w:rsid w:val="316F137F"/>
    <w:rsid w:val="31980C95"/>
    <w:rsid w:val="31AD6B99"/>
    <w:rsid w:val="31DF525F"/>
    <w:rsid w:val="32324C2E"/>
    <w:rsid w:val="327171DF"/>
    <w:rsid w:val="339C2F6B"/>
    <w:rsid w:val="341E3434"/>
    <w:rsid w:val="360B7EBA"/>
    <w:rsid w:val="369C32FD"/>
    <w:rsid w:val="373A1CA3"/>
    <w:rsid w:val="37666E72"/>
    <w:rsid w:val="38167A04"/>
    <w:rsid w:val="38194957"/>
    <w:rsid w:val="394B167A"/>
    <w:rsid w:val="3A4E4336"/>
    <w:rsid w:val="3A6007FE"/>
    <w:rsid w:val="3B7C2CE4"/>
    <w:rsid w:val="3B7F4BD2"/>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020186"/>
    <w:rsid w:val="43C76AF7"/>
    <w:rsid w:val="43FC6A30"/>
    <w:rsid w:val="444E0CFB"/>
    <w:rsid w:val="446828F0"/>
    <w:rsid w:val="44E62DBC"/>
    <w:rsid w:val="45C13B4D"/>
    <w:rsid w:val="46054BCA"/>
    <w:rsid w:val="464C6AFC"/>
    <w:rsid w:val="468B0091"/>
    <w:rsid w:val="46A107C3"/>
    <w:rsid w:val="46B15CE2"/>
    <w:rsid w:val="46BE113D"/>
    <w:rsid w:val="46E44B13"/>
    <w:rsid w:val="46FB2EDA"/>
    <w:rsid w:val="4703508A"/>
    <w:rsid w:val="475023F8"/>
    <w:rsid w:val="479D361E"/>
    <w:rsid w:val="47B74789"/>
    <w:rsid w:val="47D771E0"/>
    <w:rsid w:val="480F2B9D"/>
    <w:rsid w:val="48282920"/>
    <w:rsid w:val="485321E0"/>
    <w:rsid w:val="48546AD3"/>
    <w:rsid w:val="48CA4868"/>
    <w:rsid w:val="48CB24A7"/>
    <w:rsid w:val="48F005D3"/>
    <w:rsid w:val="498F4AF1"/>
    <w:rsid w:val="49C05787"/>
    <w:rsid w:val="49CF518D"/>
    <w:rsid w:val="4A482856"/>
    <w:rsid w:val="4ADA1F63"/>
    <w:rsid w:val="4AE23D89"/>
    <w:rsid w:val="4B2038D0"/>
    <w:rsid w:val="4B296E7D"/>
    <w:rsid w:val="4B395F97"/>
    <w:rsid w:val="4B877F28"/>
    <w:rsid w:val="4D916BA6"/>
    <w:rsid w:val="4DC44169"/>
    <w:rsid w:val="4ECB310D"/>
    <w:rsid w:val="4EF0709E"/>
    <w:rsid w:val="513C6A7B"/>
    <w:rsid w:val="51FE035F"/>
    <w:rsid w:val="523F3823"/>
    <w:rsid w:val="52BC7F12"/>
    <w:rsid w:val="5333545B"/>
    <w:rsid w:val="5450213C"/>
    <w:rsid w:val="54BC56D5"/>
    <w:rsid w:val="54D24048"/>
    <w:rsid w:val="54D64CD5"/>
    <w:rsid w:val="55887D69"/>
    <w:rsid w:val="561A0928"/>
    <w:rsid w:val="56423872"/>
    <w:rsid w:val="56B279F0"/>
    <w:rsid w:val="579D710E"/>
    <w:rsid w:val="581F22F6"/>
    <w:rsid w:val="586E1E17"/>
    <w:rsid w:val="58862C35"/>
    <w:rsid w:val="58C14957"/>
    <w:rsid w:val="59415FAD"/>
    <w:rsid w:val="5A761BC5"/>
    <w:rsid w:val="5AB06A3C"/>
    <w:rsid w:val="5AE83A50"/>
    <w:rsid w:val="5BAB2917"/>
    <w:rsid w:val="5BC75156"/>
    <w:rsid w:val="5BFC33FA"/>
    <w:rsid w:val="5C3107A4"/>
    <w:rsid w:val="5C3B1B93"/>
    <w:rsid w:val="5C6F328C"/>
    <w:rsid w:val="5C9220DF"/>
    <w:rsid w:val="5D4A15F3"/>
    <w:rsid w:val="5D69542A"/>
    <w:rsid w:val="5E0930EF"/>
    <w:rsid w:val="5E3116FD"/>
    <w:rsid w:val="5E3D4D53"/>
    <w:rsid w:val="5E4717E6"/>
    <w:rsid w:val="5E55774C"/>
    <w:rsid w:val="5EBF0836"/>
    <w:rsid w:val="60104DDC"/>
    <w:rsid w:val="60294BDB"/>
    <w:rsid w:val="605C0804"/>
    <w:rsid w:val="60B81DAD"/>
    <w:rsid w:val="6189617B"/>
    <w:rsid w:val="61B52BB6"/>
    <w:rsid w:val="61B749C2"/>
    <w:rsid w:val="62280D20"/>
    <w:rsid w:val="622C1110"/>
    <w:rsid w:val="62CA2457"/>
    <w:rsid w:val="638240A1"/>
    <w:rsid w:val="638B12BE"/>
    <w:rsid w:val="63A5257B"/>
    <w:rsid w:val="63BD3DCC"/>
    <w:rsid w:val="63C61741"/>
    <w:rsid w:val="64152805"/>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A103A9"/>
    <w:rsid w:val="6AE347EB"/>
    <w:rsid w:val="6B434AF0"/>
    <w:rsid w:val="6B57675A"/>
    <w:rsid w:val="6BDD7B4D"/>
    <w:rsid w:val="6C6E0A51"/>
    <w:rsid w:val="6E0C621C"/>
    <w:rsid w:val="6EAE5472"/>
    <w:rsid w:val="6EBC0B3A"/>
    <w:rsid w:val="6EF51C7D"/>
    <w:rsid w:val="6F7B04A9"/>
    <w:rsid w:val="6F8363E5"/>
    <w:rsid w:val="6FC746F5"/>
    <w:rsid w:val="70317AC6"/>
    <w:rsid w:val="70863262"/>
    <w:rsid w:val="708A0545"/>
    <w:rsid w:val="70A76ED3"/>
    <w:rsid w:val="71860B17"/>
    <w:rsid w:val="723B27CC"/>
    <w:rsid w:val="72687227"/>
    <w:rsid w:val="726B644B"/>
    <w:rsid w:val="72941D88"/>
    <w:rsid w:val="72A03FD9"/>
    <w:rsid w:val="732470C5"/>
    <w:rsid w:val="73406CFF"/>
    <w:rsid w:val="7383028C"/>
    <w:rsid w:val="73A25E44"/>
    <w:rsid w:val="741F68CF"/>
    <w:rsid w:val="75252DF3"/>
    <w:rsid w:val="75621536"/>
    <w:rsid w:val="75BF3154"/>
    <w:rsid w:val="764A07CF"/>
    <w:rsid w:val="764F6B3D"/>
    <w:rsid w:val="768E4330"/>
    <w:rsid w:val="76CD2B7B"/>
    <w:rsid w:val="76D80645"/>
    <w:rsid w:val="76E03371"/>
    <w:rsid w:val="780E5898"/>
    <w:rsid w:val="782642CC"/>
    <w:rsid w:val="783D71B0"/>
    <w:rsid w:val="7894095E"/>
    <w:rsid w:val="79000679"/>
    <w:rsid w:val="791B1D85"/>
    <w:rsid w:val="79A416F0"/>
    <w:rsid w:val="79AE6327"/>
    <w:rsid w:val="79B03EB6"/>
    <w:rsid w:val="7AF37579"/>
    <w:rsid w:val="7AF87F64"/>
    <w:rsid w:val="7B1C0C84"/>
    <w:rsid w:val="7B5A62DF"/>
    <w:rsid w:val="7B7A04A8"/>
    <w:rsid w:val="7B803250"/>
    <w:rsid w:val="7C0C3F6D"/>
    <w:rsid w:val="7C22163C"/>
    <w:rsid w:val="7C595075"/>
    <w:rsid w:val="7C6B07B2"/>
    <w:rsid w:val="7D133243"/>
    <w:rsid w:val="7D1629E2"/>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5"/>
    <w:qFormat/>
    <w:uiPriority w:val="9"/>
    <w:rPr>
      <w:rFonts w:eastAsia="方正小标宋简体"/>
      <w:bCs/>
      <w:kern w:val="44"/>
      <w:sz w:val="44"/>
      <w:szCs w:val="44"/>
    </w:rPr>
  </w:style>
  <w:style w:type="character" w:customStyle="1" w:styleId="31">
    <w:name w:val="标题 2 Char"/>
    <w:basedOn w:val="25"/>
    <w:link w:val="6"/>
    <w:qFormat/>
    <w:uiPriority w:val="9"/>
    <w:rPr>
      <w:rFonts w:eastAsia="方正小标宋简体" w:asciiTheme="majorHAnsi" w:hAnsiTheme="majorHAnsi" w:cstheme="majorBidi"/>
      <w:bCs/>
      <w:sz w:val="36"/>
      <w:szCs w:val="32"/>
    </w:rPr>
  </w:style>
  <w:style w:type="character" w:customStyle="1" w:styleId="32">
    <w:name w:val="标题 3 Char"/>
    <w:basedOn w:val="25"/>
    <w:link w:val="7"/>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无标题条"/>
    <w:next w:val="48"/>
    <w:qFormat/>
    <w:uiPriority w:val="0"/>
    <w:pPr>
      <w:jc w:val="both"/>
    </w:pPr>
    <w:rPr>
      <w:rFonts w:ascii="Times New Roman" w:hAnsi="Times New Roman" w:eastAsia="宋体" w:cs="Times New Roman"/>
      <w:sz w:val="21"/>
      <w:lang w:val="en-US" w:eastAsia="zh-CN" w:bidi="ar-SA"/>
    </w:rPr>
  </w:style>
  <w:style w:type="paragraph" w:customStyle="1" w:styleId="4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9">
    <w:name w:val="二级条标题"/>
    <w:basedOn w:val="1"/>
    <w:next w:val="1"/>
    <w:qFormat/>
    <w:uiPriority w:val="0"/>
    <w:pPr>
      <w:spacing w:after="0" w:line="240" w:lineRule="auto"/>
      <w:jc w:val="both"/>
      <w:outlineLvl w:val="3"/>
    </w:pPr>
    <w:rPr>
      <w:rFonts w:ascii="黑体" w:hAnsi="等线" w:eastAsia="黑体" w:cs="Times New Roman"/>
      <w:b/>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18952</Words>
  <Characters>20731</Characters>
  <Lines>300</Lines>
  <Paragraphs>84</Paragraphs>
  <TotalTime>3</TotalTime>
  <ScaleCrop>false</ScaleCrop>
  <LinksUpToDate>false</LinksUpToDate>
  <CharactersWithSpaces>22874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清风自来</cp:lastModifiedBy>
  <cp:lastPrinted>2023-05-12T01:48:00Z</cp:lastPrinted>
  <dcterms:modified xsi:type="dcterms:W3CDTF">2023-05-29T02:06:14Z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4A51231AF7AB4CF7B9F6E61D09088537</vt:lpwstr>
  </property>
</Properties>
</file>