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85" w:name="_GoBack"/>
      <w:bookmarkEnd w:id="185"/>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广州市净水有限公司大沙地分公司2月份板框压滤机滤布备件采购项目</w:t>
      </w:r>
    </w:p>
    <w:p>
      <w:pPr>
        <w:pStyle w:val="2"/>
        <w:rPr>
          <w:rFonts w:hint="default"/>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pStyle w:val="2"/>
        <w:rPr>
          <w:rFonts w:hint="eastAsia"/>
          <w:highlight w:val="none"/>
        </w:rPr>
      </w:pPr>
    </w:p>
    <w:p>
      <w:pPr>
        <w:jc w:val="both"/>
        <w:rPr>
          <w:color w:val="auto"/>
          <w:highlight w:val="none"/>
        </w:rPr>
      </w:pPr>
    </w:p>
    <w:p>
      <w:pPr>
        <w:pStyle w:val="33"/>
        <w:adjustRightInd w:val="0"/>
        <w:snapToGrid w:val="0"/>
        <w:spacing w:before="0" w:line="600" w:lineRule="exact"/>
        <w:jc w:val="center"/>
        <w:rPr>
          <w:rFonts w:hint="eastAsia" w:ascii="方正小标宋简体" w:eastAsia="方正小标宋简体"/>
          <w:b/>
          <w:color w:val="auto"/>
          <w:sz w:val="44"/>
          <w:szCs w:val="44"/>
          <w:highlight w:val="none"/>
          <w:lang w:val="en-US" w:eastAsia="zh-CN"/>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31938"/>
      <w:bookmarkStart w:id="6" w:name="_Toc11322"/>
      <w:bookmarkStart w:id="7" w:name="_Toc1669"/>
      <w:bookmarkStart w:id="8" w:name="_Toc19609"/>
      <w:bookmarkStart w:id="9" w:name="_Toc17801"/>
      <w:bookmarkStart w:id="10" w:name="_Toc751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69215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5.45pt;height:0pt;width:75.5pt;z-index:251670528;mso-width-relative:page;mso-height-relative:page;" filled="f" stroked="t" coordsize="21600,21600" o:gfxdata="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Kmm6U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39.7pt;height:0pt;width:75.5pt;z-index:251671552;mso-width-relative:page;mso-height-relative:page;" filled="f" stroked="t" coordsize="21600,21600" o:gfxdata="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exdt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广州市净水有限公司大沙地分公司2月份板框压滤机滤布备件采购项目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施工</w:t>
      </w:r>
      <w:r>
        <w:rPr>
          <w:rFonts w:hint="eastAsia" w:ascii="仿宋_GB2312" w:eastAsia="仿宋_GB2312"/>
          <w:sz w:val="28"/>
          <w:szCs w:val="28"/>
          <w:highlight w:val="non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广州市净水有限公司大沙地分公司2月份板框压滤机滤布备件采购项目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XJ-20230525-1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284200.00</w:t>
      </w:r>
      <w:r>
        <w:rPr>
          <w:rFonts w:hint="eastAsia" w:ascii="仿宋_GB2312" w:hAnsi="仿宋_GB2312" w:eastAsia="仿宋_GB2312" w:cs="仿宋_GB2312"/>
          <w:sz w:val="28"/>
          <w:szCs w:val="28"/>
          <w:highlight w:val="none"/>
          <w:u w:val="single"/>
        </w:rPr>
        <w:t>元</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采购板框压滤机滤布备件一批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自收到甲方书面通知之日起30天内到货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广州市净水有限公司大沙地分公司</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确保货物为原装未拆封或未使用的合格产品，交货时须出具厂家出厂合格证明。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清单内备品备件之一供货</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1、提交响应文件时报价单位需出具承诺函，承诺中选后所提供的备件均为原厂商/制造商全新产品，所提供的产品必须与现有设备的所有参数相匹配（加盖单位公章）。</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2、第一候选人中选后合同签订前须提供拟供货产品的厂商/制造商授权书。</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 xml:space="preserve">3、交货时，供应商须出具出厂合格证明及其他应提供的文件资料（其他特殊需求详见技术需求）。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 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rPr>
          <w:rFonts w:hint="eastAsia" w:eastAsia="仿宋_GB2312"/>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color w:val="auto"/>
          <w:sz w:val="28"/>
          <w:szCs w:val="28"/>
          <w:highlight w:val="none"/>
          <w:lang w:eastAsia="zh-CN"/>
        </w:rPr>
        <w:t>）</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jc w:val="both"/>
        <w:rPr>
          <w:rFonts w:hint="eastAsia"/>
          <w:color w:val="auto"/>
          <w:highlight w:val="none"/>
        </w:rPr>
      </w:pPr>
      <w:bookmarkStart w:id="13" w:name="_Toc10891"/>
      <w:bookmarkStart w:id="14" w:name="_Toc2331"/>
      <w:bookmarkStart w:id="15" w:name="_Toc19295"/>
      <w:bookmarkStart w:id="16" w:name="_Toc2324"/>
      <w:bookmarkStart w:id="17" w:name="_Toc16557"/>
      <w:bookmarkStart w:id="18" w:name="_Toc7340"/>
      <w:bookmarkStart w:id="19" w:name="_Toc23749"/>
      <w:bookmarkStart w:id="20" w:name="_Toc25603"/>
      <w:bookmarkStart w:id="21" w:name="_Toc9448"/>
      <w:bookmarkStart w:id="22" w:name="_Toc32588"/>
      <w:bookmarkStart w:id="23" w:name="_Toc16705"/>
    </w:p>
    <w:p>
      <w:pPr>
        <w:rPr>
          <w:rFonts w:hint="eastAsia"/>
          <w:color w:val="auto"/>
          <w:highlight w:val="none"/>
        </w:rPr>
      </w:pPr>
    </w:p>
    <w:p>
      <w:pPr>
        <w:pStyle w:val="2"/>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221615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pt;margin-top:17.4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highlight w:val="none"/>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2353945</wp:posOffset>
                </wp:positionH>
                <wp:positionV relativeFrom="paragraph">
                  <wp:posOffset>173355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5.35pt;margin-top:13.6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679450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53.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w:char="00FE"/>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w:char="00A8"/>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highlight w:val="none"/>
        </w:rPr>
      </w:pPr>
    </w:p>
    <w:p>
      <w:pPr>
        <w:pStyle w:val="4"/>
        <w:rPr>
          <w:color w:val="auto"/>
          <w:highlight w:val="none"/>
        </w:rPr>
      </w:pPr>
      <w:bookmarkStart w:id="34" w:name="_Toc3156"/>
      <w:bookmarkStart w:id="35" w:name="_Toc19050"/>
      <w:bookmarkStart w:id="36" w:name="_Toc14552"/>
      <w:bookmarkStart w:id="37" w:name="_Toc7118"/>
      <w:bookmarkStart w:id="38" w:name="_Toc19759"/>
      <w:bookmarkStart w:id="39" w:name="_Toc20594"/>
      <w:bookmarkStart w:id="40" w:name="_Toc7437"/>
      <w:bookmarkStart w:id="41" w:name="_Toc14870"/>
      <w:bookmarkStart w:id="42" w:name="_Toc23581"/>
      <w:bookmarkStart w:id="43" w:name="_Toc10930"/>
      <w:bookmarkStart w:id="44" w:name="_Toc4952"/>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6308"/>
      <w:bookmarkStart w:id="46" w:name="_Toc22212"/>
      <w:bookmarkStart w:id="47" w:name="_Toc88209941"/>
      <w:bookmarkStart w:id="48" w:name="_Toc32607"/>
      <w:bookmarkStart w:id="49" w:name="_Toc21840"/>
      <w:bookmarkStart w:id="50" w:name="_Toc30530"/>
      <w:bookmarkStart w:id="51" w:name="_Toc13898"/>
      <w:bookmarkStart w:id="52" w:name="_Toc12177"/>
      <w:bookmarkStart w:id="53" w:name="_Toc21079"/>
      <w:bookmarkStart w:id="54" w:name="_Toc29484"/>
      <w:bookmarkStart w:id="55" w:name="_Toc87616378"/>
      <w:bookmarkStart w:id="56" w:name="_Toc29345"/>
      <w:bookmarkStart w:id="57" w:name="_Toc783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w:char="00FE"/>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w:char="00A8"/>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2355215</wp:posOffset>
                </wp:positionH>
                <wp:positionV relativeFrom="paragraph">
                  <wp:posOffset>214630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45pt;margin-top:16.9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hint="eastAsia" w:ascii="仿宋_GB2312" w:eastAsia="仿宋_GB2312" w:hAnsiTheme="minorEastAsia"/>
          <w:color w:val="auto"/>
          <w:szCs w:val="21"/>
          <w:highlight w:val="none"/>
          <w:lang w:val="en-US" w:eastAsia="zh-CN"/>
        </w:rPr>
      </w:pPr>
    </w:p>
    <w:p>
      <w:pPr>
        <w:pStyle w:val="2"/>
        <w:rPr>
          <w:rFonts w:hint="eastAsia" w:ascii="仿宋_GB2312" w:eastAsia="仿宋_GB2312" w:hAnsiTheme="minorEastAsia"/>
          <w:color w:val="auto"/>
          <w:szCs w:val="21"/>
          <w:highlight w:val="none"/>
          <w:lang w:val="en-US" w:eastAsia="zh-CN"/>
        </w:rPr>
      </w:pPr>
    </w:p>
    <w:p>
      <w:pPr>
        <w:pStyle w:val="2"/>
        <w:rPr>
          <w:rFonts w:hint="eastAsia" w:ascii="仿宋_GB2312" w:eastAsia="仿宋_GB2312" w:hAnsiTheme="minorEastAsia"/>
          <w:color w:val="auto"/>
          <w:szCs w:val="21"/>
          <w:highlight w:val="none"/>
          <w:lang w:val="en-US" w:eastAsia="zh-CN"/>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12"/>
        <w:numPr>
          <w:ilvl w:val="0"/>
          <w:numId w:val="4"/>
        </w:numPr>
        <w:adjustRightInd w:val="0"/>
        <w:snapToGrid w:val="0"/>
        <w:spacing w:line="300" w:lineRule="auto"/>
        <w:rPr>
          <w:rFonts w:hint="eastAsia"/>
          <w:color w:val="auto"/>
          <w:szCs w:val="44"/>
          <w:highlight w:val="none"/>
        </w:rPr>
      </w:pPr>
      <w:r>
        <w:rPr>
          <w:rFonts w:hint="eastAsia" w:ascii="仿宋" w:hAnsi="仿宋" w:eastAsia="仿宋" w:cs="仿宋"/>
          <w:b/>
          <w:color w:val="000000"/>
          <w:sz w:val="28"/>
          <w:szCs w:val="28"/>
          <w:highlight w:val="none"/>
          <w:lang w:val="zh-CN"/>
        </w:rPr>
        <w:t>项目情况介绍</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highlight w:val="none"/>
          <w:lang w:val="zh-CN" w:eastAsia="zh-CN"/>
        </w:rPr>
      </w:pPr>
      <w:r>
        <w:rPr>
          <w:rFonts w:hint="eastAsia" w:ascii="仿宋" w:hAnsi="仿宋" w:eastAsia="仿宋" w:cs="仿宋"/>
          <w:sz w:val="28"/>
          <w:szCs w:val="28"/>
          <w:highlight w:val="none"/>
          <w:lang w:val="en-US" w:eastAsia="zh-CN"/>
        </w:rPr>
        <w:t>本次拟采购的备品备件为</w:t>
      </w:r>
      <w:r>
        <w:rPr>
          <w:rFonts w:hint="eastAsia" w:ascii="仿宋_GB2312" w:eastAsia="仿宋_GB2312"/>
          <w:sz w:val="28"/>
          <w:szCs w:val="28"/>
          <w:highlight w:val="none"/>
          <w:u w:val="none"/>
          <w:lang w:val="en-US" w:eastAsia="zh-CN"/>
        </w:rPr>
        <w:t>板框压滤机</w:t>
      </w:r>
      <w:r>
        <w:rPr>
          <w:rFonts w:hint="eastAsia" w:ascii="仿宋" w:hAnsi="仿宋" w:eastAsia="仿宋" w:cs="仿宋"/>
          <w:sz w:val="28"/>
          <w:szCs w:val="28"/>
          <w:highlight w:val="none"/>
          <w:lang w:val="en-US" w:eastAsia="zh-CN"/>
        </w:rPr>
        <w:t>设备专用滤布备品备件。</w:t>
      </w:r>
    </w:p>
    <w:p>
      <w:pPr>
        <w:pStyle w:val="12"/>
        <w:numPr>
          <w:ilvl w:val="0"/>
          <w:numId w:val="4"/>
        </w:numPr>
        <w:adjustRightInd w:val="0"/>
        <w:snapToGrid w:val="0"/>
        <w:spacing w:line="300" w:lineRule="auto"/>
        <w:rPr>
          <w:rFonts w:hint="eastAsia" w:ascii="仿宋_GB2312" w:hAnsi="仿宋_GB2312" w:eastAsia="仿宋_GB2312" w:cs="仿宋_GB2312"/>
          <w:b w:val="0"/>
          <w:bCs/>
          <w:color w:val="000000"/>
          <w:sz w:val="28"/>
          <w:szCs w:val="28"/>
          <w:highlight w:val="none"/>
          <w:lang w:val="en-US" w:eastAsia="zh-CN"/>
        </w:rPr>
      </w:pPr>
      <w:r>
        <w:rPr>
          <w:rFonts w:hint="eastAsia" w:ascii="仿宋" w:hAnsi="仿宋" w:eastAsia="仿宋" w:cs="仿宋"/>
          <w:b/>
          <w:color w:val="000000"/>
          <w:sz w:val="28"/>
          <w:szCs w:val="28"/>
          <w:highlight w:val="none"/>
          <w:lang w:val="zh-CN"/>
        </w:rPr>
        <w:t>项目技术要求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供应商需按采购清单的型号、数量要求进行供货，货物必须符合国家法律法规规定的标准、行业标准；所有货物必须有产品合格证并于送货之日移交广州市净水有限公司对应分公司。所供货物必须为原厂全新产品，禁止向甲方提供二手产品、拆机件、翻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（二）第一候选单位在合同签订前须提供拟供货产品品牌的厂商/制造商授权书。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（三）交货时须出具厂家出厂合格证明及其他应提供的文件资料，与甲方一起对供货设备进行现场检查验收，如发现质量问题（包括结构及外观检查）应由供应商处理解决。开箱检验应有记录及双方签字生效。</w:t>
      </w:r>
    </w:p>
    <w:p>
      <w:pPr>
        <w:pStyle w:val="2"/>
        <w:rPr>
          <w:rFonts w:hint="eastAsia"/>
          <w:highlight w:val="none"/>
          <w:lang w:val="en-US" w:eastAsia="zh-CN"/>
        </w:rPr>
      </w:pP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r>
        <w:rPr>
          <w:rFonts w:hint="eastAsia" w:ascii="仿宋_GB2312" w:hAnsi="仿宋_GB2312" w:eastAsia="仿宋_GB2312" w:cs="仿宋_GB2312"/>
          <w:b w:val="0"/>
          <w:bCs/>
          <w:color w:val="000000"/>
          <w:sz w:val="28"/>
          <w:szCs w:val="28"/>
          <w:highlight w:val="none"/>
          <w:lang w:val="en-US" w:eastAsia="zh-CN"/>
        </w:rPr>
        <w:t>采购备件清单：</w:t>
      </w:r>
    </w:p>
    <w:p>
      <w:pPr>
        <w:pStyle w:val="12"/>
        <w:keepNext w:val="0"/>
        <w:keepLines w:val="0"/>
        <w:pageBreakBefore w:val="0"/>
        <w:widowControl w:val="0"/>
        <w:kinsoku/>
        <w:wordWrap/>
        <w:overflowPunct/>
        <w:topLinePunct w:val="0"/>
        <w:autoSpaceDE/>
        <w:autoSpaceDN/>
        <w:bidi w:val="0"/>
        <w:adjustRightInd w:val="0"/>
        <w:snapToGrid w:val="0"/>
        <w:spacing w:line="300" w:lineRule="auto"/>
        <w:ind w:firstLine="560" w:firstLineChars="200"/>
        <w:textAlignment w:val="auto"/>
        <w:rPr>
          <w:rFonts w:hint="eastAsia" w:ascii="仿宋_GB2312" w:hAnsi="仿宋_GB2312" w:eastAsia="仿宋_GB2312" w:cs="仿宋_GB2312"/>
          <w:b w:val="0"/>
          <w:bCs/>
          <w:color w:val="000000"/>
          <w:sz w:val="28"/>
          <w:szCs w:val="28"/>
          <w:highlight w:val="none"/>
          <w:lang w:val="en-US" w:eastAsia="zh-CN"/>
        </w:rPr>
      </w:pPr>
    </w:p>
    <w:tbl>
      <w:tblPr>
        <w:tblStyle w:val="22"/>
        <w:tblpPr w:leftFromText="180" w:rightFromText="180" w:vertAnchor="text" w:horzAnchor="page" w:tblpXSpec="center" w:tblpY="323"/>
        <w:tblOverlap w:val="never"/>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50"/>
        <w:gridCol w:w="2705"/>
        <w:gridCol w:w="1156"/>
        <w:gridCol w:w="988"/>
        <w:gridCol w:w="1043"/>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805"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序号</w:t>
            </w:r>
          </w:p>
        </w:tc>
        <w:tc>
          <w:tcPr>
            <w:tcW w:w="1550"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设备名称</w:t>
            </w:r>
          </w:p>
        </w:tc>
        <w:tc>
          <w:tcPr>
            <w:tcW w:w="2705" w:type="dxa"/>
            <w:noWrap w:val="0"/>
            <w:vAlign w:val="top"/>
          </w:tcPr>
          <w:p>
            <w:pPr>
              <w:spacing w:line="360" w:lineRule="auto"/>
              <w:jc w:val="center"/>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品牌型号</w:t>
            </w:r>
          </w:p>
        </w:tc>
        <w:tc>
          <w:tcPr>
            <w:tcW w:w="1156"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备件名称</w:t>
            </w:r>
          </w:p>
        </w:tc>
        <w:tc>
          <w:tcPr>
            <w:tcW w:w="988" w:type="dxa"/>
            <w:noWrap w:val="0"/>
            <w:vAlign w:val="top"/>
          </w:tcPr>
          <w:p>
            <w:pPr>
              <w:spacing w:line="360" w:lineRule="auto"/>
              <w:jc w:val="center"/>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单位</w:t>
            </w:r>
          </w:p>
        </w:tc>
        <w:tc>
          <w:tcPr>
            <w:tcW w:w="1043"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购置数量</w:t>
            </w:r>
          </w:p>
        </w:tc>
        <w:tc>
          <w:tcPr>
            <w:tcW w:w="561"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805" w:type="dxa"/>
            <w:noWrap w:val="0"/>
            <w:vAlign w:val="top"/>
          </w:tcPr>
          <w:p>
            <w:pPr>
              <w:spacing w:line="360" w:lineRule="auto"/>
              <w:jc w:val="center"/>
              <w:rPr>
                <w:rFonts w:hint="eastAsia"/>
                <w:sz w:val="24"/>
                <w:szCs w:val="24"/>
                <w:highlight w:val="none"/>
              </w:rPr>
            </w:pPr>
            <w:r>
              <w:rPr>
                <w:rFonts w:hint="eastAsia"/>
                <w:sz w:val="24"/>
                <w:szCs w:val="24"/>
                <w:highlight w:val="none"/>
              </w:rPr>
              <w:t>1</w:t>
            </w:r>
          </w:p>
        </w:tc>
        <w:tc>
          <w:tcPr>
            <w:tcW w:w="1550"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板框压滤机</w:t>
            </w:r>
          </w:p>
        </w:tc>
        <w:tc>
          <w:tcPr>
            <w:tcW w:w="2705"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pStyle w:val="9"/>
              <w:numPr>
                <w:ilvl w:val="0"/>
                <w:numId w:val="0"/>
              </w:numPr>
              <w:rPr>
                <w:rFonts w:hint="eastAsia" w:eastAsia="宋体"/>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滤板尺寸：</w:t>
            </w:r>
            <w:r>
              <w:rPr>
                <w:rFonts w:hint="eastAsia" w:ascii="宋体" w:hAnsi="宋体" w:eastAsia="宋体" w:cs="宋体"/>
                <w:i w:val="0"/>
                <w:iCs w:val="0"/>
                <w:color w:val="auto"/>
                <w:kern w:val="0"/>
                <w:sz w:val="21"/>
                <w:szCs w:val="21"/>
                <w:highlight w:val="none"/>
                <w:u w:val="none"/>
                <w:lang w:val="en-US" w:eastAsia="zh-CN" w:bidi="ar"/>
              </w:rPr>
              <w:t>1500*1500</w:t>
            </w:r>
          </w:p>
        </w:tc>
        <w:tc>
          <w:tcPr>
            <w:tcW w:w="1156" w:type="dxa"/>
            <w:noWrap w:val="0"/>
            <w:vAlign w:val="top"/>
          </w:tcPr>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滤布</w:t>
            </w:r>
          </w:p>
        </w:tc>
        <w:tc>
          <w:tcPr>
            <w:tcW w:w="988" w:type="dxa"/>
            <w:noWrap w:val="0"/>
            <w:vAlign w:val="top"/>
          </w:tcPr>
          <w:p>
            <w:pPr>
              <w:spacing w:line="360" w:lineRule="auto"/>
              <w:jc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块</w:t>
            </w:r>
          </w:p>
        </w:tc>
        <w:tc>
          <w:tcPr>
            <w:tcW w:w="1043"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280</w:t>
            </w:r>
          </w:p>
        </w:tc>
        <w:tc>
          <w:tcPr>
            <w:tcW w:w="561" w:type="dxa"/>
            <w:noWrap w:val="0"/>
            <w:vAlign w:val="top"/>
          </w:tcPr>
          <w:p>
            <w:pPr>
              <w:spacing w:line="360" w:lineRule="auto"/>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805" w:type="dxa"/>
            <w:noWrap w:val="0"/>
            <w:vAlign w:val="top"/>
          </w:tcPr>
          <w:p>
            <w:pPr>
              <w:spacing w:line="360" w:lineRule="auto"/>
              <w:jc w:val="center"/>
              <w:rPr>
                <w:rFonts w:hint="eastAsia"/>
                <w:sz w:val="24"/>
                <w:szCs w:val="24"/>
                <w:highlight w:val="none"/>
              </w:rPr>
            </w:pPr>
            <w:r>
              <w:rPr>
                <w:rFonts w:hint="eastAsia"/>
                <w:sz w:val="24"/>
                <w:szCs w:val="24"/>
                <w:highlight w:val="none"/>
              </w:rPr>
              <w:t>2</w:t>
            </w:r>
          </w:p>
        </w:tc>
        <w:tc>
          <w:tcPr>
            <w:tcW w:w="1550"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板框压滤机</w:t>
            </w:r>
          </w:p>
        </w:tc>
        <w:tc>
          <w:tcPr>
            <w:tcW w:w="2705"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滤板尺寸：1500*1500</w:t>
            </w:r>
          </w:p>
        </w:tc>
        <w:tc>
          <w:tcPr>
            <w:tcW w:w="1156" w:type="dxa"/>
            <w:noWrap w:val="0"/>
            <w:vAlign w:val="top"/>
          </w:tcPr>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尾部滤布</w:t>
            </w:r>
          </w:p>
        </w:tc>
        <w:tc>
          <w:tcPr>
            <w:tcW w:w="988" w:type="dxa"/>
            <w:noWrap w:val="0"/>
            <w:vAlign w:val="top"/>
          </w:tcPr>
          <w:p>
            <w:pPr>
              <w:spacing w:line="360" w:lineRule="auto"/>
              <w:jc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块</w:t>
            </w:r>
          </w:p>
        </w:tc>
        <w:tc>
          <w:tcPr>
            <w:tcW w:w="1043"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w:t>
            </w:r>
          </w:p>
        </w:tc>
        <w:tc>
          <w:tcPr>
            <w:tcW w:w="561" w:type="dxa"/>
            <w:noWrap w:val="0"/>
            <w:vAlign w:val="top"/>
          </w:tcPr>
          <w:p>
            <w:pPr>
              <w:spacing w:line="360" w:lineRule="auto"/>
              <w:jc w:val="center"/>
              <w:rPr>
                <w:rFonts w:hint="eastAsia"/>
                <w:sz w:val="24"/>
                <w:szCs w:val="24"/>
                <w:highlight w:val="none"/>
              </w:rPr>
            </w:pPr>
          </w:p>
        </w:tc>
      </w:tr>
    </w:tbl>
    <w:p>
      <w:pPr>
        <w:pStyle w:val="13"/>
        <w:rPr>
          <w:rFonts w:hint="eastAsia"/>
          <w:highlight w:val="none"/>
          <w:lang w:val="en-US" w:eastAsia="zh-CN"/>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0" w:firstLineChars="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三、商务要求</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（一）货期：自收到甲方书面通知之日起30天内到货，交货地点：广州市净水有限公司大沙地分公司。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 二 ) 包装、运输</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1.供应商所供货物应为制造商原装出厂包装箱号与货物出厂批号一致，包装须符合同等相关标准，因包装不良造成的损失由供应商负责。</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2.供应商负责将产品送到现场过程中的全部运输，包括装卸车、货物现场的搬运等。</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（三）质量要求和售后服务：</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1.确保货物为原装未拆封或未使用的合格产品，交货时须出具厂家出厂合格证明。</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2.货物在质保期（供货验收合格之日起1年内）内如有质量问题或未能适配原有设备时，供应商必须24小时内立即响应。</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（四）付款方式：采用网银支付。</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（五）自供应商履行完合同义务之日起15个工作日内组织验收，审定供应商供货的货物合格情况，进行结算审核。</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（六）承包方式：单价包干。</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四、其他</w:t>
      </w:r>
    </w:p>
    <w:p>
      <w:pPr>
        <w:pStyle w:val="2"/>
        <w:ind w:left="0" w:leftChars="0" w:firstLine="560" w:firstLineChars="200"/>
        <w:rPr>
          <w:rFonts w:hint="eastAsia" w:ascii="仿宋_GB2312" w:eastAsia="仿宋_GB2312" w:hAnsiTheme="minorHAnsi" w:cstheme="minorBidi"/>
          <w:bCs w:val="0"/>
          <w:color w:val="auto"/>
          <w:kern w:val="2"/>
          <w:sz w:val="28"/>
          <w:szCs w:val="28"/>
          <w:highlight w:val="none"/>
          <w:lang w:val="en-US" w:eastAsia="zh-CN" w:bidi="ar-SA"/>
        </w:rPr>
      </w:pPr>
      <w:r>
        <w:rPr>
          <w:rFonts w:hint="eastAsia" w:ascii="仿宋_GB2312" w:eastAsia="仿宋_GB2312" w:hAnsiTheme="minorHAnsi" w:cstheme="minorBidi"/>
          <w:bCs w:val="0"/>
          <w:color w:val="auto"/>
          <w:kern w:val="2"/>
          <w:sz w:val="28"/>
          <w:szCs w:val="28"/>
          <w:highlight w:val="none"/>
          <w:lang w:val="en-US" w:eastAsia="zh-CN" w:bidi="ar-SA"/>
        </w:rPr>
        <w:t>供应商不得转包、分包。否则，甲方有权单方面终止合同，拒收其货物，由此而造成的经济损失由供应商负责赔偿。</w:t>
      </w: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4"/>
        <w:rPr>
          <w:rFonts w:hint="eastAsia"/>
          <w:color w:val="auto"/>
          <w:highlight w:val="none"/>
        </w:rPr>
      </w:pPr>
      <w:bookmarkStart w:id="63" w:name="_Toc29835"/>
      <w:bookmarkStart w:id="64" w:name="_Toc15570"/>
      <w:bookmarkStart w:id="65" w:name="_Toc23330"/>
      <w:bookmarkStart w:id="66" w:name="_Toc1284"/>
      <w:bookmarkStart w:id="67" w:name="_Toc1496"/>
      <w:bookmarkStart w:id="68" w:name="_Toc4680"/>
      <w:bookmarkStart w:id="69" w:name="_Toc25925"/>
      <w:bookmarkStart w:id="70" w:name="_Toc12135"/>
      <w:bookmarkStart w:id="71" w:name="_Toc23353"/>
      <w:bookmarkStart w:id="72" w:name="_Toc537"/>
      <w:bookmarkStart w:id="73" w:name="_Toc1853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rPr>
          <w:rFonts w:hint="eastAsia"/>
          <w:highlight w:val="none"/>
        </w:rPr>
      </w:pPr>
    </w:p>
    <w:p>
      <w:pPr>
        <w:ind w:firstLine="3960" w:firstLineChars="90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合同</w:t>
      </w: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rPr>
          <w:rFonts w:hint="eastAsia" w:ascii="方正小标宋简体" w:hAnsi="方正小标宋简体" w:eastAsia="方正小标宋简体" w:cs="方正小标宋简体"/>
          <w:color w:val="auto"/>
          <w:sz w:val="44"/>
          <w:szCs w:val="44"/>
          <w:highlight w:val="none"/>
          <w:lang w:val="en-US" w:eastAsia="zh-CN"/>
        </w:rPr>
      </w:pPr>
    </w:p>
    <w:p>
      <w:pPr>
        <w:pStyle w:val="2"/>
        <w:ind w:left="0" w:leftChars="0" w:firstLine="0" w:firstLineChars="0"/>
        <w:rPr>
          <w:rFonts w:hint="eastAsia" w:ascii="方正小标宋简体" w:hAnsi="方正小标宋简体" w:eastAsia="方正小标宋简体" w:cs="方正小标宋简体"/>
          <w:color w:val="auto"/>
          <w:sz w:val="44"/>
          <w:szCs w:val="44"/>
          <w:highlight w:val="none"/>
          <w:lang w:val="en-US" w:eastAsia="zh-CN"/>
        </w:rPr>
      </w:pPr>
    </w:p>
    <w:p>
      <w:pPr>
        <w:pStyle w:val="35"/>
        <w:rPr>
          <w:color w:val="auto"/>
          <w:highlight w:val="none"/>
        </w:rPr>
      </w:pPr>
    </w:p>
    <w:p>
      <w:pPr>
        <w:pStyle w:val="35"/>
        <w:rPr>
          <w:color w:val="auto"/>
          <w:highlight w:val="none"/>
        </w:rPr>
      </w:pPr>
    </w:p>
    <w:p>
      <w:pPr>
        <w:jc w:val="center"/>
        <w:rPr>
          <w:b/>
          <w:color w:val="000000" w:themeColor="text1"/>
          <w:sz w:val="52"/>
          <w:szCs w:val="84"/>
          <w:highlight w:val="none"/>
          <w14:textFill>
            <w14:solidFill>
              <w14:schemeClr w14:val="tx1"/>
            </w14:solidFill>
          </w14:textFill>
        </w:rPr>
      </w:pPr>
    </w:p>
    <w:p>
      <w:pPr>
        <w:pStyle w:val="2"/>
        <w:rPr>
          <w:highlight w:val="none"/>
        </w:rPr>
      </w:pPr>
    </w:p>
    <w:p>
      <w:pPr>
        <w:spacing w:after="0" w:line="240" w:lineRule="auto"/>
        <w:jc w:val="right"/>
        <w:rPr>
          <w:b/>
          <w:color w:val="000000" w:themeColor="text1"/>
          <w:sz w:val="52"/>
          <w:szCs w:val="84"/>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shadow w14:blurRad="50800" w14:dist="38100" w14:dir="2700000" w14:sx="100000" w14:sy="100000" w14:kx="0" w14:ky="0" w14:algn="tl">
            <w14:srgbClr w14:val="000000">
              <w14:alpha w14:val="60000"/>
            </w14:srgbClr>
          </w14:shadow>
          <w14:textFill>
            <w14:solidFill>
              <w14:schemeClr w14:val="tx1"/>
            </w14:solidFill>
          </w14:textFill>
        </w:rPr>
        <w:t>2022年8月版</w:t>
      </w:r>
      <w:r>
        <w:rPr>
          <w:rFonts w:hint="eastAsia" w:ascii="宋体" w:hAnsi="宋体" w:eastAsia="宋体" w:cs="宋体"/>
          <w:b/>
          <w:bCs w:val="0"/>
          <w:color w:val="000000" w:themeColor="text1"/>
          <w:sz w:val="21"/>
          <w:szCs w:val="21"/>
          <w:highlight w:val="none"/>
          <w14:shadow w14:blurRad="50800" w14:dist="38100" w14:dir="2700000" w14:sx="100000" w14:sy="100000" w14:kx="0" w14:ky="0" w14:algn="tl">
            <w14:srgbClr w14:val="000000">
              <w14:alpha w14:val="60000"/>
            </w14:srgbClr>
          </w14:shadow>
          <w14:textFill>
            <w14:solidFill>
              <w14:schemeClr w14:val="tx1"/>
            </w14:solidFill>
          </w14:textFill>
        </w:rPr>
        <w:t xml:space="preserve"> </w:t>
      </w:r>
    </w:p>
    <w:p>
      <w:pPr>
        <w:jc w:val="center"/>
        <w:rPr>
          <w:b/>
          <w:color w:val="000000" w:themeColor="text1"/>
          <w:sz w:val="52"/>
          <w:szCs w:val="84"/>
          <w:highlight w:val="none"/>
          <w14:textFill>
            <w14:solidFill>
              <w14:schemeClr w14:val="tx1"/>
            </w14:solidFill>
          </w14:textFill>
        </w:rPr>
      </w:pP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14:textFill>
            <w14:solidFill>
              <w14:schemeClr w14:val="tx1"/>
            </w14:solidFill>
          </w14:textFill>
        </w:rPr>
        <w:t>广州市净水有限公司</w:t>
      </w:r>
    </w:p>
    <w:p>
      <w:pPr>
        <w:jc w:val="center"/>
        <w:rPr>
          <w:b/>
          <w:bCs w:val="0"/>
          <w:color w:val="000000" w:themeColor="text1"/>
          <w:sz w:val="48"/>
          <w:szCs w:val="48"/>
          <w:highlight w:val="none"/>
          <w14:textFill>
            <w14:solidFill>
              <w14:schemeClr w14:val="tx1"/>
            </w14:solidFill>
          </w14:textFill>
        </w:rPr>
      </w:pPr>
      <w:r>
        <w:rPr>
          <w:rFonts w:hint="eastAsia"/>
          <w:b/>
          <w:bCs w:val="0"/>
          <w:color w:val="000000" w:themeColor="text1"/>
          <w:sz w:val="48"/>
          <w:szCs w:val="48"/>
          <w:highlight w:val="none"/>
          <w:u w:val="single"/>
          <w:lang w:val="en-US" w:eastAsia="zh-CN"/>
          <w14:textFill>
            <w14:solidFill>
              <w14:schemeClr w14:val="tx1"/>
            </w14:solidFill>
          </w14:textFill>
        </w:rPr>
        <w:t>厂区设备</w:t>
      </w:r>
      <w:r>
        <w:rPr>
          <w:rFonts w:hint="eastAsia"/>
          <w:b/>
          <w:bCs w:val="0"/>
          <w:color w:val="000000" w:themeColor="text1"/>
          <w:sz w:val="48"/>
          <w:szCs w:val="48"/>
          <w:highlight w:val="none"/>
          <w:u w:val="single"/>
          <w:lang w:eastAsia="zh-CN"/>
          <w14:textFill>
            <w14:solidFill>
              <w14:schemeClr w14:val="tx1"/>
            </w14:solidFill>
          </w14:textFill>
        </w:rPr>
        <w:t>备件</w:t>
      </w:r>
      <w:r>
        <w:rPr>
          <w:rFonts w:hint="eastAsia"/>
          <w:b/>
          <w:bCs w:val="0"/>
          <w:color w:val="000000" w:themeColor="text1"/>
          <w:sz w:val="48"/>
          <w:szCs w:val="48"/>
          <w:highlight w:val="none"/>
          <w14:textFill>
            <w14:solidFill>
              <w14:schemeClr w14:val="tx1"/>
            </w14:solidFill>
          </w14:textFill>
        </w:rPr>
        <w:t>采购合同</w:t>
      </w:r>
    </w:p>
    <w:p>
      <w:pPr>
        <w:widowControl w:val="0"/>
        <w:spacing w:after="0" w:line="360" w:lineRule="auto"/>
        <w:jc w:val="center"/>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（示范文本）</w:t>
      </w:r>
    </w:p>
    <w:p>
      <w:pPr>
        <w:jc w:val="both"/>
        <w:rPr>
          <w:b/>
          <w:bCs w:val="0"/>
          <w:color w:val="000000" w:themeColor="text1"/>
          <w:sz w:val="30"/>
          <w:highlight w:val="none"/>
          <w14:textFill>
            <w14:solidFill>
              <w14:schemeClr w14:val="tx1"/>
            </w14:solidFill>
          </w14:textFill>
        </w:rPr>
      </w:pPr>
    </w:p>
    <w:p>
      <w:pPr>
        <w:ind w:left="1500" w:hanging="1506" w:hangingChars="500"/>
        <w:rPr>
          <w:rFonts w:hint="eastAsia"/>
          <w:b/>
          <w:bCs w:val="0"/>
          <w:color w:val="000000" w:themeColor="text1"/>
          <w:sz w:val="30"/>
          <w:highlight w:val="none"/>
          <w14:textFill>
            <w14:solidFill>
              <w14:schemeClr w14:val="tx1"/>
            </w14:solidFill>
          </w14:textFill>
        </w:rPr>
      </w:pPr>
      <w:r>
        <w:rPr>
          <w:rFonts w:hint="eastAsia"/>
          <w:b/>
          <w:bCs w:val="0"/>
          <w:color w:val="000000" w:themeColor="text1"/>
          <w:sz w:val="30"/>
          <w:highlight w:val="none"/>
          <w14:textFill>
            <w14:solidFill>
              <w14:schemeClr w14:val="tx1"/>
            </w14:solidFill>
          </w14:textFill>
        </w:rPr>
        <w:t>项目名称：</w:t>
      </w:r>
      <w:r>
        <w:rPr>
          <w:rFonts w:hint="eastAsia"/>
          <w:b/>
          <w:bCs w:val="0"/>
          <w:color w:val="000000" w:themeColor="text1"/>
          <w:sz w:val="30"/>
          <w:highlight w:val="none"/>
          <w:lang w:val="en-US" w:eastAsia="zh-CN"/>
          <w14:textFill>
            <w14:solidFill>
              <w14:schemeClr w14:val="tx1"/>
            </w14:solidFill>
          </w14:textFill>
        </w:rPr>
        <w:t>广州市净水有限公司大沙地分公司2月份板框压滤机滤布备件采购项目</w:t>
      </w:r>
    </w:p>
    <w:p>
      <w:pPr>
        <w:rPr>
          <w:rFonts w:hint="eastAsia"/>
          <w:b/>
          <w:bCs w:val="0"/>
          <w:color w:val="000000" w:themeColor="text1"/>
          <w:sz w:val="30"/>
          <w:highlight w:val="none"/>
          <w:lang w:val="en-US" w:eastAsia="zh-CN"/>
          <w14:textFill>
            <w14:solidFill>
              <w14:schemeClr w14:val="tx1"/>
            </w14:solidFill>
          </w14:textFill>
        </w:rPr>
      </w:pPr>
    </w:p>
    <w:p>
      <w:pPr>
        <w:rPr>
          <w:rFonts w:hint="eastAsia"/>
          <w:b/>
          <w:bCs w:val="0"/>
          <w:color w:val="000000" w:themeColor="text1"/>
          <w:sz w:val="30"/>
          <w:highlight w:val="none"/>
          <w:lang w:val="en-US" w:eastAsia="zh-CN"/>
          <w14:textFill>
            <w14:solidFill>
              <w14:schemeClr w14:val="tx1"/>
            </w14:solidFill>
          </w14:textFill>
        </w:rPr>
      </w:pPr>
      <w:r>
        <w:rPr>
          <w:rFonts w:hint="eastAsia"/>
          <w:b/>
          <w:bCs w:val="0"/>
          <w:color w:val="000000" w:themeColor="text1"/>
          <w:sz w:val="30"/>
          <w:highlight w:val="none"/>
          <w:lang w:val="en-US" w:eastAsia="zh-CN"/>
          <w14:textFill>
            <w14:solidFill>
              <w14:schemeClr w14:val="tx1"/>
            </w14:solidFill>
          </w14:textFill>
        </w:rPr>
        <w:t>项目编号：</w:t>
      </w:r>
    </w:p>
    <w:p>
      <w:pPr>
        <w:rPr>
          <w:rFonts w:hint="eastAsia"/>
          <w:b/>
          <w:bCs w:val="0"/>
          <w:color w:val="000000" w:themeColor="text1"/>
          <w:sz w:val="30"/>
          <w:highlight w:val="none"/>
          <w:lang w:val="en-US" w:eastAsia="zh-CN"/>
          <w14:textFill>
            <w14:solidFill>
              <w14:schemeClr w14:val="tx1"/>
            </w14:solidFill>
          </w14:textFill>
        </w:rPr>
      </w:pPr>
    </w:p>
    <w:p>
      <w:pPr>
        <w:rPr>
          <w:b/>
          <w:bCs w:val="0"/>
          <w:color w:val="000000" w:themeColor="text1"/>
          <w:sz w:val="30"/>
          <w:szCs w:val="30"/>
          <w:highlight w:val="none"/>
          <w14:textFill>
            <w14:solidFill>
              <w14:schemeClr w14:val="tx1"/>
            </w14:solidFill>
          </w14:textFill>
        </w:rPr>
      </w:pPr>
      <w:r>
        <w:rPr>
          <w:rFonts w:hint="eastAsia"/>
          <w:b/>
          <w:bCs w:val="0"/>
          <w:color w:val="000000" w:themeColor="text1"/>
          <w:sz w:val="30"/>
          <w:highlight w:val="none"/>
          <w14:textFill>
            <w14:solidFill>
              <w14:schemeClr w14:val="tx1"/>
            </w14:solidFill>
          </w14:textFill>
        </w:rPr>
        <w:t>合同编号：</w:t>
      </w:r>
      <w:r>
        <w:rPr>
          <w:rFonts w:hint="eastAsia" w:ascii="宋体" w:hAnsi="宋体" w:cs="宋体"/>
          <w:b/>
          <w:bCs w:val="0"/>
          <w:color w:val="000000" w:themeColor="text1"/>
          <w:sz w:val="30"/>
          <w:szCs w:val="30"/>
          <w:highlight w:val="none"/>
          <w14:textFill>
            <w14:solidFill>
              <w14:schemeClr w14:val="tx1"/>
            </w14:solidFill>
          </w14:textFill>
        </w:rPr>
        <w:t>穗净水合</w:t>
      </w:r>
      <w:r>
        <w:rPr>
          <w:rFonts w:ascii="宋体" w:hAnsi="宋体" w:cs="宋体"/>
          <w:b/>
          <w:bCs w:val="0"/>
          <w:color w:val="000000" w:themeColor="text1"/>
          <w:sz w:val="30"/>
          <w:szCs w:val="30"/>
          <w:highlight w:val="none"/>
          <w14:textFill>
            <w14:solidFill>
              <w14:schemeClr w14:val="tx1"/>
            </w14:solidFill>
          </w14:textFill>
        </w:rPr>
        <w:t xml:space="preserve">[     ]    </w:t>
      </w:r>
      <w:r>
        <w:rPr>
          <w:rFonts w:hint="eastAsia" w:ascii="宋体" w:hAnsi="宋体" w:cs="宋体"/>
          <w:b/>
          <w:bCs w:val="0"/>
          <w:color w:val="000000" w:themeColor="text1"/>
          <w:sz w:val="30"/>
          <w:szCs w:val="30"/>
          <w:highlight w:val="none"/>
          <w14:textFill>
            <w14:solidFill>
              <w14:schemeClr w14:val="tx1"/>
            </w14:solidFill>
          </w14:textFill>
        </w:rPr>
        <w:t>号</w:t>
      </w:r>
    </w:p>
    <w:p>
      <w:pPr>
        <w:rPr>
          <w:b/>
          <w:bCs w:val="0"/>
          <w:color w:val="000000" w:themeColor="text1"/>
          <w:sz w:val="30"/>
          <w:szCs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甲方（买方）：</w:t>
      </w:r>
      <w:r>
        <w:rPr>
          <w:rFonts w:hint="eastAsia"/>
          <w:b/>
          <w:bCs w:val="0"/>
          <w:color w:val="000000" w:themeColor="text1"/>
          <w:sz w:val="30"/>
          <w:highlight w:val="none"/>
          <w:u w:val="none"/>
          <w14:textFill>
            <w14:solidFill>
              <w14:schemeClr w14:val="tx1"/>
            </w14:solidFill>
          </w14:textFill>
        </w:rPr>
        <w:t>广州市净水有限公司</w:t>
      </w:r>
    </w:p>
    <w:p>
      <w:pPr>
        <w:rPr>
          <w:rFonts w:hint="eastAsia"/>
          <w:b/>
          <w:bCs w:val="0"/>
          <w:color w:val="000000" w:themeColor="text1"/>
          <w:sz w:val="30"/>
          <w:highlight w:val="none"/>
          <w14:textFill>
            <w14:solidFill>
              <w14:schemeClr w14:val="tx1"/>
            </w14:solidFill>
          </w14:textFill>
        </w:rPr>
      </w:pPr>
    </w:p>
    <w:p>
      <w:pPr>
        <w:rPr>
          <w:b/>
          <w:bCs w:val="0"/>
          <w:color w:val="000000" w:themeColor="text1"/>
          <w:sz w:val="30"/>
          <w:highlight w:val="none"/>
          <w:u w:val="single"/>
          <w14:textFill>
            <w14:solidFill>
              <w14:schemeClr w14:val="tx1"/>
            </w14:solidFill>
          </w14:textFill>
        </w:rPr>
      </w:pPr>
      <w:r>
        <w:rPr>
          <w:rFonts w:hint="eastAsia"/>
          <w:b/>
          <w:bCs w:val="0"/>
          <w:color w:val="000000" w:themeColor="text1"/>
          <w:sz w:val="30"/>
          <w:highlight w:val="none"/>
          <w14:textFill>
            <w14:solidFill>
              <w14:schemeClr w14:val="tx1"/>
            </w14:solidFill>
          </w14:textFill>
        </w:rPr>
        <w:t>乙方（卖方）：</w:t>
      </w:r>
      <w:r>
        <w:rPr>
          <w:b/>
          <w:bCs w:val="0"/>
          <w:color w:val="000000" w:themeColor="text1"/>
          <w:sz w:val="30"/>
          <w:highlight w:val="none"/>
          <w:u w:val="none"/>
          <w14:textFill>
            <w14:solidFill>
              <w14:schemeClr w14:val="tx1"/>
            </w14:solidFill>
          </w14:textFill>
        </w:rPr>
        <w:t xml:space="preserve">                  </w:t>
      </w:r>
    </w:p>
    <w:p>
      <w:pPr>
        <w:pStyle w:val="2"/>
        <w:rPr>
          <w:rFonts w:hint="eastAsia"/>
          <w:b/>
          <w:bCs w:val="0"/>
          <w:color w:val="000000" w:themeColor="text1"/>
          <w:highlight w:val="none"/>
          <w14:textFill>
            <w14:solidFill>
              <w14:schemeClr w14:val="tx1"/>
            </w14:solidFill>
          </w14:textFill>
        </w:rPr>
      </w:pPr>
    </w:p>
    <w:p>
      <w:pPr>
        <w:spacing w:line="500" w:lineRule="exact"/>
        <w:jc w:val="both"/>
        <w:rPr>
          <w:rFonts w:hint="eastAsia"/>
          <w:b/>
          <w:bCs w:val="0"/>
          <w:color w:val="000000" w:themeColor="text1"/>
          <w:sz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 xml:space="preserve">签订日期：       年   月   日   </w:t>
      </w:r>
    </w:p>
    <w:p>
      <w:pPr>
        <w:spacing w:line="500" w:lineRule="exact"/>
        <w:jc w:val="left"/>
        <w:rPr>
          <w:rFonts w:hint="eastAsia"/>
          <w:b/>
          <w:bCs w:val="0"/>
          <w:color w:val="000000" w:themeColor="text1"/>
          <w:sz w:val="30"/>
          <w:highlight w:val="none"/>
          <w14:textFill>
            <w14:solidFill>
              <w14:schemeClr w14:val="tx1"/>
            </w14:solidFill>
          </w14:textFill>
        </w:rPr>
      </w:pPr>
    </w:p>
    <w:p>
      <w:pPr>
        <w:spacing w:line="500" w:lineRule="exact"/>
        <w:jc w:val="left"/>
        <w:rPr>
          <w:rFonts w:ascii="宋体" w:hAnsi="宋体" w:eastAsia="宋体" w:cs="宋体"/>
          <w:b/>
          <w:bCs w:val="0"/>
          <w:color w:val="000000" w:themeColor="text1"/>
          <w:sz w:val="36"/>
          <w:szCs w:val="36"/>
          <w:highlight w:val="none"/>
          <w:lang w:val="zh-CN" w:eastAsia="zh-CN"/>
          <w14:textFill>
            <w14:solidFill>
              <w14:schemeClr w14:val="tx1"/>
            </w14:solidFill>
          </w14:textFill>
        </w:rPr>
      </w:pPr>
      <w:r>
        <w:rPr>
          <w:rFonts w:hint="eastAsia"/>
          <w:b/>
          <w:bCs w:val="0"/>
          <w:color w:val="000000" w:themeColor="text1"/>
          <w:sz w:val="30"/>
          <w:highlight w:val="none"/>
          <w14:textFill>
            <w14:solidFill>
              <w14:schemeClr w14:val="tx1"/>
            </w14:solidFill>
          </w14:textFill>
        </w:rPr>
        <w:t>签约地点：广州市</w:t>
      </w:r>
    </w:p>
    <w:p>
      <w:pPr>
        <w:spacing w:line="360" w:lineRule="auto"/>
        <w:ind w:firstLine="0" w:firstLineChars="0"/>
        <w:rPr>
          <w:rFonts w:hint="eastAsia"/>
          <w:b/>
          <w:bCs w:val="0"/>
          <w:color w:val="000000" w:themeColor="text1"/>
          <w:highlight w:val="none"/>
          <w:lang w:val="en-US" w:eastAsia="zh-CN"/>
          <w14:textFill>
            <w14:solidFill>
              <w14:schemeClr w14:val="tx1"/>
            </w14:solidFill>
          </w14:textFill>
        </w:rPr>
      </w:pPr>
      <w:r>
        <w:rPr>
          <w:rFonts w:hint="eastAsia"/>
          <w:b/>
          <w:bCs w:val="0"/>
          <w:color w:val="000000" w:themeColor="text1"/>
          <w:highlight w:val="non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根据《中华人民共和国</w:t>
      </w:r>
      <w:r>
        <w:rPr>
          <w:rFonts w:hint="eastAsia" w:ascii="宋体" w:hAnsi="宋体" w:eastAsia="宋体" w:cs="宋体"/>
          <w:color w:val="000000" w:themeColor="text1"/>
          <w:sz w:val="28"/>
          <w:szCs w:val="28"/>
          <w:highlight w:val="none"/>
          <w:lang w:val="en-US" w:eastAsia="zh-CN"/>
          <w14:textFill>
            <w14:solidFill>
              <w14:schemeClr w14:val="tx1"/>
            </w14:solidFill>
          </w14:textFill>
        </w:rPr>
        <w:t>民法典</w:t>
      </w:r>
      <w:r>
        <w:rPr>
          <w:rFonts w:hint="eastAsia" w:ascii="宋体" w:hAnsi="宋体" w:eastAsia="宋体" w:cs="宋体"/>
          <w:color w:val="000000" w:themeColor="text1"/>
          <w:sz w:val="28"/>
          <w:szCs w:val="28"/>
          <w:highlight w:val="none"/>
          <w14:textFill>
            <w14:solidFill>
              <w14:schemeClr w14:val="tx1"/>
            </w14:solidFill>
          </w14:textFill>
        </w:rPr>
        <w:t>》及其他有关法律、行政法规，</w:t>
      </w:r>
      <w:r>
        <w:rPr>
          <w:rFonts w:hint="eastAsia" w:ascii="宋体" w:hAnsi="宋体" w:eastAsia="宋体" w:cs="宋体"/>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color w:val="000000" w:themeColor="text1"/>
          <w:sz w:val="28"/>
          <w:szCs w:val="28"/>
          <w:highlight w:val="none"/>
          <w14:textFill>
            <w14:solidFill>
              <w14:schemeClr w14:val="tx1"/>
            </w14:solidFill>
          </w14:textFill>
        </w:rPr>
        <w:t xml:space="preserve"> （以下简称“甲方”）与</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 xml:space="preserve"> （以下简称“乙方”）就</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广州市净水有限公司</w:t>
      </w:r>
      <w:r>
        <w:rPr>
          <w:rFonts w:hint="eastAsia" w:ascii="宋体" w:hAnsi="宋体" w:eastAsia="宋体" w:cs="宋体"/>
          <w:color w:val="000000" w:themeColor="text1"/>
          <w:sz w:val="28"/>
          <w:szCs w:val="28"/>
          <w:highlight w:val="none"/>
          <w:u w:val="single"/>
          <w14:textFill>
            <w14:solidFill>
              <w14:schemeClr w14:val="tx1"/>
            </w14:solidFill>
          </w14:textFill>
        </w:rPr>
        <w:t>大沙地分公司2月份板框压滤机滤布备件采购项目采购</w:t>
      </w:r>
      <w:r>
        <w:rPr>
          <w:rFonts w:hint="eastAsia" w:ascii="宋体" w:hAnsi="宋体" w:eastAsia="宋体" w:cs="宋体"/>
          <w:color w:val="000000" w:themeColor="text1"/>
          <w:sz w:val="28"/>
          <w:szCs w:val="28"/>
          <w:highlight w:val="none"/>
          <w14:textFill>
            <w14:solidFill>
              <w14:schemeClr w14:val="tx1"/>
            </w14:solidFill>
          </w14:textFill>
        </w:rPr>
        <w:t>和相应技术服务事宜，遵循平等、自愿、公平和诚实信用的原则，双方协商一致，订立本合同。</w:t>
      </w:r>
      <w:bookmarkStart w:id="74" w:name="_Toc1018"/>
      <w:bookmarkStart w:id="75" w:name="_Toc520190026"/>
      <w:bookmarkStart w:id="76" w:name="_Toc474245210"/>
      <w:bookmarkStart w:id="77" w:name="_Toc518992986"/>
      <w:bookmarkStart w:id="78" w:name="_Toc183666513"/>
    </w:p>
    <w:p>
      <w:pPr>
        <w:keepNext w:val="0"/>
        <w:keepLines w:val="0"/>
        <w:pageBreakBefore w:val="0"/>
        <w:kinsoku/>
        <w:wordWrap/>
        <w:overflowPunct/>
        <w:topLinePunct w:val="0"/>
        <w:bidi w:val="0"/>
        <w:snapToGrid/>
        <w:spacing w:line="520" w:lineRule="exact"/>
        <w:ind w:firstLine="540"/>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第一条 组成合同的文件及优先顺序</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⑴ </w:t>
      </w:r>
      <w:r>
        <w:rPr>
          <w:rFonts w:hint="eastAsia" w:ascii="宋体" w:hAnsi="宋体" w:eastAsia="宋体" w:cs="宋体"/>
          <w:color w:val="000000" w:themeColor="text1"/>
          <w:sz w:val="28"/>
          <w:szCs w:val="28"/>
          <w:highlight w:val="none"/>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⑵ 本合同书</w:t>
      </w:r>
      <w:r>
        <w:rPr>
          <w:rFonts w:hint="eastAsia" w:ascii="宋体" w:hAnsi="宋体" w:cs="宋体"/>
          <w:bCs/>
          <w:color w:val="000000" w:themeColor="text1"/>
          <w:sz w:val="28"/>
          <w:szCs w:val="28"/>
          <w:highlight w:val="none"/>
          <w:lang w:val="en-US" w:eastAsia="zh-CN"/>
          <w14:textFill>
            <w14:solidFill>
              <w14:schemeClr w14:val="tx1"/>
            </w14:solidFill>
          </w14:textFill>
        </w:rPr>
        <w:t>及附件</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⑶ 中标通知书/发包通知书/</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成交通知书</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⑷ 招标文件/询价文件；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⑸ 投标文件/响应文件；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⑹ 标准、规范及有关技术性文件；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⑺ 图纸；</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⑻ 工程量清单/</w:t>
      </w:r>
      <w:r>
        <w:rPr>
          <w:rFonts w:hint="eastAsia" w:ascii="宋体" w:hAnsi="宋体" w:eastAsia="宋体" w:cs="宋体"/>
          <w:color w:val="000000" w:themeColor="text1"/>
          <w:sz w:val="28"/>
          <w:szCs w:val="28"/>
          <w:highlight w:val="none"/>
          <w14:textFill>
            <w14:solidFill>
              <w14:schemeClr w14:val="tx1"/>
            </w14:solidFill>
          </w14:textFill>
        </w:rPr>
        <w:t>工程报价单或预算书；</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b/>
          <w:bCs/>
          <w:color w:val="000000" w:themeColor="text1"/>
          <w:sz w:val="28"/>
          <w:szCs w:val="28"/>
          <w:highlight w:val="none"/>
          <w14:textFill>
            <w14:solidFill>
              <w14:schemeClr w14:val="tx1"/>
            </w14:solidFill>
          </w14:textFill>
        </w:rPr>
        <w:t xml:space="preserve"> 第二条 </w:t>
      </w:r>
      <w:bookmarkEnd w:id="74"/>
      <w:bookmarkEnd w:id="75"/>
      <w:bookmarkEnd w:id="76"/>
      <w:bookmarkEnd w:id="77"/>
      <w:bookmarkEnd w:id="78"/>
      <w:r>
        <w:rPr>
          <w:rFonts w:hint="eastAsia" w:ascii="宋体" w:hAnsi="宋体" w:eastAsia="宋体" w:cs="宋体"/>
          <w:b/>
          <w:color w:val="000000" w:themeColor="text1"/>
          <w:sz w:val="28"/>
          <w:szCs w:val="28"/>
          <w:highlight w:val="none"/>
          <w14:textFill>
            <w14:solidFill>
              <w14:schemeClr w14:val="tx1"/>
            </w14:solidFill>
          </w14:textFill>
        </w:rPr>
        <w:t>合同标的</w:t>
      </w:r>
    </w:p>
    <w:p>
      <w:pPr>
        <w:keepNext w:val="0"/>
        <w:keepLines w:val="0"/>
        <w:pageBreakBefore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lang w:val="zh-CN"/>
          <w14:textFill>
            <w14:solidFill>
              <w14:schemeClr w14:val="tx1"/>
            </w14:solidFill>
          </w14:textFill>
        </w:rPr>
        <w:t>本合同所指</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zh-CN"/>
          <w14:textFill>
            <w14:solidFill>
              <w14:schemeClr w14:val="tx1"/>
            </w14:solidFill>
          </w14:textFill>
        </w:rPr>
        <w:t>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备件</w:t>
      </w:r>
      <w:r>
        <w:rPr>
          <w:rFonts w:hint="eastAsia" w:ascii="宋体" w:hAnsi="宋体" w:eastAsia="宋体" w:cs="宋体"/>
          <w:color w:val="000000" w:themeColor="text1"/>
          <w:kern w:val="0"/>
          <w:sz w:val="28"/>
          <w:szCs w:val="28"/>
          <w:highlight w:val="none"/>
          <w:lang w:val="zh-CN"/>
          <w14:textFill>
            <w14:solidFill>
              <w14:schemeClr w14:val="tx1"/>
            </w14:solidFill>
          </w14:textFill>
        </w:rPr>
        <w:t>全新的原装产品，</w:t>
      </w:r>
      <w:r>
        <w:rPr>
          <w:rFonts w:hint="eastAsia" w:ascii="宋体" w:hAnsi="宋体" w:eastAsia="宋体" w:cs="宋体"/>
          <w:color w:val="000000" w:themeColor="text1"/>
          <w:kern w:val="0"/>
          <w:sz w:val="28"/>
          <w:szCs w:val="28"/>
          <w:highlight w:val="none"/>
          <w14:textFill>
            <w14:solidFill>
              <w14:schemeClr w14:val="tx1"/>
            </w14:solidFill>
          </w14:textFill>
        </w:rPr>
        <w:t>其</w:t>
      </w:r>
      <w:r>
        <w:rPr>
          <w:rFonts w:hint="eastAsia" w:ascii="宋体" w:hAnsi="宋体" w:eastAsia="宋体" w:cs="宋体"/>
          <w:color w:val="000000" w:themeColor="text1"/>
          <w:kern w:val="0"/>
          <w:sz w:val="28"/>
          <w:szCs w:val="28"/>
          <w:highlight w:val="none"/>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品牌</w:t>
      </w:r>
      <w:r>
        <w:rPr>
          <w:rFonts w:hint="eastAsia" w:ascii="宋体" w:hAnsi="宋体" w:eastAsia="宋体" w:cs="宋体"/>
          <w:color w:val="000000" w:themeColor="text1"/>
          <w:kern w:val="0"/>
          <w:sz w:val="28"/>
          <w:szCs w:val="28"/>
          <w:highlight w:val="none"/>
          <w:lang w:val="zh-CN"/>
          <w14:textFill>
            <w14:solidFill>
              <w14:schemeClr w14:val="tx1"/>
            </w14:solidFill>
          </w14:textFill>
        </w:rPr>
        <w:t>详见</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附件报价清单。</w:t>
      </w:r>
      <w:bookmarkStart w:id="79" w:name="_Toc17140"/>
      <w:bookmarkStart w:id="80" w:name="_Toc520190027"/>
      <w:bookmarkStart w:id="81" w:name="_Toc518992987"/>
      <w:bookmarkStart w:id="82" w:name="_Toc474245211"/>
    </w:p>
    <w:bookmarkEnd w:id="79"/>
    <w:p>
      <w:pPr>
        <w:keepNext w:val="0"/>
        <w:keepLines w:val="0"/>
        <w:pageBreakBefore w:val="0"/>
        <w:kinsoku/>
        <w:wordWrap/>
        <w:overflowPunct/>
        <w:topLinePunct w:val="0"/>
        <w:bidi w:val="0"/>
        <w:snapToGrid/>
        <w:spacing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83" w:name="_Toc183666514"/>
      <w:bookmarkStart w:id="84" w:name="_Toc107446842"/>
      <w:bookmarkStart w:id="85" w:name="_Toc26357"/>
      <w:bookmarkStart w:id="86" w:name="_Toc107447235"/>
      <w:r>
        <w:rPr>
          <w:rFonts w:hint="eastAsia" w:ascii="宋体" w:hAnsi="宋体" w:eastAsia="宋体" w:cs="宋体"/>
          <w:b/>
          <w:color w:val="000000" w:themeColor="text1"/>
          <w:sz w:val="28"/>
          <w:szCs w:val="28"/>
          <w:highlight w:val="none"/>
          <w14:textFill>
            <w14:solidFill>
              <w14:schemeClr w14:val="tx1"/>
            </w14:solidFill>
          </w14:textFill>
        </w:rPr>
        <w:t>第三条 交货日期及地点</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3.1</w:t>
      </w:r>
      <w:r>
        <w:rPr>
          <w:rFonts w:hint="eastAsia" w:ascii="宋体" w:hAnsi="宋体" w:eastAsia="宋体" w:cs="宋体"/>
          <w:color w:val="000000" w:themeColor="text1"/>
          <w:sz w:val="28"/>
          <w:szCs w:val="28"/>
          <w:highlight w:val="none"/>
          <w:lang w:val="en-US" w:eastAsia="zh-CN"/>
          <w14:textFill>
            <w14:solidFill>
              <w14:schemeClr w14:val="tx1"/>
            </w14:solidFill>
          </w14:textFill>
        </w:rPr>
        <w:t>交货日期：</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3.2交货地点：</w:t>
      </w:r>
      <w:r>
        <w:rPr>
          <w:rFonts w:hint="eastAsia" w:ascii="宋体" w:hAnsi="宋体" w:cs="宋体"/>
          <w:bCs/>
          <w:color w:val="000000" w:themeColor="text1"/>
          <w:sz w:val="28"/>
          <w:szCs w:val="28"/>
          <w:highlight w:val="none"/>
          <w:u w:val="single"/>
          <w:lang w:val="en-US" w:eastAsia="zh-CN"/>
          <w14:textFill>
            <w14:solidFill>
              <w14:schemeClr w14:val="tx1"/>
            </w14:solidFill>
          </w14:textFill>
        </w:rPr>
        <w:t>广州市净水有限公司大沙地分公司</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highlight w:val="none"/>
          <w:u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最终具体交货地点以甲方通知为准。</w:t>
      </w:r>
    </w:p>
    <w:p>
      <w:pPr>
        <w:keepNext w:val="0"/>
        <w:keepLines w:val="0"/>
        <w:pageBreakBefore w:val="0"/>
        <w:kinsoku/>
        <w:wordWrap/>
        <w:overflowPunct/>
        <w:topLinePunct w:val="0"/>
        <w:bidi w:val="0"/>
        <w:snapToGrid/>
        <w:spacing w:after="120" w:afterLines="50" w:line="520" w:lineRule="exact"/>
        <w:ind w:firstLine="560" w:firstLineChars="200"/>
        <w:textAlignment w:val="auto"/>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3.3 其他：</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 xml:space="preserve"> </w:t>
      </w:r>
    </w:p>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第四条 合同价格</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4.1 </w:t>
      </w:r>
      <w:r>
        <w:rPr>
          <w:rFonts w:hint="eastAsia" w:ascii="宋体" w:hAnsi="宋体" w:eastAsia="宋体" w:cs="宋体"/>
          <w:color w:val="000000" w:themeColor="text1"/>
          <w:kern w:val="0"/>
          <w:sz w:val="28"/>
          <w:szCs w:val="28"/>
          <w:highlight w:val="none"/>
          <w:lang w:val="zh-CN"/>
          <w14:textFill>
            <w14:solidFill>
              <w14:schemeClr w14:val="tx1"/>
            </w14:solidFill>
          </w14:textFill>
        </w:rPr>
        <w:t>本合同</w:t>
      </w:r>
      <w:r>
        <w:rPr>
          <w:rFonts w:hint="eastAsia" w:ascii="宋体" w:hAnsi="宋体" w:eastAsia="宋体" w:cs="宋体"/>
          <w:color w:val="000000" w:themeColor="text1"/>
          <w:kern w:val="0"/>
          <w:sz w:val="28"/>
          <w:szCs w:val="28"/>
          <w:highlight w:val="none"/>
          <w14:textFill>
            <w14:solidFill>
              <w14:schemeClr w14:val="tx1"/>
            </w14:solidFill>
          </w14:textFill>
        </w:rPr>
        <w:t>暂定</w:t>
      </w:r>
      <w:r>
        <w:rPr>
          <w:rFonts w:hint="eastAsia" w:ascii="宋体" w:hAnsi="宋体" w:eastAsia="宋体" w:cs="宋体"/>
          <w:color w:val="000000" w:themeColor="text1"/>
          <w:kern w:val="0"/>
          <w:sz w:val="28"/>
          <w:szCs w:val="28"/>
          <w:highlight w:val="none"/>
          <w:lang w:val="zh-CN"/>
          <w14:textFill>
            <w14:solidFill>
              <w14:schemeClr w14:val="tx1"/>
            </w14:solidFill>
          </w14:textFill>
        </w:rPr>
        <w:t>总价为</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万元，（人民币）大写：</w:t>
      </w:r>
      <w:r>
        <w:rPr>
          <w:rFonts w:hint="eastAsia" w:ascii="宋体" w:hAnsi="宋体" w:eastAsia="宋体" w:cs="宋体"/>
          <w:color w:val="000000" w:themeColor="text1"/>
          <w:kern w:val="0"/>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8"/>
          <w:szCs w:val="28"/>
          <w:highlight w:val="none"/>
          <w:lang w:val="zh-CN"/>
          <w14:textFill>
            <w14:solidFill>
              <w14:schemeClr w14:val="tx1"/>
            </w14:solidFill>
          </w14:textFill>
        </w:rPr>
        <w:t xml:space="preserve">。 </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.2</w:t>
      </w:r>
      <w:r>
        <w:rPr>
          <w:rFonts w:hint="eastAsia" w:ascii="宋体" w:hAnsi="宋体" w:eastAsia="宋体" w:cs="宋体"/>
          <w:color w:val="000000" w:themeColor="text1"/>
          <w:kern w:val="0"/>
          <w:sz w:val="28"/>
          <w:szCs w:val="28"/>
          <w:highlight w:val="none"/>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指导安装调试运行</w:t>
      </w:r>
      <w:r>
        <w:rPr>
          <w:rFonts w:hint="eastAsia" w:ascii="宋体" w:hAnsi="宋体" w:eastAsia="宋体" w:cs="宋体"/>
          <w:color w:val="000000" w:themeColor="text1"/>
          <w:kern w:val="0"/>
          <w:sz w:val="28"/>
          <w:szCs w:val="28"/>
          <w:highlight w:val="none"/>
          <w:u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zh-CN"/>
          <w14:textFill>
            <w14:solidFill>
              <w14:schemeClr w14:val="tx1"/>
            </w14:solidFill>
          </w14:textFill>
        </w:rPr>
        <w:t>具体按“采购需求”）、质量抽检、培训、相关税费、保险费、物货伴随服务（包括安装使用说明书、图纸的提供、质保期服务）等全部费用。</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4</w:t>
      </w:r>
      <w:r>
        <w:rPr>
          <w:rFonts w:hint="eastAsia" w:ascii="宋体" w:hAnsi="宋体" w:eastAsia="宋体" w:cs="宋体"/>
          <w:color w:val="000000" w:themeColor="text1"/>
          <w:kern w:val="0"/>
          <w:sz w:val="28"/>
          <w:szCs w:val="28"/>
          <w:highlight w:val="none"/>
          <w:lang w:val="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highlight w:val="none"/>
          <w14:textFill>
            <w14:solidFill>
              <w14:schemeClr w14:val="tx1"/>
            </w14:solidFill>
          </w14:textFill>
        </w:rPr>
        <w:t>（税率</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pPr>
        <w:keepNext w:val="0"/>
        <w:keepLines w:val="0"/>
        <w:pageBreakBefore w:val="0"/>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87" w:name="_Toc474245213"/>
      <w:bookmarkStart w:id="88" w:name="_Toc518992989"/>
      <w:bookmarkStart w:id="89" w:name="_Toc520190029"/>
      <w:bookmarkStart w:id="90" w:name="_Toc107447236"/>
      <w:bookmarkStart w:id="91" w:name="_Toc107446843"/>
      <w:r>
        <w:rPr>
          <w:rFonts w:hint="eastAsia" w:ascii="宋体" w:hAnsi="宋体" w:eastAsia="宋体" w:cs="宋体"/>
          <w:b/>
          <w:color w:val="000000" w:themeColor="text1"/>
          <w:sz w:val="28"/>
          <w:szCs w:val="28"/>
          <w:highlight w:val="none"/>
          <w14:textFill>
            <w14:solidFill>
              <w14:schemeClr w14:val="tx1"/>
            </w14:solidFill>
          </w14:textFill>
        </w:rPr>
        <w:t>第五条 支付方式</w:t>
      </w:r>
      <w:bookmarkEnd w:id="87"/>
      <w:bookmarkEnd w:id="88"/>
      <w:bookmarkEnd w:id="89"/>
    </w:p>
    <w:bookmarkEnd w:id="90"/>
    <w:bookmarkEnd w:id="91"/>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92" w:name="_Toc183666516"/>
      <w:bookmarkStart w:id="93" w:name="_Toc14703"/>
      <w:r>
        <w:rPr>
          <w:rFonts w:hint="eastAsia" w:ascii="宋体" w:hAnsi="宋体" w:eastAsia="宋体" w:cs="宋体"/>
          <w:color w:val="000000" w:themeColor="text1"/>
          <w:sz w:val="28"/>
          <w:szCs w:val="28"/>
          <w:highlight w:val="none"/>
          <w14:textFill>
            <w14:solidFill>
              <w14:schemeClr w14:val="tx1"/>
            </w14:solidFill>
          </w14:textFill>
        </w:rPr>
        <w:t>5.1</w:t>
      </w:r>
      <w:r>
        <w:rPr>
          <w:rFonts w:hint="eastAsia" w:ascii="宋体" w:hAnsi="宋体" w:eastAsia="宋体" w:cs="宋体"/>
          <w:bCs/>
          <w:color w:val="000000" w:themeColor="text1"/>
          <w:sz w:val="28"/>
          <w:szCs w:val="28"/>
          <w:highlight w:val="none"/>
          <w14:textFill>
            <w14:solidFill>
              <w14:schemeClr w14:val="tx1"/>
            </w14:solidFill>
          </w14:textFill>
        </w:rPr>
        <w:t>预付款的支付：</w:t>
      </w:r>
      <w:r>
        <w:rPr>
          <w:rFonts w:hint="eastAsia" w:ascii="宋体" w:hAnsi="宋体" w:eastAsia="宋体" w:cs="宋体"/>
          <w:bCs/>
          <w:color w:val="000000" w:themeColor="text1"/>
          <w:sz w:val="28"/>
          <w:szCs w:val="28"/>
          <w:highlight w:val="none"/>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bCs/>
          <w:color w:val="000000" w:themeColor="text1"/>
          <w:sz w:val="28"/>
          <w:szCs w:val="28"/>
          <w:highlight w:val="none"/>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highlight w:val="none"/>
          <w:u w:val="single"/>
          <w14:textFill>
            <w14:solidFill>
              <w14:schemeClr w14:val="tx1"/>
            </w14:solidFill>
          </w14:textFill>
        </w:rPr>
        <w:t>及</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提交预付款担保</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/履约担保（如需）</w:t>
      </w:r>
      <w:r>
        <w:rPr>
          <w:rFonts w:hint="eastAsia" w:ascii="宋体" w:hAnsi="宋体" w:eastAsia="宋体" w:cs="宋体"/>
          <w:bCs/>
          <w:color w:val="000000" w:themeColor="text1"/>
          <w:sz w:val="28"/>
          <w:szCs w:val="28"/>
          <w:highlight w:val="none"/>
          <w14:textFill>
            <w14:solidFill>
              <w14:schemeClr w14:val="tx1"/>
            </w14:solidFill>
          </w14:textFill>
        </w:rPr>
        <w:t>后</w:t>
      </w:r>
      <w:r>
        <w:rPr>
          <w:rFonts w:hint="eastAsia" w:ascii="宋体" w:hAnsi="宋体" w:eastAsia="宋体" w:cs="宋体"/>
          <w:bCs/>
          <w:color w:val="000000" w:themeColor="text1"/>
          <w:sz w:val="28"/>
          <w:szCs w:val="28"/>
          <w:highlight w:val="none"/>
          <w:u w:val="single"/>
          <w14:textFill>
            <w14:solidFill>
              <w14:schemeClr w14:val="tx1"/>
            </w14:solidFill>
          </w14:textFill>
        </w:rPr>
        <w:t>10</w:t>
      </w:r>
      <w:r>
        <w:rPr>
          <w:rFonts w:hint="eastAsia" w:ascii="宋体" w:hAnsi="宋体" w:eastAsia="宋体" w:cs="宋体"/>
          <w:bCs/>
          <w:color w:val="000000" w:themeColor="text1"/>
          <w:sz w:val="28"/>
          <w:szCs w:val="28"/>
          <w:highlight w:val="none"/>
          <w14:textFill>
            <w14:solidFill>
              <w14:schemeClr w14:val="tx1"/>
            </w14:solidFill>
          </w14:textFill>
        </w:rPr>
        <w:t>个工作日内，</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bCs/>
          <w:color w:val="000000" w:themeColor="text1"/>
          <w:sz w:val="28"/>
          <w:szCs w:val="28"/>
          <w:highlight w:val="none"/>
          <w14:textFill>
            <w14:solidFill>
              <w14:schemeClr w14:val="tx1"/>
            </w14:solidFill>
          </w14:textFill>
        </w:rPr>
        <w:t xml:space="preserve">支付合同暂定总价的 </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即</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元，（大写：</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作为预付款</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若合同解除或终止，乙方在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highlight w:val="none"/>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highlight w:val="none"/>
          <w:u w:val="single"/>
          <w14:textFill>
            <w14:solidFill>
              <w14:schemeClr w14:val="tx1"/>
            </w14:solidFill>
          </w14:textFill>
        </w:rPr>
        <w:t>万分之五/天</w:t>
      </w:r>
      <w:r>
        <w:rPr>
          <w:rFonts w:hint="eastAsia" w:ascii="宋体" w:hAnsi="宋体" w:eastAsia="宋体" w:cs="宋体"/>
          <w:bCs/>
          <w:color w:val="000000" w:themeColor="text1"/>
          <w:kern w:val="0"/>
          <w:sz w:val="28"/>
          <w:szCs w:val="28"/>
          <w:highlight w:val="none"/>
          <w14:textFill>
            <w14:solidFill>
              <w14:schemeClr w14:val="tx1"/>
            </w14:solidFill>
          </w14:textFill>
        </w:rPr>
        <w:t>支付违约金</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after="0" w:line="520" w:lineRule="exact"/>
        <w:ind w:left="479" w:leftChars="228" w:firstLine="0" w:firstLineChars="0"/>
        <w:textAlignment w:val="auto"/>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 支付方式</w:t>
      </w:r>
    </w:p>
    <w:p>
      <w:pPr>
        <w:keepNext w:val="0"/>
        <w:keepLines w:val="0"/>
        <w:pageBreakBefore w:val="0"/>
        <w:tabs>
          <w:tab w:val="left" w:pos="851"/>
        </w:tabs>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5.2.1乙方按时交付合同货物后，</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向乙方支付至该批次设备合同价格的</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80</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。当预付款不足抵扣时，</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在该部分设备经检验合格及收到等额的增值税专用发票后</w:t>
      </w:r>
      <w:r>
        <w:rPr>
          <w:rFonts w:hint="eastAsia" w:ascii="宋体" w:hAnsi="宋体" w:eastAsia="宋体" w:cs="宋体"/>
          <w:color w:val="000000" w:themeColor="text1"/>
          <w:sz w:val="28"/>
          <w:szCs w:val="28"/>
          <w:highlight w:val="none"/>
          <w:u w:val="single"/>
          <w14:textFill>
            <w14:solidFill>
              <w14:schemeClr w14:val="tx1"/>
            </w14:solidFill>
          </w14:textFill>
        </w:rPr>
        <w:t> 28 </w:t>
      </w:r>
      <w:r>
        <w:rPr>
          <w:rFonts w:hint="eastAsia" w:ascii="宋体" w:hAnsi="宋体" w:eastAsia="宋体" w:cs="宋体"/>
          <w:color w:val="000000" w:themeColor="text1"/>
          <w:sz w:val="28"/>
          <w:szCs w:val="28"/>
          <w:highlight w:val="none"/>
          <w14:textFill>
            <w14:solidFill>
              <w14:schemeClr w14:val="tx1"/>
            </w14:solidFill>
          </w14:textFill>
        </w:rPr>
        <w:t>日内向乙方支付至该批次设备合同价格的</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80</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5.2.2乙方按合同约定交付全部合同设备后，经甲方结算审核后，</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甲方</w:t>
      </w:r>
      <w:r>
        <w:rPr>
          <w:rFonts w:hint="eastAsia" w:ascii="宋体" w:hAnsi="宋体" w:eastAsia="宋体" w:cs="宋体"/>
          <w:i w:val="0"/>
          <w:iCs w:val="0"/>
          <w:color w:val="000000" w:themeColor="text1"/>
          <w:sz w:val="28"/>
          <w:szCs w:val="28"/>
          <w:highlight w:val="none"/>
          <w:u w:val="single"/>
          <w:lang w:eastAsia="zh-CN"/>
          <w14:textFill>
            <w14:solidFill>
              <w14:schemeClr w14:val="tx1"/>
            </w14:solidFill>
          </w14:textFill>
        </w:rPr>
        <w:t>或甲方</w:t>
      </w:r>
      <w:r>
        <w:rPr>
          <w:rFonts w:hint="eastAsia" w:ascii="宋体" w:hAnsi="宋体" w:eastAsia="宋体" w:cs="宋体"/>
          <w:i w:val="0"/>
          <w:iCs w:val="0"/>
          <w:color w:val="000000" w:themeColor="text1"/>
          <w:sz w:val="28"/>
          <w:szCs w:val="28"/>
          <w:highlight w:val="none"/>
          <w:u w:val="single"/>
          <w14:textFill>
            <w14:solidFill>
              <w14:schemeClr w14:val="tx1"/>
            </w14:solidFill>
          </w14:textFill>
        </w:rPr>
        <w:t>属下分公司</w:t>
      </w:r>
      <w:r>
        <w:rPr>
          <w:rFonts w:hint="eastAsia" w:ascii="宋体" w:hAnsi="宋体" w:eastAsia="宋体" w:cs="宋体"/>
          <w:color w:val="000000" w:themeColor="text1"/>
          <w:sz w:val="28"/>
          <w:szCs w:val="28"/>
          <w:highlight w:val="none"/>
          <w:u w:val="single"/>
          <w14:textFill>
            <w14:solidFill>
              <w14:schemeClr w14:val="tx1"/>
            </w14:solidFill>
          </w14:textFill>
        </w:rPr>
        <w:t>分别</w:t>
      </w:r>
      <w:r>
        <w:rPr>
          <w:rFonts w:hint="eastAsia" w:ascii="宋体" w:hAnsi="宋体" w:eastAsia="宋体" w:cs="宋体"/>
          <w:color w:val="000000" w:themeColor="text1"/>
          <w:sz w:val="28"/>
          <w:szCs w:val="28"/>
          <w:highlight w:val="none"/>
          <w14:textFill>
            <w14:solidFill>
              <w14:schemeClr w14:val="tx1"/>
            </w14:solidFill>
          </w14:textFill>
        </w:rPr>
        <w:t>收到等额的增值税专用发票后</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个工作日内，支付至合同结算</w:t>
      </w:r>
      <w:r>
        <w:rPr>
          <w:rFonts w:hint="eastAsia" w:ascii="宋体" w:hAnsi="宋体" w:cs="宋体"/>
          <w:color w:val="000000" w:themeColor="text1"/>
          <w:sz w:val="28"/>
          <w:szCs w:val="28"/>
          <w:highlight w:val="none"/>
          <w:lang w:val="en-US" w:eastAsia="zh-CN"/>
          <w14:textFill>
            <w14:solidFill>
              <w14:schemeClr w14:val="tx1"/>
            </w14:solidFill>
          </w14:textFill>
        </w:rPr>
        <w:t>审定</w:t>
      </w:r>
      <w:r>
        <w:rPr>
          <w:rFonts w:hint="eastAsia" w:ascii="宋体" w:hAnsi="宋体" w:eastAsia="宋体" w:cs="宋体"/>
          <w:color w:val="000000" w:themeColor="text1"/>
          <w:sz w:val="28"/>
          <w:szCs w:val="28"/>
          <w:highlight w:val="none"/>
          <w14:textFill>
            <w14:solidFill>
              <w14:schemeClr w14:val="tx1"/>
            </w14:solidFill>
          </w14:textFill>
        </w:rPr>
        <w:t>价的95%（含预付款）（若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审核价低于合同暂定总价，则以</w:t>
      </w:r>
      <w:r>
        <w:rPr>
          <w:rFonts w:hint="eastAsia" w:ascii="宋体" w:hAnsi="宋体" w:cs="宋体"/>
          <w:color w:val="000000" w:themeColor="text1"/>
          <w:sz w:val="28"/>
          <w:szCs w:val="28"/>
          <w:highlight w:val="none"/>
          <w:lang w:val="en-US" w:eastAsia="zh-CN"/>
          <w14:textFill>
            <w14:solidFill>
              <w14:schemeClr w14:val="tx1"/>
            </w14:solidFill>
          </w14:textFill>
        </w:rPr>
        <w:t>结算</w:t>
      </w:r>
      <w:r>
        <w:rPr>
          <w:rFonts w:hint="eastAsia" w:ascii="宋体" w:hAnsi="宋体" w:eastAsia="宋体" w:cs="宋体"/>
          <w:color w:val="000000" w:themeColor="text1"/>
          <w:sz w:val="28"/>
          <w:szCs w:val="28"/>
          <w:highlight w:val="none"/>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5.2.3质保期按合同规定执行，质保期满且乙方不存在违约情形，乙方提交请款资料及等额增值税专用发票，甲方审核无误后在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highlight w:val="none"/>
          <w:u w:val="single"/>
          <w14:textFill>
            <w14:solidFill>
              <w14:schemeClr w14:val="tx1"/>
            </w14:solidFill>
          </w14:textFill>
        </w:rPr>
        <w:t> 15 </w:t>
      </w:r>
      <w:r>
        <w:rPr>
          <w:rFonts w:hint="eastAsia" w:ascii="宋体" w:hAnsi="宋体" w:eastAsia="宋体" w:cs="宋体"/>
          <w:color w:val="000000" w:themeColor="text1"/>
          <w:sz w:val="28"/>
          <w:szCs w:val="28"/>
          <w:highlight w:val="none"/>
          <w14:textFill>
            <w14:solidFill>
              <w14:schemeClr w14:val="tx1"/>
            </w14:solidFill>
          </w14:textFill>
        </w:rPr>
        <w:t>个工作日内支付合同结算价的5％（质保金）给乙方(无息)。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乙方收款账户：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收款账号：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5.2.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乙方在收款前需向甲方提交等额增值税专用发票，增值税专用发票信息：</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名称：广州市净水有限公司</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税号：</w:t>
      </w:r>
      <w:r>
        <w:rPr>
          <w:rFonts w:hint="eastAsia" w:ascii="宋体" w:hAnsi="宋体" w:eastAsia="宋体" w:cs="宋体"/>
          <w:color w:val="000000" w:themeColor="text1"/>
          <w:sz w:val="28"/>
          <w:szCs w:val="28"/>
          <w:highlight w:val="none"/>
          <w:u w:val="single"/>
          <w14:textFill>
            <w14:solidFill>
              <w14:schemeClr w14:val="tx1"/>
            </w14:solidFill>
          </w14:textFill>
        </w:rPr>
        <w:t>91440101755584729Q</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地址及电话：</w:t>
      </w:r>
      <w:r>
        <w:rPr>
          <w:rFonts w:hint="eastAsia" w:ascii="宋体" w:hAnsi="宋体" w:eastAsia="宋体" w:cs="宋体"/>
          <w:color w:val="000000" w:themeColor="text1"/>
          <w:sz w:val="28"/>
          <w:szCs w:val="28"/>
          <w:highlight w:val="none"/>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开户行/账号：</w:t>
      </w:r>
      <w:r>
        <w:rPr>
          <w:rFonts w:hint="eastAsia" w:ascii="宋体" w:hAnsi="宋体" w:eastAsia="宋体" w:cs="宋体"/>
          <w:color w:val="000000" w:themeColor="text1"/>
          <w:sz w:val="28"/>
          <w:szCs w:val="28"/>
          <w:highlight w:val="none"/>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highlight w:val="none"/>
          <w14:textFill>
            <w14:solidFill>
              <w14:schemeClr w14:val="tx1"/>
            </w14:solidFill>
          </w14:textFill>
        </w:rPr>
        <w:t>。</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5.3付款方式： </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color w:val="000000" w:themeColor="text1"/>
          <w:sz w:val="28"/>
          <w:szCs w:val="28"/>
          <w:highlight w:val="none"/>
          <w14:textFill>
            <w14:solidFill>
              <w14:schemeClr w14:val="tx1"/>
            </w14:solidFill>
          </w14:textFill>
        </w:rPr>
        <w:t xml:space="preserve">网银支付；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支票；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color w:val="000000" w:themeColor="text1"/>
          <w:sz w:val="28"/>
          <w:szCs w:val="28"/>
          <w:highlight w:val="none"/>
          <w14:textFill>
            <w14:solidFill>
              <w14:schemeClr w14:val="tx1"/>
            </w14:solidFill>
          </w14:textFill>
        </w:rPr>
        <w:t xml:space="preserve">其他：       </w:t>
      </w:r>
    </w:p>
    <w:p>
      <w:pPr>
        <w:keepNext w:val="0"/>
        <w:keepLines w:val="0"/>
        <w:pageBreakBefore w:val="0"/>
        <w:numPr>
          <w:ilvl w:val="0"/>
          <w:numId w:val="5"/>
        </w:numPr>
        <w:kinsoku/>
        <w:wordWrap/>
        <w:overflowPunct/>
        <w:topLinePunct w:val="0"/>
        <w:autoSpaceDE w:val="0"/>
        <w:autoSpaceDN w:val="0"/>
        <w:bidi w:val="0"/>
        <w:adjustRightInd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履约担保</w:t>
      </w:r>
      <w:r>
        <w:rPr>
          <w:rFonts w:hint="eastAsia" w:ascii="宋体" w:hAnsi="宋体" w:cs="宋体"/>
          <w:b/>
          <w:color w:val="000000" w:themeColor="text1"/>
          <w:sz w:val="28"/>
          <w:szCs w:val="28"/>
          <w:highlight w:val="none"/>
          <w:lang w:val="en-US" w:eastAsia="zh-CN"/>
          <w14:textFill>
            <w14:solidFill>
              <w14:schemeClr w14:val="tx1"/>
            </w14:solidFill>
          </w14:textFill>
        </w:rPr>
        <w:t>及预付款保函</w:t>
      </w:r>
    </w:p>
    <w:p>
      <w:pPr>
        <w:keepNext w:val="0"/>
        <w:keepLines w:val="0"/>
        <w:pageBreakBefore w:val="0"/>
        <w:kinsoku/>
        <w:wordWrap/>
        <w:overflowPunct/>
        <w:topLinePunct w:val="0"/>
        <w:bidi w:val="0"/>
        <w:snapToGrid/>
        <w:spacing w:after="0" w:line="520" w:lineRule="exact"/>
        <w:ind w:firstLine="560" w:firstLineChars="200"/>
        <w:textAlignment w:val="auto"/>
        <w:outlineLvl w:val="0"/>
        <w:rPr>
          <w:rFonts w:hint="eastAsia" w:ascii="宋体" w:hAnsi="宋体" w:eastAsia="宋体" w:cs="宋体"/>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履约担保：</w:t>
      </w:r>
      <w:r>
        <w:rPr>
          <w:rFonts w:hint="eastAsia" w:ascii="宋体" w:hAnsi="宋体" w:eastAsia="宋体" w:cs="宋体"/>
          <w:color w:val="000000" w:themeColor="text1"/>
          <w:sz w:val="28"/>
          <w:szCs w:val="28"/>
          <w:highlight w:val="none"/>
          <w14:textFill>
            <w14:solidFill>
              <w14:schemeClr w14:val="tx1"/>
            </w14:solidFill>
          </w14:textFill>
        </w:rPr>
        <w:sym w:font="Wingdings" w:char="00FE"/>
      </w:r>
      <w:r>
        <w:rPr>
          <w:rFonts w:hint="eastAsia" w:ascii="宋体" w:hAnsi="宋体" w:eastAsia="宋体" w:cs="宋体"/>
          <w:bCs/>
          <w:color w:val="000000" w:themeColor="text1"/>
          <w:sz w:val="28"/>
          <w:szCs w:val="28"/>
          <w:highlight w:val="none"/>
          <w14:textFill>
            <w14:solidFill>
              <w14:schemeClr w14:val="tx1"/>
            </w14:solidFill>
          </w14:textFill>
        </w:rPr>
        <w:t xml:space="preserve">无；   </w:t>
      </w:r>
      <w:r>
        <w:rPr>
          <w:rFonts w:hint="eastAsia" w:ascii="宋体" w:hAnsi="宋体" w:eastAsia="宋体" w:cs="宋体"/>
          <w:color w:val="000000" w:themeColor="text1"/>
          <w:sz w:val="28"/>
          <w:szCs w:val="28"/>
          <w:highlight w:val="none"/>
          <w14:textFill>
            <w14:solidFill>
              <w14:schemeClr w14:val="tx1"/>
            </w14:solidFill>
          </w14:textFill>
        </w:rPr>
        <w:sym w:font="Wingdings" w:char="00A8"/>
      </w:r>
      <w:r>
        <w:rPr>
          <w:rFonts w:hint="eastAsia" w:ascii="宋体" w:hAnsi="宋体" w:eastAsia="宋体" w:cs="宋体"/>
          <w:bCs/>
          <w:color w:val="000000" w:themeColor="text1"/>
          <w:sz w:val="28"/>
          <w:szCs w:val="28"/>
          <w:highlight w:val="none"/>
          <w:lang w:val="en-US" w:eastAsia="zh-CN"/>
          <w14:textFill>
            <w14:solidFill>
              <w14:schemeClr w14:val="tx1"/>
            </w14:solidFill>
          </w14:textFill>
        </w:rPr>
        <w:t>有</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本合同签订后10日内</w:t>
      </w:r>
      <w:r>
        <w:rPr>
          <w:rFonts w:hint="eastAsia" w:ascii="宋体" w:hAnsi="宋体" w:eastAsia="宋体" w:cs="宋体"/>
          <w:color w:val="000000" w:themeColor="text1"/>
          <w:sz w:val="28"/>
          <w:szCs w:val="28"/>
          <w:highlight w:val="none"/>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highlight w:val="none"/>
          <w14:textFill>
            <w14:solidFill>
              <w14:schemeClr w14:val="tx1"/>
            </w14:solidFill>
          </w14:textFill>
        </w:rPr>
        <w:t>金额为：</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（大写人民币：</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8"/>
          <w:szCs w:val="28"/>
          <w:highlight w:val="none"/>
          <w:u w:val="none"/>
          <w14:textFill>
            <w14:solidFill>
              <w14:schemeClr w14:val="tx1"/>
            </w14:solidFill>
          </w14:textFill>
        </w:rPr>
        <w:t>）。</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6.2履约担保按以下任一种形式提供：</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1、符合甲方要求（详见附件保函格式）的银行独立保函，</w:t>
      </w:r>
    </w:p>
    <w:p>
      <w:pPr>
        <w:pStyle w:val="21"/>
        <w:keepNext w:val="0"/>
        <w:keepLines w:val="0"/>
        <w:pageBreakBefore w:val="0"/>
        <w:kinsoku/>
        <w:wordWrap/>
        <w:overflowPunct/>
        <w:topLinePunct w:val="0"/>
        <w:bidi w:val="0"/>
        <w:snapToGrid/>
        <w:spacing w:before="0" w:beforeAutospacing="0" w:after="0" w:afterAutospacing="0" w:line="520" w:lineRule="exact"/>
        <w:ind w:firstLine="48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2、现金转账至甲方以下指定账户：</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户名：广州市净水有限公司</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账号：82010154900000342</w:t>
      </w:r>
    </w:p>
    <w:p>
      <w:pPr>
        <w:keepNext w:val="0"/>
        <w:keepLines w:val="0"/>
        <w:pageBreakBefore w:val="0"/>
        <w:tabs>
          <w:tab w:val="left" w:pos="1995"/>
        </w:tabs>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开户行：浦发银行广州分行</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t>履约担保的担保期限和返还</w:t>
      </w:r>
    </w:p>
    <w:p>
      <w:pPr>
        <w:keepNext w:val="0"/>
        <w:keepLines w:val="0"/>
        <w:pageBreakBefore w:val="0"/>
        <w:kinsoku/>
        <w:wordWrap/>
        <w:overflowPunct/>
        <w:topLinePunct w:val="0"/>
        <w:bidi w:val="0"/>
        <w:snapToGrid/>
        <w:spacing w:line="520" w:lineRule="exact"/>
        <w:ind w:firstLine="48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履约银行保函（或现金履约保证金）的担保期限：从提供履约担保（或转账成功）之日起至合同履行完成。</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6.</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t xml:space="preserve">履约银行保函在合同履行完成后，由乙方提出申请，甲方在28日内返还，不支付利息； </w:t>
      </w:r>
    </w:p>
    <w:p>
      <w:pPr>
        <w:keepNext w:val="0"/>
        <w:keepLines w:val="0"/>
        <w:pageBreakBefore w:val="0"/>
        <w:kinsoku/>
        <w:wordWrap/>
        <w:overflowPunct/>
        <w:topLinePunct w:val="0"/>
        <w:bidi w:val="0"/>
        <w:snapToGrid/>
        <w:spacing w:line="520" w:lineRule="exact"/>
        <w:ind w:firstLine="560" w:firstLineChars="200"/>
        <w:textAlignment w:val="auto"/>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6.6</w:t>
      </w:r>
      <w:r>
        <w:rPr>
          <w:rFonts w:hint="eastAsia" w:ascii="宋体" w:hAnsi="宋体" w:eastAsia="宋体" w:cs="宋体"/>
          <w:color w:val="000000" w:themeColor="text1"/>
          <w:sz w:val="28"/>
          <w:szCs w:val="28"/>
          <w:highlight w:val="none"/>
          <w14:textFill>
            <w14:solidFill>
              <w14:schemeClr w14:val="tx1"/>
            </w14:solidFill>
          </w14:textFill>
        </w:rPr>
        <w:t>延长担保期限</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履约银行保函形式提交履约保证金的，在银行保函到期前，乙方应提前</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天向甲方提交新的保函以替换即将到期的保函。如乙方未及时提交的，甲方有权直接要求担保银行支付其担保的全部金额并解除合同。</w:t>
      </w:r>
    </w:p>
    <w:p>
      <w:pPr>
        <w:pStyle w:val="21"/>
        <w:keepNext w:val="0"/>
        <w:keepLines w:val="0"/>
        <w:pageBreakBefore w:val="0"/>
        <w:kinsoku/>
        <w:wordWrap/>
        <w:overflowPunct/>
        <w:topLinePunct w:val="0"/>
        <w:bidi w:val="0"/>
        <w:snapToGrid/>
        <w:spacing w:before="0" w:beforeAutospacing="0" w:after="0" w:afterAutospacing="0" w:line="520" w:lineRule="exact"/>
        <w:ind w:firstLine="525"/>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6.7</w:t>
      </w:r>
      <w:r>
        <w:rPr>
          <w:rFonts w:hint="eastAsia" w:ascii="宋体" w:hAnsi="宋体" w:eastAsia="宋体" w:cs="宋体"/>
          <w:color w:val="000000" w:themeColor="text1"/>
          <w:sz w:val="28"/>
          <w:szCs w:val="28"/>
          <w:highlight w:val="none"/>
          <w14:textFill>
            <w14:solidFill>
              <w14:schemeClr w14:val="tx1"/>
            </w14:solidFill>
          </w14:textFill>
        </w:rPr>
        <w:t>现金履约保证金的退还：合同履行完成后，由乙方提出申请，甲方在28天内将剩余履约保证金（无息）返还。</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6.8</w:t>
      </w:r>
      <w:r>
        <w:rPr>
          <w:rFonts w:hint="eastAsia" w:ascii="宋体" w:hAnsi="宋体" w:eastAsia="宋体" w:cs="宋体"/>
          <w:color w:val="000000" w:themeColor="text1"/>
          <w:sz w:val="28"/>
          <w:szCs w:val="28"/>
          <w:highlight w:val="none"/>
          <w14:textFill>
            <w14:solidFill>
              <w14:schemeClr w14:val="tx1"/>
            </w14:solidFill>
          </w14:textFill>
        </w:rPr>
        <w:t>甲方按合同约定提取履约担保金额后，乙方应在收到甲方通知后</w:t>
      </w:r>
      <w:r>
        <w:rPr>
          <w:rFonts w:hint="eastAsia" w:ascii="宋体" w:hAnsi="宋体" w:eastAsia="宋体" w:cs="宋体"/>
          <w:color w:val="000000" w:themeColor="text1"/>
          <w:sz w:val="28"/>
          <w:szCs w:val="28"/>
          <w:highlight w:val="none"/>
          <w:u w:val="single"/>
          <w14:textFill>
            <w14:solidFill>
              <w14:schemeClr w14:val="tx1"/>
            </w14:solidFill>
          </w14:textFill>
        </w:rPr>
        <w:t xml:space="preserve"> 7 </w:t>
      </w:r>
      <w:r>
        <w:rPr>
          <w:rFonts w:hint="eastAsia" w:ascii="宋体" w:hAnsi="宋体" w:eastAsia="宋体" w:cs="宋体"/>
          <w:color w:val="000000" w:themeColor="text1"/>
          <w:sz w:val="28"/>
          <w:szCs w:val="28"/>
          <w:highlight w:val="none"/>
          <w14:textFill>
            <w14:solidFill>
              <w14:schemeClr w14:val="tx1"/>
            </w14:solidFill>
          </w14:textFill>
        </w:rPr>
        <w:t>天内补足数额，逾期未补足，则甲方有权提取履约担保的全部余额并解除合同。</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6.9预付款保函</w:t>
      </w:r>
    </w:p>
    <w:p>
      <w:pPr>
        <w:spacing w:line="480" w:lineRule="exact"/>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6.9.1预付款保函的担保金额应与预付款金额相同。预付款保函的担保金额可根据完成的工作量的金额相应递减。</w:t>
      </w:r>
    </w:p>
    <w:p>
      <w:pPr>
        <w:pStyle w:val="7"/>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6.9.2预付款保函应与甲方确认相应完成的工作量后</w:t>
      </w:r>
      <w:r>
        <w:rPr>
          <w:rFonts w:hint="eastAsia" w:ascii="宋体" w:hAnsi="宋体" w:eastAsia="宋体" w:cs="宋体"/>
          <w:sz w:val="28"/>
          <w:szCs w:val="28"/>
          <w:highlight w:val="none"/>
          <w:u w:val="single"/>
          <w:lang w:val="en-US" w:eastAsia="zh-CN"/>
        </w:rPr>
        <w:t>14天</w:t>
      </w:r>
      <w:r>
        <w:rPr>
          <w:rFonts w:hint="eastAsia" w:ascii="宋体" w:hAnsi="宋体" w:eastAsia="宋体" w:cs="宋体"/>
          <w:sz w:val="28"/>
          <w:szCs w:val="28"/>
          <w:highlight w:val="none"/>
          <w:lang w:val="en-US" w:eastAsia="zh-CN"/>
        </w:rPr>
        <w:t>内退还给乙方。甲方不承当乙方与预付款保函有关的任何利息或其他类似的费用或收益。</w:t>
      </w:r>
    </w:p>
    <w:bookmarkEnd w:id="92"/>
    <w:bookmarkEnd w:id="93"/>
    <w:p>
      <w:pPr>
        <w:keepNext w:val="0"/>
        <w:keepLines w:val="0"/>
        <w:pageBreakBefore w:val="0"/>
        <w:kinsoku/>
        <w:wordWrap/>
        <w:overflowPunct/>
        <w:topLinePunct w:val="0"/>
        <w:bidi w:val="0"/>
        <w:snapToGrid/>
        <w:spacing w:after="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 xml:space="preserve">第七条 </w:t>
      </w:r>
      <w:r>
        <w:rPr>
          <w:rFonts w:hint="eastAsia" w:ascii="宋体" w:hAnsi="宋体" w:eastAsia="宋体" w:cs="宋体"/>
          <w:b/>
          <w:color w:val="000000" w:themeColor="text1"/>
          <w:sz w:val="28"/>
          <w:szCs w:val="28"/>
          <w:highlight w:val="none"/>
          <w14:textFill>
            <w14:solidFill>
              <w14:schemeClr w14:val="tx1"/>
            </w14:solidFill>
          </w14:textFill>
        </w:rPr>
        <w:t>交货及检验要求</w:t>
      </w:r>
    </w:p>
    <w:p>
      <w:pPr>
        <w:keepNext w:val="0"/>
        <w:keepLines w:val="0"/>
        <w:pageBreakBefore w:val="0"/>
        <w:kinsoku/>
        <w:wordWrap/>
        <w:overflowPunct/>
        <w:topLinePunct w:val="0"/>
        <w:autoSpaceDE w:val="0"/>
        <w:autoSpaceDN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w:t>
      </w:r>
      <w:r>
        <w:rPr>
          <w:rFonts w:hint="eastAsia" w:ascii="宋体" w:hAnsi="宋体" w:eastAsia="宋体" w:cs="宋体"/>
          <w:bCs/>
          <w:color w:val="000000" w:themeColor="text1"/>
          <w:sz w:val="28"/>
          <w:szCs w:val="28"/>
          <w:highlight w:val="none"/>
          <w14:textFill>
            <w14:solidFill>
              <w14:schemeClr w14:val="tx1"/>
            </w14:solidFill>
          </w14:textFill>
        </w:rPr>
        <w:t>产品质量证明文件、操作维修手册等（手册应包含</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情况、系统和主要部件常见故障、保养要求、紧急维修电话等内容）。</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7.2外观验收：</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运抵交货地点后，甲乙双方根据合同约定对合同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的包装、外观与件数进行清点检查，并共同签署合同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外观检查记录。</w:t>
      </w:r>
    </w:p>
    <w:p>
      <w:pPr>
        <w:keepNext w:val="0"/>
        <w:keepLines w:val="0"/>
        <w:pageBreakBefore w:val="0"/>
        <w:kinsoku/>
        <w:wordWrap/>
        <w:overflowPunct/>
        <w:topLinePunct w:val="0"/>
        <w:bidi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7.3 开箱验收：开箱检验在合同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交付地点进行，</w:t>
      </w:r>
      <w:r>
        <w:rPr>
          <w:rFonts w:hint="eastAsia" w:ascii="宋体" w:hAnsi="宋体" w:eastAsia="宋体" w:cs="宋体"/>
          <w:color w:val="000000" w:themeColor="text1"/>
          <w:sz w:val="28"/>
          <w:szCs w:val="28"/>
          <w:highlight w:val="none"/>
          <w14:textFill>
            <w14:solidFill>
              <w14:schemeClr w14:val="tx1"/>
            </w14:solidFill>
          </w14:textFill>
        </w:rPr>
        <w:t>包括但不限于对合同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数量、规格、外观完好性进行检验。经验收合格后，甲方签发开箱检验合格证明。开箱验收合格前，</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的损坏风险由乙方承担。</w:t>
      </w:r>
    </w:p>
    <w:p>
      <w:pPr>
        <w:keepNext w:val="0"/>
        <w:keepLines w:val="0"/>
        <w:pageBreakBefore w:val="0"/>
        <w:kinsoku/>
        <w:wordWrap/>
        <w:overflowPunct/>
        <w:topLinePunct w:val="0"/>
        <w:bidi w:val="0"/>
        <w:adjustRightInd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7.4如双方对合同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7.5对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外观检查与开箱检查发现的问题，如数量、规格、外表质量等与合同约定不符，</w:t>
      </w:r>
      <w:r>
        <w:rPr>
          <w:rFonts w:hint="eastAsia" w:ascii="宋体" w:hAnsi="宋体" w:eastAsia="宋体" w:cs="宋体"/>
          <w:color w:val="000000" w:themeColor="text1"/>
          <w:sz w:val="28"/>
          <w:szCs w:val="28"/>
          <w:highlight w:val="none"/>
          <w:lang w:eastAsia="zh-CN"/>
          <w14:textFill>
            <w14:solidFill>
              <w14:schemeClr w14:val="tx1"/>
            </w14:solidFill>
          </w14:textFill>
        </w:rPr>
        <w:t>货物或部件</w:t>
      </w:r>
      <w:r>
        <w:rPr>
          <w:rFonts w:hint="eastAsia" w:ascii="宋体" w:hAnsi="宋体" w:eastAsia="宋体" w:cs="宋体"/>
          <w:color w:val="000000" w:themeColor="text1"/>
          <w:sz w:val="28"/>
          <w:szCs w:val="28"/>
          <w:highlight w:val="none"/>
          <w14:textFill>
            <w14:solidFill>
              <w14:schemeClr w14:val="tx1"/>
            </w14:solidFill>
          </w14:textFill>
        </w:rPr>
        <w:t>因包装、运输、装卸问题造成的任何损坏、丢失，装箱文件短缺等，乙方应在不影响甲方生产运营的前提下，在甲方规定期限内消除合同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中存在的缺陷，用合格的新</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更换有缺陷的</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、退货或补发，并自行承担费用。甲方有权在</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缺陷消除或</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更换后，委托第三方检测机构进行检测，检测结果及费用承担按本合同第7.4条执行，交货时间不顺延。</w:t>
      </w:r>
    </w:p>
    <w:p>
      <w:pPr>
        <w:keepNext w:val="0"/>
        <w:keepLines w:val="0"/>
        <w:pageBreakBefore w:val="0"/>
        <w:kinsoku/>
        <w:wordWrap/>
        <w:overflowPunct/>
        <w:topLinePunct w:val="0"/>
        <w:bidi w:val="0"/>
        <w:snapToGrid/>
        <w:spacing w:after="0"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    7.6 甲方有权对合同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进行原厂正品验证，若合同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无法获原厂验证，甲方有权退回</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，要求乙方在</w:t>
      </w:r>
      <w:r>
        <w:rPr>
          <w:rFonts w:hint="eastAsia" w:ascii="宋体" w:hAnsi="宋体" w:eastAsia="宋体" w:cs="宋体"/>
          <w:color w:val="000000" w:themeColor="text1"/>
          <w:sz w:val="28"/>
          <w:szCs w:val="28"/>
          <w:highlight w:val="none"/>
          <w:u w:val="single"/>
          <w14:textFill>
            <w14:solidFill>
              <w14:schemeClr w14:val="tx1"/>
            </w14:solidFill>
          </w14:textFill>
        </w:rPr>
        <w:t xml:space="preserve"> 5 </w:t>
      </w:r>
      <w:r>
        <w:rPr>
          <w:rFonts w:hint="eastAsia" w:ascii="宋体" w:hAnsi="宋体" w:eastAsia="宋体" w:cs="宋体"/>
          <w:color w:val="000000" w:themeColor="text1"/>
          <w:sz w:val="28"/>
          <w:szCs w:val="28"/>
          <w:highlight w:val="none"/>
          <w14:textFill>
            <w14:solidFill>
              <w14:schemeClr w14:val="tx1"/>
            </w14:solidFill>
          </w14:textFill>
        </w:rPr>
        <w:t>个工作日内退回已支付款项并按</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价格的</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u w:val="singl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支付违约金。</w:t>
      </w:r>
    </w:p>
    <w:bookmarkEnd w:id="80"/>
    <w:bookmarkEnd w:id="81"/>
    <w:bookmarkEnd w:id="82"/>
    <w:bookmarkEnd w:id="83"/>
    <w:bookmarkEnd w:id="84"/>
    <w:bookmarkEnd w:id="85"/>
    <w:bookmarkEnd w:id="86"/>
    <w:p>
      <w:pPr>
        <w:keepNext w:val="0"/>
        <w:keepLines w:val="0"/>
        <w:pageBreakBefore w:val="0"/>
        <w:kinsoku/>
        <w:wordWrap/>
        <w:overflowPunct/>
        <w:topLinePunct w:val="0"/>
        <w:bidi w:val="0"/>
        <w:snapToGrid/>
        <w:spacing w:before="120" w:after="120"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94" w:name="_Toc474245215"/>
      <w:bookmarkStart w:id="95" w:name="_Toc518992990"/>
      <w:bookmarkStart w:id="96" w:name="_Toc520190030"/>
      <w:bookmarkStart w:id="97" w:name="_Toc183666534"/>
      <w:bookmarkStart w:id="98" w:name="_Toc257"/>
      <w:r>
        <w:rPr>
          <w:rFonts w:hint="eastAsia" w:ascii="宋体" w:hAnsi="宋体" w:eastAsia="宋体" w:cs="宋体"/>
          <w:b/>
          <w:color w:val="000000" w:themeColor="text1"/>
          <w:sz w:val="28"/>
          <w:szCs w:val="28"/>
          <w:highlight w:val="none"/>
          <w14:textFill>
            <w14:solidFill>
              <w14:schemeClr w14:val="tx1"/>
            </w14:solidFill>
          </w14:textFill>
        </w:rPr>
        <w:t>第八条 包装</w:t>
      </w:r>
      <w:bookmarkEnd w:id="94"/>
      <w:bookmarkEnd w:id="95"/>
      <w:bookmarkEnd w:id="96"/>
      <w:r>
        <w:rPr>
          <w:rFonts w:hint="eastAsia" w:ascii="宋体" w:hAnsi="宋体" w:eastAsia="宋体" w:cs="宋体"/>
          <w:b/>
          <w:color w:val="000000" w:themeColor="text1"/>
          <w:sz w:val="28"/>
          <w:szCs w:val="28"/>
          <w:highlight w:val="none"/>
          <w14:textFill>
            <w14:solidFill>
              <w14:schemeClr w14:val="tx1"/>
            </w14:solidFill>
          </w14:textFill>
        </w:rPr>
        <w:t>、标示及运输要求</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 包装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8.1.1乙方根据</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的特点，按照有关国家、行业标准要求，对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及其零配件进行适合长途运输、多次搬运与装卸、防震、防水、防潮、防霉、防锈、防腐蚀等的坚固可靠包装，确保</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能适应高温、雨淋、潮湿环境下的长途运输、多次装卸与现场存放。</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8.1.2超限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的包装要求：</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  </w:t>
      </w:r>
      <w:r>
        <w:rPr>
          <w:rFonts w:hint="eastAsia" w:ascii="宋体" w:hAnsi="宋体" w:eastAsia="宋体" w:cs="宋体"/>
          <w:bCs/>
          <w:color w:val="000000" w:themeColor="text1"/>
          <w:sz w:val="28"/>
          <w:szCs w:val="28"/>
          <w:highlight w:val="none"/>
          <w14:textFill>
            <w14:solidFill>
              <w14:schemeClr w14:val="tx1"/>
            </w14:solidFill>
          </w14:textFill>
        </w:rPr>
        <w:t>。</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 xml:space="preserve">8.2 </w:t>
      </w:r>
      <w:bookmarkStart w:id="99" w:name="_Toc107446851"/>
      <w:bookmarkStart w:id="100" w:name="_Toc107447244"/>
      <w:r>
        <w:rPr>
          <w:rFonts w:hint="eastAsia" w:ascii="宋体" w:hAnsi="宋体" w:eastAsia="宋体" w:cs="宋体"/>
          <w:bCs/>
          <w:color w:val="000000" w:themeColor="text1"/>
          <w:sz w:val="28"/>
          <w:szCs w:val="28"/>
          <w:highlight w:val="none"/>
          <w14:textFill>
            <w14:solidFill>
              <w14:schemeClr w14:val="tx1"/>
            </w14:solidFill>
          </w14:textFill>
        </w:rPr>
        <w:t>标志</w:t>
      </w:r>
    </w:p>
    <w:bookmarkEnd w:id="99"/>
    <w:bookmarkEnd w:id="100"/>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8.2.1乙方应按照国家标准对</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的外包装进行标志。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8.2.2根据合同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中含有易燃易爆物品、腐蚀物品、放射性物质等危险品，则应在包装箱上标明危险品标志。</w:t>
      </w:r>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8.2.3  如由于包装不当或包装箱内部保护措施不符合要求而导致在装车或运输中发生</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或其任何部件的损坏或遗失，乙方应自费对缺损的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、部件进行修理、更换或补供。</w:t>
      </w:r>
      <w:bookmarkStart w:id="101" w:name="_Toc474245218"/>
      <w:bookmarkStart w:id="102" w:name="_Toc518992992"/>
      <w:bookmarkStart w:id="103" w:name="_Toc306350457"/>
      <w:bookmarkStart w:id="104" w:name="_Toc520190032"/>
      <w:bookmarkStart w:id="105" w:name="_Toc9269"/>
      <w:bookmarkStart w:id="106" w:name="_Toc183666521"/>
    </w:p>
    <w:p>
      <w:pPr>
        <w:keepNext w:val="0"/>
        <w:keepLines w:val="0"/>
        <w:pageBreakBefore w:val="0"/>
        <w:kinsoku/>
        <w:wordWrap/>
        <w:overflowPunct/>
        <w:topLinePunct w:val="0"/>
        <w:bidi w:val="0"/>
        <w:adjustRightInd w:val="0"/>
        <w:snapToGrid/>
        <w:spacing w:after="0"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8.3.1乙方应自行选择适宜的运输工具及线路安排合同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运输。</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8.3.2 除合同条款另有约定外，每件</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的备品备件应整套装运。</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8.3.3 除合同条款另有约定外，乙方应在合同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预计启运7日前，将合同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名称、数量、箱数、总毛重、每箱尺寸、装运合同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总金额、运输方式、预计交付日期和合同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启运后 24 小时之内正式通知甲方。</w:t>
      </w:r>
    </w:p>
    <w:bookmarkEnd w:id="101"/>
    <w:bookmarkEnd w:id="102"/>
    <w:bookmarkEnd w:id="103"/>
    <w:bookmarkEnd w:id="104"/>
    <w:bookmarkEnd w:id="105"/>
    <w:bookmarkEnd w:id="106"/>
    <w:p>
      <w:pPr>
        <w:keepNext w:val="0"/>
        <w:keepLines w:val="0"/>
        <w:pageBreakBefore w:val="0"/>
        <w:kinsoku/>
        <w:wordWrap/>
        <w:overflowPunct/>
        <w:topLinePunct w:val="0"/>
        <w:bidi w:val="0"/>
        <w:adjustRightInd w:val="0"/>
        <w:snapToGrid/>
        <w:spacing w:before="120" w:beforeLines="50" w:after="120" w:afterLines="50"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bookmarkStart w:id="107" w:name="_Toc306350458"/>
      <w:bookmarkStart w:id="108" w:name="_Toc18496"/>
      <w:bookmarkStart w:id="109" w:name="_Toc183666522"/>
      <w:r>
        <w:rPr>
          <w:rFonts w:hint="eastAsia" w:ascii="宋体" w:hAnsi="宋体" w:eastAsia="宋体" w:cs="宋体"/>
          <w:b/>
          <w:color w:val="000000" w:themeColor="text1"/>
          <w:sz w:val="28"/>
          <w:szCs w:val="28"/>
          <w:highlight w:val="none"/>
          <w14:textFill>
            <w14:solidFill>
              <w14:schemeClr w14:val="tx1"/>
            </w14:solidFill>
          </w14:textFill>
        </w:rPr>
        <w:t>第九条 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9.1  乙方应按甲方需求，派遣技术熟练、称职的技术人员到现场为甲方提供</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调试运行等技术服务。</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9.3  乙方技术人员应遵守甲方施工现场的各项规章制度和安全操作规程，并服从甲方的现场管理。</w:t>
      </w:r>
    </w:p>
    <w:p>
      <w:pPr>
        <w:keepNext w:val="0"/>
        <w:keepLines w:val="0"/>
        <w:pageBreakBefore w:val="0"/>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07"/>
    <w:bookmarkEnd w:id="108"/>
    <w:bookmarkEnd w:id="109"/>
    <w:p>
      <w:pPr>
        <w:keepNext w:val="0"/>
        <w:keepLines w:val="0"/>
        <w:pageBreakBefore w:val="0"/>
        <w:kinsoku/>
        <w:wordWrap/>
        <w:overflowPunct/>
        <w:topLinePunct w:val="0"/>
        <w:autoSpaceDE w:val="0"/>
        <w:autoSpaceDN w:val="0"/>
        <w:bidi w:val="0"/>
        <w:adjustRightInd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10" w:name="_Toc518992994"/>
      <w:bookmarkStart w:id="111" w:name="_Toc520190034"/>
      <w:bookmarkStart w:id="112" w:name="_Toc474245220"/>
      <w:bookmarkStart w:id="113" w:name="_Toc183666523"/>
      <w:bookmarkStart w:id="114" w:name="_Toc4682"/>
      <w:bookmarkStart w:id="115" w:name="_Toc306350459"/>
      <w:r>
        <w:rPr>
          <w:rFonts w:hint="eastAsia" w:ascii="宋体" w:hAnsi="宋体" w:eastAsia="宋体" w:cs="宋体"/>
          <w:b/>
          <w:color w:val="000000" w:themeColor="text1"/>
          <w:sz w:val="28"/>
          <w:szCs w:val="28"/>
          <w:highlight w:val="none"/>
          <w14:textFill>
            <w14:solidFill>
              <w14:schemeClr w14:val="tx1"/>
            </w14:solidFill>
          </w14:textFill>
        </w:rPr>
        <w:t>第十条 质量保</w:t>
      </w:r>
      <w:bookmarkEnd w:id="110"/>
      <w:bookmarkEnd w:id="111"/>
      <w:bookmarkEnd w:id="112"/>
      <w:r>
        <w:rPr>
          <w:rFonts w:hint="eastAsia" w:ascii="宋体" w:hAnsi="宋体" w:eastAsia="宋体" w:cs="宋体"/>
          <w:b/>
          <w:color w:val="000000" w:themeColor="text1"/>
          <w:sz w:val="28"/>
          <w:szCs w:val="28"/>
          <w:highlight w:val="none"/>
          <w14:textFill>
            <w14:solidFill>
              <w14:schemeClr w14:val="tx1"/>
            </w14:solidFill>
          </w14:textFill>
        </w:rPr>
        <w:t>修</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10.1保修期：</w:t>
      </w:r>
      <w:r>
        <w:rPr>
          <w:rFonts w:hint="eastAsia" w:ascii="宋体" w:hAnsi="宋体" w:eastAsia="宋体" w:cs="宋体"/>
          <w:color w:val="000000" w:themeColor="text1"/>
          <w:sz w:val="28"/>
          <w:szCs w:val="28"/>
          <w:highlight w:val="none"/>
          <w14:textFill>
            <w14:solidFill>
              <w14:schemeClr w14:val="tx1"/>
            </w14:solidFill>
          </w14:textFill>
        </w:rPr>
        <w:t>自</w:t>
      </w:r>
      <w:r>
        <w:rPr>
          <w:rFonts w:hint="eastAsia" w:ascii="宋体" w:hAnsi="宋体" w:eastAsia="宋体" w:cs="宋体"/>
          <w:color w:val="000000" w:themeColor="text1"/>
          <w:kern w:val="0"/>
          <w:sz w:val="28"/>
          <w:szCs w:val="28"/>
          <w:highlight w:val="none"/>
          <w:lang w:val="zh-CN"/>
          <w14:textFill>
            <w14:solidFill>
              <w14:schemeClr w14:val="tx1"/>
            </w14:solidFill>
          </w14:textFill>
        </w:rPr>
        <w:t>货物</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安装调试</w:t>
      </w:r>
      <w:r>
        <w:rPr>
          <w:rFonts w:hint="eastAsia" w:ascii="宋体" w:hAnsi="宋体" w:eastAsia="宋体" w:cs="宋体"/>
          <w:color w:val="000000" w:themeColor="text1"/>
          <w:kern w:val="0"/>
          <w:sz w:val="28"/>
          <w:szCs w:val="28"/>
          <w:highlight w:val="none"/>
          <w:lang w:val="zh-CN"/>
          <w14:textFill>
            <w14:solidFill>
              <w14:schemeClr w14:val="tx1"/>
            </w14:solidFill>
          </w14:textFill>
        </w:rPr>
        <w:t>验收合格之日起</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壹</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年</w:t>
      </w:r>
      <w:r>
        <w:rPr>
          <w:rFonts w:hint="eastAsia" w:ascii="宋体" w:hAnsi="宋体" w:eastAsia="宋体" w:cs="宋体"/>
          <w:color w:val="000000" w:themeColor="text1"/>
          <w:sz w:val="28"/>
          <w:szCs w:val="28"/>
          <w:highlight w:val="none"/>
          <w:u w:val="none"/>
          <w:lang w:eastAsia="zh-CN"/>
          <w14:textFill>
            <w14:solidFill>
              <w14:schemeClr w14:val="tx1"/>
            </w14:solidFill>
          </w14:textFill>
        </w:rPr>
        <w:t>且不得低于法定规定保修时间</w:t>
      </w:r>
      <w:r>
        <w:rPr>
          <w:rFonts w:hint="eastAsia" w:ascii="宋体" w:hAnsi="宋体" w:eastAsia="宋体" w:cs="宋体"/>
          <w:color w:val="000000" w:themeColor="text1"/>
          <w:sz w:val="28"/>
          <w:szCs w:val="28"/>
          <w:highlight w:val="none"/>
          <w14:textFill>
            <w14:solidFill>
              <w14:schemeClr w14:val="tx1"/>
            </w14:solidFill>
          </w14:textFill>
        </w:rPr>
        <w:t>。保修期内乙方应免费对</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 xml:space="preserve">进行日常维护保养及质量缺陷修复。                                          </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color w:val="000000" w:themeColor="text1"/>
          <w:kern w:val="0"/>
          <w:sz w:val="28"/>
          <w:szCs w:val="28"/>
          <w:highlight w:val="none"/>
          <w:lang w:val="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10.2</w:t>
      </w:r>
      <w:r>
        <w:rPr>
          <w:rFonts w:hint="eastAsia" w:ascii="宋体" w:hAnsi="宋体" w:eastAsia="宋体" w:cs="宋体"/>
          <w:color w:val="000000" w:themeColor="text1"/>
          <w:kern w:val="0"/>
          <w:sz w:val="28"/>
          <w:szCs w:val="28"/>
          <w:highlight w:val="none"/>
          <w14:textFill>
            <w14:solidFill>
              <w14:schemeClr w14:val="tx1"/>
            </w14:solidFill>
          </w14:textFill>
        </w:rPr>
        <w:t>保修</w:t>
      </w:r>
      <w:r>
        <w:rPr>
          <w:rFonts w:hint="eastAsia" w:ascii="宋体" w:hAnsi="宋体" w:eastAsia="宋体" w:cs="宋体"/>
          <w:color w:val="000000" w:themeColor="text1"/>
          <w:kern w:val="0"/>
          <w:sz w:val="28"/>
          <w:szCs w:val="28"/>
          <w:highlight w:val="none"/>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highlight w:val="none"/>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highlight w:val="none"/>
          <w:lang w:val="zh-CN"/>
          <w14:textFill>
            <w14:solidFill>
              <w14:schemeClr w14:val="tx1"/>
            </w14:solidFill>
          </w14:textFill>
        </w:rPr>
        <w:t>违约金，</w:t>
      </w:r>
      <w:r>
        <w:rPr>
          <w:rFonts w:hint="eastAsia" w:ascii="宋体" w:hAnsi="宋体" w:eastAsia="宋体" w:cs="宋体"/>
          <w:color w:val="000000" w:themeColor="text1"/>
          <w:kern w:val="0"/>
          <w:sz w:val="28"/>
          <w:szCs w:val="28"/>
          <w:highlight w:val="none"/>
          <w14:textFill>
            <w14:solidFill>
              <w14:schemeClr w14:val="tx1"/>
            </w14:solidFill>
          </w14:textFill>
        </w:rPr>
        <w:t>由此产生的</w:t>
      </w:r>
      <w:r>
        <w:rPr>
          <w:rFonts w:hint="eastAsia" w:ascii="宋体" w:hAnsi="宋体" w:eastAsia="宋体" w:cs="宋体"/>
          <w:color w:val="000000" w:themeColor="text1"/>
          <w:kern w:val="0"/>
          <w:sz w:val="28"/>
          <w:szCs w:val="28"/>
          <w:highlight w:val="none"/>
          <w:lang w:val="zh-CN"/>
          <w14:textFill>
            <w14:solidFill>
              <w14:schemeClr w14:val="tx1"/>
            </w14:solidFill>
          </w14:textFill>
        </w:rPr>
        <w:t>费用由乙方承担。</w:t>
      </w:r>
    </w:p>
    <w:p>
      <w:pPr>
        <w:keepNext w:val="0"/>
        <w:keepLines w:val="0"/>
        <w:pageBreakBefore w:val="0"/>
        <w:tabs>
          <w:tab w:val="left" w:pos="851"/>
        </w:tabs>
        <w:kinsoku/>
        <w:wordWrap/>
        <w:overflowPunct/>
        <w:topLinePunct w:val="0"/>
        <w:bidi w:val="0"/>
        <w:adjustRightInd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10.3 保修期间由于</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本身原因产生的故障仍属质保范围，对更换或维修过的零部件从更换或维修完成并验收合格之日起，质量保修期重新计算。</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10.4 质量保修期间，如合同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出现故障，乙方应在接到甲方通知后</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12</w:t>
      </w:r>
      <w:r>
        <w:rPr>
          <w:rFonts w:hint="eastAsia" w:ascii="宋体" w:hAnsi="宋体" w:eastAsia="宋体" w:cs="宋体"/>
          <w:bCs/>
          <w:color w:val="000000" w:themeColor="text1"/>
          <w:sz w:val="28"/>
          <w:szCs w:val="28"/>
          <w:highlight w:val="none"/>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小时内派专业技术人员到场负责解决及维修故障。</w:t>
      </w:r>
      <w:bookmarkEnd w:id="113"/>
      <w:bookmarkEnd w:id="114"/>
      <w:bookmarkEnd w:id="115"/>
      <w:bookmarkStart w:id="116" w:name="_Toc27734"/>
      <w:bookmarkStart w:id="117" w:name="_Toc107446857"/>
      <w:bookmarkStart w:id="118" w:name="_Toc520190037"/>
      <w:bookmarkStart w:id="119" w:name="_Toc183666528"/>
      <w:bookmarkStart w:id="120" w:name="_Toc474245223"/>
      <w:bookmarkStart w:id="121" w:name="_Toc107447250"/>
      <w:bookmarkStart w:id="122" w:name="_Toc306350464"/>
      <w:bookmarkStart w:id="123" w:name="_Toc518992997"/>
      <w:r>
        <w:rPr>
          <w:rFonts w:hint="eastAsia" w:ascii="宋体" w:hAnsi="宋体" w:eastAsia="宋体" w:cs="宋体"/>
          <w:bCs/>
          <w:color w:val="000000" w:themeColor="text1"/>
          <w:sz w:val="28"/>
          <w:szCs w:val="28"/>
          <w:highlight w:val="none"/>
          <w14:textFill>
            <w14:solidFill>
              <w14:schemeClr w14:val="tx1"/>
            </w14:solidFill>
          </w14:textFill>
        </w:rPr>
        <w:t>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合同暂定总价10%/次</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第十一条 违约责任</w:t>
      </w:r>
      <w:bookmarkEnd w:id="116"/>
      <w:bookmarkEnd w:id="117"/>
      <w:bookmarkEnd w:id="118"/>
      <w:bookmarkEnd w:id="119"/>
      <w:bookmarkEnd w:id="120"/>
      <w:bookmarkEnd w:id="121"/>
      <w:bookmarkEnd w:id="122"/>
      <w:bookmarkEnd w:id="123"/>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bookmarkStart w:id="124" w:name="_Toc183666529"/>
      <w:bookmarkStart w:id="125" w:name="_Toc306350465"/>
      <w:bookmarkStart w:id="126" w:name="_Toc5166"/>
      <w:r>
        <w:rPr>
          <w:rFonts w:hint="eastAsia" w:ascii="宋体" w:hAnsi="宋体" w:eastAsia="宋体" w:cs="宋体"/>
          <w:bCs/>
          <w:color w:val="000000" w:themeColor="text1"/>
          <w:sz w:val="28"/>
          <w:szCs w:val="28"/>
          <w:highlight w:val="none"/>
          <w14:textFill>
            <w14:solidFill>
              <w14:schemeClr w14:val="tx1"/>
            </w14:solidFill>
          </w14:textFill>
        </w:rPr>
        <w:t>11.1 延期交货的违约责任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日，以书面形式将原因及预计拖延的时间通知甲方。经甲方同意后，交货期顺延。</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highlight w:val="none"/>
          <w:u w:val="single"/>
          <w14:textFill>
            <w14:solidFill>
              <w14:schemeClr w14:val="tx1"/>
            </w14:solidFill>
          </w14:textFill>
        </w:rPr>
        <w:t>交货</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价格的1%/天</w:t>
      </w:r>
      <w:r>
        <w:rPr>
          <w:rFonts w:hint="eastAsia" w:ascii="宋体" w:hAnsi="宋体" w:eastAsia="宋体" w:cs="宋体"/>
          <w:bCs/>
          <w:color w:val="000000" w:themeColor="text1"/>
          <w:sz w:val="28"/>
          <w:szCs w:val="28"/>
          <w:highlight w:val="none"/>
          <w14:textFill>
            <w14:solidFill>
              <w14:schemeClr w14:val="tx1"/>
            </w14:solidFill>
          </w14:textFill>
        </w:rPr>
        <w:t>要求乙方支付违约金。逾期超过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15 </w:t>
      </w:r>
      <w:r>
        <w:rPr>
          <w:rFonts w:hint="eastAsia" w:ascii="宋体" w:hAnsi="宋体" w:eastAsia="宋体" w:cs="宋体"/>
          <w:bCs/>
          <w:color w:val="000000" w:themeColor="text1"/>
          <w:sz w:val="28"/>
          <w:szCs w:val="28"/>
          <w:highlight w:val="none"/>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 质量问题的违约责任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11.2.1 自乙方交货后至质量保修期满的期间内，甲方经检查发现或合同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经安装、调试、试车或运行显示，合同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或其任何部件存在质量问题，达不到本合同技术要求。甲方有权要求乙方采取下列一种或多种方式予以解决：</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（1）乙方承担费用，用合格的新</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更换有缺陷的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或修补缺陷部分；</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（2）退还</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，同时将甲方已经支付的合同价款全额退还甲方，并承担甲方因履行本合同而支出的一切费用，包括但不限于利息、银行手续费、仓储费、卸货费以及因退回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所需的其他费用。</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（3）按不合格</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价格的</w:t>
      </w:r>
      <w:r>
        <w:rPr>
          <w:rFonts w:hint="eastAsia" w:ascii="宋体" w:hAnsi="宋体" w:eastAsia="宋体" w:cs="宋体"/>
          <w:bCs/>
          <w:color w:val="000000" w:themeColor="text1"/>
          <w:sz w:val="28"/>
          <w:szCs w:val="28"/>
          <w:highlight w:val="none"/>
          <w:u w:val="single"/>
          <w14:textFill>
            <w14:solidFill>
              <w14:schemeClr w14:val="tx1"/>
            </w14:solidFill>
          </w14:textFill>
        </w:rPr>
        <w:t>50</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（4）赔偿甲方因</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质量问题导致的一切损失。</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11.2.2 如果乙方提供的技术资料有错误，或者由于乙方技术人员原因造成</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安装、调试不成功和（或）造成合同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损坏的情况，乙方应在</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2</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8"/>
          <w:szCs w:val="28"/>
          <w:highlight w:val="none"/>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highlight w:val="none"/>
          <w:u w:val="single"/>
          <w14:textFill>
            <w14:solidFill>
              <w14:schemeClr w14:val="tx1"/>
            </w14:solidFill>
          </w14:textFill>
        </w:rPr>
        <w:t>不合格</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价格的 50 </w:t>
      </w:r>
      <w:r>
        <w:rPr>
          <w:rFonts w:hint="eastAsia" w:ascii="宋体" w:hAnsi="宋体" w:eastAsia="宋体" w:cs="宋体"/>
          <w:bCs/>
          <w:color w:val="000000" w:themeColor="text1"/>
          <w:sz w:val="28"/>
          <w:szCs w:val="28"/>
          <w:highlight w:val="none"/>
          <w14:textFill>
            <w14:solidFill>
              <w14:schemeClr w14:val="tx1"/>
            </w14:solidFill>
          </w14:textFill>
        </w:rPr>
        <w:t>%作为违约金。</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11.2.3 在开箱检验、或使用过程中发现乙方提交的合同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为贴牌、假冒、伪劣、翻新产品，或生产组成合同</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的原材料、配件是贴牌、假冒、伪劣货物时，乙方应在甲方通知之日自行收回</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，甲方不负保管责任，</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毁损灭失风险自甲方通知之时起由乙方承担，乙方将已支付款项（含预付款）退还甲方，并按</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 100 %</w:t>
      </w:r>
      <w:r>
        <w:rPr>
          <w:rFonts w:hint="eastAsia" w:ascii="宋体" w:hAnsi="宋体" w:eastAsia="宋体" w:cs="宋体"/>
          <w:bCs/>
          <w:color w:val="000000" w:themeColor="text1"/>
          <w:sz w:val="28"/>
          <w:szCs w:val="28"/>
          <w:highlight w:val="none"/>
          <w14:textFill>
            <w14:solidFill>
              <w14:schemeClr w14:val="tx1"/>
            </w14:solidFill>
          </w14:textFill>
        </w:rPr>
        <w:t>支付违约金。</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11.2.4 在合同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设计使用寿命期内，如果乙方发现合同</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由于设计、制造、标识等原因存在足以危及人身、财产安全的缺陷，应及时通知甲方并采取修正或者补充标识、修理、更换等措施消除缺陷，因</w:t>
      </w:r>
      <w:r>
        <w:rPr>
          <w:rFonts w:hint="eastAsia" w:ascii="宋体" w:hAnsi="宋体" w:eastAsia="宋体" w:cs="宋体"/>
          <w:color w:val="000000" w:themeColor="text1"/>
          <w:sz w:val="28"/>
          <w:szCs w:val="28"/>
          <w:highlight w:val="none"/>
          <w:lang w:eastAsia="zh-CN"/>
          <w14:textFill>
            <w14:solidFill>
              <w14:schemeClr w14:val="tx1"/>
            </w14:solidFill>
          </w14:textFill>
        </w:rPr>
        <w:t>货物</w:t>
      </w:r>
      <w:r>
        <w:rPr>
          <w:rFonts w:hint="eastAsia" w:ascii="宋体" w:hAnsi="宋体" w:eastAsia="宋体" w:cs="宋体"/>
          <w:color w:val="000000" w:themeColor="text1"/>
          <w:sz w:val="28"/>
          <w:szCs w:val="28"/>
          <w:highlight w:val="none"/>
          <w14:textFill>
            <w14:solidFill>
              <w14:schemeClr w14:val="tx1"/>
            </w14:solidFill>
          </w14:textFill>
        </w:rPr>
        <w:t>缺陷造成的一切损害，乙方应承担全部赔偿责任。</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 xml:space="preserve">作为违约金。 </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11.4 如双方对质量责任认定有争议，</w:t>
      </w:r>
      <w:r>
        <w:rPr>
          <w:rFonts w:hint="eastAsia" w:ascii="宋体" w:hAnsi="宋体" w:eastAsia="宋体" w:cs="宋体"/>
          <w:color w:val="000000" w:themeColor="text1"/>
          <w:sz w:val="28"/>
          <w:szCs w:val="28"/>
          <w:highlight w:val="none"/>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11.5乙方不履行合同义务、或履行合同义务不符合合同约定、或违反国家、省、市行业标准的，甲方有权要</w:t>
      </w:r>
      <w:r>
        <w:rPr>
          <w:rFonts w:hint="eastAsia" w:ascii="宋体" w:hAnsi="宋体" w:eastAsia="宋体" w:cs="宋体"/>
          <w:bCs/>
          <w:color w:val="000000" w:themeColor="text1"/>
          <w:sz w:val="28"/>
          <w:szCs w:val="28"/>
          <w:highlight w:val="none"/>
          <w14:textFill>
            <w14:solidFill>
              <w14:schemeClr w14:val="tx1"/>
            </w14:solidFill>
          </w14:textFill>
        </w:rPr>
        <w:t>求乙方限期整改。乙方逾期未完成整改的，每项每超过1日支付违约金人民币1万元，超过</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1</w:t>
      </w:r>
      <w:r>
        <w:rPr>
          <w:rFonts w:hint="eastAsia" w:ascii="宋体" w:hAnsi="宋体" w:eastAsia="宋体" w:cs="宋体"/>
          <w:bCs/>
          <w:color w:val="000000" w:themeColor="text1"/>
          <w:sz w:val="28"/>
          <w:szCs w:val="28"/>
          <w:highlight w:val="none"/>
          <w:u w:val="single"/>
          <w:lang w:val="en-US" w:eastAsia="zh-CN"/>
          <w14:textFill>
            <w14:solidFill>
              <w14:schemeClr w14:val="tx1"/>
            </w14:solidFill>
          </w14:textFill>
        </w:rPr>
        <w:t>5</w:t>
      </w:r>
      <w:r>
        <w:rPr>
          <w:rFonts w:hint="eastAsia" w:ascii="宋体" w:hAnsi="宋体" w:eastAsia="宋体" w:cs="宋体"/>
          <w:bCs/>
          <w:color w:val="000000" w:themeColor="text1"/>
          <w:sz w:val="28"/>
          <w:szCs w:val="28"/>
          <w:highlight w:val="none"/>
          <w14:textFill>
            <w14:solidFill>
              <w14:schemeClr w14:val="tx1"/>
            </w14:solidFill>
          </w14:textFill>
        </w:rPr>
        <w:t>日</w:t>
      </w:r>
      <w:r>
        <w:rPr>
          <w:rFonts w:hint="eastAsia" w:ascii="宋体" w:hAnsi="宋体" w:eastAsia="宋体" w:cs="宋体"/>
          <w:bCs/>
          <w:color w:val="000000" w:themeColor="text1"/>
          <w:sz w:val="28"/>
          <w:szCs w:val="28"/>
          <w:highlight w:val="none"/>
          <w14:textFill>
            <w14:solidFill>
              <w14:schemeClr w14:val="tx1"/>
            </w14:solidFill>
          </w14:textFill>
        </w:rPr>
        <w:t>，甲方有权解除合同并要求乙方支付</w:t>
      </w:r>
      <w:r>
        <w:rPr>
          <w:rFonts w:hint="eastAsia" w:ascii="宋体" w:hAnsi="宋体" w:eastAsia="宋体" w:cs="宋体"/>
          <w:bCs/>
          <w:color w:val="000000" w:themeColor="text1"/>
          <w:sz w:val="28"/>
          <w:szCs w:val="28"/>
          <w:highlight w:val="none"/>
          <w:u w:val="single"/>
          <w14:textFill>
            <w14:solidFill>
              <w14:schemeClr w14:val="tx1"/>
            </w14:solidFill>
          </w14:textFill>
        </w:rPr>
        <w:t>合同暂定总价的20%</w:t>
      </w:r>
      <w:r>
        <w:rPr>
          <w:rFonts w:hint="eastAsia" w:ascii="宋体" w:hAnsi="宋体" w:eastAsia="宋体" w:cs="宋体"/>
          <w:bCs/>
          <w:color w:val="000000" w:themeColor="text1"/>
          <w:sz w:val="28"/>
          <w:szCs w:val="28"/>
          <w:highlight w:val="none"/>
          <w14:textFill>
            <w14:solidFill>
              <w14:schemeClr w14:val="tx1"/>
            </w14:solidFill>
          </w14:textFill>
        </w:rPr>
        <w:t>作为违约金（</w:t>
      </w:r>
      <w:r>
        <w:rPr>
          <w:rFonts w:hint="eastAsia" w:ascii="宋体" w:hAnsi="宋体" w:eastAsia="宋体" w:cs="宋体"/>
          <w:color w:val="000000" w:themeColor="text1"/>
          <w:sz w:val="28"/>
          <w:szCs w:val="28"/>
          <w:highlight w:val="none"/>
          <w14:textFill>
            <w14:solidFill>
              <w14:schemeClr w14:val="tx1"/>
            </w14:solidFill>
          </w14:textFill>
        </w:rPr>
        <w:t>如合同另行约定违约责任，从其约定</w:t>
      </w:r>
      <w:r>
        <w:rPr>
          <w:rFonts w:hint="eastAsia" w:ascii="宋体" w:hAnsi="宋体" w:eastAsia="宋体" w:cs="宋体"/>
          <w:bCs/>
          <w:color w:val="000000" w:themeColor="text1"/>
          <w:sz w:val="28"/>
          <w:szCs w:val="28"/>
          <w:highlight w:val="none"/>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bookmarkStart w:id="127" w:name="_Toc520190038"/>
      <w:bookmarkStart w:id="128" w:name="_Toc474245224"/>
      <w:bookmarkStart w:id="129" w:name="_Toc107446861"/>
      <w:bookmarkStart w:id="130" w:name="_Toc107447254"/>
      <w:bookmarkStart w:id="131" w:name="_Toc107447253"/>
      <w:bookmarkStart w:id="132" w:name="_Toc518992998"/>
      <w:bookmarkStart w:id="133" w:name="_Toc118086592"/>
      <w:bookmarkStart w:id="134" w:name="_Toc107446860"/>
      <w:r>
        <w:rPr>
          <w:rFonts w:hint="eastAsia" w:ascii="宋体" w:hAnsi="宋体" w:eastAsia="宋体" w:cs="宋体"/>
          <w:b/>
          <w:color w:val="000000" w:themeColor="text1"/>
          <w:sz w:val="28"/>
          <w:szCs w:val="28"/>
          <w:highlight w:val="none"/>
          <w14:textFill>
            <w14:solidFill>
              <w14:schemeClr w14:val="tx1"/>
            </w14:solidFill>
          </w14:textFill>
        </w:rPr>
        <w:t>第十二条 变更或解除</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 甲方解除合同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如乙方存在下述情况之一，甲方有权向乙方发出书面通知，全部或部分解除本合同：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12.1.1 乙方未能在本合同约定或甲方另行指定的期限内提供部分或全部</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 xml:space="preserve">或提供技术服务，并经甲方催告后仍未提供； </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12.1.2乙方交付的</w:t>
      </w:r>
      <w:r>
        <w:rPr>
          <w:rFonts w:hint="eastAsia" w:ascii="宋体" w:hAnsi="宋体" w:eastAsia="宋体" w:cs="宋体"/>
          <w:bCs/>
          <w:color w:val="000000" w:themeColor="text1"/>
          <w:sz w:val="28"/>
          <w:szCs w:val="28"/>
          <w:highlight w:val="none"/>
          <w:lang w:eastAsia="zh-CN"/>
          <w14:textFill>
            <w14:solidFill>
              <w14:schemeClr w14:val="tx1"/>
            </w14:solidFill>
          </w14:textFill>
        </w:rPr>
        <w:t>货物</w:t>
      </w:r>
      <w:r>
        <w:rPr>
          <w:rFonts w:hint="eastAsia" w:ascii="宋体" w:hAnsi="宋体" w:eastAsia="宋体" w:cs="宋体"/>
          <w:bCs/>
          <w:color w:val="000000" w:themeColor="text1"/>
          <w:sz w:val="28"/>
          <w:szCs w:val="28"/>
          <w:highlight w:val="none"/>
          <w14:textFill>
            <w14:solidFill>
              <w14:schemeClr w14:val="tx1"/>
            </w14:solidFill>
          </w14:textFill>
        </w:rPr>
        <w:t>存在严重的质量问题，导致本合同目的不能实现；</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12.1.3 乙方存在违反合同义务的其他情形，经甲方催告后仍未作出补救或完成整改；</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12.1.4 乙方投标时提交的资料不真实，或任何时候发现乙方有违反投标时的承诺和（或）声明的情况；</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12.2 乙方解除合同</w:t>
      </w:r>
    </w:p>
    <w:p>
      <w:pPr>
        <w:keepNext w:val="0"/>
        <w:keepLines w:val="0"/>
        <w:pageBreakBefore w:val="0"/>
        <w:kinsoku/>
        <w:wordWrap/>
        <w:overflowPunct/>
        <w:topLinePunct w:val="0"/>
        <w:bidi w:val="0"/>
        <w:snapToGrid/>
        <w:spacing w:line="520" w:lineRule="exact"/>
        <w:ind w:firstLine="48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highlight w:val="none"/>
          <w14:textFill>
            <w14:solidFill>
              <w14:schemeClr w14:val="tx1"/>
            </w14:solidFill>
          </w14:textFill>
        </w:rPr>
        <w:br w:type="textWrapping"/>
      </w:r>
      <w:r>
        <w:rPr>
          <w:rFonts w:hint="eastAsia" w:ascii="宋体" w:hAnsi="宋体" w:eastAsia="宋体" w:cs="宋体"/>
          <w:color w:val="000000" w:themeColor="text1"/>
          <w:sz w:val="28"/>
          <w:szCs w:val="28"/>
          <w:highlight w:val="none"/>
          <w14:textFill>
            <w14:solidFill>
              <w14:schemeClr w14:val="tx1"/>
            </w14:solidFill>
          </w14:textFill>
        </w:rPr>
        <w:t>   12.3甲乙双方经协商一致后解除合同。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第十三条 不可抗力</w:t>
      </w:r>
    </w:p>
    <w:p>
      <w:pPr>
        <w:keepNext w:val="0"/>
        <w:keepLines w:val="0"/>
        <w:pageBreakBefore w:val="0"/>
        <w:widowControl w:val="0"/>
        <w:numPr>
          <w:ilvl w:val="255"/>
          <w:numId w:val="0"/>
        </w:numPr>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（2）战争行为、入侵、武装冲突或外敌行为、封锁、暴乱、恐怖行为或军事演习；</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kinsoku/>
        <w:wordWrap/>
        <w:overflowPunct/>
        <w:topLinePunct w:val="0"/>
        <w:bidi w:val="0"/>
        <w:snapToGrid/>
        <w:spacing w:line="520" w:lineRule="exact"/>
        <w:ind w:firstLine="560" w:firstLineChars="2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第十四条 争议解决方式：</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highlight w:val="none"/>
          <w:u w:val="single"/>
          <w14:textFill>
            <w14:solidFill>
              <w14:schemeClr w14:val="tx1"/>
            </w14:solidFill>
          </w14:textFill>
        </w:rPr>
        <w:t>甲方所在地人民法院</w:t>
      </w:r>
      <w:r>
        <w:rPr>
          <w:rFonts w:hint="eastAsia" w:ascii="宋体" w:hAnsi="宋体" w:eastAsia="宋体" w:cs="宋体"/>
          <w:color w:val="000000" w:themeColor="text1"/>
          <w:sz w:val="28"/>
          <w:szCs w:val="28"/>
          <w:highlight w:val="none"/>
          <w14:textFill>
            <w14:solidFill>
              <w14:schemeClr w14:val="tx1"/>
            </w14:solidFill>
          </w14:textFill>
        </w:rPr>
        <w:t>提起诉讼。</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14.2 在甲方同意的情况下，除有争端之外的合同其它部分在争端解决前应继续执行。</w:t>
      </w:r>
    </w:p>
    <w:p>
      <w:pPr>
        <w:keepNext w:val="0"/>
        <w:keepLines w:val="0"/>
        <w:pageBreakBefore w:val="0"/>
        <w:kinsoku/>
        <w:wordWrap/>
        <w:overflowPunct/>
        <w:topLinePunct w:val="0"/>
        <w:bidi w:val="0"/>
        <w:snapToGrid/>
        <w:spacing w:line="520" w:lineRule="exact"/>
        <w:ind w:firstLine="562" w:firstLineChars="200"/>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第十五条 其他：</w:t>
      </w:r>
    </w:p>
    <w:p>
      <w:pPr>
        <w:keepNext w:val="0"/>
        <w:keepLines w:val="0"/>
        <w:pageBreakBefore w:val="0"/>
        <w:kinsoku/>
        <w:wordWrap/>
        <w:overflowPunct/>
        <w:topLinePunct w:val="0"/>
        <w:bidi w:val="0"/>
        <w:snapToGrid/>
        <w:spacing w:line="520" w:lineRule="exact"/>
        <w:ind w:firstLine="694" w:firstLineChars="248"/>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t>15.1</w:t>
      </w:r>
      <w:r>
        <w:rPr>
          <w:rFonts w:hint="eastAsia" w:ascii="宋体" w:hAnsi="宋体" w:eastAsia="宋体" w:cs="宋体"/>
          <w:color w:val="000000" w:themeColor="text1"/>
          <w:sz w:val="28"/>
          <w:szCs w:val="28"/>
          <w:highlight w:val="none"/>
          <w14:textFill>
            <w14:solidFill>
              <w14:schemeClr w14:val="tx1"/>
            </w14:solidFill>
          </w14:textFill>
        </w:rPr>
        <w:t>本合同未尽事宜，可由甲乙双方另行签订补充协议。补充协议与本合同具有同等法律效力。</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15.2本合同自甲乙双方法定代表人或授权代理人签字并盖章之日起生效。</w:t>
      </w:r>
    </w:p>
    <w:p>
      <w:pPr>
        <w:keepNext w:val="0"/>
        <w:keepLines w:val="0"/>
        <w:pageBreakBefore w:val="0"/>
        <w:kinsoku/>
        <w:wordWrap/>
        <w:overflowPunct/>
        <w:topLinePunct w:val="0"/>
        <w:bidi w:val="0"/>
        <w:snapToGrid/>
        <w:spacing w:line="520" w:lineRule="exact"/>
        <w:ind w:firstLine="700" w:firstLineChars="25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15.3本合同一式</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份，甲方执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份，乙方执</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份。均具有同等法律效力。</w:t>
      </w:r>
    </w:p>
    <w:p>
      <w:pPr>
        <w:keepNext w:val="0"/>
        <w:keepLines w:val="0"/>
        <w:pageBreakBefore w:val="0"/>
        <w:kinsoku/>
        <w:wordWrap/>
        <w:overflowPunct/>
        <w:topLinePunct w:val="0"/>
        <w:bidi w:val="0"/>
        <w:snapToGrid/>
        <w:spacing w:line="520" w:lineRule="exact"/>
        <w:ind w:firstLine="840" w:firstLineChars="3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15.4补充条款：</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eastAsia="zh-CN"/>
          <w14:textFill>
            <w14:solidFill>
              <w14:schemeClr w14:val="tx1"/>
            </w14:solidFill>
          </w14:textFill>
        </w:rPr>
        <w:t>…</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sz w:val="28"/>
          <w:szCs w:val="28"/>
          <w:highlight w:val="none"/>
          <w:u w:val="none"/>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 xml:space="preserve">     </w:t>
      </w:r>
      <w:bookmarkEnd w:id="97"/>
      <w:bookmarkEnd w:id="98"/>
      <w:bookmarkEnd w:id="124"/>
      <w:bookmarkEnd w:id="125"/>
      <w:bookmarkEnd w:id="126"/>
      <w:bookmarkEnd w:id="127"/>
      <w:bookmarkEnd w:id="128"/>
      <w:bookmarkEnd w:id="129"/>
      <w:bookmarkEnd w:id="130"/>
      <w:bookmarkEnd w:id="131"/>
      <w:bookmarkEnd w:id="132"/>
      <w:bookmarkEnd w:id="133"/>
      <w:bookmarkEnd w:id="134"/>
    </w:p>
    <w:p>
      <w:pPr>
        <w:keepNext w:val="0"/>
        <w:keepLines w:val="0"/>
        <w:pageBreakBefore w:val="0"/>
        <w:kinsoku/>
        <w:wordWrap/>
        <w:overflowPunct/>
        <w:topLinePunct w:val="0"/>
        <w:bidi w:val="0"/>
        <w:snapToGrid/>
        <w:spacing w:line="520" w:lineRule="exact"/>
        <w:ind w:firstLine="48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附件</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1.中标通知书</w:t>
      </w:r>
      <w:r>
        <w:rPr>
          <w:rFonts w:hint="eastAsia" w:ascii="宋体" w:hAnsi="宋体" w:eastAsia="宋体" w:cs="宋体"/>
          <w:color w:val="000000" w:themeColor="text1"/>
          <w:sz w:val="28"/>
          <w:szCs w:val="28"/>
          <w:highlight w:val="none"/>
          <w:lang w:val="en-US" w:eastAsia="zh-CN"/>
          <w14:textFill>
            <w14:solidFill>
              <w14:schemeClr w14:val="tx1"/>
            </w14:solidFill>
          </w14:textFill>
        </w:rPr>
        <w:t>/成交通知书</w:t>
      </w:r>
    </w:p>
    <w:p>
      <w:pPr>
        <w:keepNext w:val="0"/>
        <w:keepLines w:val="0"/>
        <w:pageBreakBefore w:val="0"/>
        <w:numPr>
          <w:ilvl w:val="0"/>
          <w:numId w:val="0"/>
        </w:numPr>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物品采购</w:t>
      </w:r>
      <w:r>
        <w:rPr>
          <w:rFonts w:hint="eastAsia" w:ascii="宋体" w:hAnsi="宋体" w:eastAsia="宋体" w:cs="宋体"/>
          <w:color w:val="000000" w:themeColor="text1"/>
          <w:sz w:val="28"/>
          <w:szCs w:val="28"/>
          <w:highlight w:val="none"/>
          <w14:textFill>
            <w14:solidFill>
              <w14:schemeClr w14:val="tx1"/>
            </w14:solidFill>
          </w14:textFill>
        </w:rPr>
        <w:t>安全协议书</w:t>
      </w:r>
    </w:p>
    <w:p>
      <w:pPr>
        <w:keepNext w:val="0"/>
        <w:keepLines w:val="0"/>
        <w:pageBreakBefore w:val="0"/>
        <w:kinsoku/>
        <w:wordWrap/>
        <w:overflowPunct/>
        <w:topLinePunct w:val="0"/>
        <w:bidi w:val="0"/>
        <w:snapToGrid/>
        <w:spacing w:line="520" w:lineRule="exact"/>
        <w:ind w:firstLine="1400" w:firstLineChars="500"/>
        <w:textAlignment w:val="auto"/>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5</w:t>
      </w:r>
      <w:r>
        <w:rPr>
          <w:rFonts w:hint="eastAsia" w:ascii="宋体" w:hAnsi="宋体" w:eastAsia="宋体" w:cs="宋体"/>
          <w:color w:val="000000" w:themeColor="text1"/>
          <w:kern w:val="0"/>
          <w:sz w:val="28"/>
          <w:szCs w:val="28"/>
          <w:highlight w:val="none"/>
          <w:lang w:val="zh-CN"/>
          <w14:textFill>
            <w14:solidFill>
              <w14:schemeClr w14:val="tx1"/>
            </w14:solidFill>
          </w14:textFill>
        </w:rPr>
        <w:t>.</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报价清单</w:t>
      </w: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p>
      <w:pPr>
        <w:pStyle w:val="7"/>
        <w:keepNext w:val="0"/>
        <w:keepLines w:val="0"/>
        <w:pageBreakBefore w:val="0"/>
        <w:kinsoku/>
        <w:wordWrap/>
        <w:overflowPunct/>
        <w:topLinePunct w:val="0"/>
        <w:bidi w:val="0"/>
        <w:snapToGrid/>
        <w:spacing w:line="520" w:lineRule="exact"/>
        <w:ind w:left="0" w:leftChars="0" w:firstLine="0" w:firstLineChars="0"/>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甲方</w:t>
            </w:r>
            <w:r>
              <w:rPr>
                <w:rFonts w:hint="eastAsia" w:ascii="宋体" w:hAnsi="宋体" w:eastAsia="宋体" w:cs="宋体"/>
                <w:color w:val="000000" w:themeColor="text1"/>
                <w:sz w:val="28"/>
                <w:szCs w:val="28"/>
                <w:highlight w:val="none"/>
                <w14:textFill>
                  <w14:solidFill>
                    <w14:schemeClr w14:val="tx1"/>
                  </w14:solidFill>
                </w14:textFill>
              </w:rPr>
              <w:t>：（章）广州市净水有限公司</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乙方</w:t>
            </w:r>
            <w:r>
              <w:rPr>
                <w:rFonts w:hint="eastAsia" w:ascii="宋体" w:hAnsi="宋体" w:eastAsia="宋体" w:cs="宋体"/>
                <w:color w:val="000000" w:themeColor="text1"/>
                <w:sz w:val="28"/>
                <w:szCs w:val="28"/>
                <w:highlight w:val="none"/>
                <w14:textFill>
                  <w14:solidFill>
                    <w14:schemeClr w14:val="tx1"/>
                  </w14:solidFill>
                </w14:textFill>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240" w:hanging="280" w:hangingChars="100"/>
              <w:jc w:val="both"/>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 xml:space="preserve">签订日期：                                                     </w:t>
            </w:r>
          </w:p>
        </w:tc>
        <w:tc>
          <w:tcPr>
            <w:tcW w:w="4696" w:type="dxa"/>
            <w:tcBorders>
              <w:top w:val="nil"/>
              <w:left w:val="nil"/>
              <w:bottom w:val="nil"/>
              <w:right w:val="nil"/>
            </w:tcBorders>
          </w:tcPr>
          <w:p>
            <w:pPr>
              <w:keepNext w:val="0"/>
              <w:keepLines w:val="0"/>
              <w:pageBreakBefore w:val="0"/>
              <w:kinsoku/>
              <w:wordWrap/>
              <w:overflowPunct/>
              <w:topLinePunct w:val="0"/>
              <w:bidi w:val="0"/>
              <w:adjustRightInd w:val="0"/>
              <w:snapToGrid/>
              <w:spacing w:line="520" w:lineRule="exact"/>
              <w:ind w:left="4181" w:hanging="4877" w:hangingChars="1742"/>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签订日期:</w:t>
            </w:r>
          </w:p>
        </w:tc>
      </w:tr>
    </w:tbl>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pStyle w:val="2"/>
        <w:rPr>
          <w:rFonts w:hint="eastAsia"/>
          <w:highlight w:val="none"/>
        </w:rPr>
      </w:pPr>
    </w:p>
    <w:p>
      <w:pPr>
        <w:spacing w:line="360" w:lineRule="auto"/>
        <w:rPr>
          <w:rFonts w:hint="eastAsia" w:ascii="宋体" w:hAnsi="宋体" w:cs="宋体"/>
          <w:b/>
          <w:bCs/>
          <w:color w:val="000000" w:themeColor="text1"/>
          <w:szCs w:val="21"/>
          <w:highlight w:val="none"/>
          <w14:textFill>
            <w14:solidFill>
              <w14:schemeClr w14:val="tx1"/>
            </w14:solidFill>
          </w14:textFill>
        </w:rPr>
      </w:pPr>
    </w:p>
    <w:p>
      <w:pPr>
        <w:spacing w:line="360" w:lineRule="auto"/>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附件1  中标通知书</w:t>
      </w: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spacing w:line="520" w:lineRule="exact"/>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附件2  </w:t>
      </w:r>
      <w:r>
        <w:rPr>
          <w:rFonts w:hint="eastAsia" w:ascii="宋体" w:hAnsi="宋体" w:eastAsia="宋体" w:cs="宋体"/>
          <w:b/>
          <w:bCs/>
          <w:color w:val="000000" w:themeColor="text1"/>
          <w:szCs w:val="21"/>
          <w:highlight w:val="none"/>
          <w14:textFill>
            <w14:solidFill>
              <w14:schemeClr w14:val="tx1"/>
            </w14:solidFill>
          </w14:textFill>
        </w:rPr>
        <w:t>廉洁协议</w:t>
      </w:r>
      <w:r>
        <w:rPr>
          <w:rFonts w:hint="eastAsia" w:ascii="宋体" w:hAnsi="宋体" w:eastAsia="宋体" w:cs="宋体"/>
          <w:b/>
          <w:bCs/>
          <w:color w:val="000000" w:themeColor="text1"/>
          <w:szCs w:val="21"/>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480" w:lineRule="exact"/>
        <w:ind w:firstLine="3640" w:firstLineChars="1300"/>
        <w:jc w:val="both"/>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廉洁协议</w:t>
      </w:r>
    </w:p>
    <w:p>
      <w:pPr>
        <w:keepNext w:val="0"/>
        <w:keepLines w:val="0"/>
        <w:pageBreakBefore w:val="0"/>
        <w:kinsoku/>
        <w:wordWrap/>
        <w:overflowPunct/>
        <w:topLinePunct w:val="0"/>
        <w:autoSpaceDE/>
        <w:autoSpaceDN/>
        <w:bidi w:val="0"/>
        <w:adjustRightInd/>
        <w:snapToGrid/>
        <w:spacing w:line="480" w:lineRule="exact"/>
        <w:ind w:firstLine="630" w:firstLineChars="225"/>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 w:val="0"/>
          <w:bCs/>
          <w:color w:val="000000" w:themeColor="text1"/>
          <w:sz w:val="28"/>
          <w:szCs w:val="28"/>
          <w:highlight w:val="none"/>
          <w:u w:val="single"/>
          <w14:textFill>
            <w14:solidFill>
              <w14:schemeClr w14:val="tx1"/>
            </w14:solidFill>
          </w14:textFill>
        </w:rPr>
        <w:t>广州市净水有限公司</w:t>
      </w:r>
      <w:r>
        <w:rPr>
          <w:rFonts w:hint="eastAsia" w:ascii="宋体" w:hAnsi="宋体" w:eastAsia="宋体" w:cs="宋体"/>
          <w:b w:val="0"/>
          <w:bCs/>
          <w:color w:val="000000" w:themeColor="text1"/>
          <w:sz w:val="28"/>
          <w:szCs w:val="28"/>
          <w:highlight w:val="none"/>
          <w14:textFill>
            <w14:solidFill>
              <w14:schemeClr w14:val="tx1"/>
            </w14:solidFill>
          </w14:textFill>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第一条 甲乙双方的权利和义务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（二）严格执行</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val="0"/>
          <w:bCs/>
          <w:color w:val="000000" w:themeColor="text1"/>
          <w:sz w:val="28"/>
          <w:szCs w:val="28"/>
          <w:highlight w:val="none"/>
          <w14:textFill>
            <w14:solidFill>
              <w14:schemeClr w14:val="tx1"/>
            </w14:solidFill>
          </w14:textFill>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480" w:lineRule="exact"/>
        <w:ind w:firstLine="420" w:firstLineChars="15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检举。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第二条甲方的义务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第三条乙方的义务</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480" w:lineRule="exact"/>
        <w:ind w:left="25" w:leftChars="12"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（五）乙方不得擅自与甲方工作人员就</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主</w:t>
      </w:r>
      <w:r>
        <w:rPr>
          <w:rFonts w:hint="eastAsia" w:ascii="宋体" w:hAnsi="宋体" w:eastAsia="宋体" w:cs="宋体"/>
          <w:b w:val="0"/>
          <w:bCs/>
          <w:color w:val="000000" w:themeColor="text1"/>
          <w:sz w:val="28"/>
          <w:szCs w:val="28"/>
          <w:highlight w:val="none"/>
          <w14:textFill>
            <w14:solidFill>
              <w14:schemeClr w14:val="tx1"/>
            </w14:solidFill>
          </w14:textFill>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（七）乙方不得向甲方工作人员提供干股或红利。</w:t>
      </w:r>
    </w:p>
    <w:p>
      <w:pPr>
        <w:keepNext w:val="0"/>
        <w:keepLines w:val="0"/>
        <w:pageBreakBefore w:val="0"/>
        <w:kinsoku/>
        <w:wordWrap/>
        <w:overflowPunct/>
        <w:topLinePunct w:val="0"/>
        <w:autoSpaceDE/>
        <w:autoSpaceDN/>
        <w:bidi w:val="0"/>
        <w:adjustRightInd/>
        <w:snapToGrid/>
        <w:spacing w:line="480" w:lineRule="exact"/>
        <w:ind w:left="15" w:leftChars="7" w:firstLine="560" w:firstLineChars="200"/>
        <w:textAlignment w:val="auto"/>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(八）不得存在其他违反廉洁规定的行为。</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第四条违约责任</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甲方举报投诉联系部门：广州市净水有限公司</w:t>
      </w:r>
      <w:r>
        <w:rPr>
          <w:rFonts w:hint="eastAsia" w:ascii="宋体" w:hAnsi="宋体" w:eastAsia="宋体" w:cs="宋体"/>
          <w:b w:val="0"/>
          <w:bCs/>
          <w:color w:val="000000" w:themeColor="text1"/>
          <w:sz w:val="28"/>
          <w:szCs w:val="28"/>
          <w:highlight w:val="none"/>
          <w:u w:val="single"/>
          <w14:textFill>
            <w14:solidFill>
              <w14:schemeClr w14:val="tx1"/>
            </w14:solidFill>
          </w14:textFill>
        </w:rPr>
        <w:t>纪检室</w:t>
      </w:r>
      <w:r>
        <w:rPr>
          <w:rFonts w:hint="eastAsia" w:ascii="宋体" w:hAnsi="宋体" w:eastAsia="宋体" w:cs="宋体"/>
          <w:b w:val="0"/>
          <w:bCs/>
          <w:color w:val="000000" w:themeColor="text1"/>
          <w:sz w:val="28"/>
          <w:szCs w:val="28"/>
          <w:highlight w:val="none"/>
          <w14:textFill>
            <w14:solidFill>
              <w14:schemeClr w14:val="tx1"/>
            </w14:solidFill>
          </w14:textFill>
        </w:rPr>
        <w:t>，联系电话：</w:t>
      </w:r>
      <w:r>
        <w:rPr>
          <w:rFonts w:hint="eastAsia" w:ascii="宋体" w:hAnsi="宋体" w:eastAsia="宋体" w:cs="宋体"/>
          <w:b w:val="0"/>
          <w:bCs/>
          <w:color w:val="000000" w:themeColor="text1"/>
          <w:sz w:val="28"/>
          <w:szCs w:val="28"/>
          <w:highlight w:val="none"/>
          <w:u w:val="single"/>
          <w14:textFill>
            <w14:solidFill>
              <w14:schemeClr w14:val="tx1"/>
            </w14:solidFill>
          </w14:textFill>
        </w:rPr>
        <w:t xml:space="preserve"> 020-38890265 </w:t>
      </w:r>
      <w:r>
        <w:rPr>
          <w:rFonts w:hint="eastAsia" w:ascii="宋体" w:hAnsi="宋体" w:eastAsia="宋体" w:cs="宋体"/>
          <w:b w:val="0"/>
          <w:bCs/>
          <w:color w:val="000000" w:themeColor="text1"/>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甲方</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2、解除</w:t>
      </w:r>
      <w:r>
        <w:rPr>
          <w:rFonts w:hint="eastAsia" w:ascii="宋体" w:hAnsi="宋体" w:eastAsia="宋体" w:cs="宋体"/>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480" w:lineRule="exact"/>
        <w:ind w:left="0" w:firstLine="0"/>
        <w:textAlignment w:val="auto"/>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480" w:lineRule="exact"/>
        <w:ind w:firstLine="560" w:firstLineChars="200"/>
        <w:textAlignment w:val="auto"/>
        <w:rPr>
          <w:rFonts w:hint="eastAsia" w:ascii="宋体" w:hAnsi="宋体" w:eastAsia="宋体" w:cs="宋体"/>
          <w:b w:val="0"/>
          <w:bCs/>
          <w:color w:val="000000" w:themeColor="text1"/>
          <w:kern w:val="0"/>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 xml:space="preserve">第五条 </w:t>
      </w:r>
      <w:r>
        <w:rPr>
          <w:rFonts w:hint="eastAsia" w:ascii="宋体" w:hAnsi="宋体" w:eastAsia="宋体" w:cs="宋体"/>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第六条本协议作为</w:t>
      </w:r>
      <w:r>
        <w:rPr>
          <w:rFonts w:hint="eastAsia" w:ascii="宋体" w:hAnsi="宋体" w:eastAsia="宋体" w:cs="宋体"/>
          <w:b w:val="0"/>
          <w:bCs/>
          <w:color w:val="000000" w:themeColor="text1"/>
          <w:sz w:val="28"/>
          <w:szCs w:val="28"/>
          <w:highlight w:val="none"/>
          <w:u w:val="single"/>
          <w14:textFill>
            <w14:solidFill>
              <w14:schemeClr w14:val="tx1"/>
            </w14:solidFill>
          </w14:textFill>
        </w:rPr>
        <w:t>（合同名称）+（合同编号）</w:t>
      </w:r>
      <w:r>
        <w:rPr>
          <w:rFonts w:hint="eastAsia" w:ascii="宋体" w:hAnsi="宋体" w:eastAsia="宋体" w:cs="宋体"/>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第七条本协议一式</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份，甲方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份，乙方</w:t>
      </w:r>
      <w:r>
        <w:rPr>
          <w:rFonts w:hint="eastAsia" w:ascii="宋体" w:hAnsi="宋体" w:eastAsia="宋体" w:cs="宋体"/>
          <w:b w:val="0"/>
          <w:bCs/>
          <w:color w:val="000000" w:themeColor="text1"/>
          <w:sz w:val="28"/>
          <w:szCs w:val="28"/>
          <w:highlight w:val="none"/>
          <w:u w:val="single"/>
          <w14:textFill>
            <w14:solidFill>
              <w14:schemeClr w14:val="tx1"/>
            </w14:solidFill>
          </w14:textFill>
        </w:rPr>
        <w:t>…</w:t>
      </w:r>
      <w:r>
        <w:rPr>
          <w:rFonts w:hint="eastAsia" w:ascii="宋体" w:hAnsi="宋体" w:eastAsia="宋体" w:cs="宋体"/>
          <w:b w:val="0"/>
          <w:bCs/>
          <w:color w:val="000000" w:themeColor="text1"/>
          <w:sz w:val="28"/>
          <w:szCs w:val="28"/>
          <w:highlight w:val="none"/>
          <w14:textFill>
            <w14:solidFill>
              <w14:schemeClr w14:val="tx1"/>
            </w14:solidFill>
          </w14:textFill>
        </w:rPr>
        <w:t>份。</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甲方（盖章）：                     乙方（盖章）：</w:t>
      </w:r>
    </w:p>
    <w:p>
      <w:pPr>
        <w:pStyle w:val="32"/>
        <w:keepNext w:val="0"/>
        <w:keepLines w:val="0"/>
        <w:pageBreakBefore w:val="0"/>
        <w:tabs>
          <w:tab w:val="left" w:pos="5100"/>
        </w:tabs>
        <w:kinsoku/>
        <w:wordWrap/>
        <w:overflowPunct/>
        <w:topLinePunct w:val="0"/>
        <w:autoSpaceDE/>
        <w:autoSpaceDN/>
        <w:bidi w:val="0"/>
        <w:adjustRightInd/>
        <w:snapToGrid/>
        <w:spacing w:line="480" w:lineRule="exact"/>
        <w:ind w:left="7200" w:firstLine="0" w:firstLineChars="0"/>
        <w:jc w:val="lef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p>
    <w:p>
      <w:pPr>
        <w:keepNext w:val="0"/>
        <w:keepLines w:val="0"/>
        <w:pageBreakBefore w:val="0"/>
        <w:tabs>
          <w:tab w:val="left" w:pos="5100"/>
        </w:tabs>
        <w:kinsoku/>
        <w:wordWrap/>
        <w:overflowPunct/>
        <w:topLinePunct w:val="0"/>
        <w:autoSpaceDE/>
        <w:autoSpaceDN/>
        <w:bidi w:val="0"/>
        <w:adjustRightInd/>
        <w:snapToGrid/>
        <w:spacing w:line="480" w:lineRule="exact"/>
        <w:ind w:left="7200" w:hanging="8400" w:hangingChars="3000"/>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签约代表：                         签约代表：</w:t>
      </w:r>
    </w:p>
    <w:p>
      <w:pPr>
        <w:keepNext w:val="0"/>
        <w:keepLines w:val="0"/>
        <w:pageBreakBefore w:val="0"/>
        <w:tabs>
          <w:tab w:val="left" w:pos="4170"/>
        </w:tabs>
        <w:kinsoku/>
        <w:wordWrap/>
        <w:overflowPunct/>
        <w:topLinePunct w:val="0"/>
        <w:autoSpaceDE/>
        <w:autoSpaceDN/>
        <w:bidi w:val="0"/>
        <w:adjustRightInd/>
        <w:snapToGrid/>
        <w:spacing w:line="480" w:lineRule="exact"/>
        <w:textAlignment w:val="auto"/>
        <w:rPr>
          <w:rFonts w:hint="eastAsia" w:ascii="宋体" w:hAnsi="宋体" w:eastAsia="宋体" w:cs="宋体"/>
          <w:b w:val="0"/>
          <w:bCs/>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r>
        <w:rPr>
          <w:rFonts w:hint="eastAsia" w:ascii="宋体" w:hAnsi="宋体" w:eastAsia="宋体" w:cs="宋体"/>
          <w:b w:val="0"/>
          <w:bCs/>
          <w:color w:val="000000" w:themeColor="text1"/>
          <w:sz w:val="28"/>
          <w:szCs w:val="28"/>
          <w:highlight w:val="none"/>
          <w14:textFill>
            <w14:solidFill>
              <w14:schemeClr w14:val="tx1"/>
            </w14:solidFill>
          </w14:textFill>
        </w:rPr>
        <w:tab/>
      </w:r>
      <w:r>
        <w:rPr>
          <w:rFonts w:hint="eastAsia" w:ascii="宋体" w:hAnsi="宋体" w:eastAsia="宋体" w:cs="宋体"/>
          <w:b w:val="0"/>
          <w:bCs/>
          <w:color w:val="000000" w:themeColor="text1"/>
          <w:sz w:val="28"/>
          <w:szCs w:val="28"/>
          <w:highlight w:val="none"/>
          <w14:textFill>
            <w14:solidFill>
              <w14:schemeClr w14:val="tx1"/>
            </w14:solidFill>
          </w14:textFill>
        </w:rPr>
        <w:t>日期：  年  月  日</w:t>
      </w:r>
    </w:p>
    <w:p>
      <w:pPr>
        <w:keepNext w:val="0"/>
        <w:keepLines w:val="0"/>
        <w:pageBreakBefore w:val="0"/>
        <w:kinsoku/>
        <w:wordWrap/>
        <w:overflowPunct/>
        <w:topLinePunct w:val="0"/>
        <w:autoSpaceDE/>
        <w:autoSpaceDN/>
        <w:bidi w:val="0"/>
        <w:adjustRightInd w:val="0"/>
        <w:snapToGrid w:val="0"/>
        <w:spacing w:line="500" w:lineRule="exact"/>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pPr>
        <w:pStyle w:val="2"/>
        <w:spacing w:line="520" w:lineRule="exact"/>
        <w:ind w:firstLine="0" w:firstLineChars="0"/>
        <w:rPr>
          <w:rFonts w:hint="eastAsia" w:ascii="宋体" w:hAnsi="宋体" w:eastAsia="宋体" w:cs="宋体"/>
          <w:b/>
          <w:color w:val="000000" w:themeColor="text1"/>
          <w:szCs w:val="21"/>
          <w:highlight w:val="none"/>
          <w14:textFill>
            <w14:solidFill>
              <w14:schemeClr w14:val="tx1"/>
            </w14:solidFill>
          </w14:textFill>
        </w:rPr>
      </w:pPr>
    </w:p>
    <w:p>
      <w:pPr>
        <w:spacing w:line="360" w:lineRule="auto"/>
        <w:rPr>
          <w:rFonts w:hint="eastAsia" w:ascii="黑体" w:hAnsi="宋体" w:eastAsia="黑体" w:cs="宋体"/>
          <w:bCs/>
          <w:color w:val="000000" w:themeColor="text1"/>
          <w:kern w:val="0"/>
          <w:sz w:val="44"/>
          <w:szCs w:val="44"/>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附件3：安全管理协议书</w:t>
      </w:r>
    </w:p>
    <w:p>
      <w:pPr>
        <w:keepNext w:val="0"/>
        <w:keepLines w:val="0"/>
        <w:pageBreakBefore w:val="0"/>
        <w:kinsoku/>
        <w:wordWrap/>
        <w:overflowPunct/>
        <w:topLinePunct w:val="0"/>
        <w:autoSpaceDE/>
        <w:autoSpaceDN/>
        <w:bidi w:val="0"/>
        <w:spacing w:line="520" w:lineRule="exact"/>
        <w:jc w:val="center"/>
        <w:rPr>
          <w:rFonts w:ascii="宋体" w:hAnsi="宋体" w:cs="Arial"/>
          <w:color w:val="000000" w:themeColor="text1"/>
          <w:kern w:val="0"/>
          <w:sz w:val="24"/>
          <w:highlight w:val="none"/>
          <w14:textFill>
            <w14:solidFill>
              <w14:schemeClr w14:val="tx1"/>
            </w14:solidFill>
          </w14:textFill>
        </w:rPr>
      </w:pPr>
      <w:r>
        <w:rPr>
          <w:rFonts w:hint="eastAsia" w:ascii="黑体" w:hAnsi="宋体" w:eastAsia="黑体" w:cs="宋体"/>
          <w:bCs/>
          <w:color w:val="000000" w:themeColor="text1"/>
          <w:kern w:val="0"/>
          <w:sz w:val="44"/>
          <w:szCs w:val="44"/>
          <w:highlight w:val="none"/>
          <w14:textFill>
            <w14:solidFill>
              <w14:schemeClr w14:val="tx1"/>
            </w14:solidFill>
          </w14:textFill>
        </w:rPr>
        <w:t>物品采购</w:t>
      </w:r>
      <w:r>
        <w:rPr>
          <w:rFonts w:hint="eastAsia" w:ascii="黑体" w:hAnsi="Batang" w:eastAsia="黑体" w:cs="Batang"/>
          <w:bCs/>
          <w:color w:val="000000" w:themeColor="text1"/>
          <w:kern w:val="0"/>
          <w:sz w:val="44"/>
          <w:szCs w:val="44"/>
          <w:highlight w:val="none"/>
          <w14:textFill>
            <w14:solidFill>
              <w14:schemeClr w14:val="tx1"/>
            </w14:solidFill>
          </w14:textFill>
        </w:rPr>
        <w:t>安全协议</w:t>
      </w:r>
      <w:r>
        <w:rPr>
          <w:rFonts w:hint="eastAsia" w:ascii="黑体" w:hAnsi="宋体" w:eastAsia="黑体" w:cs="宋体"/>
          <w:bCs/>
          <w:color w:val="000000" w:themeColor="text1"/>
          <w:kern w:val="0"/>
          <w:sz w:val="44"/>
          <w:szCs w:val="44"/>
          <w:highlight w:val="none"/>
          <w14:textFill>
            <w14:solidFill>
              <w14:schemeClr w14:val="tx1"/>
            </w14:solidFill>
          </w14:textFill>
        </w:rPr>
        <w:t>书</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甲方：</w:t>
      </w:r>
      <w:r>
        <w:rPr>
          <w:rFonts w:hint="eastAsia"/>
          <w:color w:val="000000" w:themeColor="text1"/>
          <w:sz w:val="24"/>
          <w:highlight w:val="none"/>
          <w14:textFill>
            <w14:solidFill>
              <w14:schemeClr w14:val="tx1"/>
            </w14:solidFill>
          </w14:textFill>
        </w:rPr>
        <w:t>广州市净水有限公司</w:t>
      </w:r>
    </w:p>
    <w:p>
      <w:pPr>
        <w:keepNext w:val="0"/>
        <w:keepLines w:val="0"/>
        <w:pageBreakBefore w:val="0"/>
        <w:kinsoku/>
        <w:wordWrap/>
        <w:overflowPunct/>
        <w:topLinePunct w:val="0"/>
        <w:autoSpaceDE/>
        <w:autoSpaceDN/>
        <w:bidi w:val="0"/>
        <w:spacing w:line="520" w:lineRule="exact"/>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乙方：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为加强物品采购过程安全管理，根据《中华人民共和国安全生产法》、《生产安全事故报告和调查处理条例》等国家及地方有关安全生产法律法规</w:t>
      </w:r>
      <w:r>
        <w:rPr>
          <w:rFonts w:ascii="宋体" w:hAnsi="宋体" w:cs="Arial"/>
          <w:color w:val="000000" w:themeColor="text1"/>
          <w:kern w:val="0"/>
          <w:sz w:val="24"/>
          <w:highlight w:val="none"/>
          <w14:textFill>
            <w14:solidFill>
              <w14:schemeClr w14:val="tx1"/>
            </w14:solidFill>
          </w14:textFill>
        </w:rPr>
        <w:t>，甲乙双方就</w:t>
      </w:r>
      <w:r>
        <w:rPr>
          <w:rFonts w:hint="eastAsia" w:ascii="宋体" w:hAnsi="宋体" w:cs="Arial"/>
          <w:color w:val="000000" w:themeColor="text1"/>
          <w:kern w:val="0"/>
          <w:sz w:val="24"/>
          <w:highlight w:val="none"/>
          <w14:textFill>
            <w14:solidFill>
              <w14:schemeClr w14:val="tx1"/>
            </w14:solidFill>
          </w14:textFill>
        </w:rPr>
        <w:t>物品采购的安全</w:t>
      </w:r>
      <w:r>
        <w:rPr>
          <w:rFonts w:ascii="宋体" w:hAnsi="宋体" w:cs="Arial"/>
          <w:color w:val="000000" w:themeColor="text1"/>
          <w:kern w:val="0"/>
          <w:sz w:val="24"/>
          <w:highlight w:val="none"/>
          <w14:textFill>
            <w14:solidFill>
              <w14:schemeClr w14:val="tx1"/>
            </w14:solidFill>
          </w14:textFill>
        </w:rPr>
        <w:t>事宜，</w:t>
      </w:r>
      <w:r>
        <w:rPr>
          <w:rFonts w:ascii="宋体" w:hAnsi="宋体" w:cs="Arial"/>
          <w:color w:val="000000" w:themeColor="text1"/>
          <w:sz w:val="24"/>
          <w:highlight w:val="none"/>
          <w14:textFill>
            <w14:solidFill>
              <w14:schemeClr w14:val="tx1"/>
            </w14:solidFill>
          </w14:textFill>
        </w:rPr>
        <w:t>经双方友好协商，达成如下协议</w:t>
      </w:r>
      <w:r>
        <w:rPr>
          <w:rFonts w:ascii="宋体" w:hAnsi="宋体" w:cs="Arial"/>
          <w:color w:val="000000" w:themeColor="text1"/>
          <w:kern w:val="0"/>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一、本协议与主合同的关系</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本协议作为</w:t>
      </w:r>
      <w:r>
        <w:rPr>
          <w:rFonts w:hint="eastAsia" w:asciiTheme="minorEastAsia" w:hAnsiTheme="minorEastAsia" w:eastAsiaTheme="minorEastAsia"/>
          <w:color w:val="000000" w:themeColor="text1"/>
          <w:sz w:val="24"/>
          <w:highlight w:val="none"/>
          <w:u w:val="single"/>
          <w:lang w:val="en-US" w:eastAsia="zh-CN"/>
          <w14:textFill>
            <w14:solidFill>
              <w14:schemeClr w14:val="tx1"/>
            </w14:solidFill>
          </w14:textFill>
        </w:rPr>
        <w:t>广州市净水有限公司大沙地分公司2月份板框压滤机滤布备件采购项目</w:t>
      </w:r>
      <w:r>
        <w:rPr>
          <w:rFonts w:hint="eastAsia" w:asciiTheme="minorEastAsia" w:hAnsiTheme="minorEastAsia" w:eastAsiaTheme="minorEastAsia"/>
          <w:color w:val="000000" w:themeColor="text1"/>
          <w:sz w:val="24"/>
          <w:highlight w:val="none"/>
          <w14:textFill>
            <w14:solidFill>
              <w14:schemeClr w14:val="tx1"/>
            </w14:solidFill>
          </w14:textFill>
        </w:rPr>
        <w:t>的组成部分，与主合同具有同等法律效力。</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二、甲方权责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（一）甲方进行物品采购时，应贯彻落实国家、地方有关安全管理的法律法规和规章制度。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（四）乙方对存在问题拒不整改的，视为违约，甲方有权对乙方按主合同相关条款进行违约金扣罚。如乙方拒不缴纳违约金的，甲方有权在履约保证金中扣除。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（五）告知乙方在甲方应当遵守的安全管理要求。</w:t>
      </w:r>
    </w:p>
    <w:p>
      <w:pPr>
        <w:keepNext w:val="0"/>
        <w:keepLines w:val="0"/>
        <w:pageBreakBefore w:val="0"/>
        <w:kinsoku/>
        <w:wordWrap/>
        <w:overflowPunct/>
        <w:topLinePunct w:val="0"/>
        <w:autoSpaceDE/>
        <w:autoSpaceDN/>
        <w:bidi w:val="0"/>
        <w:spacing w:line="520" w:lineRule="exact"/>
        <w:ind w:firstLine="482" w:firstLineChars="200"/>
        <w:rPr>
          <w:rFonts w:ascii="宋体" w:hAnsi="宋体" w:cs="Arial"/>
          <w:b/>
          <w:color w:val="000000" w:themeColor="text1"/>
          <w:kern w:val="0"/>
          <w:sz w:val="24"/>
          <w:highlight w:val="none"/>
          <w14:textFill>
            <w14:solidFill>
              <w14:schemeClr w14:val="tx1"/>
            </w14:solidFill>
          </w14:textFill>
        </w:rPr>
      </w:pPr>
      <w:r>
        <w:rPr>
          <w:rFonts w:hint="eastAsia" w:ascii="宋体" w:hAnsi="宋体" w:cs="Arial"/>
          <w:b/>
          <w:color w:val="000000" w:themeColor="text1"/>
          <w:kern w:val="0"/>
          <w:sz w:val="24"/>
          <w:highlight w:val="none"/>
          <w14:textFill>
            <w14:solidFill>
              <w14:schemeClr w14:val="tx1"/>
            </w14:solidFill>
          </w14:textFill>
        </w:rPr>
        <w:t>三、乙方权责</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（一）乙方应承诺具备所售物品的许可资质，并提供相关证明材料。若乙方非所售物品的直销厂家，应提供物品的完整供应链，物品的销售、运输、装卸全过程须严格遵守国家及地方的法律的有关规定。</w:t>
      </w:r>
    </w:p>
    <w:p>
      <w:pPr>
        <w:keepNext w:val="0"/>
        <w:keepLines w:val="0"/>
        <w:pageBreakBefore w:val="0"/>
        <w:kinsoku/>
        <w:wordWrap/>
        <w:overflowPunct/>
        <w:topLinePunct w:val="0"/>
        <w:autoSpaceDE/>
        <w:autoSpaceDN/>
        <w:bidi w:val="0"/>
        <w:spacing w:line="520" w:lineRule="exact"/>
        <w:ind w:firstLine="480" w:firstLineChars="200"/>
        <w:rPr>
          <w:rFonts w:ascii="宋体" w:hAnsi="宋体" w:cs="Arial"/>
          <w:color w:val="000000" w:themeColor="text1"/>
          <w:kern w:val="0"/>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安全运输责任人，负责安全运输和装卸及安全教育工作，同时督促检查，确保</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的安全送运。</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（三）乙方应承诺所售</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质量符合现行国家规范要求，保证</w:t>
      </w:r>
      <w:r>
        <w:rPr>
          <w:rFonts w:hint="eastAsia" w:ascii="宋体" w:hAnsi="宋体" w:cs="Arial"/>
          <w:color w:val="000000" w:themeColor="text1"/>
          <w:kern w:val="0"/>
          <w:sz w:val="24"/>
          <w:highlight w:val="none"/>
          <w14:textFill>
            <w14:solidFill>
              <w14:schemeClr w14:val="tx1"/>
            </w14:solidFill>
          </w14:textFill>
        </w:rPr>
        <w:t>所售物品为正品。</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类物品应提供与</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型号一致的使用说明书（进口</w:t>
      </w:r>
      <w:r>
        <w:rPr>
          <w:rFonts w:hint="eastAsia" w:ascii="宋体" w:hAnsi="宋体" w:cs="Arial"/>
          <w:color w:val="000000" w:themeColor="text1"/>
          <w:kern w:val="0"/>
          <w:sz w:val="24"/>
          <w:highlight w:val="none"/>
          <w:lang w:eastAsia="zh-CN"/>
          <w14:textFill>
            <w14:solidFill>
              <w14:schemeClr w14:val="tx1"/>
            </w14:solidFill>
          </w14:textFill>
        </w:rPr>
        <w:t>货物</w:t>
      </w:r>
      <w:r>
        <w:rPr>
          <w:rFonts w:hint="eastAsia" w:ascii="宋体" w:hAnsi="宋体" w:cs="Arial"/>
          <w:color w:val="000000" w:themeColor="text1"/>
          <w:kern w:val="0"/>
          <w:sz w:val="24"/>
          <w:highlight w:val="none"/>
          <w14:textFill>
            <w14:solidFill>
              <w14:schemeClr w14:val="tx1"/>
            </w14:solidFill>
          </w14:textFill>
        </w:rPr>
        <w:t>应有中文说明书），如物品有保质期要求的应在保质期范围内，</w:t>
      </w:r>
      <w:r>
        <w:rPr>
          <w:rFonts w:hint="eastAsia" w:ascii="宋体" w:hAnsi="宋体" w:cs="宋体"/>
          <w:color w:val="000000" w:themeColor="text1"/>
          <w:kern w:val="0"/>
          <w:sz w:val="24"/>
          <w:highlight w:val="none"/>
          <w14:textFill>
            <w14:solidFill>
              <w14:schemeClr w14:val="tx1"/>
            </w14:solidFill>
          </w14:textFill>
        </w:rPr>
        <w:t>特殊</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应在运输前做好定检工作，包装要完整完好。</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（四）乙方对</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的运输、装卸、</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（五）乙方须加强物品运输车辆的安全管理，用于运输</w:t>
      </w:r>
      <w:r>
        <w:rPr>
          <w:rFonts w:hint="eastAsia" w:ascii="宋体" w:hAnsi="宋体" w:cs="Arial"/>
          <w:color w:val="000000" w:themeColor="text1"/>
          <w:kern w:val="0"/>
          <w:sz w:val="24"/>
          <w:highlight w:val="none"/>
          <w14:textFill>
            <w14:solidFill>
              <w14:schemeClr w14:val="tx1"/>
            </w14:solidFill>
          </w14:textFill>
        </w:rPr>
        <w:t>物品</w:t>
      </w:r>
      <w:r>
        <w:rPr>
          <w:rFonts w:hint="eastAsia" w:ascii="宋体" w:hAnsi="宋体" w:cs="宋体"/>
          <w:color w:val="000000" w:themeColor="text1"/>
          <w:kern w:val="0"/>
          <w:sz w:val="24"/>
          <w:highlight w:val="none"/>
          <w14:textFill>
            <w14:solidFill>
              <w14:schemeClr w14:val="tx1"/>
            </w14:solidFill>
          </w14:textFill>
        </w:rPr>
        <w:t>的车辆必须车况良好、外观整洁、证照齐全，严格执行车辆安全检验制度，确保车辆性能符合安全技术标准。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（六）人员管理</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乙方必须严格按照国家相关规定雇佣人员，加强承运车辆驾驶员的道路安全交通法、相关安全管理制度、操作技能等的培训教育，确保安全运输。禁止病车上路、超速行驶、超限超载行驶，严禁酒后驾车和疲劳驾车等。乙方聘请其他单位运输的，乙方应对运输单位的安全管理负责。</w:t>
      </w:r>
    </w:p>
    <w:p>
      <w:pPr>
        <w:keepNext w:val="0"/>
        <w:keepLines w:val="0"/>
        <w:pageBreakBefore w:val="0"/>
        <w:widowControl/>
        <w:numPr>
          <w:ilvl w:val="0"/>
          <w:numId w:val="6"/>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元/次。</w:t>
      </w:r>
    </w:p>
    <w:p>
      <w:pPr>
        <w:keepNext w:val="0"/>
        <w:keepLines w:val="0"/>
        <w:pageBreakBefore w:val="0"/>
        <w:widowControl/>
        <w:numPr>
          <w:ilvl w:val="0"/>
          <w:numId w:val="0"/>
        </w:numPr>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keepNext w:val="0"/>
        <w:keepLines w:val="0"/>
        <w:pageBreakBefore w:val="0"/>
        <w:widowControl/>
        <w:kinsoku/>
        <w:wordWrap/>
        <w:overflowPunct/>
        <w:topLinePunct w:val="0"/>
        <w:autoSpaceDE/>
        <w:autoSpaceDN/>
        <w:bidi w:val="0"/>
        <w:spacing w:line="520" w:lineRule="exact"/>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4.如</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类物品需进行安装、调试，乙方应安排熟悉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或有</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操作相关资质的专业人员与甲方进行</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验收及培训等工作，确保操作</w:t>
      </w:r>
      <w:r>
        <w:rPr>
          <w:rFonts w:hint="eastAsia" w:ascii="宋体" w:hAnsi="宋体" w:cs="宋体"/>
          <w:color w:val="000000" w:themeColor="text1"/>
          <w:kern w:val="0"/>
          <w:sz w:val="24"/>
          <w:highlight w:val="none"/>
          <w:lang w:eastAsia="zh-CN"/>
          <w14:textFill>
            <w14:solidFill>
              <w14:schemeClr w14:val="tx1"/>
            </w14:solidFill>
          </w14:textFill>
        </w:rPr>
        <w:t>货物</w:t>
      </w:r>
      <w:r>
        <w:rPr>
          <w:rFonts w:hint="eastAsia" w:ascii="宋体" w:hAnsi="宋体" w:cs="宋体"/>
          <w:color w:val="000000" w:themeColor="text1"/>
          <w:kern w:val="0"/>
          <w:sz w:val="24"/>
          <w:highlight w:val="none"/>
          <w14:textFill>
            <w14:solidFill>
              <w14:schemeClr w14:val="tx1"/>
            </w14:solidFill>
          </w14:textFill>
        </w:rPr>
        <w:t>过程安全。</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（七）发生事故时，乙方须立即报警处理，乙方在力所能及范围内采取补救措施，并在30分钟内将情况报告甲方。</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kinsoku/>
        <w:wordWrap/>
        <w:overflowPunct/>
        <w:topLinePunct w:val="0"/>
        <w:autoSpaceDE/>
        <w:autoSpaceDN/>
        <w:bidi w:val="0"/>
        <w:spacing w:line="520" w:lineRule="exact"/>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（十）乙方委托的第三方运输单位或个人，违反本协议的，全部责任均由乙方承担。</w:t>
      </w:r>
    </w:p>
    <w:p>
      <w:pPr>
        <w:pStyle w:val="35"/>
        <w:keepNext w:val="0"/>
        <w:keepLines w:val="0"/>
        <w:pageBreakBefore w:val="0"/>
        <w:kinsoku/>
        <w:wordWrap/>
        <w:overflowPunct/>
        <w:topLinePunct w:val="0"/>
        <w:autoSpaceDE/>
        <w:autoSpaceDN/>
        <w:bidi w:val="0"/>
        <w:spacing w:line="520" w:lineRule="exact"/>
        <w:ind w:firstLine="482" w:firstLineChars="200"/>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四、补充条款：</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20" w:lineRule="exact"/>
        <w:ind w:firstLine="482" w:firstLineChars="200"/>
        <w:jc w:val="left"/>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五、附则</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300" w:tblpY="22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甲方：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c>
          <w:tcPr>
            <w:tcW w:w="4474" w:type="dxa"/>
          </w:tcPr>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签约代表：</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val="0"/>
              <w:snapToGrid w:val="0"/>
              <w:spacing w:line="520" w:lineRule="exact"/>
              <w:jc w:val="right"/>
              <w:textAlignment w:val="baseline"/>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月</w:t>
            </w:r>
            <w:r>
              <w:rPr>
                <w:rFonts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olor w:val="000000" w:themeColor="text1"/>
                <w:sz w:val="24"/>
                <w:highlight w:val="none"/>
                <w14:textFill>
                  <w14:solidFill>
                    <w14:schemeClr w14:val="tx1"/>
                  </w14:solidFill>
                </w14:textFill>
              </w:rPr>
              <w:t>日</w:t>
            </w:r>
          </w:p>
        </w:tc>
      </w:tr>
    </w:tbl>
    <w:p>
      <w:pPr>
        <w:keepNext w:val="0"/>
        <w:keepLines w:val="0"/>
        <w:pageBreakBefore w:val="0"/>
        <w:kinsoku/>
        <w:wordWrap/>
        <w:overflowPunct/>
        <w:topLinePunct w:val="0"/>
        <w:autoSpaceDE/>
        <w:autoSpaceDN/>
        <w:bidi w:val="0"/>
        <w:adjustRightInd w:val="0"/>
        <w:snapToGrid w:val="0"/>
        <w:spacing w:line="520" w:lineRule="exact"/>
        <w:ind w:firstLine="480" w:firstLineChars="200"/>
        <w:jc w:val="left"/>
        <w:rPr>
          <w:rFonts w:asciiTheme="minorEastAsia" w:hAnsiTheme="minorEastAsia" w:eastAsiaTheme="minorEastAsia"/>
          <w:color w:val="000000" w:themeColor="text1"/>
          <w:sz w:val="24"/>
          <w:highlight w:val="none"/>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p>
    <w:p>
      <w:pPr>
        <w:spacing w:line="560" w:lineRule="exac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附件4 报价清单</w:t>
      </w:r>
    </w:p>
    <w:p>
      <w:pPr>
        <w:pStyle w:val="2"/>
        <w:rPr>
          <w:rFonts w:hint="eastAsia"/>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rPr>
          <w:rFonts w:hint="default"/>
          <w:color w:val="000000" w:themeColor="text1"/>
          <w:highlight w:val="none"/>
          <w:lang w:val="en-US" w:eastAsia="zh-CN"/>
          <w14:textFill>
            <w14:solidFill>
              <w14:schemeClr w14:val="tx1"/>
            </w14:solidFill>
          </w14:textFill>
        </w:rPr>
      </w:pPr>
    </w:p>
    <w:p>
      <w:pPr>
        <w:pStyle w:val="2"/>
        <w:ind w:left="0" w:leftChars="0" w:firstLine="0" w:firstLineChars="0"/>
        <w:rPr>
          <w:rFonts w:hint="default"/>
          <w:color w:val="000000" w:themeColor="text1"/>
          <w:highlight w:val="none"/>
          <w:lang w:val="en-US" w:eastAsia="zh-CN"/>
          <w14:textFill>
            <w14:solidFill>
              <w14:schemeClr w14:val="tx1"/>
            </w14:solidFill>
          </w14:textFill>
        </w:rPr>
      </w:pPr>
    </w:p>
    <w:p>
      <w:pPr>
        <w:pStyle w:val="2"/>
        <w:ind w:left="0" w:leftChars="0" w:firstLine="0" w:firstLineChars="0"/>
        <w:rPr>
          <w:rFonts w:ascii="仿宋_GB2312" w:eastAsia="仿宋_GB2312"/>
          <w:color w:val="auto"/>
          <w:sz w:val="28"/>
          <w:szCs w:val="28"/>
          <w:highlight w:val="none"/>
        </w:rPr>
      </w:pPr>
    </w:p>
    <w:p>
      <w:pPr>
        <w:pStyle w:val="4"/>
        <w:rPr>
          <w:color w:val="auto"/>
          <w:highlight w:val="none"/>
        </w:rPr>
      </w:pPr>
      <w:bookmarkStart w:id="135" w:name="_Toc12169"/>
      <w:bookmarkStart w:id="136" w:name="_Toc3723"/>
      <w:bookmarkStart w:id="137" w:name="_Toc21847"/>
      <w:bookmarkStart w:id="138" w:name="_Toc8147"/>
      <w:bookmarkStart w:id="139" w:name="_Toc6230"/>
      <w:bookmarkStart w:id="140" w:name="_Toc30824"/>
      <w:bookmarkStart w:id="141" w:name="_Toc16552"/>
      <w:bookmarkStart w:id="142" w:name="_Toc28358"/>
      <w:bookmarkStart w:id="143" w:name="_Toc5129"/>
      <w:bookmarkStart w:id="144" w:name="_Toc1563"/>
      <w:bookmarkStart w:id="145" w:name="_Toc2351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35"/>
      <w:bookmarkEnd w:id="136"/>
      <w:bookmarkEnd w:id="137"/>
      <w:bookmarkEnd w:id="138"/>
      <w:bookmarkEnd w:id="139"/>
      <w:bookmarkEnd w:id="140"/>
      <w:bookmarkEnd w:id="141"/>
      <w:bookmarkEnd w:id="142"/>
      <w:bookmarkEnd w:id="143"/>
      <w:bookmarkEnd w:id="144"/>
      <w:bookmarkEnd w:id="145"/>
    </w:p>
    <w:p>
      <w:pPr>
        <w:pStyle w:val="35"/>
        <w:rPr>
          <w:color w:val="auto"/>
          <w:highlight w:val="none"/>
        </w:rPr>
      </w:pPr>
    </w:p>
    <w:p>
      <w:pPr>
        <w:pStyle w:val="4"/>
        <w:rPr>
          <w:color w:val="auto"/>
          <w:highlight w:val="none"/>
        </w:rPr>
      </w:pPr>
      <w:bookmarkStart w:id="146" w:name="_Toc10840"/>
      <w:bookmarkStart w:id="147" w:name="_Toc5342"/>
      <w:bookmarkStart w:id="148" w:name="_Toc12610"/>
      <w:bookmarkStart w:id="149" w:name="_Toc22764"/>
      <w:bookmarkStart w:id="150" w:name="_Toc21675"/>
      <w:bookmarkStart w:id="151" w:name="_Toc24490"/>
      <w:bookmarkStart w:id="152" w:name="_Toc88209951"/>
      <w:bookmarkStart w:id="153" w:name="_Toc24815"/>
      <w:bookmarkStart w:id="154" w:name="_Toc12769"/>
      <w:bookmarkStart w:id="155" w:name="_Toc87616388"/>
      <w:bookmarkStart w:id="156" w:name="_Toc31564"/>
      <w:bookmarkStart w:id="157" w:name="_Toc30157"/>
      <w:bookmarkStart w:id="158" w:name="_Toc17119"/>
      <w:r>
        <w:rPr>
          <w:rFonts w:hint="eastAsia"/>
          <w:color w:val="auto"/>
          <w:highlight w:val="none"/>
        </w:rPr>
        <w:t>响应文件</w:t>
      </w:r>
      <w:r>
        <w:rPr>
          <w:rFonts w:hint="eastAsia"/>
          <w:color w:val="auto"/>
          <w:highlight w:val="none"/>
          <w:lang w:val="en-US" w:eastAsia="zh-CN"/>
        </w:rPr>
        <w:t>格式要求</w:t>
      </w:r>
      <w:bookmarkEnd w:id="146"/>
      <w:bookmarkEnd w:id="147"/>
      <w:bookmarkEnd w:id="148"/>
      <w:bookmarkEnd w:id="149"/>
      <w:bookmarkEnd w:id="150"/>
      <w:bookmarkEnd w:id="151"/>
      <w:bookmarkEnd w:id="152"/>
      <w:bookmarkEnd w:id="153"/>
      <w:bookmarkEnd w:id="154"/>
      <w:bookmarkEnd w:id="155"/>
      <w:bookmarkEnd w:id="156"/>
      <w:bookmarkEnd w:id="157"/>
      <w:bookmarkEnd w:id="15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
        <w:ind w:left="0" w:leftChars="0" w:firstLine="0" w:firstLineChars="0"/>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59" w:name="_Toc88209952"/>
      <w:bookmarkStart w:id="160" w:name="_Toc87616389"/>
      <w:r>
        <w:rPr>
          <w:rFonts w:hint="eastAsia" w:ascii="仿宋_GB2312" w:eastAsia="仿宋_GB2312"/>
          <w:color w:val="auto"/>
          <w:sz w:val="28"/>
          <w:szCs w:val="28"/>
          <w:highlight w:val="none"/>
        </w:rPr>
        <w:t>1.响应函</w:t>
      </w:r>
      <w:bookmarkEnd w:id="159"/>
      <w:bookmarkEnd w:id="160"/>
    </w:p>
    <w:p>
      <w:pPr>
        <w:spacing w:line="600" w:lineRule="exact"/>
        <w:rPr>
          <w:rFonts w:hint="eastAsia" w:ascii="仿宋_GB2312" w:eastAsia="仿宋_GB2312"/>
          <w:color w:val="auto"/>
          <w:sz w:val="28"/>
          <w:szCs w:val="28"/>
          <w:highlight w:val="none"/>
        </w:rPr>
      </w:pPr>
      <w:bookmarkStart w:id="161" w:name="_Toc88209953"/>
      <w:bookmarkStart w:id="162" w:name="_Toc87616390"/>
      <w:r>
        <w:rPr>
          <w:rFonts w:hint="eastAsia" w:ascii="仿宋_GB2312" w:eastAsia="仿宋_GB2312"/>
          <w:color w:val="auto"/>
          <w:sz w:val="28"/>
          <w:szCs w:val="28"/>
          <w:highlight w:val="none"/>
        </w:rPr>
        <w:t>2.法定代表人证明或授权委托书</w:t>
      </w:r>
      <w:bookmarkEnd w:id="161"/>
      <w:bookmarkEnd w:id="162"/>
      <w:bookmarkStart w:id="163" w:name="_Toc88209956"/>
      <w:bookmarkStart w:id="16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63"/>
      <w:bookmarkEnd w:id="16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65" w:name="_Toc88209957"/>
      <w:bookmarkStart w:id="166" w:name="_Toc28619645"/>
      <w:bookmarkStart w:id="167" w:name="_Toc87616394"/>
      <w:bookmarkStart w:id="168" w:name="_Toc12665"/>
      <w:bookmarkStart w:id="169" w:name="_Toc6313"/>
      <w:r>
        <w:rPr>
          <w:rFonts w:hint="eastAsia" w:asciiTheme="minorEastAsia" w:hAnsiTheme="minorEastAsia" w:eastAsiaTheme="minorEastAsia"/>
          <w:color w:val="auto"/>
          <w:sz w:val="28"/>
          <w:szCs w:val="28"/>
          <w:highlight w:val="none"/>
        </w:rPr>
        <w:t>1.响应函</w:t>
      </w:r>
      <w:bookmarkEnd w:id="165"/>
      <w:bookmarkEnd w:id="166"/>
      <w:bookmarkEnd w:id="167"/>
      <w:bookmarkEnd w:id="168"/>
      <w:bookmarkEnd w:id="16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hint="eastAsia"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.我方承诺，承诺中选后所提供的备件均为原厂商/制造商全新产品，所提供的产品与采购文件现有设备的所有参数相匹配且完全兼容。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8</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70" w:name="_Toc29833"/>
      <w:bookmarkStart w:id="171" w:name="_Toc88209958"/>
      <w:bookmarkStart w:id="172" w:name="_Toc87616395"/>
      <w:bookmarkStart w:id="173"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0"/>
      <w:bookmarkEnd w:id="171"/>
      <w:bookmarkEnd w:id="172"/>
      <w:bookmarkEnd w:id="17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4" w:name="_Toc8086"/>
      <w:bookmarkStart w:id="175" w:name="_Toc19830"/>
      <w:bookmarkStart w:id="176" w:name="_Toc88209963"/>
      <w:bookmarkStart w:id="177"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4"/>
      <w:bookmarkEnd w:id="175"/>
      <w:bookmarkEnd w:id="176"/>
      <w:bookmarkEnd w:id="17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7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广州市净水有限公司大沙地分公司2月份板框压滤机滤布备件采购项目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numPr>
          <w:ilvl w:val="0"/>
          <w:numId w:val="7"/>
        </w:num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bookmarkStart w:id="179" w:name="_Toc19423"/>
      <w:bookmarkStart w:id="180" w:name="_Toc32430"/>
      <w:r>
        <w:rPr>
          <w:rFonts w:hint="eastAsia" w:asciiTheme="minorEastAsia" w:hAnsiTheme="minorEastAsia" w:eastAsiaTheme="minorEastAsia"/>
          <w:color w:val="auto"/>
          <w:sz w:val="28"/>
          <w:szCs w:val="28"/>
          <w:highlight w:val="none"/>
        </w:rPr>
        <w:t>报价表</w:t>
      </w:r>
      <w:bookmarkEnd w:id="179"/>
      <w:bookmarkEnd w:id="180"/>
    </w:p>
    <w:tbl>
      <w:tblPr>
        <w:tblStyle w:val="22"/>
        <w:tblpPr w:leftFromText="180" w:rightFromText="180" w:vertAnchor="text" w:horzAnchor="page" w:tblpXSpec="center" w:tblpY="323"/>
        <w:tblOverlap w:val="never"/>
        <w:tblW w:w="9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39"/>
        <w:gridCol w:w="2267"/>
        <w:gridCol w:w="944"/>
        <w:gridCol w:w="819"/>
        <w:gridCol w:w="882"/>
        <w:gridCol w:w="864"/>
        <w:gridCol w:w="864"/>
        <w:gridCol w:w="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79"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序号</w:t>
            </w:r>
          </w:p>
        </w:tc>
        <w:tc>
          <w:tcPr>
            <w:tcW w:w="1239"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设备名称</w:t>
            </w:r>
          </w:p>
        </w:tc>
        <w:tc>
          <w:tcPr>
            <w:tcW w:w="2267" w:type="dxa"/>
            <w:noWrap w:val="0"/>
            <w:vAlign w:val="top"/>
          </w:tcPr>
          <w:p>
            <w:pPr>
              <w:spacing w:line="360" w:lineRule="auto"/>
              <w:jc w:val="center"/>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品牌型号</w:t>
            </w:r>
          </w:p>
        </w:tc>
        <w:tc>
          <w:tcPr>
            <w:tcW w:w="944"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备件名称</w:t>
            </w:r>
          </w:p>
        </w:tc>
        <w:tc>
          <w:tcPr>
            <w:tcW w:w="819" w:type="dxa"/>
            <w:noWrap w:val="0"/>
            <w:vAlign w:val="top"/>
          </w:tcPr>
          <w:p>
            <w:pPr>
              <w:spacing w:line="360" w:lineRule="auto"/>
              <w:jc w:val="center"/>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单位</w:t>
            </w:r>
          </w:p>
        </w:tc>
        <w:tc>
          <w:tcPr>
            <w:tcW w:w="882"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购置数量</w:t>
            </w:r>
          </w:p>
        </w:tc>
        <w:tc>
          <w:tcPr>
            <w:tcW w:w="864" w:type="dxa"/>
            <w:noWrap w:val="0"/>
            <w:vAlign w:val="top"/>
          </w:tcPr>
          <w:p>
            <w:pPr>
              <w:spacing w:line="360" w:lineRule="auto"/>
              <w:jc w:val="both"/>
              <w:rPr>
                <w:rFonts w:hint="default"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单价（元）</w:t>
            </w:r>
          </w:p>
        </w:tc>
        <w:tc>
          <w:tcPr>
            <w:tcW w:w="864" w:type="dxa"/>
            <w:noWrap w:val="0"/>
            <w:vAlign w:val="top"/>
          </w:tcPr>
          <w:p>
            <w:pPr>
              <w:spacing w:line="360" w:lineRule="auto"/>
              <w:jc w:val="both"/>
              <w:rPr>
                <w:rFonts w:hint="default"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合价（元）</w:t>
            </w:r>
          </w:p>
        </w:tc>
        <w:tc>
          <w:tcPr>
            <w:tcW w:w="497" w:type="dxa"/>
            <w:noWrap w:val="0"/>
            <w:vAlign w:val="top"/>
          </w:tcPr>
          <w:p>
            <w:pPr>
              <w:spacing w:line="360" w:lineRule="auto"/>
              <w:jc w:val="both"/>
              <w:rPr>
                <w:rFonts w:hint="eastAsia" w:ascii="宋体" w:hAnsi="宋体" w:eastAsia="宋体" w:cs="宋体"/>
                <w:i w:val="0"/>
                <w:color w:val="000000"/>
                <w:w w:val="90"/>
                <w:kern w:val="0"/>
                <w:sz w:val="24"/>
                <w:szCs w:val="24"/>
                <w:highlight w:val="none"/>
                <w:u w:val="none"/>
                <w:lang w:val="en-US" w:eastAsia="zh-CN" w:bidi="ar"/>
              </w:rPr>
            </w:pPr>
            <w:r>
              <w:rPr>
                <w:rFonts w:hint="eastAsia" w:ascii="宋体" w:hAnsi="宋体" w:eastAsia="宋体" w:cs="宋体"/>
                <w:i w:val="0"/>
                <w:color w:val="000000"/>
                <w:w w:val="90"/>
                <w:kern w:val="0"/>
                <w:sz w:val="24"/>
                <w:szCs w:val="24"/>
                <w:highlight w:val="none"/>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679" w:type="dxa"/>
            <w:noWrap w:val="0"/>
            <w:vAlign w:val="top"/>
          </w:tcPr>
          <w:p>
            <w:pPr>
              <w:spacing w:line="360" w:lineRule="auto"/>
              <w:jc w:val="center"/>
              <w:rPr>
                <w:rFonts w:hint="eastAsia"/>
                <w:sz w:val="24"/>
                <w:szCs w:val="24"/>
                <w:highlight w:val="none"/>
              </w:rPr>
            </w:pPr>
            <w:r>
              <w:rPr>
                <w:rFonts w:hint="eastAsia"/>
                <w:sz w:val="24"/>
                <w:szCs w:val="24"/>
                <w:highlight w:val="none"/>
              </w:rPr>
              <w:t>1</w:t>
            </w:r>
          </w:p>
        </w:tc>
        <w:tc>
          <w:tcPr>
            <w:tcW w:w="1239"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板框压滤机</w:t>
            </w:r>
          </w:p>
        </w:tc>
        <w:tc>
          <w:tcPr>
            <w:tcW w:w="2267"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pStyle w:val="9"/>
              <w:numPr>
                <w:ilvl w:val="0"/>
                <w:numId w:val="0"/>
              </w:numPr>
              <w:rPr>
                <w:rFonts w:hint="eastAsia" w:eastAsia="宋体"/>
                <w:sz w:val="24"/>
                <w:szCs w:val="24"/>
                <w:highlight w:val="none"/>
                <w:lang w:val="en-US" w:eastAsia="zh-CN"/>
              </w:rPr>
            </w:pPr>
            <w:r>
              <w:rPr>
                <w:rFonts w:hint="eastAsia" w:ascii="宋体" w:hAnsi="宋体" w:cs="宋体"/>
                <w:i w:val="0"/>
                <w:iCs w:val="0"/>
                <w:color w:val="auto"/>
                <w:kern w:val="0"/>
                <w:sz w:val="21"/>
                <w:szCs w:val="21"/>
                <w:highlight w:val="none"/>
                <w:u w:val="none"/>
                <w:lang w:val="en-US" w:eastAsia="zh-CN" w:bidi="ar"/>
              </w:rPr>
              <w:t>滤板尺寸：</w:t>
            </w:r>
            <w:r>
              <w:rPr>
                <w:rFonts w:hint="eastAsia" w:ascii="宋体" w:hAnsi="宋体" w:eastAsia="宋体" w:cs="宋体"/>
                <w:i w:val="0"/>
                <w:iCs w:val="0"/>
                <w:color w:val="auto"/>
                <w:kern w:val="0"/>
                <w:sz w:val="21"/>
                <w:szCs w:val="21"/>
                <w:highlight w:val="none"/>
                <w:u w:val="none"/>
                <w:lang w:val="en-US" w:eastAsia="zh-CN" w:bidi="ar"/>
              </w:rPr>
              <w:t>1500*1500</w:t>
            </w:r>
          </w:p>
        </w:tc>
        <w:tc>
          <w:tcPr>
            <w:tcW w:w="944" w:type="dxa"/>
            <w:noWrap w:val="0"/>
            <w:vAlign w:val="top"/>
          </w:tcPr>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滤布</w:t>
            </w:r>
          </w:p>
        </w:tc>
        <w:tc>
          <w:tcPr>
            <w:tcW w:w="819" w:type="dxa"/>
            <w:noWrap w:val="0"/>
            <w:vAlign w:val="top"/>
          </w:tcPr>
          <w:p>
            <w:pPr>
              <w:spacing w:line="360" w:lineRule="auto"/>
              <w:jc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块</w:t>
            </w:r>
          </w:p>
        </w:tc>
        <w:tc>
          <w:tcPr>
            <w:tcW w:w="882"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280</w:t>
            </w:r>
          </w:p>
        </w:tc>
        <w:tc>
          <w:tcPr>
            <w:tcW w:w="864" w:type="dxa"/>
            <w:noWrap w:val="0"/>
            <w:vAlign w:val="top"/>
          </w:tcPr>
          <w:p>
            <w:pPr>
              <w:spacing w:line="360" w:lineRule="auto"/>
              <w:jc w:val="center"/>
              <w:rPr>
                <w:rFonts w:hint="eastAsia"/>
                <w:sz w:val="24"/>
                <w:szCs w:val="24"/>
                <w:highlight w:val="none"/>
              </w:rPr>
            </w:pPr>
          </w:p>
        </w:tc>
        <w:tc>
          <w:tcPr>
            <w:tcW w:w="864" w:type="dxa"/>
            <w:noWrap w:val="0"/>
            <w:vAlign w:val="top"/>
          </w:tcPr>
          <w:p>
            <w:pPr>
              <w:spacing w:line="360" w:lineRule="auto"/>
              <w:jc w:val="center"/>
              <w:rPr>
                <w:rFonts w:hint="eastAsia"/>
                <w:sz w:val="24"/>
                <w:szCs w:val="24"/>
                <w:highlight w:val="none"/>
              </w:rPr>
            </w:pPr>
          </w:p>
        </w:tc>
        <w:tc>
          <w:tcPr>
            <w:tcW w:w="497" w:type="dxa"/>
            <w:noWrap w:val="0"/>
            <w:vAlign w:val="top"/>
          </w:tcPr>
          <w:p>
            <w:pPr>
              <w:spacing w:line="360" w:lineRule="auto"/>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79" w:type="dxa"/>
            <w:noWrap w:val="0"/>
            <w:vAlign w:val="top"/>
          </w:tcPr>
          <w:p>
            <w:pPr>
              <w:spacing w:line="360" w:lineRule="auto"/>
              <w:jc w:val="center"/>
              <w:rPr>
                <w:rFonts w:hint="eastAsia"/>
                <w:sz w:val="24"/>
                <w:szCs w:val="24"/>
                <w:highlight w:val="none"/>
              </w:rPr>
            </w:pPr>
            <w:r>
              <w:rPr>
                <w:rFonts w:hint="eastAsia"/>
                <w:sz w:val="24"/>
                <w:szCs w:val="24"/>
                <w:highlight w:val="none"/>
              </w:rPr>
              <w:t>2</w:t>
            </w:r>
          </w:p>
        </w:tc>
        <w:tc>
          <w:tcPr>
            <w:tcW w:w="1239"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板框压滤机</w:t>
            </w:r>
          </w:p>
        </w:tc>
        <w:tc>
          <w:tcPr>
            <w:tcW w:w="2267" w:type="dxa"/>
            <w:noWrap w:val="0"/>
            <w:vAlign w:val="top"/>
          </w:tcPr>
          <w:p>
            <w:pPr>
              <w:pStyle w:val="12"/>
              <w:numPr>
                <w:ilvl w:val="0"/>
                <w:numId w:val="0"/>
              </w:numPr>
              <w:tabs>
                <w:tab w:val="left" w:pos="312"/>
              </w:tabs>
              <w:adjustRightInd w:val="0"/>
              <w:snapToGrid w:val="0"/>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品牌：韩国联合</w:t>
            </w:r>
          </w:p>
          <w:p>
            <w:pPr>
              <w:pStyle w:val="12"/>
              <w:numPr>
                <w:ilvl w:val="0"/>
                <w:numId w:val="0"/>
              </w:numPr>
              <w:tabs>
                <w:tab w:val="left" w:pos="312"/>
              </w:tabs>
              <w:adjustRightInd w:val="0"/>
              <w:snapToGrid w:val="0"/>
              <w:spacing w:line="36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hAnsi="宋体" w:eastAsia="宋体" w:cs="宋体"/>
                <w:color w:val="auto"/>
                <w:kern w:val="0"/>
                <w:sz w:val="21"/>
                <w:szCs w:val="21"/>
                <w:highlight w:val="none"/>
                <w:lang w:val="en-US" w:eastAsia="zh-CN" w:bidi="ar"/>
              </w:rPr>
              <w:t>型号：</w:t>
            </w:r>
            <w:r>
              <w:rPr>
                <w:rFonts w:hint="eastAsia" w:ascii="宋体" w:hAnsi="宋体" w:eastAsia="宋体" w:cs="宋体"/>
                <w:color w:val="auto"/>
                <w:kern w:val="0"/>
                <w:sz w:val="21"/>
                <w:szCs w:val="21"/>
                <w:highlight w:val="none"/>
                <w:lang w:val="en-US" w:eastAsia="zh-CN" w:bidi="ar"/>
              </w:rPr>
              <w:t>UTC-1500-46</w:t>
            </w:r>
          </w:p>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滤板尺寸：1500*1500</w:t>
            </w:r>
          </w:p>
        </w:tc>
        <w:tc>
          <w:tcPr>
            <w:tcW w:w="944" w:type="dxa"/>
            <w:noWrap w:val="0"/>
            <w:vAlign w:val="top"/>
          </w:tcPr>
          <w:p>
            <w:pPr>
              <w:spacing w:line="360" w:lineRule="auto"/>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尾部滤布</w:t>
            </w:r>
          </w:p>
        </w:tc>
        <w:tc>
          <w:tcPr>
            <w:tcW w:w="819" w:type="dxa"/>
            <w:noWrap w:val="0"/>
            <w:vAlign w:val="top"/>
          </w:tcPr>
          <w:p>
            <w:pPr>
              <w:spacing w:line="360" w:lineRule="auto"/>
              <w:jc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块</w:t>
            </w:r>
          </w:p>
        </w:tc>
        <w:tc>
          <w:tcPr>
            <w:tcW w:w="882" w:type="dxa"/>
            <w:noWrap w:val="0"/>
            <w:vAlign w:val="top"/>
          </w:tcPr>
          <w:p>
            <w:pPr>
              <w:spacing w:line="360" w:lineRule="auto"/>
              <w:jc w:val="both"/>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w:t>
            </w:r>
          </w:p>
        </w:tc>
        <w:tc>
          <w:tcPr>
            <w:tcW w:w="864" w:type="dxa"/>
            <w:noWrap w:val="0"/>
            <w:vAlign w:val="top"/>
          </w:tcPr>
          <w:p>
            <w:pPr>
              <w:spacing w:line="360" w:lineRule="auto"/>
              <w:jc w:val="center"/>
              <w:rPr>
                <w:rFonts w:hint="eastAsia"/>
                <w:sz w:val="24"/>
                <w:szCs w:val="24"/>
                <w:highlight w:val="none"/>
              </w:rPr>
            </w:pPr>
          </w:p>
        </w:tc>
        <w:tc>
          <w:tcPr>
            <w:tcW w:w="864" w:type="dxa"/>
            <w:noWrap w:val="0"/>
            <w:vAlign w:val="top"/>
          </w:tcPr>
          <w:p>
            <w:pPr>
              <w:spacing w:line="360" w:lineRule="auto"/>
              <w:jc w:val="center"/>
              <w:rPr>
                <w:rFonts w:hint="eastAsia"/>
                <w:sz w:val="24"/>
                <w:szCs w:val="24"/>
                <w:highlight w:val="none"/>
              </w:rPr>
            </w:pPr>
          </w:p>
        </w:tc>
        <w:tc>
          <w:tcPr>
            <w:tcW w:w="497" w:type="dxa"/>
            <w:noWrap w:val="0"/>
            <w:vAlign w:val="top"/>
          </w:tcPr>
          <w:p>
            <w:pPr>
              <w:spacing w:line="360" w:lineRule="auto"/>
              <w:jc w:val="center"/>
              <w:rPr>
                <w:rFonts w:hint="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55" w:type="dxa"/>
            <w:gridSpan w:val="9"/>
            <w:noWrap w:val="0"/>
            <w:vAlign w:val="top"/>
          </w:tcPr>
          <w:p>
            <w:pPr>
              <w:spacing w:line="360" w:lineRule="auto"/>
              <w:jc w:val="center"/>
              <w:rPr>
                <w:rFonts w:hint="eastAsia" w:eastAsiaTheme="minorEastAsia"/>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合计采购金额：</w:t>
            </w:r>
          </w:p>
        </w:tc>
      </w:tr>
    </w:tbl>
    <w:p>
      <w:pPr>
        <w:pStyle w:val="2"/>
        <w:rPr>
          <w:rFonts w:hint="eastAsia" w:ascii="仿宋_GB2312" w:eastAsia="仿宋_GB2312" w:hAnsiTheme="minorEastAsia"/>
          <w:color w:val="auto"/>
          <w:sz w:val="28"/>
          <w:szCs w:val="28"/>
          <w:highlight w:val="none"/>
          <w:lang w:val="en-US" w:eastAsia="zh-CN"/>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numPr>
          <w:ilvl w:val="0"/>
          <w:numId w:val="0"/>
        </w:numPr>
        <w:ind w:left="420" w:leftChars="0"/>
        <w:rPr>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81" w:name="_Toc16386"/>
      <w:bookmarkStart w:id="182" w:name="_Toc88209965"/>
      <w:bookmarkStart w:id="183" w:name="_Toc6058"/>
      <w:bookmarkStart w:id="184"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81"/>
      <w:bookmarkEnd w:id="182"/>
      <w:bookmarkEnd w:id="183"/>
      <w:bookmarkEnd w:id="18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86B6C30"/>
    <w:multiLevelType w:val="singleLevel"/>
    <w:tmpl w:val="F86B6C30"/>
    <w:lvl w:ilvl="0" w:tentative="0">
      <w:start w:val="6"/>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58B093"/>
    <w:multiLevelType w:val="singleLevel"/>
    <w:tmpl w:val="5A58B093"/>
    <w:lvl w:ilvl="0" w:tentative="0">
      <w:start w:val="5"/>
      <w:numFmt w:val="decimal"/>
      <w:lvlText w:val="%1."/>
      <w:lvlJc w:val="left"/>
      <w:pPr>
        <w:tabs>
          <w:tab w:val="left" w:pos="312"/>
        </w:tabs>
      </w:pPr>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D076128"/>
    <w:multiLevelType w:val="singleLevel"/>
    <w:tmpl w:val="5D076128"/>
    <w:lvl w:ilvl="0" w:tentative="0">
      <w:start w:val="2"/>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4C42D0"/>
    <w:rsid w:val="02A23A3C"/>
    <w:rsid w:val="02FB196F"/>
    <w:rsid w:val="035D130A"/>
    <w:rsid w:val="03885E3A"/>
    <w:rsid w:val="039110A9"/>
    <w:rsid w:val="03AC246A"/>
    <w:rsid w:val="03AE6061"/>
    <w:rsid w:val="03B23056"/>
    <w:rsid w:val="03DA023E"/>
    <w:rsid w:val="03DC3EBA"/>
    <w:rsid w:val="03F9794D"/>
    <w:rsid w:val="046A2461"/>
    <w:rsid w:val="051C2970"/>
    <w:rsid w:val="060C3611"/>
    <w:rsid w:val="06C278B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5A742E"/>
    <w:rsid w:val="0D794204"/>
    <w:rsid w:val="0E2125D1"/>
    <w:rsid w:val="0E214211"/>
    <w:rsid w:val="0E5F2769"/>
    <w:rsid w:val="0ED8332F"/>
    <w:rsid w:val="0F4D75A3"/>
    <w:rsid w:val="0F5B2DCA"/>
    <w:rsid w:val="0FA20605"/>
    <w:rsid w:val="0FED051E"/>
    <w:rsid w:val="0FEE4C29"/>
    <w:rsid w:val="0FFD33F6"/>
    <w:rsid w:val="10031608"/>
    <w:rsid w:val="10046082"/>
    <w:rsid w:val="104974DD"/>
    <w:rsid w:val="10D64689"/>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922E00"/>
    <w:rsid w:val="1694429A"/>
    <w:rsid w:val="17635326"/>
    <w:rsid w:val="17B803EA"/>
    <w:rsid w:val="1815096B"/>
    <w:rsid w:val="18236EFD"/>
    <w:rsid w:val="18377249"/>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E0E2CD0"/>
    <w:rsid w:val="1E831280"/>
    <w:rsid w:val="1EBC4704"/>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E11370"/>
    <w:rsid w:val="294A756A"/>
    <w:rsid w:val="29781BF8"/>
    <w:rsid w:val="297939E2"/>
    <w:rsid w:val="29C33ED0"/>
    <w:rsid w:val="29D5322D"/>
    <w:rsid w:val="2A025DD9"/>
    <w:rsid w:val="2A2619CB"/>
    <w:rsid w:val="2A7317D3"/>
    <w:rsid w:val="2A7C2231"/>
    <w:rsid w:val="2A920E4F"/>
    <w:rsid w:val="2ABB753D"/>
    <w:rsid w:val="2AFE6EC4"/>
    <w:rsid w:val="2B7A49FA"/>
    <w:rsid w:val="2C615D26"/>
    <w:rsid w:val="2CB679ED"/>
    <w:rsid w:val="2CE83C37"/>
    <w:rsid w:val="2D173C07"/>
    <w:rsid w:val="2D424A86"/>
    <w:rsid w:val="2DDA66B7"/>
    <w:rsid w:val="2E6F2D11"/>
    <w:rsid w:val="2E7B52DB"/>
    <w:rsid w:val="2ED60115"/>
    <w:rsid w:val="2F324CFE"/>
    <w:rsid w:val="2F4F6F8F"/>
    <w:rsid w:val="2FBA09F1"/>
    <w:rsid w:val="2FEF2ACF"/>
    <w:rsid w:val="2FF93D20"/>
    <w:rsid w:val="30540211"/>
    <w:rsid w:val="308B0B94"/>
    <w:rsid w:val="30E45100"/>
    <w:rsid w:val="31112A0D"/>
    <w:rsid w:val="3118711F"/>
    <w:rsid w:val="311F4B20"/>
    <w:rsid w:val="312D7741"/>
    <w:rsid w:val="316F137F"/>
    <w:rsid w:val="31DF525F"/>
    <w:rsid w:val="31EC162B"/>
    <w:rsid w:val="32324C2E"/>
    <w:rsid w:val="327171DF"/>
    <w:rsid w:val="3391569E"/>
    <w:rsid w:val="33A1484F"/>
    <w:rsid w:val="341E3434"/>
    <w:rsid w:val="34BB4442"/>
    <w:rsid w:val="3584136B"/>
    <w:rsid w:val="35FF5AA4"/>
    <w:rsid w:val="360B7EBA"/>
    <w:rsid w:val="36416867"/>
    <w:rsid w:val="367D5DD4"/>
    <w:rsid w:val="369C32FD"/>
    <w:rsid w:val="37666E72"/>
    <w:rsid w:val="38081EA3"/>
    <w:rsid w:val="38167A04"/>
    <w:rsid w:val="381C3783"/>
    <w:rsid w:val="38A00F55"/>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E97E4A"/>
    <w:rsid w:val="440D65DA"/>
    <w:rsid w:val="446828F0"/>
    <w:rsid w:val="45093E85"/>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27FF4"/>
    <w:rsid w:val="4A3E5E70"/>
    <w:rsid w:val="4A7F3979"/>
    <w:rsid w:val="4ADA1F63"/>
    <w:rsid w:val="4AE23D89"/>
    <w:rsid w:val="4B2038D0"/>
    <w:rsid w:val="4B296E7D"/>
    <w:rsid w:val="4B79394E"/>
    <w:rsid w:val="4B877F28"/>
    <w:rsid w:val="4CC34DBA"/>
    <w:rsid w:val="4CD200BA"/>
    <w:rsid w:val="4D2044E7"/>
    <w:rsid w:val="4D916BA6"/>
    <w:rsid w:val="4DC44169"/>
    <w:rsid w:val="4DE24E21"/>
    <w:rsid w:val="4E1B19A3"/>
    <w:rsid w:val="4E48787F"/>
    <w:rsid w:val="4EF0709E"/>
    <w:rsid w:val="4F0469A4"/>
    <w:rsid w:val="500E56F4"/>
    <w:rsid w:val="50540C73"/>
    <w:rsid w:val="50752AF8"/>
    <w:rsid w:val="513C6A7B"/>
    <w:rsid w:val="517300C9"/>
    <w:rsid w:val="52EC6EC2"/>
    <w:rsid w:val="532D486F"/>
    <w:rsid w:val="5333545B"/>
    <w:rsid w:val="538D0E89"/>
    <w:rsid w:val="5450213C"/>
    <w:rsid w:val="546711F3"/>
    <w:rsid w:val="546C3825"/>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FC7994"/>
    <w:rsid w:val="5AE83A50"/>
    <w:rsid w:val="5B353193"/>
    <w:rsid w:val="5BAB2917"/>
    <w:rsid w:val="5BFC33FA"/>
    <w:rsid w:val="5C3107A4"/>
    <w:rsid w:val="5C3B1B93"/>
    <w:rsid w:val="5C9220DF"/>
    <w:rsid w:val="5D4A15F3"/>
    <w:rsid w:val="5D69542A"/>
    <w:rsid w:val="5D783B72"/>
    <w:rsid w:val="5E0930EF"/>
    <w:rsid w:val="5E3D4D53"/>
    <w:rsid w:val="5E4717E6"/>
    <w:rsid w:val="5E55774C"/>
    <w:rsid w:val="5E8A70FF"/>
    <w:rsid w:val="5EBE0427"/>
    <w:rsid w:val="60045F96"/>
    <w:rsid w:val="60104DDC"/>
    <w:rsid w:val="605C0804"/>
    <w:rsid w:val="60913E6F"/>
    <w:rsid w:val="61733C3E"/>
    <w:rsid w:val="6189617B"/>
    <w:rsid w:val="61B52BB6"/>
    <w:rsid w:val="61B749C2"/>
    <w:rsid w:val="62280D20"/>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359A0"/>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687227"/>
    <w:rsid w:val="72A03FD9"/>
    <w:rsid w:val="73406CFF"/>
    <w:rsid w:val="7383028C"/>
    <w:rsid w:val="73A25E44"/>
    <w:rsid w:val="741F68CF"/>
    <w:rsid w:val="746565D3"/>
    <w:rsid w:val="75252DF3"/>
    <w:rsid w:val="75621536"/>
    <w:rsid w:val="75BF3154"/>
    <w:rsid w:val="75DA4A2D"/>
    <w:rsid w:val="764A07CF"/>
    <w:rsid w:val="764F6B3D"/>
    <w:rsid w:val="76CD2B7B"/>
    <w:rsid w:val="76D80645"/>
    <w:rsid w:val="76E03371"/>
    <w:rsid w:val="771211AA"/>
    <w:rsid w:val="77213B24"/>
    <w:rsid w:val="77736C04"/>
    <w:rsid w:val="780E5898"/>
    <w:rsid w:val="782642CC"/>
    <w:rsid w:val="7894095E"/>
    <w:rsid w:val="78964555"/>
    <w:rsid w:val="78CF4963"/>
    <w:rsid w:val="79000679"/>
    <w:rsid w:val="7916258F"/>
    <w:rsid w:val="791C0FE5"/>
    <w:rsid w:val="792627D5"/>
    <w:rsid w:val="796432FD"/>
    <w:rsid w:val="79A416F0"/>
    <w:rsid w:val="79B03EB6"/>
    <w:rsid w:val="79B61437"/>
    <w:rsid w:val="7AE15A5C"/>
    <w:rsid w:val="7AF37579"/>
    <w:rsid w:val="7AF87F64"/>
    <w:rsid w:val="7B1C0C84"/>
    <w:rsid w:val="7B5A62DF"/>
    <w:rsid w:val="7B7A04A8"/>
    <w:rsid w:val="7C0C3F6D"/>
    <w:rsid w:val="7C22163C"/>
    <w:rsid w:val="7C457B4B"/>
    <w:rsid w:val="7C595075"/>
    <w:rsid w:val="7C6B07B2"/>
    <w:rsid w:val="7CA103C5"/>
    <w:rsid w:val="7CA4150F"/>
    <w:rsid w:val="7CC4411D"/>
    <w:rsid w:val="7D133243"/>
    <w:rsid w:val="7D945420"/>
    <w:rsid w:val="7D997857"/>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character" w:customStyle="1" w:styleId="45">
    <w:name w:val="font51"/>
    <w:basedOn w:val="24"/>
    <w:qFormat/>
    <w:uiPriority w:val="0"/>
    <w:rPr>
      <w:rFonts w:hint="eastAsia" w:ascii="宋体" w:hAnsi="宋体" w:eastAsia="宋体" w:cs="宋体"/>
      <w:color w:val="000000"/>
      <w:sz w:val="24"/>
      <w:szCs w:val="24"/>
      <w:u w:val="none"/>
    </w:rPr>
  </w:style>
  <w:style w:type="character" w:customStyle="1" w:styleId="46">
    <w:name w:val="font91"/>
    <w:basedOn w:val="24"/>
    <w:qFormat/>
    <w:uiPriority w:val="0"/>
    <w:rPr>
      <w:rFonts w:ascii="微软雅黑" w:hAnsi="微软雅黑" w:eastAsia="微软雅黑" w:cs="微软雅黑"/>
      <w:color w:val="000000"/>
      <w:sz w:val="18"/>
      <w:szCs w:val="18"/>
      <w:u w:val="none"/>
    </w:rPr>
  </w:style>
  <w:style w:type="character" w:customStyle="1" w:styleId="47">
    <w:name w:val="font101"/>
    <w:basedOn w:val="24"/>
    <w:qFormat/>
    <w:uiPriority w:val="0"/>
    <w:rPr>
      <w:rFonts w:hint="eastAsia" w:ascii="宋体" w:hAnsi="宋体" w:eastAsia="宋体" w:cs="宋体"/>
      <w:color w:val="000000"/>
      <w:sz w:val="18"/>
      <w:szCs w:val="18"/>
      <w:u w:val="none"/>
    </w:rPr>
  </w:style>
  <w:style w:type="character" w:customStyle="1" w:styleId="48">
    <w:name w:val="font112"/>
    <w:basedOn w:val="24"/>
    <w:qFormat/>
    <w:uiPriority w:val="0"/>
    <w:rPr>
      <w:rFonts w:hint="eastAsia" w:ascii="微软雅黑" w:hAnsi="微软雅黑" w:eastAsia="微软雅黑" w:cs="微软雅黑"/>
      <w:color w:val="333333"/>
      <w:sz w:val="18"/>
      <w:szCs w:val="18"/>
      <w:u w:val="none"/>
    </w:rPr>
  </w:style>
  <w:style w:type="character" w:customStyle="1" w:styleId="49">
    <w:name w:val="font121"/>
    <w:basedOn w:val="24"/>
    <w:qFormat/>
    <w:uiPriority w:val="0"/>
    <w:rPr>
      <w:rFonts w:hint="eastAsia" w:ascii="宋体" w:hAnsi="宋体" w:eastAsia="宋体" w:cs="宋体"/>
      <w:color w:val="333333"/>
      <w:sz w:val="18"/>
      <w:szCs w:val="18"/>
      <w:u w:val="none"/>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1">
    <w:name w:val="font61"/>
    <w:basedOn w:val="24"/>
    <w:qFormat/>
    <w:uiPriority w:val="0"/>
    <w:rPr>
      <w:rFonts w:hint="eastAsia" w:ascii="宋体" w:hAnsi="宋体" w:eastAsia="宋体" w:cs="宋体"/>
      <w:color w:val="333333"/>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20796</Words>
  <Characters>21699</Characters>
  <Lines>300</Lines>
  <Paragraphs>84</Paragraphs>
  <TotalTime>4</TotalTime>
  <ScaleCrop>false</ScaleCrop>
  <LinksUpToDate>false</LinksUpToDate>
  <CharactersWithSpaces>23952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2023-04-18T07:59:00Z</cp:lastPrinted>
  <dcterms:modified xsi:type="dcterms:W3CDTF">2023-05-25T07:45:22Z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79644692D911485A98B6213E728DD5D7_13</vt:lpwstr>
  </property>
</Properties>
</file>