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5" w:name="_GoBack"/>
      <w:bookmarkEnd w:id="145"/>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bookmarkStart w:id="0" w:name="_Toc91797843"/>
      <w:bookmarkStart w:id="1" w:name="_Toc91795175"/>
      <w:bookmarkStart w:id="2" w:name="_Toc92204790"/>
      <w:r>
        <w:rPr>
          <w:rFonts w:hint="eastAsia" w:ascii="方正小标宋简体" w:eastAsia="方正小标宋简体"/>
          <w:color w:val="auto"/>
          <w:sz w:val="52"/>
          <w:szCs w:val="52"/>
          <w:highlight w:val="none"/>
          <w:lang w:val="en-US" w:eastAsia="zh-CN"/>
        </w:rPr>
        <w:t>编制2022年</w:t>
      </w:r>
      <w:bookmarkEnd w:id="0"/>
      <w:bookmarkEnd w:id="1"/>
      <w:bookmarkStart w:id="3" w:name="_Toc91797844"/>
      <w:bookmarkStart w:id="4" w:name="_Toc91795176"/>
      <w:r>
        <w:rPr>
          <w:rFonts w:hint="eastAsia" w:ascii="方正小标宋简体" w:eastAsia="方正小标宋简体"/>
          <w:color w:val="auto"/>
          <w:sz w:val="52"/>
          <w:szCs w:val="52"/>
          <w:highlight w:val="none"/>
          <w:lang w:val="en-US" w:eastAsia="zh-CN"/>
        </w:rPr>
        <w:t>企业社会价值报告服务项目</w:t>
      </w:r>
      <w:bookmarkEnd w:id="2"/>
      <w:bookmarkEnd w:id="3"/>
      <w:bookmarkEnd w:id="4"/>
    </w:p>
    <w:p>
      <w:pPr>
        <w:jc w:val="both"/>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ind w:firstLine="0"/>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color w:val="auto"/>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6"/>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6"/>
        <w:numPr>
          <w:ilvl w:val="0"/>
          <w:numId w:val="1"/>
        </w:numPr>
        <w:tabs>
          <w:tab w:val="right" w:pos="8844"/>
        </w:tabs>
        <w:rPr>
          <w:color w:val="auto"/>
          <w:highlight w:val="none"/>
        </w:rPr>
      </w:pPr>
      <w:r>
        <w:rPr>
          <w:rFonts w:hint="eastAsia"/>
          <w:color w:val="auto"/>
          <w:highlight w:val="none"/>
          <w:lang w:val="en-US" w:eastAsia="zh-CN"/>
        </w:rPr>
        <w:t>供应商须知</w:t>
      </w:r>
    </w:p>
    <w:p>
      <w:pPr>
        <w:pStyle w:val="16"/>
        <w:numPr>
          <w:ilvl w:val="0"/>
          <w:numId w:val="1"/>
        </w:numPr>
        <w:tabs>
          <w:tab w:val="right" w:pos="8844"/>
        </w:tabs>
        <w:rPr>
          <w:color w:val="auto"/>
          <w:highlight w:val="none"/>
        </w:rPr>
      </w:pPr>
      <w:r>
        <w:rPr>
          <w:rFonts w:hint="eastAsia"/>
          <w:color w:val="auto"/>
          <w:highlight w:val="none"/>
          <w:lang w:val="en-US" w:eastAsia="zh-CN"/>
        </w:rPr>
        <w:t>采购方法</w:t>
      </w:r>
    </w:p>
    <w:p>
      <w:pPr>
        <w:pStyle w:val="16"/>
        <w:numPr>
          <w:ilvl w:val="0"/>
          <w:numId w:val="1"/>
        </w:numPr>
        <w:tabs>
          <w:tab w:val="right" w:pos="8844"/>
        </w:tabs>
        <w:rPr>
          <w:color w:val="auto"/>
          <w:highlight w:val="none"/>
        </w:rPr>
      </w:pPr>
      <w:r>
        <w:rPr>
          <w:rFonts w:hint="eastAsia"/>
          <w:color w:val="auto"/>
          <w:highlight w:val="none"/>
          <w:lang w:val="en-US" w:eastAsia="zh-CN"/>
        </w:rPr>
        <w:t>评审方法</w:t>
      </w:r>
    </w:p>
    <w:p>
      <w:pPr>
        <w:pStyle w:val="16"/>
        <w:numPr>
          <w:ilvl w:val="0"/>
          <w:numId w:val="1"/>
        </w:numPr>
        <w:tabs>
          <w:tab w:val="right" w:pos="8844"/>
        </w:tabs>
        <w:rPr>
          <w:color w:val="auto"/>
          <w:highlight w:val="none"/>
        </w:rPr>
      </w:pPr>
      <w:r>
        <w:rPr>
          <w:rFonts w:hint="eastAsia"/>
          <w:color w:val="auto"/>
          <w:highlight w:val="none"/>
          <w:lang w:val="en-US" w:eastAsia="zh-CN"/>
        </w:rPr>
        <w:t>采购需求</w:t>
      </w:r>
    </w:p>
    <w:p>
      <w:pPr>
        <w:pStyle w:val="16"/>
        <w:numPr>
          <w:ilvl w:val="0"/>
          <w:numId w:val="1"/>
        </w:numPr>
        <w:tabs>
          <w:tab w:val="right" w:pos="8844"/>
        </w:tabs>
        <w:rPr>
          <w:color w:val="auto"/>
          <w:highlight w:val="none"/>
        </w:rPr>
      </w:pPr>
      <w:r>
        <w:rPr>
          <w:rFonts w:hint="eastAsia"/>
          <w:color w:val="auto"/>
          <w:highlight w:val="none"/>
        </w:rPr>
        <w:t>合同草案</w:t>
      </w:r>
    </w:p>
    <w:p>
      <w:pPr>
        <w:pStyle w:val="16"/>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5" w:name="_Toc26148"/>
      <w:bookmarkStart w:id="6" w:name="_Toc18145"/>
    </w:p>
    <w:p>
      <w:pPr>
        <w:rPr>
          <w:rFonts w:hint="eastAsia"/>
          <w:color w:val="auto"/>
          <w:highlight w:val="none"/>
        </w:rPr>
      </w:pPr>
    </w:p>
    <w:p>
      <w:pPr>
        <w:pStyle w:val="4"/>
        <w:rPr>
          <w:rFonts w:hint="eastAsia"/>
          <w:color w:val="auto"/>
          <w:highlight w:val="none"/>
        </w:rPr>
      </w:pPr>
      <w:bookmarkStart w:id="7" w:name="_Toc17696"/>
      <w:bookmarkStart w:id="8"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9" w:name="_Toc4275"/>
      <w:bookmarkStart w:id="10" w:name="_Toc11322"/>
      <w:bookmarkStart w:id="11" w:name="_Toc7519"/>
      <w:bookmarkStart w:id="12" w:name="_Toc19609"/>
      <w:bookmarkStart w:id="13" w:name="_Toc17801"/>
      <w:bookmarkStart w:id="14" w:name="_Toc31938"/>
      <w:bookmarkStart w:id="15"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2361565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3.2pt;height:0pt;width:75.5pt;z-index:251670528;mso-width-relative:page;mso-height-relative:page;" filled="f" stroked="t" coordsize="21600,21600" o:gfxdata="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K83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0.75pt;height:0pt;width:75.5pt;z-index:251671552;mso-width-relative:page;mso-height-relative:page;" filled="f" stroked="t" coordsize="21600,21600" o:gfxdata="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EueW9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5"/>
      <w:bookmarkEnd w:id="6"/>
      <w:bookmarkEnd w:id="7"/>
      <w:bookmarkEnd w:id="8"/>
      <w:bookmarkEnd w:id="9"/>
      <w:bookmarkEnd w:id="10"/>
      <w:bookmarkEnd w:id="11"/>
      <w:bookmarkEnd w:id="12"/>
      <w:bookmarkEnd w:id="13"/>
      <w:bookmarkEnd w:id="14"/>
      <w:bookmarkEnd w:id="15"/>
    </w:p>
    <w:p>
      <w:pPr>
        <w:pStyle w:val="2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6" w:name="_Toc21373"/>
      <w:bookmarkStart w:id="17" w:name="_Toc9680"/>
      <w:r>
        <w:rPr>
          <w:rFonts w:hint="eastAsia"/>
          <w:color w:val="auto"/>
          <w:highlight w:val="none"/>
          <w:lang w:eastAsia="zh-CN"/>
        </w:rPr>
        <w:t>采购公告（采购邀请书）</w:t>
      </w:r>
    </w:p>
    <w:bookmarkEnd w:id="16"/>
    <w:bookmarkEnd w:id="17"/>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广州市净水有限公司编制2022年企业社会价值报告服务项目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广州市净水有限公司编制2022年企业社会价值报告服务项目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XJ-20230524-1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23.5</w:t>
      </w:r>
      <w:r>
        <w:rPr>
          <w:rFonts w:hint="eastAsia" w:ascii="仿宋_GB2312" w:eastAsia="仿宋_GB2312"/>
          <w:color w:val="auto"/>
          <w:sz w:val="28"/>
          <w:szCs w:val="28"/>
          <w:highlight w:val="none"/>
          <w:u w:val="single"/>
          <w:lang w:eastAsia="zh-CN"/>
        </w:rPr>
        <w:t>万元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560" w:lineRule="exact"/>
        <w:rPr>
          <w:rFonts w:ascii="仿宋_GB2312" w:hAnsi="Calibri" w:eastAsia="仿宋_GB2312" w:cs="Times New Roman"/>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ascii="仿宋_GB2312" w:hAnsi="Calibri" w:eastAsia="仿宋_GB2312" w:cs="Times New Roman"/>
          <w:color w:val="auto"/>
          <w:sz w:val="28"/>
          <w:szCs w:val="28"/>
          <w:highlight w:val="none"/>
          <w:u w:val="single"/>
        </w:rPr>
        <w:t>1.</w:t>
      </w:r>
      <w:r>
        <w:rPr>
          <w:rFonts w:hint="eastAsia" w:ascii="仿宋_GB2312" w:hAnsi="Calibri" w:eastAsia="仿宋_GB2312" w:cs="Times New Roman"/>
          <w:color w:val="auto"/>
          <w:sz w:val="28"/>
          <w:szCs w:val="28"/>
          <w:highlight w:val="none"/>
          <w:u w:val="single"/>
        </w:rPr>
        <w:t>搭建企业社会价值报告的指标体系</w:t>
      </w:r>
      <w:r>
        <w:rPr>
          <w:rFonts w:ascii="仿宋_GB2312" w:hAnsi="Calibri" w:eastAsia="仿宋_GB2312" w:cs="Times New Roman"/>
          <w:color w:val="auto"/>
          <w:sz w:val="28"/>
          <w:szCs w:val="28"/>
          <w:highlight w:val="none"/>
          <w:u w:val="single"/>
        </w:rPr>
        <w:t>；2.召开企业社会价值启动（培训）会；3.编写报告文字稿；4.产出报告设计稿；5.出具评级报告；6.设计报告长图；7.</w:t>
      </w:r>
      <w:r>
        <w:rPr>
          <w:rFonts w:hint="eastAsia" w:ascii="仿宋_GB2312" w:hAnsi="Calibri" w:eastAsia="仿宋_GB2312" w:cs="Times New Roman"/>
          <w:color w:val="auto"/>
          <w:sz w:val="28"/>
          <w:szCs w:val="28"/>
          <w:highlight w:val="none"/>
          <w:u w:val="single"/>
        </w:rPr>
        <w:t>协助企业在第</w:t>
      </w:r>
      <w:r>
        <w:rPr>
          <w:rFonts w:hint="eastAsia" w:ascii="仿宋_GB2312" w:hAnsi="Calibri" w:eastAsia="仿宋_GB2312" w:cs="Times New Roman"/>
          <w:color w:val="auto"/>
          <w:sz w:val="28"/>
          <w:szCs w:val="28"/>
          <w:highlight w:val="none"/>
          <w:u w:val="single"/>
          <w:lang w:val="en-US" w:eastAsia="zh-CN"/>
        </w:rPr>
        <w:t>三</w:t>
      </w:r>
      <w:r>
        <w:rPr>
          <w:rFonts w:hint="eastAsia" w:ascii="仿宋_GB2312" w:hAnsi="Calibri" w:eastAsia="仿宋_GB2312" w:cs="Times New Roman"/>
          <w:color w:val="auto"/>
          <w:sz w:val="28"/>
          <w:szCs w:val="28"/>
          <w:highlight w:val="none"/>
          <w:u w:val="single"/>
        </w:rPr>
        <w:t>届国企社会价值论坛上重磅发布企业</w:t>
      </w:r>
      <w:r>
        <w:rPr>
          <w:rFonts w:ascii="仿宋_GB2312" w:hAnsi="Calibri" w:eastAsia="仿宋_GB2312" w:cs="Times New Roman"/>
          <w:color w:val="auto"/>
          <w:sz w:val="28"/>
          <w:szCs w:val="28"/>
          <w:highlight w:val="none"/>
          <w:u w:val="single"/>
        </w:rPr>
        <w:t>202</w:t>
      </w:r>
      <w:r>
        <w:rPr>
          <w:rFonts w:hint="eastAsia" w:ascii="仿宋_GB2312" w:hAnsi="Calibri" w:eastAsia="仿宋_GB2312" w:cs="Times New Roman"/>
          <w:color w:val="auto"/>
          <w:sz w:val="28"/>
          <w:szCs w:val="28"/>
          <w:highlight w:val="none"/>
          <w:u w:val="single"/>
          <w:lang w:val="en-US" w:eastAsia="zh-CN"/>
        </w:rPr>
        <w:t>2</w:t>
      </w:r>
      <w:r>
        <w:rPr>
          <w:rFonts w:ascii="仿宋_GB2312" w:hAnsi="Calibri" w:eastAsia="仿宋_GB2312" w:cs="Times New Roman"/>
          <w:color w:val="auto"/>
          <w:sz w:val="28"/>
          <w:szCs w:val="28"/>
          <w:highlight w:val="none"/>
          <w:u w:val="single"/>
        </w:rPr>
        <w:t>年度社会价值报告；8.进行报告传播等。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w:t>
      </w:r>
      <w:r>
        <w:rPr>
          <w:rFonts w:hint="eastAsia" w:ascii="仿宋_GB2312" w:eastAsia="仿宋_GB2312" w:hAnsiTheme="minorHAnsi" w:cstheme="minorBidi"/>
          <w:color w:val="auto"/>
          <w:sz w:val="28"/>
          <w:szCs w:val="28"/>
          <w:highlight w:val="none"/>
          <w:u w:val="none"/>
        </w:rPr>
        <w:t>在中华人民共和国境内注册合法运作的企业法人、事业单位法人或者法人依法设立并领取营业执照的分支机构、合伙企业等非法人组织；</w:t>
      </w:r>
      <w:r>
        <w:rPr>
          <w:rFonts w:hint="eastAsia" w:ascii="仿宋_GB2312" w:eastAsia="仿宋_GB2312"/>
          <w:color w:val="auto"/>
          <w:sz w:val="28"/>
          <w:szCs w:val="28"/>
          <w:highlight w:val="none"/>
          <w:lang w:eastAsia="zh-CN"/>
        </w:rPr>
        <w:t>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企业社会价值报告服务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w:t>
      </w:r>
      <w:r>
        <w:rPr>
          <w:rFonts w:hint="eastAsia" w:ascii="仿宋_GB2312" w:hAnsi="仿宋_GB2312" w:eastAsia="仿宋_GB2312" w:cs="仿宋_GB2312"/>
          <w:color w:val="auto"/>
          <w:sz w:val="28"/>
          <w:szCs w:val="28"/>
          <w:highlight w:val="none"/>
        </w:rPr>
        <w:t>求</w:t>
      </w:r>
      <w:r>
        <w:rPr>
          <w:rFonts w:hint="eastAsia" w:ascii="仿宋_GB2312" w:hAnsi="Calibri" w:eastAsia="仿宋_GB2312" w:cs="Times New Roman"/>
          <w:color w:val="auto"/>
          <w:sz w:val="28"/>
          <w:szCs w:val="28"/>
          <w:highlight w:val="none"/>
          <w:u w:val="single"/>
          <w:lang w:val="en-US" w:eastAsia="zh-CN"/>
        </w:rPr>
        <w:t>1</w:t>
      </w:r>
      <w:r>
        <w:rPr>
          <w:rFonts w:ascii="仿宋_GB2312" w:hAnsi="Calibri" w:eastAsia="仿宋_GB2312" w:cs="Times New Roman"/>
          <w:color w:val="auto"/>
          <w:sz w:val="28"/>
          <w:szCs w:val="28"/>
          <w:highlight w:val="none"/>
          <w:u w:val="single"/>
        </w:rPr>
        <w:t>.</w:t>
      </w:r>
      <w:r>
        <w:rPr>
          <w:rFonts w:hint="eastAsia" w:ascii="仿宋_GB2312" w:hAnsi="Calibri" w:eastAsia="仿宋_GB2312" w:cs="Times New Roman"/>
          <w:color w:val="auto"/>
          <w:sz w:val="28"/>
          <w:szCs w:val="28"/>
          <w:highlight w:val="none"/>
          <w:u w:val="single"/>
        </w:rPr>
        <w:t>具备良好的商业信誉；</w:t>
      </w:r>
      <w:r>
        <w:rPr>
          <w:rFonts w:hint="eastAsia" w:ascii="仿宋_GB2312" w:hAnsi="Calibri" w:eastAsia="仿宋_GB2312" w:cs="Times New Roman"/>
          <w:color w:val="auto"/>
          <w:sz w:val="28"/>
          <w:szCs w:val="28"/>
          <w:highlight w:val="none"/>
          <w:u w:val="single"/>
          <w:lang w:val="en-US" w:eastAsia="zh-CN"/>
        </w:rPr>
        <w:t>2</w:t>
      </w:r>
      <w:r>
        <w:rPr>
          <w:rFonts w:ascii="仿宋_GB2312" w:hAnsi="Calibri" w:eastAsia="仿宋_GB2312" w:cs="Times New Roman"/>
          <w:color w:val="auto"/>
          <w:sz w:val="28"/>
          <w:szCs w:val="28"/>
          <w:highlight w:val="none"/>
          <w:u w:val="single"/>
        </w:rPr>
        <w:t>.</w:t>
      </w:r>
      <w:r>
        <w:rPr>
          <w:rFonts w:hint="eastAsia" w:ascii="仿宋_GB2312" w:hAnsi="Calibri" w:eastAsia="仿宋_GB2312" w:cs="Times New Roman"/>
          <w:color w:val="auto"/>
          <w:sz w:val="28"/>
          <w:szCs w:val="28"/>
          <w:highlight w:val="none"/>
          <w:u w:val="single"/>
        </w:rPr>
        <w:t>具有依法缴纳税收的良好记录。</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eastAsia="仿宋_GB2312"/>
                <w:color w:val="auto"/>
                <w:sz w:val="28"/>
                <w:szCs w:val="28"/>
                <w:highlight w:val="none"/>
              </w:rPr>
              <w:t>623155</w:t>
            </w:r>
            <w:r>
              <w:rPr>
                <w:rFonts w:hint="eastAsia" w:ascii="仿宋_GB2312" w:eastAsia="仿宋_GB2312"/>
                <w:color w:val="auto"/>
                <w:sz w:val="28"/>
                <w:szCs w:val="28"/>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8" w:name="_Toc10891"/>
    </w:p>
    <w:p>
      <w:pPr>
        <w:pStyle w:val="4"/>
        <w:rPr>
          <w:rFonts w:hint="eastAsia"/>
          <w:color w:val="auto"/>
          <w:highlight w:val="none"/>
        </w:rPr>
      </w:pPr>
      <w:bookmarkStart w:id="19" w:name="_Toc2331"/>
      <w:bookmarkStart w:id="20" w:name="_Toc32588"/>
      <w:bookmarkStart w:id="21" w:name="_Toc9448"/>
      <w:bookmarkStart w:id="22" w:name="_Toc2324"/>
      <w:bookmarkStart w:id="23" w:name="_Toc16705"/>
      <w:bookmarkStart w:id="24" w:name="_Toc19295"/>
      <w:bookmarkStart w:id="25" w:name="_Toc25603"/>
      <w:bookmarkStart w:id="26" w:name="_Toc23749"/>
      <w:bookmarkStart w:id="27" w:name="_Toc16557"/>
      <w:bookmarkStart w:id="28" w:name="_Toc7340"/>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39.7pt;height:0pt;width:75.5pt;z-index:251673600;mso-width-relative:page;mso-height-relative:page;" filled="f" stroked="t" coordsize="21600,21600" o:gfxdata="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HsXbXXAAAACQ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GRMmn7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hAlnFgz9&#10;8dsP1z/ff779/u3Hp+tfNx9T/PULozyJ1XssqWZlN+G4Qr8Jifm+CSZ9iRPbZ4EPJ4HlPjJBm89m&#10;8/mMpBd3qeK+zgeML6QzLAUVxxhAtV1cOWvpL7owyfrC7iVG6kyFdwWpqbasT/DTGYEDubIhN1Bo&#10;PDFD2+ZadFrVl0rrVIGh3a50YDtIzshP4ke4fx1LTdaA3XAupwbPdBLq57Zm8eBJMktXhacRjKw5&#10;05JuVooIEMoISp9zklprSxMkiQdRU7R19SFrnffJBXnGo2OTzf5c5+r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ti3rWAAAACQEAAA8AAAAAAAAAAQAgAAAAIgAAAGRycy9kb3ducmV2Lnht&#10;bFBLAQIUABQAAAAIAIdO4kBhkTJp+wEAAO0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8"/>
      <w:bookmarkEnd w:id="19"/>
      <w:bookmarkEnd w:id="20"/>
      <w:bookmarkEnd w:id="21"/>
      <w:bookmarkEnd w:id="22"/>
      <w:bookmarkEnd w:id="23"/>
      <w:bookmarkEnd w:id="24"/>
      <w:bookmarkEnd w:id="25"/>
      <w:bookmarkEnd w:id="26"/>
      <w:bookmarkEnd w:id="27"/>
      <w:bookmarkEnd w:id="28"/>
    </w:p>
    <w:p>
      <w:pPr>
        <w:pStyle w:val="5"/>
        <w:rPr>
          <w:rFonts w:hint="eastAsia"/>
          <w:color w:val="auto"/>
          <w:highlight w:val="none"/>
        </w:rPr>
      </w:pPr>
    </w:p>
    <w:p>
      <w:pPr>
        <w:pStyle w:val="5"/>
        <w:rPr>
          <w:color w:val="auto"/>
          <w:highlight w:val="none"/>
        </w:rPr>
      </w:pPr>
      <w:bookmarkStart w:id="29" w:name="_Toc3416"/>
      <w:bookmarkStart w:id="30" w:name="_Toc2339"/>
      <w:r>
        <w:rPr>
          <w:rFonts w:hint="eastAsia"/>
          <w:color w:val="auto"/>
          <w:highlight w:val="none"/>
        </w:rPr>
        <w:t>供应商须知</w:t>
      </w:r>
      <w:bookmarkEnd w:id="29"/>
      <w:bookmarkEnd w:id="30"/>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line="560" w:lineRule="exact"/>
        <w:ind w:left="559" w:leftChars="266" w:firstLine="176" w:firstLineChars="63"/>
        <w:jc w:val="left"/>
        <w:rPr>
          <w:rFonts w:hint="eastAsia" w:ascii="仿宋_GB2312" w:eastAsia="仿宋_GB2312"/>
          <w:color w:val="auto"/>
          <w:sz w:val="28"/>
          <w:szCs w:val="28"/>
          <w:highlight w:val="none"/>
          <w:lang w:eastAsia="zh-CN"/>
        </w:rPr>
      </w:pP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4"/>
        <w:rPr>
          <w:rFonts w:hint="default" w:eastAsia="仿宋_GB2312"/>
          <w:color w:val="auto"/>
          <w:highlight w:val="none"/>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4"/>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1" w:name="_Toc21455"/>
      <w:bookmarkStart w:id="32"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2298065</wp:posOffset>
                </wp:positionH>
                <wp:positionV relativeFrom="paragraph">
                  <wp:posOffset>687705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95pt;margin-top:54.15pt;height:0pt;width:75.5pt;z-index:251661312;mso-width-relative:page;mso-height-relative:page;" filled="f" stroked="t" coordsize="21600,21600" o:gfxdata="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OHAZ1wAAAAs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1"/>
      <w:bookmarkEnd w:id="32"/>
    </w:p>
    <w:p>
      <w:pPr>
        <w:pStyle w:val="26"/>
        <w:rPr>
          <w:color w:val="auto"/>
          <w:highlight w:val="none"/>
        </w:rPr>
      </w:pPr>
    </w:p>
    <w:p>
      <w:pPr>
        <w:pStyle w:val="5"/>
        <w:rPr>
          <w:color w:val="auto"/>
          <w:highlight w:val="none"/>
        </w:rPr>
      </w:pPr>
      <w:bookmarkStart w:id="33" w:name="_Toc7303"/>
      <w:bookmarkStart w:id="34" w:name="_Toc7040"/>
      <w:bookmarkStart w:id="35" w:name="_Toc88209934"/>
      <w:bookmarkStart w:id="36" w:name="_Toc87616371"/>
      <w:r>
        <w:rPr>
          <w:rFonts w:hint="eastAsia"/>
          <w:color w:val="auto"/>
          <w:highlight w:val="none"/>
        </w:rPr>
        <w:t>采购方法</w:t>
      </w:r>
      <w:bookmarkEnd w:id="33"/>
      <w:bookmarkEnd w:id="34"/>
      <w:bookmarkEnd w:id="35"/>
      <w:bookmarkEnd w:id="3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7" w:name="_Toc24895"/>
      <w:bookmarkStart w:id="38" w:name="_Toc3789"/>
      <w:r>
        <w:rPr>
          <w:rFonts w:hint="eastAsia"/>
          <w:color w:val="auto"/>
          <w:highlight w:val="none"/>
        </w:rPr>
        <w:t>询比采购</w:t>
      </w:r>
      <w:bookmarkEnd w:id="37"/>
      <w:bookmarkEnd w:id="38"/>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9" w:name="_Toc14552"/>
      <w:bookmarkStart w:id="40" w:name="_Toc19050"/>
      <w:bookmarkStart w:id="41" w:name="_Toc23581"/>
      <w:bookmarkStart w:id="42" w:name="_Toc19759"/>
      <w:bookmarkStart w:id="43" w:name="_Toc7437"/>
      <w:bookmarkStart w:id="44" w:name="_Toc20594"/>
      <w:bookmarkStart w:id="45" w:name="_Toc10930"/>
      <w:bookmarkStart w:id="46" w:name="_Toc7118"/>
      <w:bookmarkStart w:id="47" w:name="_Toc14870"/>
      <w:bookmarkStart w:id="48" w:name="_Toc3156"/>
      <w:bookmarkStart w:id="49"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9"/>
      <w:bookmarkEnd w:id="40"/>
      <w:bookmarkEnd w:id="41"/>
      <w:bookmarkEnd w:id="42"/>
      <w:bookmarkEnd w:id="43"/>
      <w:bookmarkEnd w:id="44"/>
      <w:bookmarkEnd w:id="45"/>
      <w:bookmarkEnd w:id="46"/>
      <w:bookmarkEnd w:id="47"/>
      <w:bookmarkEnd w:id="48"/>
      <w:bookmarkEnd w:id="49"/>
    </w:p>
    <w:p>
      <w:pPr>
        <w:pStyle w:val="26"/>
        <w:rPr>
          <w:color w:val="auto"/>
          <w:highlight w:val="none"/>
        </w:rPr>
      </w:pPr>
    </w:p>
    <w:p>
      <w:pPr>
        <w:pStyle w:val="4"/>
        <w:rPr>
          <w:color w:val="auto"/>
          <w:highlight w:val="none"/>
        </w:rPr>
      </w:pPr>
      <w:bookmarkStart w:id="50" w:name="_Toc6308"/>
      <w:bookmarkStart w:id="51" w:name="_Toc7831"/>
      <w:bookmarkStart w:id="52" w:name="_Toc30530"/>
      <w:bookmarkStart w:id="53" w:name="_Toc13898"/>
      <w:bookmarkStart w:id="54" w:name="_Toc88209941"/>
      <w:bookmarkStart w:id="55" w:name="_Toc29345"/>
      <w:bookmarkStart w:id="56" w:name="_Toc21840"/>
      <w:bookmarkStart w:id="57" w:name="_Toc29484"/>
      <w:bookmarkStart w:id="58" w:name="_Toc32607"/>
      <w:bookmarkStart w:id="59" w:name="_Toc87616378"/>
      <w:bookmarkStart w:id="60" w:name="_Toc21079"/>
      <w:bookmarkStart w:id="61" w:name="_Toc12177"/>
      <w:bookmarkStart w:id="62" w:name="_Toc22212"/>
      <w:r>
        <w:rPr>
          <w:rFonts w:hint="eastAsia"/>
          <w:color w:val="auto"/>
          <w:highlight w:val="none"/>
        </w:rPr>
        <w:t>评审办法</w:t>
      </w:r>
      <w:bookmarkEnd w:id="50"/>
      <w:bookmarkEnd w:id="51"/>
      <w:bookmarkEnd w:id="52"/>
      <w:bookmarkEnd w:id="53"/>
      <w:bookmarkEnd w:id="54"/>
      <w:bookmarkEnd w:id="55"/>
      <w:bookmarkEnd w:id="56"/>
      <w:bookmarkEnd w:id="57"/>
      <w:bookmarkEnd w:id="58"/>
      <w:bookmarkEnd w:id="59"/>
      <w:bookmarkEnd w:id="60"/>
      <w:bookmarkEnd w:id="61"/>
      <w:bookmarkEnd w:id="6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keepNext w:val="0"/>
        <w:keepLines w:val="0"/>
        <w:spacing w:before="0" w:after="0" w:line="240" w:lineRule="auto"/>
        <w:jc w:val="left"/>
        <w:outlineLvl w:val="9"/>
        <w:rPr>
          <w:rFonts w:hint="eastAsia" w:ascii="仿宋" w:hAnsi="仿宋" w:eastAsia="仿宋" w:cs="Times New Roman"/>
          <w:b/>
          <w:color w:val="auto"/>
          <w:sz w:val="36"/>
          <w:szCs w:val="32"/>
          <w:highlight w:val="none"/>
        </w:rPr>
      </w:pPr>
      <w:bookmarkStart w:id="63" w:name="_Toc92204815"/>
      <w:bookmarkStart w:id="64" w:name="_Toc23033"/>
      <w:bookmarkStart w:id="65" w:name="_Toc26826"/>
      <w:r>
        <w:rPr>
          <w:rFonts w:hint="eastAsia" w:ascii="仿宋" w:hAnsi="仿宋" w:eastAsia="仿宋" w:cs="Times New Roman"/>
          <w:b/>
          <w:color w:val="auto"/>
          <w:sz w:val="36"/>
          <w:szCs w:val="32"/>
          <w:highlight w:val="none"/>
        </w:rPr>
        <w:br w:type="page"/>
      </w:r>
    </w:p>
    <w:p>
      <w:pPr>
        <w:keepNext/>
        <w:keepLines/>
        <w:spacing w:before="260" w:after="260" w:line="415" w:lineRule="auto"/>
        <w:jc w:val="center"/>
        <w:outlineLvl w:val="2"/>
        <w:rPr>
          <w:rFonts w:ascii="仿宋" w:hAnsi="仿宋" w:eastAsia="仿宋" w:cs="Times New Roman"/>
          <w:b/>
          <w:color w:val="auto"/>
          <w:sz w:val="36"/>
          <w:szCs w:val="32"/>
          <w:highlight w:val="none"/>
        </w:rPr>
      </w:pPr>
      <w:r>
        <w:rPr>
          <w:rFonts w:hint="eastAsia" w:ascii="仿宋" w:hAnsi="仿宋" w:eastAsia="仿宋" w:cs="Times New Roman"/>
          <w:b/>
          <w:color w:val="auto"/>
          <w:sz w:val="36"/>
          <w:szCs w:val="32"/>
          <w:highlight w:val="none"/>
        </w:rPr>
        <w:t>综合评分法</w:t>
      </w:r>
      <w:bookmarkEnd w:id="63"/>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rPr>
        <w:t>1.评审方法</w:t>
      </w:r>
    </w:p>
    <w:p>
      <w:pPr>
        <w:adjustRightInd w:val="0"/>
        <w:snapToGrid w:val="0"/>
        <w:spacing w:line="600" w:lineRule="exac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 xml:space="preserve">   本次评审采用综合评分法。</w:t>
      </w:r>
    </w:p>
    <w:p>
      <w:pPr>
        <w:adjustRightInd w:val="0"/>
        <w:snapToGrid w:val="0"/>
        <w:spacing w:line="600" w:lineRule="exac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 xml:space="preserve">   采购人可对各评审因素设置带※号条款，带※号条款为实质性条款，供应商未实质性响应其中任一条款，其响应文件都将被否决。</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rPr>
        <w:t>2.评审程序</w:t>
      </w:r>
    </w:p>
    <w:p>
      <w:pPr>
        <w:adjustRightInd w:val="0"/>
        <w:snapToGrid w:val="0"/>
        <w:spacing w:line="600" w:lineRule="exact"/>
        <w:ind w:firstLine="556"/>
        <w:outlineLvl w:val="4"/>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2.1 初步评审</w:t>
      </w:r>
    </w:p>
    <w:p>
      <w:pPr>
        <w:adjustRightInd w:val="0"/>
        <w:snapToGrid w:val="0"/>
        <w:spacing w:line="600" w:lineRule="exact"/>
        <w:rPr>
          <w:rFonts w:ascii="仿宋_GB2312" w:eastAsia="仿宋_GB2312" w:cs="Times New Roman"/>
          <w:color w:val="auto"/>
          <w:sz w:val="28"/>
          <w:szCs w:val="28"/>
          <w:highlight w:val="none"/>
        </w:rPr>
      </w:pPr>
      <w:r>
        <w:rPr>
          <w:rFonts w:ascii="仿宋_GB2312" w:hAnsi="Calibri" w:eastAsia="仿宋_GB2312" w:cs="Times New Roman"/>
          <w:color w:val="auto"/>
          <w:sz w:val="28"/>
          <w:szCs w:val="28"/>
          <w:highlight w:val="none"/>
        </w:rPr>
        <w:t>表</w:t>
      </w:r>
      <w:r>
        <w:rPr>
          <w:rFonts w:hint="eastAsia" w:ascii="仿宋_GB2312" w:hAnsi="Calibri" w:eastAsia="仿宋_GB2312" w:cs="Times New Roman"/>
          <w:color w:val="auto"/>
          <w:sz w:val="28"/>
          <w:szCs w:val="28"/>
          <w:highlight w:val="none"/>
        </w:rPr>
        <w:t>4-1                      初步评审标准</w:t>
      </w:r>
    </w:p>
    <w:tbl>
      <w:tblPr>
        <w:tblStyle w:val="3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评审</w:t>
            </w:r>
            <w:r>
              <w:rPr>
                <w:rFonts w:ascii="仿宋_GB2312" w:hAnsi="Calibri" w:eastAsia="仿宋_GB2312" w:cs="Times New Roman"/>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评审</w:t>
            </w:r>
            <w:r>
              <w:rPr>
                <w:rFonts w:ascii="仿宋_GB2312" w:hAnsi="Calibri" w:eastAsia="仿宋_GB2312" w:cs="Times New Roman"/>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与营业执照</w:t>
            </w:r>
            <w:r>
              <w:rPr>
                <w:rFonts w:hint="eastAsia" w:ascii="仿宋_GB2312" w:hAnsi="Calibri" w:eastAsia="仿宋_GB2312" w:cs="Times New Roman"/>
                <w:color w:val="auto"/>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Calibri" w:hAnsi="Calibri"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有响应函</w:t>
            </w:r>
            <w:r>
              <w:rPr>
                <w:rFonts w:hint="eastAsia" w:ascii="仿宋_GB2312" w:hAnsi="Calibri" w:eastAsia="仿宋_GB2312" w:cs="Times New Roman"/>
                <w:color w:val="auto"/>
                <w:highlight w:val="none"/>
              </w:rPr>
              <w:t>，</w:t>
            </w:r>
            <w:r>
              <w:rPr>
                <w:rFonts w:ascii="仿宋_GB2312" w:hAnsi="Calibri" w:eastAsia="仿宋_GB2312" w:cs="Times New Roman"/>
                <w:color w:val="auto"/>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hAnsi="Calibri" w:eastAsia="仿宋_GB2312" w:cs="Times New Roman"/>
                <w:color w:val="auto"/>
                <w:highlight w:val="none"/>
              </w:rPr>
            </w:pPr>
            <w:r>
              <w:rPr>
                <w:rFonts w:ascii="仿宋_GB2312" w:hAnsi="Calibri" w:eastAsia="仿宋_GB2312" w:cs="Times New Roman"/>
                <w:color w:val="auto"/>
                <w:highlight w:val="none"/>
              </w:rPr>
              <w:t>符合采购文件</w:t>
            </w:r>
            <w:r>
              <w:rPr>
                <w:rFonts w:hint="eastAsia" w:ascii="仿宋_GB2312" w:hAnsi="Calibri" w:eastAsia="仿宋_GB2312" w:cs="Times New Roman"/>
                <w:color w:val="auto"/>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只能有一个有效报价</w:t>
            </w:r>
            <w:r>
              <w:rPr>
                <w:rFonts w:hint="eastAsia" w:ascii="仿宋_GB2312" w:hAnsi="Calibri" w:eastAsia="仿宋_GB2312" w:cs="Times New Roman"/>
                <w:color w:val="auto"/>
                <w:highlight w:val="none"/>
              </w:rPr>
              <w:t>，</w:t>
            </w:r>
            <w:r>
              <w:rPr>
                <w:rFonts w:ascii="仿宋_GB2312" w:hAnsi="Calibri" w:eastAsia="仿宋_GB2312" w:cs="Times New Roman"/>
                <w:color w:val="auto"/>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法定代表人授权委托</w:t>
            </w:r>
          </w:p>
        </w:tc>
        <w:tc>
          <w:tcPr>
            <w:tcW w:w="5528" w:type="dxa"/>
            <w:tcBorders>
              <w:top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有授权书</w:t>
            </w:r>
            <w:r>
              <w:rPr>
                <w:rFonts w:hint="eastAsia" w:ascii="仿宋_GB2312" w:hAnsi="Calibri" w:eastAsia="仿宋_GB2312" w:cs="Times New Roman"/>
                <w:color w:val="auto"/>
                <w:highlight w:val="none"/>
              </w:rPr>
              <w:t>，</w:t>
            </w:r>
            <w:r>
              <w:rPr>
                <w:rFonts w:ascii="仿宋_GB2312" w:hAnsi="Calibri" w:eastAsia="仿宋_GB2312" w:cs="Times New Roman"/>
                <w:color w:val="auto"/>
                <w:highlight w:val="none"/>
              </w:rPr>
              <w:t>授权书有法定代表人及其委托代理人签字并加盖单位工作</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资格评审</w:t>
            </w:r>
          </w:p>
        </w:tc>
        <w:tc>
          <w:tcPr>
            <w:tcW w:w="2127" w:type="dxa"/>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营业执照</w:t>
            </w:r>
          </w:p>
        </w:tc>
        <w:tc>
          <w:tcPr>
            <w:tcW w:w="5528" w:type="dxa"/>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有营业执照</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hAnsi="Calibri" w:eastAsia="仿宋_GB2312" w:cs="Times New Roman"/>
                <w:color w:val="auto"/>
                <w:highlight w:val="none"/>
              </w:rPr>
            </w:pPr>
          </w:p>
        </w:tc>
        <w:tc>
          <w:tcPr>
            <w:tcW w:w="2127" w:type="dxa"/>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净资产</w:t>
            </w:r>
          </w:p>
        </w:tc>
        <w:tc>
          <w:tcPr>
            <w:tcW w:w="5528" w:type="dxa"/>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eastAsia="仿宋_GB2312" w:cs="Times New Roman"/>
                <w:color w:val="auto"/>
                <w:highlight w:val="none"/>
              </w:rPr>
              <w:t>不要求     □满足采购公告要求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vAlign w:val="center"/>
          </w:tcPr>
          <w:p>
            <w:pPr>
              <w:adjustRightInd w:val="0"/>
              <w:snapToGrid w:val="0"/>
              <w:jc w:val="center"/>
              <w:rPr>
                <w:rFonts w:ascii="仿宋_GB2312" w:hAnsi="Calibri" w:eastAsia="仿宋_GB2312" w:cs="Times New Roman"/>
                <w:color w:val="auto"/>
                <w:highlight w:val="none"/>
              </w:rPr>
            </w:pPr>
          </w:p>
        </w:tc>
        <w:tc>
          <w:tcPr>
            <w:tcW w:w="2127" w:type="dxa"/>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供应商资格</w:t>
            </w:r>
          </w:p>
        </w:tc>
        <w:tc>
          <w:tcPr>
            <w:tcW w:w="5528" w:type="dxa"/>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满足法律法规及采购文件要求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bottom w:val="single" w:color="auto" w:sz="4" w:space="0"/>
            </w:tcBorders>
            <w:vAlign w:val="center"/>
          </w:tcPr>
          <w:p>
            <w:pPr>
              <w:adjustRightInd w:val="0"/>
              <w:snapToGrid w:val="0"/>
              <w:jc w:val="center"/>
              <w:rPr>
                <w:rFonts w:ascii="仿宋_GB2312" w:hAnsi="Calibri" w:eastAsia="仿宋_GB2312" w:cs="Times New Roman"/>
                <w:color w:val="auto"/>
                <w:highlight w:val="none"/>
              </w:rPr>
            </w:pPr>
          </w:p>
        </w:tc>
        <w:tc>
          <w:tcPr>
            <w:tcW w:w="2127" w:type="dxa"/>
            <w:tcBorders>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证明材料</w:t>
            </w:r>
          </w:p>
        </w:tc>
        <w:tc>
          <w:tcPr>
            <w:tcW w:w="5528" w:type="dxa"/>
            <w:tcBorders>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eastAsia="仿宋_GB2312" w:cs="Times New Roman"/>
                <w:color w:val="auto"/>
                <w:highlight w:val="none"/>
              </w:rPr>
              <w:t>按采购文件</w:t>
            </w:r>
            <w:r>
              <w:rPr>
                <w:rFonts w:ascii="仿宋_GB2312" w:eastAsia="仿宋_GB2312" w:cs="Times New Roman"/>
                <w:color w:val="auto"/>
                <w:highlight w:val="none"/>
              </w:rPr>
              <w:t>第二章</w:t>
            </w:r>
            <w:r>
              <w:rPr>
                <w:rFonts w:hint="eastAsia" w:ascii="仿宋_GB2312" w:eastAsia="仿宋_GB2312" w:cs="Times New Roman"/>
                <w:color w:val="auto"/>
                <w:highlight w:val="none"/>
              </w:rPr>
              <w:t>“</w:t>
            </w:r>
            <w:r>
              <w:rPr>
                <w:rFonts w:ascii="仿宋_GB2312" w:eastAsia="仿宋_GB2312" w:cs="Times New Roman"/>
                <w:color w:val="auto"/>
                <w:highlight w:val="none"/>
              </w:rPr>
              <w:t>供应商须知</w:t>
            </w:r>
            <w:r>
              <w:rPr>
                <w:rFonts w:hint="eastAsia" w:ascii="仿宋_GB2312" w:eastAsia="仿宋_GB2312" w:cs="Times New Roman"/>
                <w:color w:val="auto"/>
                <w:highlight w:val="none"/>
              </w:rPr>
              <w:t>”提交证明材料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没有超过最高限价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工作总进度</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符合采购文件第</w:t>
            </w:r>
            <w:r>
              <w:rPr>
                <w:rFonts w:hint="eastAsia" w:ascii="仿宋_GB2312" w:hAnsi="Calibri" w:eastAsia="仿宋_GB2312" w:cs="Times New Roman"/>
                <w:color w:val="auto"/>
                <w:highlight w:val="none"/>
              </w:rPr>
              <w:t>五</w:t>
            </w:r>
            <w:r>
              <w:rPr>
                <w:rFonts w:ascii="仿宋_GB2312" w:hAnsi="Calibri" w:eastAsia="仿宋_GB2312" w:cs="Times New Roman"/>
                <w:color w:val="auto"/>
                <w:highlight w:val="none"/>
              </w:rPr>
              <w:t>章</w:t>
            </w:r>
            <w:r>
              <w:rPr>
                <w:rFonts w:hint="eastAsia" w:ascii="仿宋_GB2312" w:hAnsi="Calibri" w:eastAsia="仿宋_GB2312" w:cs="Times New Roman"/>
                <w:color w:val="auto"/>
                <w:highlight w:val="none"/>
              </w:rPr>
              <w:t>“采购需求”的规定</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响应文件有效期</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满足采购文件</w:t>
            </w:r>
            <w:r>
              <w:rPr>
                <w:rFonts w:hint="eastAsia" w:ascii="仿宋_GB2312" w:hAnsi="Calibri" w:eastAsia="仿宋_GB2312" w:cs="Times New Roman"/>
                <w:color w:val="auto"/>
                <w:highlight w:val="none"/>
              </w:rPr>
              <w:t>的</w:t>
            </w:r>
            <w:r>
              <w:rPr>
                <w:rFonts w:ascii="仿宋_GB2312" w:hAnsi="Calibri" w:eastAsia="仿宋_GB2312" w:cs="Times New Roman"/>
                <w:color w:val="auto"/>
                <w:highlight w:val="none"/>
              </w:rPr>
              <w:t>规定</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响应保证金</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满足采购文件</w:t>
            </w:r>
            <w:r>
              <w:rPr>
                <w:rFonts w:hint="eastAsia" w:ascii="仿宋_GB2312" w:hAnsi="Calibri" w:eastAsia="仿宋_GB2312" w:cs="Times New Roman"/>
                <w:color w:val="auto"/>
                <w:highlight w:val="none"/>
              </w:rPr>
              <w:t>的</w:t>
            </w:r>
            <w:r>
              <w:rPr>
                <w:rFonts w:ascii="仿宋_GB2312" w:hAnsi="Calibri" w:eastAsia="仿宋_GB2312" w:cs="Times New Roman"/>
                <w:color w:val="auto"/>
                <w:highlight w:val="none"/>
              </w:rPr>
              <w:t>规定</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商务偏差</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无采购人不能接受的偏差内容</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其他</w:t>
            </w:r>
          </w:p>
        </w:tc>
        <w:tc>
          <w:tcPr>
            <w:tcW w:w="552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hAnsi="Calibri" w:eastAsia="仿宋_GB2312" w:cs="Times New Roman"/>
                <w:color w:val="auto"/>
                <w:highlight w:val="none"/>
              </w:rPr>
              <w:t>无法律法规及采购文件规定的其他无效响应内容</w:t>
            </w:r>
          </w:p>
        </w:tc>
      </w:tr>
    </w:tbl>
    <w:p>
      <w:pPr>
        <w:adjustRightInd w:val="0"/>
        <w:snapToGrid w:val="0"/>
        <w:spacing w:line="400" w:lineRule="exact"/>
        <w:rPr>
          <w:rFonts w:ascii="仿宋_GB2312" w:eastAsia="仿宋_GB2312" w:cs="Times New Roman"/>
          <w:color w:val="auto"/>
          <w:szCs w:val="21"/>
          <w:highlight w:val="none"/>
        </w:rPr>
      </w:pPr>
      <w:r>
        <w:rPr>
          <w:rFonts w:hint="eastAsia" w:ascii="仿宋_GB2312" w:eastAsia="仿宋_GB2312" w:cs="Times New Roman"/>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6"/>
        <w:outlineLvl w:val="4"/>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2.2详细评审</w:t>
      </w:r>
    </w:p>
    <w:p>
      <w:pPr>
        <w:ind w:firstLine="560" w:firstLineChars="200"/>
        <w:rPr>
          <w:rFonts w:ascii="仿宋_GB2312" w:eastAsia="仿宋_GB2312" w:cs="Times New Roman"/>
          <w:b/>
          <w:bCs/>
          <w:color w:val="auto"/>
          <w:sz w:val="28"/>
          <w:szCs w:val="28"/>
          <w:highlight w:val="none"/>
        </w:rPr>
      </w:pPr>
      <w:r>
        <w:rPr>
          <w:rFonts w:hint="eastAsia" w:ascii="仿宋_GB2312" w:eastAsia="仿宋_GB2312" w:cs="Times New Roman"/>
          <w:color w:val="auto"/>
          <w:sz w:val="28"/>
          <w:szCs w:val="28"/>
          <w:highlight w:val="none"/>
        </w:rPr>
        <w:t>对通过初步评审的响应文件采用综合评分法进行详细评审。详细评审内容包括商务评审、技术评审和价格评审，</w:t>
      </w:r>
      <w:r>
        <w:rPr>
          <w:rFonts w:hint="eastAsia" w:ascii="仿宋_GB2312" w:eastAsia="仿宋_GB2312" w:cs="Times New Roman"/>
          <w:b/>
          <w:bCs/>
          <w:color w:val="auto"/>
          <w:sz w:val="28"/>
          <w:szCs w:val="28"/>
          <w:highlight w:val="none"/>
        </w:rPr>
        <w:t>其中商务评审比重</w:t>
      </w:r>
      <w:r>
        <w:rPr>
          <w:rFonts w:ascii="仿宋_GB2312" w:eastAsia="仿宋_GB2312" w:cs="Times New Roman"/>
          <w:b/>
          <w:bCs/>
          <w:color w:val="auto"/>
          <w:sz w:val="28"/>
          <w:szCs w:val="28"/>
          <w:highlight w:val="none"/>
        </w:rPr>
        <w:t>40%，技术评审比重40%、价格评审比重20%</w:t>
      </w:r>
      <w:r>
        <w:rPr>
          <w:rFonts w:hint="eastAsia" w:ascii="仿宋_GB2312" w:eastAsia="仿宋_GB2312" w:cs="Times New Roman"/>
          <w:b/>
          <w:bCs/>
          <w:color w:val="auto"/>
          <w:sz w:val="28"/>
          <w:szCs w:val="28"/>
          <w:highlight w:val="none"/>
        </w:rPr>
        <w:t>。</w:t>
      </w:r>
    </w:p>
    <w:p>
      <w:pPr>
        <w:adjustRightInd w:val="0"/>
        <w:snapToGrid w:val="0"/>
        <w:spacing w:line="600" w:lineRule="exact"/>
        <w:ind w:firstLine="556"/>
        <w:outlineLvl w:val="5"/>
        <w:rPr>
          <w:rFonts w:ascii="仿宋_GB2312" w:eastAsia="仿宋_GB2312" w:cs="Times New Roman"/>
          <w:color w:val="auto"/>
          <w:sz w:val="28"/>
          <w:szCs w:val="28"/>
          <w:highlight w:val="none"/>
        </w:rPr>
      </w:pPr>
      <w:r>
        <w:rPr>
          <w:rFonts w:ascii="仿宋_GB2312" w:eastAsia="仿宋_GB2312" w:cs="Times New Roman"/>
          <w:color w:val="auto"/>
          <w:sz w:val="28"/>
          <w:szCs w:val="28"/>
          <w:highlight w:val="none"/>
        </w:rPr>
        <w:t>2.2.1商务评审</w:t>
      </w:r>
    </w:p>
    <w:p>
      <w:pPr>
        <w:adjustRightInd w:val="0"/>
        <w:snapToGrid w:val="0"/>
        <w:spacing w:line="600" w:lineRule="exact"/>
        <w:rPr>
          <w:rFonts w:ascii="仿宋_GB2312" w:eastAsia="仿宋_GB2312" w:cs="Times New Roman"/>
          <w:color w:val="auto"/>
          <w:sz w:val="28"/>
          <w:szCs w:val="28"/>
          <w:highlight w:val="none"/>
        </w:rPr>
      </w:pPr>
      <w:r>
        <w:rPr>
          <w:rFonts w:ascii="仿宋_GB2312" w:hAnsi="Calibri" w:eastAsia="仿宋_GB2312" w:cs="Times New Roman"/>
          <w:color w:val="auto"/>
          <w:sz w:val="28"/>
          <w:szCs w:val="28"/>
          <w:highlight w:val="none"/>
        </w:rPr>
        <w:t>表</w:t>
      </w:r>
      <w:r>
        <w:rPr>
          <w:rFonts w:hint="eastAsia" w:ascii="仿宋_GB2312" w:hAnsi="Calibri" w:eastAsia="仿宋_GB2312" w:cs="Times New Roman"/>
          <w:color w:val="auto"/>
          <w:sz w:val="28"/>
          <w:szCs w:val="28"/>
          <w:highlight w:val="none"/>
        </w:rPr>
        <w:t>4-2                      商务评审因素（</w:t>
      </w:r>
      <w:r>
        <w:rPr>
          <w:rFonts w:ascii="仿宋_GB2312" w:hAnsi="Calibri" w:eastAsia="仿宋_GB2312" w:cs="Times New Roman"/>
          <w:color w:val="auto"/>
          <w:sz w:val="28"/>
          <w:szCs w:val="28"/>
          <w:highlight w:val="none"/>
          <w:u w:val="single"/>
        </w:rPr>
        <w:t>100</w:t>
      </w:r>
      <w:r>
        <w:rPr>
          <w:rFonts w:hint="eastAsia" w:ascii="仿宋_GB2312" w:hAnsi="Calibri" w:eastAsia="仿宋_GB2312" w:cs="Times New Roman"/>
          <w:color w:val="auto"/>
          <w:sz w:val="28"/>
          <w:szCs w:val="28"/>
          <w:highlight w:val="none"/>
        </w:rPr>
        <w:t>分）</w:t>
      </w:r>
    </w:p>
    <w:tbl>
      <w:tblPr>
        <w:tblStyle w:val="3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109"/>
        <w:gridCol w:w="1552"/>
        <w:gridCol w:w="393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4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序号</w:t>
            </w:r>
          </w:p>
        </w:tc>
        <w:tc>
          <w:tcPr>
            <w:tcW w:w="210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评审</w:t>
            </w:r>
            <w:r>
              <w:rPr>
                <w:rFonts w:ascii="仿宋_GB2312" w:hAnsi="Calibri" w:eastAsia="仿宋_GB2312" w:cs="Times New Roman"/>
                <w:color w:val="auto"/>
                <w:sz w:val="28"/>
                <w:szCs w:val="28"/>
                <w:highlight w:val="none"/>
              </w:rPr>
              <w:t>因素</w:t>
            </w:r>
          </w:p>
        </w:tc>
        <w:tc>
          <w:tcPr>
            <w:tcW w:w="1552"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ascii="仿宋_GB2312" w:hAnsi="Calibri" w:eastAsia="仿宋_GB2312" w:cs="Times New Roman"/>
                <w:color w:val="auto"/>
                <w:sz w:val="28"/>
                <w:szCs w:val="28"/>
                <w:highlight w:val="none"/>
              </w:rPr>
              <w:t>分值权重</w:t>
            </w:r>
          </w:p>
        </w:tc>
        <w:tc>
          <w:tcPr>
            <w:tcW w:w="3936"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4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1</w:t>
            </w:r>
          </w:p>
        </w:tc>
        <w:tc>
          <w:tcPr>
            <w:tcW w:w="2109"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eastAsia="仿宋_GB2312" w:cs="Times New Roman"/>
                <w:color w:val="auto"/>
                <w:highlight w:val="none"/>
              </w:rPr>
              <w:t>类似项目业绩</w:t>
            </w:r>
          </w:p>
        </w:tc>
        <w:tc>
          <w:tcPr>
            <w:tcW w:w="1552"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0-</w:t>
            </w:r>
            <w:r>
              <w:rPr>
                <w:rFonts w:ascii="仿宋_GB2312" w:hAnsi="Calibri" w:eastAsia="仿宋_GB2312" w:cs="Times New Roman"/>
                <w:color w:val="auto"/>
                <w:highlight w:val="none"/>
              </w:rPr>
              <w:t>80</w:t>
            </w:r>
            <w:r>
              <w:rPr>
                <w:rFonts w:hint="eastAsia" w:ascii="仿宋_GB2312" w:hAnsi="Calibri" w:eastAsia="仿宋_GB2312" w:cs="Times New Roman"/>
                <w:color w:val="auto"/>
                <w:highlight w:val="none"/>
              </w:rPr>
              <w:t>分</w:t>
            </w:r>
          </w:p>
        </w:tc>
        <w:tc>
          <w:tcPr>
            <w:tcW w:w="3936" w:type="dxa"/>
            <w:tcBorders>
              <w:top w:val="single" w:color="auto" w:sz="4" w:space="0"/>
              <w:bottom w:val="single" w:color="auto" w:sz="4" w:space="0"/>
            </w:tcBorders>
            <w:vAlign w:val="center"/>
          </w:tcPr>
          <w:p>
            <w:pPr>
              <w:pStyle w:val="27"/>
              <w:numPr>
                <w:ilvl w:val="0"/>
                <w:numId w:val="4"/>
              </w:numPr>
              <w:adjustRightInd w:val="0"/>
              <w:snapToGrid w:val="0"/>
              <w:ind w:firstLineChars="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具备为国家部委或地方国资委等政府机构提供社会责任课题研究咨询的相关业绩，每项业绩材料得</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分，最高不超过</w:t>
            </w:r>
            <w:r>
              <w:rPr>
                <w:rFonts w:ascii="宋体" w:hAnsi="宋体" w:eastAsia="宋体" w:cs="宋体"/>
                <w:color w:val="auto"/>
                <w:kern w:val="0"/>
                <w:sz w:val="24"/>
                <w:szCs w:val="24"/>
                <w:highlight w:val="none"/>
              </w:rPr>
              <w:t>30</w:t>
            </w:r>
            <w:r>
              <w:rPr>
                <w:rFonts w:hint="eastAsia" w:ascii="宋体" w:hAnsi="宋体" w:eastAsia="宋体" w:cs="宋体"/>
                <w:color w:val="auto"/>
                <w:kern w:val="0"/>
                <w:sz w:val="24"/>
                <w:szCs w:val="24"/>
                <w:highlight w:val="none"/>
              </w:rPr>
              <w:t>分；</w:t>
            </w:r>
          </w:p>
          <w:p>
            <w:pPr>
              <w:pStyle w:val="27"/>
              <w:numPr>
                <w:ilvl w:val="0"/>
                <w:numId w:val="4"/>
              </w:numPr>
              <w:adjustRightInd w:val="0"/>
              <w:snapToGrid w:val="0"/>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具备丰富的央企/国企社会责任工作提供咨询服务的相关业绩，每项业绩材料得</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分，最高不超过</w:t>
            </w:r>
            <w:r>
              <w:rPr>
                <w:rFonts w:ascii="宋体" w:hAnsi="宋体" w:eastAsia="宋体" w:cs="宋体"/>
                <w:color w:val="auto"/>
                <w:kern w:val="0"/>
                <w:sz w:val="24"/>
                <w:szCs w:val="24"/>
                <w:highlight w:val="none"/>
              </w:rPr>
              <w:t>50</w:t>
            </w:r>
            <w:r>
              <w:rPr>
                <w:rFonts w:hint="eastAsia" w:ascii="宋体" w:hAnsi="宋体" w:eastAsia="宋体" w:cs="宋体"/>
                <w:color w:val="auto"/>
                <w:kern w:val="0"/>
                <w:sz w:val="24"/>
                <w:szCs w:val="24"/>
                <w:highlight w:val="none"/>
              </w:rPr>
              <w:t>分；</w:t>
            </w:r>
          </w:p>
          <w:p>
            <w:pPr>
              <w:pStyle w:val="27"/>
              <w:widowControl/>
              <w:numPr>
                <w:ilvl w:val="0"/>
                <w:numId w:val="4"/>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不具备不得分。</w:t>
            </w:r>
          </w:p>
          <w:p>
            <w:pPr>
              <w:adjustRightInd w:val="0"/>
              <w:snapToGrid w:val="0"/>
              <w:rPr>
                <w:color w:val="auto"/>
                <w:highlight w:val="none"/>
              </w:rPr>
            </w:pPr>
            <w:r>
              <w:rPr>
                <w:rFonts w:hint="eastAsia"/>
                <w:color w:val="auto"/>
                <w:highlight w:val="none"/>
              </w:rPr>
              <w:t>*注：业绩材料有效期限为：</w:t>
            </w:r>
            <w:r>
              <w:rPr>
                <w:rFonts w:ascii="Times New Roman" w:hAnsi="Times New Roman" w:cs="Times New Roman"/>
                <w:color w:val="auto"/>
                <w:highlight w:val="none"/>
              </w:rPr>
              <w:t>20</w:t>
            </w:r>
            <w:r>
              <w:rPr>
                <w:rFonts w:hint="eastAsia" w:ascii="Times New Roman" w:hAnsi="Times New Roman" w:cs="Times New Roman"/>
                <w:color w:val="auto"/>
                <w:highlight w:val="none"/>
                <w:lang w:val="en-US" w:eastAsia="zh-CN"/>
              </w:rPr>
              <w:t>20</w:t>
            </w:r>
            <w:r>
              <w:rPr>
                <w:rFonts w:hint="eastAsia"/>
                <w:color w:val="auto"/>
                <w:highlight w:val="none"/>
              </w:rPr>
              <w:t xml:space="preserve">年 </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 xml:space="preserve"> </w:t>
            </w:r>
            <w:r>
              <w:rPr>
                <w:rFonts w:hint="eastAsia"/>
                <w:color w:val="auto"/>
                <w:highlight w:val="none"/>
              </w:rPr>
              <w:t>月至2</w:t>
            </w:r>
            <w:r>
              <w:rPr>
                <w:color w:val="auto"/>
                <w:highlight w:val="none"/>
              </w:rPr>
              <w:t>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4</w:t>
            </w:r>
            <w:r>
              <w:rPr>
                <w:rFonts w:hint="eastAsia"/>
                <w:color w:val="auto"/>
                <w:highlight w:val="none"/>
              </w:rPr>
              <w:t>月，以合同签订或合同服务的时间为准。需提供项目的合同关键页作为证明材料。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4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2</w:t>
            </w:r>
          </w:p>
        </w:tc>
        <w:tc>
          <w:tcPr>
            <w:tcW w:w="2109" w:type="dxa"/>
            <w:tcBorders>
              <w:top w:val="single" w:color="auto" w:sz="4" w:space="0"/>
              <w:bottom w:val="single" w:color="auto" w:sz="4" w:space="0"/>
            </w:tcBorders>
            <w:vAlign w:val="center"/>
          </w:tcPr>
          <w:p>
            <w:pPr>
              <w:adjustRightInd w:val="0"/>
              <w:snapToGrid w:val="0"/>
              <w:rPr>
                <w:rFonts w:ascii="仿宋_GB2312"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hAnsi="Calibri" w:eastAsia="仿宋_GB2312" w:cs="Times New Roman"/>
                <w:color w:val="auto"/>
                <w:highlight w:val="none"/>
              </w:rPr>
              <w:t>后台支持</w:t>
            </w:r>
          </w:p>
        </w:tc>
        <w:tc>
          <w:tcPr>
            <w:tcW w:w="1552"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0-</w:t>
            </w:r>
            <w:r>
              <w:rPr>
                <w:rFonts w:ascii="仿宋_GB2312" w:hAnsi="Calibri" w:eastAsia="仿宋_GB2312" w:cs="Times New Roman"/>
                <w:color w:val="auto"/>
                <w:highlight w:val="none"/>
              </w:rPr>
              <w:t>20</w:t>
            </w:r>
            <w:r>
              <w:rPr>
                <w:rFonts w:hint="eastAsia" w:ascii="仿宋_GB2312" w:hAnsi="Calibri" w:eastAsia="仿宋_GB2312" w:cs="Times New Roman"/>
                <w:color w:val="auto"/>
                <w:highlight w:val="none"/>
              </w:rPr>
              <w:t>分</w:t>
            </w:r>
          </w:p>
        </w:tc>
        <w:tc>
          <w:tcPr>
            <w:tcW w:w="3936" w:type="dxa"/>
            <w:tcBorders>
              <w:top w:val="single" w:color="auto" w:sz="4" w:space="0"/>
              <w:bottom w:val="single" w:color="auto" w:sz="4" w:space="0"/>
            </w:tcBorders>
            <w:vAlign w:val="center"/>
          </w:tcPr>
          <w:p>
            <w:pPr>
              <w:pStyle w:val="27"/>
              <w:widowControl/>
              <w:numPr>
                <w:ilvl w:val="0"/>
                <w:numId w:val="5"/>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具备中国社科院专家作为项目外部专家可支撑项目开展，每人得</w:t>
            </w:r>
            <w:r>
              <w:rPr>
                <w:rFonts w:ascii="宋体" w:hAnsi="宋体" w:eastAsia="宋体" w:cs="宋体"/>
                <w:color w:val="auto"/>
                <w:kern w:val="0"/>
                <w:sz w:val="24"/>
                <w:szCs w:val="24"/>
                <w:highlight w:val="none"/>
              </w:rPr>
              <w:t>5分，最高</w:t>
            </w:r>
            <w:r>
              <w:rPr>
                <w:rFonts w:hint="eastAsia" w:ascii="宋体" w:hAnsi="宋体" w:eastAsia="宋体" w:cs="宋体"/>
                <w:color w:val="auto"/>
                <w:kern w:val="0"/>
                <w:sz w:val="24"/>
                <w:szCs w:val="24"/>
                <w:highlight w:val="none"/>
              </w:rPr>
              <w:t>不超过</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分；需提供专家的个人简介及业绩经历等证明材料。</w:t>
            </w:r>
          </w:p>
          <w:p>
            <w:pPr>
              <w:pStyle w:val="27"/>
              <w:widowControl/>
              <w:numPr>
                <w:ilvl w:val="0"/>
                <w:numId w:val="5"/>
              </w:numPr>
              <w:ind w:firstLineChars="0"/>
              <w:jc w:val="left"/>
              <w:rPr>
                <w:color w:val="auto"/>
                <w:highlight w:val="none"/>
              </w:rPr>
            </w:pPr>
            <w:r>
              <w:rPr>
                <w:rFonts w:hint="eastAsia" w:ascii="宋体" w:hAnsi="宋体" w:eastAsia="宋体" w:cs="宋体"/>
                <w:color w:val="auto"/>
                <w:kern w:val="0"/>
                <w:sz w:val="24"/>
                <w:szCs w:val="24"/>
                <w:highlight w:val="none"/>
              </w:rPr>
              <w:t>具备社会责任领域专业研究机构可支撑项目开展，每项得</w:t>
            </w:r>
            <w:r>
              <w:rPr>
                <w:rFonts w:ascii="宋体" w:hAnsi="宋体" w:eastAsia="宋体" w:cs="宋体"/>
                <w:color w:val="auto"/>
                <w:kern w:val="0"/>
                <w:sz w:val="24"/>
                <w:szCs w:val="24"/>
                <w:highlight w:val="none"/>
              </w:rPr>
              <w:t>5分，最高</w:t>
            </w:r>
            <w:r>
              <w:rPr>
                <w:rFonts w:hint="eastAsia" w:ascii="宋体" w:hAnsi="宋体" w:eastAsia="宋体" w:cs="宋体"/>
                <w:color w:val="auto"/>
                <w:kern w:val="0"/>
                <w:sz w:val="24"/>
                <w:szCs w:val="24"/>
                <w:highlight w:val="none"/>
              </w:rPr>
              <w:t>不超过</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分；需提供专业研究机构的介绍及业绩等证明材料。</w:t>
            </w:r>
          </w:p>
          <w:p>
            <w:pPr>
              <w:pStyle w:val="27"/>
              <w:widowControl/>
              <w:numPr>
                <w:ilvl w:val="0"/>
                <w:numId w:val="5"/>
              </w:numPr>
              <w:ind w:firstLineChars="0"/>
              <w:jc w:val="left"/>
              <w:rPr>
                <w:color w:val="auto"/>
                <w:highlight w:val="none"/>
              </w:rPr>
            </w:pPr>
            <w:r>
              <w:rPr>
                <w:rFonts w:hint="eastAsia" w:ascii="宋体" w:hAnsi="宋体" w:eastAsia="宋体" w:cs="宋体"/>
                <w:color w:val="auto"/>
                <w:kern w:val="0"/>
                <w:sz w:val="24"/>
                <w:szCs w:val="24"/>
                <w:highlight w:val="none"/>
              </w:rPr>
              <w:t>不具备不得分。</w:t>
            </w:r>
          </w:p>
        </w:tc>
      </w:tr>
    </w:tbl>
    <w:p>
      <w:pPr>
        <w:adjustRightInd w:val="0"/>
        <w:snapToGrid w:val="0"/>
        <w:spacing w:line="600" w:lineRule="exact"/>
        <w:ind w:firstLine="556"/>
        <w:outlineLvl w:val="5"/>
        <w:rPr>
          <w:rFonts w:ascii="仿宋_GB2312" w:eastAsia="仿宋_GB2312" w:cs="Times New Roman"/>
          <w:color w:val="auto"/>
          <w:sz w:val="28"/>
          <w:szCs w:val="28"/>
          <w:highlight w:val="none"/>
        </w:rPr>
      </w:pPr>
      <w:r>
        <w:rPr>
          <w:rFonts w:ascii="仿宋_GB2312" w:eastAsia="仿宋_GB2312" w:cs="Times New Roman"/>
          <w:color w:val="auto"/>
          <w:sz w:val="28"/>
          <w:szCs w:val="28"/>
          <w:highlight w:val="none"/>
        </w:rPr>
        <w:t>2.2.2技术评审</w:t>
      </w:r>
    </w:p>
    <w:p>
      <w:pPr>
        <w:adjustRightInd w:val="0"/>
        <w:snapToGrid w:val="0"/>
        <w:spacing w:line="600" w:lineRule="exact"/>
        <w:rPr>
          <w:rFonts w:ascii="仿宋_GB2312" w:eastAsia="仿宋_GB2312" w:cs="Times New Roman"/>
          <w:color w:val="auto"/>
          <w:sz w:val="28"/>
          <w:szCs w:val="28"/>
          <w:highlight w:val="none"/>
        </w:rPr>
      </w:pPr>
      <w:r>
        <w:rPr>
          <w:rFonts w:ascii="仿宋_GB2312" w:hAnsi="Calibri" w:eastAsia="仿宋_GB2312" w:cs="Times New Roman"/>
          <w:color w:val="auto"/>
          <w:sz w:val="28"/>
          <w:szCs w:val="28"/>
          <w:highlight w:val="none"/>
        </w:rPr>
        <w:t>表</w:t>
      </w:r>
      <w:r>
        <w:rPr>
          <w:rFonts w:hint="eastAsia" w:ascii="仿宋_GB2312" w:hAnsi="Calibri" w:eastAsia="仿宋_GB2312" w:cs="Times New Roman"/>
          <w:color w:val="auto"/>
          <w:sz w:val="28"/>
          <w:szCs w:val="28"/>
          <w:highlight w:val="none"/>
        </w:rPr>
        <w:t>4-3                      技术评审因素（</w:t>
      </w:r>
      <w:r>
        <w:rPr>
          <w:rFonts w:ascii="仿宋_GB2312" w:hAnsi="Calibri" w:eastAsia="仿宋_GB2312" w:cs="Times New Roman"/>
          <w:color w:val="auto"/>
          <w:sz w:val="28"/>
          <w:szCs w:val="28"/>
          <w:highlight w:val="none"/>
          <w:u w:val="single"/>
        </w:rPr>
        <w:t>100</w:t>
      </w:r>
      <w:r>
        <w:rPr>
          <w:rFonts w:hint="eastAsia" w:ascii="仿宋_GB2312" w:hAnsi="Calibri" w:eastAsia="仿宋_GB2312" w:cs="Times New Roman"/>
          <w:color w:val="auto"/>
          <w:sz w:val="28"/>
          <w:szCs w:val="28"/>
          <w:highlight w:val="none"/>
        </w:rPr>
        <w:t>分）</w:t>
      </w:r>
    </w:p>
    <w:tbl>
      <w:tblPr>
        <w:tblStyle w:val="3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3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序号</w:t>
            </w:r>
          </w:p>
        </w:tc>
        <w:tc>
          <w:tcPr>
            <w:tcW w:w="205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评审</w:t>
            </w:r>
            <w:r>
              <w:rPr>
                <w:rFonts w:ascii="仿宋_GB2312" w:hAnsi="Calibri" w:eastAsia="仿宋_GB2312" w:cs="Times New Roman"/>
                <w:color w:val="auto"/>
                <w:sz w:val="28"/>
                <w:szCs w:val="28"/>
                <w:highlight w:val="none"/>
              </w:rPr>
              <w:t>因素</w:t>
            </w:r>
          </w:p>
        </w:tc>
        <w:tc>
          <w:tcPr>
            <w:tcW w:w="1514"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ascii="仿宋_GB2312" w:hAnsi="Calibri" w:eastAsia="仿宋_GB2312" w:cs="Times New Roman"/>
                <w:color w:val="auto"/>
                <w:sz w:val="28"/>
                <w:szCs w:val="28"/>
                <w:highlight w:val="none"/>
              </w:rPr>
              <w:t>分值权重</w:t>
            </w:r>
          </w:p>
        </w:tc>
        <w:tc>
          <w:tcPr>
            <w:tcW w:w="3830"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1</w:t>
            </w:r>
          </w:p>
        </w:tc>
        <w:tc>
          <w:tcPr>
            <w:tcW w:w="205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hAnsi="Calibri" w:eastAsia="仿宋_GB2312" w:cs="Times New Roman"/>
                <w:color w:val="auto"/>
                <w:highlight w:val="none"/>
              </w:rPr>
              <w:t>技术方案</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0-</w:t>
            </w:r>
            <w:r>
              <w:rPr>
                <w:rFonts w:ascii="仿宋_GB2312" w:hAnsi="Calibri" w:eastAsia="仿宋_GB2312" w:cs="Times New Roman"/>
                <w:color w:val="auto"/>
                <w:highlight w:val="none"/>
              </w:rPr>
              <w:t>50</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27"/>
              <w:widowControl/>
              <w:numPr>
                <w:ilvl w:val="0"/>
                <w:numId w:val="6"/>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准确把握国内外先进社会责任/社会价值工作的发展趋势和特征；熟悉了解国内外主流社会责任披露标准；得1</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分</w:t>
            </w:r>
          </w:p>
          <w:p>
            <w:pPr>
              <w:pStyle w:val="27"/>
              <w:widowControl/>
              <w:numPr>
                <w:ilvl w:val="0"/>
                <w:numId w:val="6"/>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深刻掌握广东省国资委提出的“企业社会价值”概念，得</w:t>
            </w:r>
            <w:r>
              <w:rPr>
                <w:rFonts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rPr>
              <w:t>分；</w:t>
            </w:r>
          </w:p>
          <w:p>
            <w:pPr>
              <w:pStyle w:val="27"/>
              <w:widowControl/>
              <w:numPr>
                <w:ilvl w:val="0"/>
                <w:numId w:val="6"/>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准确理解水务企业发展诉求，熟悉水务企业社会价值工作特点与亮点，得</w:t>
            </w:r>
            <w:r>
              <w:rPr>
                <w:rFonts w:ascii="宋体" w:hAnsi="宋体" w:eastAsia="宋体" w:cs="宋体"/>
                <w:color w:val="auto"/>
                <w:kern w:val="0"/>
                <w:sz w:val="24"/>
                <w:szCs w:val="24"/>
                <w:highlight w:val="none"/>
              </w:rPr>
              <w:t>1-10</w:t>
            </w:r>
            <w:r>
              <w:rPr>
                <w:rFonts w:hint="eastAsia" w:ascii="宋体" w:hAnsi="宋体" w:eastAsia="宋体" w:cs="宋体"/>
                <w:color w:val="auto"/>
                <w:kern w:val="0"/>
                <w:sz w:val="24"/>
                <w:szCs w:val="24"/>
                <w:highlight w:val="none"/>
              </w:rPr>
              <w:t>分；</w:t>
            </w:r>
          </w:p>
          <w:p>
            <w:pPr>
              <w:pStyle w:val="27"/>
              <w:widowControl/>
              <w:numPr>
                <w:ilvl w:val="0"/>
                <w:numId w:val="6"/>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具备明晰的项目服务方案（包括项目理解、项目目标、项目工作方案、项目进度规划、项目产出等内容），得</w:t>
            </w:r>
            <w:r>
              <w:rPr>
                <w:rFonts w:ascii="宋体" w:hAnsi="宋体" w:eastAsia="宋体" w:cs="宋体"/>
                <w:color w:val="auto"/>
                <w:kern w:val="0"/>
                <w:sz w:val="24"/>
                <w:szCs w:val="24"/>
                <w:highlight w:val="none"/>
              </w:rPr>
              <w:t>1-10</w:t>
            </w:r>
            <w:r>
              <w:rPr>
                <w:rFonts w:hint="eastAsia" w:ascii="宋体" w:hAnsi="宋体" w:eastAsia="宋体" w:cs="宋体"/>
                <w:color w:val="auto"/>
                <w:kern w:val="0"/>
                <w:sz w:val="24"/>
                <w:szCs w:val="24"/>
                <w:highlight w:val="none"/>
              </w:rPr>
              <w:t>分。</w:t>
            </w:r>
          </w:p>
          <w:p>
            <w:pPr>
              <w:pStyle w:val="27"/>
              <w:widowControl/>
              <w:numPr>
                <w:ilvl w:val="0"/>
                <w:numId w:val="6"/>
              </w:numPr>
              <w:ind w:firstLineChars="0"/>
              <w:jc w:val="left"/>
              <w:rPr>
                <w:color w:val="auto"/>
                <w:highlight w:val="none"/>
              </w:rPr>
            </w:pPr>
            <w:r>
              <w:rPr>
                <w:rFonts w:hint="eastAsia" w:ascii="宋体" w:hAnsi="宋体" w:eastAsia="宋体" w:cs="宋体"/>
                <w:color w:val="auto"/>
                <w:kern w:val="0"/>
                <w:sz w:val="24"/>
                <w:szCs w:val="24"/>
                <w:highlight w:val="none"/>
              </w:rPr>
              <w:t>具备完整的公关传播方案（包括协助企业在第</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届国企社会价值论坛上发布报告等内容），得</w:t>
            </w:r>
            <w:r>
              <w:rPr>
                <w:rFonts w:ascii="宋体" w:hAnsi="宋体" w:eastAsia="宋体" w:cs="宋体"/>
                <w:color w:val="auto"/>
                <w:kern w:val="0"/>
                <w:sz w:val="24"/>
                <w:szCs w:val="24"/>
                <w:highlight w:val="none"/>
              </w:rPr>
              <w:t>1-20</w:t>
            </w:r>
            <w:r>
              <w:rPr>
                <w:rFonts w:hint="eastAsia" w:ascii="宋体" w:hAnsi="宋体" w:eastAsia="宋体" w:cs="宋体"/>
                <w:color w:val="auto"/>
                <w:kern w:val="0"/>
                <w:sz w:val="24"/>
                <w:szCs w:val="24"/>
                <w:highlight w:val="none"/>
              </w:rPr>
              <w:t>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2</w:t>
            </w:r>
          </w:p>
        </w:tc>
        <w:tc>
          <w:tcPr>
            <w:tcW w:w="205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eastAsia="仿宋_GB2312" w:cs="Times New Roman"/>
                <w:color w:val="auto"/>
                <w:highlight w:val="none"/>
              </w:rPr>
              <w:t>项目人力资源投入</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0-</w:t>
            </w:r>
            <w:r>
              <w:rPr>
                <w:rFonts w:ascii="仿宋_GB2312" w:hAnsi="Calibri" w:eastAsia="仿宋_GB2312" w:cs="Times New Roman"/>
                <w:color w:val="auto"/>
                <w:highlight w:val="none"/>
              </w:rPr>
              <w:t>30</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27"/>
              <w:numPr>
                <w:ilvl w:val="0"/>
                <w:numId w:val="7"/>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项目负责人专业背景：具备环境科学等与水务行业密切相关的专业背景，得</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分；</w:t>
            </w:r>
          </w:p>
          <w:p>
            <w:pPr>
              <w:pStyle w:val="27"/>
              <w:numPr>
                <w:ilvl w:val="0"/>
                <w:numId w:val="7"/>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项目负责人业绩背景：从</w:t>
            </w:r>
            <w:r>
              <w:rPr>
                <w:rFonts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1月1日</w:t>
            </w:r>
            <w:r>
              <w:rPr>
                <w:rFonts w:hint="eastAsia" w:ascii="宋体" w:hAnsi="宋体" w:eastAsia="宋体" w:cs="宋体"/>
                <w:color w:val="auto"/>
                <w:kern w:val="0"/>
                <w:sz w:val="24"/>
                <w:szCs w:val="24"/>
                <w:highlight w:val="none"/>
              </w:rPr>
              <w:t>至今，为国家部委</w:t>
            </w:r>
            <w:r>
              <w:rPr>
                <w:rFonts w:ascii="宋体" w:hAnsi="宋体" w:eastAsia="宋体" w:cs="宋体"/>
                <w:color w:val="auto"/>
                <w:kern w:val="0"/>
                <w:sz w:val="24"/>
                <w:szCs w:val="24"/>
                <w:highlight w:val="none"/>
              </w:rPr>
              <w:t>或地方国资委等</w:t>
            </w:r>
            <w:r>
              <w:rPr>
                <w:rFonts w:hint="eastAsia" w:ascii="宋体" w:hAnsi="宋体" w:eastAsia="宋体" w:cs="宋体"/>
                <w:color w:val="auto"/>
                <w:kern w:val="0"/>
                <w:sz w:val="24"/>
                <w:szCs w:val="24"/>
                <w:highlight w:val="none"/>
              </w:rPr>
              <w:t>政府机构提供过</w:t>
            </w:r>
            <w:r>
              <w:rPr>
                <w:rFonts w:ascii="宋体" w:hAnsi="宋体" w:eastAsia="宋体" w:cs="宋体"/>
                <w:color w:val="auto"/>
                <w:kern w:val="0"/>
                <w:sz w:val="24"/>
                <w:szCs w:val="24"/>
                <w:highlight w:val="none"/>
              </w:rPr>
              <w:t>社会责任课题</w:t>
            </w:r>
            <w:r>
              <w:rPr>
                <w:rFonts w:hint="eastAsia" w:ascii="宋体" w:hAnsi="宋体" w:eastAsia="宋体" w:cs="宋体"/>
                <w:color w:val="auto"/>
                <w:kern w:val="0"/>
                <w:sz w:val="24"/>
                <w:szCs w:val="24"/>
                <w:highlight w:val="none"/>
              </w:rPr>
              <w:t>咨询研究服务或为企事业单位提供过社会责任咨询研究、品牌公关等服务的工作业绩，每项得</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分，此项最高得分不超过</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分；</w:t>
            </w:r>
          </w:p>
          <w:p>
            <w:pPr>
              <w:pStyle w:val="27"/>
              <w:numPr>
                <w:ilvl w:val="0"/>
                <w:numId w:val="7"/>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项目团队成员：具备</w:t>
            </w:r>
            <w:r>
              <w:rPr>
                <w:rFonts w:ascii="宋体" w:hAnsi="宋体" w:eastAsia="宋体" w:cs="宋体"/>
                <w:color w:val="auto"/>
                <w:kern w:val="0"/>
                <w:sz w:val="24"/>
                <w:szCs w:val="24"/>
                <w:highlight w:val="none"/>
              </w:rPr>
              <w:t>3年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含</w:t>
            </w:r>
            <w:r>
              <w:rPr>
                <w:rFonts w:hint="eastAsia" w:ascii="宋体" w:hAnsi="宋体" w:eastAsia="宋体" w:cs="宋体"/>
                <w:color w:val="auto"/>
                <w:kern w:val="0"/>
                <w:sz w:val="24"/>
                <w:szCs w:val="24"/>
                <w:highlight w:val="none"/>
                <w:lang w:eastAsia="zh-CN"/>
              </w:rPr>
              <w:t>）</w:t>
            </w:r>
            <w:r>
              <w:rPr>
                <w:rFonts w:ascii="宋体" w:hAnsi="宋体" w:eastAsia="宋体" w:cs="宋体"/>
                <w:color w:val="auto"/>
                <w:kern w:val="0"/>
                <w:sz w:val="24"/>
                <w:szCs w:val="24"/>
                <w:highlight w:val="none"/>
              </w:rPr>
              <w:t>以上</w:t>
            </w:r>
            <w:r>
              <w:rPr>
                <w:rFonts w:hint="eastAsia" w:ascii="宋体" w:hAnsi="宋体" w:eastAsia="宋体" w:cs="宋体"/>
                <w:color w:val="auto"/>
                <w:kern w:val="0"/>
                <w:sz w:val="24"/>
                <w:szCs w:val="24"/>
                <w:highlight w:val="none"/>
              </w:rPr>
              <w:t>为</w:t>
            </w:r>
            <w:r>
              <w:rPr>
                <w:rFonts w:ascii="宋体" w:hAnsi="宋体" w:eastAsia="宋体" w:cs="宋体"/>
                <w:color w:val="auto"/>
                <w:kern w:val="0"/>
                <w:sz w:val="24"/>
                <w:szCs w:val="24"/>
                <w:highlight w:val="none"/>
              </w:rPr>
              <w:t>国家部委、地方国资委、企业、事业单位</w:t>
            </w:r>
            <w:r>
              <w:rPr>
                <w:rFonts w:hint="eastAsia" w:ascii="宋体" w:hAnsi="宋体" w:eastAsia="宋体" w:cs="宋体"/>
                <w:color w:val="auto"/>
                <w:kern w:val="0"/>
                <w:sz w:val="24"/>
                <w:szCs w:val="24"/>
                <w:highlight w:val="none"/>
              </w:rPr>
              <w:t>提供</w:t>
            </w:r>
            <w:r>
              <w:rPr>
                <w:rFonts w:ascii="宋体" w:hAnsi="宋体" w:eastAsia="宋体" w:cs="宋体"/>
                <w:color w:val="auto"/>
                <w:kern w:val="0"/>
                <w:sz w:val="24"/>
                <w:szCs w:val="24"/>
                <w:highlight w:val="none"/>
              </w:rPr>
              <w:t>研究咨询或品牌</w:t>
            </w:r>
            <w:r>
              <w:rPr>
                <w:rFonts w:hint="eastAsia" w:ascii="宋体" w:hAnsi="宋体" w:eastAsia="宋体" w:cs="宋体"/>
                <w:color w:val="auto"/>
                <w:kern w:val="0"/>
                <w:sz w:val="24"/>
                <w:szCs w:val="24"/>
                <w:highlight w:val="none"/>
              </w:rPr>
              <w:t>公关服务的项目业绩，每人得</w:t>
            </w:r>
            <w:r>
              <w:rPr>
                <w:rFonts w:ascii="宋体" w:hAnsi="宋体" w:eastAsia="宋体" w:cs="宋体"/>
                <w:color w:val="auto"/>
                <w:kern w:val="0"/>
                <w:sz w:val="24"/>
                <w:szCs w:val="24"/>
                <w:highlight w:val="none"/>
              </w:rPr>
              <w:t>5分，此项最高得分不超过20</w:t>
            </w:r>
            <w:r>
              <w:rPr>
                <w:rFonts w:hint="eastAsia" w:ascii="宋体" w:hAnsi="宋体" w:eastAsia="宋体" w:cs="宋体"/>
                <w:color w:val="auto"/>
                <w:kern w:val="0"/>
                <w:sz w:val="24"/>
                <w:szCs w:val="24"/>
                <w:highlight w:val="none"/>
              </w:rPr>
              <w:t>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3</w:t>
            </w:r>
          </w:p>
        </w:tc>
        <w:tc>
          <w:tcPr>
            <w:tcW w:w="205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eastAsia="仿宋_GB2312" w:cs="Times New Roman"/>
                <w:color w:val="auto"/>
                <w:highlight w:val="none"/>
              </w:rPr>
              <w:t>进度保障措施</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0-</w:t>
            </w:r>
            <w:r>
              <w:rPr>
                <w:rFonts w:ascii="仿宋_GB2312" w:hAnsi="Calibri" w:eastAsia="仿宋_GB2312" w:cs="Times New Roman"/>
                <w:color w:val="auto"/>
                <w:highlight w:val="none"/>
              </w:rPr>
              <w:t>10</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27"/>
              <w:numPr>
                <w:ilvl w:val="0"/>
                <w:numId w:val="8"/>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提供具体、可行、切合本项目实际的进度保障措施，每项</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分，此项最高得分不超过1</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分；</w:t>
            </w:r>
          </w:p>
          <w:p>
            <w:pPr>
              <w:pStyle w:val="27"/>
              <w:numPr>
                <w:ilvl w:val="0"/>
                <w:numId w:val="8"/>
              </w:numPr>
              <w:ind w:firstLineChars="0"/>
              <w:rPr>
                <w:color w:val="auto"/>
                <w:highlight w:val="none"/>
              </w:rPr>
            </w:pPr>
            <w:r>
              <w:rPr>
                <w:rFonts w:hint="eastAsia" w:ascii="宋体" w:hAnsi="宋体" w:eastAsia="宋体" w:cs="宋体"/>
                <w:color w:val="auto"/>
                <w:kern w:val="0"/>
                <w:sz w:val="24"/>
                <w:szCs w:val="24"/>
                <w:highlight w:val="none"/>
              </w:rPr>
              <w:t>未提供相关措施得</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4</w:t>
            </w:r>
          </w:p>
        </w:tc>
        <w:tc>
          <w:tcPr>
            <w:tcW w:w="2058" w:type="dxa"/>
            <w:tcBorders>
              <w:top w:val="single" w:color="auto" w:sz="4" w:space="0"/>
              <w:bottom w:val="single" w:color="auto" w:sz="4" w:space="0"/>
            </w:tcBorders>
            <w:vAlign w:val="center"/>
          </w:tcPr>
          <w:p>
            <w:pPr>
              <w:adjustRightInd w:val="0"/>
              <w:snapToGrid w:val="0"/>
              <w:rPr>
                <w:rFonts w:ascii="仿宋_GB2312"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hAnsi="Calibri" w:eastAsia="仿宋_GB2312" w:cs="Times New Roman"/>
                <w:color w:val="auto"/>
                <w:highlight w:val="none"/>
              </w:rPr>
              <w:t>售后保障</w:t>
            </w:r>
            <w:r>
              <w:rPr>
                <w:rFonts w:ascii="仿宋_GB2312" w:hAnsi="Calibri" w:eastAsia="仿宋_GB2312" w:cs="Times New Roman"/>
                <w:color w:val="auto"/>
                <w:highlight w:val="none"/>
              </w:rPr>
              <w:t>措施</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0-</w:t>
            </w:r>
            <w:r>
              <w:rPr>
                <w:rFonts w:ascii="仿宋_GB2312" w:hAnsi="Calibri" w:eastAsia="仿宋_GB2312" w:cs="Times New Roman"/>
                <w:color w:val="auto"/>
                <w:highlight w:val="none"/>
              </w:rPr>
              <w:t>10</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27"/>
              <w:numPr>
                <w:ilvl w:val="0"/>
                <w:numId w:val="9"/>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提供具体、可行、切合本项目实际的售后保障措施，每项</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分，此项最高得分不超过1</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分；</w:t>
            </w:r>
          </w:p>
          <w:p>
            <w:pPr>
              <w:pStyle w:val="27"/>
              <w:numPr>
                <w:ilvl w:val="0"/>
                <w:numId w:val="9"/>
              </w:numPr>
              <w:ind w:firstLineChars="0"/>
              <w:rPr>
                <w:color w:val="auto"/>
                <w:highlight w:val="none"/>
              </w:rPr>
            </w:pPr>
            <w:r>
              <w:rPr>
                <w:rFonts w:hint="eastAsia" w:ascii="宋体" w:hAnsi="宋体" w:eastAsia="宋体" w:cs="宋体"/>
                <w:color w:val="auto"/>
                <w:kern w:val="0"/>
                <w:sz w:val="24"/>
                <w:szCs w:val="24"/>
                <w:highlight w:val="none"/>
              </w:rPr>
              <w:t>未提供相关措施得</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分。</w:t>
            </w:r>
          </w:p>
        </w:tc>
      </w:tr>
    </w:tbl>
    <w:p>
      <w:pPr>
        <w:adjustRightInd w:val="0"/>
        <w:snapToGrid w:val="0"/>
        <w:spacing w:line="400" w:lineRule="exact"/>
        <w:rPr>
          <w:rFonts w:ascii="仿宋_GB2312" w:eastAsia="仿宋_GB2312" w:cs="Times New Roman"/>
          <w:color w:val="auto"/>
          <w:szCs w:val="21"/>
          <w:highlight w:val="none"/>
        </w:rPr>
      </w:pPr>
      <w:r>
        <w:rPr>
          <w:rFonts w:hint="eastAsia" w:ascii="仿宋_GB2312" w:eastAsia="仿宋_GB2312" w:cs="Times New Roman"/>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rPr>
          <w:rFonts w:ascii="仿宋_GB2312" w:eastAsia="仿宋_GB2312" w:cs="Times New Roman"/>
          <w:color w:val="auto"/>
          <w:sz w:val="28"/>
          <w:szCs w:val="28"/>
          <w:highlight w:val="none"/>
        </w:rPr>
      </w:pPr>
    </w:p>
    <w:p>
      <w:pPr>
        <w:adjustRightInd w:val="0"/>
        <w:snapToGrid w:val="0"/>
        <w:spacing w:line="600" w:lineRule="exact"/>
        <w:ind w:firstLine="556"/>
        <w:outlineLvl w:val="5"/>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2.2.3 澄清补正</w:t>
      </w:r>
    </w:p>
    <w:p>
      <w:pPr>
        <w:adjustRightInd w:val="0"/>
        <w:snapToGrid w:val="0"/>
        <w:spacing w:line="600" w:lineRule="exact"/>
        <w:ind w:firstLine="555"/>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响应文件存在含义不清、针对同一事项前后表述不一致、明显文字或计算错误的，评审小组可以要求供应商进行书面澄清、说明和补正。</w:t>
      </w:r>
    </w:p>
    <w:p>
      <w:pPr>
        <w:adjustRightInd w:val="0"/>
        <w:snapToGrid w:val="0"/>
        <w:spacing w:line="600" w:lineRule="exact"/>
        <w:ind w:firstLine="556"/>
        <w:outlineLvl w:val="5"/>
        <w:rPr>
          <w:rFonts w:ascii="仿宋_GB2312" w:eastAsia="仿宋_GB2312" w:cs="Times New Roman"/>
          <w:color w:val="auto"/>
          <w:sz w:val="28"/>
          <w:szCs w:val="28"/>
          <w:highlight w:val="none"/>
        </w:rPr>
      </w:pPr>
      <w:r>
        <w:rPr>
          <w:rFonts w:ascii="仿宋_GB2312" w:eastAsia="仿宋_GB2312" w:cs="Times New Roman"/>
          <w:color w:val="auto"/>
          <w:sz w:val="28"/>
          <w:szCs w:val="28"/>
          <w:highlight w:val="none"/>
        </w:rPr>
        <w:t xml:space="preserve">2.2.4 </w:t>
      </w:r>
      <w:r>
        <w:rPr>
          <w:rFonts w:hint="eastAsia" w:ascii="仿宋_GB2312" w:eastAsia="仿宋_GB2312" w:cs="Times New Roman"/>
          <w:color w:val="auto"/>
          <w:sz w:val="28"/>
          <w:szCs w:val="28"/>
          <w:highlight w:val="none"/>
        </w:rPr>
        <w:t>价格评审</w:t>
      </w:r>
    </w:p>
    <w:p>
      <w:pPr>
        <w:adjustRightInd w:val="0"/>
        <w:snapToGrid w:val="0"/>
        <w:spacing w:line="600" w:lineRule="exact"/>
        <w:ind w:firstLine="555"/>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（价格评审因素（</w:t>
      </w:r>
      <w:r>
        <w:rPr>
          <w:rFonts w:ascii="仿宋_GB2312" w:eastAsia="仿宋_GB2312" w:cs="Times New Roman"/>
          <w:color w:val="auto"/>
          <w:sz w:val="28"/>
          <w:szCs w:val="28"/>
          <w:highlight w:val="none"/>
        </w:rPr>
        <w:t>100</w:t>
      </w:r>
      <w:r>
        <w:rPr>
          <w:rFonts w:hint="eastAsia" w:ascii="仿宋_GB2312" w:eastAsia="仿宋_GB2312" w:cs="Times New Roman"/>
          <w:color w:val="auto"/>
          <w:sz w:val="28"/>
          <w:szCs w:val="28"/>
          <w:highlight w:val="none"/>
        </w:rPr>
        <w:t>分））</w:t>
      </w:r>
    </w:p>
    <w:p>
      <w:pPr>
        <w:adjustRightInd w:val="0"/>
        <w:snapToGrid w:val="0"/>
        <w:spacing w:line="600" w:lineRule="exact"/>
        <w:rPr>
          <w:rFonts w:ascii="仿宋_GB2312" w:eastAsia="仿宋_GB2312" w:cs="Times New Roman"/>
          <w:color w:val="auto"/>
          <w:sz w:val="28"/>
          <w:szCs w:val="28"/>
          <w:highlight w:val="none"/>
        </w:rPr>
      </w:pPr>
      <w:r>
        <w:rPr>
          <w:rFonts w:ascii="仿宋_GB2312" w:hAnsi="Calibri" w:eastAsia="仿宋_GB2312" w:cs="Times New Roman"/>
          <w:color w:val="auto"/>
          <w:sz w:val="28"/>
          <w:szCs w:val="28"/>
          <w:highlight w:val="none"/>
        </w:rPr>
        <w:t>表</w:t>
      </w:r>
      <w:r>
        <w:rPr>
          <w:rFonts w:hint="eastAsia" w:ascii="仿宋_GB2312" w:hAnsi="Calibri" w:eastAsia="仿宋_GB2312" w:cs="Times New Roman"/>
          <w:color w:val="auto"/>
          <w:sz w:val="28"/>
          <w:szCs w:val="28"/>
          <w:highlight w:val="none"/>
        </w:rPr>
        <w:t>4-4                      价格折算分值的办法</w:t>
      </w:r>
    </w:p>
    <w:tbl>
      <w:tblPr>
        <w:tblStyle w:val="3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1</w:t>
            </w:r>
          </w:p>
        </w:tc>
        <w:tc>
          <w:tcPr>
            <w:tcW w:w="7683"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2</w:t>
            </w:r>
          </w:p>
        </w:tc>
        <w:tc>
          <w:tcPr>
            <w:tcW w:w="7683"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确定基准价</w:t>
            </w:r>
          </w:p>
          <w:p>
            <w:pPr>
              <w:adjustRightInd w:val="0"/>
              <w:snapToGrid w:val="0"/>
              <w:ind w:left="240" w:hanging="210" w:hangingChars="100"/>
              <w:rPr>
                <w:rFonts w:ascii="仿宋_GB2312" w:eastAsia="仿宋_GB2312" w:cs="Times New Roman"/>
                <w:color w:val="auto"/>
                <w:highlight w:val="none"/>
              </w:rPr>
            </w:pPr>
            <w:r>
              <w:rPr>
                <w:rFonts w:ascii="仿宋_GB2312" w:eastAsia="仿宋_GB2312" w:cs="Times New Roman"/>
                <w:color w:val="auto"/>
                <w:highlight w:val="none"/>
              </w:rPr>
              <w:fldChar w:fldCharType="begin"/>
            </w:r>
            <w:r>
              <w:rPr>
                <w:rFonts w:ascii="仿宋_GB2312" w:eastAsia="仿宋_GB2312" w:cs="Times New Roman"/>
                <w:color w:val="auto"/>
                <w:highlight w:val="none"/>
              </w:rPr>
              <w:instrText xml:space="preserve">eq \o\ac(□,√)</w:instrText>
            </w:r>
            <w:r>
              <w:rPr>
                <w:rFonts w:ascii="仿宋_GB2312" w:eastAsia="仿宋_GB2312" w:cs="Times New Roman"/>
                <w:color w:val="auto"/>
                <w:highlight w:val="none"/>
              </w:rPr>
              <w:fldChar w:fldCharType="end"/>
            </w:r>
            <w:r>
              <w:rPr>
                <w:rFonts w:hint="eastAsia" w:ascii="仿宋_GB2312" w:eastAsia="仿宋_GB2312" w:cs="Times New Roman"/>
                <w:color w:val="auto"/>
                <w:highlight w:val="none"/>
              </w:rPr>
              <w:t>当合格供应商的数量</w:t>
            </w:r>
            <w:r>
              <w:rPr>
                <w:rFonts w:ascii="仿宋_GB2312" w:eastAsia="仿宋_GB2312" w:cs="Times New Roman"/>
                <w:color w:val="auto"/>
                <w:highlight w:val="none"/>
              </w:rPr>
              <w:t>&lt;5家时，所有合格供应商报价的算术平均值作为基准价;当合格供应商的数量≥5家时，扣除一个最高报价和一个最低报价后的算术平均值作为基准价</w:t>
            </w:r>
            <w:r>
              <w:rPr>
                <w:rFonts w:hint="eastAsia" w:ascii="仿宋_GB2312" w:eastAsia="仿宋_GB2312" w:cs="Times New Roman"/>
                <w:color w:val="auto"/>
                <w:highlight w:val="none"/>
              </w:rPr>
              <w:t>。</w:t>
            </w:r>
          </w:p>
          <w:p>
            <w:pPr>
              <w:adjustRightInd w:val="0"/>
              <w:snapToGrid w:val="0"/>
              <w:rPr>
                <w:rFonts w:ascii="仿宋_GB2312" w:eastAsia="仿宋_GB2312" w:cs="Times New Roman"/>
                <w:color w:val="auto"/>
                <w:highlight w:val="none"/>
              </w:rPr>
            </w:pPr>
          </w:p>
          <w:p>
            <w:pPr>
              <w:adjustRightInd w:val="0"/>
              <w:snapToGrid w:val="0"/>
              <w:ind w:left="240" w:hanging="210" w:hangingChars="100"/>
              <w:rPr>
                <w:rFonts w:ascii="仿宋_GB2312" w:hAnsi="Calibri" w:eastAsia="仿宋_GB2312" w:cs="Times New Roman"/>
                <w:color w:val="auto"/>
                <w:highlight w:val="none"/>
              </w:rPr>
            </w:pPr>
            <w:r>
              <w:rPr>
                <w:rFonts w:hint="eastAsia" w:ascii="仿宋_GB2312" w:eastAsia="仿宋_GB2312" w:cs="Times New Roman"/>
                <w:color w:val="auto"/>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3</w:t>
            </w:r>
          </w:p>
        </w:tc>
        <w:tc>
          <w:tcPr>
            <w:tcW w:w="7683" w:type="dxa"/>
            <w:tcBorders>
              <w:top w:val="single" w:color="auto" w:sz="4" w:space="0"/>
              <w:bottom w:val="single" w:color="auto" w:sz="4" w:space="0"/>
            </w:tcBorders>
            <w:vAlign w:val="center"/>
          </w:tcPr>
          <w:p>
            <w:pPr>
              <w:widowControl w:val="0"/>
              <w:autoSpaceDE w:val="0"/>
              <w:autoSpaceDN w:val="0"/>
              <w:adjustRightIn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以评标基准价作为计算各供应商报价得分的基础，当报价等于评标基准</w:t>
            </w:r>
          </w:p>
          <w:p>
            <w:pPr>
              <w:widowControl w:val="0"/>
              <w:autoSpaceDE w:val="0"/>
              <w:autoSpaceDN w:val="0"/>
              <w:adjustRightIn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价时得</w:t>
            </w:r>
            <w:r>
              <w:rPr>
                <w:rFonts w:ascii="仿宋_GB2312" w:hAnsi="Calibri" w:eastAsia="仿宋_GB2312" w:cs="Times New Roman"/>
                <w:color w:val="auto"/>
                <w:highlight w:val="none"/>
              </w:rPr>
              <w:t>100</w:t>
            </w:r>
            <w:r>
              <w:rPr>
                <w:rFonts w:hint="eastAsia" w:ascii="仿宋_GB2312" w:hAnsi="Calibri" w:eastAsia="仿宋_GB2312" w:cs="Times New Roman"/>
                <w:color w:val="auto"/>
                <w:highlight w:val="none"/>
              </w:rPr>
              <w:t>分；报价与评标基准价之差，每上偏</w:t>
            </w:r>
            <w:r>
              <w:rPr>
                <w:rFonts w:ascii="仿宋_GB2312" w:hAnsi="Calibri" w:eastAsia="仿宋_GB2312" w:cs="Times New Roman"/>
                <w:color w:val="auto"/>
                <w:highlight w:val="none"/>
              </w:rPr>
              <w:t>1%</w:t>
            </w:r>
            <w:r>
              <w:rPr>
                <w:rFonts w:hint="eastAsia" w:ascii="仿宋_GB2312" w:hAnsi="Calibri" w:eastAsia="仿宋_GB2312" w:cs="Times New Roman"/>
                <w:color w:val="auto"/>
                <w:highlight w:val="none"/>
              </w:rPr>
              <w:t>扣</w:t>
            </w:r>
            <w:r>
              <w:rPr>
                <w:rFonts w:ascii="仿宋_GB2312" w:hAnsi="Calibri" w:eastAsia="仿宋_GB2312" w:cs="Times New Roman"/>
                <w:color w:val="auto"/>
                <w:highlight w:val="none"/>
              </w:rPr>
              <w:t>1.5</w:t>
            </w:r>
            <w:r>
              <w:rPr>
                <w:rFonts w:hint="eastAsia" w:ascii="仿宋_GB2312" w:hAnsi="Calibri" w:eastAsia="仿宋_GB2312" w:cs="Times New Roman"/>
                <w:color w:val="auto"/>
                <w:highlight w:val="none"/>
              </w:rPr>
              <w:t>分，下偏</w:t>
            </w:r>
            <w:r>
              <w:rPr>
                <w:rFonts w:ascii="仿宋_GB2312" w:hAnsi="Calibri" w:eastAsia="仿宋_GB2312" w:cs="Times New Roman"/>
                <w:color w:val="auto"/>
                <w:highlight w:val="none"/>
              </w:rPr>
              <w:t>1%</w:t>
            </w:r>
            <w:r>
              <w:rPr>
                <w:rFonts w:hint="eastAsia" w:ascii="仿宋_GB2312" w:hAnsi="Calibri" w:eastAsia="仿宋_GB2312" w:cs="Times New Roman"/>
                <w:color w:val="auto"/>
                <w:highlight w:val="none"/>
              </w:rPr>
              <w:t>扣</w:t>
            </w:r>
            <w:r>
              <w:rPr>
                <w:rFonts w:ascii="仿宋_GB2312" w:hAnsi="Calibri" w:eastAsia="仿宋_GB2312" w:cs="Times New Roman"/>
                <w:color w:val="auto"/>
                <w:highlight w:val="none"/>
              </w:rPr>
              <w:t>1</w:t>
            </w:r>
            <w:r>
              <w:rPr>
                <w:rFonts w:hint="eastAsia" w:ascii="仿宋_GB2312" w:hAnsi="Calibri" w:eastAsia="仿宋_GB2312" w:cs="Times New Roman"/>
                <w:color w:val="auto"/>
                <w:highlight w:val="none"/>
              </w:rPr>
              <w:t>分，最多扣</w:t>
            </w:r>
            <w:r>
              <w:rPr>
                <w:rFonts w:ascii="仿宋_GB2312" w:hAnsi="Calibri" w:eastAsia="仿宋_GB2312" w:cs="Times New Roman"/>
                <w:color w:val="auto"/>
                <w:highlight w:val="none"/>
              </w:rPr>
              <w:t>100</w:t>
            </w:r>
            <w:r>
              <w:rPr>
                <w:rFonts w:hint="eastAsia" w:ascii="仿宋_GB2312" w:hAnsi="Calibri" w:eastAsia="仿宋_GB2312" w:cs="Times New Roman"/>
                <w:color w:val="auto"/>
                <w:highlight w:val="none"/>
              </w:rPr>
              <w:t>分。</w:t>
            </w:r>
          </w:p>
          <w:p>
            <w:pPr>
              <w:widowControl w:val="0"/>
              <w:autoSpaceDE w:val="0"/>
              <w:autoSpaceDN w:val="0"/>
              <w:adjustRightIn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本项最高分为</w:t>
            </w:r>
            <w:r>
              <w:rPr>
                <w:rFonts w:ascii="仿宋_GB2312" w:hAnsi="Calibri" w:eastAsia="仿宋_GB2312" w:cs="Times New Roman"/>
                <w:color w:val="auto"/>
                <w:highlight w:val="none"/>
              </w:rPr>
              <w:t>100</w:t>
            </w:r>
            <w:r>
              <w:rPr>
                <w:rFonts w:hint="eastAsia" w:ascii="仿宋_GB2312" w:hAnsi="Calibri" w:eastAsia="仿宋_GB2312" w:cs="Times New Roman"/>
                <w:color w:val="auto"/>
                <w:highlight w:val="none"/>
              </w:rPr>
              <w:t>分，最低分为</w:t>
            </w:r>
            <w:r>
              <w:rPr>
                <w:rFonts w:ascii="仿宋_GB2312" w:hAnsi="Calibri" w:eastAsia="仿宋_GB2312" w:cs="Times New Roman"/>
                <w:color w:val="auto"/>
                <w:highlight w:val="none"/>
              </w:rPr>
              <w:t xml:space="preserve">0 </w:t>
            </w:r>
            <w:r>
              <w:rPr>
                <w:rFonts w:hint="eastAsia" w:ascii="仿宋_GB2312" w:hAnsi="Calibri" w:eastAsia="仿宋_GB2312" w:cs="Times New Roman"/>
                <w:color w:val="auto"/>
                <w:highlight w:val="none"/>
              </w:rPr>
              <w:t>分。</w:t>
            </w:r>
          </w:p>
          <w:p>
            <w:pPr>
              <w:widowControl w:val="0"/>
              <w:autoSpaceDE w:val="0"/>
              <w:autoSpaceDN w:val="0"/>
              <w:adjustRightIn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投标报价的偏差率</w:t>
            </w:r>
            <w:r>
              <w:rPr>
                <w:rFonts w:ascii="仿宋_GB2312" w:hAnsi="Calibri" w:eastAsia="仿宋_GB2312" w:cs="Times New Roman"/>
                <w:color w:val="auto"/>
                <w:highlight w:val="none"/>
              </w:rPr>
              <w:t>=|</w:t>
            </w:r>
            <w:r>
              <w:rPr>
                <w:rFonts w:hint="eastAsia" w:ascii="仿宋_GB2312" w:hAnsi="Calibri" w:eastAsia="仿宋_GB2312" w:cs="Times New Roman"/>
                <w:color w:val="auto"/>
                <w:highlight w:val="none"/>
              </w:rPr>
              <w:t>（投标报价</w:t>
            </w:r>
            <w:r>
              <w:rPr>
                <w:rFonts w:ascii="仿宋_GB2312" w:hAnsi="Calibri" w:eastAsia="仿宋_GB2312" w:cs="Times New Roman"/>
                <w:color w:val="auto"/>
                <w:highlight w:val="none"/>
              </w:rPr>
              <w:t>-</w:t>
            </w:r>
            <w:r>
              <w:rPr>
                <w:rFonts w:hint="eastAsia" w:ascii="仿宋_GB2312" w:hAnsi="Calibri" w:eastAsia="仿宋_GB2312" w:cs="Times New Roman"/>
                <w:color w:val="auto"/>
                <w:highlight w:val="none"/>
              </w:rPr>
              <w:t>评标基准价）</w:t>
            </w:r>
            <w:r>
              <w:rPr>
                <w:rFonts w:ascii="仿宋_GB2312" w:hAnsi="Calibri" w:eastAsia="仿宋_GB2312" w:cs="Times New Roman"/>
                <w:color w:val="auto"/>
                <w:highlight w:val="none"/>
              </w:rPr>
              <w:t>|/</w:t>
            </w:r>
            <w:r>
              <w:rPr>
                <w:rFonts w:hint="eastAsia" w:ascii="仿宋_GB2312" w:hAnsi="Calibri" w:eastAsia="仿宋_GB2312" w:cs="Times New Roman"/>
                <w:color w:val="auto"/>
                <w:highlight w:val="none"/>
              </w:rPr>
              <w:t>评标基准价×</w:t>
            </w:r>
            <w:r>
              <w:rPr>
                <w:rFonts w:ascii="仿宋_GB2312" w:hAnsi="Calibri" w:eastAsia="仿宋_GB2312" w:cs="Times New Roman"/>
                <w:color w:val="auto"/>
                <w:highlight w:val="none"/>
              </w:rPr>
              <w:t>100%</w:t>
            </w:r>
            <w:r>
              <w:rPr>
                <w:rFonts w:hint="eastAsia" w:ascii="仿宋_GB2312" w:hAnsi="Calibri" w:eastAsia="仿宋_GB2312" w:cs="Times New Roman"/>
                <w:color w:val="auto"/>
                <w:highlight w:val="none"/>
              </w:rPr>
              <w:t>（偏</w:t>
            </w:r>
          </w:p>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差率出现小数点时，保留小数点后</w:t>
            </w:r>
            <w:r>
              <w:rPr>
                <w:rFonts w:ascii="仿宋_GB2312" w:hAnsi="Calibri" w:eastAsia="仿宋_GB2312" w:cs="Times New Roman"/>
                <w:color w:val="auto"/>
                <w:highlight w:val="none"/>
              </w:rPr>
              <w:t xml:space="preserve">2 </w:t>
            </w:r>
            <w:r>
              <w:rPr>
                <w:rFonts w:hint="eastAsia" w:ascii="仿宋_GB2312" w:hAnsi="Calibri" w:eastAsia="仿宋_GB2312" w:cs="Times New Roman"/>
                <w:color w:val="auto"/>
                <w:highlight w:val="none"/>
              </w:rPr>
              <w:t>位，第三位小数四舍五入）。</w:t>
            </w:r>
          </w:p>
        </w:tc>
      </w:tr>
    </w:tbl>
    <w:p>
      <w:pPr>
        <w:adjustRightInd w:val="0"/>
        <w:snapToGrid w:val="0"/>
        <w:spacing w:line="600" w:lineRule="exact"/>
        <w:ind w:firstLine="556"/>
        <w:outlineLvl w:val="4"/>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2.3 评审结果</w:t>
      </w:r>
    </w:p>
    <w:p>
      <w:pPr>
        <w:adjustRightInd w:val="0"/>
        <w:snapToGrid w:val="0"/>
        <w:spacing w:line="600" w:lineRule="exact"/>
        <w:ind w:firstLine="555"/>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计算供应商综合得分。</w:t>
      </w:r>
    </w:p>
    <w:p>
      <w:pPr>
        <w:adjustRightInd w:val="0"/>
        <w:snapToGrid w:val="0"/>
        <w:spacing w:line="600" w:lineRule="exact"/>
        <w:ind w:left="1676" w:leftChars="263" w:hanging="1124" w:hangingChars="400"/>
        <w:rPr>
          <w:rFonts w:ascii="仿宋_GB2312" w:eastAsia="仿宋_GB2312" w:cs="Times New Roman"/>
          <w:b/>
          <w:bCs/>
          <w:color w:val="auto"/>
          <w:sz w:val="28"/>
          <w:szCs w:val="28"/>
          <w:highlight w:val="none"/>
        </w:rPr>
      </w:pPr>
      <w:r>
        <w:rPr>
          <w:rFonts w:hint="eastAsia" w:ascii="仿宋_GB2312" w:eastAsia="仿宋_GB2312" w:cs="Times New Roman"/>
          <w:b/>
          <w:bCs/>
          <w:color w:val="auto"/>
          <w:sz w:val="28"/>
          <w:szCs w:val="28"/>
          <w:highlight w:val="none"/>
        </w:rPr>
        <w:t>评审得分</w:t>
      </w:r>
      <w:r>
        <w:rPr>
          <w:rFonts w:ascii="仿宋_GB2312" w:eastAsia="仿宋_GB2312" w:cs="Times New Roman"/>
          <w:b/>
          <w:bCs/>
          <w:color w:val="auto"/>
          <w:sz w:val="28"/>
          <w:szCs w:val="28"/>
          <w:highlight w:val="none"/>
        </w:rPr>
        <w:t>=商务分×</w:t>
      </w:r>
      <w:r>
        <w:rPr>
          <w:rFonts w:hint="eastAsia" w:ascii="仿宋_GB2312" w:eastAsia="仿宋_GB2312" w:cs="Times New Roman"/>
          <w:b/>
          <w:bCs/>
          <w:color w:val="auto"/>
          <w:sz w:val="28"/>
          <w:szCs w:val="28"/>
          <w:highlight w:val="none"/>
        </w:rPr>
        <w:t>商务部分权重</w:t>
      </w:r>
      <w:r>
        <w:rPr>
          <w:rFonts w:ascii="仿宋_GB2312" w:eastAsia="仿宋_GB2312" w:cs="Times New Roman"/>
          <w:b/>
          <w:bCs/>
          <w:color w:val="auto"/>
          <w:sz w:val="28"/>
          <w:szCs w:val="28"/>
          <w:highlight w:val="none"/>
        </w:rPr>
        <w:t>40</w:t>
      </w:r>
      <w:r>
        <w:rPr>
          <w:rFonts w:hint="eastAsia" w:ascii="仿宋_GB2312" w:eastAsia="仿宋_GB2312" w:cs="Times New Roman"/>
          <w:b/>
          <w:bCs/>
          <w:color w:val="auto"/>
          <w:sz w:val="28"/>
          <w:szCs w:val="28"/>
          <w:highlight w:val="none"/>
        </w:rPr>
        <w:t>%</w:t>
      </w:r>
      <w:r>
        <w:rPr>
          <w:rFonts w:ascii="仿宋_GB2312" w:eastAsia="仿宋_GB2312" w:cs="Times New Roman"/>
          <w:b/>
          <w:bCs/>
          <w:color w:val="auto"/>
          <w:sz w:val="28"/>
          <w:szCs w:val="28"/>
          <w:highlight w:val="none"/>
        </w:rPr>
        <w:t>+技术分×技术部分权重40</w:t>
      </w:r>
      <w:r>
        <w:rPr>
          <w:rFonts w:hint="eastAsia" w:ascii="仿宋_GB2312" w:eastAsia="仿宋_GB2312" w:cs="Times New Roman"/>
          <w:b/>
          <w:bCs/>
          <w:color w:val="auto"/>
          <w:sz w:val="28"/>
          <w:szCs w:val="28"/>
          <w:highlight w:val="none"/>
        </w:rPr>
        <w:t>%</w:t>
      </w:r>
      <w:r>
        <w:rPr>
          <w:rFonts w:ascii="仿宋_GB2312" w:eastAsia="仿宋_GB2312" w:cs="Times New Roman"/>
          <w:b/>
          <w:bCs/>
          <w:color w:val="auto"/>
          <w:sz w:val="28"/>
          <w:szCs w:val="28"/>
          <w:highlight w:val="none"/>
        </w:rPr>
        <w:t>+价格分×价格部分权重20</w:t>
      </w:r>
      <w:r>
        <w:rPr>
          <w:rFonts w:hint="eastAsia" w:ascii="仿宋_GB2312" w:eastAsia="仿宋_GB2312" w:cs="Times New Roman"/>
          <w:b/>
          <w:bCs/>
          <w:color w:val="auto"/>
          <w:sz w:val="28"/>
          <w:szCs w:val="28"/>
          <w:highlight w:val="none"/>
        </w:rPr>
        <w:t>%</w:t>
      </w:r>
    </w:p>
    <w:p>
      <w:pPr>
        <w:adjustRightInd w:val="0"/>
        <w:snapToGrid w:val="0"/>
        <w:spacing w:line="600" w:lineRule="exact"/>
        <w:ind w:left="1" w:firstLine="551" w:firstLineChars="197"/>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综合得分最高的为排名第一的候选成交供应商；</w:t>
      </w:r>
    </w:p>
    <w:p>
      <w:pPr>
        <w:adjustRightInd w:val="0"/>
        <w:snapToGrid w:val="0"/>
        <w:spacing w:line="600" w:lineRule="exact"/>
        <w:ind w:left="1" w:firstLine="551" w:firstLineChars="197"/>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如综合得分相同，可依照</w:t>
      </w: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ascii="仿宋_GB2312" w:eastAsia="仿宋_GB2312"/>
          <w:color w:val="auto"/>
          <w:sz w:val="28"/>
          <w:szCs w:val="28"/>
          <w:highlight w:val="none"/>
        </w:rPr>
        <w:t>1.</w:t>
      </w:r>
      <w:r>
        <w:rPr>
          <w:rFonts w:hint="eastAsia" w:ascii="仿宋_GB2312" w:eastAsia="仿宋_GB2312" w:cs="Times New Roman"/>
          <w:color w:val="auto"/>
          <w:sz w:val="28"/>
          <w:szCs w:val="28"/>
          <w:highlight w:val="none"/>
        </w:rPr>
        <w:t>报价□2</w:t>
      </w:r>
      <w:r>
        <w:rPr>
          <w:rFonts w:ascii="仿宋_GB2312" w:eastAsia="仿宋_GB2312" w:cs="Times New Roman"/>
          <w:color w:val="auto"/>
          <w:sz w:val="28"/>
          <w:szCs w:val="28"/>
          <w:highlight w:val="none"/>
        </w:rPr>
        <w:t>.</w:t>
      </w:r>
      <w:r>
        <w:rPr>
          <w:rFonts w:hint="eastAsia" w:ascii="仿宋_GB2312" w:eastAsia="仿宋_GB2312" w:cs="Times New Roman"/>
          <w:color w:val="auto"/>
          <w:sz w:val="28"/>
          <w:szCs w:val="28"/>
          <w:highlight w:val="none"/>
        </w:rPr>
        <w:t>业绩□3</w:t>
      </w:r>
      <w:r>
        <w:rPr>
          <w:rFonts w:ascii="仿宋_GB2312" w:eastAsia="仿宋_GB2312" w:cs="Times New Roman"/>
          <w:color w:val="auto"/>
          <w:sz w:val="28"/>
          <w:szCs w:val="28"/>
          <w:highlight w:val="none"/>
        </w:rPr>
        <w:t>.</w:t>
      </w:r>
      <w:r>
        <w:rPr>
          <w:rFonts w:hint="eastAsia" w:ascii="仿宋_GB2312" w:eastAsia="仿宋_GB2312" w:cs="Times New Roman"/>
          <w:color w:val="auto"/>
          <w:sz w:val="28"/>
          <w:szCs w:val="28"/>
          <w:highlight w:val="none"/>
        </w:rPr>
        <w:t>其他考量因素得分排序确定供应商排名。</w:t>
      </w:r>
    </w:p>
    <w:p>
      <w:pPr>
        <w:rPr>
          <w:rFonts w:cs="Times New Roman"/>
          <w:b/>
          <w:color w:val="auto"/>
          <w:sz w:val="28"/>
          <w:szCs w:val="28"/>
          <w:highlight w:val="none"/>
        </w:rPr>
      </w:pPr>
      <w:r>
        <w:rPr>
          <w:rFonts w:cs="Times New Roman"/>
          <w:b/>
          <w:color w:val="auto"/>
          <w:sz w:val="28"/>
          <w:szCs w:val="28"/>
          <w:highlight w:val="none"/>
        </w:rPr>
        <w:br w:type="page"/>
      </w:r>
    </w:p>
    <w:bookmarkEnd w:id="64"/>
    <w:bookmarkEnd w:id="65"/>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6"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228600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18pt;height:0pt;width:75.5pt;z-index:251674624;mso-width-relative:page;mso-height-relative:page;" filled="f" stroked="t" coordsize="21600,21600" o:gfxdata="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xuWJ/XAAAACQ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6"/>
    <w:p>
      <w:pPr>
        <w:ind w:firstLine="643" w:firstLineChars="200"/>
        <w:rPr>
          <w:rFonts w:hint="eastAsia" w:ascii="仿宋" w:hAnsi="仿宋" w:eastAsia="仿宋"/>
          <w:b/>
          <w:color w:val="auto"/>
          <w:sz w:val="32"/>
          <w:szCs w:val="32"/>
          <w:highlight w:val="none"/>
        </w:rPr>
      </w:pPr>
    </w:p>
    <w:p>
      <w:pPr>
        <w:ind w:firstLine="643" w:firstLineChars="200"/>
        <w:rPr>
          <w:rFonts w:hint="eastAsia" w:ascii="仿宋" w:hAnsi="仿宋" w:eastAsia="仿宋"/>
          <w:b/>
          <w:color w:val="auto"/>
          <w:sz w:val="32"/>
          <w:szCs w:val="32"/>
          <w:highlight w:val="none"/>
        </w:rPr>
      </w:pPr>
    </w:p>
    <w:p>
      <w:pPr>
        <w:ind w:firstLine="643" w:firstLineChars="200"/>
        <w:rPr>
          <w:rFonts w:hint="eastAsia" w:ascii="仿宋" w:hAnsi="仿宋" w:eastAsia="仿宋"/>
          <w:b/>
          <w:color w:val="auto"/>
          <w:sz w:val="32"/>
          <w:szCs w:val="32"/>
          <w:highlight w:val="none"/>
        </w:rPr>
      </w:pPr>
    </w:p>
    <w:p>
      <w:pPr>
        <w:ind w:firstLine="643" w:firstLineChars="200"/>
        <w:rPr>
          <w:rFonts w:hint="eastAsia" w:ascii="仿宋" w:hAnsi="仿宋" w:eastAsia="仿宋"/>
          <w:b/>
          <w:color w:val="auto"/>
          <w:sz w:val="32"/>
          <w:szCs w:val="32"/>
          <w:highlight w:val="none"/>
        </w:rPr>
      </w:pPr>
    </w:p>
    <w:p>
      <w:pPr>
        <w:ind w:firstLine="643" w:firstLineChars="200"/>
        <w:rPr>
          <w:rFonts w:hint="eastAsia" w:ascii="仿宋" w:hAnsi="仿宋" w:eastAsia="仿宋"/>
          <w:b/>
          <w:color w:val="auto"/>
          <w:sz w:val="32"/>
          <w:szCs w:val="32"/>
          <w:highlight w:val="none"/>
        </w:rPr>
      </w:pPr>
    </w:p>
    <w:p>
      <w:pPr>
        <w:ind w:firstLine="643" w:firstLineChars="200"/>
        <w:rPr>
          <w:rFonts w:hint="eastAsia" w:ascii="仿宋" w:hAnsi="仿宋" w:eastAsia="仿宋"/>
          <w:b/>
          <w:color w:val="auto"/>
          <w:sz w:val="32"/>
          <w:szCs w:val="32"/>
          <w:highlight w:val="none"/>
        </w:rPr>
      </w:pPr>
    </w:p>
    <w:p>
      <w:pPr>
        <w:ind w:firstLine="643" w:firstLineChars="200"/>
        <w:rPr>
          <w:rFonts w:hint="eastAsia" w:ascii="仿宋" w:hAnsi="仿宋" w:eastAsia="仿宋"/>
          <w:b/>
          <w:color w:val="auto"/>
          <w:sz w:val="32"/>
          <w:szCs w:val="32"/>
          <w:highlight w:val="none"/>
        </w:rPr>
      </w:pPr>
    </w:p>
    <w:p>
      <w:pPr>
        <w:ind w:firstLine="643" w:firstLineChars="200"/>
        <w:rPr>
          <w:rFonts w:hint="eastAsia" w:ascii="仿宋" w:hAnsi="仿宋" w:eastAsia="仿宋"/>
          <w:b/>
          <w:color w:val="auto"/>
          <w:sz w:val="32"/>
          <w:szCs w:val="32"/>
          <w:highlight w:val="none"/>
        </w:rPr>
      </w:pPr>
    </w:p>
    <w:p>
      <w:pPr>
        <w:pStyle w:val="24"/>
        <w:rPr>
          <w:rFonts w:hint="eastAsia" w:ascii="仿宋" w:hAnsi="仿宋" w:eastAsia="仿宋"/>
          <w:b/>
          <w:color w:val="auto"/>
          <w:sz w:val="32"/>
          <w:szCs w:val="32"/>
          <w:highlight w:val="none"/>
        </w:rPr>
      </w:pPr>
    </w:p>
    <w:p>
      <w:pPr>
        <w:pStyle w:val="27"/>
        <w:numPr>
          <w:ilvl w:val="0"/>
          <w:numId w:val="10"/>
        </w:numPr>
        <w:ind w:firstLineChars="0"/>
        <w:outlineLvl w:val="2"/>
        <w:rPr>
          <w:rFonts w:ascii="宋体" w:hAnsi="宋体" w:eastAsia="宋体"/>
          <w:b/>
          <w:bCs/>
          <w:color w:val="auto"/>
          <w:sz w:val="32"/>
          <w:szCs w:val="32"/>
          <w:highlight w:val="none"/>
        </w:rPr>
      </w:pPr>
      <w:bookmarkStart w:id="67" w:name="_Toc92204817"/>
      <w:r>
        <w:rPr>
          <w:rFonts w:hint="eastAsia" w:ascii="宋体" w:hAnsi="宋体" w:eastAsia="宋体"/>
          <w:b/>
          <w:bCs/>
          <w:color w:val="auto"/>
          <w:sz w:val="32"/>
          <w:szCs w:val="32"/>
          <w:highlight w:val="none"/>
        </w:rPr>
        <w:t>项目背景</w:t>
      </w:r>
      <w:bookmarkEnd w:id="67"/>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有限公司为进一步提升企业的核心竞争力，展示企业良好的社会和品牌形象，提高企业的社会影响力和美誉度，现需结合</w:t>
      </w:r>
      <w:r>
        <w:rPr>
          <w:rFonts w:hint="eastAsia" w:ascii="仿宋_GB2312" w:hAnsi="Calibri" w:eastAsia="仿宋_GB2312" w:cs="Times New Roman"/>
          <w:color w:val="auto"/>
          <w:sz w:val="28"/>
          <w:szCs w:val="28"/>
          <w:highlight w:val="none"/>
          <w:lang w:val="en-US" w:eastAsia="zh-CN"/>
        </w:rPr>
        <w:t>上级</w:t>
      </w:r>
      <w:r>
        <w:rPr>
          <w:rFonts w:hint="eastAsia" w:ascii="仿宋_GB2312" w:hAnsi="Calibri" w:eastAsia="仿宋_GB2312" w:cs="Times New Roman"/>
          <w:color w:val="auto"/>
          <w:sz w:val="28"/>
          <w:szCs w:val="28"/>
          <w:highlight w:val="none"/>
        </w:rPr>
        <w:t>的相关要求，系统地梳理企业年度社会价值工作，提炼工作亮点，有序开展社会价值报告编制工作，编制符合体例规范的高质量社会价值报告。</w:t>
      </w:r>
    </w:p>
    <w:p>
      <w:pPr>
        <w:pStyle w:val="27"/>
        <w:numPr>
          <w:ilvl w:val="0"/>
          <w:numId w:val="10"/>
        </w:numPr>
        <w:ind w:firstLineChars="0"/>
        <w:outlineLvl w:val="2"/>
        <w:rPr>
          <w:b/>
          <w:bCs/>
          <w:color w:val="auto"/>
          <w:sz w:val="32"/>
          <w:szCs w:val="32"/>
          <w:highlight w:val="none"/>
        </w:rPr>
      </w:pPr>
      <w:bookmarkStart w:id="68" w:name="_Toc92204818"/>
      <w:r>
        <w:rPr>
          <w:rFonts w:hint="eastAsia" w:ascii="宋体" w:hAnsi="宋体" w:eastAsia="宋体"/>
          <w:b/>
          <w:bCs/>
          <w:color w:val="auto"/>
          <w:sz w:val="32"/>
          <w:szCs w:val="32"/>
          <w:highlight w:val="none"/>
        </w:rPr>
        <w:t>项目需求</w:t>
      </w:r>
      <w:bookmarkEnd w:id="68"/>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项目服务供应商应制定社会价值报告编制工作计划，明确工作目标、各阶段的工作任务和时间节点，并按照前期研究、报告框架制定、报告编写与设计、长图版报告制作、报告评级、报告传播、报告总结</w:t>
      </w:r>
      <w:r>
        <w:rPr>
          <w:rFonts w:hint="eastAsia" w:ascii="仿宋_GB2312" w:hAnsi="Calibri" w:eastAsia="仿宋_GB2312" w:cs="Times New Roman"/>
          <w:color w:val="auto"/>
          <w:sz w:val="28"/>
          <w:szCs w:val="28"/>
          <w:highlight w:val="none"/>
          <w:lang w:eastAsia="zh-CN"/>
        </w:rPr>
        <w:t>、</w:t>
      </w:r>
      <w:r>
        <w:rPr>
          <w:rFonts w:hint="eastAsia" w:ascii="仿宋_GB2312" w:hAnsi="Calibri" w:eastAsia="仿宋_GB2312" w:cs="Times New Roman"/>
          <w:color w:val="auto"/>
          <w:sz w:val="28"/>
          <w:szCs w:val="28"/>
          <w:highlight w:val="none"/>
          <w:lang w:val="en-US" w:eastAsia="zh-CN"/>
        </w:rPr>
        <w:t>企业社会价值公关传播</w:t>
      </w:r>
      <w:r>
        <w:rPr>
          <w:rFonts w:hint="eastAsia" w:ascii="仿宋_GB2312" w:hAnsi="Calibri" w:eastAsia="仿宋_GB2312" w:cs="Times New Roman"/>
          <w:color w:val="auto"/>
          <w:sz w:val="28"/>
          <w:szCs w:val="28"/>
          <w:highlight w:val="none"/>
        </w:rPr>
        <w:t>等阶段完成报告编制工作。</w:t>
      </w:r>
    </w:p>
    <w:p>
      <w:pPr>
        <w:pStyle w:val="27"/>
        <w:numPr>
          <w:ilvl w:val="0"/>
          <w:numId w:val="10"/>
        </w:numPr>
        <w:ind w:firstLineChars="0"/>
        <w:outlineLvl w:val="2"/>
        <w:rPr>
          <w:rFonts w:ascii="宋体" w:hAnsi="宋体" w:eastAsia="宋体"/>
          <w:b/>
          <w:bCs/>
          <w:color w:val="auto"/>
          <w:sz w:val="32"/>
          <w:szCs w:val="32"/>
          <w:highlight w:val="none"/>
        </w:rPr>
      </w:pPr>
      <w:bookmarkStart w:id="69" w:name="_Toc92204819"/>
      <w:r>
        <w:rPr>
          <w:rFonts w:hint="eastAsia" w:ascii="宋体" w:hAnsi="宋体" w:eastAsia="宋体"/>
          <w:b/>
          <w:bCs/>
          <w:color w:val="auto"/>
          <w:sz w:val="32"/>
          <w:szCs w:val="32"/>
          <w:highlight w:val="none"/>
        </w:rPr>
        <w:t>报告编制要求</w:t>
      </w:r>
      <w:bookmarkEnd w:id="69"/>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1.前期研究</w:t>
      </w:r>
    </w:p>
    <w:p>
      <w:pPr>
        <w:ind w:firstLine="560" w:firstLineChars="200"/>
        <w:jc w:val="both"/>
        <w:rPr>
          <w:rFonts w:ascii="仿宋_GB2312" w:hAnsi="Calibri" w:eastAsia="仿宋_GB2312" w:cs="Times New Roman"/>
          <w:b w:val="0"/>
          <w:bCs w:val="0"/>
          <w:color w:val="auto"/>
          <w:sz w:val="28"/>
          <w:szCs w:val="28"/>
          <w:highlight w:val="none"/>
        </w:rPr>
      </w:pPr>
      <w:r>
        <w:rPr>
          <w:rFonts w:hint="eastAsia" w:ascii="仿宋_GB2312" w:hAnsi="Calibri" w:eastAsia="仿宋_GB2312" w:cs="Times New Roman"/>
          <w:color w:val="auto"/>
          <w:sz w:val="28"/>
          <w:szCs w:val="28"/>
          <w:highlight w:val="none"/>
        </w:rPr>
        <w:t>对社会价值相关政策、社会热点、主流社会责任/社会价值标披露准进行研究，分析社会价值核心议题；对标水务行业优秀社会责任/社会价值报告，借鉴优秀报告</w:t>
      </w:r>
      <w:r>
        <w:rPr>
          <w:rFonts w:hint="eastAsia" w:ascii="仿宋_GB2312" w:hAnsi="Calibri" w:eastAsia="仿宋_GB2312" w:cs="Times New Roman"/>
          <w:b w:val="0"/>
          <w:bCs w:val="0"/>
          <w:color w:val="auto"/>
          <w:sz w:val="28"/>
          <w:szCs w:val="28"/>
          <w:highlight w:val="none"/>
        </w:rPr>
        <w:t>;准确理解广东省国资委提出的国企社会责任向社会价值的理念转换，编制出高质量的社会价值报告。</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2.报告框架制定</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收集</w:t>
      </w:r>
      <w:bookmarkStart w:id="70" w:name="_Hlk123914802"/>
      <w:r>
        <w:rPr>
          <w:rFonts w:hint="eastAsia" w:ascii="仿宋_GB2312" w:hAnsi="Calibri" w:eastAsia="仿宋_GB2312" w:cs="Times New Roman"/>
          <w:color w:val="auto"/>
          <w:sz w:val="28"/>
          <w:szCs w:val="28"/>
          <w:highlight w:val="none"/>
        </w:rPr>
        <w:t>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w:t>
      </w:r>
      <w:bookmarkEnd w:id="70"/>
      <w:r>
        <w:rPr>
          <w:rFonts w:hint="eastAsia" w:ascii="仿宋_GB2312" w:hAnsi="Calibri" w:eastAsia="仿宋_GB2312" w:cs="Times New Roman"/>
          <w:color w:val="auto"/>
          <w:sz w:val="28"/>
          <w:szCs w:val="28"/>
          <w:highlight w:val="none"/>
        </w:rPr>
        <w:t>社会价值工作相关资料，并组织对相关职能部门的访谈，梳理企业</w:t>
      </w:r>
      <w:r>
        <w:rPr>
          <w:rFonts w:hint="eastAsia" w:ascii="仿宋_GB2312" w:hAnsi="Calibri" w:eastAsia="仿宋_GB2312" w:cs="Times New Roman"/>
          <w:color w:val="auto"/>
          <w:sz w:val="28"/>
          <w:szCs w:val="28"/>
          <w:highlight w:val="none"/>
          <w:lang w:val="en-US" w:eastAsia="zh-CN"/>
        </w:rPr>
        <w:t>2022</w:t>
      </w:r>
      <w:r>
        <w:rPr>
          <w:rFonts w:hint="eastAsia" w:ascii="仿宋_GB2312" w:hAnsi="Calibri" w:eastAsia="仿宋_GB2312" w:cs="Times New Roman"/>
          <w:color w:val="auto"/>
          <w:sz w:val="28"/>
          <w:szCs w:val="28"/>
          <w:highlight w:val="none"/>
        </w:rPr>
        <w:t>年度社会价值工作重点与突出成效，并根据前期研究成果研究制定两份报告框架。</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3.社会</w:t>
      </w:r>
      <w:r>
        <w:rPr>
          <w:rFonts w:hint="eastAsia" w:cs="Times New Roman"/>
          <w:b/>
          <w:color w:val="auto"/>
          <w:sz w:val="28"/>
          <w:szCs w:val="28"/>
          <w:highlight w:val="none"/>
        </w:rPr>
        <w:t>价值重要议题调查</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结合社会价值标准研究、行业社会价值对标、广东省国资委的社会价值概念、广州市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有限公司战略规划等，确定广州市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有限公司的重要社会价值议题并编制调查问卷，通过线上</w:t>
      </w:r>
      <w:r>
        <w:rPr>
          <w:rFonts w:hint="eastAsia" w:ascii="仿宋_GB2312" w:hAnsi="Calibri" w:eastAsia="仿宋_GB2312" w:cs="Times New Roman"/>
          <w:color w:val="auto"/>
          <w:sz w:val="28"/>
          <w:szCs w:val="28"/>
          <w:highlight w:val="none"/>
          <w:lang w:val="en-US" w:eastAsia="zh-CN"/>
        </w:rPr>
        <w:t>或</w:t>
      </w:r>
      <w:r>
        <w:rPr>
          <w:rFonts w:hint="eastAsia" w:ascii="仿宋_GB2312" w:hAnsi="Calibri" w:eastAsia="仿宋_GB2312" w:cs="Times New Roman"/>
          <w:color w:val="auto"/>
          <w:sz w:val="28"/>
          <w:szCs w:val="28"/>
          <w:highlight w:val="none"/>
        </w:rPr>
        <w:t>线下渠道开展调查，对调查结果进行分析，从“对企业发展的重要性”“对利益相关方的重要性”</w:t>
      </w:r>
      <w:r>
        <w:rPr>
          <w:rFonts w:hint="eastAsia" w:ascii="仿宋_GB2312" w:hAnsi="Calibri" w:eastAsia="仿宋_GB2312" w:cs="Times New Roman"/>
          <w:color w:val="auto"/>
          <w:sz w:val="28"/>
          <w:szCs w:val="28"/>
          <w:highlight w:val="none"/>
          <w:lang w:val="en-US" w:eastAsia="zh-CN"/>
        </w:rPr>
        <w:t>等</w:t>
      </w:r>
      <w:r>
        <w:rPr>
          <w:rFonts w:hint="eastAsia" w:ascii="仿宋_GB2312" w:hAnsi="Calibri" w:eastAsia="仿宋_GB2312" w:cs="Times New Roman"/>
          <w:color w:val="auto"/>
          <w:sz w:val="28"/>
          <w:szCs w:val="28"/>
          <w:highlight w:val="none"/>
        </w:rPr>
        <w:t>维度建立重大议题矩阵图，指导广州市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有限公司有目的、有计划地开展下年度社会价值工作实践。</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4.指标体系搭建</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搭建符合广州市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有限公司实际的社会价值报告指标体系，保证以报告为基础，整合广州市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有限公司各利益相关者的社会价值工作信息资源。</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5.资料收集</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根据搭建的指标体系结合报告框架及部门职能分工，</w:t>
      </w:r>
      <w:r>
        <w:rPr>
          <w:rFonts w:hint="eastAsia" w:ascii="仿宋_GB2312" w:hAnsi="Calibri" w:eastAsia="仿宋_GB2312" w:cs="Times New Roman"/>
          <w:b w:val="0"/>
          <w:bCs w:val="0"/>
          <w:color w:val="auto"/>
          <w:sz w:val="28"/>
          <w:szCs w:val="28"/>
          <w:highlight w:val="none"/>
        </w:rPr>
        <w:t>系统收集</w:t>
      </w:r>
      <w:r>
        <w:rPr>
          <w:rFonts w:hint="eastAsia" w:ascii="仿宋_GB2312" w:hAnsi="Calibri" w:eastAsia="仿宋_GB2312" w:cs="Times New Roman"/>
          <w:color w:val="auto"/>
          <w:sz w:val="28"/>
          <w:szCs w:val="28"/>
          <w:highlight w:val="none"/>
        </w:rPr>
        <w:t>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w:t>
      </w:r>
      <w:r>
        <w:rPr>
          <w:rFonts w:hint="eastAsia" w:ascii="仿宋_GB2312" w:hAnsi="Calibri" w:eastAsia="仿宋_GB2312" w:cs="Times New Roman"/>
          <w:b w:val="0"/>
          <w:bCs w:val="0"/>
          <w:color w:val="auto"/>
          <w:sz w:val="28"/>
          <w:szCs w:val="28"/>
          <w:highlight w:val="none"/>
        </w:rPr>
        <w:t>202</w:t>
      </w:r>
      <w:r>
        <w:rPr>
          <w:rFonts w:hint="eastAsia" w:ascii="仿宋_GB2312" w:hAnsi="Calibri" w:eastAsia="仿宋_GB2312" w:cs="Times New Roman"/>
          <w:b w:val="0"/>
          <w:bCs w:val="0"/>
          <w:color w:val="auto"/>
          <w:sz w:val="28"/>
          <w:szCs w:val="28"/>
          <w:highlight w:val="none"/>
          <w:lang w:val="en-US" w:eastAsia="zh-CN"/>
        </w:rPr>
        <w:t>2</w:t>
      </w:r>
      <w:r>
        <w:rPr>
          <w:rFonts w:hint="eastAsia" w:ascii="仿宋_GB2312" w:hAnsi="Calibri" w:eastAsia="仿宋_GB2312" w:cs="Times New Roman"/>
          <w:b w:val="0"/>
          <w:bCs w:val="0"/>
          <w:color w:val="auto"/>
          <w:sz w:val="28"/>
          <w:szCs w:val="28"/>
          <w:highlight w:val="none"/>
        </w:rPr>
        <w:t>年度社会价值工作定性、定量资料，</w:t>
      </w:r>
      <w:r>
        <w:rPr>
          <w:rFonts w:hint="eastAsia" w:ascii="仿宋_GB2312" w:hAnsi="Calibri" w:eastAsia="仿宋_GB2312" w:cs="Times New Roman"/>
          <w:color w:val="auto"/>
          <w:sz w:val="28"/>
          <w:szCs w:val="28"/>
          <w:highlight w:val="none"/>
        </w:rPr>
        <w:t>梳理年度社会价值工作重点与突出成效。</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6.报告编写</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通过整理、深加工所收集到的信息，把握广州市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w:t>
      </w:r>
      <w:r>
        <w:rPr>
          <w:rFonts w:ascii="仿宋_GB2312" w:hAnsi="Calibri" w:eastAsia="仿宋_GB2312" w:cs="Times New Roman"/>
          <w:color w:val="auto"/>
          <w:sz w:val="28"/>
          <w:szCs w:val="28"/>
          <w:highlight w:val="none"/>
        </w:rPr>
        <w:t>202</w:t>
      </w:r>
      <w:r>
        <w:rPr>
          <w:rFonts w:hint="eastAsia" w:ascii="仿宋_GB2312" w:hAnsi="Calibri" w:eastAsia="仿宋_GB2312" w:cs="Times New Roman"/>
          <w:color w:val="auto"/>
          <w:sz w:val="28"/>
          <w:szCs w:val="28"/>
          <w:highlight w:val="none"/>
          <w:lang w:val="en-US" w:eastAsia="zh-CN"/>
        </w:rPr>
        <w:t>2</w:t>
      </w:r>
      <w:r>
        <w:rPr>
          <w:rFonts w:ascii="仿宋_GB2312" w:hAnsi="Calibri" w:eastAsia="仿宋_GB2312" w:cs="Times New Roman"/>
          <w:color w:val="auto"/>
          <w:sz w:val="28"/>
          <w:szCs w:val="28"/>
          <w:highlight w:val="none"/>
        </w:rPr>
        <w:t>年度社会</w:t>
      </w:r>
      <w:r>
        <w:rPr>
          <w:rFonts w:hint="eastAsia" w:ascii="仿宋_GB2312" w:hAnsi="Calibri" w:eastAsia="仿宋_GB2312" w:cs="Times New Roman"/>
          <w:color w:val="auto"/>
          <w:sz w:val="28"/>
          <w:szCs w:val="28"/>
          <w:highlight w:val="none"/>
        </w:rPr>
        <w:t>价值工作的核心要点，运用直观、清晰的表达方法形成报告初稿，报告应遵循国务院国资委、广东省国资委及广州市国资委要求，清晰概述广州市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有限公司社会价值理念</w:t>
      </w:r>
      <w:r>
        <w:rPr>
          <w:rFonts w:hint="eastAsia" w:ascii="仿宋_GB2312" w:hAnsi="Calibri" w:eastAsia="仿宋_GB2312" w:cs="Times New Roman"/>
          <w:b w:val="0"/>
          <w:bCs w:val="0"/>
          <w:color w:val="auto"/>
          <w:sz w:val="28"/>
          <w:szCs w:val="28"/>
          <w:highlight w:val="none"/>
        </w:rPr>
        <w:t>，在梳理广州市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b w:val="0"/>
          <w:bCs w:val="0"/>
          <w:color w:val="auto"/>
          <w:sz w:val="28"/>
          <w:szCs w:val="28"/>
          <w:highlight w:val="none"/>
        </w:rPr>
        <w:t>有限公司的主要架构、发展历史和年度重要工作等基础上，聚焦广州市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b w:val="0"/>
          <w:bCs w:val="0"/>
          <w:color w:val="auto"/>
          <w:sz w:val="28"/>
          <w:szCs w:val="28"/>
          <w:highlight w:val="none"/>
        </w:rPr>
        <w:t>有限公司企业价值、国家价值、产业价值、环境价值、社区价值和民生价值贡献情况；从</w:t>
      </w:r>
      <w:r>
        <w:rPr>
          <w:rFonts w:hint="eastAsia" w:ascii="仿宋_GB2312" w:hAnsi="Calibri" w:eastAsia="仿宋_GB2312" w:cs="Times New Roman"/>
          <w:b w:val="0"/>
          <w:bCs w:val="0"/>
          <w:color w:val="auto"/>
          <w:sz w:val="28"/>
          <w:szCs w:val="28"/>
          <w:highlight w:val="none"/>
          <w:lang w:val="en-US" w:eastAsia="zh-CN"/>
        </w:rPr>
        <w:t>净</w:t>
      </w:r>
      <w:r>
        <w:rPr>
          <w:rFonts w:hint="eastAsia" w:ascii="仿宋_GB2312" w:hAnsi="Calibri" w:eastAsia="仿宋_GB2312" w:cs="Times New Roman"/>
          <w:b w:val="0"/>
          <w:bCs w:val="0"/>
          <w:color w:val="auto"/>
          <w:sz w:val="28"/>
          <w:szCs w:val="28"/>
          <w:highlight w:val="none"/>
        </w:rPr>
        <w:t>水服务</w:t>
      </w:r>
      <w:r>
        <w:rPr>
          <w:rFonts w:hint="eastAsia" w:ascii="仿宋_GB2312" w:hAnsi="Calibri" w:eastAsia="仿宋_GB2312" w:cs="Times New Roman"/>
          <w:color w:val="auto"/>
          <w:sz w:val="28"/>
          <w:szCs w:val="28"/>
          <w:highlight w:val="none"/>
        </w:rPr>
        <w:t>、水环境治理、民生服务、粤港澳大湾区发展等社会价值重点议题进行剖析，以平衡透明的方式披露广州市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有限公司的社会价值工作实践，充分体现广州市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有限公司的企业文化、业务特色及社会价值理念。</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报告内容不得少于</w:t>
      </w:r>
      <w:r>
        <w:rPr>
          <w:rFonts w:ascii="仿宋_GB2312" w:hAnsi="Calibri" w:eastAsia="仿宋_GB2312" w:cs="Times New Roman"/>
          <w:color w:val="auto"/>
          <w:sz w:val="28"/>
          <w:szCs w:val="28"/>
          <w:highlight w:val="none"/>
        </w:rPr>
        <w:t>1</w:t>
      </w:r>
      <w:r>
        <w:rPr>
          <w:rFonts w:hint="eastAsia" w:ascii="仿宋_GB2312" w:hAnsi="Calibri" w:eastAsia="仿宋_GB2312" w:cs="Times New Roman"/>
          <w:color w:val="auto"/>
          <w:sz w:val="28"/>
          <w:szCs w:val="28"/>
          <w:highlight w:val="none"/>
          <w:lang w:val="en-US" w:eastAsia="zh-CN"/>
        </w:rPr>
        <w:t>2</w:t>
      </w:r>
      <w:r>
        <w:rPr>
          <w:rFonts w:ascii="仿宋_GB2312" w:hAnsi="Calibri" w:eastAsia="仿宋_GB2312" w:cs="Times New Roman"/>
          <w:color w:val="auto"/>
          <w:sz w:val="28"/>
          <w:szCs w:val="28"/>
          <w:highlight w:val="none"/>
        </w:rPr>
        <w:t>000字，并结合内容需要穿插图表、照片</w:t>
      </w:r>
      <w:r>
        <w:rPr>
          <w:rFonts w:hint="eastAsia" w:ascii="仿宋_GB2312" w:hAnsi="Calibri" w:eastAsia="仿宋_GB2312" w:cs="Times New Roman"/>
          <w:color w:val="auto"/>
          <w:sz w:val="28"/>
          <w:szCs w:val="28"/>
          <w:highlight w:val="none"/>
        </w:rPr>
        <w:t>、案例等资料。报告编制过程中对缺失的资料进行补充，提升报告信息披露的完整性。完成图文版报告后，组织内容评估，收集各部门意见，并对报告进行修改、完善。</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7.报告排版设计</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对报告进行排版设计，内页不少于</w:t>
      </w:r>
      <w:r>
        <w:rPr>
          <w:rFonts w:ascii="仿宋_GB2312" w:hAnsi="Calibri" w:eastAsia="仿宋_GB2312" w:cs="Times New Roman"/>
          <w:color w:val="auto"/>
          <w:sz w:val="28"/>
          <w:szCs w:val="28"/>
          <w:highlight w:val="none"/>
        </w:rPr>
        <w:t>80P，要求设计稿新颖、美观、主旨鲜明，图片和设计需契合报告内容，图片需真实并符合知识产权要求。设计完成后对报告进行审阅，项目服务单位按要求进行修改直至达到采购人要求，并提供报告PDF版（可在线上渠道展示的版本和可印刷的版本）。</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8.报告长图制作</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项目服务供应商应提炼报告核心要点（文案、图像）制作报告长图，长图须涵盖年度重要数据和各个篇章的重要内容，要求设计元素与文字相结合，设计美观、新颖，适合新媒体传播。</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9.报告评级</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项目服务供应商按照中国社会科学院《中国企业社会责任报告指南（C</w:t>
      </w:r>
      <w:r>
        <w:rPr>
          <w:rFonts w:ascii="仿宋_GB2312" w:hAnsi="Calibri" w:eastAsia="仿宋_GB2312" w:cs="Times New Roman"/>
          <w:color w:val="auto"/>
          <w:sz w:val="28"/>
          <w:szCs w:val="28"/>
          <w:highlight w:val="none"/>
        </w:rPr>
        <w:t>ASS-CSR4.0</w:t>
      </w:r>
      <w:r>
        <w:rPr>
          <w:rFonts w:hint="eastAsia" w:ascii="仿宋_GB2312" w:hAnsi="Calibri" w:eastAsia="仿宋_GB2312" w:cs="Times New Roman"/>
          <w:color w:val="auto"/>
          <w:sz w:val="28"/>
          <w:szCs w:val="28"/>
          <w:highlight w:val="none"/>
        </w:rPr>
        <w:t>）》暨“中国企业社会责任报告评级专家委员会”《中国企业社会责任报告评级标准（</w:t>
      </w:r>
      <w:r>
        <w:rPr>
          <w:rFonts w:ascii="仿宋_GB2312" w:hAnsi="Calibri" w:eastAsia="仿宋_GB2312" w:cs="Times New Roman"/>
          <w:color w:val="auto"/>
          <w:sz w:val="28"/>
          <w:szCs w:val="28"/>
          <w:highlight w:val="none"/>
        </w:rPr>
        <w:t>2020</w:t>
      </w:r>
      <w:r>
        <w:rPr>
          <w:rFonts w:hint="eastAsia" w:ascii="仿宋_GB2312" w:hAnsi="Calibri" w:eastAsia="仿宋_GB2312" w:cs="Times New Roman"/>
          <w:color w:val="auto"/>
          <w:sz w:val="28"/>
          <w:szCs w:val="28"/>
          <w:highlight w:val="none"/>
        </w:rPr>
        <w:t>）》对报告、过程稿、图片、沟通信息等过程性材料进行梳理，提供评级需要的总结汇报材料，填写评级申请材料，报送评级专业委员会进行评级。</w:t>
      </w:r>
    </w:p>
    <w:p>
      <w:pPr>
        <w:adjustRightInd w:val="0"/>
        <w:snapToGrid w:val="0"/>
        <w:spacing w:line="600" w:lineRule="exact"/>
        <w:outlineLvl w:val="3"/>
        <w:rPr>
          <w:rFonts w:hint="default" w:cs="Times New Roman" w:eastAsiaTheme="minorEastAsia"/>
          <w:b/>
          <w:color w:val="auto"/>
          <w:sz w:val="28"/>
          <w:szCs w:val="28"/>
          <w:highlight w:val="none"/>
          <w:lang w:val="en-US" w:eastAsia="zh-CN"/>
        </w:rPr>
      </w:pPr>
      <w:r>
        <w:rPr>
          <w:rFonts w:hint="eastAsia" w:cs="Times New Roman"/>
          <w:b/>
          <w:color w:val="auto"/>
          <w:sz w:val="28"/>
          <w:szCs w:val="28"/>
          <w:highlight w:val="none"/>
          <w:lang w:val="en-US" w:eastAsia="zh-CN"/>
        </w:rPr>
        <w:t>3.</w:t>
      </w:r>
      <w:r>
        <w:rPr>
          <w:rFonts w:cs="Times New Roman"/>
          <w:b/>
          <w:color w:val="auto"/>
          <w:sz w:val="28"/>
          <w:szCs w:val="28"/>
          <w:highlight w:val="none"/>
        </w:rPr>
        <w:t>10.</w:t>
      </w:r>
      <w:r>
        <w:rPr>
          <w:rFonts w:hint="eastAsia" w:cs="Times New Roman"/>
          <w:b/>
          <w:color w:val="auto"/>
          <w:sz w:val="28"/>
          <w:szCs w:val="28"/>
          <w:highlight w:val="none"/>
          <w:lang w:val="en-US" w:eastAsia="zh-CN"/>
        </w:rPr>
        <w:t>品牌推广</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项目服务供应商须提供报告宣传展示平台，协助广州市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有限公司在“第</w:t>
      </w:r>
      <w:r>
        <w:rPr>
          <w:rFonts w:hint="eastAsia" w:ascii="仿宋_GB2312" w:hAnsi="Calibri" w:eastAsia="仿宋_GB2312" w:cs="Times New Roman"/>
          <w:color w:val="auto"/>
          <w:sz w:val="28"/>
          <w:szCs w:val="28"/>
          <w:highlight w:val="none"/>
          <w:lang w:val="en-US" w:eastAsia="zh-CN"/>
        </w:rPr>
        <w:t>三</w:t>
      </w:r>
      <w:r>
        <w:rPr>
          <w:rFonts w:hint="eastAsia" w:ascii="仿宋_GB2312" w:hAnsi="Calibri" w:eastAsia="仿宋_GB2312" w:cs="Times New Roman"/>
          <w:color w:val="auto"/>
          <w:sz w:val="28"/>
          <w:szCs w:val="28"/>
          <w:highlight w:val="none"/>
        </w:rPr>
        <w:t>届国企社会价值论坛”上发布企业社会价值报告</w:t>
      </w:r>
      <w:r>
        <w:rPr>
          <w:rFonts w:hint="eastAsia" w:ascii="仿宋_GB2312" w:hAnsi="Calibri" w:eastAsia="仿宋_GB2312" w:cs="Times New Roman"/>
          <w:color w:val="auto"/>
          <w:sz w:val="28"/>
          <w:szCs w:val="28"/>
          <w:highlight w:val="none"/>
          <w:lang w:val="en-US" w:eastAsia="zh-CN"/>
        </w:rPr>
        <w:t>，分享企业社会价值工作管理理念及实践成效，</w:t>
      </w:r>
      <w:r>
        <w:rPr>
          <w:rFonts w:hint="eastAsia" w:ascii="仿宋_GB2312" w:hAnsi="Calibri" w:eastAsia="仿宋_GB2312" w:cs="Times New Roman"/>
          <w:color w:val="auto"/>
          <w:sz w:val="28"/>
          <w:szCs w:val="28"/>
          <w:highlight w:val="none"/>
        </w:rPr>
        <w:t>提升报告传播效果和扩大企业责任品牌影响力。</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hint="eastAsia" w:cs="Times New Roman"/>
          <w:b/>
          <w:color w:val="auto"/>
          <w:sz w:val="28"/>
          <w:szCs w:val="28"/>
          <w:highlight w:val="none"/>
        </w:rPr>
        <w:t>1</w:t>
      </w:r>
      <w:r>
        <w:rPr>
          <w:rFonts w:cs="Times New Roman"/>
          <w:b/>
          <w:color w:val="auto"/>
          <w:sz w:val="28"/>
          <w:szCs w:val="28"/>
          <w:highlight w:val="none"/>
        </w:rPr>
        <w:t>1.</w:t>
      </w:r>
      <w:r>
        <w:rPr>
          <w:rFonts w:hint="eastAsia" w:cs="Times New Roman"/>
          <w:b/>
          <w:color w:val="auto"/>
          <w:sz w:val="28"/>
          <w:szCs w:val="28"/>
          <w:highlight w:val="none"/>
        </w:rPr>
        <w:t>项目总结</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项目服务供应商需要在项目结束后一个月内对项目进行全面总结，召开项目总结会，对报告内容和编制情况等进行总结分析，并向采购人提供编制项目过程资料和一份总结报告。</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hint="eastAsia" w:cs="Times New Roman"/>
          <w:b/>
          <w:color w:val="auto"/>
          <w:sz w:val="28"/>
          <w:szCs w:val="28"/>
          <w:highlight w:val="none"/>
        </w:rPr>
        <w:t>1</w:t>
      </w:r>
      <w:r>
        <w:rPr>
          <w:rFonts w:cs="Times New Roman"/>
          <w:b/>
          <w:color w:val="auto"/>
          <w:sz w:val="28"/>
          <w:szCs w:val="28"/>
          <w:highlight w:val="none"/>
        </w:rPr>
        <w:t>2.</w:t>
      </w:r>
      <w:r>
        <w:rPr>
          <w:rFonts w:hint="eastAsia" w:cs="Times New Roman"/>
          <w:b/>
          <w:color w:val="auto"/>
          <w:sz w:val="28"/>
          <w:szCs w:val="28"/>
          <w:highlight w:val="none"/>
        </w:rPr>
        <w:t>其他要求</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报告编制期间，项目服务单位应组织一次培训</w:t>
      </w:r>
      <w:r>
        <w:rPr>
          <w:rFonts w:hint="eastAsia" w:ascii="仿宋_GB2312" w:hAnsi="Calibri" w:eastAsia="仿宋_GB2312" w:cs="Times New Roman"/>
          <w:color w:val="auto"/>
          <w:sz w:val="28"/>
          <w:szCs w:val="28"/>
          <w:highlight w:val="none"/>
          <w:lang w:val="en-US" w:eastAsia="zh-CN"/>
        </w:rPr>
        <w:t>或到优秀企业参观学习</w:t>
      </w:r>
      <w:r>
        <w:rPr>
          <w:rFonts w:hint="eastAsia" w:ascii="仿宋_GB2312" w:hAnsi="Calibri" w:eastAsia="仿宋_GB2312" w:cs="Times New Roman"/>
          <w:color w:val="auto"/>
          <w:sz w:val="28"/>
          <w:szCs w:val="28"/>
          <w:highlight w:val="none"/>
        </w:rPr>
        <w:t>，培训内容包括社会责任报告指标体系解读及资料收集方法、社会责任报告编制方法及对标分析、社会价值趋势、政策解读、企业社会价值工作实践优秀案例等。并在项目服务供应商主办的社会价值培训及活动中，为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有限公司提供优先参与名额。</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hint="eastAsia" w:cs="Times New Roman"/>
          <w:b/>
          <w:color w:val="auto"/>
          <w:sz w:val="28"/>
          <w:szCs w:val="28"/>
          <w:highlight w:val="none"/>
        </w:rPr>
        <w:t>1</w:t>
      </w:r>
      <w:r>
        <w:rPr>
          <w:rFonts w:cs="Times New Roman"/>
          <w:b/>
          <w:color w:val="auto"/>
          <w:sz w:val="28"/>
          <w:szCs w:val="28"/>
          <w:highlight w:val="none"/>
        </w:rPr>
        <w:t>3.</w:t>
      </w:r>
      <w:r>
        <w:rPr>
          <w:rFonts w:hint="eastAsia" w:cs="Times New Roman"/>
          <w:b/>
          <w:color w:val="auto"/>
          <w:sz w:val="28"/>
          <w:szCs w:val="28"/>
          <w:highlight w:val="none"/>
        </w:rPr>
        <w:t>项目团队要求</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A.</w:t>
      </w:r>
      <w:r>
        <w:rPr>
          <w:rFonts w:ascii="仿宋_GB2312" w:hAnsi="Calibri" w:eastAsia="仿宋_GB2312" w:cs="Times New Roman"/>
          <w:color w:val="auto"/>
          <w:sz w:val="28"/>
          <w:szCs w:val="28"/>
          <w:highlight w:val="none"/>
        </w:rPr>
        <w:t>项目服务单位能力要求：</w:t>
      </w:r>
      <w:r>
        <w:rPr>
          <w:rFonts w:hint="eastAsia" w:ascii="仿宋_GB2312" w:hAnsi="Calibri" w:eastAsia="仿宋_GB2312" w:cs="Times New Roman"/>
          <w:color w:val="auto"/>
          <w:sz w:val="28"/>
          <w:szCs w:val="28"/>
          <w:highlight w:val="none"/>
        </w:rPr>
        <w:t>项目服务供应商须对水务行业和社会价值领域有深入了解和研究，在社会价值领域具有较高的体系研究和实施指导能力，具备社会责社报告/社会价值报告编制三年以上服务经验。</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B.</w:t>
      </w:r>
      <w:r>
        <w:rPr>
          <w:rFonts w:ascii="仿宋_GB2312" w:hAnsi="Calibri" w:eastAsia="仿宋_GB2312" w:cs="Times New Roman"/>
          <w:color w:val="auto"/>
          <w:sz w:val="28"/>
          <w:szCs w:val="28"/>
          <w:highlight w:val="none"/>
        </w:rPr>
        <w:t>项目团队配置要求：</w:t>
      </w:r>
      <w:r>
        <w:rPr>
          <w:rFonts w:hint="eastAsia" w:ascii="仿宋_GB2312" w:hAnsi="Calibri" w:eastAsia="仿宋_GB2312" w:cs="Times New Roman"/>
          <w:color w:val="auto"/>
          <w:sz w:val="28"/>
          <w:szCs w:val="28"/>
          <w:highlight w:val="none"/>
        </w:rPr>
        <w:t>项目服务供应商针对本项目应组建专门的服务团队，项目团队负责人应具备独立开展报告编制工作的能力、组织协调能力，拥有相关领域的工作经验和成果，在社会价值报告编写或国企社会责任/社会价值领域课题研究项目中承担重要角色；项目团队人员须具备服务本项目的专业经验和工作经历，在类似项目中担任相同角色，具备优秀的数据采集、文字编辑、版式设计、图片设计等能力。</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C.</w:t>
      </w:r>
      <w:r>
        <w:rPr>
          <w:rFonts w:hint="eastAsia" w:ascii="仿宋_GB2312" w:hAnsi="Calibri" w:eastAsia="仿宋_GB2312" w:cs="Times New Roman"/>
          <w:color w:val="auto"/>
          <w:sz w:val="28"/>
          <w:szCs w:val="28"/>
          <w:highlight w:val="none"/>
        </w:rPr>
        <w:t>响应文件中明确声明项目团队人员名单，并附人员简历，指定项目负责人并说明团队人员的角色分工。</w:t>
      </w:r>
    </w:p>
    <w:p>
      <w:pPr>
        <w:adjustRightInd w:val="0"/>
        <w:snapToGrid w:val="0"/>
        <w:spacing w:line="600" w:lineRule="exact"/>
        <w:ind w:firstLine="560" w:firstLineChars="200"/>
        <w:jc w:val="left"/>
        <w:rPr>
          <w:rFonts w:hint="eastAsia"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D.</w:t>
      </w:r>
      <w:r>
        <w:rPr>
          <w:rFonts w:ascii="仿宋_GB2312" w:hAnsi="Calibri" w:eastAsia="仿宋_GB2312" w:cs="Times New Roman"/>
          <w:color w:val="auto"/>
          <w:sz w:val="28"/>
          <w:szCs w:val="28"/>
          <w:highlight w:val="none"/>
        </w:rPr>
        <w:t>为建立与采购人顺畅的沟通机制，项目服务单位应派遣一名具有专业知识的资深管理人员与采购人对接，负责本项目的管理，统筹相关工作，监督项目执行情况，控制工作质量。项目执行过程中，项目服务单位应及时将项目进行中遇到的问题、采用的解决方法、产生的阶段性成果等相关事项及时地反馈给</w:t>
      </w:r>
      <w:r>
        <w:rPr>
          <w:rFonts w:hint="eastAsia" w:ascii="仿宋_GB2312" w:hAnsi="Calibri" w:eastAsia="仿宋_GB2312" w:cs="Times New Roman"/>
          <w:color w:val="auto"/>
          <w:sz w:val="28"/>
          <w:szCs w:val="28"/>
          <w:highlight w:val="none"/>
        </w:rPr>
        <w:t>采购人，以保证项目的正常高效运作。</w:t>
      </w:r>
    </w:p>
    <w:p>
      <w:pPr>
        <w:pStyle w:val="2"/>
        <w:ind w:firstLine="0" w:firstLineChars="0"/>
        <w:rPr>
          <w:rFonts w:hint="eastAsia"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4.其他</w:t>
      </w:r>
    </w:p>
    <w:p>
      <w:pPr>
        <w:pStyle w:val="2"/>
        <w:ind w:firstLine="0" w:firstLineChars="0"/>
        <w:rPr>
          <w:rFonts w:hint="default" w:ascii="宋体" w:hAnsi="宋体" w:eastAsia="宋体"/>
          <w:b w:val="0"/>
          <w:bCs w:val="0"/>
          <w:color w:val="auto"/>
          <w:sz w:val="32"/>
          <w:szCs w:val="32"/>
          <w:highlight w:val="none"/>
          <w:lang w:val="en-US" w:eastAsia="zh-CN"/>
        </w:rPr>
      </w:pPr>
      <w:r>
        <w:rPr>
          <w:rFonts w:hint="eastAsia" w:ascii="宋体" w:hAnsi="宋体" w:eastAsia="宋体"/>
          <w:b w:val="0"/>
          <w:bCs w:val="0"/>
          <w:color w:val="auto"/>
          <w:sz w:val="32"/>
          <w:szCs w:val="32"/>
          <w:highlight w:val="none"/>
          <w:lang w:val="en-US" w:eastAsia="zh-CN"/>
        </w:rPr>
        <w:t>签约地点：广州市</w:t>
      </w:r>
    </w:p>
    <w:p>
      <w:pPr>
        <w:ind w:firstLine="643" w:firstLineChars="200"/>
        <w:rPr>
          <w:rFonts w:hint="eastAsia" w:ascii="仿宋" w:hAnsi="仿宋" w:eastAsia="仿宋"/>
          <w:b/>
          <w:color w:val="auto"/>
          <w:sz w:val="32"/>
          <w:szCs w:val="32"/>
          <w:highlight w:val="none"/>
        </w:rPr>
      </w:pPr>
    </w:p>
    <w:p>
      <w:pPr>
        <w:rPr>
          <w:color w:val="auto"/>
          <w:highlight w:val="none"/>
        </w:rPr>
      </w:pPr>
      <w:r>
        <w:rPr>
          <w:color w:val="auto"/>
          <w:highlight w:val="none"/>
        </w:rPr>
        <w:br w:type="page"/>
      </w: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71" w:name="_Toc23353"/>
      <w:bookmarkStart w:id="72" w:name="_Toc29835"/>
      <w:bookmarkStart w:id="73" w:name="_Toc15570"/>
      <w:bookmarkStart w:id="74" w:name="_Toc1284"/>
      <w:bookmarkStart w:id="75" w:name="_Toc4680"/>
      <w:bookmarkStart w:id="76" w:name="_Toc23330"/>
      <w:bookmarkStart w:id="77" w:name="_Toc25925"/>
      <w:bookmarkStart w:id="78" w:name="_Toc1496"/>
      <w:bookmarkStart w:id="79" w:name="_Toc12135"/>
      <w:bookmarkStart w:id="80" w:name="_Toc537"/>
      <w:bookmarkStart w:id="81" w:name="_Toc1853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26"/>
        <w:rPr>
          <w:color w:val="auto"/>
          <w:highlight w:val="none"/>
        </w:rPr>
      </w:pPr>
    </w:p>
    <w:p>
      <w:pPr>
        <w:pStyle w:val="4"/>
        <w:rPr>
          <w:color w:val="auto"/>
          <w:highlight w:val="none"/>
        </w:rPr>
      </w:pPr>
      <w:bookmarkStart w:id="82" w:name="_Toc12721"/>
      <w:bookmarkStart w:id="83" w:name="_Toc22797"/>
      <w:bookmarkStart w:id="84" w:name="_Toc19686"/>
      <w:bookmarkStart w:id="85" w:name="_Toc19088"/>
      <w:bookmarkStart w:id="86" w:name="_Toc1375"/>
      <w:bookmarkStart w:id="87" w:name="_Toc22501"/>
      <w:bookmarkStart w:id="88" w:name="_Toc12980"/>
      <w:bookmarkStart w:id="89" w:name="_Toc12968"/>
      <w:bookmarkStart w:id="90" w:name="_Toc8183"/>
      <w:bookmarkStart w:id="91" w:name="_Toc13309"/>
      <w:bookmarkStart w:id="92" w:name="_Toc323"/>
      <w:bookmarkStart w:id="93" w:name="_Toc87616386"/>
      <w:bookmarkStart w:id="94" w:name="_Toc88209949"/>
      <w:r>
        <w:rPr>
          <w:rFonts w:hint="eastAsia"/>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jc w:val="center"/>
        <w:rPr>
          <w:rFonts w:ascii="宋体" w:hAnsi="宋体"/>
          <w:b/>
          <w:color w:val="auto"/>
          <w:sz w:val="52"/>
          <w:szCs w:val="52"/>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hint="eastAsia" w:ascii="方正小标宋简体" w:eastAsia="方正小标宋简体" w:hAnsiTheme="minorHAnsi" w:cstheme="minorBidi"/>
          <w:color w:val="auto"/>
          <w:sz w:val="44"/>
          <w:szCs w:val="44"/>
          <w:highlight w:val="none"/>
        </w:rPr>
      </w:pPr>
      <w:r>
        <w:rPr>
          <w:rFonts w:hint="eastAsia" w:ascii="方正小标宋简体" w:eastAsia="方正小标宋简体" w:hAnsiTheme="minorHAnsi" w:cstheme="minorBidi"/>
          <w:color w:val="auto"/>
          <w:sz w:val="44"/>
          <w:szCs w:val="44"/>
          <w:highlight w:val="none"/>
        </w:rPr>
        <w:t>广州市</w:t>
      </w:r>
      <w:r>
        <w:rPr>
          <w:rFonts w:hint="eastAsia" w:ascii="方正小标宋简体" w:eastAsia="方正小标宋简体" w:cstheme="minorBidi"/>
          <w:color w:val="auto"/>
          <w:sz w:val="44"/>
          <w:szCs w:val="44"/>
          <w:highlight w:val="none"/>
          <w:lang w:val="en-US" w:eastAsia="zh-CN"/>
        </w:rPr>
        <w:t>净水</w:t>
      </w:r>
      <w:r>
        <w:rPr>
          <w:rFonts w:hint="eastAsia" w:ascii="方正小标宋简体" w:eastAsia="方正小标宋简体" w:hAnsiTheme="minorHAnsi" w:cstheme="minorBidi"/>
          <w:color w:val="auto"/>
          <w:sz w:val="44"/>
          <w:szCs w:val="44"/>
          <w:highlight w:val="none"/>
        </w:rPr>
        <w:t>有限公司</w:t>
      </w:r>
    </w:p>
    <w:p>
      <w:pPr>
        <w:adjustRightInd w:val="0"/>
        <w:snapToGrid w:val="0"/>
        <w:spacing w:before="156" w:beforeLines="50" w:after="156" w:afterLines="50" w:line="600" w:lineRule="exact"/>
        <w:jc w:val="center"/>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编制2022年企业社会价值报告</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lang w:val="en-US" w:eastAsia="zh-CN"/>
        </w:rPr>
        <w:t>服务项目</w:t>
      </w:r>
    </w:p>
    <w:p>
      <w:pPr>
        <w:pStyle w:val="4"/>
        <w:rPr>
          <w:color w:val="auto"/>
          <w:highlight w:val="none"/>
        </w:rPr>
      </w:pPr>
    </w:p>
    <w:p>
      <w:pPr>
        <w:ind w:firstLine="1928" w:firstLineChars="600"/>
        <w:jc w:val="both"/>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rPr>
        <w:t>甲方：广州市</w:t>
      </w:r>
      <w:r>
        <w:rPr>
          <w:rFonts w:hint="eastAsia" w:ascii="宋体" w:hAnsi="宋体" w:eastAsia="宋体" w:cs="宋体"/>
          <w:b/>
          <w:bCs/>
          <w:color w:val="auto"/>
          <w:sz w:val="32"/>
          <w:szCs w:val="32"/>
          <w:highlight w:val="none"/>
          <w:lang w:val="en-US" w:eastAsia="zh-CN"/>
        </w:rPr>
        <w:t>净水</w:t>
      </w:r>
      <w:r>
        <w:rPr>
          <w:rFonts w:hint="eastAsia" w:ascii="宋体" w:hAnsi="宋体" w:eastAsia="宋体" w:cs="宋体"/>
          <w:b/>
          <w:bCs/>
          <w:color w:val="auto"/>
          <w:sz w:val="32"/>
          <w:szCs w:val="32"/>
          <w:highlight w:val="none"/>
        </w:rPr>
        <w:t>有限公司</w:t>
      </w:r>
    </w:p>
    <w:p>
      <w:pPr>
        <w:pStyle w:val="4"/>
        <w:ind w:firstLine="1928" w:firstLineChars="600"/>
        <w:jc w:val="both"/>
        <w:rPr>
          <w:rFonts w:hint="eastAsia" w:ascii="宋体" w:hAnsi="宋体" w:eastAsia="宋体" w:cs="宋体"/>
          <w:color w:val="auto"/>
          <w:sz w:val="32"/>
          <w:szCs w:val="32"/>
          <w:highlight w:val="none"/>
          <w:u w:val="single"/>
          <w:lang w:eastAsia="zh-CN"/>
        </w:rPr>
      </w:pPr>
      <w:r>
        <w:rPr>
          <w:rFonts w:hint="eastAsia" w:ascii="宋体" w:hAnsi="宋体" w:eastAsia="宋体" w:cs="宋体"/>
          <w:b/>
          <w:bCs w:val="0"/>
          <w:color w:val="auto"/>
          <w:sz w:val="32"/>
          <w:szCs w:val="32"/>
          <w:highlight w:val="none"/>
        </w:rPr>
        <w:t>乙方：</w:t>
      </w:r>
    </w:p>
    <w:p>
      <w:pPr>
        <w:rPr>
          <w:rFonts w:ascii="宋体" w:hAnsi="宋体" w:cs="宋体"/>
          <w:color w:val="auto"/>
          <w:highlight w:val="none"/>
        </w:rPr>
      </w:pPr>
    </w:p>
    <w:p>
      <w:pPr>
        <w:spacing w:line="240" w:lineRule="atLeast"/>
        <w:rPr>
          <w:rFonts w:ascii="宋体" w:hAnsi="宋体" w:cs="宋体"/>
          <w:color w:val="auto"/>
          <w:highlight w:val="none"/>
        </w:rPr>
      </w:pPr>
    </w:p>
    <w:p>
      <w:pPr>
        <w:pStyle w:val="4"/>
        <w:jc w:val="both"/>
        <w:rPr>
          <w:rFonts w:ascii="方正小标宋简体"/>
          <w:color w:val="auto"/>
          <w:highlight w:val="none"/>
        </w:rPr>
      </w:pPr>
    </w:p>
    <w:p>
      <w:pPr>
        <w:jc w:val="center"/>
        <w:rPr>
          <w:rFonts w:hint="default" w:ascii="方正小标宋简体" w:eastAsia="方正小标宋简体"/>
          <w:color w:val="auto"/>
          <w:sz w:val="30"/>
          <w:szCs w:val="30"/>
          <w:highlight w:val="none"/>
          <w:lang w:val="en-US" w:eastAsia="zh-CN"/>
        </w:rPr>
      </w:pPr>
      <w:r>
        <w:rPr>
          <w:rFonts w:hint="eastAsia" w:ascii="方正小标宋简体" w:eastAsia="方正小标宋简体"/>
          <w:color w:val="auto"/>
          <w:sz w:val="30"/>
          <w:szCs w:val="30"/>
          <w:highlight w:val="none"/>
        </w:rPr>
        <w:t>签订日期：</w:t>
      </w:r>
      <w:r>
        <w:rPr>
          <w:rFonts w:hint="eastAsia" w:ascii="方正小标宋简体" w:eastAsia="方正小标宋简体"/>
          <w:color w:val="auto"/>
          <w:sz w:val="30"/>
          <w:szCs w:val="30"/>
          <w:highlight w:val="none"/>
          <w:lang w:val="en-US" w:eastAsia="zh-CN"/>
        </w:rPr>
        <w:t>2023年  月</w:t>
      </w:r>
    </w:p>
    <w:p>
      <w:pPr>
        <w:rPr>
          <w:rFonts w:hint="eastAsia"/>
          <w:color w:val="auto"/>
          <w:highlight w:val="none"/>
        </w:rPr>
      </w:pPr>
    </w:p>
    <w:p>
      <w:pPr>
        <w:ind w:left="0" w:leftChars="0" w:firstLine="0" w:firstLineChars="0"/>
        <w:rPr>
          <w:rFonts w:ascii="仿宋_GB2312" w:hAnsi="宋体" w:eastAsia="仿宋_GB2312" w:cs="宋体"/>
          <w:b/>
          <w:color w:val="auto"/>
          <w:kern w:val="0"/>
          <w:sz w:val="28"/>
          <w:szCs w:val="28"/>
          <w:highlight w:val="none"/>
        </w:rPr>
      </w:pPr>
      <w:r>
        <w:rPr>
          <w:rFonts w:ascii="仿宋_GB2312" w:hAnsi="宋体" w:eastAsia="仿宋_GB2312" w:cs="宋体"/>
          <w:b/>
          <w:color w:val="auto"/>
          <w:kern w:val="0"/>
          <w:sz w:val="28"/>
          <w:szCs w:val="28"/>
          <w:highlight w:val="none"/>
        </w:rPr>
        <w:br w:type="page"/>
      </w:r>
    </w:p>
    <w:p>
      <w:pPr>
        <w:spacing w:line="520" w:lineRule="exact"/>
        <w:ind w:firstLine="480" w:firstLineChars="200"/>
        <w:rPr>
          <w:rFonts w:hint="eastAsia" w:ascii="宋体" w:hAnsi="宋体" w:cs="宋体" w:eastAsiaTheme="minorEastAsia"/>
          <w:color w:val="auto"/>
          <w:sz w:val="24"/>
          <w:highlight w:val="none"/>
          <w:lang w:eastAsia="zh-CN"/>
        </w:rPr>
      </w:pPr>
    </w:p>
    <w:p>
      <w:pPr>
        <w:pStyle w:val="2"/>
        <w:rPr>
          <w:rFonts w:hint="eastAsia"/>
          <w:color w:val="auto"/>
          <w:highlight w:val="none"/>
          <w:lang w:eastAsia="zh-CN"/>
        </w:rPr>
      </w:pPr>
    </w:p>
    <w:p>
      <w:pPr>
        <w:widowControl/>
        <w:snapToGrid w:val="0"/>
        <w:spacing w:line="360" w:lineRule="auto"/>
        <w:ind w:firstLine="482" w:firstLineChars="200"/>
        <w:jc w:val="left"/>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b/>
          <w:color w:val="auto"/>
          <w:kern w:val="0"/>
          <w:sz w:val="24"/>
          <w:highlight w:val="none"/>
        </w:rPr>
        <w:t>甲方：</w:t>
      </w:r>
      <w:r>
        <w:rPr>
          <w:rFonts w:hint="eastAsia" w:ascii="仿宋_GB2312" w:hAnsi="Calibri" w:eastAsia="仿宋_GB2312" w:cs="Times New Roman"/>
          <w:color w:val="auto"/>
          <w:sz w:val="24"/>
          <w:szCs w:val="24"/>
          <w:highlight w:val="none"/>
          <w:lang w:eastAsia="zh-CN"/>
        </w:rPr>
        <w:t>广州市净水有限公司</w:t>
      </w:r>
    </w:p>
    <w:p>
      <w:pPr>
        <w:widowControl/>
        <w:snapToGrid w:val="0"/>
        <w:spacing w:line="360" w:lineRule="auto"/>
        <w:ind w:firstLine="480" w:firstLineChars="20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地址：</w:t>
      </w:r>
    </w:p>
    <w:p>
      <w:pPr>
        <w:widowControl/>
        <w:snapToGrid w:val="0"/>
        <w:spacing w:line="360" w:lineRule="auto"/>
        <w:ind w:firstLine="482" w:firstLineChars="200"/>
        <w:jc w:val="left"/>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b/>
          <w:color w:val="auto"/>
          <w:kern w:val="0"/>
          <w:sz w:val="24"/>
          <w:highlight w:val="none"/>
        </w:rPr>
        <w:t>乙方：</w:t>
      </w:r>
    </w:p>
    <w:p>
      <w:pPr>
        <w:widowControl/>
        <w:snapToGrid w:val="0"/>
        <w:spacing w:line="360" w:lineRule="auto"/>
        <w:ind w:firstLine="480" w:firstLineChars="20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地址：</w:t>
      </w:r>
    </w:p>
    <w:p>
      <w:pPr>
        <w:pStyle w:val="19"/>
        <w:rPr>
          <w:rFonts w:hint="eastAsia"/>
          <w:color w:val="auto"/>
          <w:highlight w:val="none"/>
        </w:rPr>
      </w:pPr>
    </w:p>
    <w:p>
      <w:pPr>
        <w:widowControl/>
        <w:snapToGrid w:val="0"/>
        <w:spacing w:line="360" w:lineRule="auto"/>
        <w:ind w:firstLine="480" w:firstLineChars="200"/>
        <w:rPr>
          <w:rFonts w:ascii="仿宋_GB2312" w:hAnsi="宋体" w:eastAsia="仿宋_GB2312" w:cs="宋体"/>
          <w:b/>
          <w:color w:val="auto"/>
          <w:kern w:val="0"/>
          <w:sz w:val="24"/>
          <w:highlight w:val="none"/>
        </w:rPr>
      </w:pPr>
      <w:r>
        <w:rPr>
          <w:rFonts w:hint="eastAsia" w:ascii="仿宋_GB2312" w:hAnsi="宋体" w:eastAsia="仿宋_GB2312" w:cs="宋体"/>
          <w:color w:val="auto"/>
          <w:kern w:val="0"/>
          <w:sz w:val="24"/>
          <w:highlight w:val="none"/>
          <w:lang w:val="zh-CN"/>
        </w:rPr>
        <w:t>根据《中华人民共和国民法典》及其他相关法律、法规的规定，经协商一致，甲方委托乙方提供《广州市净水有限公司202</w:t>
      </w:r>
      <w:r>
        <w:rPr>
          <w:rFonts w:hint="eastAsia" w:ascii="仿宋_GB2312" w:hAnsi="宋体" w:eastAsia="仿宋_GB2312" w:cs="宋体"/>
          <w:color w:val="auto"/>
          <w:kern w:val="0"/>
          <w:sz w:val="24"/>
          <w:highlight w:val="none"/>
          <w:lang w:val="en-US" w:eastAsia="zh-CN"/>
        </w:rPr>
        <w:t>2</w:t>
      </w:r>
      <w:r>
        <w:rPr>
          <w:rFonts w:hint="eastAsia" w:ascii="仿宋_GB2312" w:hAnsi="宋体" w:eastAsia="仿宋_GB2312" w:cs="宋体"/>
          <w:color w:val="auto"/>
          <w:kern w:val="0"/>
          <w:sz w:val="24"/>
          <w:highlight w:val="none"/>
          <w:lang w:val="zh-CN"/>
        </w:rPr>
        <w:t>年度社会价值报告》的编撰、设计排版、报告评级、印刷及发布服务（详细项目成果请参考</w:t>
      </w:r>
      <w:r>
        <w:rPr>
          <w:rFonts w:hint="eastAsia" w:ascii="仿宋_GB2312" w:hAnsi="宋体" w:eastAsia="仿宋_GB2312" w:cs="宋体"/>
          <w:color w:val="auto"/>
          <w:kern w:val="0"/>
          <w:sz w:val="24"/>
          <w:highlight w:val="none"/>
          <w:lang w:val="en-US" w:eastAsia="zh-CN"/>
        </w:rPr>
        <w:t>第二条（三）</w:t>
      </w:r>
      <w:r>
        <w:rPr>
          <w:rFonts w:hint="eastAsia" w:ascii="仿宋_GB2312" w:hAnsi="宋体" w:eastAsia="仿宋_GB2312" w:cs="宋体"/>
          <w:color w:val="auto"/>
          <w:kern w:val="0"/>
          <w:sz w:val="24"/>
          <w:highlight w:val="none"/>
          <w:lang w:val="zh-CN"/>
        </w:rPr>
        <w:t>项目成果）。为了明确合同中甲乙双方在工作过程中的权利义务，促使双方相互配合协作，按时保质保量地完成任务，经甲乙双方充分协商，特签订本合同，以便共同遵守：</w:t>
      </w:r>
      <w:r>
        <w:rPr>
          <w:rFonts w:ascii="仿宋_GB2312" w:hAnsi="宋体" w:eastAsia="仿宋_GB2312" w:cs="宋体"/>
          <w:b/>
          <w:color w:val="auto"/>
          <w:kern w:val="0"/>
          <w:sz w:val="24"/>
          <w:highlight w:val="none"/>
        </w:rPr>
        <w:t xml:space="preserve"> </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第一条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项目名称及工期</w:t>
      </w:r>
    </w:p>
    <w:p>
      <w:pPr>
        <w:pStyle w:val="5"/>
        <w:widowControl/>
        <w:snapToGrid w:val="0"/>
        <w:spacing w:line="400" w:lineRule="exact"/>
        <w:jc w:val="both"/>
        <w:rPr>
          <w:rFonts w:ascii="仿宋_GB2312" w:hAnsi="宋体" w:eastAsia="仿宋_GB2312" w:cs="宋体"/>
          <w:bCs w:val="0"/>
          <w:color w:val="auto"/>
          <w:kern w:val="0"/>
          <w:sz w:val="24"/>
          <w:highlight w:val="none"/>
        </w:rPr>
      </w:pPr>
      <w:r>
        <w:rPr>
          <w:rFonts w:hint="eastAsia" w:ascii="仿宋_GB2312" w:hAnsi="宋体" w:eastAsia="仿宋_GB2312" w:cs="宋体"/>
          <w:b/>
          <w:color w:val="auto"/>
          <w:kern w:val="0"/>
          <w:sz w:val="24"/>
          <w:highlight w:val="none"/>
        </w:rPr>
        <w:t>（一）项目名称</w:t>
      </w:r>
      <w:r>
        <w:rPr>
          <w:rFonts w:hint="eastAsia" w:ascii="仿宋_GB2312" w:hAnsi="宋体" w:eastAsia="仿宋_GB2312" w:cs="宋体"/>
          <w:bCs w:val="0"/>
          <w:color w:val="auto"/>
          <w:kern w:val="0"/>
          <w:sz w:val="24"/>
          <w:highlight w:val="none"/>
        </w:rPr>
        <w:t>：</w:t>
      </w:r>
      <w:r>
        <w:rPr>
          <w:rFonts w:hint="eastAsia" w:ascii="仿宋_GB2312" w:hAnsi="宋体" w:eastAsia="仿宋_GB2312" w:cs="宋体"/>
          <w:bCs w:val="0"/>
          <w:color w:val="auto"/>
          <w:kern w:val="0"/>
          <w:sz w:val="24"/>
          <w:highlight w:val="none"/>
          <w:lang w:eastAsia="zh-CN"/>
        </w:rPr>
        <w:t>广州市净水有限公司</w:t>
      </w:r>
      <w:r>
        <w:rPr>
          <w:rFonts w:hint="eastAsia" w:ascii="仿宋_GB2312" w:hAnsi="宋体" w:eastAsia="仿宋_GB2312" w:cs="宋体"/>
          <w:bCs w:val="0"/>
          <w:color w:val="auto"/>
          <w:kern w:val="0"/>
          <w:sz w:val="24"/>
          <w:highlight w:val="none"/>
          <w:lang w:val="en-US" w:eastAsia="zh-CN"/>
        </w:rPr>
        <w:t>编制2022年企业社会价值报告</w:t>
      </w:r>
      <w:r>
        <w:rPr>
          <w:rFonts w:hint="eastAsia" w:ascii="仿宋_GB2312" w:hAnsi="宋体" w:eastAsia="仿宋_GB2312" w:cs="宋体"/>
          <w:bCs w:val="0"/>
          <w:color w:val="auto"/>
          <w:kern w:val="0"/>
          <w:sz w:val="24"/>
          <w:highlight w:val="none"/>
        </w:rPr>
        <w:t>服务项目</w:t>
      </w:r>
    </w:p>
    <w:p>
      <w:pPr>
        <w:widowControl/>
        <w:snapToGrid w:val="0"/>
        <w:spacing w:line="360" w:lineRule="auto"/>
        <w:rPr>
          <w:rFonts w:hint="default" w:ascii="仿宋_GB2312" w:hAnsi="Calibri" w:eastAsia="仿宋_GB2312"/>
          <w:color w:val="auto"/>
          <w:kern w:val="0"/>
          <w:sz w:val="24"/>
          <w:highlight w:val="none"/>
          <w:lang w:val="en-US" w:eastAsia="zh-CN"/>
        </w:rPr>
      </w:pPr>
      <w:r>
        <w:rPr>
          <w:rFonts w:hint="eastAsia" w:ascii="仿宋_GB2312" w:hAnsi="宋体" w:eastAsia="仿宋_GB2312" w:cs="宋体"/>
          <w:b/>
          <w:bCs/>
          <w:color w:val="auto"/>
          <w:kern w:val="0"/>
          <w:sz w:val="24"/>
          <w:highlight w:val="none"/>
        </w:rPr>
        <w:t>（二）</w:t>
      </w:r>
      <w:r>
        <w:rPr>
          <w:rFonts w:hint="eastAsia" w:ascii="仿宋_GB2312" w:hAnsi="Calibri" w:eastAsia="仿宋_GB2312"/>
          <w:b/>
          <w:bCs/>
          <w:color w:val="auto"/>
          <w:kern w:val="0"/>
          <w:sz w:val="24"/>
          <w:highlight w:val="none"/>
        </w:rPr>
        <w:t>服务期限：</w:t>
      </w:r>
      <w:r>
        <w:rPr>
          <w:rFonts w:hint="eastAsia" w:ascii="仿宋_GB2312" w:hAnsi="Calibri" w:eastAsia="仿宋_GB2312" w:cstheme="minorBidi"/>
          <w:color w:val="auto"/>
          <w:kern w:val="0"/>
          <w:sz w:val="24"/>
          <w:szCs w:val="22"/>
          <w:highlight w:val="none"/>
        </w:rPr>
        <w:t>自合同签订之日起1年</w:t>
      </w:r>
    </w:p>
    <w:p>
      <w:pPr>
        <w:widowControl/>
        <w:snapToGrid w:val="0"/>
        <w:spacing w:line="360" w:lineRule="auto"/>
        <w:ind w:firstLine="482" w:firstLineChars="200"/>
        <w:rPr>
          <w:rFonts w:hint="default" w:ascii="仿宋_GB2312" w:hAnsi="宋体" w:eastAsia="仿宋_GB2312" w:cs="宋体"/>
          <w:b/>
          <w:color w:val="auto"/>
          <w:kern w:val="0"/>
          <w:sz w:val="24"/>
          <w:highlight w:val="none"/>
          <w:lang w:val="en-US" w:eastAsia="zh-CN"/>
        </w:rPr>
      </w:pPr>
      <w:r>
        <w:rPr>
          <w:rFonts w:hint="eastAsia" w:ascii="仿宋_GB2312" w:hAnsi="宋体" w:eastAsia="仿宋_GB2312" w:cs="宋体"/>
          <w:b/>
          <w:color w:val="auto"/>
          <w:kern w:val="0"/>
          <w:sz w:val="24"/>
          <w:highlight w:val="none"/>
        </w:rPr>
        <w:t>第二条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项目范围、内容</w:t>
      </w:r>
      <w:r>
        <w:rPr>
          <w:rFonts w:hint="eastAsia" w:ascii="仿宋_GB2312" w:hAnsi="宋体" w:eastAsia="仿宋_GB2312" w:cs="宋体"/>
          <w:b/>
          <w:color w:val="auto"/>
          <w:kern w:val="0"/>
          <w:sz w:val="24"/>
          <w:highlight w:val="none"/>
          <w:lang w:eastAsia="zh-CN"/>
        </w:rPr>
        <w:t>、</w:t>
      </w:r>
      <w:r>
        <w:rPr>
          <w:rFonts w:hint="eastAsia" w:ascii="仿宋_GB2312" w:hAnsi="宋体" w:eastAsia="仿宋_GB2312" w:cs="宋体"/>
          <w:b/>
          <w:color w:val="auto"/>
          <w:kern w:val="0"/>
          <w:sz w:val="24"/>
          <w:highlight w:val="none"/>
        </w:rPr>
        <w:t>成果</w:t>
      </w:r>
      <w:r>
        <w:rPr>
          <w:rFonts w:hint="eastAsia" w:ascii="仿宋_GB2312" w:hAnsi="宋体" w:eastAsia="仿宋_GB2312" w:cs="宋体"/>
          <w:b/>
          <w:color w:val="auto"/>
          <w:kern w:val="0"/>
          <w:sz w:val="24"/>
          <w:highlight w:val="none"/>
          <w:lang w:val="en-US" w:eastAsia="zh-CN"/>
        </w:rPr>
        <w:t>及实施要求</w:t>
      </w:r>
    </w:p>
    <w:p>
      <w:pPr>
        <w:widowControl/>
        <w:snapToGrid w:val="0"/>
        <w:spacing w:line="360" w:lineRule="auto"/>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（一）项目范围</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本项目的服务对象为甲方。</w:t>
      </w:r>
    </w:p>
    <w:p>
      <w:pPr>
        <w:widowControl/>
        <w:snapToGrid w:val="0"/>
        <w:spacing w:line="360" w:lineRule="auto"/>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（二）项目内容</w:t>
      </w:r>
    </w:p>
    <w:p>
      <w:pPr>
        <w:widowControl/>
        <w:snapToGrid w:val="0"/>
        <w:spacing w:line="360" w:lineRule="auto"/>
        <w:ind w:firstLine="480" w:firstLineChars="200"/>
        <w:rPr>
          <w:rFonts w:hint="eastAsia" w:ascii="仿宋_GB2312" w:hAnsi="Calibri" w:eastAsia="仿宋_GB2312"/>
          <w:bCs/>
          <w:color w:val="auto"/>
          <w:kern w:val="0"/>
          <w:sz w:val="24"/>
          <w:highlight w:val="none"/>
        </w:rPr>
      </w:pPr>
      <w:r>
        <w:rPr>
          <w:rFonts w:hint="eastAsia" w:ascii="仿宋_GB2312" w:hAnsi="Calibri" w:eastAsia="仿宋_GB2312"/>
          <w:bCs/>
          <w:color w:val="auto"/>
          <w:kern w:val="0"/>
          <w:sz w:val="24"/>
          <w:highlight w:val="none"/>
        </w:rPr>
        <w:t>乙方组成项目组，承接甲方202</w:t>
      </w:r>
      <w:r>
        <w:rPr>
          <w:rFonts w:hint="eastAsia" w:ascii="仿宋_GB2312" w:hAnsi="Calibri" w:eastAsia="仿宋_GB2312"/>
          <w:bCs/>
          <w:color w:val="auto"/>
          <w:kern w:val="0"/>
          <w:sz w:val="24"/>
          <w:highlight w:val="none"/>
          <w:lang w:val="en-US" w:eastAsia="zh-CN"/>
        </w:rPr>
        <w:t>2</w:t>
      </w:r>
      <w:r>
        <w:rPr>
          <w:rFonts w:hint="eastAsia" w:ascii="仿宋_GB2312" w:hAnsi="Calibri" w:eastAsia="仿宋_GB2312"/>
          <w:bCs/>
          <w:color w:val="auto"/>
          <w:kern w:val="0"/>
          <w:sz w:val="24"/>
          <w:highlight w:val="none"/>
        </w:rPr>
        <w:t>年度社会价值报告编制项目，为甲方进行一场社会价值培训，通过对标研究等方法搭建企业社会价值报告基本框架，完成《</w:t>
      </w:r>
      <w:r>
        <w:rPr>
          <w:rFonts w:hint="eastAsia" w:ascii="仿宋_GB2312" w:hAnsi="Calibri" w:eastAsia="仿宋_GB2312"/>
          <w:bCs/>
          <w:color w:val="auto"/>
          <w:kern w:val="0"/>
          <w:sz w:val="24"/>
          <w:highlight w:val="none"/>
          <w:lang w:eastAsia="zh-CN"/>
        </w:rPr>
        <w:t>广州市净水有限公司</w:t>
      </w:r>
      <w:r>
        <w:rPr>
          <w:rFonts w:hint="eastAsia" w:ascii="仿宋_GB2312" w:hAnsi="Calibri" w:eastAsia="仿宋_GB2312"/>
          <w:bCs/>
          <w:color w:val="auto"/>
          <w:kern w:val="0"/>
          <w:sz w:val="24"/>
          <w:highlight w:val="none"/>
        </w:rPr>
        <w:t>202</w:t>
      </w:r>
      <w:r>
        <w:rPr>
          <w:rFonts w:hint="eastAsia" w:ascii="仿宋_GB2312" w:hAnsi="Calibri" w:eastAsia="仿宋_GB2312"/>
          <w:bCs/>
          <w:color w:val="auto"/>
          <w:kern w:val="0"/>
          <w:sz w:val="24"/>
          <w:highlight w:val="none"/>
          <w:lang w:val="en-US" w:eastAsia="zh-CN"/>
        </w:rPr>
        <w:t>2</w:t>
      </w:r>
      <w:r>
        <w:rPr>
          <w:rFonts w:hint="eastAsia" w:ascii="仿宋_GB2312" w:hAnsi="Calibri" w:eastAsia="仿宋_GB2312"/>
          <w:bCs/>
          <w:color w:val="auto"/>
          <w:kern w:val="0"/>
          <w:sz w:val="24"/>
          <w:highlight w:val="none"/>
        </w:rPr>
        <w:t>年度社会价值报告》文字稿编撰及设计稿设计排版工作，最终形成《</w:t>
      </w:r>
      <w:r>
        <w:rPr>
          <w:rFonts w:hint="eastAsia" w:ascii="仿宋_GB2312" w:hAnsi="Calibri" w:eastAsia="仿宋_GB2312"/>
          <w:bCs/>
          <w:color w:val="auto"/>
          <w:kern w:val="0"/>
          <w:sz w:val="24"/>
          <w:highlight w:val="none"/>
          <w:lang w:eastAsia="zh-CN"/>
        </w:rPr>
        <w:t>广州市净水有限公司</w:t>
      </w:r>
      <w:r>
        <w:rPr>
          <w:rFonts w:hint="eastAsia" w:ascii="仿宋_GB2312" w:hAnsi="Calibri" w:eastAsia="仿宋_GB2312"/>
          <w:bCs/>
          <w:color w:val="auto"/>
          <w:kern w:val="0"/>
          <w:sz w:val="24"/>
          <w:highlight w:val="none"/>
        </w:rPr>
        <w:t>202</w:t>
      </w:r>
      <w:r>
        <w:rPr>
          <w:rFonts w:hint="eastAsia" w:ascii="仿宋_GB2312" w:hAnsi="Calibri" w:eastAsia="仿宋_GB2312"/>
          <w:bCs/>
          <w:color w:val="auto"/>
          <w:kern w:val="0"/>
          <w:sz w:val="24"/>
          <w:highlight w:val="none"/>
          <w:lang w:val="en-US" w:eastAsia="zh-CN"/>
        </w:rPr>
        <w:t>2</w:t>
      </w:r>
      <w:r>
        <w:rPr>
          <w:rFonts w:hint="eastAsia" w:ascii="仿宋_GB2312" w:hAnsi="Calibri" w:eastAsia="仿宋_GB2312"/>
          <w:bCs/>
          <w:color w:val="auto"/>
          <w:kern w:val="0"/>
          <w:sz w:val="24"/>
          <w:highlight w:val="none"/>
        </w:rPr>
        <w:t>年度社会价值报告》，并为报告提供评级、印刷、发布及公关传播等一体化服务。通过此次合作以有效促进甲方社会价值报告的规范性和完整性，提升企业社会价值工作管理与实践水平，塑造良好的负责任的企业品牌形象。</w:t>
      </w:r>
    </w:p>
    <w:p>
      <w:pPr>
        <w:widowControl/>
        <w:snapToGrid w:val="0"/>
        <w:spacing w:line="360" w:lineRule="auto"/>
        <w:rPr>
          <w:rFonts w:hint="default" w:ascii="仿宋_GB2312" w:hAnsi="宋体" w:eastAsia="仿宋_GB2312"/>
          <w:b/>
          <w:color w:val="auto"/>
          <w:kern w:val="0"/>
          <w:sz w:val="24"/>
          <w:highlight w:val="none"/>
          <w:lang w:val="en-US" w:eastAsia="zh-CN"/>
        </w:rPr>
      </w:pPr>
      <w:r>
        <w:rPr>
          <w:rFonts w:hint="eastAsia" w:ascii="仿宋_GB2312" w:hAnsi="宋体" w:eastAsia="仿宋_GB2312"/>
          <w:b/>
          <w:color w:val="auto"/>
          <w:kern w:val="0"/>
          <w:sz w:val="24"/>
          <w:highlight w:val="none"/>
        </w:rPr>
        <w:t>（三）</w:t>
      </w:r>
      <w:r>
        <w:rPr>
          <w:rFonts w:hint="eastAsia" w:ascii="仿宋_GB2312" w:hAnsi="宋体" w:eastAsia="仿宋_GB2312"/>
          <w:b/>
          <w:color w:val="auto"/>
          <w:kern w:val="0"/>
          <w:sz w:val="24"/>
          <w:highlight w:val="none"/>
          <w:lang w:val="en-US" w:eastAsia="zh-CN"/>
        </w:rPr>
        <w:t>项目成果（暂定）</w:t>
      </w:r>
    </w:p>
    <w:p>
      <w:pPr>
        <w:tabs>
          <w:tab w:val="left" w:pos="552"/>
        </w:tabs>
        <w:spacing w:line="360" w:lineRule="auto"/>
        <w:ind w:firstLine="480" w:firstLineChars="200"/>
        <w:rPr>
          <w:rFonts w:ascii="仿宋_GB2312" w:hAnsi="宋体" w:eastAsia="仿宋_GB2312"/>
          <w:color w:val="auto"/>
          <w:kern w:val="0"/>
          <w:sz w:val="24"/>
          <w:highlight w:val="none"/>
        </w:rPr>
      </w:pPr>
      <w:r>
        <w:rPr>
          <w:rFonts w:ascii="仿宋_GB2312" w:hAnsi="宋体" w:eastAsia="仿宋_GB2312"/>
          <w:color w:val="auto"/>
          <w:kern w:val="0"/>
          <w:sz w:val="24"/>
          <w:highlight w:val="none"/>
        </w:rPr>
        <w:t>包括但不限于：</w:t>
      </w:r>
    </w:p>
    <w:p>
      <w:pPr>
        <w:pStyle w:val="19"/>
        <w:numPr>
          <w:ilvl w:val="0"/>
          <w:numId w:val="11"/>
        </w:numPr>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广州市净水有限公司2022年度社会价值报告工作启动会暨培训会</w:t>
      </w:r>
    </w:p>
    <w:p>
      <w:pPr>
        <w:pStyle w:val="19"/>
        <w:numPr>
          <w:ilvl w:val="0"/>
          <w:numId w:val="11"/>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2</w:t>
      </w:r>
      <w:r>
        <w:rPr>
          <w:rFonts w:hint="default" w:ascii="仿宋_GB2312" w:hAnsi="宋体" w:eastAsia="仿宋_GB2312" w:cs="宋体"/>
          <w:color w:val="auto"/>
          <w:kern w:val="0"/>
          <w:sz w:val="24"/>
          <w:szCs w:val="22"/>
          <w:highlight w:val="none"/>
          <w:lang w:val="en-US" w:eastAsia="zh-CN" w:bidi="ar-SA"/>
        </w:rPr>
        <w:t>年度社会价值报告》（WORD文字稿）</w:t>
      </w:r>
    </w:p>
    <w:p>
      <w:pPr>
        <w:pStyle w:val="19"/>
        <w:numPr>
          <w:ilvl w:val="0"/>
          <w:numId w:val="11"/>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2</w:t>
      </w:r>
      <w:r>
        <w:rPr>
          <w:rFonts w:hint="default" w:ascii="仿宋_GB2312" w:hAnsi="宋体" w:eastAsia="仿宋_GB2312" w:cs="宋体"/>
          <w:color w:val="auto"/>
          <w:kern w:val="0"/>
          <w:sz w:val="24"/>
          <w:szCs w:val="22"/>
          <w:highlight w:val="none"/>
          <w:lang w:val="en-US" w:eastAsia="zh-CN" w:bidi="ar-SA"/>
        </w:rPr>
        <w:t>年度社会价值报告》（PDF设计稿）</w:t>
      </w:r>
    </w:p>
    <w:p>
      <w:pPr>
        <w:pStyle w:val="19"/>
        <w:numPr>
          <w:ilvl w:val="0"/>
          <w:numId w:val="11"/>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2</w:t>
      </w:r>
      <w:r>
        <w:rPr>
          <w:rFonts w:hint="default" w:ascii="仿宋_GB2312" w:hAnsi="宋体" w:eastAsia="仿宋_GB2312" w:cs="宋体"/>
          <w:color w:val="auto"/>
          <w:kern w:val="0"/>
          <w:sz w:val="24"/>
          <w:szCs w:val="22"/>
          <w:highlight w:val="none"/>
          <w:lang w:val="en-US" w:eastAsia="zh-CN" w:bidi="ar-SA"/>
        </w:rPr>
        <w:t>年度社会价值报告》（一张长图设计）</w:t>
      </w:r>
    </w:p>
    <w:p>
      <w:pPr>
        <w:pStyle w:val="19"/>
        <w:numPr>
          <w:ilvl w:val="0"/>
          <w:numId w:val="11"/>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由中国企业社会责任报告评级专家委员会出具的《</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2</w:t>
      </w:r>
      <w:r>
        <w:rPr>
          <w:rFonts w:hint="default" w:ascii="仿宋_GB2312" w:hAnsi="宋体" w:eastAsia="仿宋_GB2312" w:cs="宋体"/>
          <w:color w:val="auto"/>
          <w:kern w:val="0"/>
          <w:sz w:val="24"/>
          <w:szCs w:val="22"/>
          <w:highlight w:val="none"/>
          <w:lang w:val="en-US" w:eastAsia="zh-CN" w:bidi="ar-SA"/>
        </w:rPr>
        <w:t>年度社会价值报告》评级报告</w:t>
      </w:r>
    </w:p>
    <w:p>
      <w:pPr>
        <w:pStyle w:val="19"/>
        <w:numPr>
          <w:ilvl w:val="0"/>
          <w:numId w:val="11"/>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2</w:t>
      </w:r>
      <w:r>
        <w:rPr>
          <w:rFonts w:hint="default" w:ascii="仿宋_GB2312" w:hAnsi="宋体" w:eastAsia="仿宋_GB2312" w:cs="宋体"/>
          <w:color w:val="auto"/>
          <w:kern w:val="0"/>
          <w:sz w:val="24"/>
          <w:szCs w:val="22"/>
          <w:highlight w:val="none"/>
          <w:lang w:val="en-US" w:eastAsia="zh-CN" w:bidi="ar-SA"/>
        </w:rPr>
        <w:t>年度社会价值报告》（印刷版纸质报告500册）</w:t>
      </w:r>
    </w:p>
    <w:p>
      <w:pPr>
        <w:pStyle w:val="19"/>
        <w:numPr>
          <w:ilvl w:val="0"/>
          <w:numId w:val="11"/>
        </w:numPr>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在“第三届国企社会价值论坛”暨粤港澳大湾区国企社会价值报告集中发布活动上发布</w:t>
      </w: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2</w:t>
      </w:r>
      <w:r>
        <w:rPr>
          <w:rFonts w:hint="default" w:ascii="仿宋_GB2312" w:hAnsi="宋体" w:eastAsia="仿宋_GB2312" w:cs="宋体"/>
          <w:color w:val="auto"/>
          <w:kern w:val="0"/>
          <w:sz w:val="24"/>
          <w:szCs w:val="22"/>
          <w:highlight w:val="none"/>
          <w:lang w:val="en-US" w:eastAsia="zh-CN" w:bidi="ar-SA"/>
        </w:rPr>
        <w:t>年度社会价值报告》</w:t>
      </w:r>
    </w:p>
    <w:p>
      <w:pPr>
        <w:pStyle w:val="19"/>
        <w:numPr>
          <w:ilvl w:val="-1"/>
          <w:numId w:val="0"/>
        </w:numPr>
        <w:ind w:firstLine="480" w:firstLineChars="200"/>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双方约定在2023年6月1日前完成本合同第二条第（三）款中的第1-6项项目成果，在2023年12月31日前完成本合同第二条第（三）款中的第7项项目成果。</w:t>
      </w:r>
    </w:p>
    <w:p>
      <w:pPr>
        <w:widowControl/>
        <w:snapToGrid w:val="0"/>
        <w:spacing w:line="360" w:lineRule="auto"/>
        <w:rPr>
          <w:rFonts w:hint="eastAsia" w:ascii="仿宋_GB2312" w:hAnsi="宋体" w:eastAsia="仿宋_GB2312" w:cs="宋体"/>
          <w:b/>
          <w:color w:val="auto"/>
          <w:kern w:val="0"/>
          <w:sz w:val="24"/>
          <w:szCs w:val="22"/>
          <w:highlight w:val="none"/>
          <w:lang w:val="en-US" w:eastAsia="zh-CN" w:bidi="ar-SA"/>
        </w:rPr>
      </w:pPr>
      <w:r>
        <w:rPr>
          <w:rFonts w:hint="eastAsia" w:ascii="仿宋_GB2312" w:hAnsi="宋体" w:eastAsia="仿宋_GB2312" w:cs="宋体"/>
          <w:b/>
          <w:color w:val="auto"/>
          <w:kern w:val="0"/>
          <w:sz w:val="24"/>
          <w:szCs w:val="22"/>
          <w:highlight w:val="none"/>
          <w:lang w:val="en-US" w:eastAsia="zh-CN" w:bidi="ar-SA"/>
        </w:rPr>
        <w:t>（四）项目实施要求</w:t>
      </w:r>
    </w:p>
    <w:p>
      <w:pPr>
        <w:pStyle w:val="19"/>
        <w:numPr>
          <w:ilvl w:val="-1"/>
          <w:numId w:val="0"/>
        </w:numPr>
        <w:spacing w:line="360" w:lineRule="auto"/>
        <w:ind w:firstLine="480" w:firstLineChars="200"/>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sz w:val="24"/>
          <w:highlight w:val="none"/>
          <w:lang w:val="en-US" w:eastAsia="zh-CN"/>
        </w:rPr>
        <w:t>项目开展</w:t>
      </w:r>
      <w:r>
        <w:rPr>
          <w:rFonts w:hint="default" w:ascii="仿宋_GB2312" w:hAnsi="宋体" w:eastAsia="仿宋_GB2312" w:cs="宋体"/>
          <w:color w:val="auto"/>
          <w:sz w:val="24"/>
          <w:highlight w:val="none"/>
        </w:rPr>
        <w:t>期间，</w:t>
      </w:r>
      <w:r>
        <w:rPr>
          <w:rFonts w:hint="eastAsia" w:ascii="仿宋_GB2312" w:hAnsi="宋体" w:eastAsia="仿宋_GB2312" w:cs="宋体"/>
          <w:color w:val="auto"/>
          <w:sz w:val="24"/>
          <w:highlight w:val="none"/>
          <w:lang w:val="en-US" w:eastAsia="zh-CN"/>
        </w:rPr>
        <w:t>乙方</w:t>
      </w:r>
      <w:r>
        <w:rPr>
          <w:rFonts w:hint="default" w:ascii="仿宋_GB2312" w:hAnsi="宋体" w:eastAsia="仿宋_GB2312" w:cs="宋体"/>
          <w:color w:val="auto"/>
          <w:sz w:val="24"/>
          <w:highlight w:val="none"/>
        </w:rPr>
        <w:t>应组织一次培训或到优秀企业参观学习，培训内容包括社会责任报告指标体系解读及资料收集方法、社会责任报告编制方法及对标分析、社会价值趋势、政策解读、企业社会价值工作实践优秀案例等。并在项目服务供应商主办的社会价值培训及活动中，为</w:t>
      </w:r>
      <w:r>
        <w:rPr>
          <w:rFonts w:hint="eastAsia" w:ascii="仿宋_GB2312" w:hAnsi="宋体" w:eastAsia="仿宋_GB2312" w:cs="宋体"/>
          <w:color w:val="auto"/>
          <w:sz w:val="24"/>
          <w:highlight w:val="none"/>
          <w:lang w:eastAsia="zh-CN"/>
        </w:rPr>
        <w:t>广州市净水有限公司</w:t>
      </w:r>
      <w:r>
        <w:rPr>
          <w:rFonts w:hint="default" w:ascii="仿宋_GB2312" w:hAnsi="宋体" w:eastAsia="仿宋_GB2312" w:cs="宋体"/>
          <w:color w:val="auto"/>
          <w:sz w:val="24"/>
          <w:highlight w:val="none"/>
        </w:rPr>
        <w:t>提供优先参与名额。</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第三条</w:t>
      </w:r>
      <w:r>
        <w:rPr>
          <w:rFonts w:ascii="仿宋_GB2312" w:hAnsi="宋体" w:eastAsia="仿宋_GB2312" w:cs="宋体"/>
          <w:b/>
          <w:color w:val="auto"/>
          <w:kern w:val="0"/>
          <w:sz w:val="24"/>
          <w:highlight w:val="none"/>
        </w:rPr>
        <w:t xml:space="preserve">  甲方的权利和义务 </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（一）甲方积极配合和全程参与项目。甲方保证在本项目的计划和执行阶段的全力支持及充分介入，并负责监督本项目下乙方所提供的专业服务，包括指派一位有能力的部门管理人员来承担这一职责。</w:t>
      </w:r>
    </w:p>
    <w:p>
      <w:pPr>
        <w:pStyle w:val="2"/>
        <w:rPr>
          <w:rFonts w:hint="eastAsia" w:hAnsi="宋体" w:cs="宋体"/>
          <w:color w:val="auto"/>
          <w:kern w:val="0"/>
          <w:sz w:val="24"/>
          <w:highlight w:val="none"/>
          <w:lang w:eastAsia="zh-CN"/>
        </w:rPr>
      </w:pP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二</w:t>
      </w:r>
      <w:r>
        <w:rPr>
          <w:rFonts w:hint="eastAsia" w:hAnsi="宋体" w:cs="宋体"/>
          <w:color w:val="auto"/>
          <w:kern w:val="0"/>
          <w:sz w:val="24"/>
          <w:highlight w:val="none"/>
          <w:lang w:eastAsia="zh-CN"/>
        </w:rPr>
        <w:t>）甲方可随时对项目进展情况进行检查和了解，可就发现的问题要求乙方进行回应或相关的修正；</w:t>
      </w:r>
    </w:p>
    <w:p>
      <w:pPr>
        <w:pStyle w:val="2"/>
        <w:rPr>
          <w:rFonts w:hint="eastAsia" w:eastAsia="仿宋_GB2312"/>
          <w:color w:val="auto"/>
          <w:highlight w:val="none"/>
          <w:lang w:eastAsia="zh-CN"/>
        </w:rPr>
      </w:pP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三</w:t>
      </w:r>
      <w:r>
        <w:rPr>
          <w:rFonts w:hint="eastAsia" w:hAnsi="宋体" w:cs="宋体"/>
          <w:color w:val="auto"/>
          <w:kern w:val="0"/>
          <w:sz w:val="24"/>
          <w:highlight w:val="none"/>
          <w:lang w:eastAsia="zh-CN"/>
        </w:rPr>
        <w:t>）甲方认为乙方指定的工作人员不能胜任或者有不适合本合同项目工作情形的，有权要求乙方及时更换符合本合同项目要求的工作人员。若因乙方不及时更换，给甲方造成的损失，由乙方负责赔偿。</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四</w:t>
      </w:r>
      <w:r>
        <w:rPr>
          <w:rFonts w:hint="eastAsia" w:ascii="仿宋_GB2312" w:hAnsi="宋体" w:eastAsia="仿宋_GB2312" w:cs="宋体"/>
          <w:color w:val="auto"/>
          <w:kern w:val="0"/>
          <w:sz w:val="24"/>
          <w:highlight w:val="none"/>
        </w:rPr>
        <w:t>）甲方负责对项目的成果进行验收审查，包括对项目文件的最终评定、决定乙方项目成果中的哪些建议应该制定执行计划，并履行计划和及时处理任何因项目产生的其他文件内容。</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五</w:t>
      </w:r>
      <w:r>
        <w:rPr>
          <w:rFonts w:hint="eastAsia" w:ascii="仿宋_GB2312" w:hAnsi="宋体" w:eastAsia="仿宋_GB2312" w:cs="宋体"/>
          <w:color w:val="auto"/>
          <w:kern w:val="0"/>
          <w:sz w:val="24"/>
          <w:highlight w:val="none"/>
        </w:rPr>
        <w:t>）甲方与甲方的所有工作人员应向乙方提供所有与本项目相关的信息、文件和资料以及乙方为履行本项目职责所需要的任何合理的信息和文件（包括与本项目相关的机密资料和信息），并对本次项目所涉及所有相关信息以及披露、陈述的准确性、完整性负责。</w:t>
      </w:r>
    </w:p>
    <w:p>
      <w:pPr>
        <w:widowControl/>
        <w:snapToGrid w:val="0"/>
        <w:spacing w:line="360" w:lineRule="auto"/>
        <w:ind w:firstLine="480" w:firstLineChars="200"/>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六</w:t>
      </w:r>
      <w:r>
        <w:rPr>
          <w:rFonts w:hint="eastAsia" w:ascii="仿宋_GB2312" w:hAnsi="宋体" w:eastAsia="仿宋_GB2312" w:cs="宋体"/>
          <w:color w:val="auto"/>
          <w:kern w:val="0"/>
          <w:sz w:val="24"/>
          <w:highlight w:val="none"/>
        </w:rPr>
        <w:t>）甲方应按合同约定及时、足额向乙方支付项目费用及报酬。</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第四条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乙方的权利和义务</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乙方承担项目内容的具体实施与成果产出工作。乙方承诺组建项目组，并承诺不更换工作人员，除因甲方单方面原因、不可抗力因素、甲乙双方协商一致等造成工作人员的变更外，乙方须为上述人员的变更承担违约</w:t>
      </w:r>
      <w:r>
        <w:rPr>
          <w:rFonts w:hint="eastAsia" w:ascii="仿宋_GB2312" w:hAnsi="宋体" w:eastAsia="仿宋_GB2312" w:cs="宋体"/>
          <w:color w:val="auto"/>
          <w:kern w:val="0"/>
          <w:sz w:val="24"/>
          <w:highlight w:val="none"/>
          <w:lang w:val="en-US" w:eastAsia="zh-CN"/>
        </w:rPr>
        <w:t>金5000元/人次</w:t>
      </w:r>
      <w:r>
        <w:rPr>
          <w:rFonts w:hint="eastAsia" w:ascii="仿宋_GB2312" w:hAnsi="宋体" w:eastAsia="仿宋_GB2312" w:cs="宋体"/>
          <w:color w:val="auto"/>
          <w:kern w:val="0"/>
          <w:sz w:val="24"/>
          <w:highlight w:val="none"/>
        </w:rPr>
        <w:t>；</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乙方应当按照甲方的要求，及时向甲方汇报阶段性项目工作成果，及时依据甲方反馈进行工作调整和成果修改，每一个阶段的工作完成后应报甲方确认后方可进行下一阶段的工作，乙方对甲方了解项目情况的要求，承诺及时给予回复及反馈；乙方应在甲方规定的时间内向甲方提供项目成果、项目推进报告</w:t>
      </w:r>
      <w:r>
        <w:rPr>
          <w:rFonts w:hint="eastAsia" w:ascii="仿宋_GB2312" w:hAnsi="宋体" w:eastAsia="仿宋_GB2312" w:cs="宋体"/>
          <w:color w:val="auto"/>
          <w:kern w:val="0"/>
          <w:sz w:val="24"/>
          <w:highlight w:val="none"/>
          <w:lang w:val="en-US" w:eastAsia="zh-CN"/>
        </w:rPr>
        <w:t>等</w:t>
      </w:r>
      <w:r>
        <w:rPr>
          <w:rFonts w:hint="eastAsia" w:ascii="仿宋_GB2312" w:hAnsi="宋体" w:eastAsia="仿宋_GB2312" w:cs="宋体"/>
          <w:color w:val="auto"/>
          <w:kern w:val="0"/>
          <w:sz w:val="24"/>
          <w:highlight w:val="none"/>
        </w:rPr>
        <w:t>相关资料。</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（三）未经甲方书面同意，乙方不得将本合同项目下部分或全部工作转委托给第三方；</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四）乙方有义务保证项目成果内容及相关材料内容的合理性、合法性、准确性和有效性。乙方应确保其提交的工作成果的合法性、真实性，乙方向甲方提交的任何工作成果不得存在侵犯第三方权益（包括但不限于知识产权、肖像权等）之行为，否则乙方需负责处理（必要时甲方可主导处理），如因此给甲方造成损失，乙方还需负责赔</w:t>
      </w:r>
      <w:r>
        <w:rPr>
          <w:rFonts w:hint="eastAsia" w:ascii="仿宋_GB2312" w:hAnsi="宋体" w:eastAsia="仿宋_GB2312" w:cs="宋体"/>
          <w:color w:val="auto"/>
          <w:kern w:val="0"/>
          <w:sz w:val="24"/>
          <w:highlight w:val="none"/>
          <w:lang w:val="en-US" w:eastAsia="zh-CN"/>
        </w:rPr>
        <w:t>偿</w:t>
      </w:r>
      <w:r>
        <w:rPr>
          <w:rFonts w:hint="eastAsia" w:ascii="仿宋_GB2312" w:hAnsi="宋体" w:eastAsia="仿宋_GB2312" w:cs="宋体"/>
          <w:color w:val="auto"/>
          <w:kern w:val="0"/>
          <w:sz w:val="24"/>
          <w:highlight w:val="none"/>
        </w:rPr>
        <w:t>；</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（五）乙方为甲方提供项目费用等额发票。乙方有权要求甲方按约支付项目费用及报酬，甲方拒不支付的，乙方有权终止项目工作；</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（六）乙方的保密义务</w:t>
      </w:r>
      <w:r>
        <w:rPr>
          <w:rFonts w:hint="eastAsia" w:ascii="仿宋_GB2312" w:hAnsi="宋体" w:eastAsia="仿宋_GB2312" w:cs="宋体"/>
          <w:color w:val="auto"/>
          <w:kern w:val="0"/>
          <w:sz w:val="24"/>
          <w:highlight w:val="none"/>
          <w:lang w:eastAsia="zh-CN"/>
        </w:rPr>
        <w:t>。</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1、甲方提供予乙方的信息被视为保密资料，并供乙方和乙方的指定人员用于与本项目有关之用途</w:t>
      </w:r>
      <w:r>
        <w:rPr>
          <w:rFonts w:hint="eastAsia" w:ascii="仿宋_GB2312" w:hAnsi="宋体" w:eastAsia="仿宋_GB2312" w:cs="宋体"/>
          <w:color w:val="auto"/>
          <w:kern w:val="0"/>
          <w:sz w:val="24"/>
          <w:highlight w:val="none"/>
        </w:rPr>
        <w:t>。</w:t>
      </w:r>
      <w:r>
        <w:rPr>
          <w:rFonts w:hint="eastAsia" w:ascii="仿宋_GB2312" w:hAnsi="仿宋" w:eastAsia="仿宋_GB2312"/>
          <w:bCs/>
          <w:color w:val="auto"/>
          <w:kern w:val="0"/>
          <w:sz w:val="24"/>
          <w:highlight w:val="none"/>
        </w:rPr>
        <w:t>乙方应对甲方提供的信息资料严格保密，未经甲方书面同意或授权，不得向任何第三方透露</w:t>
      </w:r>
      <w:r>
        <w:rPr>
          <w:rFonts w:hint="eastAsia" w:ascii="仿宋_GB2312" w:hAnsi="仿宋" w:eastAsia="仿宋_GB2312"/>
          <w:bCs/>
          <w:color w:val="auto"/>
          <w:kern w:val="0"/>
          <w:sz w:val="24"/>
          <w:highlight w:val="none"/>
          <w:lang w:eastAsia="zh-CN"/>
        </w:rPr>
        <w:t>，</w:t>
      </w:r>
      <w:r>
        <w:rPr>
          <w:rFonts w:hint="eastAsia" w:ascii="仿宋_GB2312" w:hAnsi="仿宋" w:eastAsia="仿宋_GB2312"/>
          <w:bCs/>
          <w:color w:val="auto"/>
          <w:kern w:val="0"/>
          <w:sz w:val="24"/>
          <w:highlight w:val="none"/>
          <w:lang w:val="en-US" w:eastAsia="zh-CN"/>
        </w:rPr>
        <w:t>否则甲方有权单方解除合同</w:t>
      </w:r>
      <w:r>
        <w:rPr>
          <w:rFonts w:hint="eastAsia" w:ascii="仿宋_GB2312" w:hAnsi="宋体" w:eastAsia="仿宋_GB2312" w:cs="宋体"/>
          <w:color w:val="auto"/>
          <w:kern w:val="0"/>
          <w:sz w:val="24"/>
          <w:highlight w:val="none"/>
        </w:rPr>
        <w:t>。</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仿宋" w:eastAsia="仿宋_GB2312"/>
          <w:bCs/>
          <w:color w:val="auto"/>
          <w:kern w:val="0"/>
          <w:sz w:val="24"/>
          <w:highlight w:val="none"/>
        </w:rPr>
        <w:t>2、非经甲方书面同意，乙方及其项目组工作人员</w:t>
      </w:r>
      <w:r>
        <w:rPr>
          <w:rFonts w:hint="eastAsia" w:ascii="仿宋_GB2312" w:hAnsi="仿宋" w:eastAsia="仿宋_GB2312"/>
          <w:bCs/>
          <w:color w:val="auto"/>
          <w:kern w:val="0"/>
          <w:sz w:val="24"/>
          <w:highlight w:val="none"/>
        </w:rPr>
        <w:t>在</w:t>
      </w:r>
      <w:r>
        <w:rPr>
          <w:rFonts w:ascii="仿宋_GB2312" w:hAnsi="仿宋" w:eastAsia="仿宋_GB2312"/>
          <w:bCs/>
          <w:color w:val="auto"/>
          <w:kern w:val="0"/>
          <w:sz w:val="24"/>
          <w:highlight w:val="none"/>
        </w:rPr>
        <w:t>项目完成后不得向任何第三方透露咨询项目的任何内容和执行情况。</w:t>
      </w:r>
    </w:p>
    <w:p>
      <w:pPr>
        <w:widowControl/>
        <w:spacing w:line="360" w:lineRule="auto"/>
        <w:ind w:firstLine="480" w:firstLineChars="200"/>
        <w:rPr>
          <w:rFonts w:ascii="仿宋_GB2312" w:hAnsi="仿宋" w:eastAsia="仿宋_GB2312" w:cs="Calibri"/>
          <w:bCs/>
          <w:color w:val="auto"/>
          <w:kern w:val="0"/>
          <w:sz w:val="24"/>
          <w:highlight w:val="none"/>
        </w:rPr>
      </w:pPr>
      <w:r>
        <w:rPr>
          <w:rFonts w:ascii="仿宋_GB2312" w:hAnsi="宋体" w:eastAsia="仿宋_GB2312" w:cs="宋体"/>
          <w:color w:val="auto"/>
          <w:kern w:val="0"/>
          <w:sz w:val="24"/>
          <w:highlight w:val="none"/>
        </w:rPr>
        <w:t>3、</w:t>
      </w:r>
      <w:r>
        <w:rPr>
          <w:rFonts w:hint="eastAsia" w:ascii="仿宋_GB2312" w:hAnsi="仿宋" w:eastAsia="仿宋_GB2312"/>
          <w:bCs/>
          <w:color w:val="auto"/>
          <w:kern w:val="0"/>
          <w:sz w:val="24"/>
          <w:highlight w:val="none"/>
        </w:rPr>
        <w:t>乙方承诺，其获悉的甲方保密资料的使用只限于本项目，未经甲方书面同意，不得将保密资料用于其他目的或用途。</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4、下列情况可免于承担保密义务：</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1）公开发布的或可供一般公众公开取阅，但并非由乙方或其合伙人、董事、顾问、代理人及雇员所披露的信息和资料；</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2）提供予乙方之前已由乙方通过公开渠道获得的信息和资料；</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3）乙方已从甲方以外的信息提供者非保密地获得的有关信息和资料，除非乙方知悉该信息提供者应对甲方承担保密责任或义务；</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 xml:space="preserve">4）由乙方或为乙方独立制作，并且没有参照保密资料独立制作的信息资料； </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5）依照任何法定或监管要求、任何政府部门或监管机构、任何适用之法律、法规或规定、专业职责、本合同项下报告义务所要求披露的文件或信息。</w:t>
      </w:r>
    </w:p>
    <w:p>
      <w:pPr>
        <w:widowControl/>
        <w:spacing w:line="360" w:lineRule="auto"/>
        <w:ind w:firstLine="480" w:firstLineChars="200"/>
        <w:rPr>
          <w:rFonts w:ascii="仿宋_GB2312" w:hAnsi="仿宋" w:eastAsia="仿宋_GB2312"/>
          <w:bCs/>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6</w:t>
      </w:r>
      <w:r>
        <w:rPr>
          <w:rFonts w:hint="eastAsia" w:ascii="仿宋_GB2312" w:hAnsi="宋体" w:eastAsia="仿宋_GB2312" w:cs="宋体"/>
          <w:color w:val="auto"/>
          <w:kern w:val="0"/>
          <w:sz w:val="24"/>
          <w:highlight w:val="none"/>
        </w:rPr>
        <w:t>）</w:t>
      </w:r>
      <w:r>
        <w:rPr>
          <w:rFonts w:hint="eastAsia" w:ascii="仿宋_GB2312" w:hAnsi="仿宋" w:eastAsia="仿宋_GB2312"/>
          <w:bCs/>
          <w:color w:val="auto"/>
          <w:kern w:val="0"/>
          <w:sz w:val="24"/>
          <w:highlight w:val="none"/>
        </w:rPr>
        <w:t>乙方应当对本项目服务的工作量、正确性、完整性、准确性、有效性、合法性和及时性负责。</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第六条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知识产权归属</w:t>
      </w:r>
    </w:p>
    <w:p>
      <w:pPr>
        <w:widowControl/>
        <w:snapToGrid w:val="0"/>
        <w:spacing w:line="360" w:lineRule="auto"/>
        <w:ind w:firstLine="480" w:firstLineChars="200"/>
        <w:rPr>
          <w:rFonts w:hint="default" w:ascii="仿宋_GB2312" w:hAnsi="宋体" w:eastAsia="仿宋_GB2312" w:cs="Calibri"/>
          <w:color w:val="auto"/>
          <w:kern w:val="0"/>
          <w:sz w:val="24"/>
          <w:highlight w:val="none"/>
          <w:lang w:val="en-US" w:eastAsia="zh-CN"/>
        </w:rPr>
      </w:pPr>
      <w:r>
        <w:rPr>
          <w:rFonts w:hint="eastAsia" w:ascii="仿宋_GB2312" w:hAnsi="宋体" w:eastAsia="仿宋_GB2312" w:cs="宋体"/>
          <w:color w:val="auto"/>
          <w:kern w:val="0"/>
          <w:sz w:val="24"/>
          <w:highlight w:val="none"/>
        </w:rPr>
        <w:t>（一）在履行本合同过程中，乙方根据甲方提供的资料及咨询、调研过程中获取的资料所形成的项目成果，其所有权及知识产权归甲方所有；甲方利用乙方的工作成果形成新</w:t>
      </w:r>
      <w:r>
        <w:rPr>
          <w:rFonts w:hint="eastAsia" w:ascii="仿宋_GB2312" w:hAnsi="宋体" w:eastAsia="仿宋_GB2312"/>
          <w:color w:val="auto"/>
          <w:kern w:val="0"/>
          <w:sz w:val="24"/>
          <w:highlight w:val="none"/>
        </w:rPr>
        <w:t>的成果，其所有权及知识产权归甲方所有。</w:t>
      </w:r>
      <w:r>
        <w:rPr>
          <w:rFonts w:hint="eastAsia" w:ascii="仿宋_GB2312" w:hAnsi="宋体" w:eastAsia="仿宋_GB2312"/>
          <w:color w:val="auto"/>
          <w:kern w:val="0"/>
          <w:sz w:val="24"/>
          <w:highlight w:val="none"/>
          <w:lang w:val="en-US" w:eastAsia="zh-CN"/>
        </w:rPr>
        <w:t>乙方利用本项目工作成果形成新的成果，其所有权及知识产权归甲方所有</w:t>
      </w:r>
    </w:p>
    <w:p>
      <w:pPr>
        <w:widowControl/>
        <w:snapToGrid w:val="0"/>
        <w:spacing w:line="360" w:lineRule="auto"/>
        <w:ind w:firstLine="480" w:firstLineChars="200"/>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（二）甲方提供给乙方的企业标识、图片、文字等任何资料、文件的所有权及知识产权归属于甲方，乙方仅能在本项目内容及期限内使用。</w:t>
      </w:r>
    </w:p>
    <w:p>
      <w:pPr>
        <w:widowControl/>
        <w:snapToGrid w:val="0"/>
        <w:spacing w:line="360" w:lineRule="auto"/>
        <w:ind w:firstLine="480" w:firstLineChars="200"/>
        <w:rPr>
          <w:rFonts w:hint="eastAsia" w:ascii="仿宋_GB2312" w:hAnsi="仿宋" w:eastAsia="仿宋_GB2312"/>
          <w:bCs/>
          <w:color w:val="auto"/>
          <w:kern w:val="0"/>
          <w:sz w:val="24"/>
          <w:highlight w:val="none"/>
        </w:rPr>
      </w:pPr>
      <w:r>
        <w:rPr>
          <w:rFonts w:hint="eastAsia" w:ascii="仿宋_GB2312" w:hAnsi="宋体" w:eastAsia="仿宋_GB2312"/>
          <w:color w:val="auto"/>
          <w:kern w:val="0"/>
          <w:sz w:val="24"/>
          <w:highlight w:val="none"/>
        </w:rPr>
        <w:t>（三）乙方保证，其执行本项目所使用的任何资料、方法不会侵犯任何第三人所拥有的包括但不限于知识产权在内的各项权利。如果出现第三人主张权利的情况，乙方将承担全部法律责任，并对因</w:t>
      </w:r>
      <w:r>
        <w:rPr>
          <w:rFonts w:hint="eastAsia" w:ascii="仿宋_GB2312" w:hAnsi="仿宋" w:eastAsia="仿宋_GB2312"/>
          <w:bCs/>
          <w:color w:val="auto"/>
          <w:kern w:val="0"/>
          <w:sz w:val="24"/>
          <w:highlight w:val="none"/>
        </w:rPr>
        <w:t>此给甲方造成的任何损失承担赔偿责任。</w:t>
      </w:r>
    </w:p>
    <w:p>
      <w:pPr>
        <w:pStyle w:val="2"/>
        <w:rPr>
          <w:rFonts w:hint="eastAsia" w:ascii="仿宋_GB2312" w:hAnsi="宋体" w:eastAsia="仿宋_GB2312" w:cstheme="minorBidi"/>
          <w:color w:val="auto"/>
          <w:kern w:val="0"/>
          <w:sz w:val="24"/>
          <w:szCs w:val="22"/>
          <w:highlight w:val="none"/>
          <w:lang w:val="en-US" w:eastAsia="zh-CN" w:bidi="ar-SA"/>
        </w:rPr>
      </w:pPr>
      <w:r>
        <w:rPr>
          <w:rFonts w:hint="eastAsia" w:hAnsi="宋体" w:cstheme="minorBidi"/>
          <w:color w:val="auto"/>
          <w:kern w:val="0"/>
          <w:sz w:val="24"/>
          <w:szCs w:val="22"/>
          <w:highlight w:val="none"/>
          <w:lang w:val="en-US" w:eastAsia="zh-CN" w:bidi="ar-SA"/>
        </w:rPr>
        <w:t>（四）</w:t>
      </w:r>
      <w:r>
        <w:rPr>
          <w:rFonts w:hint="eastAsia" w:ascii="仿宋_GB2312" w:hAnsi="宋体" w:eastAsia="仿宋_GB2312" w:cstheme="minorBidi"/>
          <w:color w:val="auto"/>
          <w:kern w:val="0"/>
          <w:sz w:val="24"/>
          <w:szCs w:val="22"/>
          <w:highlight w:val="none"/>
          <w:lang w:val="en-US" w:eastAsia="zh-CN" w:bidi="ar-SA"/>
        </w:rPr>
        <w:t>若乙方违反知识产权及/或保密条款约定，应当支付与本合同价款相当的违约金，违约金不足以弥补甲方损失的，应当另行赔偿。</w:t>
      </w:r>
    </w:p>
    <w:p>
      <w:pPr>
        <w:pStyle w:val="2"/>
        <w:rPr>
          <w:color w:val="auto"/>
          <w:highlight w:val="none"/>
        </w:rPr>
      </w:pPr>
      <w:r>
        <w:rPr>
          <w:rFonts w:hint="eastAsia" w:hAnsi="宋体" w:cstheme="minorBidi"/>
          <w:color w:val="auto"/>
          <w:kern w:val="0"/>
          <w:sz w:val="24"/>
          <w:szCs w:val="22"/>
          <w:highlight w:val="none"/>
          <w:lang w:val="en-US" w:eastAsia="zh-CN" w:bidi="ar-SA"/>
        </w:rPr>
        <w:t>（五）</w:t>
      </w:r>
      <w:r>
        <w:rPr>
          <w:rFonts w:hint="eastAsia" w:ascii="仿宋_GB2312" w:hAnsi="宋体" w:eastAsia="仿宋_GB2312" w:cstheme="minorBidi"/>
          <w:color w:val="auto"/>
          <w:kern w:val="0"/>
          <w:sz w:val="24"/>
          <w:szCs w:val="22"/>
          <w:highlight w:val="none"/>
          <w:lang w:val="en-US" w:eastAsia="zh-CN" w:bidi="ar-SA"/>
        </w:rPr>
        <w:t>任何一方均需保守在双方合作过程中获知的另一方的保密信息（包括但不限于商业秘密），该保密义务不因双方合作终止而免除。</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第七条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成果验收</w:t>
      </w:r>
    </w:p>
    <w:p>
      <w:pPr>
        <w:widowControl/>
        <w:snapToGrid w:val="0"/>
        <w:spacing w:line="360" w:lineRule="auto"/>
        <w:ind w:firstLine="48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（一）按照项目进度，甲方对项目成果进行验收，项目成果应达到</w:t>
      </w:r>
      <w:r>
        <w:rPr>
          <w:rFonts w:ascii="仿宋_GB2312" w:hAnsi="宋体" w:eastAsia="仿宋_GB2312" w:cs="宋体"/>
          <w:color w:val="auto"/>
          <w:kern w:val="0"/>
          <w:sz w:val="24"/>
          <w:highlight w:val="none"/>
        </w:rPr>
        <w:t>甲方有关要求；未达到的，甲方有权要求乙方修正，并按甲方要求的时间完成。</w:t>
      </w:r>
    </w:p>
    <w:p>
      <w:pPr>
        <w:widowControl/>
        <w:snapToGrid w:val="0"/>
        <w:spacing w:line="360" w:lineRule="auto"/>
        <w:ind w:firstLine="48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（二）乙方应按时提交本合同中所规定的各项目成果，项目成果由甲方组织验收。</w:t>
      </w:r>
    </w:p>
    <w:p>
      <w:pPr>
        <w:widowControl/>
        <w:snapToGrid w:val="0"/>
        <w:spacing w:line="360" w:lineRule="auto"/>
        <w:ind w:firstLine="480" w:firstLineChars="200"/>
        <w:rPr>
          <w:rFonts w:hint="default" w:ascii="仿宋_GB2312" w:hAnsi="宋体" w:eastAsia="仿宋_GB2312" w:cs="宋体"/>
          <w:b/>
          <w:color w:val="auto"/>
          <w:kern w:val="0"/>
          <w:sz w:val="24"/>
          <w:highlight w:val="none"/>
          <w:lang w:val="en-US" w:eastAsia="zh-CN"/>
        </w:rPr>
      </w:pPr>
      <w:r>
        <w:rPr>
          <w:rFonts w:ascii="仿宋_GB2312" w:hAnsi="宋体" w:eastAsia="仿宋_GB2312" w:cs="宋体"/>
          <w:color w:val="auto"/>
          <w:kern w:val="0"/>
          <w:sz w:val="24"/>
          <w:highlight w:val="none"/>
        </w:rPr>
        <w:t xml:space="preserve"> </w:t>
      </w:r>
      <w:r>
        <w:rPr>
          <w:rFonts w:hint="eastAsia" w:ascii="仿宋_GB2312" w:hAnsi="宋体" w:eastAsia="仿宋_GB2312" w:cs="宋体"/>
          <w:b/>
          <w:color w:val="auto"/>
          <w:kern w:val="0"/>
          <w:sz w:val="24"/>
          <w:highlight w:val="none"/>
        </w:rPr>
        <w:t>第八条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合同金额及支付方式</w:t>
      </w:r>
      <w:r>
        <w:rPr>
          <w:rFonts w:hint="eastAsia" w:ascii="仿宋_GB2312" w:hAnsi="宋体" w:eastAsia="仿宋_GB2312" w:cs="宋体"/>
          <w:b/>
          <w:color w:val="auto"/>
          <w:kern w:val="0"/>
          <w:sz w:val="24"/>
          <w:highlight w:val="none"/>
          <w:lang w:eastAsia="zh-CN"/>
        </w:rPr>
        <w:t>（</w:t>
      </w:r>
      <w:r>
        <w:rPr>
          <w:rFonts w:hint="eastAsia" w:ascii="仿宋_GB2312" w:hAnsi="宋体" w:eastAsia="仿宋_GB2312" w:cs="宋体"/>
          <w:b/>
          <w:color w:val="auto"/>
          <w:kern w:val="0"/>
          <w:sz w:val="24"/>
          <w:highlight w:val="none"/>
          <w:lang w:val="en-US" w:eastAsia="zh-CN"/>
        </w:rPr>
        <w:t>暂定）</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（一）通过</w:t>
      </w:r>
      <w:r>
        <w:rPr>
          <w:rFonts w:hint="eastAsia" w:ascii="仿宋_GB2312" w:hAnsi="宋体" w:eastAsia="仿宋_GB2312" w:cs="宋体"/>
          <w:color w:val="auto"/>
          <w:kern w:val="0"/>
          <w:sz w:val="24"/>
          <w:highlight w:val="none"/>
          <w:lang w:val="en-US" w:eastAsia="zh-CN"/>
        </w:rPr>
        <w:t>公开询比</w:t>
      </w:r>
      <w:r>
        <w:rPr>
          <w:rFonts w:hint="eastAsia" w:ascii="仿宋_GB2312" w:hAnsi="宋体" w:eastAsia="仿宋_GB2312" w:cs="宋体"/>
          <w:color w:val="auto"/>
          <w:kern w:val="0"/>
          <w:sz w:val="24"/>
          <w:highlight w:val="none"/>
        </w:rPr>
        <w:t>确定本项目服务费用为人民币：（￥</w:t>
      </w:r>
      <w:r>
        <w:rPr>
          <w:rFonts w:hint="eastAsia" w:ascii="仿宋_GB2312" w:hAnsi="宋体" w:eastAsia="仿宋_GB2312" w:cs="宋体"/>
          <w:color w:val="auto"/>
          <w:kern w:val="0"/>
          <w:sz w:val="24"/>
          <w:highlight w:val="none"/>
          <w:lang w:val="en-US" w:eastAsia="zh-CN"/>
        </w:rPr>
        <w:t xml:space="preserve">  </w:t>
      </w:r>
      <w:r>
        <w:rPr>
          <w:rFonts w:hint="eastAsia" w:ascii="仿宋_GB2312" w:hAnsi="宋体" w:eastAsia="仿宋_GB2312" w:cs="宋体"/>
          <w:color w:val="auto"/>
          <w:kern w:val="0"/>
          <w:sz w:val="24"/>
          <w:highlight w:val="none"/>
        </w:rPr>
        <w:t>元），该价格包括营业税</w:t>
      </w:r>
      <w:r>
        <w:rPr>
          <w:rFonts w:ascii="仿宋_GB2312" w:hAnsi="宋体" w:eastAsia="仿宋_GB2312" w:cs="宋体"/>
          <w:color w:val="auto"/>
          <w:kern w:val="0"/>
          <w:sz w:val="24"/>
          <w:highlight w:val="none"/>
        </w:rPr>
        <w:t>/增值税以及代垫支出和费用及实施本项目的一切费用。</w:t>
      </w:r>
      <w:r>
        <w:rPr>
          <w:rFonts w:hint="eastAsia" w:ascii="仿宋_GB2312" w:hAnsi="宋体" w:eastAsia="仿宋_GB2312" w:cs="宋体"/>
          <w:color w:val="auto"/>
          <w:kern w:val="0"/>
          <w:sz w:val="24"/>
          <w:highlight w:val="none"/>
        </w:rPr>
        <w:t>本合同约定的价格为含税价格(税率 %)，合同履行期间国家税率调整的，不含税价不变，价税合计相应调整，以开具发票的时间为准</w:t>
      </w:r>
      <w:r>
        <w:rPr>
          <w:rFonts w:hint="eastAsia" w:ascii="仿宋_GB2312" w:hAnsi="宋体" w:eastAsia="仿宋_GB2312" w:cs="宋体"/>
          <w:color w:val="auto"/>
          <w:kern w:val="0"/>
          <w:sz w:val="24"/>
          <w:highlight w:val="none"/>
          <w:lang w:eastAsia="zh-CN"/>
        </w:rPr>
        <w:t>。</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本项目中使用到的非甲方提供的第三方图片，乙方在确保不侵犯第三方权益的情况下，还需获得甲方首要项目联络人同意后方可使用，若图片使用需要额外支付费用需事先经甲方确认并由甲方另行承担，并与本项目尾款一并结算。</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三）</w:t>
      </w:r>
      <w:r>
        <w:rPr>
          <w:rFonts w:hint="eastAsia" w:ascii="仿宋_GB2312" w:hAnsi="宋体" w:eastAsia="仿宋_GB2312" w:cs="宋体"/>
          <w:color w:val="auto"/>
          <w:kern w:val="0"/>
          <w:sz w:val="24"/>
          <w:highlight w:val="none"/>
        </w:rPr>
        <w:t>在项目启动乙方工作组进场之日起15个工作日内，乙方应向甲方出具相应金额的合法增值税专用发票，甲方在收到符合本合同约定的发票后的三十个工作日内，应当向乙方支付</w:t>
      </w:r>
      <w:r>
        <w:rPr>
          <w:rFonts w:hint="eastAsia" w:ascii="仿宋_GB2312" w:hAnsi="宋体" w:eastAsia="仿宋_GB2312" w:cs="宋体"/>
          <w:color w:val="auto"/>
          <w:kern w:val="0"/>
          <w:sz w:val="24"/>
          <w:highlight w:val="none"/>
          <w:lang w:val="en-US" w:eastAsia="zh-CN"/>
        </w:rPr>
        <w:t>本项目合同总款价</w:t>
      </w:r>
      <w:r>
        <w:rPr>
          <w:rFonts w:hint="eastAsia" w:ascii="仿宋_GB2312" w:hAnsi="宋体" w:eastAsia="仿宋_GB2312" w:cs="宋体"/>
          <w:color w:val="auto"/>
          <w:kern w:val="0"/>
          <w:sz w:val="24"/>
          <w:highlight w:val="none"/>
        </w:rPr>
        <w:t>的</w:t>
      </w:r>
      <w:r>
        <w:rPr>
          <w:rFonts w:hint="eastAsia" w:ascii="仿宋_GB2312" w:hAnsi="宋体" w:eastAsia="仿宋_GB2312" w:cs="宋体"/>
          <w:color w:val="auto"/>
          <w:kern w:val="0"/>
          <w:sz w:val="24"/>
          <w:highlight w:val="none"/>
          <w:lang w:val="en-US" w:eastAsia="zh-CN"/>
        </w:rPr>
        <w:t>3</w:t>
      </w:r>
      <w:r>
        <w:rPr>
          <w:rFonts w:hint="eastAsia" w:ascii="仿宋_GB2312" w:hAnsi="宋体" w:eastAsia="仿宋_GB2312" w:cs="宋体"/>
          <w:color w:val="auto"/>
          <w:kern w:val="0"/>
          <w:sz w:val="24"/>
          <w:highlight w:val="none"/>
        </w:rPr>
        <w:t>0%：    元，大写： 。</w:t>
      </w:r>
    </w:p>
    <w:p>
      <w:pPr>
        <w:pStyle w:val="19"/>
        <w:keepNext w:val="0"/>
        <w:keepLines w:val="0"/>
        <w:pageBreakBefore w:val="0"/>
        <w:kinsoku/>
        <w:wordWrap/>
        <w:overflowPunct/>
        <w:topLinePunct w:val="0"/>
        <w:autoSpaceDE/>
        <w:autoSpaceDN/>
        <w:bidi w:val="0"/>
        <w:adjustRightInd/>
        <w:spacing w:line="360" w:lineRule="auto"/>
        <w:textAlignment w:val="auto"/>
        <w:rPr>
          <w:rFonts w:hint="eastAsia"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（四）乙方完成本合同第二条第（三）款中约定的第1-6项项目成果，并通过甲方合格验收后，乙方应向甲方出具</w:t>
      </w:r>
      <w:r>
        <w:rPr>
          <w:rFonts w:hint="eastAsia" w:ascii="仿宋_GB2312" w:hAnsi="宋体" w:eastAsia="仿宋_GB2312" w:cs="宋体"/>
          <w:color w:val="auto"/>
          <w:kern w:val="0"/>
          <w:sz w:val="24"/>
          <w:highlight w:val="none"/>
        </w:rPr>
        <w:t>相应金额</w:t>
      </w:r>
      <w:r>
        <w:rPr>
          <w:rFonts w:hint="eastAsia" w:ascii="仿宋_GB2312" w:hAnsi="宋体" w:eastAsia="仿宋_GB2312" w:cs="宋体"/>
          <w:color w:val="auto"/>
          <w:kern w:val="0"/>
          <w:sz w:val="24"/>
          <w:szCs w:val="22"/>
          <w:highlight w:val="none"/>
          <w:lang w:val="en-US" w:eastAsia="zh-CN" w:bidi="ar-SA"/>
        </w:rPr>
        <w:t>的合法增值税专用发票。甲方在收到合同发票后的三十个工作日内，应当向乙方支付</w:t>
      </w:r>
      <w:r>
        <w:rPr>
          <w:rFonts w:hint="eastAsia" w:ascii="仿宋_GB2312" w:hAnsi="宋体" w:eastAsia="仿宋_GB2312" w:cs="宋体"/>
          <w:color w:val="auto"/>
          <w:kern w:val="0"/>
          <w:sz w:val="24"/>
          <w:highlight w:val="none"/>
          <w:lang w:val="en-US" w:eastAsia="zh-CN"/>
        </w:rPr>
        <w:t>合同款价</w:t>
      </w:r>
      <w:r>
        <w:rPr>
          <w:rFonts w:hint="eastAsia" w:ascii="仿宋_GB2312" w:hAnsi="宋体" w:eastAsia="仿宋_GB2312" w:cs="宋体"/>
          <w:color w:val="auto"/>
          <w:kern w:val="0"/>
          <w:sz w:val="24"/>
          <w:szCs w:val="22"/>
          <w:highlight w:val="none"/>
          <w:lang w:val="en-US" w:eastAsia="zh-CN" w:bidi="ar-SA"/>
        </w:rPr>
        <w:t>的40%：人民币   元，大写：。</w:t>
      </w:r>
    </w:p>
    <w:p>
      <w:pPr>
        <w:pStyle w:val="19"/>
        <w:keepNext w:val="0"/>
        <w:keepLines w:val="0"/>
        <w:pageBreakBefore w:val="0"/>
        <w:kinsoku/>
        <w:wordWrap/>
        <w:overflowPunct/>
        <w:topLinePunct w:val="0"/>
        <w:autoSpaceDE/>
        <w:autoSpaceDN/>
        <w:bidi w:val="0"/>
        <w:adjustRightInd/>
        <w:spacing w:line="360" w:lineRule="auto"/>
        <w:textAlignment w:val="auto"/>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（五）乙方完成本合同第二条第（三）款中约定的第7项项目成果，增强甲方品牌的传播力度后，甲方在收到合同发票后的三十个工作日内，应当向乙方支付</w:t>
      </w:r>
      <w:r>
        <w:rPr>
          <w:rFonts w:hint="eastAsia" w:ascii="仿宋_GB2312" w:hAnsi="宋体" w:eastAsia="仿宋_GB2312" w:cs="宋体"/>
          <w:color w:val="auto"/>
          <w:kern w:val="0"/>
          <w:sz w:val="24"/>
          <w:highlight w:val="none"/>
          <w:lang w:val="en-US" w:eastAsia="zh-CN"/>
        </w:rPr>
        <w:t>合同款价</w:t>
      </w:r>
      <w:r>
        <w:rPr>
          <w:rFonts w:hint="eastAsia" w:ascii="仿宋_GB2312" w:hAnsi="宋体" w:eastAsia="仿宋_GB2312" w:cs="宋体"/>
          <w:color w:val="auto"/>
          <w:kern w:val="0"/>
          <w:sz w:val="24"/>
          <w:szCs w:val="22"/>
          <w:highlight w:val="none"/>
          <w:lang w:val="en-US" w:eastAsia="zh-CN" w:bidi="ar-SA"/>
        </w:rPr>
        <w:t>的30%：人民币   元，大写：。</w:t>
      </w:r>
    </w:p>
    <w:p>
      <w:pPr>
        <w:widowControl/>
        <w:snapToGrid w:val="0"/>
        <w:spacing w:line="360" w:lineRule="auto"/>
        <w:ind w:firstLine="360" w:firstLineChars="15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六</w:t>
      </w:r>
      <w:r>
        <w:rPr>
          <w:rFonts w:hint="eastAsia" w:ascii="仿宋_GB2312" w:hAnsi="宋体" w:eastAsia="仿宋_GB2312" w:cs="宋体"/>
          <w:color w:val="auto"/>
          <w:kern w:val="0"/>
          <w:sz w:val="24"/>
          <w:highlight w:val="none"/>
        </w:rPr>
        <w:t>）支付方式：以转账方式支付。乙方的账户信息如下：</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ab/>
      </w:r>
      <w:r>
        <w:rPr>
          <w:rFonts w:hint="eastAsia" w:ascii="仿宋_GB2312" w:hAnsi="宋体" w:eastAsia="仿宋_GB2312" w:cs="宋体"/>
          <w:color w:val="auto"/>
          <w:kern w:val="0"/>
          <w:sz w:val="24"/>
          <w:highlight w:val="none"/>
        </w:rPr>
        <w:t>开户行：</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ab/>
      </w:r>
      <w:r>
        <w:rPr>
          <w:rFonts w:hint="eastAsia" w:ascii="仿宋_GB2312" w:hAnsi="宋体" w:eastAsia="仿宋_GB2312" w:cs="宋体"/>
          <w:color w:val="auto"/>
          <w:kern w:val="0"/>
          <w:sz w:val="24"/>
          <w:highlight w:val="none"/>
        </w:rPr>
        <w:t>账户名称：</w:t>
      </w:r>
      <w:r>
        <w:rPr>
          <w:rFonts w:ascii="仿宋_GB2312" w:hAnsi="宋体" w:eastAsia="仿宋_GB2312" w:cs="宋体"/>
          <w:color w:val="auto"/>
          <w:kern w:val="0"/>
          <w:sz w:val="24"/>
          <w:highlight w:val="none"/>
        </w:rPr>
        <w:t xml:space="preserve"> </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ab/>
      </w:r>
      <w:r>
        <w:rPr>
          <w:rFonts w:hint="eastAsia" w:ascii="仿宋_GB2312" w:hAnsi="宋体" w:eastAsia="仿宋_GB2312" w:cs="宋体"/>
          <w:color w:val="auto"/>
          <w:kern w:val="0"/>
          <w:sz w:val="24"/>
          <w:highlight w:val="none"/>
        </w:rPr>
        <w:t>账号：</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第九条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违约责任</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（一）甲方有权立即单方解除合同，并无需向乙方承担任何责任</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双方合作期间，若因甲方单方原因造成项目者取消，乙方已经收取的合同款项不予退还。如因甲方单方原因造成项目延误，则合同履约期限相应延长。如因甲方原因造成项目取消,需根据实际工作情况，双方据实结算，费用支付标准参考项目附件</w:t>
      </w:r>
      <w:r>
        <w:rPr>
          <w:rFonts w:hint="eastAsia" w:ascii="仿宋_GB2312" w:hAnsi="宋体" w:eastAsia="仿宋_GB2312" w:cs="宋体"/>
          <w:color w:val="auto"/>
          <w:kern w:val="0"/>
          <w:sz w:val="24"/>
          <w:highlight w:val="none"/>
          <w:lang w:eastAsia="zh-CN"/>
        </w:rPr>
        <w:t>。</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二</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本合同签订后具有法律效力，合同双方按合同内容和约定承担各自的责任，除本合同另有约定外，任何一方不得擅自终止本合同。若甲方或者乙方违反本合同约定提前终止本合同，则须按合</w:t>
      </w:r>
      <w:r>
        <w:rPr>
          <w:rFonts w:hint="eastAsia" w:ascii="仿宋_GB2312" w:hAnsi="宋体" w:eastAsia="仿宋_GB2312" w:cs="宋体"/>
          <w:color w:val="auto"/>
          <w:kern w:val="0"/>
          <w:sz w:val="24"/>
          <w:highlight w:val="none"/>
          <w:lang w:val="en-US" w:eastAsia="zh-CN"/>
        </w:rPr>
        <w:t>同金额</w:t>
      </w:r>
      <w:r>
        <w:rPr>
          <w:rFonts w:hint="eastAsia" w:ascii="仿宋_GB2312" w:hAnsi="宋体" w:eastAsia="仿宋_GB2312" w:cs="宋体"/>
          <w:color w:val="auto"/>
          <w:kern w:val="0"/>
          <w:sz w:val="24"/>
          <w:highlight w:val="none"/>
        </w:rPr>
        <w:t>的30％向</w:t>
      </w:r>
      <w:r>
        <w:rPr>
          <w:rFonts w:hint="eastAsia" w:ascii="仿宋_GB2312" w:hAnsi="宋体" w:eastAsia="仿宋_GB2312" w:cs="宋体"/>
          <w:color w:val="auto"/>
          <w:kern w:val="0"/>
          <w:sz w:val="24"/>
          <w:highlight w:val="none"/>
          <w:lang w:val="en-US" w:eastAsia="zh-CN"/>
        </w:rPr>
        <w:t>对方</w:t>
      </w:r>
      <w:r>
        <w:rPr>
          <w:rFonts w:hint="eastAsia" w:ascii="仿宋_GB2312" w:hAnsi="宋体" w:eastAsia="仿宋_GB2312" w:cs="宋体"/>
          <w:color w:val="auto"/>
          <w:kern w:val="0"/>
          <w:sz w:val="24"/>
          <w:highlight w:val="none"/>
        </w:rPr>
        <w:t>偿付违约金。</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三</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合同中甲乙双方必须按时完成各自义务，除本合同另有约定外，若因未完全履行合同义务或履行合同义务不符合约定给对方造成损失的，由违约方赔偿对方的损失。如属双方违约，根据实际情况，由双方分别承担各自应负的违约责任。</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四</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双方合作期间，乙方应当根据甲方的要求及合同的约定，按时完成合同约定的内容。乙方延期完成的，每延期一天，乙方须向甲方支付项目合作总价款千分之一的违约金，延期超过十五天的，甲方有权单方解除合同，乙方应退还甲方已支付的全部款项，如给甲方造成损失的，乙方还需另行赔偿。</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五</w:t>
      </w:r>
      <w:r>
        <w:rPr>
          <w:rFonts w:hint="eastAsia" w:ascii="仿宋_GB2312" w:hAnsi="宋体" w:eastAsia="仿宋_GB2312" w:cs="宋体"/>
          <w:color w:val="auto"/>
          <w:kern w:val="0"/>
          <w:sz w:val="24"/>
          <w:highlight w:val="none"/>
        </w:rPr>
        <w:t>）未经甲方书面同意，乙方擅自将服务服务内容转委托他人的，应向甲方支付合同金额</w:t>
      </w:r>
      <w:r>
        <w:rPr>
          <w:rFonts w:ascii="仿宋_GB2312" w:hAnsi="宋体" w:eastAsia="仿宋_GB2312" w:cs="宋体"/>
          <w:color w:val="auto"/>
          <w:kern w:val="0"/>
          <w:sz w:val="24"/>
          <w:highlight w:val="none"/>
        </w:rPr>
        <w:t>30%的违约金，甲方有权终止本合同且乙方应返还甲方已支付的服务费用。</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六</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如任何一方违约，守约方为维护权益</w:t>
      </w:r>
      <w:r>
        <w:rPr>
          <w:rFonts w:hint="eastAsia" w:ascii="仿宋_GB2312" w:hAnsi="宋体" w:eastAsia="仿宋_GB2312" w:cs="宋体"/>
          <w:color w:val="auto"/>
          <w:kern w:val="0"/>
          <w:sz w:val="24"/>
          <w:highlight w:val="none"/>
          <w:lang w:val="en-US" w:eastAsia="zh-CN"/>
        </w:rPr>
        <w:t>向</w:t>
      </w:r>
      <w:r>
        <w:rPr>
          <w:rFonts w:hint="eastAsia" w:ascii="仿宋_GB2312" w:hAnsi="宋体" w:eastAsia="仿宋_GB2312" w:cs="宋体"/>
          <w:color w:val="auto"/>
          <w:kern w:val="0"/>
          <w:sz w:val="24"/>
          <w:highlight w:val="none"/>
        </w:rPr>
        <w:t>违约方追偿一切的费用（包括但不限于律师费、诉讼费、保全费、交通费、差旅费、鉴定费等）均由违约方承担。</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第十条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争议解决方式和法律适用</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甲乙双方在协议履行过程中产生的任何争议，应尽量协商解决。协商不成的，提交至</w:t>
      </w:r>
      <w:r>
        <w:rPr>
          <w:rFonts w:hint="eastAsia" w:ascii="仿宋_GB2312" w:hAnsi="宋体" w:eastAsia="仿宋_GB2312" w:cs="宋体"/>
          <w:color w:val="auto"/>
          <w:kern w:val="0"/>
          <w:sz w:val="24"/>
          <w:highlight w:val="none"/>
          <w:lang w:val="en-US" w:eastAsia="zh-CN"/>
        </w:rPr>
        <w:t>广州市天河区</w:t>
      </w:r>
      <w:r>
        <w:rPr>
          <w:rFonts w:hint="eastAsia" w:ascii="仿宋_GB2312" w:hAnsi="宋体" w:eastAsia="仿宋_GB2312" w:cs="宋体"/>
          <w:color w:val="auto"/>
          <w:kern w:val="0"/>
          <w:sz w:val="24"/>
          <w:highlight w:val="none"/>
        </w:rPr>
        <w:t>人民法院诉讼</w:t>
      </w:r>
      <w:r>
        <w:rPr>
          <w:rFonts w:hint="eastAsia" w:ascii="仿宋_GB2312" w:hAnsi="宋体" w:eastAsia="仿宋_GB2312" w:cs="宋体"/>
          <w:color w:val="auto"/>
          <w:kern w:val="0"/>
          <w:sz w:val="24"/>
          <w:highlight w:val="none"/>
          <w:lang w:val="en-US" w:eastAsia="zh-CN"/>
        </w:rPr>
        <w:t>解决</w:t>
      </w:r>
      <w:r>
        <w:rPr>
          <w:rFonts w:hint="eastAsia" w:ascii="仿宋_GB2312" w:hAnsi="宋体" w:eastAsia="仿宋_GB2312" w:cs="宋体"/>
          <w:color w:val="auto"/>
          <w:kern w:val="0"/>
          <w:sz w:val="24"/>
          <w:highlight w:val="none"/>
        </w:rPr>
        <w:t>。本合同的所有方面均适用中华人民共和国法律进行解释并受其约束。</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第十一条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其他</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（一）除非本合同另有约定，任何一方未经另一方事先书面同意不得转让、转移或委托他方履行其在本合同的任何权利或义务。</w:t>
      </w:r>
    </w:p>
    <w:p>
      <w:pPr>
        <w:widowControl/>
        <w:snapToGrid w:val="0"/>
        <w:spacing w:line="360" w:lineRule="auto"/>
        <w:ind w:left="210" w:leftChars="100" w:firstLine="240" w:firstLineChars="10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（二）通讯</w:t>
      </w:r>
      <w:r>
        <w:rPr>
          <w:rFonts w:ascii="仿宋_GB2312" w:hAnsi="宋体" w:eastAsia="仿宋_GB2312" w:cs="宋体"/>
          <w:color w:val="auto"/>
          <w:kern w:val="0"/>
          <w:sz w:val="24"/>
          <w:highlight w:val="none"/>
        </w:rPr>
        <w:t xml:space="preserve"> </w:t>
      </w:r>
    </w:p>
    <w:p>
      <w:pPr>
        <w:widowControl/>
        <w:snapToGrid w:val="0"/>
        <w:spacing w:line="360" w:lineRule="auto"/>
        <w:ind w:firstLine="480" w:firstLineChars="200"/>
        <w:jc w:val="left"/>
        <w:rPr>
          <w:rFonts w:hint="eastAsia" w:ascii="仿宋_GB2312" w:hAnsi="宋体" w:eastAsia="仿宋_GB2312" w:cs="宋体"/>
          <w:b/>
          <w:color w:val="auto"/>
          <w:kern w:val="0"/>
          <w:sz w:val="24"/>
          <w:highlight w:val="none"/>
        </w:rPr>
      </w:pPr>
      <w:r>
        <w:rPr>
          <w:rFonts w:hint="eastAsia" w:ascii="仿宋_GB2312" w:hAnsi="宋体" w:eastAsia="仿宋_GB2312" w:cs="宋体"/>
          <w:color w:val="auto"/>
          <w:kern w:val="0"/>
          <w:sz w:val="24"/>
          <w:highlight w:val="none"/>
        </w:rPr>
        <w:t>除非本合同另有明确约定，本合同项下所允许或要求的一切通知、请求、要求或其他通讯，应以书面形式，并由专人递交，或由全国知名的特快专递、传真或电子邮件传送，并要求随附回执。通知在下述情况下视为送达：交由快递后</w:t>
      </w:r>
      <w:r>
        <w:rPr>
          <w:rFonts w:ascii="仿宋_GB2312" w:hAnsi="宋体" w:eastAsia="仿宋_GB2312" w:cs="宋体"/>
          <w:color w:val="auto"/>
          <w:kern w:val="0"/>
          <w:sz w:val="24"/>
          <w:highlight w:val="none"/>
        </w:rPr>
        <w:t>2日或发件人收到传真或电子邮件传送确认函，以实际发生较早者为准。通知应发往下列地址或任一方书面约定的其他地址：</w:t>
      </w:r>
    </w:p>
    <w:p>
      <w:pPr>
        <w:keepNext w:val="0"/>
        <w:keepLines w:val="0"/>
        <w:pageBreakBefore w:val="0"/>
        <w:widowControl/>
        <w:kinsoku/>
        <w:wordWrap/>
        <w:overflowPunct/>
        <w:topLinePunct w:val="0"/>
        <w:autoSpaceDE/>
        <w:autoSpaceDN/>
        <w:bidi w:val="0"/>
        <w:adjustRightInd/>
        <w:snapToGrid w:val="0"/>
        <w:spacing w:line="240" w:lineRule="auto"/>
        <w:ind w:firstLine="472" w:firstLineChars="196"/>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b/>
          <w:color w:val="auto"/>
          <w:kern w:val="0"/>
          <w:sz w:val="24"/>
          <w:highlight w:val="none"/>
        </w:rPr>
        <w:t>甲方：</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地址：</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电话：</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电子邮件：</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传真：</w:t>
      </w:r>
      <w:r>
        <w:rPr>
          <w:rFonts w:ascii="仿宋" w:hAnsi="仿宋" w:eastAsia="仿宋" w:cs="仿宋_GB2312"/>
          <w:bCs/>
          <w:color w:val="auto"/>
          <w:kern w:val="0"/>
          <w:sz w:val="24"/>
          <w:highlight w:val="none"/>
        </w:rPr>
        <w:t xml:space="preserve">            </w:t>
      </w:r>
      <w:r>
        <w:rPr>
          <w:rFonts w:hint="eastAsia" w:ascii="仿宋" w:hAnsi="仿宋" w:eastAsia="仿宋" w:cs="仿宋_GB2312"/>
          <w:bCs/>
          <w:color w:val="auto"/>
          <w:kern w:val="0"/>
          <w:sz w:val="24"/>
          <w:highlight w:val="none"/>
          <w:lang w:val="en-US" w:eastAsia="zh-CN"/>
        </w:rPr>
        <w:t xml:space="preserve">             </w:t>
      </w:r>
      <w:r>
        <w:rPr>
          <w:rFonts w:hint="eastAsia" w:ascii="仿宋_GB2312" w:hAnsi="宋体" w:eastAsia="仿宋_GB2312" w:cs="宋体"/>
          <w:color w:val="auto"/>
          <w:kern w:val="0"/>
          <w:sz w:val="24"/>
          <w:highlight w:val="none"/>
        </w:rPr>
        <w:t>收件人：</w:t>
      </w:r>
    </w:p>
    <w:p>
      <w:pPr>
        <w:keepNext w:val="0"/>
        <w:keepLines w:val="0"/>
        <w:pageBreakBefore w:val="0"/>
        <w:widowControl/>
        <w:kinsoku/>
        <w:wordWrap/>
        <w:overflowPunct/>
        <w:topLinePunct w:val="0"/>
        <w:autoSpaceDE/>
        <w:autoSpaceDN/>
        <w:bidi w:val="0"/>
        <w:adjustRightInd/>
        <w:snapToGrid w:val="0"/>
        <w:spacing w:line="240" w:lineRule="auto"/>
        <w:ind w:firstLine="472" w:firstLineChars="196"/>
        <w:jc w:val="left"/>
        <w:textAlignment w:val="auto"/>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乙方：</w:t>
      </w:r>
      <w:r>
        <w:rPr>
          <w:rFonts w:ascii="仿宋_GB2312" w:hAnsi="宋体" w:eastAsia="仿宋_GB2312" w:cs="宋体"/>
          <w:b/>
          <w:color w:val="auto"/>
          <w:kern w:val="0"/>
          <w:sz w:val="24"/>
          <w:highlight w:val="none"/>
        </w:rPr>
        <w:t xml:space="preserve"> </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地址：</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电话：</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电子邮件：</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传真：</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收件人：</w:t>
      </w:r>
    </w:p>
    <w:p>
      <w:pPr>
        <w:pStyle w:val="5"/>
        <w:widowControl/>
        <w:snapToGrid w:val="0"/>
        <w:spacing w:line="400" w:lineRule="exact"/>
        <w:ind w:firstLine="480" w:firstLineChars="200"/>
        <w:jc w:val="left"/>
        <w:rPr>
          <w:rFonts w:ascii="仿宋_GB2312" w:hAnsi="宋体" w:eastAsia="仿宋_GB2312" w:cs="宋体"/>
          <w:bCs w:val="0"/>
          <w:color w:val="auto"/>
          <w:kern w:val="0"/>
          <w:sz w:val="24"/>
          <w:highlight w:val="none"/>
        </w:rPr>
      </w:pPr>
      <w:r>
        <w:rPr>
          <w:rFonts w:hint="eastAsia" w:ascii="仿宋_GB2312" w:hAnsi="宋体" w:eastAsia="仿宋_GB2312" w:cs="宋体"/>
          <w:bCs w:val="0"/>
          <w:color w:val="auto"/>
          <w:kern w:val="0"/>
          <w:sz w:val="24"/>
          <w:highlight w:val="none"/>
        </w:rPr>
        <w:t>（三）甲方提供的《廉洁责任书》</w:t>
      </w:r>
      <w:r>
        <w:rPr>
          <w:rFonts w:hint="eastAsia" w:ascii="仿宋_GB2312" w:hAnsi="宋体" w:eastAsia="仿宋_GB2312" w:cs="宋体"/>
          <w:bCs w:val="0"/>
          <w:color w:val="auto"/>
          <w:kern w:val="0"/>
          <w:sz w:val="24"/>
          <w:highlight w:val="none"/>
          <w:lang w:val="en-US" w:eastAsia="zh-CN"/>
        </w:rPr>
        <w:t>及</w:t>
      </w:r>
      <w:r>
        <w:rPr>
          <w:rFonts w:hint="eastAsia" w:ascii="仿宋_GB2312" w:hAnsi="宋体" w:eastAsia="仿宋_GB2312" w:cs="宋体"/>
          <w:bCs w:val="0"/>
          <w:color w:val="auto"/>
          <w:kern w:val="0"/>
          <w:sz w:val="24"/>
          <w:highlight w:val="none"/>
        </w:rPr>
        <w:t>《保密协议》均作为本合同的附件，和本合同具有同样的法律效力，若有冲突的，以本合同为准，本合同没有约定的，以上述附件为准。</w:t>
      </w:r>
    </w:p>
    <w:p>
      <w:pPr>
        <w:widowControl/>
        <w:snapToGrid w:val="0"/>
        <w:spacing w:line="360" w:lineRule="auto"/>
        <w:ind w:firstLine="480" w:firstLineChars="20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（四）本合同及其附件，构成甲方与乙方之间就乙方提供本约定服务的完整协议，并取替先前双方可能存在的关于本约定服务的任何口头或书面的协议、陈述或保证。</w:t>
      </w:r>
    </w:p>
    <w:p>
      <w:pPr>
        <w:widowControl/>
        <w:snapToGrid w:val="0"/>
        <w:spacing w:line="360" w:lineRule="auto"/>
        <w:ind w:firstLine="480" w:firstLineChars="200"/>
        <w:jc w:val="left"/>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（五）本合同一式</w:t>
      </w:r>
      <w:r>
        <w:rPr>
          <w:rFonts w:hint="eastAsia" w:ascii="仿宋_GB2312" w:hAnsi="宋体" w:eastAsia="仿宋_GB2312" w:cs="宋体"/>
          <w:color w:val="auto"/>
          <w:kern w:val="0"/>
          <w:sz w:val="24"/>
          <w:highlight w:val="none"/>
          <w:lang w:eastAsia="zh-CN"/>
        </w:rPr>
        <w:t>陆</w:t>
      </w:r>
      <w:r>
        <w:rPr>
          <w:rFonts w:hint="eastAsia" w:ascii="仿宋_GB2312" w:hAnsi="宋体" w:eastAsia="仿宋_GB2312" w:cs="宋体"/>
          <w:color w:val="auto"/>
          <w:kern w:val="0"/>
          <w:sz w:val="24"/>
          <w:highlight w:val="none"/>
        </w:rPr>
        <w:t>份，甲乙双方各执</w:t>
      </w:r>
      <w:r>
        <w:rPr>
          <w:rFonts w:hint="eastAsia" w:ascii="仿宋_GB2312" w:hAnsi="宋体" w:eastAsia="仿宋_GB2312" w:cs="宋体"/>
          <w:color w:val="auto"/>
          <w:kern w:val="0"/>
          <w:sz w:val="24"/>
          <w:highlight w:val="none"/>
          <w:lang w:eastAsia="zh-CN"/>
        </w:rPr>
        <w:t>叄</w:t>
      </w:r>
      <w:r>
        <w:rPr>
          <w:rFonts w:hint="eastAsia" w:ascii="仿宋_GB2312" w:hAnsi="宋体" w:eastAsia="仿宋_GB2312" w:cs="宋体"/>
          <w:color w:val="auto"/>
          <w:kern w:val="0"/>
          <w:sz w:val="24"/>
          <w:highlight w:val="none"/>
        </w:rPr>
        <w:t>份，具有同等法律效力，从双方签字盖章之日起生效。</w:t>
      </w:r>
    </w:p>
    <w:p>
      <w:pPr>
        <w:widowControl/>
        <w:snapToGrid w:val="0"/>
        <w:spacing w:line="360" w:lineRule="auto"/>
        <w:ind w:firstLine="480" w:firstLineChars="200"/>
        <w:jc w:val="left"/>
        <w:rPr>
          <w:rFonts w:hint="eastAsia" w:ascii="仿宋_GB2312" w:hAnsi="宋体" w:eastAsia="仿宋_GB2312" w:cs="宋体"/>
          <w:bCs w:val="0"/>
          <w:color w:val="auto"/>
          <w:kern w:val="0"/>
          <w:sz w:val="24"/>
          <w:highlight w:val="none"/>
          <w:lang w:eastAsia="zh-CN"/>
        </w:rPr>
      </w:pPr>
      <w:r>
        <w:rPr>
          <w:rFonts w:hint="eastAsia" w:ascii="仿宋_GB2312" w:hAnsi="宋体" w:eastAsia="仿宋_GB2312" w:cs="宋体"/>
          <w:bCs w:val="0"/>
          <w:color w:val="auto"/>
          <w:kern w:val="0"/>
          <w:sz w:val="24"/>
          <w:highlight w:val="none"/>
        </w:rPr>
        <w:t>（六）附件：</w:t>
      </w:r>
      <w:r>
        <w:rPr>
          <w:rFonts w:ascii="仿宋_GB2312" w:hAnsi="宋体" w:eastAsia="仿宋_GB2312" w:cs="宋体"/>
          <w:bCs w:val="0"/>
          <w:color w:val="auto"/>
          <w:kern w:val="0"/>
          <w:sz w:val="24"/>
          <w:highlight w:val="none"/>
        </w:rPr>
        <w:t>1</w:t>
      </w:r>
      <w:r>
        <w:rPr>
          <w:rFonts w:hint="eastAsia" w:ascii="仿宋_GB2312" w:hAnsi="宋体" w:eastAsia="仿宋_GB2312" w:cs="宋体"/>
          <w:bCs w:val="0"/>
          <w:color w:val="auto"/>
          <w:kern w:val="0"/>
          <w:sz w:val="24"/>
          <w:highlight w:val="none"/>
          <w:lang w:val="en-US" w:eastAsia="zh-CN"/>
        </w:rPr>
        <w:t>.</w:t>
      </w:r>
      <w:r>
        <w:rPr>
          <w:rFonts w:ascii="仿宋_GB2312" w:hAnsi="宋体" w:eastAsia="仿宋_GB2312" w:cs="宋体"/>
          <w:bCs w:val="0"/>
          <w:color w:val="auto"/>
          <w:kern w:val="0"/>
          <w:sz w:val="24"/>
          <w:highlight w:val="none"/>
        </w:rPr>
        <w:t>廉洁责任书</w:t>
      </w:r>
      <w:r>
        <w:rPr>
          <w:rFonts w:hint="eastAsia" w:ascii="仿宋_GB2312" w:hAnsi="宋体" w:eastAsia="仿宋_GB2312" w:cs="宋体"/>
          <w:bCs w:val="0"/>
          <w:color w:val="auto"/>
          <w:kern w:val="0"/>
          <w:sz w:val="24"/>
          <w:highlight w:val="none"/>
          <w:lang w:eastAsia="zh-CN"/>
        </w:rPr>
        <w:t>；</w:t>
      </w:r>
    </w:p>
    <w:p>
      <w:pPr>
        <w:widowControl/>
        <w:snapToGrid w:val="0"/>
        <w:spacing w:line="360" w:lineRule="auto"/>
        <w:ind w:firstLine="1920" w:firstLineChars="800"/>
        <w:jc w:val="left"/>
        <w:rPr>
          <w:rFonts w:hint="eastAsia" w:ascii="仿宋_GB2312" w:hAnsi="宋体" w:eastAsia="仿宋_GB2312" w:cs="宋体"/>
          <w:bCs w:val="0"/>
          <w:color w:val="auto"/>
          <w:kern w:val="0"/>
          <w:sz w:val="24"/>
          <w:highlight w:val="none"/>
          <w:lang w:eastAsia="zh-CN"/>
        </w:rPr>
      </w:pPr>
      <w:r>
        <w:rPr>
          <w:rFonts w:hint="eastAsia" w:ascii="仿宋_GB2312" w:hAnsi="宋体" w:eastAsia="仿宋_GB2312" w:cs="宋体"/>
          <w:bCs w:val="0"/>
          <w:color w:val="auto"/>
          <w:kern w:val="0"/>
          <w:sz w:val="24"/>
          <w:highlight w:val="none"/>
          <w:lang w:val="en-US" w:eastAsia="zh-CN"/>
        </w:rPr>
        <w:t>2.</w:t>
      </w:r>
      <w:r>
        <w:rPr>
          <w:rFonts w:hint="eastAsia" w:ascii="仿宋_GB2312" w:hAnsi="宋体" w:eastAsia="仿宋_GB2312" w:cs="宋体"/>
          <w:bCs w:val="0"/>
          <w:color w:val="auto"/>
          <w:kern w:val="0"/>
          <w:sz w:val="24"/>
          <w:highlight w:val="none"/>
        </w:rPr>
        <w:t>业务保密协议</w:t>
      </w:r>
      <w:r>
        <w:rPr>
          <w:rFonts w:hint="eastAsia" w:ascii="仿宋_GB2312" w:hAnsi="宋体" w:eastAsia="仿宋_GB2312" w:cs="宋体"/>
          <w:bCs w:val="0"/>
          <w:color w:val="auto"/>
          <w:kern w:val="0"/>
          <w:sz w:val="24"/>
          <w:highlight w:val="none"/>
          <w:lang w:eastAsia="zh-CN"/>
        </w:rPr>
        <w:t>；</w:t>
      </w:r>
    </w:p>
    <w:p>
      <w:pPr>
        <w:widowControl/>
        <w:snapToGrid w:val="0"/>
        <w:spacing w:line="360" w:lineRule="auto"/>
        <w:ind w:firstLine="1920" w:firstLineChars="800"/>
        <w:jc w:val="left"/>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bCs w:val="0"/>
          <w:color w:val="auto"/>
          <w:kern w:val="0"/>
          <w:sz w:val="24"/>
          <w:highlight w:val="none"/>
          <w:lang w:val="en-US" w:eastAsia="zh-CN"/>
        </w:rPr>
        <w:t>3.</w:t>
      </w:r>
      <w:r>
        <w:rPr>
          <w:rFonts w:hint="eastAsia" w:ascii="仿宋_GB2312" w:hAnsi="宋体" w:eastAsia="仿宋_GB2312" w:cs="宋体"/>
          <w:bCs w:val="0"/>
          <w:color w:val="auto"/>
          <w:kern w:val="0"/>
          <w:sz w:val="24"/>
          <w:highlight w:val="none"/>
        </w:rPr>
        <w:t>发包通知书</w:t>
      </w:r>
      <w:r>
        <w:rPr>
          <w:rFonts w:hint="eastAsia" w:ascii="仿宋_GB2312" w:hAnsi="宋体" w:eastAsia="仿宋_GB2312" w:cs="宋体"/>
          <w:bCs w:val="0"/>
          <w:color w:val="auto"/>
          <w:kern w:val="0"/>
          <w:sz w:val="24"/>
          <w:highlight w:val="none"/>
          <w:lang w:eastAsia="zh-CN"/>
        </w:rPr>
        <w:t>。</w:t>
      </w:r>
    </w:p>
    <w:p>
      <w:pPr>
        <w:widowControl/>
        <w:snapToGrid w:val="0"/>
        <w:spacing w:line="360" w:lineRule="auto"/>
        <w:rPr>
          <w:rFonts w:hint="eastAsia" w:ascii="仿宋_GB2312" w:hAnsi="宋体" w:eastAsia="仿宋_GB2312" w:cs="宋体"/>
          <w:color w:val="auto"/>
          <w:kern w:val="0"/>
          <w:sz w:val="24"/>
          <w:highlight w:val="none"/>
        </w:rPr>
      </w:pP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甲方：</w:t>
      </w:r>
      <w:r>
        <w:rPr>
          <w:rFonts w:ascii="仿宋_GB2312" w:hAnsi="宋体" w:eastAsia="仿宋_GB2312" w:cs="宋体"/>
          <w:color w:val="auto"/>
          <w:kern w:val="0"/>
          <w:sz w:val="24"/>
          <w:highlight w:val="none"/>
        </w:rPr>
        <w:t xml:space="preserve"> </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法定代表人</w:t>
      </w:r>
      <w:r>
        <w:rPr>
          <w:rFonts w:ascii="仿宋_GB2312" w:hAnsi="宋体" w:eastAsia="仿宋_GB2312" w:cs="宋体"/>
          <w:color w:val="auto"/>
          <w:kern w:val="0"/>
          <w:sz w:val="24"/>
          <w:highlight w:val="none"/>
        </w:rPr>
        <w:t>/委托代理人：</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单位地址：</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联系方式：</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时间：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月</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日</w:t>
      </w:r>
    </w:p>
    <w:p>
      <w:pPr>
        <w:widowControl/>
        <w:snapToGrid w:val="0"/>
        <w:spacing w:line="360" w:lineRule="auto"/>
        <w:rPr>
          <w:rFonts w:ascii="仿宋_GB2312" w:hAnsi="宋体" w:eastAsia="仿宋_GB2312" w:cs="宋体"/>
          <w:color w:val="auto"/>
          <w:kern w:val="0"/>
          <w:sz w:val="24"/>
          <w:highlight w:val="none"/>
        </w:rPr>
      </w:pPr>
    </w:p>
    <w:p>
      <w:pPr>
        <w:widowControl/>
        <w:snapToGrid w:val="0"/>
        <w:spacing w:line="360" w:lineRule="auto"/>
        <w:rPr>
          <w:rFonts w:hint="eastAsia" w:ascii="仿宋_GB2312" w:hAnsi="宋体" w:eastAsia="仿宋_GB2312" w:cs="宋体"/>
          <w:color w:val="auto"/>
          <w:kern w:val="0"/>
          <w:sz w:val="24"/>
          <w:highlight w:val="none"/>
          <w:lang w:eastAsia="en-US"/>
        </w:rPr>
      </w:pPr>
      <w:r>
        <w:rPr>
          <w:rFonts w:hint="eastAsia" w:ascii="仿宋_GB2312" w:hAnsi="宋体" w:eastAsia="仿宋_GB2312" w:cs="宋体"/>
          <w:color w:val="auto"/>
          <w:kern w:val="0"/>
          <w:sz w:val="24"/>
          <w:highlight w:val="none"/>
          <w:lang w:eastAsia="en-US"/>
        </w:rPr>
        <w:t>乙方：</w:t>
      </w:r>
    </w:p>
    <w:p>
      <w:pPr>
        <w:widowControl/>
        <w:snapToGrid w:val="0"/>
        <w:spacing w:line="360" w:lineRule="auto"/>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eastAsia="en-US"/>
        </w:rPr>
        <w:t>法定代表人</w:t>
      </w:r>
      <w:r>
        <w:rPr>
          <w:rFonts w:ascii="仿宋_GB2312" w:hAnsi="宋体" w:eastAsia="仿宋_GB2312" w:cs="宋体"/>
          <w:color w:val="auto"/>
          <w:kern w:val="0"/>
          <w:sz w:val="24"/>
          <w:highlight w:val="none"/>
          <w:lang w:eastAsia="en-US"/>
        </w:rPr>
        <w:t>/委托代理人：</w:t>
      </w:r>
    </w:p>
    <w:p>
      <w:pPr>
        <w:widowControl/>
        <w:snapToGrid w:val="0"/>
        <w:spacing w:line="360" w:lineRule="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单位地址：</w:t>
      </w:r>
    </w:p>
    <w:p>
      <w:pPr>
        <w:widowControl/>
        <w:snapToGrid w:val="0"/>
        <w:spacing w:line="360" w:lineRule="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联系方式：</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时间：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月</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日</w:t>
      </w: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ind w:right="-80"/>
        <w:rPr>
          <w:rFonts w:hint="eastAsia" w:ascii="宋体" w:hAnsi="宋体" w:cs="宋体"/>
          <w:b/>
          <w:color w:val="auto"/>
          <w:szCs w:val="21"/>
          <w:highlight w:val="none"/>
        </w:rPr>
      </w:pPr>
    </w:p>
    <w:p>
      <w:pPr>
        <w:ind w:right="-80"/>
        <w:rPr>
          <w:rFonts w:hint="eastAsia" w:ascii="宋体" w:hAnsi="宋体" w:cs="宋体"/>
          <w:b/>
          <w:color w:val="auto"/>
          <w:szCs w:val="21"/>
          <w:highlight w:val="none"/>
        </w:rPr>
      </w:pPr>
    </w:p>
    <w:p>
      <w:pPr>
        <w:ind w:right="-80"/>
        <w:rPr>
          <w:rFonts w:hint="eastAsia" w:ascii="宋体" w:hAnsi="宋体" w:cs="宋体"/>
          <w:b/>
          <w:color w:val="auto"/>
          <w:szCs w:val="21"/>
          <w:highlight w:val="none"/>
        </w:rPr>
      </w:pPr>
    </w:p>
    <w:p>
      <w:pPr>
        <w:ind w:right="-80"/>
        <w:rPr>
          <w:rFonts w:hint="eastAsia" w:ascii="宋体" w:hAnsi="宋体" w:cs="宋体"/>
          <w:b/>
          <w:color w:val="auto"/>
          <w:szCs w:val="21"/>
          <w:highlight w:val="none"/>
        </w:rPr>
      </w:pPr>
    </w:p>
    <w:p>
      <w:pPr>
        <w:ind w:right="-80"/>
        <w:rPr>
          <w:rFonts w:hint="eastAsia" w:ascii="宋体" w:hAnsi="宋体" w:cs="宋体"/>
          <w:b/>
          <w:color w:val="auto"/>
          <w:szCs w:val="21"/>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pStyle w:val="2"/>
        <w:rPr>
          <w:rFonts w:hint="eastAsia"/>
          <w:color w:val="auto"/>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宋体" w:hAnsi="宋体"/>
          <w:b/>
          <w:color w:val="auto"/>
          <w:sz w:val="32"/>
          <w:szCs w:val="32"/>
          <w:highlight w:val="none"/>
        </w:rPr>
      </w:pPr>
      <w:r>
        <w:rPr>
          <w:rFonts w:hint="eastAsia" w:ascii="仿宋_GB2312" w:hAnsi="Calibri" w:eastAsia="仿宋_GB2312"/>
          <w:b/>
          <w:color w:val="auto"/>
          <w:kern w:val="0"/>
          <w:sz w:val="24"/>
          <w:highlight w:val="none"/>
        </w:rPr>
        <w:t>附件</w:t>
      </w:r>
      <w:r>
        <w:rPr>
          <w:rFonts w:hint="eastAsia" w:ascii="仿宋_GB2312" w:hAnsi="Calibri" w:eastAsia="仿宋_GB2312"/>
          <w:b/>
          <w:color w:val="auto"/>
          <w:kern w:val="0"/>
          <w:sz w:val="24"/>
          <w:highlight w:val="none"/>
          <w:lang w:val="en-US" w:eastAsia="zh-CN"/>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业务保密协议</w:t>
      </w:r>
    </w:p>
    <w:p>
      <w:pPr>
        <w:spacing w:line="360" w:lineRule="auto"/>
        <w:rPr>
          <w:rFonts w:ascii="宋体" w:hAnsi="宋体"/>
          <w:color w:val="auto"/>
          <w:sz w:val="24"/>
          <w:highlight w:val="none"/>
        </w:rPr>
      </w:pPr>
    </w:p>
    <w:p>
      <w:pPr>
        <w:spacing w:line="360" w:lineRule="auto"/>
        <w:rPr>
          <w:rFonts w:hint="eastAsia" w:ascii="宋体" w:hAnsi="宋体" w:eastAsiaTheme="minorEastAsia"/>
          <w:color w:val="auto"/>
          <w:sz w:val="24"/>
          <w:highlight w:val="none"/>
          <w:lang w:eastAsia="zh-CN"/>
        </w:rPr>
      </w:pPr>
      <w:r>
        <w:rPr>
          <w:rFonts w:hint="eastAsia" w:ascii="宋体" w:hAnsi="宋体"/>
          <w:color w:val="auto"/>
          <w:sz w:val="24"/>
          <w:highlight w:val="none"/>
        </w:rPr>
        <w:t>甲方：</w:t>
      </w:r>
      <w:r>
        <w:rPr>
          <w:rFonts w:hint="eastAsia" w:ascii="仿宋_GB2312" w:hAnsi="宋体" w:eastAsia="仿宋_GB2312" w:cs="宋体"/>
          <w:color w:val="auto"/>
          <w:kern w:val="0"/>
          <w:sz w:val="24"/>
          <w:highlight w:val="none"/>
          <w:lang w:eastAsia="zh-CN"/>
        </w:rPr>
        <w:t>广州市净水有限公司</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乙方：</w:t>
      </w:r>
    </w:p>
    <w:p>
      <w:pPr>
        <w:spacing w:line="360" w:lineRule="auto"/>
        <w:rPr>
          <w:rFonts w:ascii="宋体" w:hAnsi="宋体"/>
          <w:color w:val="auto"/>
          <w:sz w:val="24"/>
          <w:highlight w:val="none"/>
        </w:rPr>
      </w:pPr>
    </w:p>
    <w:p>
      <w:pPr>
        <w:spacing w:line="360" w:lineRule="auto"/>
        <w:ind w:firstLine="560"/>
        <w:rPr>
          <w:rFonts w:ascii="宋体" w:hAnsi="宋体"/>
          <w:color w:val="auto"/>
          <w:sz w:val="24"/>
          <w:highlight w:val="none"/>
        </w:rPr>
      </w:pPr>
      <w:r>
        <w:rPr>
          <w:rFonts w:hint="eastAsia" w:ascii="宋体" w:hAnsi="宋体"/>
          <w:color w:val="auto"/>
          <w:sz w:val="24"/>
          <w:highlight w:val="none"/>
        </w:rPr>
        <w:t>甲方委托乙方编制《</w:t>
      </w:r>
      <w:r>
        <w:rPr>
          <w:rFonts w:hint="eastAsia" w:ascii="宋体" w:hAnsi="宋体"/>
          <w:color w:val="auto"/>
          <w:sz w:val="24"/>
          <w:highlight w:val="none"/>
          <w:lang w:eastAsia="zh-CN"/>
        </w:rPr>
        <w:t>广州市净水有限公司</w:t>
      </w:r>
      <w:r>
        <w:rPr>
          <w:rFonts w:hint="eastAsia" w:ascii="宋体" w:hAnsi="宋体"/>
          <w:color w:val="auto"/>
          <w:sz w:val="24"/>
          <w:highlight w:val="none"/>
        </w:rPr>
        <w:t>编制2022年企业社会价值报告服务项目》的过程中，因工作需要，一方将向另一方披露或一方将从另一方处知悉保密信息。为维护双方权益，现就业务保密事宜签订本协议，双方共同遵守。</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第一条  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（一）甲方的保密信息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1.甲方提供给乙方用于调研的所有书面材料及调研访谈中获得的相关信息。包括但不限于：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（1）技术信息：甲方拥有或获得的合作方有关生产、销售的技术方案、制造方法、工艺流程、实验结果、技术数据、图纸、样品、操作手册、技术文档、涉及商业秘密的业务函电等；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（2）经营信息：包括经营方针、投资决策意向、定价政策、市场分析、合同、交易相对人资料、客户名单等；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（3）财务信息：包括营业收入、利润、净资产等数据；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.甲方与乙方所洽谈、协商或合作事宜本身及相关内容；</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.甲方依照法律规定或有关协议约定对外承担保密义务的事项；</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.甲方尚未对外公开披露的信息。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（二）乙方的保密信息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1.乙方根据工作需要向甲方提供的各项工作方案、代理方案、报价方案乙方明确表示未经同意不得对外披露的材料与信息等；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2.乙方与甲方所洽谈、协商或合作事宜本身及相关内容；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3.乙方依照法律规定或有关协议约定对外承担保密义务的事项；</w:t>
      </w:r>
    </w:p>
    <w:p>
      <w:pPr>
        <w:spacing w:line="360" w:lineRule="auto"/>
        <w:rPr>
          <w:rFonts w:ascii="宋体" w:hAnsi="宋体"/>
          <w:color w:val="auto"/>
          <w:sz w:val="24"/>
          <w:highlight w:val="none"/>
        </w:rPr>
      </w:pPr>
      <w:r>
        <w:rPr>
          <w:rFonts w:hint="eastAsia" w:ascii="宋体" w:hAnsi="宋体"/>
          <w:color w:val="auto"/>
          <w:sz w:val="24"/>
          <w:highlight w:val="none"/>
        </w:rPr>
        <w:t xml:space="preserve">    4.乙方尚未对外公开披露的信息。</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第二条  保密义务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1.未经一方授权，另一方不得以任何方式向任何第三人披露、公布或泄露对方的保密信息，不得为自己或第三人的利益将保密信息作其他目的或用途使用，不得允许或协助任何第三人使用对方的保密信息。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2.双方保证其在合作中有必要保密信息的人员及关联方，受到与本协议同等严格保密义务的约束。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3.双方对下列信息可免于承担保密义务：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（1）在对方披露时，该保密信息已经合法公开；</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（2）非因违反本协议约定的行为，保密信息已经被公开；</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（3）因法律法规、金融、证券等监管部门要求提供或者司法机关依职权要求提供的相关信息。</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第三条  保密期限</w:t>
      </w:r>
    </w:p>
    <w:p>
      <w:pPr>
        <w:spacing w:line="360" w:lineRule="auto"/>
        <w:rPr>
          <w:rFonts w:ascii="宋体" w:hAnsi="宋体"/>
          <w:color w:val="auto"/>
          <w:sz w:val="24"/>
          <w:highlight w:val="none"/>
        </w:rPr>
      </w:pPr>
      <w:r>
        <w:rPr>
          <w:rFonts w:hint="eastAsia" w:ascii="宋体" w:hAnsi="宋体"/>
          <w:color w:val="auto"/>
          <w:sz w:val="24"/>
          <w:highlight w:val="none"/>
        </w:rPr>
        <w:t xml:space="preserve">    自本协议签订之日起至保密信息被对方公开披露或称为公开信息之日止。</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第四条  违约责任</w:t>
      </w:r>
    </w:p>
    <w:p>
      <w:pPr>
        <w:spacing w:line="360" w:lineRule="auto"/>
        <w:rPr>
          <w:rFonts w:ascii="宋体" w:hAnsi="宋体"/>
          <w:color w:val="auto"/>
          <w:sz w:val="24"/>
          <w:highlight w:val="none"/>
        </w:rPr>
      </w:pPr>
      <w:r>
        <w:rPr>
          <w:rFonts w:hint="eastAsia" w:ascii="宋体" w:hAnsi="宋体"/>
          <w:color w:val="auto"/>
          <w:sz w:val="24"/>
          <w:highlight w:val="none"/>
        </w:rPr>
        <w:t xml:space="preserve">    一方未遵守本协议约定的保密义务而致使另一方遭受损失的，应向另一方承担违约赔偿责任。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第五条  其他</w:t>
      </w:r>
    </w:p>
    <w:p>
      <w:pPr>
        <w:spacing w:line="360" w:lineRule="auto"/>
        <w:rPr>
          <w:rFonts w:ascii="宋体" w:hAnsi="宋体"/>
          <w:color w:val="auto"/>
          <w:sz w:val="24"/>
          <w:highlight w:val="none"/>
        </w:rPr>
      </w:pPr>
      <w:r>
        <w:rPr>
          <w:rFonts w:hint="eastAsia" w:ascii="宋体" w:hAnsi="宋体"/>
          <w:color w:val="auto"/>
          <w:sz w:val="24"/>
          <w:highlight w:val="none"/>
        </w:rPr>
        <w:t xml:space="preserve">    1.本协议为《</w:t>
      </w:r>
      <w:r>
        <w:rPr>
          <w:rFonts w:hint="eastAsia" w:ascii="宋体" w:hAnsi="宋体"/>
          <w:color w:val="auto"/>
          <w:sz w:val="24"/>
          <w:highlight w:val="none"/>
          <w:lang w:val="en-US" w:eastAsia="zh-CN"/>
        </w:rPr>
        <w:t>广州市净水有限公司编制2022年企业社会价值报告服务</w:t>
      </w:r>
      <w:r>
        <w:rPr>
          <w:rFonts w:hint="eastAsia" w:ascii="宋体" w:hAnsi="宋体"/>
          <w:color w:val="auto"/>
          <w:sz w:val="24"/>
          <w:highlight w:val="none"/>
        </w:rPr>
        <w:t>合同》的有效组成部分。</w:t>
      </w:r>
    </w:p>
    <w:p>
      <w:pPr>
        <w:spacing w:line="360" w:lineRule="auto"/>
        <w:rPr>
          <w:rFonts w:ascii="宋体" w:hAnsi="宋体"/>
          <w:color w:val="auto"/>
          <w:sz w:val="24"/>
          <w:highlight w:val="none"/>
        </w:rPr>
      </w:pPr>
      <w:r>
        <w:rPr>
          <w:rFonts w:hint="eastAsia" w:ascii="宋体" w:hAnsi="宋体"/>
          <w:color w:val="auto"/>
          <w:sz w:val="24"/>
          <w:highlight w:val="none"/>
        </w:rPr>
        <w:t xml:space="preserve">    2.本协议一式</w:t>
      </w:r>
      <w:r>
        <w:rPr>
          <w:rFonts w:hint="eastAsia" w:ascii="宋体" w:hAnsi="宋体"/>
          <w:color w:val="auto"/>
          <w:sz w:val="24"/>
          <w:highlight w:val="none"/>
          <w:lang w:val="en-US" w:eastAsia="zh-CN"/>
        </w:rPr>
        <w:t>陆</w:t>
      </w:r>
      <w:r>
        <w:rPr>
          <w:rFonts w:hint="eastAsia" w:ascii="宋体" w:hAnsi="宋体"/>
          <w:color w:val="auto"/>
          <w:sz w:val="24"/>
          <w:highlight w:val="none"/>
        </w:rPr>
        <w:t>份，甲方执</w:t>
      </w:r>
      <w:r>
        <w:rPr>
          <w:rFonts w:hint="eastAsia" w:ascii="宋体" w:hAnsi="宋体"/>
          <w:color w:val="auto"/>
          <w:sz w:val="24"/>
          <w:highlight w:val="none"/>
          <w:lang w:val="en-US" w:eastAsia="zh-CN"/>
        </w:rPr>
        <w:t>叁</w:t>
      </w:r>
      <w:r>
        <w:rPr>
          <w:rFonts w:hint="eastAsia" w:ascii="宋体" w:hAnsi="宋体"/>
          <w:color w:val="auto"/>
          <w:sz w:val="24"/>
          <w:highlight w:val="none"/>
        </w:rPr>
        <w:t>份，乙方执</w:t>
      </w:r>
      <w:r>
        <w:rPr>
          <w:rFonts w:hint="eastAsia" w:ascii="宋体" w:hAnsi="宋体"/>
          <w:color w:val="auto"/>
          <w:sz w:val="24"/>
          <w:highlight w:val="none"/>
          <w:lang w:val="en-US" w:eastAsia="zh-CN"/>
        </w:rPr>
        <w:t>叁</w:t>
      </w:r>
      <w:r>
        <w:rPr>
          <w:rFonts w:hint="eastAsia" w:ascii="宋体" w:hAnsi="宋体"/>
          <w:color w:val="auto"/>
          <w:sz w:val="24"/>
          <w:highlight w:val="none"/>
        </w:rPr>
        <w:t>份，具同等法律效力。</w:t>
      </w:r>
    </w:p>
    <w:p>
      <w:pPr>
        <w:spacing w:line="360" w:lineRule="auto"/>
        <w:rPr>
          <w:rFonts w:ascii="宋体" w:hAnsi="宋体"/>
          <w:color w:val="auto"/>
          <w:sz w:val="24"/>
          <w:highlight w:val="none"/>
        </w:rPr>
      </w:pPr>
      <w:r>
        <w:rPr>
          <w:rFonts w:hint="eastAsia" w:ascii="宋体" w:hAnsi="宋体"/>
          <w:color w:val="auto"/>
          <w:sz w:val="24"/>
          <w:highlight w:val="none"/>
        </w:rPr>
        <w:t xml:space="preserve">    3.本协议自双方签字盖章后生效。</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甲方：</w:t>
      </w:r>
      <w:r>
        <w:rPr>
          <w:rFonts w:hint="eastAsia" w:ascii="仿宋_GB2312" w:hAnsi="宋体" w:eastAsia="仿宋_GB2312" w:cs="宋体"/>
          <w:color w:val="auto"/>
          <w:kern w:val="0"/>
          <w:sz w:val="24"/>
          <w:highlight w:val="none"/>
          <w:lang w:eastAsia="zh-CN"/>
        </w:rPr>
        <w:t>广州市净水有限公司</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w:t>
      </w:r>
    </w:p>
    <w:p>
      <w:pPr>
        <w:spacing w:line="360" w:lineRule="auto"/>
        <w:rPr>
          <w:rFonts w:ascii="宋体" w:hAnsi="宋体"/>
          <w:color w:val="auto"/>
          <w:sz w:val="24"/>
          <w:highlight w:val="none"/>
        </w:rPr>
      </w:pPr>
      <w:r>
        <w:rPr>
          <w:rFonts w:hint="eastAsia" w:ascii="宋体" w:hAnsi="宋体"/>
          <w:color w:val="auto"/>
          <w:sz w:val="24"/>
          <w:highlight w:val="none"/>
        </w:rPr>
        <w:t>（盖章）                                 （盖章）</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签约代表：                              </w:t>
      </w:r>
      <w:r>
        <w:rPr>
          <w:rFonts w:ascii="宋体" w:hAnsi="宋体"/>
          <w:color w:val="auto"/>
          <w:sz w:val="24"/>
          <w:highlight w:val="none"/>
        </w:rPr>
        <w:t xml:space="preserve"> </w:t>
      </w:r>
      <w:r>
        <w:rPr>
          <w:rFonts w:hint="eastAsia" w:ascii="宋体" w:hAnsi="宋体"/>
          <w:color w:val="auto"/>
          <w:sz w:val="24"/>
          <w:highlight w:val="none"/>
        </w:rPr>
        <w:t>签约代表：</w:t>
      </w:r>
    </w:p>
    <w:p>
      <w:pPr>
        <w:spacing w:line="360" w:lineRule="auto"/>
        <w:rPr>
          <w:rFonts w:ascii="宋体" w:hAnsi="宋体"/>
          <w:color w:val="auto"/>
          <w:sz w:val="24"/>
          <w:highlight w:val="none"/>
        </w:rPr>
      </w:pPr>
    </w:p>
    <w:p>
      <w:pPr>
        <w:pStyle w:val="2"/>
        <w:ind w:left="0" w:leftChars="0" w:firstLine="0" w:firstLineChars="0"/>
        <w:rPr>
          <w:rFonts w:ascii="方正小标宋简体" w:eastAsia="方正小标宋简体"/>
          <w:color w:val="auto"/>
          <w:sz w:val="44"/>
          <w:szCs w:val="44"/>
          <w:highlight w:val="none"/>
        </w:rPr>
      </w:pPr>
      <w:r>
        <w:rPr>
          <w:rFonts w:hint="eastAsia" w:ascii="宋体" w:hAnsi="宋体"/>
          <w:color w:val="auto"/>
          <w:sz w:val="24"/>
          <w:highlight w:val="none"/>
        </w:rPr>
        <w:t>签订日期：    年   月    日              签订日期：    年   月    日</w:t>
      </w:r>
    </w:p>
    <w:p>
      <w:pPr>
        <w:rPr>
          <w:color w:val="auto"/>
          <w:highlight w:val="none"/>
        </w:rPr>
      </w:pPr>
    </w:p>
    <w:p>
      <w:pPr>
        <w:pStyle w:val="2"/>
        <w:rPr>
          <w:rFonts w:hint="eastAsia"/>
          <w:color w:val="auto"/>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宋体" w:hAnsi="宋体" w:cs="宋体" w:eastAsiaTheme="minorEastAsia"/>
          <w:b/>
          <w:bCs w:val="0"/>
          <w:color w:val="auto"/>
          <w:sz w:val="21"/>
          <w:szCs w:val="21"/>
          <w:highlight w:val="none"/>
          <w:lang w:val="en-US" w:eastAsia="zh-CN"/>
        </w:rPr>
        <w:t>附件6：报价清单（详见响应文件报价清单）</w:t>
      </w:r>
      <w:r>
        <w:rPr>
          <w:rFonts w:hint="eastAsia" w:ascii="仿宋_GB2312" w:hAnsi="仿宋_GB2312" w:eastAsia="仿宋_GB2312" w:cs="仿宋_GB2312"/>
          <w:b w:val="0"/>
          <w:bCs/>
          <w:color w:val="auto"/>
          <w:sz w:val="28"/>
          <w:szCs w:val="28"/>
          <w:highlight w:val="none"/>
        </w:rPr>
        <w:tab/>
      </w:r>
    </w:p>
    <w:p>
      <w:pPr>
        <w:pStyle w:val="24"/>
        <w:rPr>
          <w:color w:val="auto"/>
          <w:highlight w:val="none"/>
        </w:rPr>
      </w:pPr>
    </w:p>
    <w:p>
      <w:pPr>
        <w:jc w:val="center"/>
        <w:rPr>
          <w:rFonts w:asciiTheme="minorEastAsia" w:hAnsiTheme="minorEastAsia" w:eastAsiaTheme="minorEastAsia"/>
          <w:color w:val="auto"/>
          <w:sz w:val="2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color w:val="auto"/>
          <w:highlight w:val="none"/>
        </w:rPr>
        <w:br w:type="page"/>
      </w:r>
    </w:p>
    <w:p>
      <w:pPr>
        <w:pStyle w:val="2"/>
        <w:ind w:firstLine="0"/>
        <w:rPr>
          <w:rFonts w:ascii="仿宋_GB2312" w:eastAsia="仿宋_GB2312"/>
          <w:color w:val="auto"/>
          <w:sz w:val="28"/>
          <w:szCs w:val="28"/>
          <w:highlight w:val="none"/>
        </w:rPr>
      </w:pPr>
    </w:p>
    <w:p>
      <w:pPr>
        <w:pStyle w:val="4"/>
        <w:rPr>
          <w:color w:val="auto"/>
          <w:highlight w:val="none"/>
        </w:rPr>
      </w:pPr>
      <w:bookmarkStart w:id="95" w:name="_Toc16552"/>
      <w:bookmarkStart w:id="96" w:name="_Toc12169"/>
      <w:bookmarkStart w:id="97" w:name="_Toc3723"/>
      <w:bookmarkStart w:id="98" w:name="_Toc6230"/>
      <w:bookmarkStart w:id="99" w:name="_Toc30824"/>
      <w:bookmarkStart w:id="100" w:name="_Toc23515"/>
      <w:bookmarkStart w:id="101" w:name="_Toc28358"/>
      <w:bookmarkStart w:id="102" w:name="_Toc5129"/>
      <w:bookmarkStart w:id="103" w:name="_Toc21847"/>
      <w:bookmarkStart w:id="104" w:name="_Toc8147"/>
      <w:bookmarkStart w:id="105" w:name="_Toc156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95"/>
      <w:bookmarkEnd w:id="96"/>
      <w:bookmarkEnd w:id="97"/>
      <w:bookmarkEnd w:id="98"/>
      <w:bookmarkEnd w:id="99"/>
      <w:bookmarkEnd w:id="100"/>
      <w:bookmarkEnd w:id="101"/>
      <w:bookmarkEnd w:id="102"/>
      <w:bookmarkEnd w:id="103"/>
      <w:bookmarkEnd w:id="104"/>
      <w:bookmarkEnd w:id="105"/>
    </w:p>
    <w:p>
      <w:pPr>
        <w:pStyle w:val="26"/>
        <w:rPr>
          <w:color w:val="auto"/>
          <w:highlight w:val="none"/>
        </w:rPr>
      </w:pPr>
    </w:p>
    <w:p>
      <w:pPr>
        <w:pStyle w:val="4"/>
        <w:rPr>
          <w:color w:val="auto"/>
          <w:highlight w:val="none"/>
        </w:rPr>
      </w:pPr>
      <w:bookmarkStart w:id="106" w:name="_Toc12769"/>
      <w:bookmarkStart w:id="107" w:name="_Toc10840"/>
      <w:bookmarkStart w:id="108" w:name="_Toc24490"/>
      <w:bookmarkStart w:id="109" w:name="_Toc22764"/>
      <w:bookmarkStart w:id="110" w:name="_Toc30157"/>
      <w:bookmarkStart w:id="111" w:name="_Toc88209951"/>
      <w:bookmarkStart w:id="112" w:name="_Toc21675"/>
      <w:bookmarkStart w:id="113" w:name="_Toc31564"/>
      <w:bookmarkStart w:id="114" w:name="_Toc5342"/>
      <w:bookmarkStart w:id="115" w:name="_Toc12610"/>
      <w:bookmarkStart w:id="116" w:name="_Toc17119"/>
      <w:bookmarkStart w:id="117" w:name="_Toc87616388"/>
      <w:bookmarkStart w:id="118" w:name="_Toc24815"/>
      <w:r>
        <w:rPr>
          <w:rFonts w:hint="eastAsia"/>
          <w:color w:val="auto"/>
          <w:highlight w:val="none"/>
        </w:rPr>
        <w:t>响应文件</w:t>
      </w:r>
      <w:r>
        <w:rPr>
          <w:rFonts w:hint="eastAsia"/>
          <w:color w:val="auto"/>
          <w:highlight w:val="none"/>
          <w:lang w:val="en-US" w:eastAsia="zh-CN"/>
        </w:rPr>
        <w:t>格式要求</w:t>
      </w:r>
      <w:bookmarkEnd w:id="106"/>
      <w:bookmarkEnd w:id="107"/>
      <w:bookmarkEnd w:id="108"/>
      <w:bookmarkEnd w:id="109"/>
      <w:bookmarkEnd w:id="110"/>
      <w:bookmarkEnd w:id="111"/>
      <w:bookmarkEnd w:id="112"/>
      <w:bookmarkEnd w:id="113"/>
      <w:bookmarkEnd w:id="114"/>
      <w:bookmarkEnd w:id="115"/>
      <w:bookmarkEnd w:id="116"/>
      <w:bookmarkEnd w:id="117"/>
      <w:bookmarkEnd w:id="118"/>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spacing w:beforeLines="50" w:afterLines="50" w:line="600" w:lineRule="exact"/>
        <w:jc w:val="center"/>
        <w:rPr>
          <w:rFonts w:hint="eastAsia" w:ascii="方正小标宋简体" w:eastAsia="方正小标宋简体"/>
          <w:color w:val="auto"/>
          <w:sz w:val="48"/>
          <w:szCs w:val="48"/>
          <w:highlight w:val="none"/>
        </w:rPr>
      </w:pPr>
      <w:r>
        <w:rPr>
          <w:rFonts w:hint="eastAsia" w:ascii="仿宋_GB2312" w:eastAsia="仿宋_GB2312"/>
          <w:color w:val="auto"/>
          <w:sz w:val="30"/>
          <w:szCs w:val="30"/>
          <w:highlight w:val="none"/>
        </w:rPr>
        <w:t>（项目编号：   ）</w:t>
      </w: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9" w:name="_Toc87616389"/>
      <w:bookmarkStart w:id="120" w:name="_Toc88209952"/>
      <w:r>
        <w:rPr>
          <w:rFonts w:hint="eastAsia" w:ascii="仿宋_GB2312" w:eastAsia="仿宋_GB2312"/>
          <w:color w:val="auto"/>
          <w:sz w:val="28"/>
          <w:szCs w:val="28"/>
          <w:highlight w:val="none"/>
        </w:rPr>
        <w:t>1.响应函</w:t>
      </w:r>
      <w:bookmarkEnd w:id="119"/>
      <w:bookmarkEnd w:id="120"/>
    </w:p>
    <w:p>
      <w:pPr>
        <w:spacing w:line="600" w:lineRule="exact"/>
        <w:rPr>
          <w:rFonts w:hint="eastAsia" w:ascii="仿宋_GB2312" w:eastAsia="仿宋_GB2312"/>
          <w:color w:val="auto"/>
          <w:sz w:val="28"/>
          <w:szCs w:val="28"/>
          <w:highlight w:val="none"/>
        </w:rPr>
      </w:pPr>
      <w:bookmarkStart w:id="121" w:name="_Toc88209953"/>
      <w:bookmarkStart w:id="122" w:name="_Toc87616390"/>
      <w:r>
        <w:rPr>
          <w:rFonts w:hint="eastAsia" w:ascii="仿宋_GB2312" w:eastAsia="仿宋_GB2312"/>
          <w:color w:val="auto"/>
          <w:sz w:val="28"/>
          <w:szCs w:val="28"/>
          <w:highlight w:val="none"/>
        </w:rPr>
        <w:t>2.法定代表人证明或授权委托书</w:t>
      </w:r>
      <w:bookmarkEnd w:id="121"/>
      <w:bookmarkEnd w:id="122"/>
      <w:bookmarkStart w:id="123" w:name="_Toc87616393"/>
      <w:bookmarkStart w:id="12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3"/>
      <w:bookmarkEnd w:id="12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25" w:name="_Toc28619645"/>
      <w:bookmarkStart w:id="126" w:name="_Toc88209957"/>
      <w:bookmarkStart w:id="127" w:name="_Toc6313"/>
      <w:bookmarkStart w:id="128" w:name="_Toc12665"/>
      <w:bookmarkStart w:id="129" w:name="_Toc87616394"/>
      <w:r>
        <w:rPr>
          <w:rFonts w:hint="eastAsia" w:asciiTheme="minorEastAsia" w:hAnsiTheme="minorEastAsia" w:eastAsiaTheme="minorEastAsia"/>
          <w:color w:val="auto"/>
          <w:sz w:val="28"/>
          <w:szCs w:val="28"/>
          <w:highlight w:val="none"/>
        </w:rPr>
        <w:t>1.响应函</w:t>
      </w:r>
      <w:bookmarkEnd w:id="125"/>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0" w:name="_Toc87616395"/>
      <w:bookmarkStart w:id="131" w:name="_Toc29833"/>
      <w:bookmarkStart w:id="132" w:name="_Toc22527"/>
      <w:bookmarkStart w:id="133"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0"/>
      <w:bookmarkEnd w:id="131"/>
      <w:bookmarkEnd w:id="132"/>
      <w:bookmarkEnd w:id="13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1"/>
        <w:snapToGrid w:val="0"/>
        <w:spacing w:line="600" w:lineRule="exact"/>
        <w:ind w:firstLine="3907" w:firstLineChars="1221"/>
        <w:rPr>
          <w:rFonts w:ascii="仿宋_GB2312" w:hAnsi="宋体" w:eastAsia="仿宋_GB2312" w:cs="Times New Roman"/>
          <w:color w:val="auto"/>
          <w:sz w:val="32"/>
          <w:szCs w:val="32"/>
          <w:highlight w:val="none"/>
        </w:rPr>
      </w:pPr>
    </w:p>
    <w:p>
      <w:pPr>
        <w:pStyle w:val="1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4" w:name="_Toc19830"/>
      <w:bookmarkStart w:id="135" w:name="_Toc87616400"/>
      <w:bookmarkStart w:id="136" w:name="_Toc88209963"/>
      <w:bookmarkStart w:id="13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广州市净水有限公司编制2022年企业社会价值报告服务项目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9" w:name="_Toc32430"/>
      <w:bookmarkStart w:id="140"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9"/>
      <w:bookmarkEnd w:id="140"/>
    </w:p>
    <w:tbl>
      <w:tblPr>
        <w:tblStyle w:val="20"/>
        <w:tblpPr w:leftFromText="180" w:rightFromText="180" w:vertAnchor="text" w:horzAnchor="page" w:tblpX="1583" w:tblpY="116"/>
        <w:tblOverlap w:val="never"/>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20"/>
        <w:gridCol w:w="4248"/>
        <w:gridCol w:w="690"/>
        <w:gridCol w:w="73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60" w:type="dxa"/>
            <w:vMerge w:val="restart"/>
            <w:shd w:val="clear" w:color="000000" w:fill="FFFFFF"/>
            <w:noWrap w:val="0"/>
            <w:vAlign w:val="center"/>
          </w:tcPr>
          <w:p>
            <w:pPr>
              <w:autoSpaceDE w:val="0"/>
              <w:autoSpaceDN w:val="0"/>
              <w:adjustRightInd w:val="0"/>
              <w:spacing w:line="360" w:lineRule="auto"/>
              <w:jc w:val="center"/>
              <w:rPr>
                <w:rFonts w:hint="eastAsia" w:ascii="楷体" w:hAnsi="楷体" w:eastAsia="楷体" w:cs="楷体"/>
                <w:b/>
                <w:bCs/>
                <w:color w:val="auto"/>
                <w:kern w:val="0"/>
                <w:sz w:val="24"/>
                <w:highlight w:val="none"/>
                <w:lang w:val="zh-CN"/>
              </w:rPr>
            </w:pPr>
            <w:bookmarkStart w:id="141" w:name="_Toc88209965"/>
            <w:bookmarkStart w:id="142" w:name="_Toc16386"/>
            <w:bookmarkStart w:id="143" w:name="_Toc87616402"/>
            <w:bookmarkStart w:id="144" w:name="_Toc6058"/>
            <w:r>
              <w:rPr>
                <w:rFonts w:hint="eastAsia" w:ascii="楷体" w:hAnsi="楷体" w:eastAsia="楷体" w:cs="楷体"/>
                <w:b/>
                <w:bCs/>
                <w:color w:val="auto"/>
                <w:kern w:val="0"/>
                <w:sz w:val="24"/>
                <w:highlight w:val="none"/>
                <w:lang w:val="zh-CN"/>
              </w:rPr>
              <w:t>序号</w:t>
            </w:r>
          </w:p>
        </w:tc>
        <w:tc>
          <w:tcPr>
            <w:tcW w:w="1320" w:type="dxa"/>
            <w:vMerge w:val="restart"/>
            <w:shd w:val="clear" w:color="000000" w:fill="FFFFFF"/>
            <w:noWrap w:val="0"/>
            <w:vAlign w:val="center"/>
          </w:tcPr>
          <w:p>
            <w:pPr>
              <w:autoSpaceDE w:val="0"/>
              <w:autoSpaceDN w:val="0"/>
              <w:adjustRightInd w:val="0"/>
              <w:spacing w:line="360" w:lineRule="auto"/>
              <w:jc w:val="center"/>
              <w:rPr>
                <w:rFonts w:hint="eastAsia" w:ascii="楷体" w:hAnsi="楷体" w:eastAsia="楷体" w:cs="楷体"/>
                <w:b/>
                <w:bCs/>
                <w:color w:val="auto"/>
                <w:kern w:val="0"/>
                <w:sz w:val="24"/>
                <w:highlight w:val="none"/>
                <w:lang w:val="zh-CN"/>
              </w:rPr>
            </w:pPr>
            <w:r>
              <w:rPr>
                <w:rFonts w:hint="eastAsia" w:ascii="楷体" w:hAnsi="楷体" w:eastAsia="楷体" w:cs="楷体"/>
                <w:b/>
                <w:bCs/>
                <w:color w:val="auto"/>
                <w:kern w:val="0"/>
                <w:sz w:val="24"/>
                <w:highlight w:val="none"/>
                <w:lang w:val="en-US" w:eastAsia="zh-CN"/>
              </w:rPr>
              <w:t>服务项目</w:t>
            </w:r>
          </w:p>
        </w:tc>
        <w:tc>
          <w:tcPr>
            <w:tcW w:w="4248" w:type="dxa"/>
            <w:vMerge w:val="restart"/>
            <w:shd w:val="clear" w:color="000000" w:fill="FFFFFF"/>
            <w:noWrap w:val="0"/>
            <w:vAlign w:val="center"/>
          </w:tcPr>
          <w:p>
            <w:pPr>
              <w:autoSpaceDE/>
              <w:autoSpaceDN/>
              <w:adjustRightInd/>
              <w:spacing w:line="240" w:lineRule="auto"/>
              <w:jc w:val="center"/>
              <w:rPr>
                <w:rFonts w:hint="eastAsia" w:ascii="楷体" w:hAnsi="楷体" w:eastAsia="楷体" w:cs="楷体"/>
                <w:b/>
                <w:bCs/>
                <w:color w:val="auto"/>
                <w:kern w:val="0"/>
                <w:sz w:val="24"/>
                <w:highlight w:val="none"/>
                <w:lang w:val="zh-CN"/>
              </w:rPr>
            </w:pPr>
            <w:r>
              <w:rPr>
                <w:rFonts w:hint="eastAsia" w:ascii="楷体" w:hAnsi="楷体" w:eastAsia="楷体" w:cs="楷体"/>
                <w:b/>
                <w:bCs/>
                <w:color w:val="auto"/>
                <w:kern w:val="0"/>
                <w:sz w:val="24"/>
                <w:highlight w:val="none"/>
                <w:lang w:val="en-US" w:eastAsia="zh-CN"/>
              </w:rPr>
              <w:t>具体内容</w:t>
            </w:r>
          </w:p>
        </w:tc>
        <w:tc>
          <w:tcPr>
            <w:tcW w:w="1425" w:type="dxa"/>
            <w:gridSpan w:val="2"/>
            <w:shd w:val="clear" w:color="000000" w:fill="FFFFFF"/>
            <w:noWrap w:val="0"/>
            <w:vAlign w:val="center"/>
          </w:tcPr>
          <w:p>
            <w:pPr>
              <w:autoSpaceDE w:val="0"/>
              <w:autoSpaceDN w:val="0"/>
              <w:adjustRightInd w:val="0"/>
              <w:spacing w:line="360" w:lineRule="auto"/>
              <w:jc w:val="center"/>
              <w:rPr>
                <w:rFonts w:hint="eastAsia" w:ascii="楷体" w:hAnsi="楷体" w:eastAsia="楷体" w:cs="楷体"/>
                <w:b/>
                <w:bCs/>
                <w:color w:val="auto"/>
                <w:kern w:val="0"/>
                <w:sz w:val="24"/>
                <w:highlight w:val="none"/>
                <w:lang w:val="zh-CN"/>
              </w:rPr>
            </w:pPr>
            <w:r>
              <w:rPr>
                <w:rFonts w:hint="eastAsia" w:ascii="楷体" w:hAnsi="楷体" w:eastAsia="楷体" w:cs="楷体"/>
                <w:b/>
                <w:bCs/>
                <w:color w:val="auto"/>
                <w:kern w:val="0"/>
                <w:sz w:val="24"/>
                <w:highlight w:val="none"/>
                <w:lang w:val="en-US" w:eastAsia="zh-CN"/>
              </w:rPr>
              <w:t>单价</w:t>
            </w:r>
            <w:r>
              <w:rPr>
                <w:rFonts w:hint="eastAsia" w:ascii="楷体" w:hAnsi="楷体" w:eastAsia="楷体" w:cs="楷体"/>
                <w:b/>
                <w:bCs/>
                <w:color w:val="auto"/>
                <w:kern w:val="0"/>
                <w:sz w:val="24"/>
                <w:highlight w:val="none"/>
                <w:lang w:val="zh-CN"/>
              </w:rPr>
              <w:t>（</w:t>
            </w:r>
            <w:r>
              <w:rPr>
                <w:rFonts w:hint="eastAsia" w:ascii="楷体" w:hAnsi="楷体" w:eastAsia="楷体" w:cs="楷体"/>
                <w:b/>
                <w:bCs/>
                <w:color w:val="auto"/>
                <w:kern w:val="0"/>
                <w:sz w:val="24"/>
                <w:highlight w:val="none"/>
                <w:lang w:val="en-US" w:eastAsia="zh-CN"/>
              </w:rPr>
              <w:t>元</w:t>
            </w:r>
            <w:r>
              <w:rPr>
                <w:rFonts w:hint="eastAsia" w:ascii="楷体" w:hAnsi="楷体" w:eastAsia="楷体" w:cs="楷体"/>
                <w:b/>
                <w:bCs/>
                <w:color w:val="auto"/>
                <w:kern w:val="0"/>
                <w:sz w:val="24"/>
                <w:highlight w:val="none"/>
                <w:lang w:val="zh-CN"/>
              </w:rPr>
              <w:t>）</w:t>
            </w:r>
          </w:p>
        </w:tc>
        <w:tc>
          <w:tcPr>
            <w:tcW w:w="1064" w:type="dxa"/>
            <w:vMerge w:val="restart"/>
            <w:shd w:val="clear" w:color="000000" w:fill="FFFFFF"/>
            <w:noWrap w:val="0"/>
            <w:vAlign w:val="center"/>
          </w:tcPr>
          <w:p>
            <w:pPr>
              <w:autoSpaceDE w:val="0"/>
              <w:autoSpaceDN w:val="0"/>
              <w:adjustRightInd w:val="0"/>
              <w:spacing w:line="360" w:lineRule="auto"/>
              <w:jc w:val="center"/>
              <w:rPr>
                <w:rFonts w:hint="eastAsia" w:ascii="楷体" w:hAnsi="楷体" w:eastAsia="楷体" w:cs="楷体"/>
                <w:b/>
                <w:bCs/>
                <w:color w:val="auto"/>
                <w:kern w:val="0"/>
                <w:sz w:val="24"/>
                <w:highlight w:val="none"/>
                <w:lang w:val="zh-CN"/>
              </w:rPr>
            </w:pPr>
            <w:r>
              <w:rPr>
                <w:rFonts w:hint="eastAsia" w:ascii="楷体" w:hAnsi="楷体" w:eastAsia="楷体" w:cs="楷体"/>
                <w:b/>
                <w:bCs/>
                <w:color w:val="auto"/>
                <w:kern w:val="0"/>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60" w:type="dxa"/>
            <w:vMerge w:val="continue"/>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highlight w:val="none"/>
              </w:rPr>
            </w:pPr>
          </w:p>
        </w:tc>
        <w:tc>
          <w:tcPr>
            <w:tcW w:w="1320" w:type="dxa"/>
            <w:vMerge w:val="continue"/>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highlight w:val="none"/>
              </w:rPr>
            </w:pPr>
          </w:p>
        </w:tc>
        <w:tc>
          <w:tcPr>
            <w:tcW w:w="4248" w:type="dxa"/>
            <w:vMerge w:val="continue"/>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highlight w:val="none"/>
              </w:rPr>
            </w:pPr>
          </w:p>
        </w:tc>
        <w:tc>
          <w:tcPr>
            <w:tcW w:w="690" w:type="dxa"/>
            <w:shd w:val="clear" w:color="000000" w:fill="FFFFFF"/>
            <w:noWrap w:val="0"/>
            <w:vAlign w:val="center"/>
          </w:tcPr>
          <w:p>
            <w:pPr>
              <w:autoSpaceDE w:val="0"/>
              <w:autoSpaceDN w:val="0"/>
              <w:adjustRightInd w:val="0"/>
              <w:spacing w:line="360" w:lineRule="auto"/>
              <w:jc w:val="center"/>
              <w:rPr>
                <w:rFonts w:hint="eastAsia" w:ascii="楷体" w:hAnsi="楷体" w:eastAsia="楷体" w:cs="楷体"/>
                <w:b/>
                <w:bCs/>
                <w:color w:val="auto"/>
                <w:kern w:val="0"/>
                <w:sz w:val="24"/>
                <w:highlight w:val="none"/>
                <w:lang w:val="zh-CN"/>
              </w:rPr>
            </w:pPr>
            <w:r>
              <w:rPr>
                <w:rFonts w:hint="eastAsia" w:ascii="楷体" w:hAnsi="楷体" w:eastAsia="楷体" w:cs="楷体"/>
                <w:b/>
                <w:bCs/>
                <w:color w:val="auto"/>
                <w:kern w:val="0"/>
                <w:sz w:val="24"/>
                <w:highlight w:val="none"/>
                <w:lang w:val="zh-CN"/>
              </w:rPr>
              <w:t>含税</w:t>
            </w:r>
          </w:p>
        </w:tc>
        <w:tc>
          <w:tcPr>
            <w:tcW w:w="735" w:type="dxa"/>
            <w:shd w:val="clear" w:color="000000" w:fill="FFFFFF"/>
            <w:noWrap w:val="0"/>
            <w:vAlign w:val="center"/>
          </w:tcPr>
          <w:p>
            <w:pPr>
              <w:autoSpaceDE w:val="0"/>
              <w:autoSpaceDN w:val="0"/>
              <w:adjustRightInd w:val="0"/>
              <w:spacing w:line="360" w:lineRule="auto"/>
              <w:jc w:val="center"/>
              <w:rPr>
                <w:rFonts w:hint="eastAsia" w:ascii="楷体" w:hAnsi="楷体" w:eastAsia="楷体" w:cs="楷体"/>
                <w:b/>
                <w:bCs/>
                <w:color w:val="auto"/>
                <w:kern w:val="0"/>
                <w:sz w:val="24"/>
                <w:highlight w:val="none"/>
                <w:lang w:val="zh-CN"/>
              </w:rPr>
            </w:pPr>
            <w:r>
              <w:rPr>
                <w:rFonts w:hint="eastAsia" w:ascii="楷体" w:hAnsi="楷体" w:eastAsia="楷体" w:cs="楷体"/>
                <w:b/>
                <w:bCs/>
                <w:color w:val="auto"/>
                <w:kern w:val="0"/>
                <w:sz w:val="24"/>
                <w:highlight w:val="none"/>
                <w:lang w:val="zh-CN"/>
              </w:rPr>
              <w:t>不含税</w:t>
            </w:r>
          </w:p>
        </w:tc>
        <w:tc>
          <w:tcPr>
            <w:tcW w:w="1064" w:type="dxa"/>
            <w:vMerge w:val="continue"/>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zh-CN"/>
              </w:rPr>
            </w:pPr>
            <w:r>
              <w:rPr>
                <w:rFonts w:hint="eastAsia" w:ascii="仿宋" w:hAnsi="仿宋" w:eastAsia="仿宋" w:cs="仿宋"/>
                <w:color w:val="auto"/>
                <w:kern w:val="0"/>
                <w:sz w:val="21"/>
                <w:szCs w:val="21"/>
                <w:highlight w:val="none"/>
                <w:lang w:val="zh-CN"/>
              </w:rPr>
              <w:t>1</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组织策划</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政策研究、对标研究，调研访谈、框架策划</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spacing w:line="360" w:lineRule="auto"/>
              <w:rPr>
                <w:rFonts w:ascii="宋体" w:hAnsi="宋体" w:cs="宋体"/>
                <w:color w:val="auto"/>
                <w:sz w:val="24"/>
                <w:highlight w:val="none"/>
              </w:rPr>
            </w:pPr>
          </w:p>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资料收集</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依据国内外社会责任标准和企业实际，构建企指标体系与资料清单业社会价值指标体系:依据指标体系制定针对职能部门和下属单位的资料收集清单</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培训会</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召开项目启动会，就企业社会价值基础理论最新相关进展和报告编制进行培训</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报告撰写</w:t>
            </w:r>
          </w:p>
        </w:tc>
        <w:tc>
          <w:tcPr>
            <w:tcW w:w="4248" w:type="dxa"/>
            <w:shd w:val="clear" w:color="000000" w:fill="FFFFFF"/>
            <w:noWrap w:val="0"/>
            <w:vAlign w:val="center"/>
          </w:tcPr>
          <w:p>
            <w:pPr>
              <w:autoSpaceDE w:val="0"/>
              <w:autoSpaceDN w:val="0"/>
              <w:adjustRightInd w:val="0"/>
              <w:spacing w:line="360" w:lineRule="auto"/>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社会责任价值报告初稿及定稿</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5</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封面创意</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 套设计方案，概念挖掘、元素提炼，行业特色鲜明、企业元素突出、设计风格前沿</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内页排版（80P）</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对报告文字和图片进行排版，图文并茂</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报告印刷（500册）</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报告设计稿定稿后，印刷500本</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8</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简版报告（一图读懂）</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元素提炼、设计排版长图版报告、主要用于新媒体宣传</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9</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报告评级</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提交报告至评级专家委员会，并出具权威星级评价证书</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发布报告</w:t>
            </w:r>
          </w:p>
        </w:tc>
        <w:tc>
          <w:tcPr>
            <w:tcW w:w="4248" w:type="dxa"/>
            <w:shd w:val="clear" w:color="000000" w:fill="FFFFFF"/>
            <w:noWrap w:val="0"/>
            <w:vAlign w:val="center"/>
          </w:tcPr>
          <w:p>
            <w:pPr>
              <w:autoSpaceDE w:val="0"/>
              <w:autoSpaceDN w:val="0"/>
              <w:adjustRightInd w:val="0"/>
              <w:spacing w:line="360" w:lineRule="auto"/>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在“第三届国企社会价值论坛”暨粤港澳大湾区国企社会责任报告集中发布活动上发布广州市净水有限公司社会价值报告</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11</w:t>
            </w:r>
          </w:p>
        </w:tc>
        <w:tc>
          <w:tcPr>
            <w:tcW w:w="1320" w:type="dxa"/>
            <w:shd w:val="clear" w:color="000000" w:fill="FFFFFF"/>
            <w:noWrap w:val="0"/>
            <w:vAlign w:val="center"/>
          </w:tcPr>
          <w:p>
            <w:pPr>
              <w:autoSpaceDE w:val="0"/>
              <w:autoSpaceDN w:val="0"/>
              <w:adjustRightInd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参加调研</w:t>
            </w:r>
          </w:p>
        </w:tc>
        <w:tc>
          <w:tcPr>
            <w:tcW w:w="4248" w:type="dxa"/>
            <w:shd w:val="clear" w:color="000000" w:fill="FFFFFF"/>
            <w:noWrap w:val="0"/>
            <w:vAlign w:val="center"/>
          </w:tcPr>
          <w:p>
            <w:pPr>
              <w:autoSpaceDE w:val="0"/>
              <w:autoSpaceDN w:val="0"/>
              <w:adjustRightIn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参加广州市内社会价值工作先进企业调研活动</w:t>
            </w:r>
          </w:p>
        </w:tc>
        <w:tc>
          <w:tcPr>
            <w:tcW w:w="690"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735" w:type="dxa"/>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highlight w:val="none"/>
                <w:lang w:val="zh-CN"/>
              </w:rPr>
            </w:pPr>
          </w:p>
        </w:tc>
        <w:tc>
          <w:tcPr>
            <w:tcW w:w="1064" w:type="dxa"/>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517" w:type="dxa"/>
            <w:gridSpan w:val="6"/>
            <w:shd w:val="clear" w:color="000000" w:fill="FFFFFF"/>
            <w:noWrap w:val="0"/>
            <w:vAlign w:val="top"/>
          </w:tcPr>
          <w:p>
            <w:pPr>
              <w:autoSpaceDE w:val="0"/>
              <w:autoSpaceDN w:val="0"/>
              <w:adjustRightInd w:val="0"/>
              <w:spacing w:line="360" w:lineRule="auto"/>
              <w:rPr>
                <w:rFonts w:ascii="宋体" w:hAnsi="宋体" w:cs="宋体"/>
                <w:color w:val="auto"/>
                <w:kern w:val="0"/>
                <w:sz w:val="24"/>
                <w:highlight w:val="none"/>
                <w:lang w:val="zh-CN"/>
              </w:rPr>
            </w:pPr>
            <w:r>
              <w:rPr>
                <w:rFonts w:hint="eastAsia" w:ascii="仿宋" w:hAnsi="仿宋" w:eastAsia="仿宋" w:cs="仿宋"/>
                <w:color w:val="auto"/>
                <w:kern w:val="0"/>
                <w:sz w:val="21"/>
                <w:szCs w:val="21"/>
                <w:highlight w:val="none"/>
                <w:lang w:val="zh-CN"/>
              </w:rPr>
              <w:t>合计：</w:t>
            </w:r>
            <w:r>
              <w:rPr>
                <w:rFonts w:hint="eastAsia" w:ascii="仿宋" w:hAnsi="仿宋" w:eastAsia="仿宋" w:cs="仿宋"/>
                <w:color w:val="auto"/>
                <w:kern w:val="0"/>
                <w:sz w:val="21"/>
                <w:szCs w:val="21"/>
                <w:highlight w:val="none"/>
                <w:lang w:val="en-US" w:eastAsia="zh-CN"/>
              </w:rPr>
              <w:t xml:space="preserve">  元（含税：  %）</w:t>
            </w:r>
          </w:p>
        </w:tc>
      </w:tr>
    </w:tbl>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1"/>
      <w:bookmarkEnd w:id="142"/>
      <w:bookmarkEnd w:id="143"/>
      <w:bookmarkEnd w:id="14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3D544D5"/>
    <w:multiLevelType w:val="multilevel"/>
    <w:tmpl w:val="03D544D5"/>
    <w:lvl w:ilvl="0" w:tentative="0">
      <w:start w:val="1"/>
      <w:numFmt w:val="decimal"/>
      <w:lvlText w:val="%1."/>
      <w:lvlJc w:val="left"/>
      <w:pPr>
        <w:ind w:left="360" w:hanging="360"/>
      </w:pPr>
      <w:rPr>
        <w:rFonts w:hint="default"/>
        <w:color w:val="000000"/>
      </w:rPr>
    </w:lvl>
    <w:lvl w:ilvl="1" w:tentative="0">
      <w:start w:val="2"/>
      <w:numFmt w:val="decimal"/>
      <w:isLgl/>
      <w:lvlText w:val="%1.%2"/>
      <w:lvlJc w:val="left"/>
      <w:pPr>
        <w:ind w:left="1118" w:hanging="840"/>
      </w:pPr>
      <w:rPr>
        <w:rFonts w:hint="default"/>
      </w:rPr>
    </w:lvl>
    <w:lvl w:ilvl="2" w:tentative="0">
      <w:start w:val="4"/>
      <w:numFmt w:val="decimal"/>
      <w:isLgl/>
      <w:lvlText w:val="%1.%2.%3"/>
      <w:lvlJc w:val="left"/>
      <w:pPr>
        <w:ind w:left="1396" w:hanging="840"/>
      </w:pPr>
      <w:rPr>
        <w:rFonts w:hint="default"/>
      </w:rPr>
    </w:lvl>
    <w:lvl w:ilvl="3" w:tentative="0">
      <w:start w:val="1"/>
      <w:numFmt w:val="decimal"/>
      <w:isLgl/>
      <w:lvlText w:val="%1.%2.%3.%4"/>
      <w:lvlJc w:val="left"/>
      <w:pPr>
        <w:ind w:left="1914" w:hanging="1080"/>
      </w:pPr>
      <w:rPr>
        <w:rFonts w:hint="default"/>
      </w:rPr>
    </w:lvl>
    <w:lvl w:ilvl="4" w:tentative="0">
      <w:start w:val="1"/>
      <w:numFmt w:val="decimal"/>
      <w:isLgl/>
      <w:lvlText w:val="%1.%2.%3.%4.%5"/>
      <w:lvlJc w:val="left"/>
      <w:pPr>
        <w:ind w:left="2552" w:hanging="1440"/>
      </w:pPr>
      <w:rPr>
        <w:rFonts w:hint="default"/>
      </w:rPr>
    </w:lvl>
    <w:lvl w:ilvl="5" w:tentative="0">
      <w:start w:val="1"/>
      <w:numFmt w:val="decimal"/>
      <w:isLgl/>
      <w:lvlText w:val="%1.%2.%3.%4.%5.%6"/>
      <w:lvlJc w:val="left"/>
      <w:pPr>
        <w:ind w:left="3190" w:hanging="1800"/>
      </w:pPr>
      <w:rPr>
        <w:rFonts w:hint="default"/>
      </w:rPr>
    </w:lvl>
    <w:lvl w:ilvl="6" w:tentative="0">
      <w:start w:val="1"/>
      <w:numFmt w:val="decimal"/>
      <w:isLgl/>
      <w:lvlText w:val="%1.%2.%3.%4.%5.%6.%7"/>
      <w:lvlJc w:val="left"/>
      <w:pPr>
        <w:ind w:left="3828" w:hanging="2160"/>
      </w:pPr>
      <w:rPr>
        <w:rFonts w:hint="default"/>
      </w:rPr>
    </w:lvl>
    <w:lvl w:ilvl="7" w:tentative="0">
      <w:start w:val="1"/>
      <w:numFmt w:val="decimal"/>
      <w:isLgl/>
      <w:lvlText w:val="%1.%2.%3.%4.%5.%6.%7.%8"/>
      <w:lvlJc w:val="left"/>
      <w:pPr>
        <w:ind w:left="4106" w:hanging="2160"/>
      </w:pPr>
      <w:rPr>
        <w:rFonts w:hint="default"/>
      </w:rPr>
    </w:lvl>
    <w:lvl w:ilvl="8" w:tentative="0">
      <w:start w:val="1"/>
      <w:numFmt w:val="decimal"/>
      <w:isLgl/>
      <w:lvlText w:val="%1.%2.%3.%4.%5.%6.%7.%8.%9"/>
      <w:lvlJc w:val="left"/>
      <w:pPr>
        <w:ind w:left="4744" w:hanging="2520"/>
      </w:pPr>
      <w:rPr>
        <w:rFonts w:hint="default"/>
      </w:rPr>
    </w:lvl>
  </w:abstractNum>
  <w:abstractNum w:abstractNumId="2">
    <w:nsid w:val="086D631D"/>
    <w:multiLevelType w:val="multilevel"/>
    <w:tmpl w:val="086D631D"/>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EE6F32"/>
    <w:multiLevelType w:val="multilevel"/>
    <w:tmpl w:val="15EE6F32"/>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987636"/>
    <w:multiLevelType w:val="multilevel"/>
    <w:tmpl w:val="16987636"/>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E63B82"/>
    <w:multiLevelType w:val="multilevel"/>
    <w:tmpl w:val="16E63B82"/>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F94E23"/>
    <w:multiLevelType w:val="singleLevel"/>
    <w:tmpl w:val="1BF94E23"/>
    <w:lvl w:ilvl="0" w:tentative="0">
      <w:start w:val="1"/>
      <w:numFmt w:val="decimal"/>
      <w:lvlText w:val="%1."/>
      <w:lvlJc w:val="left"/>
      <w:pPr>
        <w:tabs>
          <w:tab w:val="left" w:pos="312"/>
        </w:tabs>
      </w:pPr>
    </w:lvl>
  </w:abstractNum>
  <w:abstractNum w:abstractNumId="7">
    <w:nsid w:val="30A153A2"/>
    <w:multiLevelType w:val="multilevel"/>
    <w:tmpl w:val="30A153A2"/>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1E30592"/>
    <w:multiLevelType w:val="multilevel"/>
    <w:tmpl w:val="31E30592"/>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10"/>
  </w:num>
  <w:num w:numId="3">
    <w:abstractNumId w:val="9"/>
  </w:num>
  <w:num w:numId="4">
    <w:abstractNumId w:val="3"/>
  </w:num>
  <w:num w:numId="5">
    <w:abstractNumId w:val="1"/>
  </w:num>
  <w:num w:numId="6">
    <w:abstractNumId w:val="5"/>
  </w:num>
  <w:num w:numId="7">
    <w:abstractNumId w:val="4"/>
  </w:num>
  <w:num w:numId="8">
    <w:abstractNumId w:val="7"/>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ZDQxMWQ3ZWJmNzViZDA3YjIwYjU0ZDlmMDg0NjQifQ=="/>
  </w:docVars>
  <w:rsids>
    <w:rsidRoot w:val="79EC7DED"/>
    <w:rsid w:val="00C80128"/>
    <w:rsid w:val="0118395B"/>
    <w:rsid w:val="01EC666E"/>
    <w:rsid w:val="029A1A87"/>
    <w:rsid w:val="05112834"/>
    <w:rsid w:val="08E275D6"/>
    <w:rsid w:val="09083308"/>
    <w:rsid w:val="0B7E6C02"/>
    <w:rsid w:val="0B962F2D"/>
    <w:rsid w:val="11597305"/>
    <w:rsid w:val="1AA72EE4"/>
    <w:rsid w:val="1C8D28AF"/>
    <w:rsid w:val="1CB13511"/>
    <w:rsid w:val="1E3C08E6"/>
    <w:rsid w:val="20E9491A"/>
    <w:rsid w:val="22FB47E1"/>
    <w:rsid w:val="2422066A"/>
    <w:rsid w:val="2826701E"/>
    <w:rsid w:val="287A6387"/>
    <w:rsid w:val="2F6E1FD4"/>
    <w:rsid w:val="31BE60AB"/>
    <w:rsid w:val="394F0DCE"/>
    <w:rsid w:val="3FE33198"/>
    <w:rsid w:val="3FE40207"/>
    <w:rsid w:val="40BD5855"/>
    <w:rsid w:val="41BE41FA"/>
    <w:rsid w:val="48EB4A02"/>
    <w:rsid w:val="4B74314B"/>
    <w:rsid w:val="4FE34BD2"/>
    <w:rsid w:val="51F8411B"/>
    <w:rsid w:val="54617A34"/>
    <w:rsid w:val="54C96CCC"/>
    <w:rsid w:val="5DF96FC5"/>
    <w:rsid w:val="5E11761B"/>
    <w:rsid w:val="60290FCA"/>
    <w:rsid w:val="62B60D74"/>
    <w:rsid w:val="63367736"/>
    <w:rsid w:val="6AEF00DF"/>
    <w:rsid w:val="6BEE7EDF"/>
    <w:rsid w:val="6C5F1CE5"/>
    <w:rsid w:val="70465534"/>
    <w:rsid w:val="70D44EDC"/>
    <w:rsid w:val="71785845"/>
    <w:rsid w:val="71BE1FDA"/>
    <w:rsid w:val="79EC7DED"/>
    <w:rsid w:val="7DA452C5"/>
    <w:rsid w:val="7DAA4071"/>
    <w:rsid w:val="7E0D2438"/>
    <w:rsid w:val="7F50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Plain Text"/>
    <w:basedOn w:val="1"/>
    <w:next w:val="11"/>
    <w:qFormat/>
    <w:uiPriority w:val="0"/>
    <w:rPr>
      <w:rFonts w:ascii="宋体" w:hAnsi="Courier New"/>
      <w:szCs w:val="21"/>
    </w:rPr>
  </w:style>
  <w:style w:type="paragraph" w:customStyle="1" w:styleId="11">
    <w:name w:val="Default"/>
    <w:next w:val="1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w:basedOn w:val="1"/>
    <w:next w:val="1"/>
    <w:qFormat/>
    <w:uiPriority w:val="0"/>
    <w:pPr>
      <w:snapToGrid w:val="0"/>
    </w:pPr>
    <w:rPr>
      <w:szCs w:val="24"/>
    </w:rPr>
  </w:style>
  <w:style w:type="paragraph" w:styleId="13">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8"/>
    <w:qFormat/>
    <w:uiPriority w:val="0"/>
    <w:pPr>
      <w:ind w:firstLine="42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2"/>
    <w:qFormat/>
    <w:uiPriority w:val="0"/>
    <w:rPr>
      <w:rFonts w:hint="eastAsia" w:ascii="宋体" w:hAnsi="宋体" w:eastAsia="宋体" w:cs="宋体"/>
      <w:color w:val="000000"/>
      <w:sz w:val="32"/>
      <w:szCs w:val="32"/>
      <w:u w:val="none"/>
    </w:rPr>
  </w:style>
  <w:style w:type="character" w:customStyle="1" w:styleId="29">
    <w:name w:val="font51"/>
    <w:basedOn w:val="22"/>
    <w:qFormat/>
    <w:uiPriority w:val="0"/>
    <w:rPr>
      <w:rFonts w:hint="eastAsia" w:ascii="宋体" w:hAnsi="宋体" w:eastAsia="宋体" w:cs="宋体"/>
      <w:color w:val="000000"/>
      <w:sz w:val="32"/>
      <w:szCs w:val="32"/>
      <w:u w:val="single"/>
    </w:rPr>
  </w:style>
  <w:style w:type="character" w:customStyle="1" w:styleId="30">
    <w:name w:val="font11"/>
    <w:basedOn w:val="22"/>
    <w:qFormat/>
    <w:uiPriority w:val="0"/>
    <w:rPr>
      <w:rFonts w:hint="default" w:ascii="Wingdings 2" w:hAnsi="Wingdings 2" w:eastAsia="Wingdings 2" w:cs="Wingdings 2"/>
      <w:color w:val="000000"/>
      <w:sz w:val="24"/>
      <w:szCs w:val="24"/>
      <w:u w:val="none"/>
    </w:rPr>
  </w:style>
  <w:style w:type="character" w:customStyle="1" w:styleId="31">
    <w:name w:val="font21"/>
    <w:basedOn w:val="22"/>
    <w:qFormat/>
    <w:uiPriority w:val="0"/>
    <w:rPr>
      <w:rFonts w:hint="eastAsia" w:ascii="宋体" w:hAnsi="宋体" w:eastAsia="宋体" w:cs="宋体"/>
      <w:color w:val="000000"/>
      <w:sz w:val="24"/>
      <w:szCs w:val="24"/>
      <w:u w:val="none"/>
    </w:rPr>
  </w:style>
  <w:style w:type="paragraph" w:customStyle="1" w:styleId="32">
    <w:name w:val="CM91"/>
    <w:basedOn w:val="11"/>
    <w:next w:val="11"/>
    <w:qFormat/>
    <w:uiPriority w:val="0"/>
    <w:pPr>
      <w:spacing w:after="160"/>
    </w:pPr>
    <w:rPr>
      <w:color w:val="auto"/>
    </w:rPr>
  </w:style>
  <w:style w:type="paragraph" w:customStyle="1" w:styleId="33">
    <w:name w:val="CM97"/>
    <w:basedOn w:val="11"/>
    <w:next w:val="11"/>
    <w:qFormat/>
    <w:uiPriority w:val="0"/>
    <w:pPr>
      <w:spacing w:after="373"/>
    </w:pPr>
    <w:rPr>
      <w:color w:val="auto"/>
    </w:rPr>
  </w:style>
  <w:style w:type="table" w:customStyle="1" w:styleId="34">
    <w:name w:val="网格型4"/>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29995</Words>
  <Characters>31358</Characters>
  <Lines>0</Lines>
  <Paragraphs>0</Paragraphs>
  <TotalTime>190</TotalTime>
  <ScaleCrop>false</ScaleCrop>
  <LinksUpToDate>false</LinksUpToDate>
  <CharactersWithSpaces>33803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琳</cp:lastModifiedBy>
  <cp:lastPrinted>2023-03-29T07:14:00Z</cp:lastPrinted>
  <dcterms:modified xsi:type="dcterms:W3CDTF">2023-05-24T07:15:52Z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9C449364EFBE479F910AEA5E0FDEE890</vt:lpwstr>
  </property>
</Properties>
</file>