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86" w:name="_GoBack"/>
      <w:bookmarkEnd w:id="186"/>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广州市净水有限公司市政污泥减量及</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资源化利用关键技术研究及示范（2021-2023）-仪器采购项目</w:t>
      </w:r>
    </w:p>
    <w:p>
      <w:pPr>
        <w:pStyle w:val="14"/>
        <w:rPr>
          <w:rFonts w:hint="eastAsia"/>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14"/>
        <w:rPr>
          <w:rFonts w:hint="eastAsia"/>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color w:val="auto"/>
          <w:highlight w:val="none"/>
        </w:rPr>
        <w:sectPr>
          <w:footerReference r:id="rId4" w:type="default"/>
          <w:headerReference r:id="rId3" w:type="even"/>
          <w:footerReference r:id="rId5" w:type="even"/>
          <w:pgSz w:w="11907" w:h="16840"/>
          <w:pgMar w:top="1440" w:right="1418" w:bottom="1440" w:left="1418" w:header="851" w:footer="992" w:gutter="0"/>
          <w:pgNumType w:fmt="decimal" w:start="1"/>
          <w:cols w:space="720" w:num="1"/>
          <w:docGrid w:type="linesAndChars" w:linePitch="381" w:charSpace="0"/>
        </w:sect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月</w:t>
      </w:r>
    </w:p>
    <w:p>
      <w:pPr>
        <w:pStyle w:val="2"/>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7519"/>
      <w:bookmarkStart w:id="5" w:name="_Toc11322"/>
      <w:bookmarkStart w:id="6" w:name="_Toc4275"/>
      <w:bookmarkStart w:id="7" w:name="_Toc1669"/>
      <w:bookmarkStart w:id="8" w:name="_Toc19609"/>
      <w:bookmarkStart w:id="9" w:name="_Toc31938"/>
      <w:bookmarkStart w:id="10" w:name="_Toc17801"/>
    </w:p>
    <w:p>
      <w:pPr>
        <w:pStyle w:val="4"/>
        <w:jc w:val="both"/>
        <w:rPr>
          <w:rFonts w:hint="eastAsia"/>
          <w:color w:val="auto"/>
          <w:highlight w:val="none"/>
        </w:rPr>
      </w:pPr>
    </w:p>
    <w:p>
      <w:pPr>
        <w:rPr>
          <w:rFonts w:hint="eastAsia"/>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2366010</wp:posOffset>
                </wp:positionH>
                <wp:positionV relativeFrom="paragraph">
                  <wp:posOffset>739140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3pt;margin-top:58.2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2354580</wp:posOffset>
                </wp:positionH>
                <wp:positionV relativeFrom="paragraph">
                  <wp:posOffset>222250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4pt;margin-top:17.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广州市净水有限公司市政污泥减量及资源化利用关键技术研究及示范（2021-2023）-仪器采购项目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广州市净水有限公司市政污泥减量及资源化利用关键技术研究及示范（2021-2023）-仪器采购项目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XJ-20230523-2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 自有资金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645,000.00元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大写：人民币陆拾肆万伍仟元整</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本</w:t>
      </w:r>
      <w:r>
        <w:rPr>
          <w:rFonts w:hint="eastAsia" w:ascii="仿宋_GB2312" w:eastAsia="仿宋_GB2312"/>
          <w:color w:val="auto"/>
          <w:sz w:val="28"/>
          <w:szCs w:val="28"/>
          <w:highlight w:val="none"/>
          <w:u w:val="single"/>
        </w:rPr>
        <w:t>项目需要采购用于研究的仪器，包括荧光显微镜、荧光分光光度计各一</w:t>
      </w:r>
      <w:r>
        <w:rPr>
          <w:rFonts w:hint="eastAsia" w:ascii="仿宋_GB2312" w:eastAsia="仿宋_GB2312"/>
          <w:color w:val="auto"/>
          <w:sz w:val="28"/>
          <w:szCs w:val="28"/>
          <w:highlight w:val="none"/>
          <w:u w:val="single"/>
          <w:lang w:val="en-US" w:eastAsia="zh-CN"/>
        </w:rPr>
        <w:t>套</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并确保</w:t>
      </w:r>
      <w:r>
        <w:rPr>
          <w:rFonts w:hint="eastAsia" w:ascii="仿宋_GB2312" w:eastAsia="仿宋_GB2312"/>
          <w:color w:val="auto"/>
          <w:sz w:val="28"/>
          <w:szCs w:val="28"/>
          <w:highlight w:val="none"/>
          <w:u w:val="single"/>
        </w:rPr>
        <w:t>所有</w:t>
      </w:r>
      <w:r>
        <w:rPr>
          <w:rFonts w:hint="eastAsia" w:ascii="仿宋_GB2312" w:eastAsia="仿宋_GB2312"/>
          <w:color w:val="auto"/>
          <w:sz w:val="28"/>
          <w:szCs w:val="28"/>
          <w:highlight w:val="none"/>
          <w:u w:val="single"/>
          <w:lang w:val="en-US" w:eastAsia="zh-CN"/>
        </w:rPr>
        <w:t>仪器设备</w:t>
      </w:r>
      <w:r>
        <w:rPr>
          <w:rFonts w:hint="eastAsia" w:ascii="仿宋_GB2312" w:eastAsia="仿宋_GB2312"/>
          <w:color w:val="auto"/>
          <w:sz w:val="28"/>
          <w:szCs w:val="28"/>
          <w:highlight w:val="none"/>
          <w:u w:val="single"/>
        </w:rPr>
        <w:t>正常运行。</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 xml:space="preserve">   自合同签订之日起60个工作日。</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广州市净水有限公司水质检测中心（广州市荔湾区桥中南路10号）</w:t>
      </w:r>
      <w:r>
        <w:rPr>
          <w:rFonts w:hint="eastAsia" w:ascii="仿宋_GB2312" w:eastAsia="仿宋_GB2312"/>
          <w:color w:val="auto"/>
          <w:sz w:val="28"/>
          <w:szCs w:val="28"/>
          <w:highlight w:val="none"/>
          <w:u w:val="single"/>
        </w:rPr>
        <w:t xml:space="preserve"> </w:t>
      </w:r>
    </w:p>
    <w:p>
      <w:pPr>
        <w:adjustRightInd w:val="0"/>
        <w:snapToGrid w:val="0"/>
        <w:spacing w:line="600" w:lineRule="exact"/>
        <w:ind w:left="0" w:right="-369" w:rightChars="-176"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满足采购文件中所有要求。</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2020 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一项报价清单品牌之一的仪器供货</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1.供应商须出具承诺函，承诺所提供报价</w:t>
      </w:r>
      <w:r>
        <w:rPr>
          <w:rFonts w:hint="eastAsia" w:ascii="仿宋_GB2312" w:eastAsia="仿宋_GB2312"/>
          <w:color w:val="auto"/>
          <w:sz w:val="28"/>
          <w:szCs w:val="28"/>
          <w:highlight w:val="none"/>
          <w:u w:val="single"/>
          <w:lang w:val="en-US" w:eastAsia="zh-CN"/>
        </w:rPr>
        <w:t>仪器</w:t>
      </w:r>
      <w:r>
        <w:rPr>
          <w:rFonts w:hint="eastAsia" w:ascii="仿宋_GB2312" w:eastAsia="仿宋_GB2312"/>
          <w:color w:val="auto"/>
          <w:sz w:val="28"/>
          <w:szCs w:val="28"/>
          <w:highlight w:val="none"/>
          <w:u w:val="single"/>
        </w:rPr>
        <w:t>均为制造商全新原装产品，承诺中选后所提供的仪器必须满足正常运行（加盖单位公章）；2.供应商在交货时向采购人提供出厂合格证、产品质量证明文件等产品质量证明材料</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24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28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280" w:hanging="280" w:hangingChars="1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rPr>
        <w:t>递交响应文件集合时间：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5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29 </w:t>
      </w:r>
      <w:r>
        <w:rPr>
          <w:rFonts w:hint="eastAsia" w:ascii="仿宋_GB2312" w:eastAsia="仿宋_GB2312"/>
          <w:sz w:val="28"/>
          <w:szCs w:val="28"/>
        </w:rPr>
        <w:t>日</w:t>
      </w:r>
      <w:r>
        <w:rPr>
          <w:rFonts w:hint="eastAsia" w:ascii="仿宋_GB2312" w:eastAsia="仿宋_GB2312"/>
          <w:sz w:val="28"/>
          <w:szCs w:val="28"/>
          <w:u w:val="single"/>
          <w:lang w:val="en-US" w:eastAsia="zh-CN"/>
        </w:rPr>
        <w:t xml:space="preserve"> 14 </w:t>
      </w:r>
      <w:r>
        <w:rPr>
          <w:rFonts w:hint="eastAsia" w:ascii="仿宋_GB2312" w:eastAsia="仿宋_GB2312"/>
          <w:sz w:val="28"/>
          <w:szCs w:val="28"/>
        </w:rPr>
        <w:t>时</w:t>
      </w:r>
      <w:r>
        <w:rPr>
          <w:rFonts w:hint="eastAsia" w:ascii="仿宋_GB2312" w:eastAsia="仿宋_GB2312"/>
          <w:sz w:val="28"/>
          <w:szCs w:val="28"/>
          <w:u w:val="single"/>
          <w:lang w:val="en-US" w:eastAsia="zh-CN"/>
        </w:rPr>
        <w:t xml:space="preserve"> 30 </w:t>
      </w:r>
      <w:r>
        <w:rPr>
          <w:rFonts w:hint="eastAsia" w:ascii="仿宋_GB2312" w:eastAsia="仿宋_GB2312"/>
          <w:sz w:val="28"/>
          <w:szCs w:val="28"/>
        </w:rPr>
        <w:t>分至</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5</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29 </w:t>
      </w:r>
      <w:r>
        <w:rPr>
          <w:rFonts w:hint="eastAsia" w:ascii="仿宋_GB2312" w:eastAsia="仿宋_GB2312"/>
          <w:sz w:val="28"/>
          <w:szCs w:val="28"/>
        </w:rPr>
        <w:t>日</w:t>
      </w:r>
      <w:r>
        <w:rPr>
          <w:rFonts w:hint="eastAsia" w:ascii="仿宋_GB2312" w:eastAsia="仿宋_GB2312"/>
          <w:sz w:val="28"/>
          <w:szCs w:val="28"/>
          <w:u w:val="single"/>
          <w:lang w:val="en-US" w:eastAsia="zh-CN"/>
        </w:rPr>
        <w:t xml:space="preserve">15 </w:t>
      </w:r>
      <w:r>
        <w:rPr>
          <w:rFonts w:hint="eastAsia" w:ascii="仿宋_GB2312" w:eastAsia="仿宋_GB2312"/>
          <w:sz w:val="28"/>
          <w:szCs w:val="28"/>
        </w:rPr>
        <w:t>时</w:t>
      </w:r>
      <w:r>
        <w:rPr>
          <w:rFonts w:hint="eastAsia" w:ascii="仿宋_GB2312" w:eastAsia="仿宋_GB2312"/>
          <w:sz w:val="28"/>
          <w:szCs w:val="28"/>
          <w:u w:val="single"/>
          <w:lang w:val="en-US" w:eastAsia="zh-CN"/>
        </w:rPr>
        <w:t xml:space="preserve"> 00 </w:t>
      </w:r>
      <w:r>
        <w:rPr>
          <w:rFonts w:hint="eastAsia" w:ascii="仿宋_GB2312" w:eastAsia="仿宋_GB2312"/>
          <w:sz w:val="28"/>
          <w:szCs w:val="28"/>
        </w:rPr>
        <w:t>分（北京时间）。截止时间：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5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29 </w:t>
      </w:r>
      <w:r>
        <w:rPr>
          <w:rFonts w:hint="eastAsia" w:ascii="仿宋_GB2312" w:eastAsia="仿宋_GB2312"/>
          <w:sz w:val="28"/>
          <w:szCs w:val="28"/>
        </w:rPr>
        <w:t>日</w:t>
      </w:r>
      <w:r>
        <w:rPr>
          <w:rFonts w:hint="eastAsia" w:ascii="仿宋_GB2312" w:eastAsia="仿宋_GB2312"/>
          <w:sz w:val="28"/>
          <w:szCs w:val="28"/>
          <w:u w:val="single"/>
          <w:lang w:val="en-US" w:eastAsia="zh-CN"/>
        </w:rPr>
        <w:t xml:space="preserve">15 </w:t>
      </w:r>
      <w:r>
        <w:rPr>
          <w:rFonts w:hint="eastAsia" w:ascii="仿宋_GB2312" w:eastAsia="仿宋_GB2312"/>
          <w:sz w:val="28"/>
          <w:szCs w:val="28"/>
        </w:rPr>
        <w:t>时</w:t>
      </w:r>
      <w:r>
        <w:rPr>
          <w:rFonts w:hint="eastAsia" w:ascii="仿宋_GB2312" w:eastAsia="仿宋_GB2312"/>
          <w:sz w:val="28"/>
          <w:szCs w:val="28"/>
          <w:u w:val="single"/>
          <w:lang w:val="en-US" w:eastAsia="zh-CN"/>
        </w:rPr>
        <w:t xml:space="preserve"> 00 </w:t>
      </w:r>
      <w:r>
        <w:rPr>
          <w:rFonts w:hint="eastAsia" w:ascii="仿宋_GB2312" w:eastAsia="仿宋_GB2312"/>
          <w:sz w:val="28"/>
          <w:szCs w:val="28"/>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rPr>
        <w:t>递交地址：广州市天河区临江大道501号广州市净水有限公司6楼招标部。</w:t>
      </w:r>
    </w:p>
    <w:p>
      <w:pPr>
        <w:pStyle w:val="2"/>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rPr>
        <w:t>（4）“详细描述”：找XX，递交XX项目响应文件。</w:t>
      </w:r>
      <w:r>
        <w:rPr>
          <w:rFonts w:hint="eastAsia" w:ascii="仿宋_GB2312" w:eastAsia="仿宋_GB2312"/>
          <w:color w:val="auto"/>
          <w:sz w:val="28"/>
          <w:szCs w:val="28"/>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38890506</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w:t>
            </w:r>
            <w:r>
              <w:rPr>
                <w:rFonts w:hint="eastAsia" w:ascii="仿宋_GB2312" w:hAnsi="仿宋" w:eastAsia="仿宋_GB2312"/>
                <w:color w:val="auto"/>
                <w:sz w:val="28"/>
                <w:szCs w:val="28"/>
                <w:highlight w:val="none"/>
                <w:u w:val="none"/>
                <w:lang w:val="en-US" w:eastAsia="zh-CN"/>
              </w:rPr>
              <w:t>38890506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23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32588"/>
      <w:bookmarkStart w:id="15" w:name="_Toc2324"/>
      <w:bookmarkStart w:id="16" w:name="_Toc9448"/>
      <w:bookmarkStart w:id="17" w:name="_Toc25603"/>
      <w:bookmarkStart w:id="18" w:name="_Toc7340"/>
      <w:bookmarkStart w:id="19" w:name="_Toc16557"/>
      <w:bookmarkStart w:id="20" w:name="_Toc19295"/>
      <w:bookmarkStart w:id="21" w:name="_Toc16705"/>
      <w:bookmarkStart w:id="22" w:name="_Toc23749"/>
      <w:bookmarkStart w:id="23" w:name="_Toc2331"/>
    </w:p>
    <w:p>
      <w:pPr>
        <w:pStyle w:val="14"/>
        <w:rPr>
          <w:rFonts w:hint="eastAsia"/>
        </w:rPr>
      </w:pPr>
    </w:p>
    <w:p>
      <w:pPr>
        <w:pStyle w:val="15"/>
        <w:rPr>
          <w:rFonts w:hint="eastAsia"/>
        </w:rPr>
      </w:pPr>
    </w:p>
    <w:p>
      <w:pPr>
        <w:rPr>
          <w:rFonts w:hint="eastAsia"/>
        </w:rPr>
      </w:pPr>
    </w:p>
    <w:p>
      <w:pPr>
        <w:pStyle w:val="14"/>
        <w:rPr>
          <w:rFonts w:hint="eastAsia"/>
        </w:rPr>
      </w:pPr>
    </w:p>
    <w:p>
      <w:pPr>
        <w:pStyle w:val="15"/>
        <w:rPr>
          <w:rFonts w:hint="eastAsia"/>
        </w:rPr>
      </w:pPr>
    </w:p>
    <w:p>
      <w:pPr>
        <w:rPr>
          <w:rFonts w:hint="eastAsia"/>
        </w:rPr>
      </w:pPr>
    </w:p>
    <w:p>
      <w:pPr>
        <w:pStyle w:val="14"/>
        <w:rPr>
          <w:rFonts w:hint="eastAsia"/>
        </w:rPr>
      </w:pPr>
    </w:p>
    <w:p>
      <w:pPr>
        <w:pStyle w:val="15"/>
        <w:rPr>
          <w:rFonts w:hint="eastAsia"/>
        </w:rPr>
      </w:pPr>
    </w:p>
    <w:p>
      <w:pPr>
        <w:pStyle w:val="4"/>
        <w:rPr>
          <w:rFonts w:hint="eastAsia"/>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2341880</wp:posOffset>
                </wp:positionH>
                <wp:positionV relativeFrom="paragraph">
                  <wp:posOffset>203200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4pt;margin-top:16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ind w:firstLine="0"/>
        <w:rPr>
          <w:rFonts w:hint="eastAsia"/>
          <w:highlight w:val="none"/>
        </w:rPr>
      </w:pPr>
    </w:p>
    <w:p>
      <w:pPr>
        <w:pStyle w:val="2"/>
        <w:ind w:firstLine="0"/>
        <w:rPr>
          <w:rFonts w:hint="eastAsia"/>
          <w:highlight w:val="none"/>
        </w:rPr>
      </w:pPr>
    </w:p>
    <w:p>
      <w:pPr>
        <w:pStyle w:val="2"/>
        <w:ind w:firstLine="0"/>
        <w:rPr>
          <w:rFonts w:hint="eastAsia"/>
          <w:highlight w:val="none"/>
        </w:rPr>
      </w:pPr>
    </w:p>
    <w:p>
      <w:pPr>
        <w:pStyle w:val="2"/>
        <w:ind w:firstLine="0"/>
        <w:rPr>
          <w:rFonts w:hint="eastAsia"/>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纸质文件正本1份，副本</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48"/>
        <w:rPr>
          <w:rFonts w:ascii="仿宋_GB2312" w:eastAsia="仿宋_GB2312" w:hAnsiTheme="majorEastAsia"/>
          <w:color w:val="auto"/>
          <w:sz w:val="28"/>
          <w:szCs w:val="28"/>
          <w:highlight w:val="none"/>
        </w:rPr>
      </w:pPr>
    </w:p>
    <w:p>
      <w:pPr>
        <w:pStyle w:val="48"/>
        <w:rPr>
          <w:rFonts w:ascii="仿宋_GB2312" w:eastAsia="仿宋_GB2312" w:hAnsiTheme="majorEastAsia"/>
          <w:color w:val="auto"/>
          <w:sz w:val="28"/>
          <w:szCs w:val="28"/>
          <w:highlight w:val="none"/>
        </w:rPr>
      </w:pPr>
    </w:p>
    <w:p>
      <w:pPr>
        <w:pStyle w:val="48"/>
        <w:rPr>
          <w:rFonts w:ascii="仿宋_GB2312" w:eastAsia="仿宋_GB2312" w:hAnsiTheme="majorEastAsia"/>
          <w:color w:val="auto"/>
          <w:sz w:val="28"/>
          <w:szCs w:val="28"/>
          <w:highlight w:val="none"/>
        </w:rPr>
      </w:pPr>
    </w:p>
    <w:p>
      <w:pPr>
        <w:pStyle w:val="14"/>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48"/>
        <w:rPr>
          <w:rFonts w:asciiTheme="majorEastAsia" w:hAnsiTheme="majorEastAsia" w:eastAsiaTheme="majorEastAsia"/>
          <w:b/>
          <w:color w:val="auto"/>
          <w:sz w:val="28"/>
          <w:szCs w:val="28"/>
          <w:highlight w:val="none"/>
        </w:rPr>
      </w:pPr>
    </w:p>
    <w:p>
      <w:pPr>
        <w:pStyle w:val="48"/>
        <w:rPr>
          <w:rFonts w:asciiTheme="majorEastAsia" w:hAnsiTheme="majorEastAsia" w:eastAsiaTheme="majorEastAsia"/>
          <w:b/>
          <w:color w:val="auto"/>
          <w:sz w:val="28"/>
          <w:szCs w:val="28"/>
          <w:highlight w:val="none"/>
        </w:rPr>
      </w:pPr>
    </w:p>
    <w:p>
      <w:pPr>
        <w:pStyle w:val="48"/>
        <w:rPr>
          <w:rFonts w:asciiTheme="majorEastAsia" w:hAnsiTheme="majorEastAsia" w:eastAsiaTheme="majorEastAsia"/>
          <w:b/>
          <w:color w:val="auto"/>
          <w:sz w:val="28"/>
          <w:szCs w:val="28"/>
          <w:highlight w:val="none"/>
        </w:rPr>
      </w:pPr>
    </w:p>
    <w:p>
      <w:pPr>
        <w:pStyle w:val="48"/>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4"/>
        <w:rPr>
          <w:rFonts w:asciiTheme="majorEastAsia" w:hAnsiTheme="majorEastAsia" w:eastAsiaTheme="majorEastAsia"/>
          <w:b/>
          <w:color w:val="auto"/>
          <w:sz w:val="28"/>
          <w:szCs w:val="28"/>
          <w:highlight w:val="none"/>
        </w:rPr>
      </w:pPr>
    </w:p>
    <w:p>
      <w:pPr>
        <w:pStyle w:val="15"/>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4"/>
        <w:rPr>
          <w:rFonts w:asciiTheme="majorEastAsia" w:hAnsiTheme="majorEastAsia" w:eastAsiaTheme="majorEastAsia"/>
          <w:b/>
          <w:color w:val="auto"/>
          <w:sz w:val="28"/>
          <w:szCs w:val="28"/>
          <w:highlight w:val="none"/>
        </w:rPr>
      </w:pPr>
    </w:p>
    <w:p>
      <w:pPr>
        <w:pStyle w:val="15"/>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p>
    <w:p>
      <w:pPr>
        <w:pStyle w:val="48"/>
      </w:pPr>
    </w:p>
    <w:p>
      <w:pPr>
        <w:pStyle w:val="15"/>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keepNext w:val="0"/>
        <w:keepLines w:val="0"/>
        <w:pageBreakBefore w:val="0"/>
        <w:kinsoku/>
        <w:wordWrap/>
        <w:overflowPunct/>
        <w:topLinePunct w:val="0"/>
        <w:autoSpaceDE/>
        <w:autoSpaceDN/>
        <w:bidi w:val="0"/>
        <w:adjustRightInd w:val="0"/>
        <w:snapToGrid w:val="0"/>
        <w:spacing w:line="360" w:lineRule="auto"/>
        <w:textAlignment w:val="auto"/>
        <w:rPr>
          <w:kern w:val="0"/>
          <w:sz w:val="28"/>
          <w:szCs w:val="28"/>
          <w:highlight w:val="none"/>
        </w:rPr>
      </w:pPr>
      <w:r>
        <w:rPr>
          <w:rFonts w:hint="eastAsia"/>
          <w:kern w:val="0"/>
          <w:sz w:val="28"/>
          <w:szCs w:val="28"/>
          <w:highlight w:val="none"/>
        </w:rPr>
        <w:t>项目名称：</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异议人：</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相关请求及主张：</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Ansi="宋体" w:cs="仿宋_GB2312"/>
          <w:kern w:val="0"/>
          <w:sz w:val="28"/>
          <w:szCs w:val="28"/>
          <w:highlight w:val="none"/>
        </w:rPr>
        <w:t xml:space="preserve">  此致</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left"/>
        <w:textAlignment w:val="auto"/>
        <w:rPr>
          <w:rFonts w:hAnsi="宋体" w:cs="仿宋_GB2312"/>
          <w:kern w:val="0"/>
          <w:sz w:val="28"/>
          <w:szCs w:val="28"/>
          <w:highlight w:val="none"/>
        </w:rPr>
      </w:pPr>
      <w:r>
        <w:rPr>
          <w:rFonts w:hint="eastAsia" w:hAnsi="宋体" w:cs="仿宋_GB2312"/>
          <w:kern w:val="0"/>
          <w:sz w:val="28"/>
          <w:szCs w:val="28"/>
          <w:highlight w:val="none"/>
          <w:u w:val="single"/>
        </w:rPr>
        <w:t>（采购人）</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2800" w:firstLineChars="1000"/>
        <w:jc w:val="left"/>
        <w:textAlignment w:val="auto"/>
        <w:rPr>
          <w:rFonts w:hAnsi="宋体" w:cs="仿宋_GB2312"/>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2800" w:firstLineChars="1000"/>
        <w:jc w:val="left"/>
        <w:textAlignment w:val="auto"/>
        <w:rPr>
          <w:rFonts w:hAnsi="宋体" w:cs="宋体"/>
          <w:kern w:val="0"/>
          <w:sz w:val="28"/>
          <w:szCs w:val="28"/>
          <w:highlight w:val="none"/>
        </w:rPr>
      </w:pPr>
      <w:r>
        <w:rPr>
          <w:rFonts w:hint="eastAsia" w:hAnsi="宋体" w:cs="仿宋_GB2312"/>
          <w:kern w:val="0"/>
          <w:sz w:val="28"/>
          <w:szCs w:val="28"/>
          <w:highlight w:val="none"/>
        </w:rPr>
        <w:t>异议人（公章）：</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center"/>
        <w:textAlignment w:val="auto"/>
        <w:rPr>
          <w:rFonts w:hAnsi="宋体" w:cs="宋体"/>
          <w:kern w:val="0"/>
          <w:sz w:val="28"/>
          <w:szCs w:val="28"/>
          <w:highlight w:val="none"/>
        </w:rPr>
      </w:pPr>
      <w:r>
        <w:rPr>
          <w:rFonts w:hAnsi="宋体" w:cs="仿宋_GB2312"/>
          <w:kern w:val="0"/>
          <w:sz w:val="28"/>
          <w:szCs w:val="28"/>
          <w:highlight w:val="none"/>
        </w:rPr>
        <w:t xml:space="preserve">                                     年    月   日</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bCs/>
          <w:kern w:val="0"/>
          <w:sz w:val="28"/>
          <w:szCs w:val="28"/>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5"/>
        <w:ind w:firstLine="440" w:firstLineChars="100"/>
        <w:rPr>
          <w:color w:val="auto"/>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2446020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92.6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2439035</wp:posOffset>
                </wp:positionH>
                <wp:positionV relativeFrom="paragraph">
                  <wp:posOffset>593725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92.05pt;margin-top:46.7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5"/>
        <w:rPr>
          <w:color w:val="auto"/>
          <w:highlight w:val="none"/>
        </w:rPr>
      </w:pPr>
      <w:bookmarkStart w:id="28" w:name="_Toc7040"/>
      <w:bookmarkStart w:id="29" w:name="_Toc7303"/>
      <w:bookmarkStart w:id="30" w:name="_Toc87616371"/>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7118"/>
      <w:bookmarkStart w:id="35" w:name="_Toc19050"/>
      <w:bookmarkStart w:id="36" w:name="_Toc14552"/>
      <w:bookmarkStart w:id="37" w:name="_Toc4952"/>
      <w:bookmarkStart w:id="38" w:name="_Toc23581"/>
      <w:bookmarkStart w:id="39" w:name="_Toc20594"/>
      <w:bookmarkStart w:id="40" w:name="_Toc14870"/>
      <w:bookmarkStart w:id="41" w:name="_Toc3156"/>
      <w:bookmarkStart w:id="42" w:name="_Toc19759"/>
      <w:bookmarkStart w:id="43" w:name="_Toc10930"/>
      <w:bookmarkStart w:id="44" w:name="_Toc7437"/>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4"/>
        <w:rPr>
          <w:color w:val="auto"/>
          <w:highlight w:val="none"/>
        </w:rPr>
      </w:pPr>
      <w:bookmarkStart w:id="45" w:name="_Toc30530"/>
      <w:bookmarkStart w:id="46" w:name="_Toc21079"/>
      <w:bookmarkStart w:id="47" w:name="_Toc21840"/>
      <w:bookmarkStart w:id="48" w:name="_Toc29345"/>
      <w:bookmarkStart w:id="49" w:name="_Toc32607"/>
      <w:bookmarkStart w:id="50" w:name="_Toc12177"/>
      <w:bookmarkStart w:id="51" w:name="_Toc87616378"/>
      <w:bookmarkStart w:id="52" w:name="_Toc6308"/>
      <w:bookmarkStart w:id="53" w:name="_Toc22212"/>
      <w:bookmarkStart w:id="54" w:name="_Toc29484"/>
      <w:bookmarkStart w:id="55" w:name="_Toc88209941"/>
      <w:bookmarkStart w:id="56" w:name="_Toc7831"/>
      <w:bookmarkStart w:id="57" w:name="_Toc1389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snapToGrid w:val="0"/>
        <w:spacing w:line="600" w:lineRule="exact"/>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2374900</wp:posOffset>
                </wp:positionH>
                <wp:positionV relativeFrom="paragraph">
                  <wp:posOffset>215265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7pt;margin-top:16.95pt;height:0pt;width:75.5pt;z-index:251674624;mso-width-relative:page;mso-height-relative:page;" filled="f" stroked="t" coordsize="21600,21600" o:gfxdata="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hR6Ap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bookmarkEnd w:id="60"/>
    <w:p>
      <w:pPr>
        <w:ind w:firstLine="560" w:firstLineChars="200"/>
        <w:rPr>
          <w:rFonts w:ascii="仿宋_GB2312" w:eastAsia="仿宋_GB2312"/>
          <w:color w:val="auto"/>
          <w:sz w:val="28"/>
          <w:szCs w:val="28"/>
          <w:highlight w:val="none"/>
        </w:rPr>
      </w:pPr>
    </w:p>
    <w:p>
      <w:pPr>
        <w:pStyle w:val="14"/>
        <w:rPr>
          <w:rFonts w:ascii="仿宋_GB2312" w:eastAsia="仿宋_GB2312"/>
          <w:color w:val="auto"/>
          <w:sz w:val="28"/>
          <w:szCs w:val="28"/>
          <w:highlight w:val="none"/>
        </w:rPr>
      </w:pPr>
    </w:p>
    <w:p>
      <w:pPr>
        <w:pStyle w:val="15"/>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14"/>
        <w:rPr>
          <w:rFonts w:ascii="仿宋_GB2312" w:eastAsia="仿宋_GB2312"/>
          <w:color w:val="auto"/>
          <w:sz w:val="28"/>
          <w:szCs w:val="28"/>
          <w:highlight w:val="none"/>
        </w:rPr>
      </w:pPr>
    </w:p>
    <w:p>
      <w:pPr>
        <w:pStyle w:val="15"/>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14"/>
        <w:rPr>
          <w:rFonts w:ascii="仿宋_GB2312" w:eastAsia="仿宋_GB2312"/>
          <w:color w:val="auto"/>
          <w:sz w:val="28"/>
          <w:szCs w:val="28"/>
          <w:highlight w:val="none"/>
        </w:rPr>
      </w:pPr>
    </w:p>
    <w:p>
      <w:pPr>
        <w:pStyle w:val="15"/>
        <w:rPr>
          <w:rFonts w:ascii="仿宋_GB2312" w:eastAsia="仿宋_GB2312"/>
          <w:color w:val="auto"/>
          <w:sz w:val="28"/>
          <w:szCs w:val="28"/>
          <w:highlight w:val="none"/>
        </w:rPr>
      </w:pPr>
    </w:p>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spacing w:line="360" w:lineRule="auto"/>
        <w:ind w:firstLine="560" w:firstLineChars="20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一、项目情况介绍</w:t>
      </w:r>
    </w:p>
    <w:p>
      <w:pPr>
        <w:spacing w:line="360" w:lineRule="auto"/>
        <w:ind w:firstLine="560" w:firstLineChars="20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根据</w:t>
      </w:r>
      <w:r>
        <w:rPr>
          <w:rFonts w:hint="eastAsia" w:ascii="Times New Roman" w:hAnsi="Times New Roman" w:eastAsia="仿宋_GB2312" w:cs="Times New Roman"/>
          <w:color w:val="auto"/>
          <w:sz w:val="28"/>
          <w:szCs w:val="28"/>
          <w:lang w:val="en-US" w:eastAsia="zh-CN"/>
        </w:rPr>
        <w:t>本</w:t>
      </w:r>
      <w:r>
        <w:rPr>
          <w:rFonts w:hint="eastAsia" w:ascii="Times New Roman" w:hAnsi="Times New Roman" w:eastAsia="仿宋_GB2312" w:cs="Times New Roman"/>
          <w:color w:val="auto"/>
          <w:sz w:val="28"/>
          <w:szCs w:val="28"/>
        </w:rPr>
        <w:t>项目开展市政污泥减量及资源化利用</w:t>
      </w:r>
      <w:r>
        <w:rPr>
          <w:rFonts w:hint="eastAsia" w:ascii="Times New Roman" w:hAnsi="Times New Roman" w:eastAsia="仿宋_GB2312" w:cs="Times New Roman"/>
          <w:color w:val="auto"/>
          <w:sz w:val="28"/>
          <w:szCs w:val="28"/>
          <w:lang w:val="en-US" w:eastAsia="zh-CN"/>
        </w:rPr>
        <w:t>的</w:t>
      </w:r>
      <w:r>
        <w:rPr>
          <w:rFonts w:hint="eastAsia" w:ascii="Times New Roman" w:hAnsi="Times New Roman" w:eastAsia="仿宋_GB2312" w:cs="Times New Roman"/>
          <w:color w:val="auto"/>
          <w:sz w:val="28"/>
          <w:szCs w:val="28"/>
        </w:rPr>
        <w:t>研究要求，</w:t>
      </w:r>
      <w:r>
        <w:rPr>
          <w:rFonts w:hint="eastAsia" w:ascii="Times New Roman" w:hAnsi="Times New Roman" w:eastAsia="仿宋_GB2312" w:cs="Times New Roman"/>
          <w:color w:val="auto"/>
          <w:sz w:val="28"/>
          <w:szCs w:val="28"/>
          <w:lang w:val="en-US" w:eastAsia="zh-CN"/>
        </w:rPr>
        <w:t>需要对</w:t>
      </w:r>
      <w:r>
        <w:rPr>
          <w:rFonts w:hint="eastAsia" w:ascii="Times New Roman" w:hAnsi="Times New Roman" w:eastAsia="仿宋_GB2312" w:cs="Times New Roman"/>
          <w:color w:val="auto"/>
          <w:sz w:val="28"/>
          <w:szCs w:val="28"/>
        </w:rPr>
        <w:t>污泥微观结构及特性</w:t>
      </w:r>
      <w:r>
        <w:rPr>
          <w:rFonts w:hint="eastAsia" w:ascii="Times New Roman" w:hAnsi="Times New Roman" w:eastAsia="仿宋_GB2312" w:cs="Times New Roman"/>
          <w:color w:val="auto"/>
          <w:sz w:val="28"/>
          <w:szCs w:val="28"/>
          <w:lang w:val="en-US" w:eastAsia="zh-CN"/>
        </w:rPr>
        <w:t>进行</w:t>
      </w:r>
      <w:r>
        <w:rPr>
          <w:rFonts w:hint="eastAsia" w:ascii="Times New Roman" w:hAnsi="Times New Roman" w:eastAsia="仿宋_GB2312" w:cs="Times New Roman"/>
          <w:color w:val="auto"/>
          <w:sz w:val="28"/>
          <w:szCs w:val="28"/>
        </w:rPr>
        <w:t>深入且直观的研究，因此需要采购用于研究的仪器，包括荧光显微镜、荧光分光光度计各一</w:t>
      </w:r>
      <w:r>
        <w:rPr>
          <w:rFonts w:hint="eastAsia" w:ascii="Times New Roman" w:hAnsi="Times New Roman" w:eastAsia="仿宋_GB2312" w:cs="Times New Roman"/>
          <w:color w:val="auto"/>
          <w:sz w:val="28"/>
          <w:szCs w:val="28"/>
          <w:lang w:val="en-US" w:eastAsia="zh-CN"/>
        </w:rPr>
        <w:t>套</w:t>
      </w:r>
      <w:r>
        <w:rPr>
          <w:rFonts w:hint="eastAsia" w:ascii="Times New Roman" w:hAnsi="Times New Roman" w:eastAsia="仿宋_GB2312" w:cs="Times New Roman"/>
          <w:color w:val="auto"/>
          <w:sz w:val="28"/>
          <w:szCs w:val="28"/>
        </w:rPr>
        <w:t>。</w:t>
      </w:r>
    </w:p>
    <w:p>
      <w:pPr>
        <w:spacing w:line="360" w:lineRule="auto"/>
        <w:ind w:firstLine="560" w:firstLineChars="20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研究级正置荧光显微镜：放大倍数范围50x-1000x，具备反射光蓝色荧光、绿色荧光、紫色荧光、紫外荧光，透射光明场、相称观察功能。配置600万像素制冷摄像头进行显微拍照。搭配计算机、图像处理软件，可对拍摄好的图像进行处理、测量。</w:t>
      </w:r>
    </w:p>
    <w:p>
      <w:pPr>
        <w:spacing w:line="360" w:lineRule="auto"/>
        <w:ind w:firstLine="560" w:firstLineChars="20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水质版荧光分光光度计：主要用于荧光强度测试，具备合理的光路设计，多带宽、多信号响应时间可选，实现高灵敏度分析；先进精准的光谱校正技术，获得真实的荧光光谱；丰富的软件操作功能、多种附件可选，满足样品测试的多种需求。</w:t>
      </w:r>
    </w:p>
    <w:p>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二、项目技术要求</w:t>
      </w:r>
    </w:p>
    <w:p>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中选单位需按</w:t>
      </w:r>
      <w:r>
        <w:rPr>
          <w:rFonts w:hint="eastAsia" w:ascii="Times New Roman" w:hAnsi="Times New Roman" w:eastAsia="仿宋_GB2312" w:cs="Times New Roman"/>
          <w:color w:val="auto"/>
          <w:sz w:val="28"/>
          <w:szCs w:val="28"/>
        </w:rPr>
        <w:t>采购</w:t>
      </w:r>
      <w:r>
        <w:rPr>
          <w:rFonts w:ascii="Times New Roman" w:hAnsi="Times New Roman" w:eastAsia="仿宋_GB2312" w:cs="Times New Roman"/>
          <w:color w:val="auto"/>
          <w:sz w:val="28"/>
          <w:szCs w:val="28"/>
        </w:rPr>
        <w:t>清单要求进行供货，货物必须</w:t>
      </w:r>
      <w:r>
        <w:rPr>
          <w:rFonts w:hint="eastAsia" w:ascii="Times New Roman" w:hAnsi="Times New Roman" w:eastAsia="仿宋_GB2312" w:cs="Times New Roman"/>
          <w:color w:val="auto"/>
          <w:sz w:val="28"/>
          <w:szCs w:val="28"/>
        </w:rPr>
        <w:t>是全新的、</w:t>
      </w:r>
      <w:r>
        <w:rPr>
          <w:rFonts w:ascii="Times New Roman" w:hAnsi="Times New Roman" w:eastAsia="仿宋_GB2312" w:cs="Times New Roman"/>
          <w:color w:val="auto"/>
          <w:sz w:val="28"/>
          <w:szCs w:val="28"/>
        </w:rPr>
        <w:t>品牌原装</w:t>
      </w:r>
      <w:r>
        <w:rPr>
          <w:rFonts w:hint="eastAsia" w:ascii="Times New Roman" w:hAnsi="Times New Roman" w:eastAsia="仿宋_GB2312" w:cs="Times New Roman"/>
          <w:color w:val="auto"/>
          <w:sz w:val="28"/>
          <w:szCs w:val="28"/>
        </w:rPr>
        <w:t>或仪器厂家指定供应商的</w:t>
      </w:r>
      <w:r>
        <w:rPr>
          <w:rFonts w:ascii="Times New Roman" w:hAnsi="Times New Roman" w:eastAsia="仿宋_GB2312" w:cs="Times New Roman"/>
          <w:color w:val="auto"/>
          <w:sz w:val="28"/>
          <w:szCs w:val="28"/>
        </w:rPr>
        <w:t>合格</w:t>
      </w:r>
      <w:r>
        <w:rPr>
          <w:rFonts w:hint="eastAsia" w:ascii="Times New Roman" w:hAnsi="Times New Roman" w:eastAsia="仿宋_GB2312" w:cs="Times New Roman"/>
          <w:color w:val="auto"/>
          <w:sz w:val="28"/>
          <w:szCs w:val="28"/>
        </w:rPr>
        <w:t>产品，其质量、规格及技术特征符合国家标准、规范及</w:t>
      </w:r>
      <w:r>
        <w:rPr>
          <w:rFonts w:hint="eastAsia" w:ascii="Times New Roman" w:hAnsi="Times New Roman" w:eastAsia="仿宋_GB2312" w:cs="Times New Roman"/>
          <w:color w:val="auto"/>
          <w:sz w:val="28"/>
          <w:szCs w:val="28"/>
          <w:lang w:val="en-US" w:eastAsia="zh-CN"/>
        </w:rPr>
        <w:t>采购</w:t>
      </w:r>
      <w:r>
        <w:rPr>
          <w:rFonts w:hint="eastAsia" w:ascii="Times New Roman" w:hAnsi="Times New Roman" w:eastAsia="仿宋_GB2312" w:cs="Times New Roman"/>
          <w:color w:val="auto"/>
          <w:sz w:val="28"/>
          <w:szCs w:val="28"/>
        </w:rPr>
        <w:t>文件要求。</w:t>
      </w:r>
    </w:p>
    <w:p>
      <w:pPr>
        <w:pStyle w:val="15"/>
        <w:spacing w:beforeLines="0" w:line="360" w:lineRule="auto"/>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bCs/>
          <w:kern w:val="0"/>
          <w:sz w:val="28"/>
          <w:szCs w:val="28"/>
          <w:lang w:eastAsia="zh-CN"/>
        </w:rPr>
        <w:t>（</w:t>
      </w:r>
      <w:r>
        <w:rPr>
          <w:rFonts w:hint="eastAsia" w:ascii="Times New Roman" w:hAnsi="Times New Roman" w:eastAsia="仿宋_GB2312" w:cs="仿宋_GB2312"/>
          <w:b/>
          <w:bCs/>
          <w:kern w:val="0"/>
          <w:sz w:val="28"/>
          <w:szCs w:val="28"/>
          <w:lang w:val="en-US" w:eastAsia="zh-CN"/>
        </w:rPr>
        <w:t>一</w:t>
      </w:r>
      <w:r>
        <w:rPr>
          <w:rFonts w:hint="eastAsia" w:ascii="Times New Roman" w:hAnsi="Times New Roman" w:eastAsia="仿宋_GB2312" w:cs="仿宋_GB2312"/>
          <w:b/>
          <w:bCs/>
          <w:kern w:val="0"/>
          <w:sz w:val="28"/>
          <w:szCs w:val="28"/>
          <w:lang w:eastAsia="zh-CN"/>
        </w:rPr>
        <w:t>）</w:t>
      </w:r>
      <w:r>
        <w:rPr>
          <w:rFonts w:hint="eastAsia" w:ascii="Times New Roman" w:hAnsi="Times New Roman" w:eastAsia="仿宋_GB2312" w:cs="仿宋_GB2312"/>
          <w:b/>
          <w:bCs/>
          <w:kern w:val="0"/>
          <w:sz w:val="28"/>
          <w:szCs w:val="28"/>
        </w:rPr>
        <w:t>研究级正置荧光显微镜</w:t>
      </w:r>
      <w:r>
        <w:rPr>
          <w:rFonts w:hint="eastAsia" w:ascii="Times New Roman" w:hAnsi="Times New Roman" w:eastAsia="仿宋_GB2312" w:cs="仿宋_GB2312"/>
          <w:b/>
          <w:bCs/>
          <w:color w:val="000000"/>
          <w:sz w:val="28"/>
          <w:szCs w:val="28"/>
        </w:rPr>
        <w:t>技术指标</w:t>
      </w:r>
      <w:r>
        <w:rPr>
          <w:rFonts w:hint="eastAsia" w:ascii="Times New Roman" w:hAnsi="Times New Roman" w:eastAsia="仿宋_GB2312" w:cs="仿宋_GB2312"/>
          <w:b/>
          <w:bCs/>
          <w:color w:val="000000"/>
          <w:sz w:val="28"/>
          <w:szCs w:val="28"/>
          <w:lang w:eastAsia="zh-CN"/>
        </w:rPr>
        <w:t>：</w:t>
      </w:r>
    </w:p>
    <w:p>
      <w:pPr>
        <w:numPr>
          <w:ilvl w:val="1"/>
          <w:numId w:val="4"/>
        </w:numPr>
        <w:spacing w:before="0" w:beforeLines="0" w:line="360" w:lineRule="auto"/>
        <w:ind w:left="780" w:hanging="36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光学系统：无限远轴向、径向双重色差校正及反差增强型光学系统。</w:t>
      </w:r>
    </w:p>
    <w:p>
      <w:pPr>
        <w:pStyle w:val="23"/>
        <w:numPr>
          <w:ilvl w:val="1"/>
          <w:numId w:val="4"/>
        </w:numPr>
        <w:spacing w:beforeLines="0" w:after="0" w:line="360" w:lineRule="auto"/>
        <w:ind w:firstLineChars="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观察方式：</w:t>
      </w:r>
      <w:r>
        <w:rPr>
          <w:rFonts w:hint="eastAsia" w:ascii="Times New Roman" w:hAnsi="Times New Roman" w:eastAsia="仿宋_GB2312" w:cs="仿宋_GB2312"/>
          <w:kern w:val="0"/>
          <w:sz w:val="28"/>
          <w:szCs w:val="28"/>
        </w:rPr>
        <w:t>反射光蓝色荧光、绿色荧光、紫色荧光，透射光明场、相称。</w:t>
      </w:r>
    </w:p>
    <w:p>
      <w:pPr>
        <w:pStyle w:val="23"/>
        <w:numPr>
          <w:ilvl w:val="1"/>
          <w:numId w:val="4"/>
        </w:numPr>
        <w:spacing w:beforeLines="0" w:after="0" w:line="360" w:lineRule="auto"/>
        <w:ind w:firstLineChars="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w:t>
      </w:r>
      <w:r>
        <w:rPr>
          <w:rFonts w:hint="eastAsia" w:ascii="Times New Roman" w:hAnsi="Times New Roman" w:eastAsia="仿宋_GB2312" w:cs="仿宋_GB2312"/>
          <w:bCs/>
          <w:color w:val="000000"/>
          <w:sz w:val="28"/>
          <w:szCs w:val="28"/>
        </w:rPr>
        <w:t>观察方式切换：不少于6位反射光功能转盘。带有位置编码，可自动调节各种功能下得光源亮度。</w:t>
      </w:r>
    </w:p>
    <w:p>
      <w:pPr>
        <w:pStyle w:val="23"/>
        <w:numPr>
          <w:ilvl w:val="1"/>
          <w:numId w:val="4"/>
        </w:numPr>
        <w:spacing w:beforeLines="0" w:after="0" w:line="360" w:lineRule="auto"/>
        <w:ind w:firstLineChars="0"/>
        <w:rPr>
          <w:rFonts w:hint="eastAsia" w:ascii="Times New Roman" w:hAnsi="Times New Roman" w:eastAsia="仿宋_GB2312" w:cs="仿宋_GB2312"/>
          <w:sz w:val="28"/>
          <w:szCs w:val="28"/>
        </w:rPr>
      </w:pPr>
      <w:r>
        <w:rPr>
          <w:rFonts w:hint="eastAsia" w:ascii="Times New Roman" w:hAnsi="Times New Roman" w:eastAsia="仿宋_GB2312" w:cs="仿宋_GB2312"/>
          <w:bCs/>
          <w:color w:val="000000"/>
          <w:sz w:val="28"/>
          <w:szCs w:val="28"/>
        </w:rPr>
        <w:t>镜筒：30°倾角观察镜筒，眼距调整范围55</w:t>
      </w:r>
      <w:r>
        <w:rPr>
          <w:rFonts w:hint="eastAsia" w:ascii="Times New Roman" w:hAnsi="Times New Roman" w:eastAsia="仿宋_GB2312" w:cs="仿宋_GB2312"/>
          <w:bCs/>
          <w:color w:val="000000"/>
          <w:sz w:val="28"/>
          <w:szCs w:val="28"/>
          <w:lang w:val="en-US" w:eastAsia="zh-CN"/>
        </w:rPr>
        <w:t>~</w:t>
      </w:r>
      <w:r>
        <w:rPr>
          <w:rFonts w:hint="eastAsia" w:ascii="Times New Roman" w:hAnsi="Times New Roman" w:eastAsia="仿宋_GB2312" w:cs="仿宋_GB2312"/>
          <w:bCs/>
          <w:color w:val="000000"/>
          <w:sz w:val="28"/>
          <w:szCs w:val="28"/>
        </w:rPr>
        <w:t>75mm。目镜观察与显微摄影同时进行，无需切换。</w:t>
      </w:r>
    </w:p>
    <w:p>
      <w:pPr>
        <w:pStyle w:val="23"/>
        <w:numPr>
          <w:ilvl w:val="1"/>
          <w:numId w:val="4"/>
        </w:numPr>
        <w:spacing w:beforeLines="0" w:after="0" w:line="360" w:lineRule="auto"/>
        <w:ind w:firstLineChars="0"/>
        <w:rPr>
          <w:rFonts w:hint="eastAsia" w:ascii="Times New Roman" w:hAnsi="Times New Roman" w:eastAsia="仿宋_GB2312" w:cs="仿宋_GB2312"/>
          <w:sz w:val="28"/>
          <w:szCs w:val="28"/>
        </w:rPr>
      </w:pPr>
      <w:r>
        <w:rPr>
          <w:rFonts w:hint="eastAsia" w:ascii="Times New Roman" w:hAnsi="Times New Roman" w:eastAsia="仿宋_GB2312" w:cs="仿宋_GB2312"/>
          <w:bCs/>
          <w:color w:val="000000"/>
          <w:sz w:val="28"/>
          <w:szCs w:val="28"/>
        </w:rPr>
        <w:t>目镜：10x目镜两个，视场数不低于23，每个目镜均可单独进行屈光度调整。</w:t>
      </w:r>
    </w:p>
    <w:p>
      <w:pPr>
        <w:pStyle w:val="23"/>
        <w:numPr>
          <w:ilvl w:val="1"/>
          <w:numId w:val="4"/>
        </w:numPr>
        <w:spacing w:beforeLines="0" w:after="0" w:line="360" w:lineRule="auto"/>
        <w:ind w:firstLineChars="0"/>
        <w:rPr>
          <w:rFonts w:hint="eastAsia" w:ascii="Times New Roman" w:hAnsi="Times New Roman" w:eastAsia="仿宋_GB2312" w:cs="仿宋_GB2312"/>
          <w:sz w:val="28"/>
          <w:szCs w:val="28"/>
        </w:rPr>
      </w:pPr>
      <w:r>
        <w:rPr>
          <w:rFonts w:hint="eastAsia" w:ascii="Times New Roman" w:hAnsi="Times New Roman" w:eastAsia="仿宋_GB2312" w:cs="仿宋_GB2312"/>
          <w:bCs/>
          <w:color w:val="000000"/>
          <w:sz w:val="28"/>
          <w:szCs w:val="28"/>
        </w:rPr>
        <w:t>物镜：可同时用于明场、偏光、荧光等的高反差、高衬度、高分辨率的新型高性能反差增强型物镜。放大倍数5x、10x 、20x、40x、63x、100x油镜。</w:t>
      </w:r>
    </w:p>
    <w:p>
      <w:pPr>
        <w:pStyle w:val="23"/>
        <w:numPr>
          <w:ilvl w:val="1"/>
          <w:numId w:val="4"/>
        </w:numPr>
        <w:spacing w:beforeLines="0" w:after="0" w:line="360" w:lineRule="auto"/>
        <w:ind w:firstLineChars="0"/>
        <w:rPr>
          <w:rFonts w:hint="eastAsia" w:ascii="Times New Roman" w:hAnsi="Times New Roman" w:eastAsia="仿宋_GB2312" w:cs="仿宋_GB2312"/>
          <w:bCs/>
          <w:color w:val="000000"/>
          <w:sz w:val="28"/>
          <w:szCs w:val="28"/>
        </w:rPr>
      </w:pPr>
      <w:r>
        <w:rPr>
          <w:rFonts w:hint="eastAsia" w:ascii="Times New Roman" w:hAnsi="Times New Roman" w:eastAsia="仿宋_GB2312" w:cs="仿宋_GB2312"/>
          <w:sz w:val="28"/>
          <w:szCs w:val="28"/>
        </w:rPr>
        <w:t>★</w:t>
      </w:r>
      <w:r>
        <w:rPr>
          <w:rFonts w:hint="eastAsia" w:ascii="Times New Roman" w:hAnsi="Times New Roman" w:eastAsia="仿宋_GB2312" w:cs="仿宋_GB2312"/>
          <w:bCs/>
          <w:color w:val="000000"/>
          <w:sz w:val="28"/>
          <w:szCs w:val="28"/>
        </w:rPr>
        <w:t>物镜转盘： 不少于6孔多功能明暗场物镜转换器，带有位置编码，可自动调节光源亮度。</w:t>
      </w:r>
    </w:p>
    <w:p>
      <w:pPr>
        <w:pStyle w:val="23"/>
        <w:numPr>
          <w:ilvl w:val="1"/>
          <w:numId w:val="4"/>
        </w:numPr>
        <w:spacing w:beforeLines="0" w:after="0" w:line="360" w:lineRule="auto"/>
        <w:ind w:firstLineChars="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w:t>
      </w:r>
      <w:r>
        <w:rPr>
          <w:rFonts w:hint="eastAsia" w:ascii="Times New Roman" w:hAnsi="Times New Roman" w:eastAsia="仿宋_GB2312" w:cs="仿宋_GB2312"/>
          <w:color w:val="000000"/>
          <w:sz w:val="28"/>
          <w:szCs w:val="28"/>
        </w:rPr>
        <w:t>LED</w:t>
      </w:r>
      <w:r>
        <w:rPr>
          <w:rFonts w:hint="eastAsia" w:ascii="Times New Roman" w:hAnsi="Times New Roman" w:eastAsia="仿宋_GB2312" w:cs="仿宋_GB2312"/>
          <w:bCs/>
          <w:color w:val="000000"/>
          <w:sz w:val="28"/>
          <w:szCs w:val="28"/>
        </w:rPr>
        <w:t>光源：长寿命高亮度LED光源照明，单个使用寿命不低于55000小时。</w:t>
      </w:r>
    </w:p>
    <w:p>
      <w:pPr>
        <w:pStyle w:val="23"/>
        <w:numPr>
          <w:ilvl w:val="1"/>
          <w:numId w:val="4"/>
        </w:numPr>
        <w:spacing w:beforeLines="0" w:after="0" w:line="360" w:lineRule="auto"/>
        <w:ind w:firstLineChars="0"/>
        <w:rPr>
          <w:rFonts w:hint="eastAsia" w:ascii="Times New Roman" w:hAnsi="Times New Roman" w:eastAsia="仿宋_GB2312" w:cs="仿宋_GB2312"/>
          <w:sz w:val="28"/>
          <w:szCs w:val="28"/>
        </w:rPr>
      </w:pPr>
      <w:r>
        <w:rPr>
          <w:rFonts w:hint="eastAsia" w:ascii="Times New Roman" w:hAnsi="Times New Roman" w:eastAsia="仿宋_GB2312" w:cs="仿宋_GB2312"/>
          <w:bCs/>
          <w:color w:val="000000"/>
          <w:sz w:val="28"/>
          <w:szCs w:val="28"/>
        </w:rPr>
        <w:t>荧光光源：高压汞灯荧光光源。</w:t>
      </w:r>
    </w:p>
    <w:p>
      <w:pPr>
        <w:pStyle w:val="23"/>
        <w:numPr>
          <w:ilvl w:val="1"/>
          <w:numId w:val="4"/>
        </w:numPr>
        <w:spacing w:beforeLines="0" w:after="0" w:line="360" w:lineRule="auto"/>
        <w:ind w:firstLineChars="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w:t>
      </w:r>
      <w:r>
        <w:rPr>
          <w:rFonts w:hint="eastAsia" w:ascii="Times New Roman" w:hAnsi="Times New Roman" w:eastAsia="仿宋_GB2312" w:cs="仿宋_GB2312"/>
          <w:bCs/>
          <w:sz w:val="28"/>
          <w:szCs w:val="28"/>
        </w:rPr>
        <w:t>智能控制：可自动调节各物镜及观察方式下的光源亮度，显微镜机身带有人机工程学拍照按钮。停止使用显微镜15分钟后，显微镜光源自动关闭，增长光源使用寿命。</w:t>
      </w:r>
    </w:p>
    <w:p>
      <w:pPr>
        <w:pStyle w:val="23"/>
        <w:numPr>
          <w:ilvl w:val="1"/>
          <w:numId w:val="4"/>
        </w:numPr>
        <w:spacing w:beforeLines="0" w:after="0" w:line="360" w:lineRule="auto"/>
        <w:ind w:firstLineChars="0"/>
        <w:rPr>
          <w:rFonts w:hint="eastAsia" w:ascii="Times New Roman" w:hAnsi="Times New Roman" w:eastAsia="仿宋_GB2312" w:cs="仿宋_GB2312"/>
          <w:sz w:val="28"/>
          <w:szCs w:val="28"/>
        </w:rPr>
      </w:pPr>
      <w:r>
        <w:rPr>
          <w:rFonts w:hint="eastAsia" w:ascii="Times New Roman" w:hAnsi="Times New Roman" w:eastAsia="仿宋_GB2312" w:cs="仿宋_GB2312"/>
          <w:bCs/>
          <w:color w:val="000000"/>
          <w:sz w:val="28"/>
          <w:szCs w:val="28"/>
        </w:rPr>
        <w:t>机械式载物台：载物台尺寸290×165mm。XY方向移动范围75x50 mm。最新的谐波齿轮防滑措施，长时间使用不下滑。</w:t>
      </w:r>
    </w:p>
    <w:p>
      <w:pPr>
        <w:pStyle w:val="23"/>
        <w:numPr>
          <w:ilvl w:val="1"/>
          <w:numId w:val="4"/>
        </w:numPr>
        <w:spacing w:beforeLines="0" w:after="0" w:line="360" w:lineRule="auto"/>
        <w:ind w:firstLineChars="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★最大样品高度：最大样品高度可达110mm。</w:t>
      </w:r>
    </w:p>
    <w:p>
      <w:pPr>
        <w:pStyle w:val="23"/>
        <w:numPr>
          <w:ilvl w:val="1"/>
          <w:numId w:val="4"/>
        </w:numPr>
        <w:spacing w:beforeLines="0" w:after="0" w:line="360" w:lineRule="auto"/>
        <w:ind w:firstLineChars="0"/>
        <w:rPr>
          <w:rFonts w:hint="eastAsia" w:ascii="Times New Roman" w:hAnsi="Times New Roman" w:eastAsia="仿宋_GB2312" w:cs="仿宋_GB2312"/>
          <w:bCs/>
          <w:color w:val="000000"/>
          <w:sz w:val="28"/>
          <w:szCs w:val="28"/>
        </w:rPr>
      </w:pPr>
      <w:r>
        <w:rPr>
          <w:rFonts w:hint="eastAsia" w:ascii="Times New Roman" w:hAnsi="Times New Roman" w:eastAsia="仿宋_GB2312" w:cs="仿宋_GB2312"/>
          <w:bCs/>
          <w:color w:val="000000"/>
          <w:sz w:val="28"/>
          <w:szCs w:val="28"/>
        </w:rPr>
        <w:t>其它附件：十字线10mm/100等分的目镜测微尺1个，1/100mm台尺1个。</w:t>
      </w:r>
    </w:p>
    <w:p>
      <w:pPr>
        <w:pStyle w:val="23"/>
        <w:numPr>
          <w:ilvl w:val="1"/>
          <w:numId w:val="4"/>
        </w:numPr>
        <w:spacing w:beforeLines="0" w:after="0" w:line="360" w:lineRule="auto"/>
        <w:ind w:firstLineChars="0"/>
        <w:rPr>
          <w:rFonts w:hint="eastAsia" w:ascii="Times New Roman" w:hAnsi="Times New Roman" w:eastAsia="仿宋_GB2312" w:cs="仿宋_GB2312"/>
          <w:bCs/>
          <w:color w:val="000000"/>
          <w:sz w:val="28"/>
          <w:szCs w:val="28"/>
        </w:rPr>
      </w:pPr>
      <w:r>
        <w:rPr>
          <w:rFonts w:hint="eastAsia" w:ascii="Times New Roman" w:hAnsi="Times New Roman" w:eastAsia="仿宋_GB2312" w:cs="仿宋_GB2312"/>
          <w:bCs/>
          <w:sz w:val="28"/>
          <w:szCs w:val="28"/>
        </w:rPr>
        <w:t>图像采集：</w:t>
      </w:r>
      <w:r>
        <w:rPr>
          <w:rFonts w:hint="eastAsia" w:ascii="Times New Roman" w:hAnsi="Times New Roman" w:eastAsia="仿宋_GB2312" w:cs="仿宋_GB2312"/>
          <w:sz w:val="28"/>
          <w:szCs w:val="28"/>
        </w:rPr>
        <w:t>原厂工业级高分辨率彩色摄像头，实时采集，动态捕捉。</w:t>
      </w:r>
    </w:p>
    <w:p>
      <w:pPr>
        <w:numPr>
          <w:ilvl w:val="0"/>
          <w:numId w:val="5"/>
        </w:numPr>
        <w:spacing w:before="0" w:beforeLines="0" w:line="360" w:lineRule="auto"/>
        <w:ind w:left="1200" w:hanging="360"/>
        <w:jc w:val="lef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★摄像头靶面尺寸不小于1英寸,CCD芯片。</w:t>
      </w:r>
    </w:p>
    <w:p>
      <w:pPr>
        <w:numPr>
          <w:ilvl w:val="0"/>
          <w:numId w:val="5"/>
        </w:numPr>
        <w:spacing w:before="0" w:beforeLines="0" w:line="360" w:lineRule="auto"/>
        <w:ind w:left="1200" w:hanging="360"/>
        <w:jc w:val="lef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物理像素不低于600万像素</w:t>
      </w:r>
      <w:r>
        <w:rPr>
          <w:rFonts w:hint="eastAsia" w:ascii="Times New Roman" w:hAnsi="Times New Roman" w:eastAsia="仿宋_GB2312" w:cs="仿宋_GB2312"/>
          <w:bCs/>
          <w:sz w:val="28"/>
          <w:szCs w:val="28"/>
        </w:rPr>
        <w:t>。</w:t>
      </w:r>
    </w:p>
    <w:p>
      <w:pPr>
        <w:numPr>
          <w:ilvl w:val="0"/>
          <w:numId w:val="5"/>
        </w:numPr>
        <w:spacing w:before="0" w:beforeLines="0" w:line="360" w:lineRule="auto"/>
        <w:ind w:left="1200" w:hanging="360"/>
        <w:jc w:val="lef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★单个像素点不小于4.4umx4.4um。</w:t>
      </w:r>
    </w:p>
    <w:p>
      <w:pPr>
        <w:numPr>
          <w:ilvl w:val="0"/>
          <w:numId w:val="5"/>
        </w:numPr>
        <w:spacing w:before="0" w:beforeLines="0" w:line="360" w:lineRule="auto"/>
        <w:ind w:left="1200" w:hanging="360"/>
        <w:jc w:val="lef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动态范围不小于1：2500</w:t>
      </w:r>
    </w:p>
    <w:p>
      <w:pPr>
        <w:numPr>
          <w:ilvl w:val="0"/>
          <w:numId w:val="5"/>
        </w:numPr>
        <w:spacing w:before="0" w:beforeLines="0" w:line="360" w:lineRule="auto"/>
        <w:ind w:left="1200" w:hanging="360"/>
        <w:jc w:val="lef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带有制冷功能。</w:t>
      </w:r>
    </w:p>
    <w:p>
      <w:pPr>
        <w:numPr>
          <w:ilvl w:val="0"/>
          <w:numId w:val="5"/>
        </w:numPr>
        <w:spacing w:before="0" w:beforeLines="0" w:line="360" w:lineRule="auto"/>
        <w:ind w:left="1200" w:hanging="360"/>
        <w:jc w:val="lef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★最大曝光时间60秒。</w:t>
      </w:r>
    </w:p>
    <w:p>
      <w:pPr>
        <w:pStyle w:val="23"/>
        <w:numPr>
          <w:ilvl w:val="1"/>
          <w:numId w:val="4"/>
        </w:numPr>
        <w:tabs>
          <w:tab w:val="clear" w:pos="780"/>
        </w:tabs>
        <w:adjustRightInd w:val="0"/>
        <w:spacing w:beforeLines="0" w:after="0" w:line="360" w:lineRule="auto"/>
        <w:ind w:leftChars="0" w:hanging="360" w:firstLineChars="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图象处理分析硬件： DELL商用台式机（酷睿I7/256固态硬盘/1T机械硬盘/32G内存 /DVD刻录/24’’显示器）。</w:t>
      </w:r>
    </w:p>
    <w:p>
      <w:pPr>
        <w:pStyle w:val="23"/>
        <w:numPr>
          <w:ilvl w:val="1"/>
          <w:numId w:val="4"/>
        </w:numPr>
        <w:tabs>
          <w:tab w:val="clear" w:pos="780"/>
        </w:tabs>
        <w:spacing w:beforeLines="0" w:after="0" w:line="360" w:lineRule="auto"/>
        <w:ind w:leftChars="0" w:hanging="360" w:firstLineChars="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图象处理分析软件：同品牌软件部分有几何参数测量、加载标尺、加载标注、图像调整，导出测量数据至EXCEL、存储图像等。可控制曝光、色温、对比度、增益等，可进行自动白平衡 、整体阴影校正。全景图像拼接、图像景深合成。</w:t>
      </w:r>
    </w:p>
    <w:p>
      <w:pPr>
        <w:pStyle w:val="23"/>
        <w:numPr>
          <w:ilvl w:val="1"/>
          <w:numId w:val="4"/>
        </w:numPr>
        <w:tabs>
          <w:tab w:val="clear" w:pos="780"/>
        </w:tabs>
        <w:spacing w:beforeLines="0" w:after="0" w:line="360" w:lineRule="auto"/>
        <w:ind w:leftChars="0" w:hanging="360" w:firstLineChars="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供货清单</w:t>
      </w:r>
    </w:p>
    <w:p>
      <w:pPr>
        <w:pStyle w:val="23"/>
        <w:numPr>
          <w:ilvl w:val="-1"/>
          <w:numId w:val="0"/>
        </w:numPr>
        <w:spacing w:beforeLines="0" w:after="0" w:line="360" w:lineRule="auto"/>
        <w:ind w:left="420" w:leftChars="0" w:firstLine="0" w:firstLineChars="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1）显微镜主机1台</w:t>
      </w:r>
    </w:p>
    <w:p>
      <w:pPr>
        <w:pStyle w:val="23"/>
        <w:numPr>
          <w:ilvl w:val="-1"/>
          <w:numId w:val="0"/>
        </w:numPr>
        <w:spacing w:beforeLines="0" w:after="0" w:line="360" w:lineRule="auto"/>
        <w:ind w:left="420" w:leftChars="0" w:firstLine="0" w:firstLineChars="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2）6孔物镜转盘1个</w:t>
      </w:r>
    </w:p>
    <w:p>
      <w:pPr>
        <w:pStyle w:val="23"/>
        <w:numPr>
          <w:ilvl w:val="-1"/>
          <w:numId w:val="0"/>
        </w:numPr>
        <w:spacing w:beforeLines="0" w:after="0" w:line="360" w:lineRule="auto"/>
        <w:ind w:left="420" w:leftChars="0" w:firstLine="0" w:firstLineChars="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3）载物台1个</w:t>
      </w:r>
    </w:p>
    <w:p>
      <w:pPr>
        <w:pStyle w:val="23"/>
        <w:numPr>
          <w:ilvl w:val="-1"/>
          <w:numId w:val="0"/>
        </w:numPr>
        <w:spacing w:beforeLines="0" w:after="0" w:line="360" w:lineRule="auto"/>
        <w:ind w:left="420" w:leftChars="0" w:firstLine="0" w:firstLineChars="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4）LED光源1个</w:t>
      </w:r>
    </w:p>
    <w:p>
      <w:pPr>
        <w:pStyle w:val="23"/>
        <w:numPr>
          <w:ilvl w:val="-1"/>
          <w:numId w:val="0"/>
        </w:numPr>
        <w:spacing w:beforeLines="0" w:after="0" w:line="360" w:lineRule="auto"/>
        <w:ind w:left="420" w:leftChars="0" w:firstLine="0" w:firstLineChars="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5）荧光光源1个</w:t>
      </w:r>
    </w:p>
    <w:p>
      <w:pPr>
        <w:pStyle w:val="23"/>
        <w:numPr>
          <w:ilvl w:val="-1"/>
          <w:numId w:val="0"/>
        </w:numPr>
        <w:spacing w:beforeLines="0" w:after="0" w:line="360" w:lineRule="auto"/>
        <w:ind w:left="420" w:leftChars="0" w:firstLine="0" w:firstLineChars="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6）聚光镜1个</w:t>
      </w:r>
    </w:p>
    <w:p>
      <w:pPr>
        <w:pStyle w:val="23"/>
        <w:numPr>
          <w:ilvl w:val="-1"/>
          <w:numId w:val="0"/>
        </w:numPr>
        <w:spacing w:beforeLines="0" w:after="0" w:line="360" w:lineRule="auto"/>
        <w:ind w:left="420" w:leftChars="0" w:firstLine="0" w:firstLineChars="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7）6位反射光功能转盘1个</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p>
    <w:p>
      <w:pPr>
        <w:widowControl w:val="0"/>
        <w:autoSpaceDE w:val="0"/>
        <w:autoSpaceDN w:val="0"/>
        <w:adjustRightInd w:val="0"/>
        <w:spacing w:beforeLines="0" w:line="360" w:lineRule="auto"/>
        <w:rPr>
          <w:rFonts w:hint="eastAsia" w:ascii="Times New Roman" w:hAnsi="Times New Roman" w:eastAsia="仿宋_GB2312" w:cs="仿宋_GB2312"/>
          <w:b/>
          <w:bCs/>
          <w:color w:val="000000"/>
          <w:sz w:val="28"/>
          <w:szCs w:val="28"/>
          <w:lang w:val="en-US" w:eastAsia="zh-CN" w:bidi="ar-SA"/>
        </w:rPr>
      </w:pPr>
      <w:r>
        <w:rPr>
          <w:rFonts w:hint="eastAsia" w:ascii="Times New Roman" w:hAnsi="Times New Roman" w:eastAsia="仿宋_GB2312" w:cs="仿宋_GB2312"/>
          <w:b/>
          <w:bCs/>
          <w:color w:val="000000"/>
          <w:sz w:val="28"/>
          <w:szCs w:val="28"/>
          <w:lang w:val="en-US" w:eastAsia="zh-CN" w:bidi="ar-SA"/>
        </w:rPr>
        <w:t>（二）水质版荧光分光光度计技术指标：</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 xml:space="preserve"> 1 主机性能</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1.1光源：紫外区能量更强的新型150 W连续氙灯；</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1.1.1高效除臭氧技术：采用高效除臭氧装置，极大降低室内臭氧浓度，有效去除臭氧排放，提供装置证明图片；</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1.2波长测定范围： 激发（EX）200 nm~750 nm；发射（EM）200 nm~750 nm；</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1.3光谱带宽：激发1 nm；2.5 nm；5 nm；10 nm；20 nm ；5档</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发射1 nm；2.5 nm；5 nm；10 nm；20 nm；5档</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1.4波长示值误差：激发波长±2 nm；发射波长±2 nm</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1.5波长重复性：激发波长≤1 nm；发射波长≤1 nm</w:t>
      </w:r>
    </w:p>
    <w:p>
      <w:pPr>
        <w:widowControl w:val="0"/>
        <w:autoSpaceDE w:val="0"/>
        <w:autoSpaceDN w:val="0"/>
        <w:adjustRightInd w:val="0"/>
        <w:spacing w:beforeLines="0" w:line="360" w:lineRule="auto"/>
        <w:rPr>
          <w:rFonts w:hint="eastAsia" w:ascii="Times New Roman" w:hAnsi="Times New Roman" w:eastAsia="仿宋_GB2312" w:cs="仿宋_GB2312"/>
          <w:color w:val="auto"/>
          <w:sz w:val="28"/>
          <w:szCs w:val="28"/>
          <w:lang w:val="en-US" w:eastAsia="zh-CN" w:bidi="ar-SA"/>
        </w:rPr>
      </w:pPr>
      <w:r>
        <w:rPr>
          <w:rFonts w:hint="eastAsia" w:ascii="Times New Roman" w:hAnsi="Times New Roman" w:eastAsia="仿宋_GB2312" w:cs="仿宋_GB2312"/>
          <w:color w:val="auto"/>
          <w:sz w:val="28"/>
          <w:szCs w:val="28"/>
          <w:lang w:val="en-US" w:eastAsia="zh-CN" w:bidi="ar-SA"/>
        </w:rPr>
        <w:t>★1.6信噪比：RMS≥1400:1；RMS（BG）≥18000:1；使用R3788光电倍增管测试；（测试条件：测试时间10min，EX带宽5nm；EM带宽5nm，PMT增益700V）</w:t>
      </w:r>
    </w:p>
    <w:p>
      <w:pPr>
        <w:widowControl w:val="0"/>
        <w:autoSpaceDE w:val="0"/>
        <w:autoSpaceDN w:val="0"/>
        <w:adjustRightInd w:val="0"/>
        <w:spacing w:beforeLines="0" w:line="360" w:lineRule="auto"/>
        <w:rPr>
          <w:rFonts w:hint="eastAsia" w:ascii="Times New Roman" w:hAnsi="Times New Roman" w:eastAsia="仿宋_GB2312" w:cs="仿宋_GB2312"/>
          <w:color w:val="FF0000"/>
          <w:sz w:val="28"/>
          <w:szCs w:val="28"/>
          <w:lang w:val="en-US" w:eastAsia="zh-CN" w:bidi="ar-SA"/>
        </w:rPr>
      </w:pPr>
      <w:bookmarkStart w:id="61" w:name="_Hlk130371506"/>
      <w:r>
        <w:rPr>
          <w:rFonts w:hint="eastAsia" w:ascii="Times New Roman" w:hAnsi="Times New Roman" w:eastAsia="仿宋_GB2312" w:cs="仿宋_GB2312"/>
          <w:color w:val="auto"/>
          <w:sz w:val="28"/>
          <w:szCs w:val="28"/>
          <w:lang w:val="en-US" w:eastAsia="zh-CN" w:bidi="ar-SA"/>
        </w:rPr>
        <w:t>★</w:t>
      </w:r>
      <w:bookmarkEnd w:id="61"/>
      <w:r>
        <w:rPr>
          <w:rFonts w:hint="eastAsia" w:ascii="Times New Roman" w:hAnsi="Times New Roman" w:eastAsia="仿宋_GB2312" w:cs="仿宋_GB2312"/>
          <w:color w:val="auto"/>
          <w:sz w:val="28"/>
          <w:szCs w:val="28"/>
          <w:lang w:val="en-US" w:eastAsia="zh-CN" w:bidi="ar-SA"/>
        </w:rPr>
        <w:t>1.7可视化波长反馈功能，主机外部指示灯可通过颜色变化实时反馈光栅运行状态（光栅运行状态指示灯），提供证明资料；</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▲1.8一体式铸铝底座（光路稳定器），所有光学元件均固定在一体式铸铝底座上，保证仪器光学元件的稳定及准直性；</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bookmarkStart w:id="62" w:name="_Hlk130371532"/>
      <w:r>
        <w:rPr>
          <w:rFonts w:hint="eastAsia" w:ascii="Times New Roman" w:hAnsi="Times New Roman" w:eastAsia="仿宋_GB2312" w:cs="仿宋_GB2312"/>
          <w:color w:val="000000"/>
          <w:sz w:val="28"/>
          <w:szCs w:val="28"/>
          <w:lang w:val="en-US" w:eastAsia="zh-CN" w:bidi="ar-SA"/>
        </w:rPr>
        <w:t>▲</w:t>
      </w:r>
      <w:bookmarkEnd w:id="62"/>
      <w:r>
        <w:rPr>
          <w:rFonts w:hint="eastAsia" w:ascii="Times New Roman" w:hAnsi="Times New Roman" w:eastAsia="仿宋_GB2312" w:cs="仿宋_GB2312"/>
          <w:color w:val="000000"/>
          <w:sz w:val="28"/>
          <w:szCs w:val="28"/>
          <w:lang w:val="en-US" w:eastAsia="zh-CN" w:bidi="ar-SA"/>
        </w:rPr>
        <w:t>1.9 大容量样品仓，样品仓外侧预留开孔，方便进行高功率光源（如激光器）的耦合；</w:t>
      </w:r>
    </w:p>
    <w:p>
      <w:pPr>
        <w:widowControl w:val="0"/>
        <w:autoSpaceDE w:val="0"/>
        <w:autoSpaceDN w:val="0"/>
        <w:adjustRightInd w:val="0"/>
        <w:spacing w:beforeLines="0" w:line="360" w:lineRule="auto"/>
        <w:rPr>
          <w:rFonts w:hint="eastAsia" w:ascii="Times New Roman" w:hAnsi="Times New Roman" w:eastAsia="仿宋_GB2312" w:cs="仿宋_GB2312"/>
          <w:color w:val="auto"/>
          <w:sz w:val="28"/>
          <w:szCs w:val="28"/>
          <w:lang w:val="en-US" w:eastAsia="zh-CN" w:bidi="ar-SA"/>
        </w:rPr>
      </w:pPr>
      <w:bookmarkStart w:id="63" w:name="_Hlk130371713"/>
      <w:r>
        <w:rPr>
          <w:rFonts w:hint="eastAsia" w:ascii="Times New Roman" w:hAnsi="Times New Roman" w:eastAsia="仿宋_GB2312" w:cs="仿宋_GB2312"/>
          <w:color w:val="auto"/>
          <w:sz w:val="28"/>
          <w:szCs w:val="28"/>
          <w:lang w:val="en-US" w:eastAsia="zh-CN" w:bidi="ar-SA"/>
        </w:rPr>
        <w:t>★1.10 仪器主机和光源（氙灯）电源开关二合一，一键开关机（避免因为主机和电源的开关顺序错误导致的主板烧坏）；</w:t>
      </w:r>
    </w:p>
    <w:bookmarkEnd w:id="63"/>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1.11 波长扫描速度最大30000nm/min，30、60、240、1,200、2,400、12,000、30,000 nm/min 七档可调；</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1.12光谱校正功能：所有测量模式均有光谱校正功能，激发侧全波段采用实时动态扣除光源背景的信号，发射侧全波段采用覆盖紫外和可见波段的标准光源校正；避免采用依赖氙灯能量（随时会发生变化）并采用罗丹明B和可见区标准光源来标定的分段式光谱校正模式；</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1.13 扫描间隔：0.2~10.0 nm；</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▲1.14响应时间：0.02S；0.2S；0.5S；1S；1.5S；2S；5S；7档；</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▲1.15自增益功能：0-900 V连续可调；</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1.16线性：Υ≥0.995（硫酸奎宁溶液）；</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1.17零线漂移：≤0.3%(10 min内)；</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1.18荧光强度示值变化：≤±1.5%（10 min内）；</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▲1.19 荧光信号范围：0~70000；</w:t>
      </w:r>
    </w:p>
    <w:p>
      <w:pPr>
        <w:widowControl w:val="0"/>
        <w:autoSpaceDE w:val="0"/>
        <w:autoSpaceDN w:val="0"/>
        <w:adjustRightInd w:val="0"/>
        <w:spacing w:beforeLines="0" w:line="360" w:lineRule="auto"/>
        <w:rPr>
          <w:rFonts w:hint="eastAsia" w:ascii="Times New Roman" w:hAnsi="Times New Roman" w:eastAsia="仿宋_GB2312" w:cs="仿宋_GB2312"/>
          <w:color w:val="auto"/>
          <w:sz w:val="28"/>
          <w:szCs w:val="28"/>
          <w:lang w:val="en-US" w:eastAsia="zh-CN" w:bidi="ar-SA"/>
        </w:rPr>
      </w:pPr>
      <w:r>
        <w:rPr>
          <w:rFonts w:hint="eastAsia" w:ascii="Times New Roman" w:hAnsi="Times New Roman" w:eastAsia="仿宋_GB2312" w:cs="仿宋_GB2312"/>
          <w:color w:val="auto"/>
          <w:sz w:val="28"/>
          <w:szCs w:val="28"/>
          <w:lang w:val="en-US" w:eastAsia="zh-CN" w:bidi="ar-SA"/>
        </w:rPr>
        <w:t>★1.20可以和其他显微镜厂家定制联用方案。</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2 软件功能</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2.1主机由FL Analyst Plus软件控制，在Windows环境下工作。荧光强度、激发和发射波长、光谱带宽可实时显示；</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 xml:space="preserve">2.2软件具有以下数据处理功能：多阶导数；检索波峰/谷；示踪；计算峰面积；测试参数快捷导入/导出；四则运算；显示转换； </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2.2图谱保存及调出；图谱窗口处理；绘制标准曲线（1-3次）；自动S/N比测定；定点测量，同步扫描测定；3D扫描，样品定量测量；</w:t>
      </w:r>
    </w:p>
    <w:p>
      <w:pPr>
        <w:widowControl w:val="0"/>
        <w:autoSpaceDE w:val="0"/>
        <w:autoSpaceDN w:val="0"/>
        <w:adjustRightInd w:val="0"/>
        <w:spacing w:beforeLines="0" w:line="360" w:lineRule="auto"/>
        <w:rPr>
          <w:rFonts w:hint="eastAsia" w:ascii="Times New Roman" w:hAnsi="Times New Roman" w:eastAsia="仿宋_GB2312" w:cs="仿宋_GB2312"/>
          <w:color w:val="auto"/>
          <w:sz w:val="28"/>
          <w:szCs w:val="28"/>
          <w:lang w:val="en-US" w:eastAsia="zh-CN" w:bidi="ar-SA"/>
        </w:rPr>
      </w:pPr>
      <w:r>
        <w:rPr>
          <w:rFonts w:hint="eastAsia" w:ascii="Times New Roman" w:hAnsi="Times New Roman" w:eastAsia="仿宋_GB2312" w:cs="仿宋_GB2312"/>
          <w:color w:val="auto"/>
          <w:sz w:val="28"/>
          <w:szCs w:val="28"/>
          <w:lang w:val="en-US" w:eastAsia="zh-CN" w:bidi="ar-SA"/>
        </w:rPr>
        <w:t>*2.3 能够进行三维光谱数据加减和二维光谱显示，一键转换Origin数据处理，定量分析模块，简单快速；</w:t>
      </w:r>
    </w:p>
    <w:p>
      <w:pPr>
        <w:widowControl w:val="0"/>
        <w:autoSpaceDE w:val="0"/>
        <w:autoSpaceDN w:val="0"/>
        <w:adjustRightInd w:val="0"/>
        <w:spacing w:beforeLines="0" w:line="360" w:lineRule="auto"/>
        <w:rPr>
          <w:rFonts w:hint="eastAsia" w:ascii="Times New Roman" w:hAnsi="Times New Roman" w:eastAsia="仿宋_GB2312" w:cs="仿宋_GB2312"/>
          <w:color w:val="FF0000"/>
          <w:sz w:val="28"/>
          <w:szCs w:val="28"/>
          <w:lang w:val="en-US" w:eastAsia="zh-CN" w:bidi="ar-SA"/>
        </w:rPr>
      </w:pPr>
      <w:r>
        <w:rPr>
          <w:rFonts w:hint="eastAsia" w:ascii="Times New Roman" w:hAnsi="Times New Roman" w:eastAsia="仿宋_GB2312" w:cs="仿宋_GB2312"/>
          <w:color w:val="auto"/>
          <w:sz w:val="28"/>
          <w:szCs w:val="28"/>
          <w:lang w:val="en-US" w:eastAsia="zh-CN" w:bidi="ar-SA"/>
        </w:rPr>
        <w:t>*2.4自动仪器性能检测，三维扫描时间指示；</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3 打印输出：定性及定量分析的打印，屏幕图谱拷贝；</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4 电源 220V±22V 、50Hz+1 Hz；额定功率300W；</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5 主机尺寸：长800mm*宽601mm*高258 mm；</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6 主机重量：48kg；</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7 配置</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7.1荧光分光光度计主机一台</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7.2电脑一台</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7.3荧光比色皿1个</w:t>
      </w:r>
    </w:p>
    <w:p>
      <w:pPr>
        <w:spacing w:beforeLines="0" w:line="360" w:lineRule="auto"/>
        <w:ind w:firstLine="0" w:firstLineChars="0"/>
        <w:jc w:val="left"/>
        <w:rPr>
          <w:rFonts w:hint="eastAsia" w:ascii="Times New Roman" w:hAnsi="Times New Roman" w:eastAsia="仿宋_GB2312" w:cs="Times New Roman"/>
          <w:color w:val="auto"/>
          <w:sz w:val="28"/>
          <w:szCs w:val="28"/>
        </w:rPr>
      </w:pPr>
      <w:r>
        <w:rPr>
          <w:rFonts w:hint="eastAsia" w:ascii="Times New Roman" w:hAnsi="Times New Roman" w:eastAsia="仿宋_GB2312" w:cs="仿宋_GB2312"/>
          <w:color w:val="000000"/>
          <w:sz w:val="28"/>
          <w:szCs w:val="28"/>
          <w:lang w:val="en-US" w:eastAsia="zh-CN" w:bidi="ar-SA"/>
        </w:rPr>
        <w:t>8. 星号参数为重要指标，需满足并提供生产厂家彩页供核对</w:t>
      </w:r>
    </w:p>
    <w:p>
      <w:pPr>
        <w:widowControl w:val="0"/>
        <w:spacing w:after="0" w:line="240" w:lineRule="auto"/>
        <w:ind w:firstLine="560" w:firstLineChars="200"/>
        <w:jc w:val="both"/>
        <w:rPr>
          <w:rFonts w:ascii="Times New Roman" w:hAnsi="Times New Roman" w:eastAsia="仿宋_GB2312" w:cs="Times New Roman"/>
          <w:b/>
          <w:bCs/>
          <w:color w:val="auto"/>
          <w:sz w:val="28"/>
          <w:szCs w:val="28"/>
          <w:lang w:val="zh-CN"/>
        </w:rPr>
      </w:pPr>
      <w:r>
        <w:rPr>
          <w:rFonts w:ascii="Times New Roman" w:hAnsi="Times New Roman" w:eastAsia="仿宋_GB2312" w:cs="Times New Roman"/>
          <w:b/>
          <w:bCs/>
          <w:color w:val="auto"/>
          <w:sz w:val="28"/>
          <w:szCs w:val="28"/>
        </w:rPr>
        <w:t>三、</w:t>
      </w:r>
      <w:r>
        <w:rPr>
          <w:rFonts w:ascii="Times New Roman" w:hAnsi="Times New Roman" w:eastAsia="仿宋_GB2312" w:cs="Times New Roman"/>
          <w:b/>
          <w:bCs/>
          <w:color w:val="auto"/>
          <w:sz w:val="28"/>
          <w:szCs w:val="28"/>
          <w:lang w:val="zh-CN"/>
        </w:rPr>
        <w:t>商务要求</w:t>
      </w:r>
    </w:p>
    <w:p>
      <w:pPr>
        <w:spacing w:line="360" w:lineRule="auto"/>
        <w:ind w:firstLine="560" w:firstLineChars="200"/>
        <w:rPr>
          <w:rFonts w:ascii="仿宋_GB2312" w:eastAsia="仿宋_GB2312"/>
          <w:sz w:val="28"/>
          <w:szCs w:val="28"/>
        </w:rPr>
      </w:pPr>
      <w:r>
        <w:rPr>
          <w:rFonts w:ascii="Times New Roman" w:hAnsi="Times New Roman" w:eastAsia="仿宋_GB2312" w:cs="Times New Roman"/>
          <w:color w:val="auto"/>
          <w:sz w:val="28"/>
          <w:szCs w:val="28"/>
        </w:rPr>
        <w:t>（一）</w:t>
      </w:r>
      <w:r>
        <w:rPr>
          <w:rFonts w:hint="eastAsia" w:ascii="Times New Roman" w:hAnsi="Times New Roman" w:eastAsia="仿宋_GB2312" w:cs="Times New Roman"/>
          <w:color w:val="auto"/>
          <w:sz w:val="28"/>
          <w:szCs w:val="28"/>
        </w:rPr>
        <w:t>服务工期：</w:t>
      </w:r>
      <w:r>
        <w:rPr>
          <w:rFonts w:hint="eastAsia" w:ascii="Times New Roman" w:hAnsi="Times New Roman" w:eastAsia="仿宋_GB2312" w:cs="Times New Roman"/>
          <w:color w:val="auto"/>
          <w:sz w:val="28"/>
          <w:szCs w:val="28"/>
          <w:highlight w:val="none"/>
          <w:lang w:val="en-US" w:eastAsia="zh-CN"/>
        </w:rPr>
        <w:t>自合同签订之日起60个工作日内到货，接到订货通知后须于36小时内以书面方式向询价人确认，并提供验收后1年的质保服务</w:t>
      </w:r>
      <w:r>
        <w:rPr>
          <w:rFonts w:hint="eastAsia" w:ascii="仿宋_GB2312" w:eastAsia="仿宋_GB2312"/>
          <w:sz w:val="28"/>
          <w:szCs w:val="28"/>
        </w:rPr>
        <w:t>；货物到达目的地后，应派遣熟练、称职的技术人员配合检验其所供应的货物的外观性能和各项参数指标是否符合要求</w:t>
      </w:r>
      <w:r>
        <w:rPr>
          <w:rFonts w:hint="eastAsia" w:ascii="仿宋_GB2312" w:eastAsia="仿宋_GB2312"/>
          <w:sz w:val="28"/>
          <w:szCs w:val="28"/>
          <w:lang w:eastAsia="zh-CN"/>
        </w:rPr>
        <w:t>，</w:t>
      </w:r>
      <w:r>
        <w:rPr>
          <w:rFonts w:hint="eastAsia" w:ascii="仿宋_GB2312" w:eastAsia="仿宋_GB2312"/>
          <w:sz w:val="28"/>
          <w:szCs w:val="28"/>
          <w:lang w:val="en-US" w:eastAsia="zh-CN"/>
        </w:rPr>
        <w:t>派遣技术人员进行仪器操作培训指导。</w:t>
      </w:r>
    </w:p>
    <w:p>
      <w:pPr>
        <w:autoSpaceDE w:val="0"/>
        <w:autoSpaceDN w:val="0"/>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二 ) </w:t>
      </w:r>
      <w:r>
        <w:rPr>
          <w:rFonts w:hint="eastAsia" w:ascii="Times New Roman" w:hAnsi="Times New Roman" w:eastAsia="仿宋_GB2312" w:cs="Times New Roman"/>
          <w:sz w:val="28"/>
          <w:szCs w:val="28"/>
        </w:rPr>
        <w:t>供货要求</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w:t>
      </w:r>
      <w:r>
        <w:rPr>
          <w:rFonts w:hint="eastAsia" w:ascii="仿宋_GB2312" w:eastAsia="仿宋_GB2312"/>
          <w:sz w:val="28"/>
          <w:szCs w:val="28"/>
        </w:rPr>
        <w:t>包装:</w:t>
      </w:r>
      <w:r>
        <w:rPr>
          <w:rFonts w:ascii="Times New Roman" w:hAnsi="Times New Roman" w:eastAsia="仿宋_GB2312" w:cs="Times New Roman"/>
          <w:color w:val="auto"/>
          <w:sz w:val="28"/>
          <w:szCs w:val="28"/>
        </w:rPr>
        <w:t>报价人所供货物应为制造商原装出厂</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包装箱号与货物出厂批号一致，包装须符合同等相关标准，</w:t>
      </w:r>
      <w:r>
        <w:rPr>
          <w:rFonts w:hint="eastAsia" w:ascii="仿宋_GB2312" w:eastAsia="仿宋_GB2312"/>
          <w:sz w:val="28"/>
          <w:szCs w:val="28"/>
        </w:rPr>
        <w:t>应有良好的防湿、防锈、防潮、防雨、防腐及防碰撞的措施。凡由于包装不良造成的损失和由此产生的费用均由报价人承担。</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 运输：报价人负责将设备产品送到现场过程中的全部运输，包括装卸车、货物现场的搬运等。</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3.验收要求：报价人应给出详细的验收方案，包括验收项目、验收标准，验收实施办法等；国内生产的产品必须有国家有关部门的认证合格证，强制认证产品必须有3C认证；验收由询价人、报价人依国家有关标准、合同及有关附件要求进行；验收完毕由双方在验收报告上签名。</w:t>
      </w:r>
    </w:p>
    <w:p>
      <w:pPr>
        <w:widowControl w:val="0"/>
        <w:spacing w:after="0" w:line="240" w:lineRule="auto"/>
        <w:ind w:firstLine="560"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rPr>
        <w:t>三</w:t>
      </w:r>
      <w:r>
        <w:rPr>
          <w:rFonts w:ascii="Times New Roman" w:hAnsi="Times New Roman" w:eastAsia="仿宋_GB2312" w:cs="Times New Roman"/>
          <w:color w:val="auto"/>
          <w:sz w:val="28"/>
          <w:szCs w:val="28"/>
        </w:rPr>
        <w:t>）质量要求和售后服务：</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1.质量要求：确保货物为原装未拆封或未使用的合格产品，交货时须</w:t>
      </w:r>
    </w:p>
    <w:p>
      <w:pPr>
        <w:spacing w:line="360" w:lineRule="auto"/>
        <w:rPr>
          <w:rFonts w:hint="eastAsia" w:ascii="仿宋_GB2312" w:eastAsia="仿宋_GB2312"/>
          <w:sz w:val="28"/>
          <w:szCs w:val="28"/>
        </w:rPr>
      </w:pPr>
      <w:r>
        <w:rPr>
          <w:rFonts w:hint="eastAsia" w:ascii="仿宋_GB2312" w:eastAsia="仿宋_GB2312"/>
          <w:sz w:val="28"/>
          <w:szCs w:val="28"/>
        </w:rPr>
        <w:t>出具厂家出厂合格证明；</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2.售后服务：货物如有质量问题或未能适配原有设备时，报价人必须</w:t>
      </w:r>
    </w:p>
    <w:p>
      <w:pPr>
        <w:spacing w:line="360" w:lineRule="auto"/>
        <w:rPr>
          <w:rFonts w:hint="eastAsia" w:ascii="仿宋_GB2312" w:eastAsia="仿宋_GB2312"/>
          <w:sz w:val="28"/>
          <w:szCs w:val="28"/>
        </w:rPr>
      </w:pPr>
      <w:r>
        <w:rPr>
          <w:rFonts w:hint="eastAsia" w:ascii="仿宋_GB2312" w:eastAsia="仿宋_GB2312"/>
          <w:sz w:val="28"/>
          <w:szCs w:val="28"/>
        </w:rPr>
        <w:t>24小时内立即响应。</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四）付款方式：本合同生效后，报价人按时分批供货，每批货物到齐且经开箱验收合格后，询价人在收到报价人提交的请款资料及等额增值税专用发票后15个工作日内向报价人支付至该批货款总额的100%（适用于分批供货且即时结清采购）。付款方式为网银支付。</w:t>
      </w:r>
    </w:p>
    <w:p>
      <w:pPr>
        <w:widowControl w:val="0"/>
        <w:spacing w:after="0" w:line="276" w:lineRule="auto"/>
        <w:ind w:firstLine="560"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（五）承包方式：单价包干</w:t>
      </w:r>
    </w:p>
    <w:p>
      <w:pPr>
        <w:widowControl w:val="0"/>
        <w:spacing w:after="0" w:line="240" w:lineRule="auto"/>
        <w:ind w:firstLine="560" w:firstLineChars="200"/>
        <w:jc w:val="both"/>
        <w:rPr>
          <w:rFonts w:ascii="Times New Roman" w:hAnsi="Times New Roman" w:eastAsia="仿宋_GB2312" w:cs="Times New Roman"/>
          <w:b/>
          <w:bCs/>
          <w:color w:val="auto"/>
          <w:sz w:val="28"/>
          <w:szCs w:val="28"/>
        </w:rPr>
      </w:pPr>
      <w:r>
        <w:rPr>
          <w:rFonts w:ascii="Times New Roman" w:hAnsi="Times New Roman" w:eastAsia="仿宋_GB2312" w:cs="Times New Roman"/>
          <w:b/>
          <w:bCs/>
          <w:color w:val="auto"/>
          <w:sz w:val="28"/>
          <w:szCs w:val="28"/>
        </w:rPr>
        <w:t>四、其他</w:t>
      </w:r>
    </w:p>
    <w:p>
      <w:pPr>
        <w:widowControl w:val="0"/>
        <w:spacing w:after="0" w:line="276" w:lineRule="auto"/>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报价人</w:t>
      </w:r>
      <w:r>
        <w:rPr>
          <w:rFonts w:ascii="Times New Roman" w:hAnsi="Times New Roman" w:eastAsia="仿宋_GB2312" w:cs="Times New Roman"/>
          <w:color w:val="auto"/>
          <w:sz w:val="28"/>
          <w:szCs w:val="28"/>
        </w:rPr>
        <w:t>不得转包、分包。否则，</w:t>
      </w:r>
      <w:r>
        <w:rPr>
          <w:rFonts w:hint="eastAsia" w:ascii="仿宋" w:hAnsi="仿宋" w:eastAsia="仿宋" w:cs="仿宋"/>
          <w:color w:val="auto"/>
          <w:sz w:val="28"/>
          <w:szCs w:val="28"/>
        </w:rPr>
        <w:t>询价人</w:t>
      </w:r>
      <w:r>
        <w:rPr>
          <w:rFonts w:ascii="Times New Roman" w:hAnsi="Times New Roman" w:eastAsia="仿宋_GB2312" w:cs="Times New Roman"/>
          <w:color w:val="auto"/>
          <w:sz w:val="28"/>
          <w:szCs w:val="28"/>
        </w:rPr>
        <w:t>有权单方面终止合同，拒收其货物，由此而造成的经济损失由</w:t>
      </w:r>
      <w:r>
        <w:rPr>
          <w:rFonts w:hint="eastAsia" w:ascii="Times New Roman" w:hAnsi="Times New Roman" w:eastAsia="仿宋_GB2312" w:cs="Times New Roman"/>
          <w:color w:val="auto"/>
          <w:sz w:val="28"/>
          <w:szCs w:val="28"/>
        </w:rPr>
        <w:t>报价人</w:t>
      </w:r>
      <w:r>
        <w:rPr>
          <w:rFonts w:ascii="Times New Roman" w:hAnsi="Times New Roman" w:eastAsia="仿宋_GB2312" w:cs="Times New Roman"/>
          <w:color w:val="auto"/>
          <w:sz w:val="28"/>
          <w:szCs w:val="28"/>
        </w:rPr>
        <w:t>负责赔偿。</w:t>
      </w: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rFonts w:hint="eastAsia"/>
          <w:color w:val="auto"/>
          <w:highlight w:val="none"/>
        </w:rPr>
      </w:pPr>
      <w:bookmarkStart w:id="64" w:name="_Toc23330"/>
      <w:bookmarkStart w:id="65" w:name="_Toc537"/>
      <w:bookmarkStart w:id="66" w:name="_Toc4680"/>
      <w:bookmarkStart w:id="67" w:name="_Toc18538"/>
      <w:bookmarkStart w:id="68" w:name="_Toc29835"/>
      <w:bookmarkStart w:id="69" w:name="_Toc15570"/>
      <w:bookmarkStart w:id="70" w:name="_Toc12135"/>
      <w:bookmarkStart w:id="71" w:name="_Toc25925"/>
      <w:bookmarkStart w:id="72" w:name="_Toc1496"/>
      <w:bookmarkStart w:id="73" w:name="_Toc1284"/>
      <w:bookmarkStart w:id="74" w:name="_Toc23353"/>
    </w:p>
    <w:p>
      <w:pPr>
        <w:pStyle w:val="4"/>
        <w:rPr>
          <w:rFonts w:hint="eastAsia"/>
          <w:color w:val="auto"/>
          <w:highlight w:val="none"/>
        </w:rPr>
      </w:pPr>
    </w:p>
    <w:p>
      <w:pPr>
        <w:rPr>
          <w:rFonts w:hint="eastAsia"/>
        </w:rPr>
      </w:pPr>
    </w:p>
    <w:p>
      <w:pPr>
        <w:pStyle w:val="4"/>
        <w:spacing w:line="579" w:lineRule="auto"/>
        <w:ind w:firstLine="0" w:firstLineChars="0"/>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2414270</wp:posOffset>
                </wp:positionH>
                <wp:positionV relativeFrom="paragraph">
                  <wp:posOffset>929640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90.1pt;margin-top:73.2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2426970</wp:posOffset>
                </wp:positionH>
                <wp:positionV relativeFrom="paragraph">
                  <wp:posOffset>499110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91.1pt;margin-top:39.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4"/>
      <w:bookmarkEnd w:id="65"/>
      <w:bookmarkEnd w:id="66"/>
      <w:bookmarkEnd w:id="67"/>
      <w:bookmarkEnd w:id="68"/>
      <w:bookmarkEnd w:id="69"/>
      <w:bookmarkEnd w:id="70"/>
      <w:bookmarkEnd w:id="71"/>
      <w:bookmarkEnd w:id="72"/>
      <w:bookmarkEnd w:id="73"/>
      <w:bookmarkEnd w:id="74"/>
    </w:p>
    <w:p>
      <w:pPr>
        <w:pStyle w:val="4"/>
        <w:rPr>
          <w:color w:val="auto"/>
          <w:highlight w:val="none"/>
        </w:rPr>
      </w:pPr>
      <w:bookmarkStart w:id="75" w:name="_Toc323"/>
      <w:bookmarkStart w:id="76" w:name="_Toc1375"/>
      <w:bookmarkStart w:id="77" w:name="_Toc19088"/>
      <w:bookmarkStart w:id="78" w:name="_Toc22797"/>
      <w:bookmarkStart w:id="79" w:name="_Toc19686"/>
      <w:bookmarkStart w:id="80" w:name="_Toc13309"/>
      <w:bookmarkStart w:id="81" w:name="_Toc12968"/>
      <w:bookmarkStart w:id="82" w:name="_Toc22501"/>
      <w:bookmarkStart w:id="83" w:name="_Toc12980"/>
      <w:bookmarkStart w:id="84" w:name="_Toc87616386"/>
      <w:bookmarkStart w:id="85" w:name="_Toc88209949"/>
      <w:bookmarkStart w:id="86" w:name="_Toc12721"/>
      <w:bookmarkStart w:id="87" w:name="_Toc8183"/>
      <w:r>
        <w:rPr>
          <w:rFonts w:hint="eastAsia"/>
          <w:color w:val="auto"/>
          <w:highlight w:val="none"/>
        </w:rPr>
        <w:t>合同</w:t>
      </w:r>
      <w:bookmarkEnd w:id="75"/>
      <w:bookmarkEnd w:id="76"/>
      <w:bookmarkEnd w:id="77"/>
      <w:bookmarkEnd w:id="78"/>
      <w:bookmarkEnd w:id="79"/>
      <w:bookmarkEnd w:id="80"/>
      <w:bookmarkEnd w:id="81"/>
      <w:bookmarkEnd w:id="82"/>
      <w:bookmarkEnd w:id="83"/>
      <w:bookmarkEnd w:id="84"/>
      <w:bookmarkEnd w:id="85"/>
      <w:bookmarkEnd w:id="86"/>
      <w:bookmarkEnd w:id="8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56"/>
        <w:jc w:val="center"/>
        <w:rPr>
          <w:rFonts w:eastAsia="方正小标宋简体"/>
          <w:sz w:val="48"/>
          <w:szCs w:val="48"/>
        </w:rPr>
      </w:pPr>
    </w:p>
    <w:p>
      <w:pPr>
        <w:pStyle w:val="56"/>
        <w:jc w:val="center"/>
        <w:rPr>
          <w:rFonts w:eastAsia="方正小标宋简体"/>
          <w:sz w:val="48"/>
          <w:szCs w:val="48"/>
        </w:rPr>
      </w:pPr>
    </w:p>
    <w:p>
      <w:pPr>
        <w:pStyle w:val="56"/>
        <w:jc w:val="center"/>
        <w:rPr>
          <w:rFonts w:eastAsia="方正小标宋简体"/>
          <w:sz w:val="48"/>
          <w:szCs w:val="48"/>
        </w:rPr>
      </w:pPr>
    </w:p>
    <w:p>
      <w:pPr>
        <w:pStyle w:val="56"/>
        <w:jc w:val="center"/>
        <w:rPr>
          <w:rFonts w:eastAsia="方正小标宋简体"/>
          <w:sz w:val="48"/>
          <w:szCs w:val="48"/>
        </w:rPr>
      </w:pPr>
    </w:p>
    <w:p>
      <w:pPr>
        <w:pStyle w:val="56"/>
        <w:jc w:val="center"/>
        <w:rPr>
          <w:rFonts w:eastAsia="方正小标宋简体"/>
          <w:sz w:val="48"/>
          <w:szCs w:val="48"/>
        </w:rPr>
      </w:pPr>
    </w:p>
    <w:p>
      <w:pPr>
        <w:pStyle w:val="56"/>
        <w:jc w:val="center"/>
        <w:rPr>
          <w:rFonts w:eastAsia="方正小标宋简体"/>
          <w:sz w:val="48"/>
          <w:szCs w:val="48"/>
        </w:rPr>
      </w:pPr>
    </w:p>
    <w:p>
      <w:pPr>
        <w:pStyle w:val="56"/>
        <w:jc w:val="both"/>
        <w:rPr>
          <w:rFonts w:eastAsia="方正小标宋简体"/>
          <w:sz w:val="48"/>
          <w:szCs w:val="48"/>
        </w:rPr>
      </w:pPr>
    </w:p>
    <w:p>
      <w:pPr>
        <w:pStyle w:val="56"/>
        <w:jc w:val="center"/>
        <w:rPr>
          <w:rFonts w:eastAsia="方正小标宋简体"/>
          <w:sz w:val="48"/>
          <w:szCs w:val="48"/>
        </w:rPr>
      </w:pPr>
    </w:p>
    <w:p>
      <w:pPr>
        <w:pStyle w:val="56"/>
        <w:jc w:val="center"/>
        <w:rPr>
          <w:rFonts w:eastAsia="方正小标宋简体"/>
          <w:sz w:val="48"/>
          <w:szCs w:val="48"/>
        </w:rPr>
      </w:pPr>
      <w:r>
        <w:rPr>
          <w:rFonts w:eastAsia="方正小标宋简体"/>
          <w:sz w:val="48"/>
          <w:szCs w:val="48"/>
        </w:rPr>
        <w:t>广州市净水有限公司</w:t>
      </w:r>
    </w:p>
    <w:p>
      <w:pPr>
        <w:pStyle w:val="56"/>
        <w:jc w:val="center"/>
        <w:rPr>
          <w:rFonts w:eastAsia="方正小标宋简体"/>
          <w:sz w:val="48"/>
          <w:szCs w:val="48"/>
        </w:rPr>
      </w:pPr>
      <w:r>
        <w:rPr>
          <w:rFonts w:hint="eastAsia" w:eastAsia="方正小标宋简体"/>
          <w:sz w:val="48"/>
          <w:szCs w:val="48"/>
        </w:rPr>
        <w:t>设备</w:t>
      </w:r>
      <w:r>
        <w:rPr>
          <w:rFonts w:eastAsia="方正小标宋简体"/>
          <w:sz w:val="48"/>
          <w:szCs w:val="48"/>
        </w:rPr>
        <w:t>采购合同</w:t>
      </w:r>
    </w:p>
    <w:p>
      <w:pPr>
        <w:widowControl w:val="0"/>
        <w:spacing w:after="0" w:line="360" w:lineRule="auto"/>
        <w:jc w:val="center"/>
        <w:rPr>
          <w:rFonts w:ascii="Times New Roman" w:hAnsi="Times New Roman" w:cs="Times New Roman"/>
          <w:color w:val="auto"/>
          <w:sz w:val="28"/>
          <w:szCs w:val="28"/>
        </w:rPr>
      </w:pPr>
    </w:p>
    <w:p>
      <w:pPr>
        <w:jc w:val="center"/>
        <w:rPr>
          <w:rFonts w:ascii="Times New Roman" w:hAnsi="Times New Roman" w:cs="Times New Roman"/>
          <w:color w:val="auto"/>
          <w:sz w:val="30"/>
        </w:rPr>
      </w:pPr>
    </w:p>
    <w:p>
      <w:pPr>
        <w:rPr>
          <w:rFonts w:ascii="Times New Roman" w:hAnsi="Times New Roman" w:cs="Times New Roman"/>
          <w:b/>
          <w:bCs/>
          <w:color w:val="auto"/>
          <w:sz w:val="30"/>
        </w:rPr>
      </w:pPr>
    </w:p>
    <w:p>
      <w:pPr>
        <w:spacing w:line="360" w:lineRule="auto"/>
        <w:ind w:left="0" w:hanging="1500" w:hangingChars="500"/>
        <w:jc w:val="left"/>
        <w:rPr>
          <w:rFonts w:hint="eastAsia" w:ascii="Times New Roman" w:hAnsi="Times New Roman" w:cs="Times New Roman"/>
          <w:b/>
          <w:bCs/>
          <w:color w:val="auto"/>
          <w:sz w:val="30"/>
          <w:lang w:val="en-US" w:eastAsia="zh-CN"/>
        </w:rPr>
      </w:pPr>
      <w:r>
        <w:rPr>
          <w:rFonts w:ascii="Times New Roman" w:hAnsi="Times New Roman" w:cs="Times New Roman"/>
          <w:b/>
          <w:bCs/>
          <w:color w:val="auto"/>
          <w:sz w:val="30"/>
        </w:rPr>
        <w:t>项目名称：</w:t>
      </w:r>
      <w:r>
        <w:rPr>
          <w:rFonts w:hint="eastAsia" w:ascii="Times New Roman" w:hAnsi="Times New Roman" w:cs="Times New Roman"/>
          <w:b/>
          <w:bCs/>
          <w:color w:val="auto"/>
          <w:sz w:val="30"/>
          <w:lang w:val="en-US" w:eastAsia="zh-CN"/>
        </w:rPr>
        <w:t>广州市净水有限公司市政污泥减量及资源化利用关键技术研究及示范（2021-2023）-仪器采购项目</w:t>
      </w:r>
    </w:p>
    <w:p>
      <w:pPr>
        <w:spacing w:line="480" w:lineRule="auto"/>
        <w:ind w:left="1500" w:hanging="1500" w:hangingChars="500"/>
        <w:jc w:val="left"/>
        <w:rPr>
          <w:rFonts w:hint="eastAsia" w:ascii="Times New Roman" w:hAnsi="Times New Roman" w:cs="Times New Roman"/>
          <w:b/>
          <w:bCs/>
          <w:color w:val="auto"/>
          <w:sz w:val="30"/>
          <w:lang w:val="en-US" w:eastAsia="zh-CN"/>
        </w:rPr>
      </w:pPr>
    </w:p>
    <w:p>
      <w:pPr>
        <w:spacing w:line="480" w:lineRule="auto"/>
        <w:rPr>
          <w:rFonts w:ascii="Times New Roman" w:hAnsi="Times New Roman" w:cs="Times New Roman"/>
          <w:b/>
          <w:bCs/>
          <w:color w:val="auto"/>
          <w:sz w:val="30"/>
        </w:rPr>
      </w:pPr>
      <w:r>
        <w:rPr>
          <w:rFonts w:ascii="Times New Roman" w:hAnsi="Times New Roman" w:cs="Times New Roman"/>
          <w:b/>
          <w:bCs/>
          <w:color w:val="auto"/>
          <w:sz w:val="30"/>
        </w:rPr>
        <w:t>项目编号：</w:t>
      </w:r>
    </w:p>
    <w:p>
      <w:pPr>
        <w:pStyle w:val="58"/>
        <w:rPr>
          <w:rFonts w:ascii="Times New Roman" w:hAnsi="Times New Roman"/>
        </w:rPr>
      </w:pPr>
    </w:p>
    <w:p>
      <w:pPr>
        <w:spacing w:line="480" w:lineRule="auto"/>
        <w:rPr>
          <w:rFonts w:ascii="Times New Roman" w:hAnsi="Times New Roman" w:cs="Times New Roman"/>
          <w:b/>
          <w:bCs/>
          <w:color w:val="auto"/>
          <w:sz w:val="30"/>
          <w:szCs w:val="30"/>
        </w:rPr>
      </w:pPr>
      <w:r>
        <w:rPr>
          <w:rFonts w:ascii="Times New Roman" w:hAnsi="Times New Roman" w:cs="Times New Roman"/>
          <w:b/>
          <w:bCs/>
          <w:color w:val="auto"/>
          <w:sz w:val="30"/>
        </w:rPr>
        <w:t>合同编号：</w:t>
      </w:r>
      <w:r>
        <w:rPr>
          <w:rFonts w:ascii="Times New Roman" w:hAnsi="Times New Roman" w:cs="Times New Roman"/>
          <w:b/>
          <w:bCs/>
          <w:color w:val="auto"/>
          <w:sz w:val="30"/>
          <w:szCs w:val="30"/>
        </w:rPr>
        <w:t>穗净水合[     ]    号</w:t>
      </w:r>
    </w:p>
    <w:p>
      <w:pPr>
        <w:spacing w:line="480" w:lineRule="auto"/>
        <w:rPr>
          <w:rFonts w:ascii="Times New Roman" w:hAnsi="Times New Roman" w:cs="Times New Roman"/>
          <w:b/>
          <w:bCs/>
          <w:color w:val="auto"/>
          <w:sz w:val="30"/>
        </w:rPr>
      </w:pPr>
    </w:p>
    <w:p>
      <w:pPr>
        <w:spacing w:line="480" w:lineRule="auto"/>
        <w:rPr>
          <w:rFonts w:ascii="Times New Roman" w:hAnsi="Times New Roman" w:cs="Times New Roman"/>
          <w:b/>
          <w:bCs/>
          <w:color w:val="auto"/>
          <w:sz w:val="30"/>
          <w:u w:val="none"/>
        </w:rPr>
      </w:pPr>
      <w:r>
        <w:rPr>
          <w:rFonts w:ascii="Times New Roman" w:hAnsi="Times New Roman" w:cs="Times New Roman"/>
          <w:b/>
          <w:bCs/>
          <w:color w:val="auto"/>
          <w:sz w:val="30"/>
        </w:rPr>
        <w:t>甲方（买方）：</w:t>
      </w:r>
      <w:r>
        <w:rPr>
          <w:rFonts w:ascii="Times New Roman" w:hAnsi="Times New Roman" w:cs="Times New Roman"/>
          <w:b/>
          <w:bCs/>
          <w:color w:val="auto"/>
          <w:sz w:val="30"/>
          <w:u w:val="none"/>
        </w:rPr>
        <w:t>广州市净水有限公司</w:t>
      </w:r>
    </w:p>
    <w:p>
      <w:pPr>
        <w:spacing w:line="480" w:lineRule="auto"/>
        <w:rPr>
          <w:rFonts w:ascii="Times New Roman" w:hAnsi="Times New Roman" w:cs="Times New Roman"/>
          <w:b w:val="0"/>
          <w:bCs w:val="0"/>
          <w:color w:val="auto"/>
          <w:sz w:val="30"/>
          <w:u w:val="none"/>
        </w:rPr>
      </w:pPr>
      <w:r>
        <w:rPr>
          <w:rFonts w:ascii="Times New Roman" w:hAnsi="Times New Roman" w:cs="Times New Roman"/>
          <w:b/>
          <w:bCs/>
          <w:color w:val="auto"/>
          <w:sz w:val="30"/>
          <w:u w:val="none"/>
        </w:rPr>
        <w:t>乙方（卖方）：</w:t>
      </w:r>
      <w:r>
        <w:rPr>
          <w:rFonts w:ascii="Times New Roman" w:hAnsi="Times New Roman" w:cs="Times New Roman"/>
          <w:b w:val="0"/>
          <w:bCs w:val="0"/>
          <w:color w:val="auto"/>
          <w:sz w:val="30"/>
          <w:u w:val="none"/>
        </w:rPr>
        <w:t xml:space="preserve">                    </w:t>
      </w:r>
    </w:p>
    <w:p>
      <w:pPr>
        <w:spacing w:line="480" w:lineRule="auto"/>
        <w:rPr>
          <w:rFonts w:ascii="Times New Roman" w:hAnsi="Times New Roman" w:cs="Times New Roman"/>
          <w:b/>
          <w:bCs/>
          <w:color w:val="auto"/>
          <w:sz w:val="30"/>
        </w:rPr>
      </w:pPr>
      <w:r>
        <w:rPr>
          <w:rFonts w:ascii="Times New Roman" w:hAnsi="Times New Roman" w:cs="Times New Roman"/>
          <w:b/>
          <w:bCs/>
          <w:color w:val="auto"/>
          <w:sz w:val="30"/>
        </w:rPr>
        <w:t>签订日期：    年  月  日</w:t>
      </w:r>
    </w:p>
    <w:p>
      <w:pPr>
        <w:spacing w:line="480" w:lineRule="auto"/>
        <w:rPr>
          <w:rFonts w:ascii="Times New Roman" w:hAnsi="Times New Roman" w:cs="Times New Roman"/>
          <w:b/>
          <w:bCs/>
          <w:color w:val="auto"/>
          <w:sz w:val="30"/>
        </w:rPr>
      </w:pPr>
      <w:r>
        <w:rPr>
          <w:rFonts w:ascii="Times New Roman" w:hAnsi="Times New Roman" w:cs="Times New Roman"/>
          <w:b/>
          <w:bCs/>
          <w:color w:val="auto"/>
          <w:sz w:val="30"/>
        </w:rPr>
        <w:t>签约地点：广州市</w:t>
      </w:r>
    </w:p>
    <w:p>
      <w:pPr>
        <w:rPr>
          <w:rFonts w:ascii="Times New Roman" w:hAnsi="Times New Roman" w:cs="Times New Roman"/>
          <w:color w:val="auto"/>
          <w:sz w:val="24"/>
          <w:szCs w:val="24"/>
        </w:rPr>
      </w:pPr>
    </w:p>
    <w:p>
      <w:pPr>
        <w:rPr>
          <w:rFonts w:ascii="Times New Roman" w:hAnsi="Times New Roman" w:cs="Times New Roman"/>
          <w:color w:val="auto"/>
        </w:rPr>
        <w:sectPr>
          <w:footerReference r:id="rId6" w:type="default"/>
          <w:pgSz w:w="11907" w:h="16840"/>
          <w:pgMar w:top="1440" w:right="1418" w:bottom="1440" w:left="1418" w:header="851" w:footer="992" w:gutter="0"/>
          <w:pgNumType w:fmt="decimal" w:start="1"/>
          <w:cols w:space="720" w:num="1"/>
          <w:docGrid w:type="linesAndChars" w:linePitch="381" w:charSpace="0"/>
        </w:sectPr>
      </w:pP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根据《中华人民共和国民法典》及其他有关法律、行政法规，</w:t>
      </w:r>
      <w:r>
        <w:rPr>
          <w:rFonts w:ascii="Times New Roman" w:hAnsi="Times New Roman" w:cs="Times New Roman"/>
          <w:color w:val="auto"/>
          <w:sz w:val="24"/>
          <w:szCs w:val="24"/>
          <w:u w:val="single"/>
        </w:rPr>
        <w:t>广州市净水有限公司</w:t>
      </w:r>
      <w:r>
        <w:rPr>
          <w:rFonts w:ascii="Times New Roman" w:hAnsi="Times New Roman" w:cs="Times New Roman"/>
          <w:color w:val="auto"/>
          <w:sz w:val="24"/>
          <w:szCs w:val="24"/>
        </w:rPr>
        <w:t>（以下简称“甲方”）与</w:t>
      </w:r>
      <w:r>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rPr>
        <w:t xml:space="preserve"> （以下简称“乙方”）就</w:t>
      </w:r>
      <w:r>
        <w:rPr>
          <w:rFonts w:hint="eastAsia" w:ascii="Times New Roman" w:hAnsi="Times New Roman" w:cs="Times New Roman"/>
          <w:color w:val="auto"/>
          <w:sz w:val="24"/>
          <w:szCs w:val="24"/>
          <w:u w:val="single"/>
          <w:lang w:val="en-US" w:eastAsia="zh-CN"/>
        </w:rPr>
        <w:t>广州市净水有限公司市政污泥减量及资源化利用关键技术研究及示范（2021-2023）-仪器采购项目</w:t>
      </w:r>
      <w:r>
        <w:rPr>
          <w:rFonts w:ascii="Times New Roman" w:hAnsi="Times New Roman" w:cs="Times New Roman"/>
          <w:color w:val="auto"/>
          <w:sz w:val="24"/>
          <w:szCs w:val="24"/>
        </w:rPr>
        <w:t>采购事宜，遵循平等、自愿、公平和诚实信用的原则，双方协商一致，订立本合同。</w:t>
      </w:r>
      <w:bookmarkStart w:id="88" w:name="_Toc474245209"/>
      <w:bookmarkStart w:id="89" w:name="_Toc183666512"/>
      <w:bookmarkStart w:id="90" w:name="_Toc518992985"/>
      <w:bookmarkStart w:id="91" w:name="_Toc520190025"/>
      <w:bookmarkStart w:id="92" w:name="_Toc10888"/>
      <w:r>
        <w:rPr>
          <w:rFonts w:ascii="Times New Roman" w:hAnsi="Times New Roman" w:cs="Times New Roman"/>
          <w:color w:val="auto"/>
          <w:sz w:val="24"/>
          <w:szCs w:val="24"/>
        </w:rPr>
        <w:t xml:space="preserve"> </w:t>
      </w:r>
      <w:bookmarkEnd w:id="88"/>
      <w:bookmarkEnd w:id="89"/>
      <w:bookmarkEnd w:id="90"/>
      <w:bookmarkEnd w:id="91"/>
      <w:bookmarkEnd w:id="92"/>
      <w:bookmarkStart w:id="93" w:name="_Toc474245210"/>
      <w:bookmarkStart w:id="94" w:name="_Toc1018"/>
      <w:bookmarkStart w:id="95" w:name="_Toc183666513"/>
      <w:bookmarkStart w:id="96" w:name="_Toc518992986"/>
      <w:bookmarkStart w:id="97" w:name="_Toc520190026"/>
    </w:p>
    <w:p>
      <w:pPr>
        <w:pStyle w:val="10"/>
        <w:tabs>
          <w:tab w:val="left" w:pos="720"/>
        </w:tabs>
        <w:spacing w:line="440" w:lineRule="exact"/>
        <w:ind w:firstLine="482" w:firstLineChars="200"/>
        <w:rPr>
          <w:rFonts w:ascii="Times New Roman"/>
          <w:sz w:val="24"/>
          <w:szCs w:val="24"/>
        </w:rPr>
      </w:pPr>
      <w:r>
        <w:rPr>
          <w:rFonts w:ascii="Times New Roman"/>
          <w:b/>
          <w:bCs/>
          <w:sz w:val="24"/>
          <w:szCs w:val="24"/>
        </w:rPr>
        <w:t>第一条</w:t>
      </w:r>
      <w:r>
        <w:rPr>
          <w:rFonts w:ascii="Times New Roman"/>
          <w:sz w:val="24"/>
          <w:szCs w:val="24"/>
        </w:rPr>
        <w:t xml:space="preserve"> </w:t>
      </w:r>
      <w:r>
        <w:rPr>
          <w:rFonts w:ascii="Times New Roman"/>
          <w:b/>
          <w:bCs/>
          <w:sz w:val="24"/>
          <w:szCs w:val="24"/>
        </w:rPr>
        <w:t>组成合同的文件及优先顺序</w:t>
      </w:r>
    </w:p>
    <w:p>
      <w:pPr>
        <w:pStyle w:val="10"/>
        <w:tabs>
          <w:tab w:val="left" w:pos="720"/>
        </w:tabs>
        <w:spacing w:line="440" w:lineRule="exact"/>
        <w:ind w:firstLine="480" w:firstLineChars="200"/>
        <w:rPr>
          <w:rFonts w:ascii="Times New Roman"/>
          <w:kern w:val="2"/>
          <w:sz w:val="24"/>
          <w:szCs w:val="24"/>
        </w:rPr>
      </w:pPr>
      <w:r>
        <w:rPr>
          <w:rFonts w:ascii="Times New Roman"/>
          <w:kern w:val="2"/>
          <w:sz w:val="24"/>
          <w:szCs w:val="24"/>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color w:val="auto"/>
          <w:sz w:val="24"/>
          <w:szCs w:val="24"/>
        </w:rPr>
      </w:pPr>
      <w:r>
        <w:rPr>
          <w:rFonts w:hint="eastAsia" w:ascii="宋体" w:hAnsi="宋体" w:cs="宋体"/>
          <w:color w:val="auto"/>
          <w:sz w:val="24"/>
          <w:szCs w:val="24"/>
        </w:rPr>
        <w:t>⑴</w:t>
      </w:r>
      <w:r>
        <w:rPr>
          <w:rFonts w:ascii="Times New Roman" w:hAnsi="Times New Roman" w:cs="Times New Roman"/>
          <w:color w:val="auto"/>
          <w:sz w:val="24"/>
          <w:szCs w:val="24"/>
        </w:rPr>
        <w:t xml:space="preserve"> 在本合同实施过程双方签署的补充与修正文件；</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color w:val="auto"/>
          <w:sz w:val="24"/>
          <w:szCs w:val="24"/>
        </w:rPr>
      </w:pPr>
      <w:r>
        <w:rPr>
          <w:rFonts w:hint="eastAsia" w:ascii="宋体" w:hAnsi="宋体" w:cs="宋体"/>
          <w:color w:val="auto"/>
          <w:sz w:val="24"/>
          <w:szCs w:val="24"/>
        </w:rPr>
        <w:t>⑵</w:t>
      </w:r>
      <w:r>
        <w:rPr>
          <w:rFonts w:ascii="Times New Roman" w:hAnsi="Times New Roman" w:cs="Times New Roman"/>
          <w:color w:val="auto"/>
          <w:sz w:val="24"/>
          <w:szCs w:val="24"/>
        </w:rPr>
        <w:t xml:space="preserve"> 本合同书；</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bCs/>
          <w:color w:val="auto"/>
          <w:sz w:val="24"/>
        </w:rPr>
      </w:pPr>
      <w:r>
        <w:rPr>
          <w:rFonts w:hint="eastAsia" w:ascii="宋体" w:hAnsi="宋体" w:cs="宋体"/>
          <w:bCs/>
          <w:color w:val="auto"/>
          <w:sz w:val="24"/>
        </w:rPr>
        <w:t>⑶</w:t>
      </w:r>
      <w:r>
        <w:rPr>
          <w:rFonts w:ascii="Times New Roman" w:hAnsi="Times New Roman" w:cs="Times New Roman"/>
          <w:bCs/>
          <w:color w:val="auto"/>
          <w:sz w:val="24"/>
        </w:rPr>
        <w:t xml:space="preserve"> 发包通知书；</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bCs/>
          <w:color w:val="auto"/>
          <w:sz w:val="24"/>
        </w:rPr>
      </w:pPr>
      <w:r>
        <w:rPr>
          <w:rFonts w:hint="eastAsia" w:ascii="宋体" w:hAnsi="宋体" w:cs="宋体"/>
          <w:bCs/>
          <w:color w:val="auto"/>
          <w:sz w:val="24"/>
        </w:rPr>
        <w:t>⑷</w:t>
      </w:r>
      <w:r>
        <w:rPr>
          <w:rFonts w:ascii="Times New Roman" w:hAnsi="Times New Roman" w:cs="Times New Roman"/>
          <w:bCs/>
          <w:color w:val="auto"/>
          <w:sz w:val="24"/>
        </w:rPr>
        <w:t xml:space="preserve"> 询价文件；</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bCs/>
          <w:color w:val="auto"/>
          <w:sz w:val="24"/>
        </w:rPr>
      </w:pPr>
      <w:r>
        <w:rPr>
          <w:rFonts w:hint="eastAsia" w:ascii="宋体" w:hAnsi="宋体" w:cs="宋体"/>
          <w:bCs/>
          <w:color w:val="auto"/>
          <w:sz w:val="24"/>
        </w:rPr>
        <w:t>⑸</w:t>
      </w:r>
      <w:r>
        <w:rPr>
          <w:rFonts w:ascii="Times New Roman" w:hAnsi="Times New Roman" w:cs="Times New Roman"/>
          <w:bCs/>
          <w:color w:val="auto"/>
          <w:sz w:val="24"/>
        </w:rPr>
        <w:t xml:space="preserve"> 响应文件；</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bCs/>
          <w:color w:val="auto"/>
          <w:sz w:val="24"/>
        </w:rPr>
      </w:pPr>
      <w:r>
        <w:rPr>
          <w:rFonts w:hint="eastAsia" w:ascii="宋体" w:hAnsi="宋体" w:cs="宋体"/>
          <w:bCs/>
          <w:color w:val="auto"/>
          <w:sz w:val="24"/>
        </w:rPr>
        <w:t>⑹</w:t>
      </w:r>
      <w:r>
        <w:rPr>
          <w:rFonts w:ascii="Times New Roman" w:hAnsi="Times New Roman" w:cs="Times New Roman"/>
          <w:bCs/>
          <w:color w:val="auto"/>
          <w:sz w:val="24"/>
        </w:rPr>
        <w:t xml:space="preserve"> 标准、规范及有关技术性文件；</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bCs/>
          <w:color w:val="auto"/>
          <w:sz w:val="24"/>
        </w:rPr>
      </w:pPr>
      <w:r>
        <w:rPr>
          <w:rFonts w:hint="eastAsia" w:ascii="宋体" w:hAnsi="宋体" w:cs="宋体"/>
          <w:bCs/>
          <w:color w:val="auto"/>
          <w:sz w:val="24"/>
        </w:rPr>
        <w:t>⑺</w:t>
      </w:r>
      <w:r>
        <w:rPr>
          <w:rFonts w:ascii="Times New Roman" w:hAnsi="Times New Roman" w:cs="Times New Roman"/>
          <w:bCs/>
          <w:color w:val="auto"/>
          <w:sz w:val="24"/>
        </w:rPr>
        <w:t xml:space="preserve"> 图纸；</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bCs/>
          <w:color w:val="auto"/>
          <w:sz w:val="24"/>
        </w:rPr>
      </w:pPr>
      <w:r>
        <w:rPr>
          <w:rFonts w:hint="eastAsia" w:ascii="宋体" w:hAnsi="宋体" w:cs="宋体"/>
          <w:bCs/>
          <w:color w:val="auto"/>
          <w:sz w:val="24"/>
        </w:rPr>
        <w:t>⑻</w:t>
      </w:r>
      <w:r>
        <w:rPr>
          <w:rFonts w:ascii="Times New Roman" w:hAnsi="Times New Roman" w:cs="Times New Roman"/>
          <w:bCs/>
          <w:color w:val="auto"/>
          <w:sz w:val="24"/>
        </w:rPr>
        <w:t xml:space="preserve"> 工程量清单/</w:t>
      </w:r>
      <w:r>
        <w:rPr>
          <w:rFonts w:ascii="Times New Roman" w:hAnsi="Times New Roman" w:cs="Times New Roman"/>
          <w:color w:val="auto"/>
          <w:sz w:val="24"/>
        </w:rPr>
        <w:t>工程报价单或预算书</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Times New Roman" w:hAnsi="Times New Roman" w:cs="Times New Roman"/>
          <w:b/>
          <w:color w:val="auto"/>
          <w:sz w:val="24"/>
          <w:szCs w:val="24"/>
        </w:rPr>
      </w:pPr>
      <w:r>
        <w:rPr>
          <w:rFonts w:hint="eastAsia" w:ascii="宋体" w:hAnsi="宋体" w:cs="宋体"/>
          <w:bCs/>
          <w:color w:val="auto"/>
          <w:sz w:val="24"/>
        </w:rPr>
        <w:t>⑼</w:t>
      </w:r>
      <w:r>
        <w:rPr>
          <w:rFonts w:ascii="Times New Roman" w:hAnsi="Times New Roman" w:cs="Times New Roman"/>
          <w:bCs/>
          <w:color w:val="auto"/>
          <w:sz w:val="24"/>
        </w:rPr>
        <w:t xml:space="preserve"> 本合同其他附件；</w:t>
      </w:r>
    </w:p>
    <w:bookmarkEnd w:id="93"/>
    <w:bookmarkEnd w:id="94"/>
    <w:bookmarkEnd w:id="95"/>
    <w:bookmarkEnd w:id="96"/>
    <w:bookmarkEnd w:id="97"/>
    <w:p>
      <w:pPr>
        <w:numPr>
          <w:ilvl w:val="0"/>
          <w:numId w:val="6"/>
        </w:numPr>
        <w:adjustRightInd w:val="0"/>
        <w:snapToGrid w:val="0"/>
        <w:spacing w:line="460" w:lineRule="exact"/>
        <w:ind w:firstLine="482" w:firstLineChars="200"/>
        <w:rPr>
          <w:rFonts w:ascii="Times New Roman" w:hAnsi="Times New Roman" w:cs="Times New Roman"/>
          <w:b/>
          <w:color w:val="auto"/>
          <w:sz w:val="24"/>
          <w:szCs w:val="24"/>
        </w:rPr>
      </w:pPr>
      <w:r>
        <w:rPr>
          <w:rFonts w:ascii="Times New Roman" w:hAnsi="Times New Roman" w:cs="Times New Roman"/>
          <w:b/>
          <w:color w:val="auto"/>
          <w:sz w:val="24"/>
          <w:szCs w:val="24"/>
        </w:rPr>
        <w:t>合同标的</w:t>
      </w:r>
    </w:p>
    <w:p>
      <w:pPr>
        <w:pStyle w:val="7"/>
      </w:pPr>
      <w:r>
        <w:rPr>
          <w:rFonts w:hint="eastAsia"/>
        </w:rPr>
        <w:t xml:space="preserve">本合同所指设备为 </w:t>
      </w:r>
      <w:r>
        <w:rPr>
          <w:rFonts w:hint="eastAsia"/>
          <w:u w:val="single"/>
          <w:lang w:eastAsia="zh-CN"/>
        </w:rPr>
        <w:t xml:space="preserve"> </w:t>
      </w:r>
      <w:r>
        <w:rPr>
          <w:rFonts w:hint="eastAsia"/>
          <w:u w:val="single"/>
          <w:lang w:val="en-US" w:eastAsia="zh-CN"/>
        </w:rPr>
        <w:t xml:space="preserve"> </w:t>
      </w:r>
      <w:r>
        <w:rPr>
          <w:rFonts w:hint="eastAsia"/>
        </w:rPr>
        <w:t xml:space="preserve"> 全新的原装产品，原产地为 </w:t>
      </w:r>
      <w:r>
        <w:rPr>
          <w:rFonts w:hint="eastAsia"/>
          <w:lang w:val="en-US" w:eastAsia="zh-CN"/>
        </w:rPr>
        <w:t xml:space="preserve">  </w:t>
      </w:r>
      <w:r>
        <w:rPr>
          <w:rFonts w:hint="eastAsia"/>
        </w:rPr>
        <w:t>，其名称、型号、规格、数量、金额详见下表：</w:t>
      </w:r>
    </w:p>
    <w:tbl>
      <w:tblPr>
        <w:tblStyle w:val="24"/>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ascii="宋体" w:hAnsi="宋体" w:eastAsia="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ascii="宋体" w:hAnsi="宋体" w:eastAsia="宋体" w:cs="宋体"/>
                <w:color w:val="auto"/>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ascii="宋体" w:hAnsi="宋体" w:eastAsia="宋体" w:cs="宋体"/>
                <w:color w:val="auto"/>
                <w:kern w:val="0"/>
                <w:sz w:val="24"/>
                <w:szCs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w:t>
            </w:r>
          </w:p>
        </w:tc>
      </w:tr>
    </w:tbl>
    <w:p>
      <w:pPr>
        <w:adjustRightInd w:val="0"/>
        <w:snapToGrid w:val="0"/>
        <w:spacing w:line="460" w:lineRule="exact"/>
        <w:ind w:firstLine="0" w:firstLineChars="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其他采购需求见附件（如有）。</w:t>
      </w:r>
    </w:p>
    <w:p>
      <w:pPr>
        <w:numPr>
          <w:ilvl w:val="0"/>
          <w:numId w:val="6"/>
        </w:numPr>
        <w:adjustRightInd w:val="0"/>
        <w:snapToGrid w:val="0"/>
        <w:spacing w:line="460" w:lineRule="exact"/>
        <w:ind w:firstLine="482" w:firstLineChars="200"/>
        <w:rPr>
          <w:rFonts w:ascii="Times New Roman" w:hAnsi="Times New Roman" w:cs="Times New Roman"/>
          <w:b/>
          <w:bCs/>
          <w:color w:val="auto"/>
          <w:kern w:val="0"/>
          <w:sz w:val="24"/>
          <w:szCs w:val="24"/>
          <w:lang w:val="zh-CN"/>
        </w:rPr>
      </w:pPr>
      <w:r>
        <w:rPr>
          <w:rFonts w:ascii="Times New Roman" w:hAnsi="Times New Roman" w:cs="Times New Roman"/>
          <w:b/>
          <w:bCs/>
          <w:color w:val="auto"/>
          <w:kern w:val="0"/>
          <w:sz w:val="24"/>
          <w:szCs w:val="24"/>
          <w:lang w:val="zh-CN"/>
        </w:rPr>
        <w:t xml:space="preserve"> 交货日期及地点</w:t>
      </w:r>
    </w:p>
    <w:p>
      <w:pPr>
        <w:keepNext w:val="0"/>
        <w:keepLines w:val="0"/>
        <w:pageBreakBefore w:val="0"/>
        <w:widowControl/>
        <w:kinsoku/>
        <w:wordWrap/>
        <w:overflowPunct/>
        <w:topLinePunct w:val="0"/>
        <w:bidi w:val="0"/>
        <w:adjustRightInd w:val="0"/>
        <w:snapToGrid w:val="0"/>
        <w:spacing w:line="460" w:lineRule="exact"/>
        <w:ind w:firstLine="480" w:firstLineChars="200"/>
        <w:textAlignment w:val="auto"/>
        <w:rPr>
          <w:rFonts w:hint="eastAsia" w:ascii="Times New Roman" w:hAnsi="Times New Roman" w:eastAsia="宋体" w:cs="Times New Roman"/>
          <w:color w:val="auto"/>
          <w:sz w:val="24"/>
          <w:szCs w:val="24"/>
        </w:rPr>
      </w:pPr>
      <w:r>
        <w:rPr>
          <w:rFonts w:hint="default" w:ascii="Times New Roman" w:hAnsi="Times New Roman" w:eastAsia="仿宋_GB2312" w:cs="Times New Roman"/>
          <w:sz w:val="24"/>
          <w:szCs w:val="24"/>
        </w:rPr>
        <w:t xml:space="preserve">3.1 </w:t>
      </w:r>
      <w:r>
        <w:rPr>
          <w:rFonts w:hint="eastAsia" w:ascii="Times New Roman" w:hAnsi="Times New Roman" w:eastAsia="宋体" w:cs="Times New Roman"/>
          <w:color w:val="auto"/>
          <w:sz w:val="24"/>
          <w:szCs w:val="24"/>
        </w:rPr>
        <w:t>交货日期 ： … 年 … 月 … 日前完成供货（如需有不同交货时间注明）,具体交货时间以甲方通知为准。。</w:t>
      </w:r>
    </w:p>
    <w:p>
      <w:pPr>
        <w:keepNext w:val="0"/>
        <w:keepLines w:val="0"/>
        <w:pageBreakBefore w:val="0"/>
        <w:widowControl/>
        <w:kinsoku/>
        <w:wordWrap/>
        <w:overflowPunct/>
        <w:topLinePunct w:val="0"/>
        <w:bidi w:val="0"/>
        <w:adjustRightInd w:val="0"/>
        <w:snapToGrid w:val="0"/>
        <w:spacing w:line="460" w:lineRule="exact"/>
        <w:ind w:firstLine="480" w:firstLineChars="200"/>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3.2交货地点：</w:t>
      </w:r>
      <w:r>
        <w:rPr>
          <w:rFonts w:hint="eastAsia" w:ascii="Times New Roman" w:hAnsi="Times New Roman" w:eastAsia="宋体" w:cs="Times New Roman"/>
          <w:bCs w:val="0"/>
          <w:color w:val="auto"/>
          <w:sz w:val="24"/>
          <w:szCs w:val="24"/>
          <w:u w:val="none"/>
        </w:rPr>
        <w:t xml:space="preserve"> </w:t>
      </w:r>
      <w:r>
        <w:rPr>
          <w:rFonts w:hint="eastAsia" w:ascii="Times New Roman" w:hAnsi="Times New Roman" w:eastAsia="宋体" w:cs="Times New Roman"/>
          <w:bCs w:val="0"/>
          <w:color w:val="auto"/>
          <w:sz w:val="24"/>
          <w:szCs w:val="24"/>
          <w:u w:val="single"/>
        </w:rPr>
        <w:t>广州市净水有限公司</w:t>
      </w:r>
      <w:r>
        <w:rPr>
          <w:rFonts w:hint="eastAsia" w:ascii="Times New Roman" w:hAnsi="Times New Roman" w:eastAsia="宋体" w:cs="Times New Roman"/>
          <w:bCs w:val="0"/>
          <w:color w:val="auto"/>
          <w:sz w:val="24"/>
          <w:szCs w:val="24"/>
          <w:u w:val="single"/>
          <w:lang w:val="en-US" w:eastAsia="zh-CN"/>
        </w:rPr>
        <w:t>水质检测中心（广州市荔湾区桥中南路10号）</w:t>
      </w:r>
      <w:r>
        <w:rPr>
          <w:rFonts w:hint="eastAsia" w:ascii="Times New Roman" w:hAnsi="Times New Roman" w:eastAsia="宋体" w:cs="Times New Roman"/>
          <w:bCs w:val="0"/>
          <w:color w:val="auto"/>
          <w:sz w:val="24"/>
          <w:szCs w:val="24"/>
          <w:u w:val="single"/>
        </w:rPr>
        <w:t>内指定安装位置</w:t>
      </w:r>
      <w:r>
        <w:rPr>
          <w:rFonts w:hint="eastAsia" w:ascii="Times New Roman" w:hAnsi="Times New Roman" w:eastAsia="宋体" w:cs="Times New Roman"/>
          <w:bCs w:val="0"/>
          <w:color w:val="auto"/>
          <w:sz w:val="24"/>
          <w:szCs w:val="24"/>
          <w:lang w:eastAsia="zh-CN"/>
        </w:rPr>
        <w:t>，</w:t>
      </w:r>
      <w:r>
        <w:rPr>
          <w:rFonts w:hint="eastAsia" w:ascii="Times New Roman" w:hAnsi="Times New Roman" w:eastAsia="宋体" w:cs="Times New Roman"/>
          <w:bCs w:val="0"/>
          <w:color w:val="auto"/>
          <w:sz w:val="24"/>
          <w:szCs w:val="24"/>
        </w:rPr>
        <w:t>最终具体交货地点以甲方书面通知为准。</w:t>
      </w:r>
    </w:p>
    <w:p>
      <w:pPr>
        <w:keepNext w:val="0"/>
        <w:keepLines w:val="0"/>
        <w:pageBreakBefore w:val="0"/>
        <w:widowControl/>
        <w:kinsoku/>
        <w:wordWrap/>
        <w:overflowPunct/>
        <w:topLinePunct w:val="0"/>
        <w:bidi w:val="0"/>
        <w:adjustRightInd w:val="0"/>
        <w:snapToGrid w:val="0"/>
        <w:spacing w:line="460" w:lineRule="exact"/>
        <w:ind w:firstLine="480" w:firstLineChars="200"/>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3.3 交货方式：乙方在设备运至交货地</w:t>
      </w:r>
      <w:r>
        <w:rPr>
          <w:rFonts w:hint="eastAsia" w:ascii="Times New Roman" w:hAnsi="Times New Roman" w:eastAsia="宋体" w:cs="Times New Roman"/>
          <w:bCs w:val="0"/>
          <w:color w:val="auto"/>
          <w:sz w:val="24"/>
          <w:szCs w:val="24"/>
          <w:u w:val="single"/>
          <w:lang w:val="en-US" w:eastAsia="zh-CN"/>
        </w:rPr>
        <w:t xml:space="preserve"> </w:t>
      </w:r>
      <w:r>
        <w:rPr>
          <w:rFonts w:hint="eastAsia" w:ascii="Times New Roman" w:hAnsi="Times New Roman" w:eastAsia="宋体" w:cs="Times New Roman"/>
          <w:bCs w:val="0"/>
          <w:color w:val="auto"/>
          <w:sz w:val="24"/>
          <w:szCs w:val="24"/>
          <w:u w:val="single"/>
        </w:rPr>
        <w:t xml:space="preserve">5 </w:t>
      </w:r>
      <w:r>
        <w:rPr>
          <w:rFonts w:hint="eastAsia" w:ascii="Times New Roman" w:hAnsi="Times New Roman" w:eastAsia="宋体" w:cs="Times New Roman"/>
          <w:bCs w:val="0"/>
          <w:color w:val="auto"/>
          <w:sz w:val="24"/>
          <w:szCs w:val="24"/>
        </w:rPr>
        <w:t>个工作日前通知甲方。</w:t>
      </w:r>
    </w:p>
    <w:p>
      <w:pPr>
        <w:widowControl/>
        <w:adjustRightInd w:val="0"/>
        <w:snapToGrid w:val="0"/>
        <w:spacing w:after="0" w:line="460" w:lineRule="exact"/>
        <w:ind w:firstLine="480" w:firstLineChars="200"/>
        <w:rPr>
          <w:rFonts w:ascii="Times New Roman" w:hAnsi="Times New Roman" w:cs="Times New Roman"/>
          <w:color w:val="auto"/>
          <w:sz w:val="24"/>
          <w:szCs w:val="24"/>
        </w:rPr>
      </w:pPr>
      <w:r>
        <w:rPr>
          <w:rFonts w:hint="eastAsia" w:ascii="Times New Roman" w:hAnsi="Times New Roman" w:eastAsia="宋体" w:cs="Times New Roman"/>
          <w:bCs w:val="0"/>
          <w:color w:val="auto"/>
          <w:sz w:val="24"/>
          <w:szCs w:val="24"/>
        </w:rPr>
        <w:t>3.4其他：</w:t>
      </w:r>
      <w:r>
        <w:rPr>
          <w:rFonts w:hint="eastAsia" w:ascii="Times New Roman" w:hAnsi="Times New Roman" w:eastAsia="宋体" w:cs="Times New Roman"/>
          <w:bCs w:val="0"/>
          <w:color w:val="auto"/>
          <w:sz w:val="24"/>
          <w:szCs w:val="24"/>
          <w:u w:val="single"/>
          <w:lang w:val="en-US" w:eastAsia="zh-CN"/>
        </w:rPr>
        <w:t xml:space="preserve"> </w:t>
      </w:r>
      <w:r>
        <w:rPr>
          <w:rFonts w:hint="eastAsia" w:ascii="Times New Roman" w:hAnsi="Times New Roman" w:eastAsia="宋体" w:cs="Times New Roman"/>
          <w:color w:val="auto"/>
          <w:sz w:val="24"/>
          <w:szCs w:val="24"/>
          <w:u w:val="single"/>
          <w:lang w:eastAsia="zh-CN"/>
        </w:rPr>
        <w:t>/</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none"/>
        </w:rPr>
        <w:t>。</w:t>
      </w:r>
    </w:p>
    <w:p>
      <w:pPr>
        <w:numPr>
          <w:ilvl w:val="0"/>
          <w:numId w:val="7"/>
        </w:numPr>
        <w:adjustRightInd w:val="0"/>
        <w:snapToGrid w:val="0"/>
        <w:spacing w:line="460" w:lineRule="exact"/>
        <w:ind w:firstLine="482" w:firstLineChars="200"/>
        <w:jc w:val="both"/>
        <w:rPr>
          <w:rFonts w:ascii="Times New Roman" w:hAnsi="Times New Roman" w:cs="Times New Roman"/>
          <w:b/>
          <w:color w:val="auto"/>
          <w:sz w:val="24"/>
          <w:szCs w:val="24"/>
        </w:rPr>
      </w:pPr>
      <w:r>
        <w:rPr>
          <w:rFonts w:ascii="Times New Roman" w:hAnsi="Times New Roman" w:cs="Times New Roman"/>
          <w:b/>
          <w:color w:val="auto"/>
          <w:sz w:val="24"/>
          <w:szCs w:val="24"/>
        </w:rPr>
        <w:t>合同价格</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textAlignment w:val="auto"/>
        <w:rPr>
          <w:rFonts w:hint="eastAsia" w:ascii="Times New Roman" w:hAnsi="Times New Roman" w:eastAsia="宋体" w:cs="Times New Roman"/>
          <w:color w:val="auto"/>
          <w:kern w:val="2"/>
          <w:sz w:val="24"/>
          <w:szCs w:val="24"/>
          <w:lang w:val="en-US"/>
        </w:rPr>
      </w:pPr>
      <w:r>
        <w:rPr>
          <w:rFonts w:hint="eastAsia" w:ascii="Times New Roman" w:hAnsi="Times New Roman" w:eastAsia="宋体" w:cs="Times New Roman"/>
          <w:color w:val="auto"/>
          <w:sz w:val="24"/>
          <w:szCs w:val="24"/>
        </w:rPr>
        <w:t xml:space="preserve">4.1 </w:t>
      </w:r>
      <w:r>
        <w:rPr>
          <w:rFonts w:hint="eastAsia" w:ascii="Times New Roman" w:hAnsi="Times New Roman" w:eastAsia="宋体" w:cs="Times New Roman"/>
          <w:color w:val="auto"/>
          <w:kern w:val="2"/>
          <w:sz w:val="24"/>
          <w:szCs w:val="24"/>
          <w:lang w:val="en-US"/>
        </w:rPr>
        <w:t xml:space="preserve">本合同暂定总价为 </w:t>
      </w:r>
      <w:r>
        <w:rPr>
          <w:rFonts w:hint="eastAsia" w:ascii="Times New Roman" w:hAnsi="Times New Roman" w:eastAsia="宋体" w:cs="Times New Roman"/>
          <w:color w:val="auto"/>
          <w:kern w:val="2"/>
          <w:sz w:val="24"/>
          <w:szCs w:val="24"/>
          <w:u w:val="single"/>
          <w:lang w:val="en-US" w:eastAsia="zh-CN"/>
        </w:rPr>
        <w:t xml:space="preserve">   </w:t>
      </w:r>
      <w:r>
        <w:rPr>
          <w:rFonts w:hint="eastAsia" w:ascii="Times New Roman" w:hAnsi="Times New Roman" w:eastAsia="宋体" w:cs="Times New Roman"/>
          <w:color w:val="auto"/>
          <w:kern w:val="2"/>
          <w:sz w:val="24"/>
          <w:szCs w:val="24"/>
          <w:lang w:val="en-US"/>
        </w:rPr>
        <w:t xml:space="preserve"> 万元，（人民币）大写： </w:t>
      </w:r>
      <w:r>
        <w:rPr>
          <w:rFonts w:hint="eastAsia" w:ascii="Times New Roman" w:hAnsi="Times New Roman" w:eastAsia="宋体" w:cs="Times New Roman"/>
          <w:color w:val="auto"/>
          <w:kern w:val="2"/>
          <w:sz w:val="24"/>
          <w:szCs w:val="24"/>
          <w:lang w:val="en-US" w:eastAsia="zh-CN"/>
        </w:rPr>
        <w:t xml:space="preserve">   </w:t>
      </w:r>
      <w:r>
        <w:rPr>
          <w:rFonts w:hint="eastAsia" w:ascii="Times New Roman" w:hAnsi="Times New Roman" w:eastAsia="宋体" w:cs="Times New Roman"/>
          <w:color w:val="auto"/>
          <w:kern w:val="2"/>
          <w:sz w:val="24"/>
          <w:szCs w:val="24"/>
          <w:lang w:val="en-US"/>
        </w:rPr>
        <w:t xml:space="preserve"> 。 </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textAlignment w:val="auto"/>
        <w:rPr>
          <w:rFonts w:hint="eastAsia" w:ascii="Times New Roman" w:hAnsi="Times New Roman" w:eastAsia="宋体" w:cs="Times New Roman"/>
          <w:color w:val="auto"/>
          <w:kern w:val="2"/>
          <w:sz w:val="24"/>
          <w:szCs w:val="24"/>
          <w:lang w:val="en-US"/>
        </w:rPr>
      </w:pPr>
      <w:r>
        <w:rPr>
          <w:rFonts w:hint="eastAsia" w:ascii="Times New Roman" w:hAnsi="Times New Roman" w:eastAsia="宋体" w:cs="Times New Roman"/>
          <w:color w:val="auto"/>
          <w:kern w:val="2"/>
          <w:sz w:val="24"/>
          <w:szCs w:val="24"/>
        </w:rPr>
        <w:t>4</w:t>
      </w:r>
      <w:r>
        <w:rPr>
          <w:rFonts w:hint="eastAsia" w:ascii="Times New Roman" w:hAnsi="Times New Roman" w:eastAsia="宋体" w:cs="Times New Roman"/>
          <w:color w:val="auto"/>
          <w:kern w:val="2"/>
          <w:sz w:val="24"/>
          <w:szCs w:val="24"/>
          <w:lang w:val="en-US"/>
        </w:rPr>
        <w:t>.2</w:t>
      </w:r>
      <w:r>
        <w:rPr>
          <w:rFonts w:hint="eastAsia" w:ascii="Times New Roman" w:hAnsi="Times New Roman" w:eastAsia="宋体" w:cs="Times New Roman"/>
          <w:color w:val="auto"/>
          <w:kern w:val="2"/>
          <w:sz w:val="24"/>
          <w:szCs w:val="24"/>
        </w:rPr>
        <w:t xml:space="preserve"> </w:t>
      </w:r>
      <w:r>
        <w:rPr>
          <w:rFonts w:hint="eastAsia" w:ascii="Times New Roman" w:hAnsi="Times New Roman" w:eastAsia="宋体" w:cs="Times New Roman"/>
          <w:color w:val="auto"/>
          <w:kern w:val="2"/>
          <w:sz w:val="24"/>
          <w:szCs w:val="24"/>
          <w:lang w:val="en-US"/>
        </w:rPr>
        <w:t>设备价格包括</w:t>
      </w:r>
      <w:r>
        <w:rPr>
          <w:rFonts w:hint="eastAsia" w:ascii="Times New Roman" w:hAnsi="Times New Roman" w:eastAsia="宋体" w:cs="Times New Roman"/>
          <w:color w:val="auto"/>
          <w:kern w:val="2"/>
          <w:sz w:val="24"/>
          <w:szCs w:val="24"/>
          <w:u w:val="single"/>
          <w:lang w:val="en-US"/>
        </w:rPr>
        <w:t>工艺设计、设备及随机附件的制造、包装、运输（设备运输过程中所需的相关手续及费用）、装卸、</w:t>
      </w:r>
      <w:r>
        <w:rPr>
          <w:rFonts w:hint="eastAsia" w:ascii="Times New Roman" w:hAnsi="Times New Roman" w:eastAsia="宋体" w:cs="Times New Roman"/>
          <w:color w:val="auto"/>
          <w:kern w:val="2"/>
          <w:sz w:val="24"/>
          <w:szCs w:val="24"/>
          <w:highlight w:val="none"/>
          <w:u w:val="single"/>
          <w:lang w:val="en-US"/>
        </w:rPr>
        <w:t>安装调试</w:t>
      </w:r>
      <w:r>
        <w:rPr>
          <w:rFonts w:hint="eastAsia" w:ascii="Times New Roman" w:hAnsi="Times New Roman" w:eastAsia="宋体" w:cs="Times New Roman"/>
          <w:color w:val="auto"/>
          <w:kern w:val="2"/>
          <w:sz w:val="24"/>
          <w:szCs w:val="24"/>
          <w:u w:val="single"/>
          <w:lang w:val="en-US"/>
        </w:rPr>
        <w:t>、验收、培训（如需）、技术服务（包括技术资料、图纸的提供）、质保期保修、税费、保险费等全部费用。</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textAlignment w:val="auto"/>
        <w:rPr>
          <w:rFonts w:hint="eastAsia" w:ascii="Times New Roman" w:hAnsi="Times New Roman" w:eastAsia="宋体" w:cs="Times New Roman"/>
          <w:color w:val="auto"/>
          <w:kern w:val="2"/>
          <w:sz w:val="24"/>
          <w:szCs w:val="24"/>
          <w:lang w:val="en-US"/>
        </w:rPr>
      </w:pPr>
      <w:r>
        <w:rPr>
          <w:rFonts w:hint="eastAsia" w:ascii="Times New Roman" w:hAnsi="Times New Roman" w:eastAsia="宋体" w:cs="Times New Roman"/>
          <w:color w:val="auto"/>
          <w:kern w:val="2"/>
          <w:sz w:val="24"/>
          <w:szCs w:val="24"/>
          <w:lang w:val="en-US"/>
        </w:rPr>
        <w:t>合同单价在合同有效期内为不变价。乙方已经充分考虑本合同履行期间的市场风险和国家政策性调整风险系数并已计入报价，因此合同单价在合同有效期内不因任何因素而作调整。</w:t>
      </w:r>
    </w:p>
    <w:p>
      <w:pPr>
        <w:autoSpaceDE/>
        <w:autoSpaceDN/>
        <w:adjustRightInd w:val="0"/>
        <w:snapToGrid w:val="0"/>
        <w:spacing w:line="460" w:lineRule="exact"/>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kern w:val="2"/>
          <w:sz w:val="24"/>
          <w:szCs w:val="24"/>
        </w:rPr>
        <w:t>4</w:t>
      </w:r>
      <w:r>
        <w:rPr>
          <w:rFonts w:hint="eastAsia" w:ascii="Times New Roman" w:hAnsi="Times New Roman" w:eastAsia="宋体" w:cs="Times New Roman"/>
          <w:color w:val="auto"/>
          <w:kern w:val="2"/>
          <w:sz w:val="24"/>
          <w:szCs w:val="24"/>
          <w:lang w:val="en-US"/>
        </w:rPr>
        <w:t>.3</w:t>
      </w:r>
      <w:r>
        <w:rPr>
          <w:rFonts w:hint="eastAsia" w:ascii="Times New Roman" w:hAnsi="Times New Roman" w:eastAsia="宋体" w:cs="Times New Roman"/>
          <w:color w:val="auto"/>
          <w:kern w:val="2"/>
          <w:sz w:val="24"/>
          <w:szCs w:val="24"/>
        </w:rPr>
        <w:t xml:space="preserve"> 本合同约定的价格为含税价价格</w:t>
      </w:r>
      <w:r>
        <w:rPr>
          <w:rFonts w:hint="eastAsia" w:ascii="Times New Roman" w:hAnsi="Times New Roman" w:eastAsia="宋体" w:cs="Times New Roman"/>
          <w:color w:val="auto"/>
          <w:sz w:val="24"/>
          <w:szCs w:val="24"/>
        </w:rPr>
        <w:t>（税率</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none"/>
        </w:rPr>
        <w:t>%</w:t>
      </w:r>
      <w:r>
        <w:rPr>
          <w:rFonts w:hint="eastAsia" w:ascii="Times New Roman" w:hAnsi="Times New Roman" w:eastAsia="宋体" w:cs="Times New Roman"/>
          <w:color w:val="auto"/>
          <w:sz w:val="24"/>
          <w:szCs w:val="24"/>
        </w:rPr>
        <w:t>），合同履行期间国家税率调整的，不含税价不变，价税合计相应调整，以开具发票的时间为准。</w:t>
      </w:r>
      <w:bookmarkStart w:id="98" w:name="_Toc520190028"/>
      <w:bookmarkStart w:id="99" w:name="_Toc27425"/>
      <w:bookmarkStart w:id="100" w:name="_Toc518992988"/>
      <w:bookmarkStart w:id="101" w:name="_Toc474245212"/>
      <w:bookmarkStart w:id="102" w:name="_Toc107446843"/>
      <w:bookmarkStart w:id="103" w:name="_Toc107447236"/>
    </w:p>
    <w:bookmarkEnd w:id="98"/>
    <w:bookmarkEnd w:id="99"/>
    <w:bookmarkEnd w:id="100"/>
    <w:bookmarkEnd w:id="101"/>
    <w:p>
      <w:pPr>
        <w:autoSpaceDE w:val="0"/>
        <w:autoSpaceDN w:val="0"/>
        <w:adjustRightInd w:val="0"/>
        <w:spacing w:line="360" w:lineRule="auto"/>
        <w:ind w:left="420"/>
        <w:rPr>
          <w:rFonts w:ascii="Times New Roman" w:hAnsi="Times New Roman" w:cs="Times New Roman"/>
          <w:bCs/>
          <w:color w:val="auto"/>
          <w:sz w:val="24"/>
          <w:szCs w:val="24"/>
        </w:rPr>
      </w:pPr>
      <w:bookmarkStart w:id="104" w:name="_Toc518992989"/>
      <w:bookmarkStart w:id="105" w:name="_Toc520190029"/>
      <w:bookmarkStart w:id="106" w:name="_Toc474245213"/>
      <w:r>
        <w:rPr>
          <w:rFonts w:ascii="Times New Roman" w:hAnsi="Times New Roman" w:cs="Times New Roman"/>
          <w:b/>
          <w:color w:val="auto"/>
          <w:sz w:val="24"/>
          <w:szCs w:val="24"/>
        </w:rPr>
        <w:t>第五条 支付</w:t>
      </w:r>
      <w:bookmarkEnd w:id="104"/>
      <w:bookmarkEnd w:id="105"/>
      <w:bookmarkEnd w:id="106"/>
      <w:r>
        <w:rPr>
          <w:rFonts w:ascii="Times New Roman" w:hAnsi="Times New Roman" w:cs="Times New Roman"/>
          <w:b/>
          <w:color w:val="auto"/>
          <w:sz w:val="24"/>
          <w:szCs w:val="24"/>
        </w:rPr>
        <w:t>方式</w:t>
      </w:r>
    </w:p>
    <w:bookmarkEnd w:id="102"/>
    <w:bookmarkEnd w:id="103"/>
    <w:p>
      <w:pPr>
        <w:keepNext w:val="0"/>
        <w:keepLines w:val="0"/>
        <w:pageBreakBefore w:val="0"/>
        <w:widowControl/>
        <w:kinsoku/>
        <w:wordWrap/>
        <w:overflowPunct/>
        <w:topLinePunct w:val="0"/>
        <w:bidi w:val="0"/>
        <w:adjustRightInd w:val="0"/>
        <w:snapToGrid w:val="0"/>
        <w:spacing w:line="460" w:lineRule="exact"/>
        <w:ind w:firstLine="480" w:firstLineChars="200"/>
        <w:jc w:val="both"/>
        <w:textAlignment w:val="auto"/>
        <w:rPr>
          <w:rFonts w:hint="eastAsia" w:ascii="Times New Roman" w:hAnsi="Times New Roman" w:eastAsia="宋体" w:cs="Times New Roman"/>
          <w:color w:val="auto"/>
          <w:sz w:val="24"/>
          <w:szCs w:val="24"/>
          <w:highlight w:val="none"/>
        </w:rPr>
      </w:pPr>
      <w:bookmarkStart w:id="107" w:name="_Toc14703"/>
      <w:bookmarkStart w:id="108" w:name="_Toc183666516"/>
      <w:r>
        <w:rPr>
          <w:rFonts w:hint="eastAsia" w:ascii="Times New Roman" w:hAnsi="Times New Roman" w:eastAsia="宋体" w:cs="Times New Roman"/>
          <w:color w:val="auto"/>
          <w:sz w:val="24"/>
          <w:szCs w:val="24"/>
          <w:highlight w:val="none"/>
        </w:rPr>
        <w:t>5.1</w:t>
      </w:r>
      <w:r>
        <w:rPr>
          <w:rFonts w:hint="eastAsia" w:ascii="Times New Roman" w:hAnsi="Times New Roman" w:eastAsia="宋体" w:cs="Times New Roman"/>
          <w:bCs w:val="0"/>
          <w:color w:val="auto"/>
          <w:sz w:val="24"/>
          <w:szCs w:val="24"/>
          <w:highlight w:val="none"/>
        </w:rPr>
        <w:t>预付款的支付：</w:t>
      </w:r>
      <w:r>
        <w:rPr>
          <w:rFonts w:hint="eastAsia" w:ascii="Times New Roman" w:hAnsi="Times New Roman" w:eastAsia="宋体" w:cs="Times New Roman"/>
          <w:bCs w:val="0"/>
          <w:color w:val="auto"/>
          <w:sz w:val="24"/>
          <w:szCs w:val="24"/>
          <w:highlight w:val="none"/>
        </w:rPr>
        <w:sym w:font="Wingdings 2" w:char="0052"/>
      </w:r>
      <w:r>
        <w:rPr>
          <w:rFonts w:hint="eastAsia" w:ascii="Times New Roman" w:hAnsi="Times New Roman" w:eastAsia="宋体" w:cs="Times New Roman"/>
          <w:bCs w:val="0"/>
          <w:color w:val="auto"/>
          <w:sz w:val="24"/>
          <w:szCs w:val="24"/>
          <w:highlight w:val="none"/>
        </w:rPr>
        <w:t>无；    □有，合同签订后，乙方开具等额的增值税专用发票及提交履约担保（如有）后</w:t>
      </w:r>
      <w:r>
        <w:rPr>
          <w:rFonts w:hint="eastAsia" w:ascii="Times New Roman" w:hAnsi="Times New Roman" w:eastAsia="宋体" w:cs="Times New Roman"/>
          <w:bCs w:val="0"/>
          <w:color w:val="auto"/>
          <w:sz w:val="24"/>
          <w:szCs w:val="24"/>
          <w:highlight w:val="none"/>
          <w:u w:val="single"/>
        </w:rPr>
        <w:t>10</w:t>
      </w:r>
      <w:r>
        <w:rPr>
          <w:rFonts w:hint="eastAsia" w:ascii="Times New Roman" w:hAnsi="Times New Roman" w:eastAsia="宋体" w:cs="Times New Roman"/>
          <w:bCs w:val="0"/>
          <w:color w:val="auto"/>
          <w:sz w:val="24"/>
          <w:szCs w:val="24"/>
          <w:highlight w:val="none"/>
        </w:rPr>
        <w:t>个工作日内，甲方支付</w:t>
      </w:r>
      <w:r>
        <w:rPr>
          <w:rFonts w:hint="eastAsia" w:ascii="Times New Roman" w:hAnsi="Times New Roman" w:eastAsia="宋体" w:cs="Times New Roman"/>
          <w:bCs w:val="0"/>
          <w:color w:val="auto"/>
          <w:sz w:val="24"/>
          <w:szCs w:val="24"/>
          <w:highlight w:val="none"/>
          <w:u w:val="single"/>
        </w:rPr>
        <w:t>合同暂定总价的 30%</w:t>
      </w:r>
      <w:r>
        <w:rPr>
          <w:rFonts w:hint="eastAsia" w:ascii="Times New Roman" w:hAnsi="Times New Roman" w:eastAsia="宋体" w:cs="Times New Roman"/>
          <w:bCs w:val="0"/>
          <w:color w:val="auto"/>
          <w:sz w:val="24"/>
          <w:szCs w:val="24"/>
          <w:highlight w:val="none"/>
        </w:rPr>
        <w:t xml:space="preserve">  即 </w:t>
      </w:r>
      <w:r>
        <w:rPr>
          <w:rFonts w:hint="eastAsia" w:ascii="Times New Roman" w:hAnsi="Times New Roman" w:eastAsia="宋体" w:cs="Times New Roman"/>
          <w:bCs w:val="0"/>
          <w:color w:val="auto"/>
          <w:sz w:val="24"/>
          <w:szCs w:val="24"/>
          <w:highlight w:val="none"/>
          <w:lang w:val="en-US" w:eastAsia="zh-CN"/>
        </w:rPr>
        <w:t xml:space="preserve"> </w:t>
      </w:r>
      <w:r>
        <w:rPr>
          <w:rFonts w:hint="eastAsia" w:ascii="Times New Roman" w:hAnsi="Times New Roman" w:eastAsia="宋体" w:cs="Times New Roman"/>
          <w:bCs w:val="0"/>
          <w:color w:val="auto"/>
          <w:sz w:val="24"/>
          <w:szCs w:val="24"/>
          <w:highlight w:val="none"/>
        </w:rPr>
        <w:t xml:space="preserve">元，（大写： </w:t>
      </w:r>
      <w:r>
        <w:rPr>
          <w:rFonts w:hint="eastAsia" w:ascii="Times New Roman" w:hAnsi="Times New Roman" w:eastAsia="宋体" w:cs="Times New Roman"/>
          <w:bCs w:val="0"/>
          <w:color w:val="auto"/>
          <w:sz w:val="24"/>
          <w:szCs w:val="24"/>
          <w:highlight w:val="none"/>
          <w:lang w:val="en-US" w:eastAsia="zh-CN"/>
        </w:rPr>
        <w:t xml:space="preserve">   </w:t>
      </w:r>
      <w:r>
        <w:rPr>
          <w:rFonts w:hint="eastAsia" w:ascii="Times New Roman" w:hAnsi="Times New Roman" w:eastAsia="宋体" w:cs="Times New Roman"/>
          <w:bCs w:val="0"/>
          <w:color w:val="auto"/>
          <w:sz w:val="24"/>
          <w:szCs w:val="24"/>
          <w:highlight w:val="none"/>
        </w:rPr>
        <w:t xml:space="preserve"> ）  作为预付款。若合同解除或终止，乙方在</w:t>
      </w:r>
      <w:r>
        <w:rPr>
          <w:rFonts w:hint="eastAsia" w:ascii="Times New Roman" w:hAnsi="Times New Roman" w:eastAsia="宋体" w:cs="Times New Roman"/>
          <w:bCs w:val="0"/>
          <w:color w:val="auto"/>
          <w:sz w:val="24"/>
          <w:szCs w:val="24"/>
          <w:highlight w:val="none"/>
          <w:u w:val="single"/>
        </w:rPr>
        <w:t xml:space="preserve"> 5 </w:t>
      </w:r>
      <w:r>
        <w:rPr>
          <w:rFonts w:hint="eastAsia" w:ascii="Times New Roman" w:hAnsi="Times New Roman" w:eastAsia="宋体" w:cs="Times New Roman"/>
          <w:bCs w:val="0"/>
          <w:color w:val="auto"/>
          <w:sz w:val="24"/>
          <w:szCs w:val="24"/>
          <w:highlight w:val="none"/>
        </w:rPr>
        <w:t>个工作日内返还预付款（无息）。逾期未返还，每逾期一天，乙方应按</w:t>
      </w:r>
      <w:r>
        <w:rPr>
          <w:rFonts w:hint="eastAsia" w:ascii="Times New Roman" w:hAnsi="Times New Roman" w:eastAsia="宋体" w:cs="Times New Roman"/>
          <w:bCs w:val="0"/>
          <w:color w:val="auto"/>
          <w:sz w:val="24"/>
          <w:szCs w:val="24"/>
          <w:highlight w:val="none"/>
          <w:u w:val="single"/>
        </w:rPr>
        <w:t>合同暂定总价的万分之五/天</w:t>
      </w:r>
      <w:r>
        <w:rPr>
          <w:rFonts w:hint="eastAsia" w:ascii="Times New Roman" w:hAnsi="Times New Roman" w:eastAsia="宋体" w:cs="Times New Roman"/>
          <w:bCs w:val="0"/>
          <w:color w:val="auto"/>
          <w:sz w:val="24"/>
          <w:szCs w:val="24"/>
          <w:highlight w:val="none"/>
        </w:rPr>
        <w:t>支付违约金。</w:t>
      </w:r>
    </w:p>
    <w:p>
      <w:pPr>
        <w:widowControl/>
        <w:adjustRightInd w:val="0"/>
        <w:snapToGrid w:val="0"/>
        <w:spacing w:after="0" w:line="460" w:lineRule="exact"/>
        <w:ind w:firstLine="480" w:firstLineChars="200"/>
        <w:jc w:val="lef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5.2支付方式：</w:t>
      </w:r>
    </w:p>
    <w:p>
      <w:pPr>
        <w:widowControl/>
        <w:adjustRightInd w:val="0"/>
        <w:snapToGrid w:val="0"/>
        <w:spacing w:after="0" w:line="460" w:lineRule="exact"/>
        <w:ind w:firstLine="480" w:firstLineChars="200"/>
        <w:jc w:val="lef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5.2.1设备到达现场，经开箱验收合格并全部调试完毕，乙方提交请款资料及等额增值税专用发票，经甲方结算审核后</w:t>
      </w:r>
      <w:r>
        <w:rPr>
          <w:rFonts w:hint="eastAsia" w:ascii="Times New Roman" w:hAnsi="Times New Roman" w:eastAsia="宋体" w:cs="Times New Roman"/>
          <w:color w:val="auto"/>
          <w:sz w:val="24"/>
          <w:szCs w:val="24"/>
          <w:u w:val="single"/>
        </w:rPr>
        <w:t xml:space="preserve"> 15 </w:t>
      </w:r>
      <w:r>
        <w:rPr>
          <w:rFonts w:hint="eastAsia" w:ascii="Times New Roman" w:hAnsi="Times New Roman" w:eastAsia="宋体" w:cs="Times New Roman"/>
          <w:color w:val="auto"/>
          <w:sz w:val="24"/>
          <w:szCs w:val="24"/>
        </w:rPr>
        <w:t>个工作日内，支付至</w:t>
      </w:r>
      <w:r>
        <w:rPr>
          <w:rFonts w:hint="eastAsia" w:ascii="Times New Roman" w:hAnsi="Times New Roman" w:eastAsia="宋体" w:cs="Times New Roman"/>
          <w:color w:val="auto"/>
          <w:sz w:val="24"/>
          <w:szCs w:val="24"/>
          <w:u w:val="single"/>
        </w:rPr>
        <w:t>合同结算价的95%</w:t>
      </w:r>
      <w:r>
        <w:rPr>
          <w:rFonts w:hint="eastAsia" w:ascii="Times New Roman" w:hAnsi="Times New Roman" w:eastAsia="宋体" w:cs="Times New Roman"/>
          <w:color w:val="auto"/>
          <w:sz w:val="24"/>
          <w:szCs w:val="24"/>
        </w:rPr>
        <w:t>（含预付款）（若审核价低于合同暂定总价，则以审核价作为合同结算价，否则以合同暂定总价为合同结算价），</w:t>
      </w:r>
      <w:r>
        <w:rPr>
          <w:rFonts w:hint="eastAsia" w:ascii="Times New Roman" w:hAnsi="Times New Roman" w:eastAsia="宋体" w:cs="Times New Roman"/>
          <w:color w:val="auto"/>
          <w:sz w:val="24"/>
          <w:szCs w:val="24"/>
          <w:u w:val="single"/>
        </w:rPr>
        <w:t>合同结算价的5%</w:t>
      </w:r>
      <w:r>
        <w:rPr>
          <w:rFonts w:hint="eastAsia" w:ascii="Times New Roman" w:hAnsi="Times New Roman" w:eastAsia="宋体" w:cs="Times New Roman"/>
          <w:color w:val="auto"/>
          <w:sz w:val="24"/>
          <w:szCs w:val="24"/>
        </w:rPr>
        <w:t>作为质保金留存。</w:t>
      </w:r>
    </w:p>
    <w:p>
      <w:pPr>
        <w:widowControl/>
        <w:adjustRightInd w:val="0"/>
        <w:snapToGrid w:val="0"/>
        <w:spacing w:after="0" w:line="460" w:lineRule="exact"/>
        <w:ind w:firstLine="480" w:firstLineChars="200"/>
        <w:jc w:val="lef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5.2.2质保期按合同第</w:t>
      </w:r>
      <w:r>
        <w:rPr>
          <w:rFonts w:hint="eastAsia" w:ascii="Times New Roman" w:hAnsi="Times New Roman" w:eastAsia="宋体" w:cs="Times New Roman"/>
          <w:color w:val="auto"/>
          <w:sz w:val="24"/>
          <w:szCs w:val="24"/>
          <w:lang w:val="en-US" w:eastAsia="zh-CN"/>
        </w:rPr>
        <w:t>十</w:t>
      </w:r>
      <w:r>
        <w:rPr>
          <w:rFonts w:hint="eastAsia" w:ascii="Times New Roman" w:hAnsi="Times New Roman" w:eastAsia="宋体" w:cs="Times New Roman"/>
          <w:color w:val="auto"/>
          <w:sz w:val="24"/>
          <w:szCs w:val="24"/>
        </w:rPr>
        <w:t>条规定执行，质保期满且乙方不存在违约情形，乙方提交请款资料及等额增值税专用发票，甲方审核无误后在</w:t>
      </w:r>
      <w:r>
        <w:rPr>
          <w:rFonts w:hint="eastAsia" w:ascii="Times New Roman" w:hAnsi="Times New Roman" w:eastAsia="宋体" w:cs="Times New Roman"/>
          <w:color w:val="auto"/>
          <w:sz w:val="24"/>
          <w:szCs w:val="24"/>
          <w:u w:val="single"/>
        </w:rPr>
        <w:t xml:space="preserve"> 15 </w:t>
      </w:r>
      <w:r>
        <w:rPr>
          <w:rFonts w:hint="eastAsia" w:ascii="Times New Roman" w:hAnsi="Times New Roman" w:eastAsia="宋体" w:cs="Times New Roman"/>
          <w:color w:val="auto"/>
          <w:sz w:val="24"/>
          <w:szCs w:val="24"/>
        </w:rPr>
        <w:t>个工作日内支付合同结算价的</w:t>
      </w:r>
      <w:r>
        <w:rPr>
          <w:rFonts w:hint="eastAsia" w:ascii="Times New Roman" w:hAnsi="Times New Roman" w:eastAsia="宋体" w:cs="Times New Roman"/>
          <w:color w:val="auto"/>
          <w:sz w:val="24"/>
          <w:szCs w:val="24"/>
          <w:u w:val="single"/>
        </w:rPr>
        <w:t>5％</w:t>
      </w:r>
      <w:r>
        <w:rPr>
          <w:rFonts w:hint="eastAsia" w:ascii="Times New Roman" w:hAnsi="Times New Roman" w:eastAsia="宋体" w:cs="Times New Roman"/>
          <w:color w:val="auto"/>
          <w:sz w:val="24"/>
          <w:szCs w:val="24"/>
        </w:rPr>
        <w:t>（质保金）给乙方(无息)。</w:t>
      </w:r>
    </w:p>
    <w:p>
      <w:pPr>
        <w:widowControl/>
        <w:adjustRightInd w:val="0"/>
        <w:snapToGrid w:val="0"/>
        <w:spacing w:after="0" w:line="460" w:lineRule="exact"/>
        <w:ind w:firstLine="480" w:firstLineChars="200"/>
        <w:jc w:val="lef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5.2.3乙方收款账户：</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w:t>
      </w:r>
    </w:p>
    <w:p>
      <w:pPr>
        <w:widowControl/>
        <w:adjustRightInd w:val="0"/>
        <w:snapToGrid w:val="0"/>
        <w:spacing w:after="0" w:line="460" w:lineRule="exact"/>
        <w:ind w:firstLine="480" w:firstLineChars="200"/>
        <w:jc w:val="lef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收款账号：</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w:t>
      </w:r>
    </w:p>
    <w:p>
      <w:pPr>
        <w:widowControl/>
        <w:adjustRightInd w:val="0"/>
        <w:snapToGrid w:val="0"/>
        <w:spacing w:after="0" w:line="460" w:lineRule="exact"/>
        <w:ind w:firstLine="480" w:firstLineChars="200"/>
        <w:jc w:val="lef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开户行：</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w:t>
      </w:r>
    </w:p>
    <w:p>
      <w:pPr>
        <w:keepNext w:val="0"/>
        <w:keepLines w:val="0"/>
        <w:pageBreakBefore w:val="0"/>
        <w:widowControl/>
        <w:kinsoku/>
        <w:wordWrap/>
        <w:overflowPunct/>
        <w:topLinePunct w:val="0"/>
        <w:bidi w:val="0"/>
        <w:adjustRightInd w:val="0"/>
        <w:snapToGrid w:val="0"/>
        <w:spacing w:line="460" w:lineRule="exact"/>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5.2.4乙方在收款前需向甲方提交等额增值税专用发票，增值税专用发票信息：</w:t>
      </w:r>
    </w:p>
    <w:p>
      <w:pPr>
        <w:keepNext w:val="0"/>
        <w:keepLines w:val="0"/>
        <w:pageBreakBefore w:val="0"/>
        <w:widowControl/>
        <w:kinsoku/>
        <w:wordWrap/>
        <w:overflowPunct/>
        <w:topLinePunct w:val="0"/>
        <w:bidi w:val="0"/>
        <w:adjustRightInd w:val="0"/>
        <w:snapToGrid w:val="0"/>
        <w:spacing w:line="460" w:lineRule="exact"/>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公司名称:</w:t>
      </w:r>
      <w:r>
        <w:rPr>
          <w:rFonts w:hint="eastAsia" w:ascii="Times New Roman" w:hAnsi="Times New Roman" w:eastAsia="宋体" w:cs="Times New Roman"/>
          <w:color w:val="auto"/>
          <w:sz w:val="24"/>
          <w:szCs w:val="24"/>
          <w:u w:val="single"/>
        </w:rPr>
        <w:t>广州市净水有限公司</w:t>
      </w:r>
    </w:p>
    <w:p>
      <w:pPr>
        <w:keepNext w:val="0"/>
        <w:keepLines w:val="0"/>
        <w:pageBreakBefore w:val="0"/>
        <w:widowControl/>
        <w:kinsoku/>
        <w:wordWrap/>
        <w:overflowPunct/>
        <w:topLinePunct w:val="0"/>
        <w:bidi w:val="0"/>
        <w:adjustRightInd w:val="0"/>
        <w:snapToGrid w:val="0"/>
        <w:spacing w:line="460" w:lineRule="exact"/>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注册地址:</w:t>
      </w:r>
      <w:r>
        <w:rPr>
          <w:rFonts w:hint="eastAsia" w:ascii="Times New Roman" w:hAnsi="Times New Roman" w:eastAsia="宋体" w:cs="Times New Roman"/>
          <w:color w:val="auto"/>
          <w:sz w:val="24"/>
          <w:szCs w:val="24"/>
          <w:u w:val="single"/>
        </w:rPr>
        <w:t>广州市天河区临江大道 501 号</w:t>
      </w:r>
    </w:p>
    <w:p>
      <w:pPr>
        <w:keepNext w:val="0"/>
        <w:keepLines w:val="0"/>
        <w:pageBreakBefore w:val="0"/>
        <w:widowControl/>
        <w:kinsoku/>
        <w:wordWrap/>
        <w:overflowPunct/>
        <w:topLinePunct w:val="0"/>
        <w:bidi w:val="0"/>
        <w:adjustRightInd w:val="0"/>
        <w:snapToGrid w:val="0"/>
        <w:spacing w:line="460" w:lineRule="exact"/>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纳税人识别号：</w:t>
      </w:r>
      <w:r>
        <w:rPr>
          <w:rFonts w:hint="eastAsia" w:ascii="Times New Roman" w:hAnsi="Times New Roman" w:eastAsia="宋体" w:cs="Times New Roman"/>
          <w:color w:val="auto"/>
          <w:sz w:val="24"/>
          <w:szCs w:val="24"/>
          <w:u w:val="single"/>
        </w:rPr>
        <w:t>9144 0101 7555 8472 9Q</w:t>
      </w:r>
    </w:p>
    <w:p>
      <w:pPr>
        <w:keepNext w:val="0"/>
        <w:keepLines w:val="0"/>
        <w:pageBreakBefore w:val="0"/>
        <w:widowControl/>
        <w:kinsoku/>
        <w:wordWrap/>
        <w:overflowPunct/>
        <w:topLinePunct w:val="0"/>
        <w:bidi w:val="0"/>
        <w:adjustRightInd w:val="0"/>
        <w:snapToGrid w:val="0"/>
        <w:spacing w:line="460" w:lineRule="exact"/>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电话：</w:t>
      </w:r>
      <w:r>
        <w:rPr>
          <w:rFonts w:hint="eastAsia" w:ascii="Times New Roman" w:hAnsi="Times New Roman" w:eastAsia="宋体" w:cs="Times New Roman"/>
          <w:color w:val="auto"/>
          <w:sz w:val="24"/>
          <w:szCs w:val="24"/>
          <w:u w:val="single"/>
        </w:rPr>
        <w:t>020-38890283</w:t>
      </w:r>
      <w:r>
        <w:rPr>
          <w:rFonts w:hint="eastAsia" w:ascii="Times New Roman" w:hAnsi="Times New Roman" w:eastAsia="宋体" w:cs="Times New Roman"/>
          <w:color w:val="auto"/>
          <w:sz w:val="24"/>
          <w:szCs w:val="24"/>
        </w:rPr>
        <w:t xml:space="preserve"> </w:t>
      </w:r>
    </w:p>
    <w:p>
      <w:pPr>
        <w:keepNext w:val="0"/>
        <w:keepLines w:val="0"/>
        <w:pageBreakBefore w:val="0"/>
        <w:widowControl/>
        <w:kinsoku/>
        <w:wordWrap/>
        <w:overflowPunct/>
        <w:topLinePunct w:val="0"/>
        <w:bidi w:val="0"/>
        <w:adjustRightInd w:val="0"/>
        <w:snapToGrid w:val="0"/>
        <w:spacing w:line="460" w:lineRule="exact"/>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开户行:</w:t>
      </w:r>
      <w:r>
        <w:rPr>
          <w:rFonts w:hint="eastAsia" w:ascii="Times New Roman" w:hAnsi="Times New Roman" w:eastAsia="宋体" w:cs="Times New Roman"/>
          <w:color w:val="auto"/>
          <w:sz w:val="24"/>
          <w:szCs w:val="24"/>
          <w:u w:val="single"/>
        </w:rPr>
        <w:t>民生银行广州分行</w:t>
      </w:r>
    </w:p>
    <w:p>
      <w:pPr>
        <w:keepNext w:val="0"/>
        <w:keepLines w:val="0"/>
        <w:pageBreakBefore w:val="0"/>
        <w:widowControl/>
        <w:kinsoku/>
        <w:wordWrap/>
        <w:overflowPunct/>
        <w:topLinePunct w:val="0"/>
        <w:bidi w:val="0"/>
        <w:adjustRightInd w:val="0"/>
        <w:snapToGrid w:val="0"/>
        <w:spacing w:line="460" w:lineRule="exact"/>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账号:</w:t>
      </w:r>
      <w:r>
        <w:rPr>
          <w:rFonts w:hint="eastAsia" w:ascii="Times New Roman" w:hAnsi="Times New Roman" w:eastAsia="宋体" w:cs="Times New Roman"/>
          <w:color w:val="auto"/>
          <w:sz w:val="24"/>
          <w:szCs w:val="24"/>
          <w:u w:val="single"/>
        </w:rPr>
        <w:t>0301 0141 4000 6932</w:t>
      </w:r>
    </w:p>
    <w:p>
      <w:pPr>
        <w:adjustRightInd w:val="0"/>
        <w:snapToGrid w:val="0"/>
        <w:spacing w:line="460" w:lineRule="exact"/>
        <w:ind w:firstLine="480" w:firstLineChars="200"/>
        <w:rPr>
          <w:rFonts w:ascii="Times New Roman" w:hAnsi="Times New Roman" w:cs="Times New Roman"/>
          <w:color w:val="auto"/>
          <w:sz w:val="24"/>
          <w:szCs w:val="24"/>
        </w:rPr>
      </w:pPr>
      <w:r>
        <w:rPr>
          <w:rFonts w:hint="eastAsia" w:ascii="Times New Roman" w:hAnsi="Times New Roman" w:eastAsia="宋体" w:cs="Times New Roman"/>
          <w:color w:val="auto"/>
          <w:sz w:val="24"/>
          <w:szCs w:val="24"/>
        </w:rPr>
        <w:t xml:space="preserve">5.3付款方式： </w:t>
      </w:r>
      <w:r>
        <w:rPr>
          <w:rFonts w:hint="eastAsia" w:ascii="Times New Roman" w:hAnsi="Times New Roman" w:eastAsia="宋体" w:cs="Times New Roman"/>
          <w:color w:val="auto"/>
          <w:sz w:val="24"/>
          <w:szCs w:val="24"/>
        </w:rPr>
        <w:sym w:font="Wingdings" w:char="F0FE"/>
      </w:r>
      <w:r>
        <w:rPr>
          <w:rFonts w:hint="eastAsia" w:ascii="Times New Roman" w:hAnsi="Times New Roman" w:eastAsia="宋体" w:cs="Times New Roman"/>
          <w:color w:val="auto"/>
          <w:sz w:val="24"/>
          <w:szCs w:val="24"/>
        </w:rPr>
        <w:t xml:space="preserve">网银支付；  </w:t>
      </w:r>
      <w:r>
        <w:rPr>
          <w:rFonts w:hint="eastAsia" w:ascii="Times New Roman" w:hAnsi="Times New Roman" w:eastAsia="宋体" w:cs="Times New Roman"/>
          <w:color w:val="auto"/>
          <w:sz w:val="24"/>
          <w:szCs w:val="24"/>
        </w:rPr>
        <w:sym w:font="Wingdings" w:char="F0A8"/>
      </w:r>
      <w:r>
        <w:rPr>
          <w:rFonts w:hint="eastAsia" w:ascii="Times New Roman" w:hAnsi="Times New Roman" w:eastAsia="宋体" w:cs="Times New Roman"/>
          <w:color w:val="auto"/>
          <w:sz w:val="24"/>
          <w:szCs w:val="24"/>
        </w:rPr>
        <w:t xml:space="preserve">支票；   </w:t>
      </w:r>
      <w:r>
        <w:rPr>
          <w:rFonts w:hint="eastAsia" w:ascii="Times New Roman" w:hAnsi="Times New Roman" w:eastAsia="宋体" w:cs="Times New Roman"/>
          <w:color w:val="auto"/>
          <w:sz w:val="24"/>
          <w:szCs w:val="24"/>
        </w:rPr>
        <w:sym w:font="Wingdings" w:char="F0A8"/>
      </w:r>
      <w:r>
        <w:rPr>
          <w:rFonts w:hint="eastAsia" w:ascii="Times New Roman" w:hAnsi="Times New Roman" w:eastAsia="宋体" w:cs="Times New Roman"/>
          <w:color w:val="auto"/>
          <w:sz w:val="24"/>
          <w:szCs w:val="24"/>
        </w:rPr>
        <w:t>其他</w:t>
      </w:r>
      <w:r>
        <w:rPr>
          <w:rFonts w:hint="eastAsia" w:ascii="Times New Roman" w:hAnsi="Times New Roman" w:eastAsia="宋体" w:cs="Times New Roman"/>
          <w:color w:val="auto"/>
          <w:sz w:val="24"/>
          <w:szCs w:val="24"/>
          <w:lang w:eastAsia="zh-CN"/>
        </w:rPr>
        <w:t>：</w:t>
      </w:r>
      <w:r>
        <w:rPr>
          <w:rFonts w:ascii="Times New Roman" w:hAnsi="Times New Roman" w:cs="Times New Roman"/>
          <w:color w:val="auto"/>
          <w:sz w:val="24"/>
          <w:szCs w:val="24"/>
        </w:rPr>
        <w:t xml:space="preserve">      </w:t>
      </w:r>
    </w:p>
    <w:bookmarkEnd w:id="107"/>
    <w:bookmarkEnd w:id="108"/>
    <w:p>
      <w:pPr>
        <w:keepNext w:val="0"/>
        <w:keepLines w:val="0"/>
        <w:pageBreakBefore w:val="0"/>
        <w:kinsoku/>
        <w:wordWrap/>
        <w:overflowPunct/>
        <w:topLinePunct w:val="0"/>
        <w:autoSpaceDE w:val="0"/>
        <w:autoSpaceDN w:val="0"/>
        <w:bidi w:val="0"/>
        <w:adjustRightInd w:val="0"/>
        <w:spacing w:line="460" w:lineRule="exact"/>
        <w:ind w:left="420" w:firstLine="0" w:firstLineChars="0"/>
        <w:textAlignment w:val="auto"/>
        <w:rPr>
          <w:rFonts w:hint="default" w:ascii="Times New Roman" w:hAnsi="Times New Roman" w:cs="Times New Roman" w:eastAsiaTheme="minorEastAsia"/>
          <w:b/>
          <w:bCs w:val="0"/>
          <w:color w:val="auto"/>
          <w:sz w:val="24"/>
          <w:szCs w:val="24"/>
        </w:rPr>
      </w:pPr>
      <w:bookmarkStart w:id="109" w:name="_Toc118086592"/>
      <w:bookmarkStart w:id="110" w:name="_Toc520190038"/>
      <w:bookmarkStart w:id="111" w:name="_Toc474245224"/>
      <w:bookmarkStart w:id="112" w:name="_Toc5166"/>
      <w:bookmarkStart w:id="113" w:name="_Toc107446861"/>
      <w:bookmarkStart w:id="114" w:name="_Toc257"/>
      <w:bookmarkStart w:id="115" w:name="_Toc183666534"/>
      <w:bookmarkStart w:id="116" w:name="_Toc107447254"/>
      <w:bookmarkStart w:id="117" w:name="_Toc306350465"/>
      <w:bookmarkStart w:id="118" w:name="_Toc183666529"/>
      <w:bookmarkStart w:id="119" w:name="_Toc107447253"/>
      <w:bookmarkStart w:id="120" w:name="_Toc518992998"/>
      <w:bookmarkStart w:id="121" w:name="_Toc107446860"/>
      <w:r>
        <w:rPr>
          <w:rFonts w:hint="default" w:ascii="Times New Roman" w:hAnsi="Times New Roman" w:cs="Times New Roman" w:eastAsiaTheme="minorEastAsia"/>
          <w:b/>
          <w:color w:val="auto"/>
          <w:sz w:val="24"/>
          <w:szCs w:val="24"/>
        </w:rPr>
        <w:t>第六条 履约担保</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6.1履约担保：</w:t>
      </w:r>
      <w:r>
        <w:rPr>
          <w:rFonts w:hint="eastAsia" w:ascii="Times New Roman" w:hAnsi="Times New Roman" w:eastAsia="宋体" w:cs="Times New Roman"/>
          <w:color w:val="auto"/>
          <w:sz w:val="24"/>
          <w:szCs w:val="24"/>
        </w:rPr>
        <w:sym w:font="Wingdings 2" w:char="0052"/>
      </w:r>
      <w:r>
        <w:rPr>
          <w:rFonts w:hint="eastAsia" w:ascii="Times New Roman" w:hAnsi="Times New Roman" w:eastAsia="宋体" w:cs="Times New Roman"/>
          <w:color w:val="auto"/>
          <w:sz w:val="24"/>
          <w:szCs w:val="24"/>
        </w:rPr>
        <w:t>无；   □ 有，本合同签订后</w:t>
      </w:r>
      <w:r>
        <w:rPr>
          <w:rFonts w:hint="eastAsia" w:ascii="Times New Roman" w:hAnsi="Times New Roman" w:eastAsia="宋体" w:cs="Times New Roman"/>
          <w:color w:val="auto"/>
          <w:sz w:val="24"/>
          <w:szCs w:val="24"/>
          <w:u w:val="single"/>
        </w:rPr>
        <w:t>10</w:t>
      </w:r>
      <w:r>
        <w:rPr>
          <w:rFonts w:hint="eastAsia" w:ascii="Times New Roman" w:hAnsi="Times New Roman" w:eastAsia="宋体" w:cs="Times New Roman"/>
          <w:color w:val="auto"/>
          <w:sz w:val="24"/>
          <w:szCs w:val="24"/>
        </w:rPr>
        <w:t>日内以</w:t>
      </w:r>
      <w:r>
        <w:rPr>
          <w:rFonts w:hint="eastAsia" w:ascii="Times New Roman" w:hAnsi="Times New Roman" w:eastAsia="宋体" w:cs="Times New Roman"/>
          <w:color w:val="auto"/>
          <w:sz w:val="24"/>
          <w:szCs w:val="24"/>
          <w:u w:val="single"/>
        </w:rPr>
        <w:t>合同暂定总价的10%</w:t>
      </w:r>
      <w:r>
        <w:rPr>
          <w:rFonts w:hint="eastAsia" w:ascii="Times New Roman" w:hAnsi="Times New Roman" w:eastAsia="宋体" w:cs="Times New Roman"/>
          <w:color w:val="auto"/>
          <w:sz w:val="24"/>
          <w:szCs w:val="24"/>
        </w:rPr>
        <w:t xml:space="preserve">作为履约保证金，金额为：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xml:space="preserve">（大写人民币：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xml:space="preserve">  ）。</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6.2履约担保按以下任一种形式提供：</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1、符合甲方要求（详见附件6保函格式）的银行独立保函，</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2、现金转账至甲方以下指定账户：</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outlineLvl w:val="9"/>
        <w:rPr>
          <w:rFonts w:hint="eastAsia" w:ascii="Times New Roman" w:hAnsi="Times New Roman" w:eastAsia="宋体" w:cs="Times New Roman"/>
          <w:color w:val="auto"/>
          <w:sz w:val="24"/>
          <w:szCs w:val="24"/>
          <w:u w:val="none"/>
        </w:rPr>
      </w:pPr>
      <w:r>
        <w:rPr>
          <w:rFonts w:hint="eastAsia" w:ascii="Times New Roman" w:hAnsi="Times New Roman" w:eastAsia="宋体" w:cs="Times New Roman"/>
          <w:color w:val="auto"/>
          <w:sz w:val="24"/>
          <w:szCs w:val="24"/>
        </w:rPr>
        <w:t>户名：</w:t>
      </w:r>
      <w:r>
        <w:rPr>
          <w:rFonts w:hint="eastAsia" w:ascii="Times New Roman" w:hAnsi="Times New Roman" w:eastAsia="宋体" w:cs="Times New Roman"/>
          <w:color w:val="auto"/>
          <w:sz w:val="24"/>
          <w:szCs w:val="24"/>
          <w:u w:val="none"/>
        </w:rPr>
        <w:t>广州市净水有限公司</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outlineLvl w:val="9"/>
        <w:rPr>
          <w:rFonts w:hint="eastAsia" w:ascii="Times New Roman" w:hAnsi="Times New Roman" w:eastAsia="宋体" w:cs="Times New Roman"/>
          <w:color w:val="auto"/>
          <w:sz w:val="24"/>
          <w:szCs w:val="24"/>
          <w:u w:val="none"/>
        </w:rPr>
      </w:pPr>
      <w:r>
        <w:rPr>
          <w:rFonts w:hint="eastAsia" w:ascii="Times New Roman" w:hAnsi="Times New Roman" w:eastAsia="宋体" w:cs="Times New Roman"/>
          <w:color w:val="auto"/>
          <w:sz w:val="24"/>
          <w:szCs w:val="24"/>
          <w:u w:val="none"/>
        </w:rPr>
        <w:t>账号：82010154900000342</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outlineLvl w:val="9"/>
        <w:rPr>
          <w:rFonts w:hint="eastAsia" w:ascii="Times New Roman" w:hAnsi="Times New Roman" w:eastAsia="宋体" w:cs="Times New Roman"/>
          <w:color w:val="auto"/>
          <w:sz w:val="24"/>
          <w:szCs w:val="24"/>
          <w:u w:val="none"/>
        </w:rPr>
      </w:pPr>
      <w:r>
        <w:rPr>
          <w:rFonts w:hint="eastAsia" w:ascii="Times New Roman" w:hAnsi="Times New Roman" w:eastAsia="宋体" w:cs="Times New Roman"/>
          <w:color w:val="auto"/>
          <w:sz w:val="24"/>
          <w:szCs w:val="24"/>
          <w:u w:val="none"/>
        </w:rPr>
        <w:t>开户行：浦发银行广州分行</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6.3履约担保的担保期限和返还</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6.3.1履约银行保函（或现金履约保证金）的担保期限：从提供履约担保（或转账成功）之日起至合同履行完成。</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6.3.2履约银行保函在合同履行完成后，由乙方提出申请，甲方在28日内返还，不支付利息； </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6.3.3延长担保期限。履约银行保函形式提交履约保证金的，在银行保函到期前，乙方应提前 7 天向甲方提交新的保函以替换即将到期的保函。如乙方未及时提交的，甲方有权直接要求担保银行支付其担保的全部金额并解除合同。</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6.3.4现金履约保证金的退还：合同履行完成后，由乙方提出申请，甲方在28天内将剩余履约保证金（无息）返还。</w:t>
      </w:r>
    </w:p>
    <w:p>
      <w:pPr>
        <w:keepNext w:val="0"/>
        <w:keepLines w:val="0"/>
        <w:pageBreakBefore w:val="0"/>
        <w:widowControl/>
        <w:kinsoku/>
        <w:wordWrap/>
        <w:overflowPunct/>
        <w:topLinePunct w:val="0"/>
        <w:autoSpaceDE/>
        <w:autoSpaceDN/>
        <w:bidi w:val="0"/>
        <w:adjustRightInd w:val="0"/>
        <w:snapToGrid w:val="0"/>
        <w:spacing w:line="460" w:lineRule="exact"/>
        <w:ind w:left="0" w:firstLine="480" w:firstLineChars="200"/>
        <w:jc w:val="left"/>
        <w:textAlignment w:val="auto"/>
        <w:outlineLvl w:val="9"/>
        <w:rPr>
          <w:rFonts w:hint="default" w:ascii="Times New Roman" w:hAnsi="Times New Roman" w:cs="Times New Roman" w:eastAsiaTheme="minorEastAsia"/>
          <w:b/>
          <w:bCs w:val="0"/>
          <w:color w:val="auto"/>
          <w:kern w:val="2"/>
          <w:sz w:val="24"/>
          <w:szCs w:val="24"/>
        </w:rPr>
      </w:pPr>
      <w:r>
        <w:rPr>
          <w:rFonts w:hint="eastAsia" w:ascii="Times New Roman" w:hAnsi="Times New Roman" w:eastAsia="宋体" w:cs="Times New Roman"/>
          <w:color w:val="auto"/>
          <w:sz w:val="24"/>
          <w:szCs w:val="24"/>
        </w:rPr>
        <w:t>6.3.5甲方按合同约定提取履约担保金额后，乙方应在收到甲方通知后</w:t>
      </w:r>
      <w:r>
        <w:rPr>
          <w:rFonts w:hint="eastAsia" w:ascii="Times New Roman" w:hAnsi="Times New Roman" w:eastAsia="宋体" w:cs="Times New Roman"/>
          <w:color w:val="auto"/>
          <w:sz w:val="24"/>
          <w:szCs w:val="24"/>
          <w:u w:val="single"/>
        </w:rPr>
        <w:t xml:space="preserve"> 7 </w:t>
      </w:r>
      <w:r>
        <w:rPr>
          <w:rFonts w:hint="eastAsia" w:ascii="Times New Roman" w:hAnsi="Times New Roman" w:eastAsia="宋体" w:cs="Times New Roman"/>
          <w:color w:val="auto"/>
          <w:sz w:val="24"/>
          <w:szCs w:val="24"/>
        </w:rPr>
        <w:t>天内补足数额，逾期未补足，则甲方有权提取履约担保的全部余额并解除合同</w:t>
      </w:r>
      <w:r>
        <w:rPr>
          <w:rFonts w:hint="eastAsia" w:ascii="Times New Roman" w:hAnsi="Times New Roman" w:eastAsia="宋体" w:cs="Times New Roman"/>
          <w:color w:val="auto"/>
          <w:sz w:val="24"/>
          <w:szCs w:val="24"/>
          <w:lang w:eastAsia="zh-CN"/>
        </w:rPr>
        <w:t>。</w:t>
      </w:r>
    </w:p>
    <w:p>
      <w:pPr>
        <w:keepNext w:val="0"/>
        <w:keepLines w:val="0"/>
        <w:pageBreakBefore w:val="0"/>
        <w:kinsoku/>
        <w:wordWrap/>
        <w:overflowPunct/>
        <w:topLinePunct w:val="0"/>
        <w:autoSpaceDE w:val="0"/>
        <w:autoSpaceDN w:val="0"/>
        <w:bidi w:val="0"/>
        <w:adjustRightInd w:val="0"/>
        <w:spacing w:line="460" w:lineRule="exact"/>
        <w:ind w:left="420" w:firstLine="0" w:firstLineChars="0"/>
        <w:textAlignment w:val="auto"/>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bCs w:val="0"/>
          <w:color w:val="auto"/>
          <w:kern w:val="2"/>
          <w:sz w:val="24"/>
          <w:szCs w:val="24"/>
        </w:rPr>
        <w:t xml:space="preserve">第七条 </w:t>
      </w:r>
      <w:r>
        <w:rPr>
          <w:rFonts w:hint="default" w:ascii="Times New Roman" w:hAnsi="Times New Roman" w:cs="Times New Roman" w:eastAsiaTheme="minorEastAsia"/>
          <w:b/>
          <w:color w:val="auto"/>
          <w:sz w:val="24"/>
          <w:szCs w:val="24"/>
        </w:rPr>
        <w:t>交货及检验要求</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7.1 交货要求：乙方应在交货时向甲方提供出厂合格证、产品质量证明文件、操作维修手册等（手册应包含设备情况、系统和主要部件常见故障、保养要求、紧急维修电话等内容）。</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7.2</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外观验收：设备运抵交货地点后，甲乙双方根据合同约定对合同设备的包装、外观与件数进行清点检查，并共同签署合同设备外观检查记录。</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7.3 开箱验收：开箱检验在合同设备交付地点进行，包括但不限于对合同设备数量、规格、外观完好性进行检验。经验收合格后，甲方签发开箱检验合格证明。开箱验收合格前，设备的损坏风险由乙方承担。</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7.4</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7.5</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7.4条执行，交货时间不顺延。</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bCs w:val="0"/>
          <w:color w:val="auto"/>
          <w:sz w:val="24"/>
          <w:szCs w:val="24"/>
        </w:rPr>
        <w:t>7.6 甲方有权对合同设备进行原厂正品验证，若合同设备无法获原厂验证，甲方有权退回设备，要求乙方在</w:t>
      </w:r>
      <w:r>
        <w:rPr>
          <w:rFonts w:hint="eastAsia" w:ascii="Times New Roman" w:hAnsi="Times New Roman" w:eastAsia="宋体" w:cs="Times New Roman"/>
          <w:bCs w:val="0"/>
          <w:color w:val="auto"/>
          <w:sz w:val="24"/>
          <w:szCs w:val="24"/>
          <w:u w:val="single"/>
        </w:rPr>
        <w:t xml:space="preserve"> 5 </w:t>
      </w:r>
      <w:r>
        <w:rPr>
          <w:rFonts w:hint="eastAsia" w:ascii="Times New Roman" w:hAnsi="Times New Roman" w:eastAsia="宋体" w:cs="Times New Roman"/>
          <w:bCs w:val="0"/>
          <w:color w:val="auto"/>
          <w:sz w:val="24"/>
          <w:szCs w:val="24"/>
        </w:rPr>
        <w:t>个工作日内退回已支付款项并按设备价格的</w:t>
      </w:r>
      <w:r>
        <w:rPr>
          <w:rFonts w:hint="eastAsia" w:ascii="Times New Roman" w:hAnsi="Times New Roman" w:eastAsia="宋体" w:cs="Times New Roman"/>
          <w:bCs w:val="0"/>
          <w:color w:val="auto"/>
          <w:sz w:val="24"/>
          <w:szCs w:val="24"/>
          <w:u w:val="single"/>
        </w:rPr>
        <w:t xml:space="preserve"> </w:t>
      </w:r>
      <w:r>
        <w:rPr>
          <w:rFonts w:hint="eastAsia" w:ascii="Times New Roman" w:hAnsi="Times New Roman" w:eastAsia="宋体" w:cs="Times New Roman"/>
          <w:bCs w:val="0"/>
          <w:color w:val="auto"/>
          <w:sz w:val="24"/>
          <w:szCs w:val="24"/>
          <w:u w:val="single"/>
          <w:lang w:val="en-US" w:eastAsia="zh-CN"/>
        </w:rPr>
        <w:t>3</w:t>
      </w:r>
      <w:r>
        <w:rPr>
          <w:rFonts w:hint="eastAsia" w:ascii="Times New Roman" w:hAnsi="Times New Roman" w:eastAsia="宋体" w:cs="Times New Roman"/>
          <w:bCs w:val="0"/>
          <w:color w:val="auto"/>
          <w:sz w:val="24"/>
          <w:szCs w:val="24"/>
          <w:u w:val="single"/>
        </w:rPr>
        <w:t xml:space="preserve"> </w:t>
      </w:r>
      <w:r>
        <w:rPr>
          <w:rFonts w:hint="eastAsia" w:ascii="Times New Roman" w:hAnsi="Times New Roman" w:eastAsia="宋体" w:cs="Times New Roman"/>
          <w:bCs w:val="0"/>
          <w:color w:val="auto"/>
          <w:sz w:val="24"/>
          <w:szCs w:val="24"/>
        </w:rPr>
        <w:t>%支付违约金。</w:t>
      </w:r>
    </w:p>
    <w:p>
      <w:pPr>
        <w:keepNext w:val="0"/>
        <w:keepLines w:val="0"/>
        <w:pageBreakBefore w:val="0"/>
        <w:kinsoku/>
        <w:wordWrap/>
        <w:overflowPunct/>
        <w:topLinePunct w:val="0"/>
        <w:autoSpaceDE w:val="0"/>
        <w:autoSpaceDN w:val="0"/>
        <w:bidi w:val="0"/>
        <w:adjustRightInd w:val="0"/>
        <w:spacing w:line="460" w:lineRule="exact"/>
        <w:ind w:left="420" w:firstLine="0" w:firstLineChars="0"/>
        <w:textAlignment w:val="auto"/>
        <w:rPr>
          <w:rFonts w:hint="default" w:ascii="Times New Roman" w:hAnsi="Times New Roman" w:cs="Times New Roman" w:eastAsiaTheme="minorEastAsia"/>
          <w:b/>
          <w:color w:val="auto"/>
          <w:sz w:val="24"/>
          <w:szCs w:val="24"/>
        </w:rPr>
      </w:pPr>
      <w:bookmarkStart w:id="122" w:name="_Toc518992990"/>
      <w:bookmarkStart w:id="123" w:name="_Toc520190030"/>
      <w:bookmarkStart w:id="124" w:name="_Toc474245215"/>
      <w:r>
        <w:rPr>
          <w:rFonts w:hint="default" w:ascii="Times New Roman" w:hAnsi="Times New Roman" w:cs="Times New Roman" w:eastAsiaTheme="minorEastAsia"/>
          <w:b/>
          <w:color w:val="auto"/>
          <w:sz w:val="24"/>
          <w:szCs w:val="24"/>
        </w:rPr>
        <w:t>第八条 包装</w:t>
      </w:r>
      <w:bookmarkEnd w:id="122"/>
      <w:bookmarkEnd w:id="123"/>
      <w:bookmarkEnd w:id="124"/>
      <w:r>
        <w:rPr>
          <w:rFonts w:hint="default" w:ascii="Times New Roman" w:hAnsi="Times New Roman" w:cs="Times New Roman" w:eastAsiaTheme="minorEastAsia"/>
          <w:b/>
          <w:color w:val="auto"/>
          <w:sz w:val="24"/>
          <w:szCs w:val="24"/>
        </w:rPr>
        <w:t>、标示及运输要求</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8.1 包装</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8.1.1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8.1.2超限设备的包装要求：</w:t>
      </w:r>
      <w:r>
        <w:rPr>
          <w:rFonts w:hint="eastAsia" w:ascii="Times New Roman" w:hAnsi="Times New Roman" w:eastAsia="宋体" w:cs="Times New Roman"/>
          <w:bCs w:val="0"/>
          <w:color w:val="auto"/>
          <w:sz w:val="24"/>
          <w:szCs w:val="24"/>
          <w:u w:val="single"/>
        </w:rPr>
        <w:t xml:space="preserve">  /  </w:t>
      </w:r>
      <w:r>
        <w:rPr>
          <w:rFonts w:hint="eastAsia" w:ascii="Times New Roman" w:hAnsi="Times New Roman" w:eastAsia="宋体" w:cs="Times New Roman"/>
          <w:bCs w:val="0"/>
          <w:color w:val="auto"/>
          <w:sz w:val="24"/>
          <w:szCs w:val="24"/>
        </w:rPr>
        <w:t>。</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8.2 标志</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8.2.1乙方应按照国家标准对设备的外包装进行标志。</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8.2.2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8.2.3  如由于包装不当或包装箱内部保护措施不符合要求而导致在装车或运输中发生设备或其任何部件的损坏或遗失，乙方应自费对缺损的设备、部件进行修理、更换或补供。</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8.3运输</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8.3.1乙方应自行选择适宜的运输工具及线路安排合同设备运输。</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8.3.2 除合同条款另有约定外，每件设备的备品备件应整套装运。</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bCs w:val="0"/>
          <w:color w:val="auto"/>
          <w:sz w:val="24"/>
          <w:szCs w:val="24"/>
        </w:rPr>
        <w:t>8.3.3 除合同条款另有约定外，乙方应在合同设备预计启运</w:t>
      </w:r>
      <w:r>
        <w:rPr>
          <w:rFonts w:hint="eastAsia" w:ascii="Times New Roman" w:hAnsi="Times New Roman" w:eastAsia="宋体" w:cs="Times New Roman"/>
          <w:bCs w:val="0"/>
          <w:color w:val="auto"/>
          <w:sz w:val="24"/>
          <w:szCs w:val="24"/>
          <w:u w:val="single"/>
        </w:rPr>
        <w:t>7</w:t>
      </w:r>
      <w:r>
        <w:rPr>
          <w:rFonts w:hint="eastAsia" w:ascii="Times New Roman" w:hAnsi="Times New Roman" w:eastAsia="宋体" w:cs="Times New Roman"/>
          <w:bCs w:val="0"/>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hint="eastAsia" w:ascii="Times New Roman" w:hAnsi="Times New Roman" w:eastAsia="宋体" w:cs="Times New Roman"/>
          <w:bCs w:val="0"/>
          <w:color w:val="auto"/>
          <w:sz w:val="24"/>
          <w:szCs w:val="24"/>
          <w:u w:val="single"/>
        </w:rPr>
        <w:t xml:space="preserve"> 24 </w:t>
      </w:r>
      <w:r>
        <w:rPr>
          <w:rFonts w:hint="eastAsia" w:ascii="Times New Roman" w:hAnsi="Times New Roman" w:eastAsia="宋体" w:cs="Times New Roman"/>
          <w:bCs w:val="0"/>
          <w:color w:val="auto"/>
          <w:sz w:val="24"/>
          <w:szCs w:val="24"/>
        </w:rPr>
        <w:t>小时之内正式通知甲方。</w:t>
      </w:r>
      <w:bookmarkStart w:id="125" w:name="_Toc9269"/>
      <w:bookmarkStart w:id="126" w:name="_Toc474245218"/>
      <w:bookmarkStart w:id="127" w:name="_Toc518992992"/>
      <w:bookmarkStart w:id="128" w:name="_Toc306350457"/>
      <w:bookmarkStart w:id="129" w:name="_Toc183666521"/>
      <w:bookmarkStart w:id="130" w:name="_Toc520190032"/>
    </w:p>
    <w:bookmarkEnd w:id="125"/>
    <w:bookmarkEnd w:id="126"/>
    <w:bookmarkEnd w:id="127"/>
    <w:bookmarkEnd w:id="128"/>
    <w:bookmarkEnd w:id="129"/>
    <w:bookmarkEnd w:id="130"/>
    <w:p>
      <w:pPr>
        <w:keepNext w:val="0"/>
        <w:keepLines w:val="0"/>
        <w:pageBreakBefore w:val="0"/>
        <w:kinsoku/>
        <w:wordWrap/>
        <w:overflowPunct/>
        <w:topLinePunct w:val="0"/>
        <w:autoSpaceDE w:val="0"/>
        <w:autoSpaceDN w:val="0"/>
        <w:bidi w:val="0"/>
        <w:adjustRightInd w:val="0"/>
        <w:snapToGrid/>
        <w:spacing w:line="460" w:lineRule="exact"/>
        <w:ind w:left="420" w:firstLine="0" w:firstLineChars="0"/>
        <w:textAlignment w:val="auto"/>
        <w:rPr>
          <w:rFonts w:hint="default" w:ascii="Times New Roman" w:hAnsi="Times New Roman" w:cs="Times New Roman" w:eastAsiaTheme="minorEastAsia"/>
          <w:b/>
          <w:color w:val="auto"/>
          <w:sz w:val="24"/>
          <w:szCs w:val="24"/>
        </w:rPr>
      </w:pPr>
      <w:bookmarkStart w:id="131" w:name="_Toc183666522"/>
      <w:bookmarkStart w:id="132" w:name="_Toc306350458"/>
      <w:bookmarkStart w:id="133" w:name="_Toc18496"/>
      <w:r>
        <w:rPr>
          <w:rFonts w:hint="default" w:ascii="Times New Roman" w:hAnsi="Times New Roman" w:cs="Times New Roman" w:eastAsiaTheme="minorEastAsia"/>
          <w:b/>
          <w:color w:val="auto"/>
          <w:sz w:val="24"/>
          <w:szCs w:val="24"/>
        </w:rPr>
        <w:t>第九条 技术服务</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9.1</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乙方应按甲方需求，派遣技术熟练、称职的技术人员到现场为甲方提供设备调试运行等技术服务。</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9.2</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甲方为乙方技术人员提供工作条件及便利，包括但不限于必要的办公场所、技术资料及出入许可等。除合同另有约定外，乙方技术人员的交通、食宿费用由乙方承担。</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9.3</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乙方技术人员应遵守甲方施工现场的各项规章制度和安全操作规程，并服从甲方的现场管理。</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9.4</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31"/>
    <w:bookmarkEnd w:id="132"/>
    <w:bookmarkEnd w:id="133"/>
    <w:p>
      <w:pPr>
        <w:keepNext w:val="0"/>
        <w:keepLines w:val="0"/>
        <w:pageBreakBefore w:val="0"/>
        <w:kinsoku/>
        <w:wordWrap/>
        <w:overflowPunct/>
        <w:topLinePunct w:val="0"/>
        <w:autoSpaceDE w:val="0"/>
        <w:autoSpaceDN w:val="0"/>
        <w:bidi w:val="0"/>
        <w:adjustRightInd w:val="0"/>
        <w:spacing w:line="460" w:lineRule="exact"/>
        <w:ind w:left="420" w:firstLine="0" w:firstLineChars="0"/>
        <w:textAlignment w:val="auto"/>
        <w:rPr>
          <w:rFonts w:hint="default" w:ascii="Times New Roman" w:hAnsi="Times New Roman" w:cs="Times New Roman" w:eastAsiaTheme="minorEastAsia"/>
          <w:b/>
          <w:color w:val="auto"/>
          <w:sz w:val="24"/>
          <w:szCs w:val="24"/>
        </w:rPr>
      </w:pPr>
      <w:bookmarkStart w:id="134" w:name="_Toc520190034"/>
      <w:bookmarkStart w:id="135" w:name="_Toc518992994"/>
      <w:bookmarkStart w:id="136" w:name="_Toc474245220"/>
      <w:bookmarkStart w:id="137" w:name="_Toc306350459"/>
      <w:bookmarkStart w:id="138" w:name="_Toc183666523"/>
      <w:bookmarkStart w:id="139" w:name="_Toc4682"/>
      <w:r>
        <w:rPr>
          <w:rFonts w:hint="default" w:ascii="Times New Roman" w:hAnsi="Times New Roman" w:cs="Times New Roman" w:eastAsiaTheme="minorEastAsia"/>
          <w:b/>
          <w:color w:val="auto"/>
          <w:sz w:val="24"/>
          <w:szCs w:val="24"/>
        </w:rPr>
        <w:t>第十条 质量保</w:t>
      </w:r>
      <w:bookmarkEnd w:id="134"/>
      <w:bookmarkEnd w:id="135"/>
      <w:bookmarkEnd w:id="136"/>
      <w:r>
        <w:rPr>
          <w:rFonts w:hint="default" w:ascii="Times New Roman" w:hAnsi="Times New Roman" w:cs="Times New Roman" w:eastAsiaTheme="minorEastAsia"/>
          <w:b/>
          <w:color w:val="auto"/>
          <w:sz w:val="24"/>
          <w:szCs w:val="24"/>
        </w:rPr>
        <w:t>修</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10.1</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保修期：自</w:t>
      </w:r>
      <w:r>
        <w:rPr>
          <w:rFonts w:hint="eastAsia" w:ascii="Times New Roman" w:hAnsi="Times New Roman" w:eastAsia="宋体" w:cs="Times New Roman"/>
          <w:color w:val="auto"/>
          <w:kern w:val="2"/>
          <w:sz w:val="24"/>
          <w:szCs w:val="24"/>
          <w:lang w:val="zh-CN"/>
        </w:rPr>
        <w:t>设备</w:t>
      </w:r>
      <w:r>
        <w:rPr>
          <w:rFonts w:hint="eastAsia" w:ascii="Times New Roman" w:hAnsi="Times New Roman" w:eastAsia="宋体" w:cs="Times New Roman"/>
          <w:color w:val="auto"/>
          <w:kern w:val="2"/>
          <w:sz w:val="24"/>
          <w:szCs w:val="24"/>
        </w:rPr>
        <w:t>开箱</w:t>
      </w:r>
      <w:r>
        <w:rPr>
          <w:rFonts w:hint="eastAsia" w:ascii="Times New Roman" w:hAnsi="Times New Roman" w:eastAsia="宋体" w:cs="Times New Roman"/>
          <w:color w:val="auto"/>
          <w:kern w:val="2"/>
          <w:sz w:val="24"/>
          <w:szCs w:val="24"/>
          <w:lang w:val="zh-CN"/>
        </w:rPr>
        <w:t>验收合格之日起</w:t>
      </w:r>
      <w:r>
        <w:rPr>
          <w:rFonts w:hint="eastAsia" w:ascii="Times New Roman" w:hAnsi="Times New Roman" w:eastAsia="宋体" w:cs="Times New Roman"/>
          <w:color w:val="auto"/>
          <w:sz w:val="24"/>
          <w:szCs w:val="24"/>
          <w:u w:val="single"/>
        </w:rPr>
        <w:t xml:space="preserve"> 1 </w:t>
      </w:r>
      <w:r>
        <w:rPr>
          <w:rFonts w:hint="eastAsia" w:ascii="Times New Roman" w:hAnsi="Times New Roman" w:eastAsia="宋体" w:cs="Times New Roman"/>
          <w:color w:val="auto"/>
          <w:sz w:val="24"/>
          <w:szCs w:val="24"/>
          <w:u w:val="none"/>
        </w:rPr>
        <w:t>年</w:t>
      </w:r>
      <w:r>
        <w:rPr>
          <w:rFonts w:hint="eastAsia" w:ascii="Times New Roman" w:hAnsi="Times New Roman" w:eastAsia="宋体" w:cs="Times New Roman"/>
          <w:color w:val="auto"/>
          <w:sz w:val="24"/>
          <w:szCs w:val="24"/>
        </w:rPr>
        <w:t xml:space="preserve">。保修期内乙方应免费对设备进行日常维护保养及质量缺陷修复。 </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kern w:val="2"/>
          <w:sz w:val="24"/>
          <w:szCs w:val="24"/>
          <w:lang w:val="zh-CN"/>
        </w:rPr>
      </w:pPr>
      <w:r>
        <w:rPr>
          <w:rFonts w:hint="eastAsia" w:ascii="Times New Roman" w:hAnsi="Times New Roman" w:eastAsia="宋体" w:cs="Times New Roman"/>
          <w:color w:val="auto"/>
          <w:sz w:val="24"/>
          <w:szCs w:val="24"/>
        </w:rPr>
        <w:t>10.2</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保修期内，乙方应对设备质量问题负责。如设备质量问题导致科研进度受影响的，乙方需无条件免费更换设备并支付</w:t>
      </w:r>
      <w:r>
        <w:rPr>
          <w:rFonts w:hint="eastAsia" w:ascii="Times New Roman" w:hAnsi="Times New Roman" w:eastAsia="宋体" w:cs="Times New Roman"/>
          <w:color w:val="auto"/>
          <w:sz w:val="24"/>
          <w:szCs w:val="24"/>
          <w:u w:val="single"/>
        </w:rPr>
        <w:t>合同暂定总价的10%</w:t>
      </w:r>
      <w:r>
        <w:rPr>
          <w:rFonts w:hint="eastAsia" w:ascii="Times New Roman" w:hAnsi="Times New Roman" w:eastAsia="宋体" w:cs="Times New Roman"/>
          <w:color w:val="auto"/>
          <w:sz w:val="24"/>
          <w:szCs w:val="24"/>
        </w:rPr>
        <w:t>作为违约金，由此产生的费用由乙方承担。对涉及运营费用，乙方应保证在开箱验收合格后三年内，设备运行费用不高于投标文件/响应文件的承诺指标，否则，乙方需无条件免费更换设备并支付违约金</w:t>
      </w:r>
      <w:r>
        <w:rPr>
          <w:rFonts w:hint="eastAsia" w:ascii="Times New Roman" w:hAnsi="Times New Roman" w:eastAsia="宋体" w:cs="Times New Roman"/>
          <w:color w:val="auto"/>
          <w:sz w:val="24"/>
          <w:szCs w:val="24"/>
          <w:u w:val="single"/>
          <w:lang w:eastAsia="zh-CN"/>
        </w:rPr>
        <w:t xml:space="preserve">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元（如有）。</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10.3</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保修期间由于设备本身原因产生的故障仍属质保范围，对更换或维修过的零部件从更换或维修完成并验收合格之日起，质量保修期重新计算。</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10.4</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质量保修期间，如合同设备出现故障，乙方应在接到甲方通知后</w:t>
      </w:r>
      <w:r>
        <w:rPr>
          <w:rFonts w:hint="eastAsia" w:ascii="Times New Roman" w:hAnsi="Times New Roman" w:eastAsia="宋体" w:cs="Times New Roman"/>
          <w:bCs w:val="0"/>
          <w:color w:val="auto"/>
          <w:sz w:val="24"/>
          <w:szCs w:val="24"/>
          <w:u w:val="single"/>
        </w:rPr>
        <w:t xml:space="preserve"> </w:t>
      </w:r>
      <w:r>
        <w:rPr>
          <w:rFonts w:hint="eastAsia" w:ascii="Times New Roman" w:hAnsi="Times New Roman" w:eastAsia="宋体" w:cs="Times New Roman"/>
          <w:bCs w:val="0"/>
          <w:color w:val="auto"/>
          <w:sz w:val="24"/>
          <w:szCs w:val="24"/>
          <w:u w:val="single"/>
          <w:lang w:val="en-US" w:eastAsia="zh-CN"/>
        </w:rPr>
        <w:t>72</w:t>
      </w:r>
      <w:r>
        <w:rPr>
          <w:rFonts w:hint="eastAsia" w:ascii="Times New Roman" w:hAnsi="Times New Roman" w:eastAsia="宋体" w:cs="Times New Roman"/>
          <w:bCs w:val="0"/>
          <w:color w:val="auto"/>
          <w:sz w:val="24"/>
          <w:szCs w:val="24"/>
          <w:u w:val="single"/>
        </w:rPr>
        <w:t xml:space="preserve"> </w:t>
      </w:r>
      <w:r>
        <w:rPr>
          <w:rFonts w:hint="eastAsia" w:ascii="Times New Roman" w:hAnsi="Times New Roman" w:eastAsia="宋体" w:cs="Times New Roman"/>
          <w:bCs w:val="0"/>
          <w:color w:val="auto"/>
          <w:sz w:val="24"/>
          <w:szCs w:val="24"/>
        </w:rPr>
        <w:t>小时内通过电话、网络等提供远程技术指导，如甲方需要乙方到场的，乙方应在收到甲方通知后</w:t>
      </w:r>
      <w:r>
        <w:rPr>
          <w:rFonts w:hint="eastAsia" w:ascii="Times New Roman" w:hAnsi="Times New Roman" w:eastAsia="宋体" w:cs="Times New Roman"/>
          <w:bCs w:val="0"/>
          <w:color w:val="auto"/>
          <w:sz w:val="24"/>
          <w:szCs w:val="24"/>
          <w:u w:val="single"/>
        </w:rPr>
        <w:t xml:space="preserve"> </w:t>
      </w:r>
      <w:r>
        <w:rPr>
          <w:rFonts w:hint="eastAsia" w:ascii="Times New Roman" w:hAnsi="Times New Roman" w:eastAsia="宋体" w:cs="Times New Roman"/>
          <w:bCs w:val="0"/>
          <w:color w:val="auto"/>
          <w:sz w:val="24"/>
          <w:szCs w:val="24"/>
          <w:u w:val="single"/>
          <w:lang w:val="en-US" w:eastAsia="zh-CN"/>
        </w:rPr>
        <w:t>72</w:t>
      </w:r>
      <w:r>
        <w:rPr>
          <w:rFonts w:hint="eastAsia" w:ascii="Times New Roman" w:hAnsi="Times New Roman" w:eastAsia="宋体" w:cs="Times New Roman"/>
          <w:bCs w:val="0"/>
          <w:color w:val="auto"/>
          <w:sz w:val="24"/>
          <w:szCs w:val="24"/>
          <w:u w:val="single"/>
        </w:rPr>
        <w:t xml:space="preserve"> </w:t>
      </w:r>
      <w:r>
        <w:rPr>
          <w:rFonts w:hint="eastAsia" w:ascii="Times New Roman" w:hAnsi="Times New Roman" w:eastAsia="宋体" w:cs="Times New Roman"/>
          <w:bCs w:val="0"/>
          <w:color w:val="auto"/>
          <w:sz w:val="24"/>
          <w:szCs w:val="24"/>
        </w:rPr>
        <w:t>小时内派专业技术人员到场负责解决及维修故障。如果乙方不按时到场维修或到场后不能修复的，甲方有权委托他人予以维修，乙方承担由此发生的费用并支付</w:t>
      </w:r>
      <w:r>
        <w:rPr>
          <w:rFonts w:hint="eastAsia" w:ascii="Times New Roman" w:hAnsi="Times New Roman" w:eastAsia="宋体" w:cs="Times New Roman"/>
          <w:bCs w:val="0"/>
          <w:color w:val="auto"/>
          <w:sz w:val="24"/>
          <w:szCs w:val="24"/>
          <w:u w:val="single"/>
        </w:rPr>
        <w:t>合同暂定总价10%/次</w:t>
      </w:r>
      <w:r>
        <w:rPr>
          <w:rFonts w:hint="eastAsia" w:ascii="Times New Roman" w:hAnsi="Times New Roman" w:eastAsia="宋体" w:cs="Times New Roman"/>
          <w:bCs w:val="0"/>
          <w:color w:val="auto"/>
          <w:sz w:val="24"/>
          <w:szCs w:val="24"/>
        </w:rPr>
        <w:t>作为违约金</w:t>
      </w:r>
      <w:bookmarkEnd w:id="137"/>
      <w:bookmarkEnd w:id="138"/>
      <w:bookmarkEnd w:id="139"/>
      <w:r>
        <w:rPr>
          <w:rFonts w:hint="eastAsia" w:ascii="Times New Roman" w:hAnsi="Times New Roman" w:eastAsia="宋体" w:cs="Times New Roman"/>
          <w:bCs w:val="0"/>
          <w:color w:val="auto"/>
          <w:sz w:val="24"/>
          <w:szCs w:val="24"/>
        </w:rPr>
        <w:t>。</w:t>
      </w:r>
    </w:p>
    <w:p>
      <w:pPr>
        <w:autoSpaceDE w:val="0"/>
        <w:autoSpaceDN w:val="0"/>
        <w:adjustRightInd w:val="0"/>
        <w:snapToGrid/>
        <w:spacing w:line="460" w:lineRule="exact"/>
        <w:ind w:left="420" w:firstLine="0" w:firstLineChars="0"/>
        <w:rPr>
          <w:rFonts w:hint="default" w:ascii="Times New Roman" w:hAnsi="Times New Roman" w:cs="Times New Roman" w:eastAsiaTheme="minorEastAsia"/>
          <w:b/>
          <w:bCs w:val="0"/>
          <w:color w:val="auto"/>
          <w:sz w:val="24"/>
          <w:szCs w:val="24"/>
        </w:rPr>
      </w:pPr>
      <w:r>
        <w:rPr>
          <w:rFonts w:hint="default" w:ascii="Times New Roman" w:hAnsi="Times New Roman" w:cs="Times New Roman" w:eastAsiaTheme="minorEastAsia"/>
          <w:b/>
          <w:bCs w:val="0"/>
          <w:color w:val="auto"/>
          <w:sz w:val="24"/>
          <w:szCs w:val="24"/>
        </w:rPr>
        <w:t>第十一条 违约责任</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11.1</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延期交货的违约责任</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11.1.1</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乙方应按照本合同约定的时间交货。如乙方因客观情况导致无法按时交货，乙方应在交货期前</w:t>
      </w:r>
      <w:r>
        <w:rPr>
          <w:rFonts w:hint="eastAsia" w:ascii="Times New Roman" w:hAnsi="Times New Roman" w:eastAsia="宋体" w:cs="Times New Roman"/>
          <w:bCs w:val="0"/>
          <w:color w:val="auto"/>
          <w:sz w:val="24"/>
          <w:szCs w:val="24"/>
          <w:u w:val="single"/>
        </w:rPr>
        <w:t xml:space="preserve"> 15 </w:t>
      </w:r>
      <w:r>
        <w:rPr>
          <w:rFonts w:hint="eastAsia" w:ascii="Times New Roman" w:hAnsi="Times New Roman" w:eastAsia="宋体" w:cs="Times New Roman"/>
          <w:bCs w:val="0"/>
          <w:color w:val="auto"/>
          <w:sz w:val="24"/>
          <w:szCs w:val="24"/>
        </w:rPr>
        <w:t>日，以书面形式将原因及预计拖延的时间通知甲方。经甲方同意后，交货期顺延。</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11.1.2</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乙方未能在合同规定期限内交货并交付完整技术资料的，每逾期一天，甲方有权按</w:t>
      </w:r>
      <w:r>
        <w:rPr>
          <w:rFonts w:hint="eastAsia" w:ascii="Times New Roman" w:hAnsi="Times New Roman" w:eastAsia="宋体" w:cs="Times New Roman"/>
          <w:bCs w:val="0"/>
          <w:color w:val="auto"/>
          <w:sz w:val="24"/>
          <w:szCs w:val="24"/>
          <w:u w:val="single"/>
        </w:rPr>
        <w:t>迟交货设备价格的1%/天</w:t>
      </w:r>
      <w:r>
        <w:rPr>
          <w:rFonts w:hint="eastAsia" w:ascii="Times New Roman" w:hAnsi="Times New Roman" w:eastAsia="宋体" w:cs="Times New Roman"/>
          <w:bCs w:val="0"/>
          <w:color w:val="auto"/>
          <w:sz w:val="24"/>
          <w:szCs w:val="24"/>
        </w:rPr>
        <w:t>要求乙方支付违约金。逾期超过</w:t>
      </w:r>
      <w:r>
        <w:rPr>
          <w:rFonts w:hint="eastAsia" w:ascii="Times New Roman" w:hAnsi="Times New Roman" w:eastAsia="宋体" w:cs="Times New Roman"/>
          <w:bCs w:val="0"/>
          <w:color w:val="auto"/>
          <w:sz w:val="24"/>
          <w:szCs w:val="24"/>
          <w:u w:val="single"/>
        </w:rPr>
        <w:t xml:space="preserve"> 15 </w:t>
      </w:r>
      <w:r>
        <w:rPr>
          <w:rFonts w:hint="eastAsia" w:ascii="Times New Roman" w:hAnsi="Times New Roman" w:eastAsia="宋体" w:cs="Times New Roman"/>
          <w:bCs w:val="0"/>
          <w:color w:val="auto"/>
          <w:sz w:val="24"/>
          <w:szCs w:val="24"/>
        </w:rPr>
        <w:t>天，甲方有权解除合同，要求乙方支付迟延违约金并在3天内退回预付款及利息（如有），且扣除乙方履约担保全部金额（如有）。如由于乙方逾期交货对甲方生产造成影响，甲方有权要求乙方赔偿损失。</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11.2质量问题的违约责任</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11.2.1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（1）乙方承担费用，用合格的新设备更换有缺陷的设备或修补缺陷部分；</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（2）退还设备，同时将甲方已经支付的合同价款全额退还甲方，并承担甲方因履行本合同而支出的一切费用，包括但不限于利息、银行手续费、仓储费、卸货费以及因退回设备所需的其他费用。</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（3）按不合格设备价格的</w:t>
      </w:r>
      <w:r>
        <w:rPr>
          <w:rFonts w:hint="eastAsia" w:ascii="Times New Roman" w:hAnsi="Times New Roman" w:eastAsia="宋体" w:cs="Times New Roman"/>
          <w:bCs w:val="0"/>
          <w:color w:val="auto"/>
          <w:sz w:val="24"/>
          <w:szCs w:val="24"/>
          <w:u w:val="single"/>
          <w:lang w:val="en-US" w:eastAsia="zh-CN"/>
        </w:rPr>
        <w:t>5</w:t>
      </w:r>
      <w:r>
        <w:rPr>
          <w:rFonts w:hint="eastAsia" w:ascii="Times New Roman" w:hAnsi="Times New Roman" w:eastAsia="宋体" w:cs="Times New Roman"/>
          <w:bCs w:val="0"/>
          <w:color w:val="auto"/>
          <w:sz w:val="24"/>
          <w:szCs w:val="24"/>
          <w:u w:val="single"/>
        </w:rPr>
        <w:t>0%</w:t>
      </w:r>
      <w:r>
        <w:rPr>
          <w:rFonts w:hint="eastAsia" w:ascii="Times New Roman" w:hAnsi="Times New Roman" w:eastAsia="宋体" w:cs="Times New Roman"/>
          <w:bCs w:val="0"/>
          <w:color w:val="auto"/>
          <w:sz w:val="24"/>
          <w:szCs w:val="24"/>
        </w:rPr>
        <w:t>支付违约金。</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（4）赔偿甲方因设备质量问题导致的一切损失。</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11.2.2 如果乙方提供的技术资料有错误，或者由于乙方技术人员原因造成设备安装、调试不成功和（或）造成合同设备损坏的情况，乙方应在</w:t>
      </w:r>
      <w:r>
        <w:rPr>
          <w:rFonts w:hint="eastAsia" w:ascii="Times New Roman" w:hAnsi="Times New Roman" w:eastAsia="宋体" w:cs="Times New Roman"/>
          <w:bCs w:val="0"/>
          <w:color w:val="auto"/>
          <w:sz w:val="24"/>
          <w:szCs w:val="24"/>
          <w:u w:val="single"/>
        </w:rPr>
        <w:t xml:space="preserve"> 72 </w:t>
      </w:r>
      <w:r>
        <w:rPr>
          <w:rFonts w:hint="eastAsia" w:ascii="Times New Roman" w:hAnsi="Times New Roman" w:eastAsia="宋体" w:cs="Times New Roman"/>
          <w:bCs w:val="0"/>
          <w:color w:val="auto"/>
          <w:sz w:val="24"/>
          <w:szCs w:val="24"/>
        </w:rPr>
        <w:t>小时内采取修理、更换、退货等补救措施并负担因此发生的费用，同时需向甲方支付</w:t>
      </w:r>
      <w:r>
        <w:rPr>
          <w:rFonts w:hint="eastAsia" w:ascii="Times New Roman" w:hAnsi="Times New Roman" w:eastAsia="宋体" w:cs="Times New Roman"/>
          <w:bCs w:val="0"/>
          <w:color w:val="auto"/>
          <w:sz w:val="24"/>
          <w:szCs w:val="24"/>
          <w:u w:val="single"/>
          <w:lang w:eastAsia="zh-CN"/>
        </w:rPr>
        <w:t xml:space="preserve"> </w:t>
      </w:r>
      <w:r>
        <w:rPr>
          <w:rFonts w:hint="eastAsia" w:ascii="Times New Roman" w:hAnsi="Times New Roman" w:eastAsia="宋体" w:cs="Times New Roman"/>
          <w:bCs w:val="0"/>
          <w:color w:val="auto"/>
          <w:sz w:val="24"/>
          <w:szCs w:val="24"/>
          <w:u w:val="single"/>
          <w:lang w:val="en-US" w:eastAsia="zh-CN"/>
        </w:rPr>
        <w:t xml:space="preserve">不合格设备价格的 50% </w:t>
      </w:r>
      <w:r>
        <w:rPr>
          <w:rFonts w:hint="eastAsia" w:ascii="Times New Roman" w:hAnsi="Times New Roman" w:eastAsia="宋体" w:cs="Times New Roman"/>
          <w:bCs w:val="0"/>
          <w:color w:val="auto"/>
          <w:sz w:val="24"/>
          <w:szCs w:val="24"/>
        </w:rPr>
        <w:t>作为违约金。</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11.2.3</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Times New Roman" w:hAnsi="Times New Roman" w:eastAsia="宋体" w:cs="Times New Roman"/>
          <w:bCs w:val="0"/>
          <w:color w:val="auto"/>
          <w:sz w:val="24"/>
          <w:szCs w:val="24"/>
          <w:u w:val="single"/>
          <w:lang w:val="en-US" w:eastAsia="zh-CN"/>
        </w:rPr>
        <w:t xml:space="preserve">合同暂定总价的 100 % </w:t>
      </w:r>
      <w:r>
        <w:rPr>
          <w:rFonts w:hint="eastAsia" w:ascii="Times New Roman" w:hAnsi="Times New Roman" w:eastAsia="宋体" w:cs="Times New Roman"/>
          <w:bCs w:val="0"/>
          <w:color w:val="auto"/>
          <w:sz w:val="24"/>
          <w:szCs w:val="24"/>
        </w:rPr>
        <w:t>支付违约金。</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11.2.4</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11.3</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如乙方未按合同六条约定递交履约保证金，甲方有权解除合同并要求乙方支付</w:t>
      </w:r>
      <w:r>
        <w:rPr>
          <w:rFonts w:hint="eastAsia" w:ascii="Times New Roman" w:hAnsi="Times New Roman" w:eastAsia="宋体" w:cs="Times New Roman"/>
          <w:bCs w:val="0"/>
          <w:color w:val="auto"/>
          <w:sz w:val="24"/>
          <w:szCs w:val="24"/>
          <w:u w:val="single"/>
          <w:lang w:val="en-US" w:eastAsia="zh-CN"/>
        </w:rPr>
        <w:t xml:space="preserve">合同暂定总价的20% </w:t>
      </w:r>
      <w:r>
        <w:rPr>
          <w:rFonts w:hint="eastAsia" w:ascii="Times New Roman" w:hAnsi="Times New Roman" w:eastAsia="宋体" w:cs="Times New Roman"/>
          <w:bCs w:val="0"/>
          <w:color w:val="auto"/>
          <w:sz w:val="24"/>
          <w:szCs w:val="24"/>
        </w:rPr>
        <w:t xml:space="preserve">作为违约金。 </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11.4</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如双方对质量责任认定有争议，由甲方委托具备相关资质的第三方质检机构出具质检报告。因第三方质检机构产生的费用先由乙方支付，如果检验结果为不合格，则该费用由乙方承担，如果检验结果为合格，则该费用由甲方承担。</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11.5</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乙方不履行合同义务、或履行合同义务不符合合同约定、或违反国家、省、市行业标准的，甲方有权要求乙方限期整改。乙方逾期未完成整改的，每项每超过1日支付违约金人民币0.1万元，超过30日，甲方有权解除合同并要求乙方支付</w:t>
      </w:r>
      <w:r>
        <w:rPr>
          <w:rFonts w:hint="eastAsia" w:ascii="Times New Roman" w:hAnsi="Times New Roman" w:eastAsia="宋体" w:cs="Times New Roman"/>
          <w:bCs w:val="0"/>
          <w:color w:val="auto"/>
          <w:sz w:val="24"/>
          <w:szCs w:val="24"/>
          <w:u w:val="single"/>
        </w:rPr>
        <w:t>合同暂定总价的20%</w:t>
      </w:r>
      <w:r>
        <w:rPr>
          <w:rFonts w:hint="eastAsia" w:ascii="Times New Roman" w:hAnsi="Times New Roman" w:eastAsia="宋体" w:cs="Times New Roman"/>
          <w:bCs w:val="0"/>
          <w:color w:val="auto"/>
          <w:sz w:val="24"/>
          <w:szCs w:val="24"/>
        </w:rPr>
        <w:t>作为违约金（如合同另行约定违约责任，从其约定）。</w:t>
      </w:r>
    </w:p>
    <w:p>
      <w:pPr>
        <w:spacing w:line="460" w:lineRule="exact"/>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11.6在合同有效期内，若乙方发生不诚信行为情形的，乙方自愿接受甲方按《广州市净水有限公司经营建设项目参建企业不诚信行为管理办法》处理，具体处理标准详见附件3。</w:t>
      </w:r>
    </w:p>
    <w:p>
      <w:pPr>
        <w:keepNext w:val="0"/>
        <w:keepLines w:val="0"/>
        <w:pageBreakBefore w:val="0"/>
        <w:kinsoku/>
        <w:wordWrap/>
        <w:overflowPunct/>
        <w:topLinePunct w:val="0"/>
        <w:autoSpaceDE w:val="0"/>
        <w:autoSpaceDN w:val="0"/>
        <w:bidi w:val="0"/>
        <w:adjustRightInd w:val="0"/>
        <w:spacing w:line="460" w:lineRule="exact"/>
        <w:ind w:left="420" w:firstLine="0" w:firstLineChars="0"/>
        <w:textAlignment w:val="auto"/>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第十二条 变更或解除</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12.1</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甲方解除合同</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如乙方存在下述情况之一，甲方有权向乙方发出书面通知，全部或部分解除本合同：</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12.1.1</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 xml:space="preserve">乙方未能在本合同约定或甲方另行指定的期限内提供部分或全部设备或提供技术服务，并经甲方催告后仍未提供； </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12.1.2</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乙方交付的设备存在严重的质量问题，导致本合同目的不能实现；</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12.1.3</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乙方存在违反合同义务的其他情形，经甲方催告后仍未作出补救或完成整改；</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12.1.4</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乙方投标时提交的资料不真实，或任何时候发现乙方有违反投标时的承诺和（或）声明的情况；</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12.2</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乙方解除合同</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如甲方无正当理由未能按本合同约定期限向乙方支付合同款，并经乙方催告后超过</w:t>
      </w:r>
      <w:r>
        <w:rPr>
          <w:rFonts w:hint="eastAsia" w:ascii="Times New Roman" w:hAnsi="Times New Roman" w:eastAsia="宋体" w:cs="Times New Roman"/>
          <w:bCs w:val="0"/>
          <w:color w:val="auto"/>
          <w:sz w:val="24"/>
          <w:szCs w:val="24"/>
          <w:u w:val="single"/>
        </w:rPr>
        <w:t xml:space="preserve">30 </w:t>
      </w:r>
      <w:r>
        <w:rPr>
          <w:rFonts w:hint="eastAsia" w:ascii="Times New Roman" w:hAnsi="Times New Roman" w:eastAsia="宋体" w:cs="Times New Roman"/>
          <w:bCs w:val="0"/>
          <w:color w:val="auto"/>
          <w:sz w:val="24"/>
          <w:szCs w:val="24"/>
        </w:rPr>
        <w:t>天仍未支付，乙方有权以书面通知解除本合同。</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12.3</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甲乙双方经协商一致后解除合同。</w:t>
      </w:r>
    </w:p>
    <w:p>
      <w:pPr>
        <w:keepNext w:val="0"/>
        <w:keepLines w:val="0"/>
        <w:pageBreakBefore w:val="0"/>
        <w:kinsoku/>
        <w:wordWrap/>
        <w:overflowPunct/>
        <w:topLinePunct w:val="0"/>
        <w:autoSpaceDE w:val="0"/>
        <w:autoSpaceDN w:val="0"/>
        <w:bidi w:val="0"/>
        <w:adjustRightInd w:val="0"/>
        <w:spacing w:line="460" w:lineRule="exact"/>
        <w:ind w:left="420" w:firstLine="0" w:firstLineChars="0"/>
        <w:textAlignment w:val="auto"/>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bCs w:val="0"/>
          <w:color w:val="auto"/>
          <w:sz w:val="24"/>
          <w:szCs w:val="24"/>
        </w:rPr>
        <w:t>第十三条 不可抗力</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13.1</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（1）地震、火山爆发、滑坡、暴雨（橙色预警及以上）、台风（黄色预警及以上）、海啸、龙卷风、大面积流行病(如：新型冠状病毒肺炎等)或瘟疫；</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（2）战争行为、入侵、武装冲突或外敌行为、封锁、暴乱、恐怖行为或军事演习；</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13.2</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13.3</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仿宋_GB2312" w:hAnsi="仿宋_GB2312" w:eastAsia="仿宋_GB2312" w:cs="仿宋_GB2312"/>
          <w:sz w:val="28"/>
          <w:szCs w:val="28"/>
        </w:rPr>
      </w:pPr>
      <w:r>
        <w:rPr>
          <w:rFonts w:hint="eastAsia" w:ascii="Times New Roman" w:hAnsi="Times New Roman" w:eastAsia="宋体" w:cs="Times New Roman"/>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autoSpaceDE w:val="0"/>
        <w:autoSpaceDN w:val="0"/>
        <w:bidi w:val="0"/>
        <w:adjustRightInd w:val="0"/>
        <w:spacing w:line="460" w:lineRule="exact"/>
        <w:ind w:left="420" w:firstLine="0" w:firstLineChars="0"/>
        <w:textAlignment w:val="auto"/>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第十四条 争议解决方式：</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14.1</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因本合同引起的或与本合同有关的任何争议，甲乙双方应友好协商解决，如协商不成，任何一方均可依法向</w:t>
      </w:r>
      <w:r>
        <w:rPr>
          <w:rFonts w:hint="eastAsia" w:ascii="Times New Roman" w:hAnsi="Times New Roman" w:eastAsia="宋体" w:cs="Times New Roman"/>
          <w:color w:val="auto"/>
          <w:sz w:val="24"/>
          <w:szCs w:val="24"/>
          <w:u w:val="single"/>
        </w:rPr>
        <w:t>甲方所在地人民法院</w:t>
      </w:r>
      <w:r>
        <w:rPr>
          <w:rFonts w:hint="eastAsia" w:ascii="Times New Roman" w:hAnsi="Times New Roman" w:eastAsia="宋体" w:cs="Times New Roman"/>
          <w:color w:val="auto"/>
          <w:sz w:val="24"/>
          <w:szCs w:val="24"/>
        </w:rPr>
        <w:t>提起诉讼。</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14.2</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在甲方同意的情况下，除有争端之外的合同其它部分在争端解决前应继续执行。</w:t>
      </w:r>
    </w:p>
    <w:p>
      <w:pPr>
        <w:keepNext w:val="0"/>
        <w:keepLines w:val="0"/>
        <w:pageBreakBefore w:val="0"/>
        <w:kinsoku/>
        <w:wordWrap/>
        <w:overflowPunct/>
        <w:topLinePunct w:val="0"/>
        <w:autoSpaceDE w:val="0"/>
        <w:autoSpaceDN w:val="0"/>
        <w:bidi w:val="0"/>
        <w:adjustRightInd w:val="0"/>
        <w:spacing w:line="460" w:lineRule="exact"/>
        <w:ind w:left="420" w:firstLine="0" w:firstLineChars="0"/>
        <w:textAlignment w:val="auto"/>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第十五条 其他：</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 w:val="0"/>
          <w:color w:val="auto"/>
          <w:sz w:val="24"/>
          <w:szCs w:val="24"/>
        </w:rPr>
      </w:pPr>
      <w:r>
        <w:rPr>
          <w:rFonts w:hint="eastAsia" w:ascii="Times New Roman" w:hAnsi="Times New Roman" w:eastAsia="宋体" w:cs="Times New Roman"/>
          <w:bCs w:val="0"/>
          <w:color w:val="auto"/>
          <w:sz w:val="24"/>
          <w:szCs w:val="24"/>
        </w:rPr>
        <w:t>15.1</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color w:val="auto"/>
          <w:sz w:val="24"/>
          <w:szCs w:val="24"/>
        </w:rPr>
        <w:t>本合同未尽事宜，可由甲乙双方另行签订补充协议。补充协议与本合同具有同等法律效力。</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15.2</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本合同自甲乙双方法定代表人或授权代理人签字并加盖公章之日起生效。</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15.3</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本合同一式</w:t>
      </w:r>
      <w:r>
        <w:rPr>
          <w:rFonts w:hint="eastAsia" w:ascii="Times New Roman" w:hAnsi="Times New Roman" w:eastAsia="宋体" w:cs="Times New Roman"/>
          <w:color w:val="auto"/>
          <w:sz w:val="24"/>
          <w:szCs w:val="24"/>
          <w:u w:val="single"/>
          <w:lang w:eastAsia="zh-CN"/>
        </w:rPr>
        <w:t xml:space="preserve">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份，甲方执</w:t>
      </w:r>
      <w:r>
        <w:rPr>
          <w:rFonts w:hint="eastAsia" w:ascii="Times New Roman" w:hAnsi="Times New Roman" w:eastAsia="宋体" w:cs="Times New Roman"/>
          <w:color w:val="auto"/>
          <w:sz w:val="24"/>
          <w:szCs w:val="24"/>
          <w:u w:val="single"/>
          <w:lang w:eastAsia="zh-CN"/>
        </w:rPr>
        <w:t xml:space="preserve">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份，乙方执</w:t>
      </w:r>
      <w:r>
        <w:rPr>
          <w:rFonts w:hint="eastAsia" w:ascii="Times New Roman" w:hAnsi="Times New Roman" w:eastAsia="宋体" w:cs="Times New Roman"/>
          <w:color w:val="auto"/>
          <w:sz w:val="24"/>
          <w:szCs w:val="24"/>
          <w:u w:val="single"/>
          <w:lang w:eastAsia="zh-CN"/>
        </w:rPr>
        <w:t xml:space="preserve">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份。均具有同等法律效力。</w:t>
      </w:r>
    </w:p>
    <w:p>
      <w:pPr>
        <w:widowControl/>
        <w:adjustRightInd w:val="0"/>
        <w:snapToGrid w:val="0"/>
        <w:spacing w:line="460" w:lineRule="exact"/>
        <w:ind w:firstLine="480" w:firstLineChars="200"/>
        <w:jc w:val="left"/>
        <w:rPr>
          <w:rFonts w:ascii="Times New Roman" w:hAnsi="Times New Roman" w:cs="Times New Roman"/>
          <w:color w:val="auto"/>
          <w:sz w:val="24"/>
          <w:szCs w:val="24"/>
        </w:rPr>
      </w:pPr>
      <w:r>
        <w:rPr>
          <w:rFonts w:hint="eastAsia" w:ascii="Times New Roman" w:hAnsi="Times New Roman" w:eastAsia="宋体" w:cs="Times New Roman"/>
          <w:color w:val="auto"/>
          <w:sz w:val="24"/>
          <w:szCs w:val="24"/>
        </w:rPr>
        <w:t>15.4</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补充条款：</w:t>
      </w:r>
      <w:r>
        <w:rPr>
          <w:rFonts w:hint="eastAsia" w:ascii="Times New Roman" w:hAnsi="Times New Roman" w:eastAsia="宋体" w:cs="Times New Roman"/>
          <w:color w:val="auto"/>
          <w:sz w:val="24"/>
          <w:szCs w:val="24"/>
          <w:u w:val="single"/>
        </w:rPr>
        <w:t xml:space="preserve"> 无 </w:t>
      </w:r>
      <w:r>
        <w:rPr>
          <w:rFonts w:hint="eastAsia" w:ascii="Times New Roman" w:hAnsi="Times New Roman" w:eastAsia="宋体" w:cs="Times New Roman"/>
          <w:color w:val="auto"/>
          <w:sz w:val="24"/>
          <w:szCs w:val="24"/>
          <w:u w:val="none"/>
        </w:rPr>
        <w:t xml:space="preserve"> 。</w:t>
      </w:r>
      <w:r>
        <w:rPr>
          <w:rFonts w:hint="eastAsia" w:ascii="Times New Roman" w:hAnsi="Times New Roman" w:eastAsia="宋体" w:cs="Times New Roman"/>
          <w:color w:val="auto"/>
          <w:sz w:val="24"/>
          <w:szCs w:val="24"/>
        </w:rPr>
        <w:t xml:space="preserve">  </w:t>
      </w:r>
      <w:r>
        <w:rPr>
          <w:rFonts w:ascii="Times New Roman" w:hAnsi="Times New Roman" w:cs="Times New Roman"/>
          <w:color w:val="auto"/>
          <w:sz w:val="24"/>
          <w:szCs w:val="24"/>
        </w:rPr>
        <w:t xml:space="preserve">   </w:t>
      </w:r>
    </w:p>
    <w:bookmarkEnd w:id="109"/>
    <w:bookmarkEnd w:id="110"/>
    <w:bookmarkEnd w:id="111"/>
    <w:bookmarkEnd w:id="112"/>
    <w:bookmarkEnd w:id="113"/>
    <w:bookmarkEnd w:id="114"/>
    <w:bookmarkEnd w:id="115"/>
    <w:bookmarkEnd w:id="116"/>
    <w:bookmarkEnd w:id="117"/>
    <w:bookmarkEnd w:id="118"/>
    <w:bookmarkEnd w:id="119"/>
    <w:bookmarkEnd w:id="120"/>
    <w:bookmarkEnd w:id="121"/>
    <w:p>
      <w:pPr>
        <w:spacing w:line="276" w:lineRule="auto"/>
        <w:ind w:firstLine="480"/>
        <w:rPr>
          <w:rFonts w:ascii="Times New Roman" w:hAnsi="Times New Roman" w:cs="Times New Roman"/>
          <w:color w:val="auto"/>
          <w:sz w:val="24"/>
          <w:szCs w:val="24"/>
        </w:rPr>
      </w:pPr>
    </w:p>
    <w:p>
      <w:pPr>
        <w:spacing w:line="360" w:lineRule="auto"/>
        <w:ind w:firstLine="480"/>
        <w:rPr>
          <w:rFonts w:ascii="Times New Roman" w:hAnsi="Times New Roman" w:cs="Times New Roman"/>
          <w:color w:val="auto"/>
          <w:sz w:val="24"/>
          <w:szCs w:val="24"/>
        </w:rPr>
      </w:pPr>
      <w:r>
        <w:rPr>
          <w:rFonts w:ascii="Times New Roman" w:hAnsi="Times New Roman" w:cs="Times New Roman"/>
          <w:color w:val="auto"/>
          <w:sz w:val="24"/>
          <w:szCs w:val="24"/>
        </w:rPr>
        <w:t>附件：</w:t>
      </w:r>
    </w:p>
    <w:p>
      <w:pPr>
        <w:pStyle w:val="14"/>
        <w:keepNext w:val="0"/>
        <w:keepLines w:val="0"/>
        <w:pageBreakBefore w:val="0"/>
        <w:numPr>
          <w:ilvl w:val="-1"/>
          <w:numId w:val="0"/>
        </w:numPr>
        <w:kinsoku/>
        <w:wordWrap/>
        <w:overflowPunct/>
        <w:topLinePunct w:val="0"/>
        <w:bidi w:val="0"/>
        <w:spacing w:line="360" w:lineRule="auto"/>
        <w:ind w:left="1200" w:firstLine="0"/>
        <w:rPr>
          <w:rFonts w:hint="eastAsia" w:ascii="宋体" w:hAnsi="宋体" w:eastAsia="宋体" w:cs="宋体"/>
          <w:color w:val="auto"/>
          <w:sz w:val="24"/>
          <w:szCs w:val="24"/>
        </w:rPr>
      </w:pPr>
      <w:r>
        <w:rPr>
          <w:rFonts w:hint="eastAsia" w:ascii="宋体" w:hAnsi="宋体" w:eastAsia="宋体" w:cs="宋体"/>
          <w:color w:val="auto"/>
          <w:sz w:val="24"/>
          <w:szCs w:val="24"/>
        </w:rPr>
        <w:t>1.中标通知书/发包通知书/成交通知书（如有）</w:t>
      </w:r>
    </w:p>
    <w:p>
      <w:pPr>
        <w:pStyle w:val="14"/>
        <w:keepNext w:val="0"/>
        <w:keepLines w:val="0"/>
        <w:pageBreakBefore w:val="0"/>
        <w:numPr>
          <w:ilvl w:val="-1"/>
          <w:numId w:val="0"/>
        </w:numPr>
        <w:kinsoku/>
        <w:wordWrap/>
        <w:overflowPunct/>
        <w:topLinePunct w:val="0"/>
        <w:bidi w:val="0"/>
        <w:spacing w:line="360" w:lineRule="auto"/>
        <w:ind w:left="1200" w:firstLine="0"/>
        <w:rPr>
          <w:rFonts w:hint="eastAsia" w:ascii="宋体" w:hAnsi="宋体" w:eastAsia="宋体" w:cs="宋体"/>
          <w:color w:val="auto"/>
          <w:sz w:val="24"/>
          <w:szCs w:val="24"/>
        </w:rPr>
      </w:pPr>
      <w:r>
        <w:rPr>
          <w:rFonts w:hint="eastAsia" w:ascii="宋体" w:hAnsi="宋体" w:eastAsia="宋体" w:cs="宋体"/>
          <w:color w:val="auto"/>
          <w:sz w:val="24"/>
          <w:szCs w:val="24"/>
        </w:rPr>
        <w:t>2.廉洁协议</w:t>
      </w:r>
    </w:p>
    <w:p>
      <w:pPr>
        <w:pStyle w:val="14"/>
        <w:keepNext w:val="0"/>
        <w:keepLines w:val="0"/>
        <w:pageBreakBefore w:val="0"/>
        <w:numPr>
          <w:ilvl w:val="-1"/>
          <w:numId w:val="0"/>
        </w:numPr>
        <w:kinsoku/>
        <w:wordWrap/>
        <w:overflowPunct/>
        <w:topLinePunct w:val="0"/>
        <w:bidi w:val="0"/>
        <w:spacing w:line="360" w:lineRule="auto"/>
        <w:ind w:left="1200" w:firstLine="0"/>
        <w:rPr>
          <w:rFonts w:hint="eastAsia" w:ascii="宋体" w:hAnsi="宋体" w:eastAsia="宋体" w:cs="宋体"/>
          <w:color w:val="auto"/>
          <w:sz w:val="24"/>
          <w:szCs w:val="24"/>
        </w:rPr>
      </w:pPr>
      <w:r>
        <w:rPr>
          <w:rFonts w:hint="eastAsia" w:hAnsi="宋体" w:cs="宋体"/>
          <w:color w:val="auto"/>
          <w:sz w:val="24"/>
          <w:szCs w:val="24"/>
          <w:lang w:val="en-US" w:eastAsia="zh-CN"/>
        </w:rPr>
        <w:t>3</w:t>
      </w:r>
      <w:r>
        <w:rPr>
          <w:rFonts w:hint="eastAsia" w:ascii="宋体" w:hAnsi="宋体" w:eastAsia="宋体" w:cs="宋体"/>
          <w:color w:val="auto"/>
          <w:sz w:val="24"/>
          <w:szCs w:val="24"/>
        </w:rPr>
        <w:t>.物品采购安全协议书</w:t>
      </w:r>
    </w:p>
    <w:p>
      <w:pPr>
        <w:pStyle w:val="14"/>
        <w:keepNext w:val="0"/>
        <w:keepLines w:val="0"/>
        <w:pageBreakBefore w:val="0"/>
        <w:numPr>
          <w:ilvl w:val="-1"/>
          <w:numId w:val="0"/>
        </w:numPr>
        <w:kinsoku/>
        <w:wordWrap/>
        <w:overflowPunct/>
        <w:topLinePunct w:val="0"/>
        <w:bidi w:val="0"/>
        <w:spacing w:line="360" w:lineRule="auto"/>
        <w:ind w:left="1200" w:firstLine="0"/>
        <w:rPr>
          <w:rFonts w:hint="eastAsia" w:ascii="宋体" w:hAnsi="宋体" w:eastAsia="宋体" w:cs="宋体"/>
          <w:color w:val="auto"/>
          <w:sz w:val="24"/>
          <w:szCs w:val="24"/>
        </w:rPr>
      </w:pPr>
      <w:r>
        <w:rPr>
          <w:rFonts w:hint="eastAsia" w:hAnsi="宋体" w:cs="宋体"/>
          <w:color w:val="auto"/>
          <w:sz w:val="24"/>
          <w:szCs w:val="24"/>
          <w:lang w:val="en-US" w:eastAsia="zh-CN"/>
        </w:rPr>
        <w:t>4</w:t>
      </w:r>
      <w:r>
        <w:rPr>
          <w:rFonts w:hint="eastAsia" w:ascii="宋体" w:hAnsi="宋体" w:eastAsia="宋体" w:cs="宋体"/>
          <w:color w:val="auto"/>
          <w:sz w:val="24"/>
          <w:szCs w:val="24"/>
        </w:rPr>
        <w:t>.技术需求</w:t>
      </w:r>
    </w:p>
    <w:p>
      <w:pPr>
        <w:pStyle w:val="14"/>
        <w:keepNext w:val="0"/>
        <w:keepLines w:val="0"/>
        <w:pageBreakBefore w:val="0"/>
        <w:numPr>
          <w:ilvl w:val="-1"/>
          <w:numId w:val="0"/>
        </w:numPr>
        <w:kinsoku/>
        <w:wordWrap/>
        <w:overflowPunct/>
        <w:topLinePunct w:val="0"/>
        <w:bidi w:val="0"/>
        <w:spacing w:line="360" w:lineRule="auto"/>
        <w:ind w:left="1200" w:firstLine="0"/>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5</w:t>
      </w:r>
      <w:r>
        <w:rPr>
          <w:rFonts w:hint="eastAsia" w:ascii="宋体" w:hAnsi="宋体" w:eastAsia="宋体" w:cs="宋体"/>
          <w:color w:val="auto"/>
          <w:sz w:val="24"/>
          <w:szCs w:val="24"/>
        </w:rPr>
        <w:t>.</w:t>
      </w:r>
      <w:r>
        <w:rPr>
          <w:rFonts w:hint="eastAsia" w:hAnsi="宋体" w:cs="宋体"/>
          <w:color w:val="auto"/>
          <w:sz w:val="24"/>
          <w:szCs w:val="24"/>
          <w:lang w:val="en-US" w:eastAsia="zh-CN"/>
        </w:rPr>
        <w:t>报价清单</w:t>
      </w:r>
    </w:p>
    <w:p>
      <w:pPr>
        <w:pStyle w:val="14"/>
        <w:numPr>
          <w:ilvl w:val="0"/>
          <w:numId w:val="0"/>
        </w:numPr>
        <w:spacing w:line="360" w:lineRule="auto"/>
        <w:ind w:left="1200"/>
        <w:rPr>
          <w:rFonts w:hint="eastAsia" w:hAnsi="宋体"/>
          <w:color w:val="auto"/>
          <w:lang w:val="en-US" w:eastAsia="zh-CN"/>
        </w:rPr>
      </w:pPr>
    </w:p>
    <w:p>
      <w:pPr>
        <w:pStyle w:val="14"/>
        <w:rPr>
          <w:rFonts w:hint="eastAsia"/>
          <w:lang w:val="en-US" w:eastAsia="zh-CN"/>
        </w:rPr>
      </w:pPr>
    </w:p>
    <w:p>
      <w:pPr>
        <w:pStyle w:val="15"/>
        <w:rPr>
          <w:rFonts w:hint="eastAsia"/>
          <w:lang w:val="en-US" w:eastAsia="zh-CN"/>
        </w:rPr>
      </w:pPr>
    </w:p>
    <w:p>
      <w:pPr>
        <w:rPr>
          <w:rFonts w:hint="default"/>
          <w:lang w:val="en-US" w:eastAsia="zh-CN"/>
        </w:rPr>
      </w:pPr>
    </w:p>
    <w:tbl>
      <w:tblPr>
        <w:tblStyle w:val="24"/>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b/>
                <w:color w:val="auto"/>
                <w:sz w:val="24"/>
                <w:szCs w:val="24"/>
              </w:rPr>
              <w:t>甲方</w:t>
            </w:r>
            <w:r>
              <w:rPr>
                <w:rFonts w:ascii="Times New Roman" w:hAnsi="Times New Roman" w:cs="Times New Roman"/>
                <w:color w:val="auto"/>
                <w:sz w:val="24"/>
                <w:szCs w:val="24"/>
              </w:rPr>
              <w:t>：广州市净水有限公司（盖章）</w:t>
            </w:r>
          </w:p>
          <w:p>
            <w:pPr>
              <w:adjustRightInd w:val="0"/>
              <w:snapToGrid w:val="0"/>
              <w:spacing w:line="460" w:lineRule="exact"/>
              <w:rPr>
                <w:rFonts w:ascii="Times New Roman" w:hAnsi="Times New Roman" w:cs="Times New Roman"/>
                <w:color w:val="auto"/>
                <w:sz w:val="24"/>
                <w:szCs w:val="24"/>
              </w:rPr>
            </w:pPr>
          </w:p>
        </w:tc>
        <w:tc>
          <w:tcPr>
            <w:tcW w:w="4696"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b/>
                <w:color w:val="auto"/>
                <w:sz w:val="24"/>
                <w:szCs w:val="24"/>
              </w:rPr>
              <w:t>乙方</w:t>
            </w:r>
            <w:r>
              <w:rPr>
                <w:rFonts w:ascii="Times New Roman" w:hAnsi="Times New Roman" w:cs="Times New Roman"/>
                <w:color w:val="auto"/>
                <w:sz w:val="24"/>
                <w:szCs w:val="24"/>
              </w:rPr>
              <w:t>：                 （盖章）</w:t>
            </w:r>
          </w:p>
          <w:p>
            <w:pPr>
              <w:adjustRightInd w:val="0"/>
              <w:snapToGrid w:val="0"/>
              <w:spacing w:line="460" w:lineRule="exact"/>
              <w:ind w:firstLine="240" w:firstLineChars="100"/>
              <w:rPr>
                <w:rFonts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color w:val="auto"/>
                <w:sz w:val="24"/>
                <w:szCs w:val="24"/>
              </w:rPr>
              <w:t>法定代表人或授权代理人：</w:t>
            </w:r>
          </w:p>
        </w:tc>
        <w:tc>
          <w:tcPr>
            <w:tcW w:w="4696"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color w:val="auto"/>
                <w:sz w:val="24"/>
                <w:szCs w:val="24"/>
              </w:rPr>
              <w:t>经办人：</w:t>
            </w:r>
          </w:p>
        </w:tc>
        <w:tc>
          <w:tcPr>
            <w:tcW w:w="4696"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color w:val="auto"/>
                <w:sz w:val="24"/>
                <w:szCs w:val="24"/>
              </w:rPr>
              <w:t>电话：</w:t>
            </w:r>
          </w:p>
        </w:tc>
        <w:tc>
          <w:tcPr>
            <w:tcW w:w="4696"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color w:val="auto"/>
                <w:sz w:val="24"/>
                <w:szCs w:val="24"/>
              </w:rPr>
              <w:t>传真：</w:t>
            </w:r>
          </w:p>
        </w:tc>
        <w:tc>
          <w:tcPr>
            <w:tcW w:w="4696"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noWrap w:val="0"/>
            <w:vAlign w:val="top"/>
          </w:tcPr>
          <w:p>
            <w:pPr>
              <w:adjustRightInd w:val="0"/>
              <w:snapToGrid w:val="0"/>
              <w:spacing w:after="0" w:line="460" w:lineRule="exact"/>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签订日期：     年   月   日                      </w:t>
            </w:r>
          </w:p>
        </w:tc>
        <w:tc>
          <w:tcPr>
            <w:tcW w:w="4696" w:type="dxa"/>
            <w:tcBorders>
              <w:top w:val="nil"/>
              <w:left w:val="nil"/>
              <w:bottom w:val="nil"/>
              <w:right w:val="nil"/>
            </w:tcBorders>
            <w:noWrap w:val="0"/>
            <w:vAlign w:val="bottom"/>
          </w:tcPr>
          <w:p>
            <w:pPr>
              <w:adjustRightInd w:val="0"/>
              <w:snapToGrid w:val="0"/>
              <w:spacing w:line="460" w:lineRule="exact"/>
              <w:ind w:left="4181" w:hanging="4180" w:hangingChars="1742"/>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签订日期：     年   月   日 </w:t>
            </w:r>
          </w:p>
        </w:tc>
      </w:tr>
    </w:tbl>
    <w:p>
      <w:pPr>
        <w:spacing w:line="120" w:lineRule="auto"/>
        <w:jc w:val="both"/>
        <w:rPr>
          <w:rFonts w:hint="eastAsia" w:ascii="宋体" w:hAnsi="宋体" w:cs="宋体"/>
          <w:b/>
          <w:bCs/>
          <w:color w:val="auto"/>
          <w:szCs w:val="21"/>
        </w:rPr>
      </w:pPr>
      <w:r>
        <w:rPr>
          <w:rFonts w:hint="eastAsia" w:ascii="宋体" w:hAnsi="宋体" w:cs="宋体"/>
          <w:b/>
          <w:bCs/>
          <w:color w:val="auto"/>
          <w:szCs w:val="21"/>
        </w:rPr>
        <w:t>附件1：发包通知书</w:t>
      </w: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ascii="Times New Roman" w:hAnsi="Times New Roman" w:eastAsia="黑体" w:cs="Times New Roman"/>
          <w:color w:val="auto"/>
          <w:sz w:val="32"/>
          <w:szCs w:val="32"/>
        </w:rPr>
      </w:pPr>
      <w:r>
        <w:rPr>
          <w:rFonts w:hint="eastAsia" w:ascii="宋体" w:hAnsi="宋体" w:cs="宋体"/>
          <w:b/>
          <w:bCs/>
          <w:color w:val="auto"/>
          <w:szCs w:val="21"/>
        </w:rPr>
        <w:t>附件</w:t>
      </w:r>
      <w:r>
        <w:rPr>
          <w:rFonts w:hint="eastAsia" w:ascii="宋体" w:hAnsi="宋体" w:cs="宋体"/>
          <w:b/>
          <w:bCs/>
          <w:color w:val="auto"/>
          <w:szCs w:val="21"/>
          <w:lang w:val="en-US" w:eastAsia="zh-CN"/>
        </w:rPr>
        <w:t>2</w:t>
      </w:r>
      <w:r>
        <w:rPr>
          <w:rFonts w:hint="eastAsia" w:ascii="宋体" w:hAnsi="宋体" w:cs="宋体"/>
          <w:b/>
          <w:bCs/>
          <w:color w:val="auto"/>
          <w:szCs w:val="21"/>
        </w:rPr>
        <w:t>：廉洁协议</w:t>
      </w:r>
    </w:p>
    <w:p>
      <w:pPr>
        <w:spacing w:line="36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廉洁协议</w:t>
      </w:r>
    </w:p>
    <w:p>
      <w:pPr>
        <w:spacing w:line="360" w:lineRule="auto"/>
        <w:ind w:firstLine="540" w:firstLineChars="225"/>
        <w:rPr>
          <w:rFonts w:ascii="Times New Roman" w:hAnsi="Times New Roman" w:cs="Times New Roman"/>
          <w:color w:val="auto"/>
          <w:sz w:val="24"/>
        </w:rPr>
      </w:pPr>
      <w:r>
        <w:rPr>
          <w:rFonts w:ascii="Times New Roman" w:hAnsi="Times New Roman" w:cs="Times New Roman"/>
          <w:color w:val="auto"/>
          <w:sz w:val="24"/>
        </w:rPr>
        <w:t>为促进双方诚信经营、廉洁从业，防范商业贿赂，保护国家、集体和当事人的合法权益，根据国家有关法律法规和广东省、广州市廉政建设的规定，</w:t>
      </w:r>
      <w:r>
        <w:rPr>
          <w:rFonts w:ascii="Times New Roman" w:hAnsi="Times New Roman" w:cs="Times New Roman"/>
          <w:color w:val="auto"/>
          <w:sz w:val="24"/>
          <w:u w:val="single"/>
        </w:rPr>
        <w:t>广州市净水有限公司</w:t>
      </w:r>
      <w:r>
        <w:rPr>
          <w:rFonts w:ascii="Times New Roman" w:hAnsi="Times New Roman" w:cs="Times New Roman"/>
          <w:color w:val="auto"/>
          <w:sz w:val="24"/>
        </w:rPr>
        <w:t>(以下称甲方)与</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(以下称乙方)，特此订立本协议共同遵照执行。</w:t>
      </w:r>
    </w:p>
    <w:p>
      <w:pPr>
        <w:spacing w:line="360" w:lineRule="auto"/>
        <w:ind w:firstLine="482" w:firstLineChars="200"/>
        <w:rPr>
          <w:rFonts w:ascii="Times New Roman" w:hAnsi="Times New Roman" w:cs="Times New Roman"/>
          <w:color w:val="auto"/>
          <w:sz w:val="24"/>
        </w:rPr>
      </w:pPr>
      <w:r>
        <w:rPr>
          <w:rFonts w:ascii="Times New Roman" w:hAnsi="Times New Roman" w:cs="Times New Roman"/>
          <w:b/>
          <w:bCs/>
          <w:color w:val="auto"/>
          <w:sz w:val="24"/>
        </w:rPr>
        <w:t>第一条甲乙双方的权利和义务</w:t>
      </w:r>
    </w:p>
    <w:p>
      <w:pPr>
        <w:spacing w:line="360" w:lineRule="auto"/>
        <w:ind w:firstLine="360" w:firstLineChars="150"/>
        <w:rPr>
          <w:rFonts w:ascii="Times New Roman" w:hAnsi="Times New Roman" w:cs="Times New Roman"/>
          <w:color w:val="auto"/>
          <w:sz w:val="24"/>
        </w:rPr>
      </w:pPr>
      <w:r>
        <w:rPr>
          <w:rFonts w:ascii="Times New Roman" w:hAnsi="Times New Roman" w:cs="Times New Roman"/>
          <w:color w:val="auto"/>
          <w:sz w:val="24"/>
        </w:rPr>
        <w:t>（一）甲乙双方严格遵守国家关于市场准入、项目招标投标、市场经营活动等有关法律、法规相关政策及廉政建设的各项规定。</w:t>
      </w:r>
    </w:p>
    <w:p>
      <w:pPr>
        <w:spacing w:line="360" w:lineRule="auto"/>
        <w:ind w:left="599" w:leftChars="228" w:hanging="120" w:hangingChars="50"/>
        <w:rPr>
          <w:rFonts w:ascii="Times New Roman" w:hAnsi="Times New Roman" w:cs="Times New Roman"/>
          <w:color w:val="auto"/>
          <w:sz w:val="24"/>
          <w:u w:val="single"/>
        </w:rPr>
      </w:pPr>
      <w:r>
        <w:rPr>
          <w:rFonts w:ascii="Times New Roman" w:hAnsi="Times New Roman" w:cs="Times New Roman"/>
          <w:color w:val="auto"/>
          <w:sz w:val="24"/>
        </w:rPr>
        <w:t>（二）严格执行</w:t>
      </w:r>
      <w:r>
        <w:rPr>
          <w:rFonts w:hint="eastAsia" w:ascii="Times New Roman" w:hAnsi="Times New Roman" w:cs="Times New Roman"/>
          <w:color w:val="auto"/>
          <w:sz w:val="24"/>
          <w:szCs w:val="24"/>
          <w:u w:val="single"/>
          <w:lang w:eastAsia="zh-CN"/>
        </w:rPr>
        <w:t>广州市净水有限公司市政污泥减量及资源化利用关键技术研究及示范（2021-2023）-仪器采购项目</w:t>
      </w:r>
      <w:r>
        <w:rPr>
          <w:rFonts w:ascii="Times New Roman" w:hAnsi="Times New Roman" w:cs="Times New Roman"/>
          <w:color w:val="auto"/>
          <w:sz w:val="24"/>
          <w:u w:val="single"/>
        </w:rPr>
        <w:t xml:space="preserve">   穗净水合[      ]        号</w:t>
      </w:r>
      <w:r>
        <w:rPr>
          <w:rFonts w:ascii="Times New Roman" w:hAnsi="Times New Roman" w:cs="Times New Roman"/>
          <w:color w:val="auto"/>
          <w:sz w:val="24"/>
        </w:rPr>
        <w:t>合同（以下简称：主合同），自觉履行合同约定的相关义务。</w:t>
      </w:r>
    </w:p>
    <w:p>
      <w:pPr>
        <w:spacing w:line="360" w:lineRule="auto"/>
        <w:ind w:firstLine="360" w:firstLineChars="150"/>
        <w:rPr>
          <w:rFonts w:ascii="Times New Roman" w:hAnsi="Times New Roman" w:cs="Times New Roman"/>
          <w:color w:val="auto"/>
          <w:sz w:val="24"/>
        </w:rPr>
      </w:pPr>
      <w:r>
        <w:rPr>
          <w:rFonts w:ascii="Times New Roman" w:hAnsi="Times New Roman" w:cs="Times New Roman"/>
          <w:color w:val="auto"/>
          <w:sz w:val="24"/>
        </w:rPr>
        <w:t>（三）在业务活动中坚持公开、公正、诚信、透明的原则，不得损害国家、集体利益。</w:t>
      </w:r>
    </w:p>
    <w:p>
      <w:pPr>
        <w:spacing w:line="360" w:lineRule="auto"/>
        <w:ind w:firstLine="360" w:firstLineChars="150"/>
        <w:rPr>
          <w:rFonts w:ascii="Times New Roman" w:hAnsi="Times New Roman" w:cs="Times New Roman"/>
          <w:color w:val="auto"/>
          <w:sz w:val="24"/>
        </w:rPr>
      </w:pPr>
      <w:r>
        <w:rPr>
          <w:rFonts w:ascii="Times New Roman" w:hAnsi="Times New Roman" w:cs="Times New Roman"/>
          <w:color w:val="auto"/>
          <w:sz w:val="24"/>
        </w:rPr>
        <w:t>（四）建立健全廉洁从业制度，开展廉洁教育，公布举报电话，监督并认真查处不廉洁及违法违纪行为。</w:t>
      </w:r>
    </w:p>
    <w:p>
      <w:pPr>
        <w:spacing w:line="360" w:lineRule="auto"/>
        <w:ind w:firstLine="360" w:firstLineChars="150"/>
        <w:rPr>
          <w:rFonts w:ascii="Times New Roman" w:hAnsi="Times New Roman" w:cs="Times New Roman"/>
          <w:color w:val="auto"/>
          <w:sz w:val="24"/>
        </w:rPr>
      </w:pPr>
      <w:r>
        <w:rPr>
          <w:rFonts w:ascii="Times New Roman" w:hAnsi="Times New Roman" w:cs="Times New Roman"/>
          <w:color w:val="auto"/>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Times New Roman" w:hAnsi="Times New Roman" w:cs="Times New Roman"/>
          <w:color w:val="auto"/>
          <w:sz w:val="24"/>
        </w:rPr>
      </w:pPr>
      <w:r>
        <w:rPr>
          <w:rFonts w:ascii="Times New Roman" w:hAnsi="Times New Roman" w:cs="Times New Roman"/>
          <w:b/>
          <w:bCs/>
          <w:color w:val="auto"/>
          <w:sz w:val="24"/>
        </w:rPr>
        <w:t>第二条甲方的义务</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Times New Roman" w:hAnsi="Times New Roman" w:cs="Times New Roman"/>
          <w:color w:val="auto"/>
          <w:sz w:val="24"/>
        </w:rPr>
      </w:pPr>
      <w:r>
        <w:rPr>
          <w:rFonts w:ascii="Times New Roman" w:hAnsi="Times New Roman" w:cs="Times New Roman"/>
          <w:color w:val="auto"/>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Times New Roman" w:hAnsi="Times New Roman" w:cs="Times New Roman"/>
          <w:color w:val="auto"/>
          <w:sz w:val="24"/>
        </w:rPr>
      </w:pPr>
      <w:r>
        <w:rPr>
          <w:rFonts w:ascii="Times New Roman" w:hAnsi="Times New Roman" w:cs="Times New Roman"/>
          <w:color w:val="auto"/>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Times New Roman" w:hAnsi="Times New Roman" w:cs="Times New Roman"/>
          <w:color w:val="auto"/>
          <w:sz w:val="24"/>
        </w:rPr>
      </w:pPr>
      <w:r>
        <w:rPr>
          <w:rFonts w:ascii="Times New Roman" w:hAnsi="Times New Roman" w:cs="Times New Roman"/>
          <w:color w:val="auto"/>
          <w:sz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80" w:firstLineChars="200"/>
        <w:rPr>
          <w:rFonts w:ascii="Times New Roman" w:hAnsi="Times New Roman" w:cs="Times New Roman"/>
          <w:color w:val="auto"/>
          <w:sz w:val="24"/>
        </w:rPr>
      </w:pPr>
      <w:r>
        <w:rPr>
          <w:rFonts w:ascii="Times New Roman" w:hAnsi="Times New Roman" w:cs="Times New Roman"/>
          <w:color w:val="auto"/>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Times New Roman" w:hAnsi="Times New Roman" w:cs="Times New Roman"/>
          <w:color w:val="auto"/>
          <w:sz w:val="24"/>
        </w:rPr>
      </w:pPr>
      <w:r>
        <w:rPr>
          <w:rFonts w:ascii="Times New Roman" w:hAnsi="Times New Roman" w:cs="Times New Roman"/>
          <w:color w:val="auto"/>
          <w:sz w:val="24"/>
        </w:rPr>
        <w:t>（七）甲方工作人员不得接受乙方给予或赠送的干股或红利。</w:t>
      </w:r>
    </w:p>
    <w:p>
      <w:pPr>
        <w:spacing w:line="360" w:lineRule="auto"/>
        <w:ind w:left="15" w:leftChars="7" w:firstLine="480" w:firstLineChars="200"/>
        <w:rPr>
          <w:rFonts w:ascii="Times New Roman" w:hAnsi="Times New Roman" w:cs="Times New Roman"/>
          <w:color w:val="auto"/>
          <w:sz w:val="24"/>
        </w:rPr>
      </w:pPr>
      <w:r>
        <w:rPr>
          <w:rFonts w:ascii="Times New Roman" w:hAnsi="Times New Roman" w:cs="Times New Roman"/>
          <w:color w:val="auto"/>
          <w:sz w:val="24"/>
        </w:rPr>
        <w:t>(八）不得存在其他违反廉洁规定的行为。</w:t>
      </w:r>
    </w:p>
    <w:p>
      <w:pPr>
        <w:spacing w:line="360" w:lineRule="auto"/>
        <w:ind w:firstLine="482" w:firstLineChars="200"/>
        <w:rPr>
          <w:rFonts w:ascii="Times New Roman" w:hAnsi="Times New Roman" w:cs="Times New Roman"/>
          <w:color w:val="auto"/>
          <w:sz w:val="24"/>
        </w:rPr>
      </w:pPr>
      <w:r>
        <w:rPr>
          <w:rFonts w:ascii="Times New Roman" w:hAnsi="Times New Roman" w:cs="Times New Roman"/>
          <w:b/>
          <w:bCs/>
          <w:color w:val="auto"/>
          <w:sz w:val="24"/>
        </w:rPr>
        <w:t>第三条乙方的义务</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（一）乙方不得以任何理由向甲方及其工作人员行贿或馈赠礼金、有价证券、贵重礼品。</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（二)乙方不得以任何名义为甲方及其工作人员报销应由甲方单位或个人支付的任何费用。</w:t>
      </w:r>
    </w:p>
    <w:p>
      <w:pPr>
        <w:spacing w:line="360" w:lineRule="auto"/>
        <w:ind w:left="25" w:leftChars="12" w:firstLine="480" w:firstLineChars="200"/>
        <w:rPr>
          <w:rFonts w:ascii="Times New Roman" w:hAnsi="Times New Roman" w:cs="Times New Roman"/>
          <w:color w:val="auto"/>
          <w:sz w:val="24"/>
        </w:rPr>
      </w:pPr>
      <w:r>
        <w:rPr>
          <w:rFonts w:ascii="Times New Roman" w:hAnsi="Times New Roman" w:cs="Times New Roman"/>
          <w:color w:val="auto"/>
          <w:sz w:val="24"/>
        </w:rPr>
        <w:t>（三）乙方不得以任何理由安排甲方工作人员参加可能影响相关业务公开、公正、公平性的宴请及娱乐活动。</w:t>
      </w:r>
    </w:p>
    <w:p>
      <w:pPr>
        <w:pStyle w:val="16"/>
        <w:rPr>
          <w:sz w:val="24"/>
        </w:rPr>
      </w:pPr>
      <w:r>
        <w:rPr>
          <w:sz w:val="24"/>
        </w:rPr>
        <w:t>（四）乙方不得为甲方单位和个人购置或提供通讯工具和高档办公用品等物品，也不得为甲方提供与工作无关的房屋、汽车等。</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（五）乙方不得擅自与甲方工作人员就合同中的质量、数量、价格、工程量、验收等条款进行私下商谈或者达成默契。</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（六）乙方不得以回扣、手续费、加班费、咨询费、劳务费、协调费、辛苦费等各种名义向甲方工作人员给予或赠送钱物。</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（七）乙方不得向甲方工作人员提供干股或红利。</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(八）不得存在其他违反廉洁规定的行为。</w:t>
      </w:r>
    </w:p>
    <w:p>
      <w:pPr>
        <w:spacing w:line="360" w:lineRule="auto"/>
        <w:ind w:firstLine="482" w:firstLineChars="200"/>
        <w:rPr>
          <w:rFonts w:ascii="Times New Roman" w:hAnsi="Times New Roman" w:cs="Times New Roman"/>
          <w:color w:val="auto"/>
          <w:sz w:val="24"/>
        </w:rPr>
      </w:pPr>
      <w:r>
        <w:rPr>
          <w:rFonts w:ascii="Times New Roman" w:hAnsi="Times New Roman" w:cs="Times New Roman"/>
          <w:b/>
          <w:bCs/>
          <w:color w:val="auto"/>
          <w:sz w:val="24"/>
        </w:rPr>
        <w:t>第四条违约责任</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甲方举报投诉联系部门：广州市净水有限公司</w:t>
      </w:r>
      <w:r>
        <w:rPr>
          <w:rFonts w:ascii="Times New Roman" w:hAnsi="Times New Roman" w:cs="Times New Roman"/>
          <w:color w:val="auto"/>
          <w:sz w:val="24"/>
          <w:u w:val="single"/>
        </w:rPr>
        <w:t>纪检室</w:t>
      </w:r>
      <w:r>
        <w:rPr>
          <w:rFonts w:ascii="Times New Roman" w:hAnsi="Times New Roman" w:cs="Times New Roman"/>
          <w:color w:val="auto"/>
          <w:sz w:val="24"/>
        </w:rPr>
        <w:t>，联系电话：</w:t>
      </w:r>
      <w:r>
        <w:rPr>
          <w:rFonts w:ascii="Times New Roman" w:hAnsi="Times New Roman" w:cs="Times New Roman"/>
          <w:color w:val="auto"/>
          <w:sz w:val="24"/>
          <w:u w:val="single"/>
        </w:rPr>
        <w:t xml:space="preserve"> 020-38890265 </w:t>
      </w:r>
      <w:r>
        <w:rPr>
          <w:rFonts w:ascii="Times New Roman" w:hAnsi="Times New Roman" w:cs="Times New Roman"/>
          <w:color w:val="auto"/>
          <w:sz w:val="24"/>
        </w:rPr>
        <w:t>。</w:t>
      </w:r>
    </w:p>
    <w:p>
      <w:pPr>
        <w:pStyle w:val="22"/>
        <w:spacing w:line="560" w:lineRule="exact"/>
        <w:ind w:firstLine="480" w:firstLineChars="200"/>
        <w:rPr>
          <w:rFonts w:ascii="Times New Roman" w:hAnsi="Times New Roman"/>
          <w:kern w:val="2"/>
        </w:rPr>
      </w:pPr>
      <w:r>
        <w:rPr>
          <w:rFonts w:ascii="Times New Roman" w:hAnsi="Times New Roman"/>
          <w:kern w:val="2"/>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2"/>
        <w:spacing w:line="560" w:lineRule="exact"/>
        <w:ind w:firstLine="480" w:firstLineChars="200"/>
        <w:rPr>
          <w:rFonts w:ascii="Times New Roman" w:hAnsi="Times New Roman"/>
          <w:kern w:val="2"/>
        </w:rPr>
      </w:pPr>
      <w:r>
        <w:rPr>
          <w:rFonts w:ascii="Times New Roman" w:hAnsi="Times New Roman"/>
          <w:kern w:val="2"/>
        </w:rPr>
        <w:t>1、扣除主合同的全部履约保证金；</w:t>
      </w:r>
    </w:p>
    <w:p>
      <w:pPr>
        <w:pStyle w:val="22"/>
        <w:spacing w:line="560" w:lineRule="exact"/>
        <w:ind w:firstLine="480" w:firstLineChars="200"/>
        <w:rPr>
          <w:rFonts w:ascii="Times New Roman" w:hAnsi="Times New Roman"/>
          <w:kern w:val="2"/>
        </w:rPr>
      </w:pPr>
      <w:r>
        <w:rPr>
          <w:rFonts w:ascii="Times New Roman" w:hAnsi="Times New Roman"/>
          <w:kern w:val="2"/>
        </w:rPr>
        <w:t>2、解除主合同；</w:t>
      </w:r>
    </w:p>
    <w:p>
      <w:pPr>
        <w:pStyle w:val="22"/>
        <w:spacing w:line="560" w:lineRule="exact"/>
        <w:ind w:firstLine="480" w:firstLineChars="200"/>
        <w:rPr>
          <w:rFonts w:ascii="Times New Roman" w:hAnsi="Times New Roman"/>
          <w:kern w:val="2"/>
        </w:rPr>
      </w:pPr>
      <w:r>
        <w:rPr>
          <w:rFonts w:ascii="Times New Roman" w:hAnsi="Times New Roman"/>
          <w:kern w:val="2"/>
        </w:rPr>
        <w:t>3、追究乙方其他违约责任；</w:t>
      </w:r>
    </w:p>
    <w:p>
      <w:pPr>
        <w:pStyle w:val="22"/>
        <w:spacing w:line="560" w:lineRule="exact"/>
        <w:ind w:firstLine="480" w:firstLineChars="200"/>
        <w:rPr>
          <w:rFonts w:ascii="Times New Roman" w:hAnsi="Times New Roman"/>
          <w:kern w:val="2"/>
        </w:rPr>
      </w:pPr>
      <w:r>
        <w:rPr>
          <w:rFonts w:ascii="Times New Roman" w:hAnsi="Times New Roman"/>
          <w:kern w:val="2"/>
        </w:rPr>
        <w:t>4、根据甲方的有关规章制度，在一定时间内暂停乙方参与甲方及下属单位所有项目的交易资格；</w:t>
      </w:r>
    </w:p>
    <w:p>
      <w:pPr>
        <w:pStyle w:val="22"/>
        <w:spacing w:line="560" w:lineRule="exact"/>
        <w:ind w:firstLine="480" w:firstLineChars="200"/>
        <w:rPr>
          <w:rFonts w:ascii="Times New Roman" w:hAnsi="Times New Roman"/>
          <w:kern w:val="2"/>
        </w:rPr>
      </w:pPr>
      <w:r>
        <w:rPr>
          <w:rFonts w:ascii="Times New Roman" w:hAnsi="Times New Roman"/>
          <w:kern w:val="2"/>
        </w:rPr>
        <w:t>5、根据甲方的有关规章制度，将乙方清退出甲方相关企业库；</w:t>
      </w:r>
    </w:p>
    <w:p>
      <w:pPr>
        <w:pStyle w:val="22"/>
        <w:spacing w:line="560" w:lineRule="exact"/>
        <w:ind w:firstLine="480" w:firstLineChars="200"/>
        <w:rPr>
          <w:rFonts w:ascii="Times New Roman" w:hAnsi="Times New Roman"/>
          <w:kern w:val="2"/>
        </w:rPr>
      </w:pPr>
      <w:r>
        <w:rPr>
          <w:rFonts w:ascii="Times New Roman" w:hAnsi="Times New Roman"/>
          <w:kern w:val="2"/>
        </w:rPr>
        <w:t>6、根据甲方上级单位、行政主管部门的意见、决定执行；</w:t>
      </w:r>
    </w:p>
    <w:p>
      <w:pPr>
        <w:pStyle w:val="22"/>
        <w:spacing w:line="560" w:lineRule="exact"/>
        <w:ind w:firstLine="480" w:firstLineChars="200"/>
        <w:rPr>
          <w:rFonts w:ascii="Times New Roman" w:hAnsi="Times New Roman"/>
          <w:kern w:val="2"/>
        </w:rPr>
      </w:pPr>
      <w:r>
        <w:rPr>
          <w:rFonts w:ascii="Times New Roman" w:hAnsi="Times New Roman"/>
          <w:kern w:val="2"/>
        </w:rPr>
        <w:t>7、按规定向有关行政监督部门、乙方业务管理部门进行投诉、报告。</w:t>
      </w:r>
    </w:p>
    <w:p>
      <w:pPr>
        <w:spacing w:line="56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乙方无条件接受甲方的处理决定并承担给甲方造成的损失，全额返还通过不正当手段获取的非法所得，并承担相应的法律责任。</w:t>
      </w:r>
    </w:p>
    <w:p>
      <w:pPr>
        <w:rPr>
          <w:rFonts w:ascii="Times New Roman" w:hAnsi="Times New Roman" w:cs="Times New Roman"/>
          <w:color w:val="auto"/>
          <w:kern w:val="0"/>
          <w:sz w:val="24"/>
        </w:rPr>
      </w:pPr>
      <w:r>
        <w:rPr>
          <w:rFonts w:ascii="Times New Roman" w:hAnsi="Times New Roman" w:cs="Times New Roman"/>
          <w:b/>
          <w:bCs/>
          <w:color w:val="auto"/>
          <w:sz w:val="24"/>
        </w:rPr>
        <w:t xml:space="preserve">第五条 </w:t>
      </w:r>
      <w:r>
        <w:rPr>
          <w:rFonts w:ascii="Times New Roman" w:hAnsi="Times New Roman" w:cs="Times New Roman"/>
          <w:color w:val="auto"/>
          <w:kern w:val="0"/>
          <w:sz w:val="24"/>
        </w:rPr>
        <w:t xml:space="preserve">本协议执行情况，接受有管辖权的纪检、监察部门的监督，双方应予以配合检查调查。 </w:t>
      </w:r>
    </w:p>
    <w:p>
      <w:pPr>
        <w:spacing w:line="360" w:lineRule="auto"/>
        <w:ind w:firstLine="482" w:firstLineChars="200"/>
        <w:rPr>
          <w:rFonts w:ascii="Times New Roman" w:hAnsi="Times New Roman" w:cs="Times New Roman"/>
          <w:color w:val="auto"/>
          <w:sz w:val="24"/>
        </w:rPr>
      </w:pPr>
      <w:r>
        <w:rPr>
          <w:rFonts w:ascii="Times New Roman" w:hAnsi="Times New Roman" w:cs="Times New Roman"/>
          <w:b/>
          <w:color w:val="auto"/>
          <w:sz w:val="24"/>
        </w:rPr>
        <w:t>第六条</w:t>
      </w:r>
      <w:r>
        <w:rPr>
          <w:rFonts w:ascii="Times New Roman" w:hAnsi="Times New Roman" w:cs="Times New Roman"/>
          <w:color w:val="auto"/>
          <w:sz w:val="24"/>
        </w:rPr>
        <w:t>本协议作为</w:t>
      </w:r>
      <w:r>
        <w:rPr>
          <w:rFonts w:hint="eastAsia" w:ascii="Times New Roman" w:hAnsi="Times New Roman" w:cs="Times New Roman"/>
          <w:color w:val="auto"/>
          <w:sz w:val="24"/>
          <w:szCs w:val="24"/>
          <w:u w:val="single"/>
          <w:lang w:eastAsia="zh-CN"/>
        </w:rPr>
        <w:t>广州市净水有限公司市政污泥减量及资源化利用关键技术研究及示范（2021-2023）-仪器采购项目</w:t>
      </w:r>
      <w:r>
        <w:rPr>
          <w:rFonts w:ascii="Times New Roman" w:hAnsi="Times New Roman" w:cs="Times New Roman"/>
          <w:color w:val="auto"/>
          <w:sz w:val="24"/>
          <w:u w:val="single"/>
        </w:rPr>
        <w:t xml:space="preserve"> 穗净水合[      ]       号</w:t>
      </w:r>
      <w:r>
        <w:rPr>
          <w:rFonts w:ascii="Times New Roman" w:hAnsi="Times New Roman" w:cs="Times New Roman"/>
          <w:color w:val="auto"/>
          <w:sz w:val="24"/>
        </w:rPr>
        <w:t>合同的附件，并具有同等的法律效力，本协议自双方签字盖章之日起生效，与主合同同时终止。</w:t>
      </w:r>
    </w:p>
    <w:p>
      <w:pPr>
        <w:spacing w:line="360" w:lineRule="auto"/>
        <w:ind w:firstLine="482" w:firstLineChars="200"/>
        <w:rPr>
          <w:rFonts w:ascii="Times New Roman" w:hAnsi="Times New Roman" w:cs="Times New Roman"/>
          <w:color w:val="auto"/>
          <w:sz w:val="24"/>
        </w:rPr>
      </w:pPr>
      <w:r>
        <w:rPr>
          <w:rFonts w:ascii="Times New Roman" w:hAnsi="Times New Roman" w:cs="Times New Roman"/>
          <w:b/>
          <w:color w:val="auto"/>
          <w:sz w:val="24"/>
        </w:rPr>
        <w:t>第七条</w:t>
      </w:r>
      <w:r>
        <w:rPr>
          <w:rFonts w:ascii="Times New Roman" w:hAnsi="Times New Roman" w:cs="Times New Roman"/>
          <w:color w:val="auto"/>
          <w:sz w:val="24"/>
        </w:rPr>
        <w:t>本协议甲方、乙方双方执持数量与主合同一致。</w:t>
      </w:r>
    </w:p>
    <w:p>
      <w:pPr>
        <w:spacing w:line="360" w:lineRule="auto"/>
        <w:ind w:firstLine="480" w:firstLineChars="200"/>
        <w:rPr>
          <w:rFonts w:ascii="Times New Roman" w:hAnsi="Times New Roman" w:cs="Times New Roman"/>
          <w:color w:val="auto"/>
          <w:sz w:val="24"/>
        </w:rPr>
      </w:pPr>
    </w:p>
    <w:p>
      <w:pPr>
        <w:spacing w:line="360" w:lineRule="auto"/>
        <w:ind w:firstLine="480" w:firstLineChars="200"/>
        <w:rPr>
          <w:rFonts w:ascii="Times New Roman" w:hAnsi="Times New Roman" w:cs="Times New Roman"/>
          <w:color w:val="auto"/>
          <w:sz w:val="24"/>
        </w:rPr>
      </w:pP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甲方（盖章）：                            乙方（盖章）：</w:t>
      </w:r>
    </w:p>
    <w:p>
      <w:pPr>
        <w:pStyle w:val="35"/>
        <w:tabs>
          <w:tab w:val="left" w:pos="5100"/>
        </w:tabs>
        <w:spacing w:line="360" w:lineRule="auto"/>
        <w:ind w:left="7200" w:firstLine="0" w:firstLineChars="0"/>
        <w:jc w:val="left"/>
        <w:rPr>
          <w:rFonts w:ascii="Times New Roman" w:hAnsi="Times New Roman"/>
          <w:sz w:val="24"/>
        </w:rPr>
      </w:pPr>
    </w:p>
    <w:p>
      <w:pPr>
        <w:tabs>
          <w:tab w:val="left" w:pos="5100"/>
        </w:tabs>
        <w:spacing w:line="360" w:lineRule="auto"/>
        <w:ind w:left="7199" w:leftChars="228" w:hanging="6720" w:hangingChars="2800"/>
        <w:rPr>
          <w:rFonts w:ascii="Times New Roman" w:hAnsi="Times New Roman" w:cs="Times New Roman"/>
          <w:color w:val="auto"/>
          <w:sz w:val="24"/>
        </w:rPr>
      </w:pPr>
      <w:r>
        <w:rPr>
          <w:rFonts w:ascii="Times New Roman" w:hAnsi="Times New Roman" w:cs="Times New Roman"/>
          <w:color w:val="auto"/>
          <w:sz w:val="24"/>
        </w:rPr>
        <w:t>签约代表：                               签约代表：</w:t>
      </w:r>
    </w:p>
    <w:p>
      <w:pPr>
        <w:tabs>
          <w:tab w:val="left" w:pos="4170"/>
        </w:tabs>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日期:    年  月  日</w:t>
      </w:r>
      <w:r>
        <w:rPr>
          <w:rFonts w:ascii="Times New Roman" w:hAnsi="Times New Roman" w:cs="Times New Roman"/>
          <w:color w:val="auto"/>
          <w:sz w:val="24"/>
        </w:rPr>
        <w:tab/>
      </w:r>
      <w:r>
        <w:rPr>
          <w:rFonts w:ascii="Times New Roman" w:hAnsi="Times New Roman" w:cs="Times New Roman"/>
          <w:color w:val="auto"/>
          <w:sz w:val="24"/>
        </w:rPr>
        <w:t xml:space="preserve">          日期：  年  月  日</w:t>
      </w:r>
    </w:p>
    <w:p>
      <w:pPr>
        <w:spacing w:after="0" w:line="240" w:lineRule="auto"/>
        <w:rPr>
          <w:rFonts w:ascii="Times New Roman" w:hAnsi="Times New Roman" w:cs="Times New Roman"/>
        </w:rPr>
      </w:pPr>
    </w:p>
    <w:p>
      <w:pPr>
        <w:pStyle w:val="14"/>
      </w:pPr>
    </w:p>
    <w:p>
      <w:pPr>
        <w:pStyle w:val="15"/>
      </w:pPr>
    </w:p>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spacing w:line="560" w:lineRule="exact"/>
        <w:rPr>
          <w:rFonts w:ascii="Times New Roman" w:hAnsi="Times New Roman" w:eastAsia="仿宋_GB2312" w:cs="Times New Roman"/>
          <w:b/>
          <w:color w:val="auto"/>
          <w:spacing w:val="100"/>
          <w:w w:val="110"/>
          <w:kern w:val="0"/>
          <w:sz w:val="28"/>
          <w:szCs w:val="28"/>
        </w:rPr>
      </w:pPr>
      <w:r>
        <w:rPr>
          <w:rFonts w:ascii="Times New Roman" w:hAnsi="Times New Roman" w:eastAsia="仿宋_GB2312" w:cs="Times New Roman"/>
          <w:b/>
          <w:color w:val="auto"/>
          <w:spacing w:val="100"/>
          <w:w w:val="110"/>
          <w:kern w:val="0"/>
          <w:sz w:val="28"/>
          <w:szCs w:val="28"/>
        </w:rPr>
        <w:br w:type="page"/>
      </w:r>
    </w:p>
    <w:p>
      <w:pPr>
        <w:numPr>
          <w:ilvl w:val="0"/>
          <w:numId w:val="0"/>
        </w:numPr>
        <w:spacing w:beforeLines="0" w:afterLines="0" w:line="240" w:lineRule="auto"/>
        <w:rPr>
          <w:rFonts w:ascii="Times New Roman" w:hAnsi="Times New Roman" w:eastAsia="黑体" w:cs="Times New Roman"/>
          <w:color w:val="auto"/>
          <w:spacing w:val="100"/>
          <w:w w:val="110"/>
          <w:kern w:val="0"/>
          <w:sz w:val="32"/>
          <w:szCs w:val="32"/>
        </w:rPr>
      </w:pPr>
      <w:r>
        <w:rPr>
          <w:rFonts w:hint="eastAsia" w:ascii="宋体" w:hAnsi="宋体" w:cs="宋体"/>
          <w:b/>
          <w:bCs/>
          <w:color w:val="auto"/>
          <w:szCs w:val="21"/>
        </w:rPr>
        <w:t>附件</w:t>
      </w:r>
      <w:r>
        <w:rPr>
          <w:rFonts w:hint="eastAsia" w:ascii="宋体" w:hAnsi="宋体" w:cs="宋体"/>
          <w:b/>
          <w:bCs/>
          <w:color w:val="auto"/>
          <w:szCs w:val="21"/>
          <w:lang w:val="en-US" w:eastAsia="zh-CN"/>
        </w:rPr>
        <w:t>3</w:t>
      </w:r>
      <w:r>
        <w:rPr>
          <w:rFonts w:hint="eastAsia" w:ascii="宋体" w:hAnsi="宋体" w:cs="宋体"/>
          <w:b/>
          <w:bCs/>
          <w:color w:val="auto"/>
          <w:szCs w:val="21"/>
        </w:rPr>
        <w:t>: 安全协议书</w:t>
      </w:r>
    </w:p>
    <w:p>
      <w:pPr>
        <w:spacing w:line="560" w:lineRule="exact"/>
        <w:jc w:val="center"/>
        <w:rPr>
          <w:rFonts w:ascii="Times New Roman" w:hAnsi="Times New Roman" w:eastAsia="方正小标宋简体" w:cs="Times New Roman"/>
          <w:bCs/>
          <w:color w:val="auto"/>
          <w:kern w:val="0"/>
          <w:sz w:val="44"/>
          <w:szCs w:val="44"/>
        </w:rPr>
      </w:pPr>
      <w:r>
        <w:rPr>
          <w:rFonts w:ascii="Times New Roman" w:hAnsi="Times New Roman" w:eastAsia="方正小标宋简体" w:cs="Times New Roman"/>
          <w:bCs/>
          <w:color w:val="auto"/>
          <w:kern w:val="0"/>
          <w:sz w:val="44"/>
          <w:szCs w:val="44"/>
        </w:rPr>
        <w:t>物品采购安全协议书</w:t>
      </w:r>
    </w:p>
    <w:p>
      <w:pPr>
        <w:spacing w:line="560" w:lineRule="exact"/>
        <w:rPr>
          <w:rFonts w:ascii="Times New Roman" w:hAnsi="Times New Roman" w:cs="Times New Roman"/>
          <w:color w:val="auto"/>
          <w:kern w:val="0"/>
          <w:sz w:val="24"/>
        </w:rPr>
      </w:pPr>
    </w:p>
    <w:p>
      <w:pPr>
        <w:spacing w:line="560" w:lineRule="exact"/>
        <w:rPr>
          <w:rFonts w:ascii="Times New Roman" w:hAnsi="Times New Roman" w:cs="Times New Roman"/>
          <w:color w:val="auto"/>
          <w:kern w:val="0"/>
          <w:sz w:val="24"/>
        </w:rPr>
      </w:pPr>
      <w:r>
        <w:rPr>
          <w:rFonts w:ascii="Times New Roman" w:hAnsi="Times New Roman" w:cs="Times New Roman"/>
          <w:color w:val="auto"/>
          <w:kern w:val="0"/>
          <w:sz w:val="24"/>
        </w:rPr>
        <w:t>甲方：</w:t>
      </w:r>
      <w:r>
        <w:rPr>
          <w:rFonts w:ascii="Times New Roman" w:hAnsi="Times New Roman" w:cs="Times New Roman"/>
          <w:color w:val="auto"/>
          <w:sz w:val="24"/>
        </w:rPr>
        <w:t>广州市净水有限公司</w:t>
      </w:r>
    </w:p>
    <w:p>
      <w:pPr>
        <w:spacing w:line="560" w:lineRule="exact"/>
        <w:rPr>
          <w:rFonts w:ascii="Times New Roman" w:hAnsi="Times New Roman" w:cs="Times New Roman"/>
          <w:color w:val="auto"/>
          <w:kern w:val="0"/>
          <w:sz w:val="24"/>
        </w:rPr>
      </w:pPr>
      <w:r>
        <w:rPr>
          <w:rFonts w:ascii="Times New Roman" w:hAnsi="Times New Roman" w:cs="Times New Roman"/>
          <w:color w:val="auto"/>
          <w:kern w:val="0"/>
          <w:sz w:val="24"/>
        </w:rPr>
        <w:t xml:space="preserve">乙方： </w:t>
      </w:r>
    </w:p>
    <w:p>
      <w:pPr>
        <w:spacing w:line="560" w:lineRule="exact"/>
        <w:rPr>
          <w:rFonts w:ascii="Times New Roman" w:hAnsi="Times New Roman" w:cs="Times New Roman"/>
          <w:color w:val="auto"/>
          <w:kern w:val="0"/>
          <w:sz w:val="24"/>
        </w:rPr>
      </w:pP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为加强物品采购过程安全管理，根据《中华人民共和国安全生产法》、《生产安全事故报告和调查处理条例》等国家及地方有关安全生产法律法规，甲乙双方就物品采购的安全事宜，</w:t>
      </w:r>
      <w:r>
        <w:rPr>
          <w:rFonts w:ascii="Times New Roman" w:hAnsi="Times New Roman" w:cs="Times New Roman"/>
          <w:color w:val="auto"/>
          <w:sz w:val="24"/>
        </w:rPr>
        <w:t>经双方友好协商，达成如下协议</w:t>
      </w:r>
      <w:r>
        <w:rPr>
          <w:rFonts w:ascii="Times New Roman" w:hAnsi="Times New Roman" w:cs="Times New Roman"/>
          <w:color w:val="auto"/>
          <w:kern w:val="0"/>
          <w:sz w:val="24"/>
        </w:rPr>
        <w:t>。</w:t>
      </w:r>
    </w:p>
    <w:p>
      <w:pPr>
        <w:adjustRightInd w:val="0"/>
        <w:snapToGrid w:val="0"/>
        <w:spacing w:line="560" w:lineRule="exact"/>
        <w:ind w:firstLine="480" w:firstLineChars="200"/>
        <w:rPr>
          <w:rFonts w:ascii="Times New Roman" w:hAnsi="Times New Roman" w:eastAsia="等线" w:cs="Times New Roman"/>
          <w:b/>
          <w:color w:val="auto"/>
          <w:sz w:val="24"/>
        </w:rPr>
      </w:pPr>
      <w:r>
        <w:rPr>
          <w:rFonts w:ascii="Times New Roman" w:hAnsi="Times New Roman" w:eastAsia="等线" w:cs="Times New Roman"/>
          <w:b/>
          <w:color w:val="auto"/>
          <w:sz w:val="24"/>
        </w:rPr>
        <w:t>一、本协议与主合同的关系</w:t>
      </w:r>
    </w:p>
    <w:p>
      <w:pPr>
        <w:spacing w:line="560" w:lineRule="exact"/>
        <w:ind w:firstLine="480" w:firstLineChars="200"/>
        <w:rPr>
          <w:rFonts w:ascii="Times New Roman" w:hAnsi="Times New Roman" w:cs="Times New Roman"/>
          <w:color w:val="auto"/>
          <w:kern w:val="0"/>
          <w:sz w:val="24"/>
          <w:u w:val="single"/>
        </w:rPr>
      </w:pPr>
      <w:r>
        <w:rPr>
          <w:rFonts w:ascii="Times New Roman" w:hAnsi="Times New Roman" w:cs="Times New Roman"/>
          <w:color w:val="auto"/>
          <w:kern w:val="0"/>
          <w:sz w:val="24"/>
        </w:rPr>
        <w:t>本协议作为</w:t>
      </w:r>
      <w:r>
        <w:rPr>
          <w:rFonts w:hint="eastAsia" w:ascii="Times New Roman" w:hAnsi="Times New Roman" w:cs="Times New Roman"/>
          <w:color w:val="auto"/>
          <w:sz w:val="24"/>
          <w:szCs w:val="24"/>
          <w:u w:val="single"/>
          <w:lang w:eastAsia="zh-CN"/>
        </w:rPr>
        <w:t>广州市净水有限公司市政污泥减量及资源化利用关键技术研究及示范（2021-2023）-仪器采购项目</w:t>
      </w:r>
      <w:r>
        <w:rPr>
          <w:rFonts w:ascii="Times New Roman" w:hAnsi="Times New Roman" w:cs="Times New Roman"/>
          <w:color w:val="auto"/>
          <w:kern w:val="0"/>
          <w:sz w:val="24"/>
          <w:u w:val="single"/>
        </w:rPr>
        <w:t xml:space="preserve"> 穗净水合[     ]      号 </w:t>
      </w:r>
      <w:r>
        <w:rPr>
          <w:rFonts w:ascii="Times New Roman" w:hAnsi="Times New Roman" w:cs="Times New Roman"/>
          <w:color w:val="auto"/>
          <w:kern w:val="0"/>
          <w:sz w:val="24"/>
        </w:rPr>
        <w:t>的组成部分，与主合同具有同等法律效力。</w:t>
      </w:r>
    </w:p>
    <w:p>
      <w:pPr>
        <w:spacing w:line="560" w:lineRule="exact"/>
        <w:ind w:firstLine="482" w:firstLineChars="200"/>
        <w:rPr>
          <w:rFonts w:ascii="Times New Roman" w:hAnsi="Times New Roman" w:cs="Times New Roman"/>
          <w:b/>
          <w:color w:val="auto"/>
          <w:kern w:val="0"/>
          <w:sz w:val="24"/>
        </w:rPr>
      </w:pPr>
      <w:r>
        <w:rPr>
          <w:rFonts w:ascii="Times New Roman" w:hAnsi="Times New Roman" w:cs="Times New Roman"/>
          <w:b/>
          <w:color w:val="auto"/>
          <w:kern w:val="0"/>
          <w:sz w:val="24"/>
        </w:rPr>
        <w:t>二、甲方权责</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（一）甲方进行物品采购时，应贯彻落实国家、地方有关安全管理的法律法规和规章制度。</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（五）告知乙方在甲方应当遵守的安全管理要求。</w:t>
      </w:r>
    </w:p>
    <w:p>
      <w:pPr>
        <w:spacing w:line="560" w:lineRule="exact"/>
        <w:ind w:firstLine="482" w:firstLineChars="200"/>
        <w:rPr>
          <w:rFonts w:ascii="Times New Roman" w:hAnsi="Times New Roman" w:cs="Times New Roman"/>
          <w:b/>
          <w:color w:val="auto"/>
          <w:kern w:val="0"/>
          <w:sz w:val="24"/>
        </w:rPr>
      </w:pPr>
      <w:r>
        <w:rPr>
          <w:rFonts w:ascii="Times New Roman" w:hAnsi="Times New Roman" w:cs="Times New Roman"/>
          <w:b/>
          <w:color w:val="auto"/>
          <w:kern w:val="0"/>
          <w:sz w:val="24"/>
        </w:rPr>
        <w:t>三、乙方权责</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（六）人员管理</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乙方聘请其他单位运输的，乙方应对运输单位的安全管理负责。</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Times New Roman" w:hAnsi="Times New Roman" w:cs="Times New Roman"/>
          <w:color w:val="auto"/>
          <w:kern w:val="0"/>
          <w:sz w:val="24"/>
          <w:u w:val="single"/>
        </w:rPr>
        <w:t xml:space="preserve">      </w:t>
      </w:r>
      <w:r>
        <w:rPr>
          <w:rFonts w:ascii="Times New Roman" w:hAnsi="Times New Roman" w:cs="Times New Roman"/>
          <w:color w:val="auto"/>
          <w:kern w:val="0"/>
          <w:sz w:val="24"/>
        </w:rPr>
        <w:t>元/次。</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（七）发生事故时，乙方须立即报警处理，乙方在力所能及范围内采取补救措施，并在30分钟内将情况报告甲方。</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（十）乙方委托的第三方运输单位或个人，违反本协议的，全部责任均由乙方承担。</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四、补充条款：</w:t>
      </w:r>
      <w:r>
        <w:rPr>
          <w:rFonts w:ascii="Times New Roman" w:hAnsi="Times New Roman" w:cs="Times New Roman"/>
          <w:color w:val="auto"/>
          <w:kern w:val="0"/>
          <w:sz w:val="24"/>
          <w:u w:val="single"/>
        </w:rPr>
        <w:t xml:space="preserve">                 </w:t>
      </w:r>
      <w:r>
        <w:rPr>
          <w:rFonts w:ascii="Times New Roman" w:hAnsi="Times New Roman" w:cs="Times New Roman"/>
          <w:color w:val="auto"/>
          <w:kern w:val="0"/>
          <w:sz w:val="24"/>
        </w:rPr>
        <w:t>。</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五、附则</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（一）本协议未尽事宜，依据有关法律、法规、规章处理。法律、法规、规章没有明确规定的，经双方协商处理解决。</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rPr>
          <w:rFonts w:ascii="Times New Roman" w:hAnsi="Times New Roman" w:eastAsia="等线" w:cs="Times New Roman"/>
          <w:color w:val="auto"/>
          <w:sz w:val="24"/>
        </w:rPr>
      </w:pPr>
    </w:p>
    <w:tbl>
      <w:tblPr>
        <w:tblStyle w:val="24"/>
        <w:tblW w:w="0" w:type="auto"/>
        <w:tblInd w:w="108" w:type="dxa"/>
        <w:tblLayout w:type="autofit"/>
        <w:tblCellMar>
          <w:top w:w="0" w:type="dxa"/>
          <w:left w:w="108" w:type="dxa"/>
          <w:bottom w:w="0" w:type="dxa"/>
          <w:right w:w="108" w:type="dxa"/>
        </w:tblCellMar>
      </w:tblPr>
      <w:tblGrid>
        <w:gridCol w:w="4820"/>
        <w:gridCol w:w="4127"/>
      </w:tblGrid>
      <w:tr>
        <w:tblPrEx>
          <w:tblCellMar>
            <w:top w:w="0" w:type="dxa"/>
            <w:left w:w="108" w:type="dxa"/>
            <w:bottom w:w="0" w:type="dxa"/>
            <w:right w:w="108" w:type="dxa"/>
          </w:tblCellMar>
        </w:tblPrEx>
        <w:tc>
          <w:tcPr>
            <w:tcW w:w="4820" w:type="dxa"/>
            <w:noWrap w:val="0"/>
            <w:vAlign w:val="top"/>
          </w:tcPr>
          <w:p>
            <w:pPr>
              <w:widowControl w:val="0"/>
              <w:adjustRightInd w:val="0"/>
              <w:snapToGrid w:val="0"/>
              <w:spacing w:line="560" w:lineRule="exact"/>
              <w:jc w:val="both"/>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 xml:space="preserve">甲方：    </w:t>
            </w:r>
          </w:p>
          <w:p>
            <w:pPr>
              <w:widowControl w:val="0"/>
              <w:adjustRightInd w:val="0"/>
              <w:snapToGrid w:val="0"/>
              <w:spacing w:line="560" w:lineRule="exact"/>
              <w:jc w:val="both"/>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签约代表：</w:t>
            </w:r>
          </w:p>
          <w:p>
            <w:pPr>
              <w:widowControl w:val="0"/>
              <w:adjustRightInd w:val="0"/>
              <w:snapToGrid w:val="0"/>
              <w:spacing w:line="560" w:lineRule="exact"/>
              <w:jc w:val="both"/>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联系电话：</w:t>
            </w:r>
          </w:p>
          <w:p>
            <w:pPr>
              <w:widowControl w:val="0"/>
              <w:adjustRightInd w:val="0"/>
              <w:snapToGrid w:val="0"/>
              <w:spacing w:line="560" w:lineRule="exact"/>
              <w:ind w:right="1200" w:firstLine="240" w:firstLineChars="100"/>
              <w:jc w:val="center"/>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 xml:space="preserve">           年    月    日</w:t>
            </w:r>
          </w:p>
        </w:tc>
        <w:tc>
          <w:tcPr>
            <w:tcW w:w="4127" w:type="dxa"/>
            <w:noWrap w:val="0"/>
            <w:vAlign w:val="top"/>
          </w:tcPr>
          <w:p>
            <w:pPr>
              <w:widowControl w:val="0"/>
              <w:adjustRightInd w:val="0"/>
              <w:snapToGrid w:val="0"/>
              <w:spacing w:line="560" w:lineRule="exact"/>
              <w:ind w:firstLine="240" w:firstLineChars="100"/>
              <w:jc w:val="both"/>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 xml:space="preserve">乙方： </w:t>
            </w:r>
          </w:p>
          <w:p>
            <w:pPr>
              <w:widowControl w:val="0"/>
              <w:adjustRightInd w:val="0"/>
              <w:snapToGrid w:val="0"/>
              <w:spacing w:line="560" w:lineRule="exact"/>
              <w:jc w:val="both"/>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签约代表：</w:t>
            </w:r>
          </w:p>
          <w:p>
            <w:pPr>
              <w:widowControl w:val="0"/>
              <w:adjustRightInd w:val="0"/>
              <w:snapToGrid w:val="0"/>
              <w:spacing w:line="560" w:lineRule="exact"/>
              <w:jc w:val="both"/>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联系电话：</w:t>
            </w:r>
          </w:p>
          <w:p>
            <w:pPr>
              <w:widowControl w:val="0"/>
              <w:adjustRightInd w:val="0"/>
              <w:snapToGrid w:val="0"/>
              <w:spacing w:line="560" w:lineRule="exact"/>
              <w:ind w:right="720"/>
              <w:jc w:val="right"/>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年    月    日</w:t>
            </w:r>
          </w:p>
        </w:tc>
      </w:tr>
    </w:tbl>
    <w:p>
      <w:pPr>
        <w:rPr>
          <w:rFonts w:ascii="Times New Roman" w:hAnsi="Times New Roman" w:cs="Times New Roman"/>
        </w:rPr>
      </w:pPr>
    </w:p>
    <w:p>
      <w:pPr>
        <w:pStyle w:val="13"/>
        <w:tabs>
          <w:tab w:val="left" w:pos="1260"/>
        </w:tabs>
        <w:spacing w:line="360" w:lineRule="auto"/>
        <w:jc w:val="center"/>
        <w:rPr>
          <w:rFonts w:ascii="Times New Roman" w:hAnsi="Times New Roman" w:eastAsia="仿宋_GB2312"/>
          <w:b/>
          <w:spacing w:val="100"/>
          <w:w w:val="110"/>
          <w:kern w:val="0"/>
          <w:sz w:val="28"/>
          <w:szCs w:val="28"/>
        </w:rPr>
      </w:pPr>
    </w:p>
    <w:p>
      <w:pPr>
        <w:pStyle w:val="13"/>
        <w:tabs>
          <w:tab w:val="left" w:pos="1260"/>
        </w:tabs>
        <w:spacing w:line="360" w:lineRule="auto"/>
        <w:jc w:val="center"/>
        <w:rPr>
          <w:rFonts w:ascii="Times New Roman" w:hAnsi="Times New Roman" w:eastAsia="仿宋_GB2312"/>
          <w:b/>
          <w:spacing w:val="100"/>
          <w:w w:val="110"/>
          <w:kern w:val="0"/>
          <w:sz w:val="28"/>
          <w:szCs w:val="28"/>
        </w:rPr>
      </w:pPr>
    </w:p>
    <w:p>
      <w:pPr>
        <w:spacing w:line="560" w:lineRule="exact"/>
        <w:rPr>
          <w:rFonts w:hint="eastAsia" w:ascii="宋体" w:hAnsi="宋体" w:cs="宋体"/>
          <w:b/>
          <w:bCs/>
          <w:color w:val="auto"/>
          <w:szCs w:val="21"/>
          <w:lang w:val="en-US" w:eastAsia="zh-CN"/>
        </w:rPr>
      </w:pPr>
    </w:p>
    <w:p>
      <w:pPr>
        <w:spacing w:line="560" w:lineRule="exact"/>
        <w:rPr>
          <w:rFonts w:hint="eastAsia" w:ascii="宋体" w:hAnsi="宋体" w:cs="宋体"/>
          <w:b/>
          <w:bCs/>
          <w:color w:val="auto"/>
          <w:szCs w:val="21"/>
          <w:lang w:val="en-US" w:eastAsia="zh-CN"/>
        </w:rPr>
      </w:pPr>
    </w:p>
    <w:p>
      <w:pPr>
        <w:spacing w:line="560" w:lineRule="exact"/>
        <w:rPr>
          <w:rFonts w:hint="eastAsia" w:ascii="宋体" w:hAnsi="宋体" w:cs="宋体"/>
          <w:b/>
          <w:bCs/>
          <w:color w:val="auto"/>
          <w:szCs w:val="21"/>
          <w:lang w:val="en-US" w:eastAsia="zh-CN"/>
        </w:rPr>
      </w:pPr>
    </w:p>
    <w:p>
      <w:pPr>
        <w:spacing w:line="560" w:lineRule="exact"/>
        <w:rPr>
          <w:rFonts w:hint="eastAsia" w:ascii="宋体" w:hAnsi="宋体" w:cs="宋体"/>
          <w:b/>
          <w:bCs/>
          <w:color w:val="auto"/>
          <w:szCs w:val="21"/>
          <w:lang w:val="en-US" w:eastAsia="zh-CN"/>
        </w:rPr>
      </w:pPr>
    </w:p>
    <w:p>
      <w:pPr>
        <w:spacing w:line="560" w:lineRule="exact"/>
        <w:rPr>
          <w:rFonts w:hint="eastAsia" w:ascii="宋体" w:hAnsi="宋体" w:cs="宋体"/>
          <w:b/>
          <w:bCs/>
          <w:color w:val="auto"/>
          <w:szCs w:val="21"/>
          <w:lang w:val="en-US" w:eastAsia="zh-CN"/>
        </w:rPr>
      </w:pPr>
    </w:p>
    <w:p>
      <w:pPr>
        <w:pStyle w:val="7"/>
        <w:rPr>
          <w:rFonts w:hint="eastAsia" w:ascii="宋体" w:hAnsi="宋体" w:cs="宋体"/>
          <w:b/>
          <w:bCs/>
          <w:color w:val="auto"/>
          <w:szCs w:val="21"/>
          <w:lang w:val="en-US" w:eastAsia="zh-CN"/>
        </w:rPr>
      </w:pPr>
    </w:p>
    <w:p>
      <w:pPr>
        <w:pStyle w:val="7"/>
        <w:rPr>
          <w:rFonts w:hint="eastAsia" w:ascii="宋体" w:hAnsi="宋体" w:cs="宋体"/>
          <w:b/>
          <w:bCs/>
          <w:color w:val="auto"/>
          <w:szCs w:val="21"/>
          <w:lang w:val="en-US" w:eastAsia="zh-CN"/>
        </w:rPr>
      </w:pPr>
    </w:p>
    <w:p>
      <w:pPr>
        <w:spacing w:line="560" w:lineRule="exact"/>
        <w:rPr>
          <w:rFonts w:hint="eastAsia" w:ascii="宋体" w:hAnsi="宋体" w:cs="宋体"/>
          <w:b/>
          <w:bCs/>
          <w:color w:val="auto"/>
          <w:szCs w:val="21"/>
          <w:lang w:val="en-US" w:eastAsia="zh-CN"/>
        </w:rPr>
      </w:pPr>
    </w:p>
    <w:p>
      <w:pPr>
        <w:spacing w:line="560" w:lineRule="exact"/>
        <w:rPr>
          <w:rFonts w:hint="eastAsia" w:ascii="宋体" w:hAnsi="宋体" w:cs="宋体"/>
          <w:b/>
          <w:bCs/>
          <w:color w:val="auto"/>
          <w:szCs w:val="21"/>
          <w:lang w:val="en-US" w:eastAsia="zh-CN"/>
        </w:rPr>
      </w:pPr>
      <w:r>
        <w:rPr>
          <w:rFonts w:hint="eastAsia" w:ascii="宋体" w:hAnsi="宋体" w:cs="宋体"/>
          <w:b/>
          <w:bCs/>
          <w:color w:val="auto"/>
          <w:szCs w:val="21"/>
          <w:lang w:val="en-US" w:eastAsia="zh-CN"/>
        </w:rPr>
        <w:t>附件4.技术需求</w:t>
      </w:r>
    </w:p>
    <w:p>
      <w:pPr>
        <w:pStyle w:val="7"/>
        <w:rPr>
          <w:rFonts w:hint="eastAsia"/>
          <w:lang w:val="en-US" w:eastAsia="zh-CN"/>
        </w:rPr>
      </w:pPr>
    </w:p>
    <w:p>
      <w:pPr>
        <w:pStyle w:val="15"/>
        <w:spacing w:line="360" w:lineRule="auto"/>
        <w:rPr>
          <w:rFonts w:hint="eastAsia" w:ascii="Times New Roman" w:hAnsi="Times New Roman" w:eastAsia="仿宋_GB2312" w:cs="仿宋_GB2312"/>
          <w:sz w:val="28"/>
          <w:szCs w:val="28"/>
          <w:lang w:eastAsia="zh-CN"/>
        </w:rPr>
      </w:pPr>
      <w:r>
        <w:rPr>
          <w:rFonts w:hint="default" w:ascii="Times New Roman" w:hAnsi="Times New Roman" w:cs="Times New Roman" w:eastAsiaTheme="minorEastAsia"/>
          <w:b w:val="0"/>
          <w:bCs w:val="0"/>
          <w:color w:val="auto"/>
          <w:kern w:val="0"/>
          <w:sz w:val="24"/>
          <w:szCs w:val="22"/>
          <w:lang w:eastAsia="zh-CN"/>
        </w:rPr>
        <w:t>（</w:t>
      </w:r>
      <w:r>
        <w:rPr>
          <w:rFonts w:hint="default" w:ascii="Times New Roman" w:hAnsi="Times New Roman" w:cs="Times New Roman" w:eastAsiaTheme="minorEastAsia"/>
          <w:b w:val="0"/>
          <w:bCs w:val="0"/>
          <w:color w:val="auto"/>
          <w:kern w:val="0"/>
          <w:sz w:val="24"/>
          <w:szCs w:val="22"/>
          <w:lang w:val="en-US" w:eastAsia="zh-CN"/>
        </w:rPr>
        <w:t>一</w:t>
      </w:r>
      <w:r>
        <w:rPr>
          <w:rFonts w:hint="default" w:ascii="Times New Roman" w:hAnsi="Times New Roman" w:cs="Times New Roman" w:eastAsiaTheme="minorEastAsia"/>
          <w:b w:val="0"/>
          <w:bCs w:val="0"/>
          <w:color w:val="auto"/>
          <w:kern w:val="0"/>
          <w:sz w:val="24"/>
          <w:szCs w:val="22"/>
          <w:lang w:eastAsia="zh-CN"/>
        </w:rPr>
        <w:t>）</w:t>
      </w:r>
      <w:r>
        <w:rPr>
          <w:rFonts w:hint="default" w:ascii="Times New Roman" w:hAnsi="Times New Roman" w:cs="Times New Roman" w:eastAsiaTheme="minorEastAsia"/>
          <w:b w:val="0"/>
          <w:bCs w:val="0"/>
          <w:color w:val="auto"/>
          <w:kern w:val="0"/>
          <w:sz w:val="24"/>
          <w:szCs w:val="22"/>
        </w:rPr>
        <w:t>研究级正置荧光显微镜技术指标</w:t>
      </w:r>
      <w:r>
        <w:rPr>
          <w:rFonts w:hint="default" w:ascii="Times New Roman" w:hAnsi="Times New Roman" w:cs="Times New Roman" w:eastAsiaTheme="minorEastAsia"/>
          <w:b w:val="0"/>
          <w:bCs w:val="0"/>
          <w:color w:val="auto"/>
          <w:kern w:val="0"/>
          <w:sz w:val="24"/>
          <w:szCs w:val="22"/>
          <w:lang w:eastAsia="zh-CN"/>
        </w:rPr>
        <w:t>：</w:t>
      </w:r>
    </w:p>
    <w:p>
      <w:pPr>
        <w:numPr>
          <w:ilvl w:val="3"/>
          <w:numId w:val="8"/>
        </w:numPr>
        <w:spacing w:before="0" w:beforeLines="-2147483648" w:line="560" w:lineRule="exact"/>
        <w:ind w:left="0" w:firstLine="480" w:firstLineChars="200"/>
        <w:rPr>
          <w:rFonts w:hint="default" w:ascii="Times New Roman" w:hAnsi="Times New Roman" w:cs="Times New Roman" w:eastAsiaTheme="minorEastAsia"/>
          <w:bCs w:val="0"/>
          <w:color w:val="auto"/>
          <w:kern w:val="0"/>
          <w:sz w:val="24"/>
          <w:szCs w:val="22"/>
        </w:rPr>
      </w:pPr>
      <w:r>
        <w:rPr>
          <w:rFonts w:hint="default" w:ascii="Times New Roman" w:hAnsi="Times New Roman" w:cs="Times New Roman" w:eastAsiaTheme="minorEastAsia"/>
          <w:bCs w:val="0"/>
          <w:color w:val="auto"/>
          <w:kern w:val="0"/>
          <w:sz w:val="24"/>
          <w:szCs w:val="22"/>
        </w:rPr>
        <w:t>光学系统：无限远轴向、径向双重色差校正及反差增强型光学系统。</w:t>
      </w:r>
    </w:p>
    <w:p>
      <w:pPr>
        <w:numPr>
          <w:ilvl w:val="3"/>
          <w:numId w:val="8"/>
        </w:numPr>
        <w:spacing w:after="0" w:line="560" w:lineRule="exact"/>
        <w:ind w:left="0" w:firstLine="480" w:firstLineChars="200"/>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color w:val="auto"/>
          <w:kern w:val="0"/>
          <w:sz w:val="24"/>
          <w:szCs w:val="22"/>
        </w:rPr>
        <w:t>观察方式：反射光蓝色荧光、绿色荧光、紫色荧光，透射光明场、相称。</w:t>
      </w:r>
    </w:p>
    <w:p>
      <w:pPr>
        <w:numPr>
          <w:ilvl w:val="3"/>
          <w:numId w:val="8"/>
        </w:numPr>
        <w:spacing w:after="0" w:line="560" w:lineRule="exact"/>
        <w:ind w:left="0" w:firstLine="480" w:firstLineChars="200"/>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color w:val="auto"/>
          <w:kern w:val="0"/>
          <w:sz w:val="24"/>
          <w:szCs w:val="22"/>
        </w:rPr>
        <w:t>★</w:t>
      </w:r>
      <w:r>
        <w:rPr>
          <w:rFonts w:hint="default" w:ascii="Times New Roman" w:hAnsi="Times New Roman" w:cs="Times New Roman" w:eastAsiaTheme="minorEastAsia"/>
          <w:bCs w:val="0"/>
          <w:color w:val="auto"/>
          <w:kern w:val="0"/>
          <w:sz w:val="24"/>
          <w:szCs w:val="22"/>
        </w:rPr>
        <w:t>观察方式切换：不少于6位反射光功能转盘。带有位置编码，可自动调节各种功能下得光源亮度。</w:t>
      </w:r>
    </w:p>
    <w:p>
      <w:pPr>
        <w:numPr>
          <w:ilvl w:val="3"/>
          <w:numId w:val="8"/>
        </w:numPr>
        <w:spacing w:after="0" w:line="560" w:lineRule="exact"/>
        <w:ind w:left="0" w:firstLine="480" w:firstLineChars="200"/>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bCs w:val="0"/>
          <w:color w:val="auto"/>
          <w:kern w:val="0"/>
          <w:sz w:val="24"/>
          <w:szCs w:val="22"/>
        </w:rPr>
        <w:t>镜筒：30°倾角观察镜筒，眼距调整范围55</w:t>
      </w:r>
      <w:r>
        <w:rPr>
          <w:rFonts w:hint="default" w:ascii="Times New Roman" w:hAnsi="Times New Roman" w:cs="Times New Roman" w:eastAsiaTheme="minorEastAsia"/>
          <w:bCs w:val="0"/>
          <w:color w:val="auto"/>
          <w:kern w:val="0"/>
          <w:sz w:val="24"/>
          <w:szCs w:val="22"/>
          <w:lang w:val="en-US" w:eastAsia="zh-CN"/>
        </w:rPr>
        <w:t>~</w:t>
      </w:r>
      <w:r>
        <w:rPr>
          <w:rFonts w:hint="default" w:ascii="Times New Roman" w:hAnsi="Times New Roman" w:cs="Times New Roman" w:eastAsiaTheme="minorEastAsia"/>
          <w:bCs w:val="0"/>
          <w:color w:val="auto"/>
          <w:kern w:val="0"/>
          <w:sz w:val="24"/>
          <w:szCs w:val="22"/>
        </w:rPr>
        <w:t>75mm。目镜观察与显微摄影同时进行，无需切换。</w:t>
      </w:r>
    </w:p>
    <w:p>
      <w:pPr>
        <w:numPr>
          <w:ilvl w:val="3"/>
          <w:numId w:val="8"/>
        </w:numPr>
        <w:spacing w:after="0" w:line="560" w:lineRule="exact"/>
        <w:ind w:left="0" w:firstLine="480" w:firstLineChars="200"/>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bCs w:val="0"/>
          <w:color w:val="auto"/>
          <w:kern w:val="0"/>
          <w:sz w:val="24"/>
          <w:szCs w:val="22"/>
        </w:rPr>
        <w:t>目镜：10x目镜两个，视场数不低于23，每个目镜均可单独进行屈光度调整。</w:t>
      </w:r>
    </w:p>
    <w:p>
      <w:pPr>
        <w:numPr>
          <w:ilvl w:val="3"/>
          <w:numId w:val="8"/>
        </w:numPr>
        <w:spacing w:after="0" w:line="560" w:lineRule="exact"/>
        <w:ind w:left="0" w:firstLine="480" w:firstLineChars="200"/>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bCs w:val="0"/>
          <w:color w:val="auto"/>
          <w:kern w:val="0"/>
          <w:sz w:val="24"/>
          <w:szCs w:val="22"/>
        </w:rPr>
        <w:t>物镜：可同时用于明场、偏光、荧光等的高反差、高衬度、高分辨率的新型高性能反差增强型物镜。放大倍数5x、10x 、20x、40x、63x、100x油镜。</w:t>
      </w:r>
    </w:p>
    <w:p>
      <w:pPr>
        <w:numPr>
          <w:ilvl w:val="3"/>
          <w:numId w:val="8"/>
        </w:numPr>
        <w:spacing w:after="0" w:line="560" w:lineRule="exact"/>
        <w:ind w:left="0" w:firstLine="480" w:firstLineChars="200"/>
        <w:rPr>
          <w:rFonts w:hint="default" w:ascii="Times New Roman" w:hAnsi="Times New Roman" w:cs="Times New Roman" w:eastAsiaTheme="minorEastAsia"/>
          <w:bCs w:val="0"/>
          <w:color w:val="auto"/>
          <w:kern w:val="0"/>
          <w:sz w:val="24"/>
          <w:szCs w:val="22"/>
        </w:rPr>
      </w:pPr>
      <w:r>
        <w:rPr>
          <w:rFonts w:hint="default" w:ascii="Times New Roman" w:hAnsi="Times New Roman" w:cs="Times New Roman" w:eastAsiaTheme="minorEastAsia"/>
          <w:color w:val="auto"/>
          <w:kern w:val="0"/>
          <w:sz w:val="24"/>
          <w:szCs w:val="22"/>
        </w:rPr>
        <w:t>★</w:t>
      </w:r>
      <w:r>
        <w:rPr>
          <w:rFonts w:hint="default" w:ascii="Times New Roman" w:hAnsi="Times New Roman" w:cs="Times New Roman" w:eastAsiaTheme="minorEastAsia"/>
          <w:bCs w:val="0"/>
          <w:color w:val="auto"/>
          <w:kern w:val="0"/>
          <w:sz w:val="24"/>
          <w:szCs w:val="22"/>
        </w:rPr>
        <w:t>物镜转盘： 不少于6孔多功能明暗场物镜转换器，带有位置编码，可自动调节光源亮度。</w:t>
      </w:r>
    </w:p>
    <w:p>
      <w:pPr>
        <w:numPr>
          <w:ilvl w:val="3"/>
          <w:numId w:val="8"/>
        </w:numPr>
        <w:spacing w:after="0" w:line="560" w:lineRule="exact"/>
        <w:ind w:left="0" w:firstLine="480" w:firstLineChars="200"/>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color w:val="auto"/>
          <w:kern w:val="0"/>
          <w:sz w:val="24"/>
          <w:szCs w:val="22"/>
        </w:rPr>
        <w:t>★LED</w:t>
      </w:r>
      <w:r>
        <w:rPr>
          <w:rFonts w:hint="default" w:ascii="Times New Roman" w:hAnsi="Times New Roman" w:cs="Times New Roman" w:eastAsiaTheme="minorEastAsia"/>
          <w:bCs w:val="0"/>
          <w:color w:val="auto"/>
          <w:kern w:val="0"/>
          <w:sz w:val="24"/>
          <w:szCs w:val="22"/>
        </w:rPr>
        <w:t>光源：长寿命高亮度LED光源照明，单个使用寿命不低于55000小时。</w:t>
      </w:r>
    </w:p>
    <w:p>
      <w:pPr>
        <w:numPr>
          <w:ilvl w:val="3"/>
          <w:numId w:val="8"/>
        </w:numPr>
        <w:spacing w:after="0" w:line="560" w:lineRule="exact"/>
        <w:ind w:left="0" w:firstLine="480" w:firstLineChars="200"/>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bCs w:val="0"/>
          <w:color w:val="auto"/>
          <w:kern w:val="0"/>
          <w:sz w:val="24"/>
          <w:szCs w:val="22"/>
        </w:rPr>
        <w:t>荧光光源：高压汞灯荧光光源。</w:t>
      </w:r>
    </w:p>
    <w:p>
      <w:pPr>
        <w:numPr>
          <w:ilvl w:val="3"/>
          <w:numId w:val="8"/>
        </w:numPr>
        <w:spacing w:after="0" w:line="560" w:lineRule="exact"/>
        <w:ind w:left="0" w:firstLine="480" w:firstLineChars="200"/>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color w:val="auto"/>
          <w:kern w:val="0"/>
          <w:sz w:val="24"/>
          <w:szCs w:val="22"/>
        </w:rPr>
        <w:t>★</w:t>
      </w:r>
      <w:r>
        <w:rPr>
          <w:rFonts w:hint="default" w:ascii="Times New Roman" w:hAnsi="Times New Roman" w:cs="Times New Roman" w:eastAsiaTheme="minorEastAsia"/>
          <w:bCs w:val="0"/>
          <w:color w:val="auto"/>
          <w:kern w:val="0"/>
          <w:sz w:val="24"/>
          <w:szCs w:val="22"/>
        </w:rPr>
        <w:t>智能控制：可自动调节各物镜及观察方式下的光源亮度，显微镜机身带有人机工程学拍照按钮。停止使用显微镜15分钟后，显微镜光源自动关闭，增长光源使用寿命。</w:t>
      </w:r>
    </w:p>
    <w:p>
      <w:pPr>
        <w:numPr>
          <w:ilvl w:val="3"/>
          <w:numId w:val="8"/>
        </w:numPr>
        <w:spacing w:after="0" w:line="560" w:lineRule="exact"/>
        <w:ind w:left="0" w:firstLine="480" w:firstLineChars="200"/>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bCs w:val="0"/>
          <w:color w:val="auto"/>
          <w:kern w:val="0"/>
          <w:sz w:val="24"/>
          <w:szCs w:val="22"/>
        </w:rPr>
        <w:t>机械式载物台：载物台尺寸290×165mm。XY方向移动范围75x50 mm。最新的谐波齿轮防滑措施，长时间使用不下滑。</w:t>
      </w:r>
    </w:p>
    <w:p>
      <w:pPr>
        <w:numPr>
          <w:ilvl w:val="3"/>
          <w:numId w:val="8"/>
        </w:numPr>
        <w:spacing w:after="0" w:line="560" w:lineRule="exact"/>
        <w:ind w:left="0" w:firstLine="480" w:firstLineChars="200"/>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color w:val="auto"/>
          <w:kern w:val="0"/>
          <w:sz w:val="24"/>
          <w:szCs w:val="22"/>
        </w:rPr>
        <w:t>★最大样品高度：最大样品高度可达110mm。</w:t>
      </w:r>
    </w:p>
    <w:p>
      <w:pPr>
        <w:numPr>
          <w:ilvl w:val="3"/>
          <w:numId w:val="8"/>
        </w:numPr>
        <w:spacing w:after="0" w:line="560" w:lineRule="exact"/>
        <w:ind w:left="0" w:firstLine="480" w:firstLineChars="200"/>
        <w:rPr>
          <w:rFonts w:hint="default" w:ascii="Times New Roman" w:hAnsi="Times New Roman" w:cs="Times New Roman" w:eastAsiaTheme="minorEastAsia"/>
          <w:bCs w:val="0"/>
          <w:color w:val="auto"/>
          <w:kern w:val="0"/>
          <w:sz w:val="24"/>
          <w:szCs w:val="22"/>
        </w:rPr>
      </w:pPr>
      <w:r>
        <w:rPr>
          <w:rFonts w:hint="default" w:ascii="Times New Roman" w:hAnsi="Times New Roman" w:cs="Times New Roman" w:eastAsiaTheme="minorEastAsia"/>
          <w:bCs w:val="0"/>
          <w:color w:val="auto"/>
          <w:kern w:val="0"/>
          <w:sz w:val="24"/>
          <w:szCs w:val="22"/>
        </w:rPr>
        <w:t>其它附件：十字线10mm/100等分的目镜测微尺1个，1/100mm台尺1个。</w:t>
      </w:r>
    </w:p>
    <w:p>
      <w:pPr>
        <w:numPr>
          <w:ilvl w:val="3"/>
          <w:numId w:val="8"/>
        </w:numPr>
        <w:spacing w:after="0" w:line="560" w:lineRule="exact"/>
        <w:ind w:left="0" w:firstLine="480" w:firstLineChars="200"/>
        <w:rPr>
          <w:rFonts w:hint="default" w:ascii="Times New Roman" w:hAnsi="Times New Roman" w:cs="Times New Roman" w:eastAsiaTheme="minorEastAsia"/>
          <w:bCs w:val="0"/>
          <w:color w:val="auto"/>
          <w:kern w:val="0"/>
          <w:sz w:val="24"/>
          <w:szCs w:val="22"/>
        </w:rPr>
      </w:pPr>
      <w:r>
        <w:rPr>
          <w:rFonts w:hint="default" w:ascii="Times New Roman" w:hAnsi="Times New Roman" w:cs="Times New Roman" w:eastAsiaTheme="minorEastAsia"/>
          <w:bCs w:val="0"/>
          <w:color w:val="auto"/>
          <w:kern w:val="0"/>
          <w:sz w:val="24"/>
          <w:szCs w:val="22"/>
        </w:rPr>
        <w:t>图像采集：</w:t>
      </w:r>
      <w:r>
        <w:rPr>
          <w:rFonts w:hint="default" w:ascii="Times New Roman" w:hAnsi="Times New Roman" w:cs="Times New Roman" w:eastAsiaTheme="minorEastAsia"/>
          <w:color w:val="auto"/>
          <w:kern w:val="0"/>
          <w:sz w:val="24"/>
          <w:szCs w:val="22"/>
        </w:rPr>
        <w:t>原厂工业级高分辨率彩色摄像头，实时采集，动态捕捉。</w:t>
      </w:r>
    </w:p>
    <w:p>
      <w:pPr>
        <w:numPr>
          <w:ilvl w:val="0"/>
          <w:numId w:val="9"/>
        </w:numPr>
        <w:spacing w:before="0" w:beforeLines="-2147483648" w:line="560" w:lineRule="exact"/>
        <w:ind w:left="0" w:leftChars="0" w:firstLine="480" w:firstLineChars="200"/>
        <w:jc w:val="left"/>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color w:val="auto"/>
          <w:kern w:val="0"/>
          <w:sz w:val="24"/>
          <w:szCs w:val="22"/>
        </w:rPr>
        <w:t>★摄像头靶面尺寸不小于1英寸,CCD芯片。</w:t>
      </w:r>
    </w:p>
    <w:p>
      <w:pPr>
        <w:numPr>
          <w:ilvl w:val="0"/>
          <w:numId w:val="9"/>
        </w:numPr>
        <w:spacing w:before="0" w:beforeLines="-2147483648" w:line="560" w:lineRule="exact"/>
        <w:ind w:left="0" w:leftChars="0" w:firstLine="480" w:firstLineChars="200"/>
        <w:jc w:val="left"/>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color w:val="auto"/>
          <w:kern w:val="0"/>
          <w:sz w:val="24"/>
          <w:szCs w:val="22"/>
        </w:rPr>
        <w:t>物理像素不低于600万像素</w:t>
      </w:r>
      <w:r>
        <w:rPr>
          <w:rFonts w:hint="default" w:ascii="Times New Roman" w:hAnsi="Times New Roman" w:cs="Times New Roman" w:eastAsiaTheme="minorEastAsia"/>
          <w:bCs w:val="0"/>
          <w:color w:val="auto"/>
          <w:kern w:val="0"/>
          <w:sz w:val="24"/>
          <w:szCs w:val="22"/>
        </w:rPr>
        <w:t>。</w:t>
      </w:r>
    </w:p>
    <w:p>
      <w:pPr>
        <w:numPr>
          <w:ilvl w:val="0"/>
          <w:numId w:val="9"/>
        </w:numPr>
        <w:spacing w:before="0" w:beforeLines="-2147483648" w:line="560" w:lineRule="exact"/>
        <w:ind w:left="0" w:leftChars="0" w:firstLine="480" w:firstLineChars="200"/>
        <w:jc w:val="left"/>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color w:val="auto"/>
          <w:kern w:val="0"/>
          <w:sz w:val="24"/>
          <w:szCs w:val="22"/>
        </w:rPr>
        <w:t>★单个像素点不小于4.4umx4.4um。</w:t>
      </w:r>
    </w:p>
    <w:p>
      <w:pPr>
        <w:numPr>
          <w:ilvl w:val="0"/>
          <w:numId w:val="9"/>
        </w:numPr>
        <w:spacing w:before="0" w:beforeLines="-2147483648" w:line="560" w:lineRule="exact"/>
        <w:ind w:left="0" w:leftChars="0" w:firstLine="480" w:firstLineChars="200"/>
        <w:jc w:val="left"/>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color w:val="auto"/>
          <w:kern w:val="0"/>
          <w:sz w:val="24"/>
          <w:szCs w:val="22"/>
        </w:rPr>
        <w:t>动态范围不小于1：2500</w:t>
      </w:r>
    </w:p>
    <w:p>
      <w:pPr>
        <w:numPr>
          <w:ilvl w:val="0"/>
          <w:numId w:val="9"/>
        </w:numPr>
        <w:spacing w:before="0" w:beforeLines="-2147483648" w:line="560" w:lineRule="exact"/>
        <w:ind w:left="0" w:leftChars="0" w:firstLine="480" w:firstLineChars="200"/>
        <w:jc w:val="left"/>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color w:val="auto"/>
          <w:kern w:val="0"/>
          <w:sz w:val="24"/>
          <w:szCs w:val="22"/>
        </w:rPr>
        <w:t>带有制冷功能。</w:t>
      </w:r>
    </w:p>
    <w:p>
      <w:pPr>
        <w:numPr>
          <w:ilvl w:val="0"/>
          <w:numId w:val="9"/>
        </w:numPr>
        <w:spacing w:before="0" w:beforeLines="-2147483648" w:line="560" w:lineRule="exact"/>
        <w:ind w:left="0" w:leftChars="0" w:firstLine="480" w:firstLineChars="200"/>
        <w:jc w:val="left"/>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color w:val="auto"/>
          <w:kern w:val="0"/>
          <w:sz w:val="24"/>
          <w:szCs w:val="22"/>
        </w:rPr>
        <w:t>★最大曝光时间60秒。</w:t>
      </w:r>
    </w:p>
    <w:p>
      <w:pPr>
        <w:numPr>
          <w:ilvl w:val="3"/>
          <w:numId w:val="8"/>
        </w:numPr>
        <w:adjustRightInd/>
        <w:spacing w:after="0" w:line="560" w:lineRule="exact"/>
        <w:ind w:left="0" w:leftChars="0" w:firstLine="480" w:firstLineChars="200"/>
        <w:rPr>
          <w:rFonts w:hint="default" w:ascii="Times New Roman" w:hAnsi="Times New Roman" w:cs="Times New Roman" w:eastAsiaTheme="minorEastAsia"/>
          <w:bCs w:val="0"/>
          <w:color w:val="auto"/>
          <w:kern w:val="0"/>
          <w:sz w:val="24"/>
          <w:szCs w:val="22"/>
        </w:rPr>
      </w:pPr>
      <w:r>
        <w:rPr>
          <w:rFonts w:hint="default" w:ascii="Times New Roman" w:hAnsi="Times New Roman" w:cs="Times New Roman" w:eastAsiaTheme="minorEastAsia"/>
          <w:bCs w:val="0"/>
          <w:color w:val="auto"/>
          <w:kern w:val="0"/>
          <w:sz w:val="24"/>
          <w:szCs w:val="22"/>
        </w:rPr>
        <w:t>图象处理分析硬件： DELL商用台式机（酷睿I7/256固态硬盘/1T机械硬盘/32G内存 /DVD刻录/24’’显示器）。</w:t>
      </w:r>
    </w:p>
    <w:p>
      <w:pPr>
        <w:numPr>
          <w:ilvl w:val="3"/>
          <w:numId w:val="8"/>
        </w:numPr>
        <w:spacing w:after="0" w:line="560" w:lineRule="exact"/>
        <w:ind w:left="0" w:leftChars="0" w:firstLine="480" w:firstLineChars="200"/>
        <w:rPr>
          <w:rFonts w:hint="default" w:ascii="Times New Roman" w:hAnsi="Times New Roman" w:cs="Times New Roman" w:eastAsiaTheme="minorEastAsia"/>
          <w:bCs w:val="0"/>
          <w:color w:val="auto"/>
          <w:kern w:val="0"/>
          <w:sz w:val="24"/>
          <w:szCs w:val="22"/>
        </w:rPr>
      </w:pPr>
      <w:r>
        <w:rPr>
          <w:rFonts w:hint="default" w:ascii="Times New Roman" w:hAnsi="Times New Roman" w:cs="Times New Roman" w:eastAsiaTheme="minorEastAsia"/>
          <w:bCs w:val="0"/>
          <w:color w:val="auto"/>
          <w:kern w:val="0"/>
          <w:sz w:val="24"/>
          <w:szCs w:val="22"/>
        </w:rPr>
        <w:t>图象处理分析软件：同品牌软件部分有几何参数测量、加载标尺、加载标注、图像调整，导出测量数据至EXCEL、存储图像等。可控制曝光、色温、对比度、增益等，可进行自动白平衡 、整体阴影校正。全景图像拼接、图像景深合成。</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17.供货清单</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1）显微镜主机1台</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2）6孔物镜转盘1个</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3）载物台1个</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4）LED光源1个</w:t>
      </w:r>
    </w:p>
    <w:p>
      <w:pPr>
        <w:widowControl/>
        <w:autoSpaceDE/>
        <w:autoSpaceDN/>
        <w:adjustRightInd/>
        <w:spacing w:line="560" w:lineRule="exact"/>
        <w:ind w:firstLine="480" w:firstLineChars="200"/>
        <w:rPr>
          <w:rFonts w:hint="default" w:ascii="Times New Roman" w:hAnsi="Times New Roman" w:cs="Times New Roman" w:eastAsiaTheme="minorEastAsia"/>
          <w:b w:val="0"/>
          <w:bCs w:val="0"/>
          <w:color w:val="auto"/>
          <w:kern w:val="0"/>
          <w:sz w:val="24"/>
          <w:szCs w:val="22"/>
          <w:lang w:val="en-US" w:eastAsia="zh-CN" w:bidi="ar-SA"/>
        </w:rPr>
      </w:pPr>
      <w:r>
        <w:rPr>
          <w:rFonts w:hint="default" w:ascii="Times New Roman" w:hAnsi="Times New Roman" w:cs="Times New Roman" w:eastAsiaTheme="minorEastAsia"/>
          <w:b w:val="0"/>
          <w:bCs w:val="0"/>
          <w:color w:val="auto"/>
          <w:kern w:val="0"/>
          <w:sz w:val="24"/>
          <w:szCs w:val="22"/>
          <w:lang w:val="en-US" w:eastAsia="zh-CN" w:bidi="ar-SA"/>
        </w:rPr>
        <w:t>（二）水质版荧光分光光度计技术指标：</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 xml:space="preserve"> 1 主机性能</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1.1光源：紫外区能量更强的新型150 W连续氙灯；</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1.1.1高效除臭氧技术：采用高效除臭氧装置，极大降低室内臭氧浓度，有效去除臭氧排放，提供装置证明图片；</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1.2波长测定范围： 激发（EX）200 nm~750 nm；发射（EM）200 nm~750 nm；</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1.3光谱带宽：激发1 nm；2.5 nm；5 nm；10 nm；20 nm ；5档</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发射1 nm；2.5 nm；5 nm；10 nm；20 nm；5档</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1.4波长示值误差：激发波长±2 nm；发射波长±2 nm</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1.5波长重复性：激发波长≤1 nm；发射波长≤1 nm</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★1.6信噪比：RMS≥1400:1；RMS（BG）≥18000:1；使用R3788光电倍增管测试；（测试条件：测试时间10min，EX带宽5nm；EM带宽5nm，PMT增益700V）</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★1.7可视化波长反馈功能，主机外部指示灯可通过颜色变化实时反馈光栅运行状态（光栅运行状态指示灯），提供证明资料；</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▲1.8一体式铸铝底座（光路稳定器），所有光学元件均固定在一体式铸铝底座上，保证仪器光学元件的稳定及准直性；</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▲1.9 大容量样品仓，样品仓外侧预留开孔，方便进行高功率光源（如激光器）的耦合；</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★1.10 仪器主机和光源（氙灯）电源开关二合一，一键开关机（避免因为主机和电源的开关顺序错误导致的主板烧坏）；</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1.11 波长扫描速度最大30000nm/min，30、60、240、1,200、2,400、12,000、30,000 nm/min 七档可调；</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1.12光谱校正功能：所有测量模式均有光谱校正功能，激发侧全波段采用实时动态扣除光源背景的信号，发射侧全波段采用覆盖紫外和可见波段的标准光源校正；避免采用依赖氙灯能量（随时会发生变化）并采用罗丹明B和可见区标准光源来标定的分段式光谱校正模式；</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1.13 扫描间隔：0.2~10.0 nm；</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▲1.14响应时间：0.02S；0.2S；0.5S；1S；1.5S；2S；5S；7档；</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▲1.15自增益功能：0-900 V连续可调；</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1.16线性：Υ≥0.995（硫酸奎宁溶液）；</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1.17零线漂移：≤0.3%(10 min内)；</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1.18荧光强度示值变化：≤±1.5%（10 min内）；</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▲1.19 荧光信号范围：0~70000；</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★1.20可以和其他显微镜厂家定制联用方案</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2 软件功能</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2.1主机由FL Analyst Plus软件控制，在Windows环境下工作。荧光强度、激发和发射波长、光谱带宽可实时显示；</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 xml:space="preserve">2.2软件具有以下数据处理功能：多阶导数；检索波峰/谷；示踪；计算峰面积；测试参数快捷导入/导出；四则运算；显示转换； </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2.2图谱保存及调出；图谱窗口处理；绘制标准曲线（1-3次）；自动S/N比测定；定点测量，同步扫描测定；3D扫描，样品定量测量；</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*2.3 能够进行三维光谱数据加减和二维光谱显示，一键转换Origin数据处理，定量分析模块，简单快速；</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*2.4自动仪器性能检测，三维扫描时间指示；</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3 打印输出：定性及定量分析的打印，屏幕图谱拷贝；</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4 电源 220V±22V 、50Hz+1 Hz；额定功率300W；</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5 主机尺寸：长800mm*宽601mm*高258 mm；</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6 主机重量：48kg；</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7 配置</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7.1荧光分光光度计主机一台</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7.2电脑一台</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7.3荧光比色皿1个</w:t>
      </w:r>
    </w:p>
    <w:p>
      <w:pPr>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8. 星号参数为重要指标，需满足并提供生产厂家彩页供核对</w:t>
      </w: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ind w:firstLine="0"/>
        <w:rPr>
          <w:rFonts w:hint="default" w:ascii="Times New Roman" w:hAnsi="Times New Roman" w:cs="Times New Roman" w:eastAsiaTheme="minorEastAsia"/>
          <w:color w:val="auto"/>
          <w:kern w:val="0"/>
          <w:sz w:val="24"/>
          <w:szCs w:val="22"/>
          <w:lang w:val="en-US" w:eastAsia="zh-CN" w:bidi="ar-SA"/>
        </w:rPr>
      </w:pPr>
    </w:p>
    <w:p>
      <w:pPr>
        <w:spacing w:line="560" w:lineRule="exact"/>
        <w:rPr>
          <w:rFonts w:hint="default" w:ascii="宋体" w:hAnsi="宋体" w:cs="宋体"/>
          <w:b/>
          <w:bCs/>
          <w:color w:val="auto"/>
          <w:szCs w:val="21"/>
          <w:lang w:val="en-US" w:eastAsia="zh-CN"/>
        </w:rPr>
      </w:pPr>
      <w:r>
        <w:rPr>
          <w:rFonts w:hint="eastAsia" w:ascii="宋体" w:hAnsi="宋体" w:cs="宋体"/>
          <w:b/>
          <w:bCs/>
          <w:color w:val="auto"/>
          <w:szCs w:val="21"/>
          <w:lang w:val="en-US" w:eastAsia="zh-CN"/>
        </w:rPr>
        <w:t>附件5.报价清单（详见响应文件报价清单）</w:t>
      </w:r>
    </w:p>
    <w:p>
      <w:pPr>
        <w:rPr>
          <w:rFonts w:hint="eastAsia"/>
          <w:lang w:val="en-US" w:eastAsia="zh-CN"/>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ind w:firstLine="0"/>
        <w:rPr>
          <w:rFonts w:ascii="方正小标宋简体" w:eastAsia="方正小标宋简体"/>
          <w:color w:val="auto"/>
          <w:sz w:val="44"/>
          <w:szCs w:val="44"/>
          <w:highlight w:val="none"/>
        </w:rPr>
      </w:pPr>
    </w:p>
    <w:p>
      <w:pPr>
        <w:pStyle w:val="15"/>
        <w:rPr>
          <w:rFonts w:ascii="方正小标宋简体" w:eastAsia="方正小标宋简体"/>
          <w:color w:val="auto"/>
          <w:sz w:val="44"/>
          <w:szCs w:val="44"/>
          <w:highlight w:val="none"/>
        </w:rPr>
      </w:pPr>
    </w:p>
    <w:p/>
    <w:p>
      <w:pPr>
        <w:pStyle w:val="2"/>
        <w:rPr>
          <w:rFonts w:ascii="仿宋_GB2312" w:eastAsia="仿宋_GB2312"/>
          <w:color w:val="auto"/>
          <w:sz w:val="28"/>
          <w:szCs w:val="28"/>
          <w:highlight w:val="none"/>
        </w:rPr>
      </w:pPr>
    </w:p>
    <w:p>
      <w:pPr>
        <w:pStyle w:val="4"/>
        <w:rPr>
          <w:color w:val="auto"/>
          <w:highlight w:val="none"/>
        </w:rPr>
      </w:pPr>
      <w:bookmarkStart w:id="140" w:name="_Toc21847"/>
      <w:bookmarkStart w:id="141" w:name="_Toc3723"/>
      <w:bookmarkStart w:id="142" w:name="_Toc8147"/>
      <w:bookmarkStart w:id="143" w:name="_Toc1563"/>
      <w:bookmarkStart w:id="144" w:name="_Toc30824"/>
      <w:bookmarkStart w:id="145" w:name="_Toc5129"/>
      <w:bookmarkStart w:id="146" w:name="_Toc6230"/>
      <w:bookmarkStart w:id="147" w:name="_Toc12169"/>
      <w:bookmarkStart w:id="148" w:name="_Toc28358"/>
      <w:bookmarkStart w:id="149" w:name="_Toc16552"/>
      <w:bookmarkStart w:id="150" w:name="_Toc23515"/>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40"/>
      <w:bookmarkEnd w:id="141"/>
      <w:bookmarkEnd w:id="142"/>
      <w:bookmarkEnd w:id="143"/>
      <w:bookmarkEnd w:id="144"/>
      <w:bookmarkEnd w:id="145"/>
      <w:bookmarkEnd w:id="146"/>
      <w:bookmarkEnd w:id="147"/>
      <w:bookmarkEnd w:id="148"/>
      <w:bookmarkEnd w:id="149"/>
      <w:bookmarkEnd w:id="150"/>
    </w:p>
    <w:p>
      <w:pPr>
        <w:pStyle w:val="38"/>
        <w:rPr>
          <w:color w:val="auto"/>
          <w:highlight w:val="none"/>
        </w:rPr>
      </w:pPr>
    </w:p>
    <w:p>
      <w:pPr>
        <w:pStyle w:val="4"/>
        <w:rPr>
          <w:rFonts w:ascii="方正小标宋简体" w:eastAsia="方正小标宋简体"/>
          <w:color w:val="auto"/>
          <w:sz w:val="44"/>
          <w:szCs w:val="44"/>
          <w:highlight w:val="none"/>
        </w:rPr>
      </w:pPr>
      <w:bookmarkStart w:id="151" w:name="_Toc17119"/>
      <w:bookmarkStart w:id="152" w:name="_Toc22764"/>
      <w:bookmarkStart w:id="153" w:name="_Toc12610"/>
      <w:bookmarkStart w:id="154" w:name="_Toc24815"/>
      <w:bookmarkStart w:id="155" w:name="_Toc31564"/>
      <w:bookmarkStart w:id="156" w:name="_Toc5342"/>
      <w:bookmarkStart w:id="157" w:name="_Toc88209951"/>
      <w:bookmarkStart w:id="158" w:name="_Toc21675"/>
      <w:bookmarkStart w:id="159" w:name="_Toc10840"/>
      <w:bookmarkStart w:id="160" w:name="_Toc12769"/>
      <w:bookmarkStart w:id="161" w:name="_Toc87616388"/>
      <w:bookmarkStart w:id="162" w:name="_Toc30157"/>
      <w:bookmarkStart w:id="163" w:name="_Toc24490"/>
      <w:r>
        <w:rPr>
          <w:rFonts w:hint="eastAsia"/>
          <w:color w:val="auto"/>
          <w:highlight w:val="none"/>
        </w:rPr>
        <w:t>响应文件</w:t>
      </w:r>
      <w:r>
        <w:rPr>
          <w:rFonts w:hint="eastAsia"/>
          <w:color w:val="auto"/>
          <w:highlight w:val="none"/>
          <w:lang w:val="en-US" w:eastAsia="zh-CN"/>
        </w:rPr>
        <w:t>格式要求</w:t>
      </w:r>
      <w:bookmarkEnd w:id="151"/>
      <w:bookmarkEnd w:id="152"/>
      <w:bookmarkEnd w:id="153"/>
      <w:bookmarkEnd w:id="154"/>
      <w:bookmarkEnd w:id="155"/>
      <w:bookmarkEnd w:id="156"/>
      <w:bookmarkEnd w:id="157"/>
      <w:bookmarkEnd w:id="158"/>
      <w:bookmarkEnd w:id="159"/>
      <w:bookmarkEnd w:id="160"/>
      <w:bookmarkEnd w:id="161"/>
      <w:bookmarkEnd w:id="162"/>
      <w:bookmarkEnd w:id="163"/>
    </w:p>
    <w:p>
      <w:pPr>
        <w:adjustRightInd w:val="0"/>
        <w:snapToGrid w:val="0"/>
        <w:spacing w:beforeLines="50" w:afterLines="50" w:line="600" w:lineRule="exact"/>
        <w:jc w:val="both"/>
        <w:rPr>
          <w:rFonts w:hint="eastAsia" w:ascii="方正小标宋简体" w:eastAsia="方正小标宋简体"/>
          <w:color w:val="auto"/>
          <w:sz w:val="44"/>
          <w:szCs w:val="44"/>
          <w:highlight w:val="none"/>
          <w:u w:val="single"/>
        </w:rPr>
      </w:pPr>
    </w:p>
    <w:p>
      <w:pPr>
        <w:pStyle w:val="2"/>
        <w:rPr>
          <w:rFonts w:hint="eastAsia" w:ascii="方正小标宋简体" w:eastAsia="方正小标宋简体"/>
          <w:color w:val="auto"/>
          <w:sz w:val="44"/>
          <w:szCs w:val="44"/>
          <w:highlight w:val="none"/>
          <w:u w:val="single"/>
        </w:rPr>
      </w:pPr>
    </w:p>
    <w:p>
      <w:pPr>
        <w:pStyle w:val="2"/>
        <w:rPr>
          <w:rFonts w:hint="eastAsia" w:ascii="方正小标宋简体" w:eastAsia="方正小标宋简体"/>
          <w:color w:val="auto"/>
          <w:sz w:val="44"/>
          <w:szCs w:val="44"/>
          <w:highlight w:val="none"/>
          <w:u w:val="single"/>
        </w:rPr>
      </w:pPr>
    </w:p>
    <w:p>
      <w:pPr>
        <w:pStyle w:val="2"/>
        <w:rPr>
          <w:rFonts w:hint="eastAsia" w:ascii="方正小标宋简体" w:eastAsia="方正小标宋简体"/>
          <w:color w:val="auto"/>
          <w:sz w:val="44"/>
          <w:szCs w:val="44"/>
          <w:highlight w:val="none"/>
          <w:u w:val="single"/>
        </w:rPr>
      </w:pPr>
    </w:p>
    <w:p>
      <w:pPr>
        <w:pStyle w:val="2"/>
        <w:rPr>
          <w:rFonts w:hint="eastAsia" w:ascii="方正小标宋简体" w:eastAsia="方正小标宋简体"/>
          <w:color w:val="auto"/>
          <w:sz w:val="44"/>
          <w:szCs w:val="44"/>
          <w:highlight w:val="none"/>
          <w:u w:val="single"/>
        </w:rPr>
      </w:pPr>
    </w:p>
    <w:p>
      <w:pPr>
        <w:pStyle w:val="2"/>
        <w:rPr>
          <w:rFonts w:hint="eastAsia" w:ascii="方正小标宋简体" w:eastAsia="方正小标宋简体"/>
          <w:color w:val="auto"/>
          <w:sz w:val="44"/>
          <w:szCs w:val="44"/>
          <w:highlight w:val="none"/>
          <w:u w:val="single"/>
        </w:rPr>
      </w:pPr>
    </w:p>
    <w:p>
      <w:pPr>
        <w:pStyle w:val="2"/>
        <w:rPr>
          <w:rFonts w:hint="eastAsia" w:ascii="方正小标宋简体" w:eastAsia="方正小标宋简体"/>
          <w:color w:val="auto"/>
          <w:sz w:val="44"/>
          <w:szCs w:val="44"/>
          <w:highlight w:val="none"/>
          <w:u w:val="single"/>
        </w:rPr>
      </w:pPr>
    </w:p>
    <w:p>
      <w:pPr>
        <w:pStyle w:val="2"/>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pStyle w:val="15"/>
      </w:pPr>
    </w:p>
    <w:p>
      <w:pPr>
        <w:adjustRightInd w:val="0"/>
        <w:snapToGrid w:val="0"/>
        <w:spacing w:beforeLines="50" w:afterLines="50"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pStyle w:val="15"/>
        <w:rPr>
          <w:rFonts w:hint="eastAsia" w:ascii="仿宋_GB2312" w:eastAsia="仿宋_GB2312"/>
          <w:color w:val="auto"/>
          <w:sz w:val="30"/>
          <w:szCs w:val="30"/>
          <w:highlight w:val="none"/>
        </w:rPr>
      </w:pPr>
    </w:p>
    <w:p>
      <w:pPr>
        <w:rPr>
          <w:rFonts w:hint="eastAsia" w:ascii="仿宋_GB2312" w:eastAsia="仿宋_GB2312"/>
          <w:color w:val="auto"/>
          <w:sz w:val="30"/>
          <w:szCs w:val="30"/>
          <w:highlight w:val="none"/>
        </w:rPr>
      </w:pPr>
    </w:p>
    <w:p>
      <w:pPr>
        <w:pStyle w:val="2"/>
        <w:rPr>
          <w:rFonts w:hint="eastAsia" w:ascii="仿宋_GB2312" w:eastAsia="仿宋_GB2312"/>
          <w:color w:val="auto"/>
          <w:sz w:val="30"/>
          <w:szCs w:val="30"/>
          <w:highlight w:val="none"/>
        </w:rPr>
      </w:pPr>
    </w:p>
    <w:p>
      <w:pPr>
        <w:pStyle w:val="2"/>
        <w:rPr>
          <w:rFonts w:hint="eastAsia" w:ascii="仿宋_GB2312" w:eastAsia="仿宋_GB2312"/>
          <w:color w:val="auto"/>
          <w:sz w:val="30"/>
          <w:szCs w:val="30"/>
          <w:highlight w:val="none"/>
        </w:rPr>
      </w:pPr>
    </w:p>
    <w:p>
      <w:pPr>
        <w:pStyle w:val="2"/>
        <w:rPr>
          <w:rFonts w:hint="eastAsia" w:ascii="仿宋_GB2312" w:eastAsia="仿宋_GB2312"/>
          <w:color w:val="auto"/>
          <w:sz w:val="30"/>
          <w:szCs w:val="30"/>
          <w:highlight w:val="none"/>
        </w:rPr>
      </w:pPr>
    </w:p>
    <w:p>
      <w:pPr>
        <w:pStyle w:val="2"/>
        <w:rPr>
          <w:rFonts w:hint="eastAsia" w:ascii="仿宋_GB2312" w:eastAsia="仿宋_GB2312"/>
          <w:color w:val="auto"/>
          <w:sz w:val="30"/>
          <w:szCs w:val="30"/>
          <w:highlight w:val="none"/>
        </w:rPr>
      </w:pPr>
    </w:p>
    <w:p>
      <w:pPr>
        <w:pStyle w:val="2"/>
        <w:rPr>
          <w:rFonts w:hint="eastAsia" w:ascii="仿宋_GB2312" w:eastAsia="仿宋_GB2312"/>
          <w:color w:val="auto"/>
          <w:sz w:val="30"/>
          <w:szCs w:val="30"/>
          <w:highlight w:val="none"/>
        </w:rPr>
      </w:pPr>
    </w:p>
    <w:p>
      <w:pPr>
        <w:pStyle w:val="2"/>
        <w:rPr>
          <w:rFonts w:hint="eastAsia" w:ascii="仿宋_GB2312" w:eastAsia="仿宋_GB2312"/>
          <w:color w:val="auto"/>
          <w:sz w:val="30"/>
          <w:szCs w:val="30"/>
          <w:highlight w:val="none"/>
        </w:rPr>
      </w:pPr>
    </w:p>
    <w:p>
      <w:pPr>
        <w:pStyle w:val="2"/>
        <w:rPr>
          <w:rFonts w:hint="eastAsia" w:ascii="仿宋_GB2312" w:eastAsia="仿宋_GB2312"/>
          <w:color w:val="auto"/>
          <w:sz w:val="30"/>
          <w:szCs w:val="30"/>
          <w:highlight w:val="none"/>
        </w:rPr>
      </w:pPr>
    </w:p>
    <w:p>
      <w:pPr>
        <w:pStyle w:val="2"/>
        <w:rPr>
          <w:rFonts w:hint="eastAsia" w:ascii="仿宋_GB2312" w:eastAsia="仿宋_GB2312"/>
          <w:color w:val="auto"/>
          <w:sz w:val="30"/>
          <w:szCs w:val="30"/>
          <w:highlight w:val="none"/>
        </w:rPr>
      </w:pPr>
    </w:p>
    <w:p>
      <w:pPr>
        <w:pStyle w:val="14"/>
        <w:rPr>
          <w:rFonts w:hint="eastAsia" w:ascii="仿宋_GB2312" w:eastAsia="仿宋_GB2312"/>
          <w:color w:val="auto"/>
          <w:sz w:val="30"/>
          <w:szCs w:val="30"/>
          <w:highlight w:val="none"/>
        </w:rPr>
      </w:pPr>
    </w:p>
    <w:p>
      <w:pPr>
        <w:pStyle w:val="15"/>
        <w:rPr>
          <w:rFonts w:hint="eastAsia" w:ascii="仿宋_GB2312" w:eastAsia="仿宋_GB2312"/>
          <w:color w:val="auto"/>
          <w:sz w:val="30"/>
          <w:szCs w:val="30"/>
          <w:highlight w:val="none"/>
        </w:rPr>
      </w:pPr>
    </w:p>
    <w:p>
      <w:pPr>
        <w:adjustRightInd w:val="0"/>
        <w:snapToGrid w:val="0"/>
        <w:spacing w:beforeLines="50" w:afterLines="50" w:line="600" w:lineRule="exact"/>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hint="eastAsia" w:ascii="仿宋_GB2312" w:eastAsia="仿宋_GB2312"/>
          <w:color w:val="auto"/>
          <w:sz w:val="28"/>
          <w:szCs w:val="28"/>
          <w:highlight w:val="none"/>
        </w:rPr>
      </w:pPr>
      <w:bookmarkStart w:id="164" w:name="_Toc88209952"/>
      <w:bookmarkStart w:id="165" w:name="_Toc87616389"/>
      <w:r>
        <w:rPr>
          <w:rFonts w:hint="eastAsia" w:ascii="仿宋_GB2312" w:eastAsia="仿宋_GB2312"/>
          <w:color w:val="auto"/>
          <w:sz w:val="28"/>
          <w:szCs w:val="28"/>
          <w:highlight w:val="none"/>
        </w:rPr>
        <w:t>1.响应函</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6.承诺函</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164"/>
      <w:bookmarkEnd w:id="16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14"/>
      </w:pPr>
    </w:p>
    <w:p>
      <w:pPr>
        <w:pStyle w:val="6"/>
        <w:rPr>
          <w:rFonts w:asciiTheme="minorEastAsia" w:hAnsiTheme="minorEastAsia" w:eastAsiaTheme="minorEastAsia"/>
          <w:color w:val="auto"/>
          <w:sz w:val="28"/>
          <w:szCs w:val="28"/>
          <w:highlight w:val="none"/>
        </w:rPr>
      </w:pPr>
      <w:bookmarkStart w:id="166" w:name="_Toc28619645"/>
      <w:bookmarkStart w:id="167" w:name="_Toc6313"/>
      <w:bookmarkStart w:id="168" w:name="_Toc12665"/>
      <w:bookmarkStart w:id="169" w:name="_Toc87616394"/>
      <w:bookmarkStart w:id="170" w:name="_Toc88209957"/>
      <w:r>
        <w:rPr>
          <w:rFonts w:hint="eastAsia" w:asciiTheme="minorEastAsia" w:hAnsiTheme="minorEastAsia" w:eastAsiaTheme="minorEastAsia"/>
          <w:color w:val="auto"/>
          <w:sz w:val="28"/>
          <w:szCs w:val="28"/>
          <w:highlight w:val="none"/>
        </w:rPr>
        <w:t>1.响应函</w:t>
      </w:r>
      <w:bookmarkEnd w:id="166"/>
      <w:bookmarkEnd w:id="167"/>
      <w:bookmarkEnd w:id="168"/>
      <w:bookmarkEnd w:id="169"/>
      <w:bookmarkEnd w:id="17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lang w:val="en-US" w:eastAsia="zh-CN"/>
        </w:rPr>
        <w:t>我方</w:t>
      </w:r>
      <w:r>
        <w:rPr>
          <w:rFonts w:hint="eastAsia" w:ascii="仿宋_GB2312" w:hAnsi="黑体" w:eastAsia="仿宋_GB2312"/>
          <w:color w:val="auto"/>
          <w:sz w:val="28"/>
          <w:szCs w:val="28"/>
          <w:highlight w:val="none"/>
          <w:u w:val="single"/>
        </w:rPr>
        <w:t>承诺所提供报价货物均为制造商全新原装产品</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71" w:name="_Toc22527"/>
      <w:bookmarkStart w:id="172" w:name="_Toc87616395"/>
      <w:bookmarkStart w:id="173" w:name="_Toc88209958"/>
      <w:bookmarkStart w:id="174" w:name="_Toc29833"/>
    </w:p>
    <w:p>
      <w:pPr>
        <w:pStyle w:val="14"/>
        <w:rPr>
          <w:rFonts w:hint="eastAsia"/>
        </w:rPr>
      </w:pP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71"/>
      <w:bookmarkEnd w:id="172"/>
      <w:bookmarkEnd w:id="173"/>
      <w:bookmarkEnd w:id="17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0" t="0" r="0" b="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8"/>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0" t="0" r="0" b="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75" w:name="_Toc87616400"/>
      <w:bookmarkStart w:id="176" w:name="_Toc88209963"/>
      <w:bookmarkStart w:id="177" w:name="_Toc19830"/>
      <w:bookmarkStart w:id="178"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75"/>
      <w:bookmarkEnd w:id="176"/>
      <w:bookmarkEnd w:id="177"/>
      <w:bookmarkEnd w:id="17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7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7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6"/>
        <w:rPr>
          <w:rFonts w:hint="eastAsia" w:ascii="仿宋_GB2312" w:eastAsia="仿宋_GB2312" w:hAnsiTheme="minorEastAsia"/>
          <w:color w:val="auto"/>
          <w:sz w:val="28"/>
          <w:szCs w:val="28"/>
          <w:highlight w:val="none"/>
          <w:lang w:val="en-US" w:eastAsia="zh-CN"/>
        </w:rPr>
        <w:sectPr>
          <w:headerReference r:id="rId7" w:type="first"/>
          <w:footerReference r:id="rId9" w:type="first"/>
          <w:footerReference r:id="rId8" w:type="default"/>
          <w:pgSz w:w="11906" w:h="16838"/>
          <w:pgMar w:top="2098" w:right="1474" w:bottom="1985" w:left="1588" w:header="851" w:footer="992" w:gutter="0"/>
          <w:pgNumType w:fmt="decimal"/>
          <w:cols w:space="425" w:num="1"/>
          <w:titlePg/>
          <w:docGrid w:type="lines" w:linePitch="312" w:charSpace="0"/>
        </w:sectPr>
      </w:pPr>
      <w:bookmarkStart w:id="180" w:name="_Toc32430"/>
      <w:bookmarkStart w:id="181" w:name="_Toc19423"/>
    </w:p>
    <w:p>
      <w:pPr>
        <w:pStyle w:val="6"/>
        <w:ind w:firstLine="562" w:firstLineChars="200"/>
        <w:jc w:val="left"/>
        <w:rPr>
          <w:rFonts w:hint="eastAsia"/>
          <w:sz w:val="32"/>
          <w:szCs w:val="32"/>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80"/>
      <w:bookmarkEnd w:id="181"/>
    </w:p>
    <w:p>
      <w:pPr>
        <w:jc w:val="center"/>
        <w:rPr>
          <w:sz w:val="30"/>
          <w:szCs w:val="30"/>
        </w:rPr>
      </w:pPr>
      <w:r>
        <w:rPr>
          <w:rFonts w:hint="eastAsia"/>
          <w:sz w:val="32"/>
          <w:szCs w:val="32"/>
        </w:rPr>
        <w:t>采购清单</w:t>
      </w:r>
    </w:p>
    <w:tbl>
      <w:tblPr>
        <w:tblStyle w:val="24"/>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670"/>
        <w:gridCol w:w="2263"/>
        <w:gridCol w:w="1320"/>
        <w:gridCol w:w="1320"/>
        <w:gridCol w:w="967"/>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89" w:type="dxa"/>
            <w:noWrap w:val="0"/>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2670" w:type="dxa"/>
            <w:noWrap w:val="0"/>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名称</w:t>
            </w:r>
          </w:p>
        </w:tc>
        <w:tc>
          <w:tcPr>
            <w:tcW w:w="2263" w:type="dxa"/>
            <w:noWrap w:val="0"/>
            <w:vAlign w:val="center"/>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数量</w:t>
            </w:r>
          </w:p>
        </w:tc>
        <w:tc>
          <w:tcPr>
            <w:tcW w:w="1320" w:type="dxa"/>
            <w:noWrap w:val="0"/>
            <w:vAlign w:val="center"/>
          </w:tcPr>
          <w:p>
            <w:pPr>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单位</w:t>
            </w:r>
          </w:p>
        </w:tc>
        <w:tc>
          <w:tcPr>
            <w:tcW w:w="1320" w:type="dxa"/>
            <w:noWrap w:val="0"/>
            <w:vAlign w:val="center"/>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品牌</w:t>
            </w:r>
          </w:p>
        </w:tc>
        <w:tc>
          <w:tcPr>
            <w:tcW w:w="967" w:type="dxa"/>
            <w:noWrap w:val="0"/>
            <w:vAlign w:val="center"/>
          </w:tcPr>
          <w:p>
            <w:pPr>
              <w:ind w:firstLine="0"/>
              <w:jc w:val="lef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单价</w:t>
            </w:r>
          </w:p>
        </w:tc>
        <w:tc>
          <w:tcPr>
            <w:tcW w:w="967" w:type="dxa"/>
            <w:noWrap w:val="0"/>
            <w:vAlign w:val="center"/>
          </w:tcPr>
          <w:p>
            <w:pPr>
              <w:ind w:firstLine="0"/>
              <w:jc w:val="lef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89" w:type="dxa"/>
            <w:noWrap w:val="0"/>
            <w:vAlign w:val="center"/>
          </w:tcPr>
          <w:p>
            <w:pPr>
              <w:widowControl w:val="0"/>
              <w:numPr>
                <w:ilvl w:val="0"/>
                <w:numId w:val="0"/>
              </w:numPr>
              <w:ind w:left="0" w:leftChars="0"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w:t>
            </w:r>
          </w:p>
        </w:tc>
        <w:tc>
          <w:tcPr>
            <w:tcW w:w="2670" w:type="dxa"/>
            <w:noWrap w:val="0"/>
            <w:vAlign w:val="center"/>
          </w:tcPr>
          <w:p>
            <w:pPr>
              <w:jc w:val="center"/>
              <w:rPr>
                <w:rFonts w:hint="eastAsia" w:ascii="仿宋_GB2312" w:hAnsi="仿宋_GB2312" w:eastAsia="仿宋_GB2312" w:cs="仿宋_GB2312"/>
                <w:b w:val="0"/>
                <w:bCs w:val="0"/>
                <w:kern w:val="2"/>
                <w:sz w:val="24"/>
                <w:szCs w:val="28"/>
                <w:lang w:val="en-US" w:eastAsia="zh-CN" w:bidi="ar-SA"/>
              </w:rPr>
            </w:pPr>
            <w:r>
              <w:rPr>
                <w:rFonts w:hint="eastAsia" w:ascii="仿宋_GB2312" w:hAnsi="仿宋_GB2312" w:eastAsia="仿宋_GB2312" w:cs="仿宋_GB2312"/>
                <w:b w:val="0"/>
                <w:bCs w:val="0"/>
                <w:sz w:val="24"/>
                <w:szCs w:val="28"/>
                <w:lang w:val="en-US" w:eastAsia="zh-CN"/>
              </w:rPr>
              <w:t>研究级正置荧光显微镜</w:t>
            </w:r>
          </w:p>
        </w:tc>
        <w:tc>
          <w:tcPr>
            <w:tcW w:w="2263" w:type="dxa"/>
            <w:noWrap w:val="0"/>
            <w:vAlign w:val="center"/>
          </w:tcPr>
          <w:p>
            <w:pPr>
              <w:jc w:val="center"/>
              <w:rPr>
                <w:rFonts w:hint="default" w:ascii="仿宋_GB2312" w:hAnsi="仿宋_GB2312" w:eastAsia="仿宋_GB2312" w:cs="仿宋_GB2312"/>
                <w:b w:val="0"/>
                <w:bCs w:val="0"/>
                <w:sz w:val="24"/>
                <w:szCs w:val="28"/>
                <w:lang w:val="en-US" w:eastAsia="zh-CN"/>
              </w:rPr>
            </w:pPr>
            <w:r>
              <w:rPr>
                <w:rFonts w:hint="eastAsia" w:ascii="仿宋_GB2312" w:hAnsi="仿宋_GB2312" w:eastAsia="仿宋_GB2312" w:cs="仿宋_GB2312"/>
                <w:b w:val="0"/>
                <w:bCs w:val="0"/>
                <w:sz w:val="24"/>
                <w:szCs w:val="28"/>
                <w:lang w:val="en-US" w:eastAsia="zh-CN"/>
              </w:rPr>
              <w:t>1</w:t>
            </w:r>
          </w:p>
        </w:tc>
        <w:tc>
          <w:tcPr>
            <w:tcW w:w="1320" w:type="dxa"/>
            <w:noWrap w:val="0"/>
            <w:vAlign w:val="center"/>
          </w:tcPr>
          <w:p>
            <w:pPr>
              <w:jc w:val="center"/>
              <w:rPr>
                <w:rFonts w:hint="default" w:ascii="仿宋_GB2312" w:hAnsi="仿宋_GB2312" w:eastAsia="仿宋_GB2312" w:cs="仿宋_GB2312"/>
                <w:b w:val="0"/>
                <w:bCs w:val="0"/>
                <w:sz w:val="24"/>
                <w:szCs w:val="28"/>
                <w:lang w:val="en-US" w:eastAsia="zh-CN"/>
              </w:rPr>
            </w:pPr>
            <w:r>
              <w:rPr>
                <w:rFonts w:hint="eastAsia" w:ascii="仿宋_GB2312" w:hAnsi="仿宋_GB2312" w:eastAsia="仿宋_GB2312" w:cs="仿宋_GB2312"/>
                <w:b w:val="0"/>
                <w:bCs w:val="0"/>
                <w:sz w:val="24"/>
                <w:szCs w:val="28"/>
                <w:lang w:val="en-US" w:eastAsia="zh-CN"/>
              </w:rPr>
              <w:t>套</w:t>
            </w:r>
          </w:p>
        </w:tc>
        <w:tc>
          <w:tcPr>
            <w:tcW w:w="1320" w:type="dxa"/>
            <w:noWrap w:val="0"/>
            <w:vAlign w:val="center"/>
          </w:tcPr>
          <w:p>
            <w:pPr>
              <w:jc w:val="center"/>
              <w:rPr>
                <w:rFonts w:hint="eastAsia" w:ascii="仿宋_GB2312" w:hAnsi="仿宋_GB2312" w:eastAsia="仿宋_GB2312" w:cs="仿宋_GB2312"/>
                <w:b/>
                <w:bCs/>
                <w:sz w:val="24"/>
                <w:szCs w:val="28"/>
                <w:lang w:val="en-US" w:eastAsia="zh-CN"/>
              </w:rPr>
            </w:pPr>
          </w:p>
        </w:tc>
        <w:tc>
          <w:tcPr>
            <w:tcW w:w="967" w:type="dxa"/>
            <w:noWrap w:val="0"/>
            <w:vAlign w:val="center"/>
          </w:tcPr>
          <w:p>
            <w:pPr>
              <w:ind w:firstLine="0" w:firstLineChars="0"/>
              <w:jc w:val="center"/>
              <w:rPr>
                <w:rFonts w:hint="default" w:ascii="仿宋_GB2312" w:hAnsi="仿宋_GB2312" w:eastAsia="仿宋_GB2312" w:cs="仿宋_GB2312"/>
                <w:b/>
                <w:bCs/>
                <w:kern w:val="2"/>
                <w:sz w:val="24"/>
                <w:szCs w:val="28"/>
                <w:lang w:val="en-US" w:eastAsia="zh-CN" w:bidi="ar-SA"/>
              </w:rPr>
            </w:pPr>
          </w:p>
        </w:tc>
        <w:tc>
          <w:tcPr>
            <w:tcW w:w="967" w:type="dxa"/>
            <w:noWrap w:val="0"/>
            <w:vAlign w:val="center"/>
          </w:tcPr>
          <w:p>
            <w:pPr>
              <w:ind w:firstLine="0" w:firstLineChars="0"/>
              <w:jc w:val="center"/>
              <w:rPr>
                <w:rFonts w:hint="default" w:ascii="仿宋_GB2312" w:hAnsi="仿宋_GB2312" w:eastAsia="仿宋_GB2312" w:cs="仿宋_GB2312"/>
                <w:b/>
                <w:bCs/>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89" w:type="dxa"/>
            <w:noWrap w:val="0"/>
            <w:vAlign w:val="center"/>
          </w:tcPr>
          <w:p>
            <w:pPr>
              <w:widowControl w:val="0"/>
              <w:numPr>
                <w:ilvl w:val="0"/>
                <w:numId w:val="0"/>
              </w:numPr>
              <w:ind w:left="0" w:leftChars="0" w:firstLine="0" w:firstLineChars="0"/>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2</w:t>
            </w:r>
          </w:p>
        </w:tc>
        <w:tc>
          <w:tcPr>
            <w:tcW w:w="2670" w:type="dxa"/>
            <w:noWrap w:val="0"/>
            <w:vAlign w:val="center"/>
          </w:tcPr>
          <w:p>
            <w:pPr>
              <w:widowControl w:val="0"/>
              <w:autoSpaceDE w:val="0"/>
              <w:autoSpaceDN w:val="0"/>
              <w:adjustRightInd w:val="0"/>
              <w:jc w:val="center"/>
              <w:rPr>
                <w:rFonts w:hint="eastAsia" w:ascii="仿宋_GB2312" w:hAnsi="仿宋_GB2312" w:eastAsia="仿宋_GB2312" w:cs="仿宋_GB2312"/>
                <w:b w:val="0"/>
                <w:bCs w:val="0"/>
                <w:color w:val="000000"/>
                <w:sz w:val="24"/>
                <w:szCs w:val="24"/>
                <w:lang w:val="en-US" w:eastAsia="zh-CN" w:bidi="ar-SA"/>
              </w:rPr>
            </w:pPr>
            <w:r>
              <w:rPr>
                <w:rFonts w:hint="eastAsia" w:ascii="仿宋_GB2312" w:hAnsi="仿宋_GB2312" w:eastAsia="仿宋_GB2312" w:cs="仿宋_GB2312"/>
                <w:b w:val="0"/>
                <w:bCs w:val="0"/>
                <w:kern w:val="2"/>
                <w:sz w:val="24"/>
                <w:szCs w:val="28"/>
                <w:lang w:val="en-US" w:eastAsia="zh-CN" w:bidi="ar-SA"/>
              </w:rPr>
              <w:t>水质版荧光分光光度计</w:t>
            </w:r>
          </w:p>
        </w:tc>
        <w:tc>
          <w:tcPr>
            <w:tcW w:w="2263" w:type="dxa"/>
            <w:noWrap w:val="0"/>
            <w:vAlign w:val="center"/>
          </w:tcPr>
          <w:p>
            <w:pPr>
              <w:widowControl w:val="0"/>
              <w:autoSpaceDE w:val="0"/>
              <w:autoSpaceDN w:val="0"/>
              <w:adjustRightInd w:val="0"/>
              <w:jc w:val="center"/>
              <w:rPr>
                <w:rFonts w:hint="default" w:ascii="仿宋_GB2312" w:hAnsi="仿宋_GB2312" w:eastAsia="仿宋_GB2312" w:cs="仿宋_GB2312"/>
                <w:b w:val="0"/>
                <w:bCs w:val="0"/>
                <w:kern w:val="2"/>
                <w:sz w:val="24"/>
                <w:szCs w:val="28"/>
                <w:lang w:val="en-US" w:eastAsia="zh-CN" w:bidi="ar-SA"/>
              </w:rPr>
            </w:pPr>
            <w:r>
              <w:rPr>
                <w:rFonts w:hint="eastAsia" w:ascii="仿宋_GB2312" w:hAnsi="仿宋_GB2312" w:eastAsia="仿宋_GB2312" w:cs="仿宋_GB2312"/>
                <w:b w:val="0"/>
                <w:bCs w:val="0"/>
                <w:kern w:val="2"/>
                <w:sz w:val="24"/>
                <w:szCs w:val="28"/>
                <w:lang w:val="en-US" w:eastAsia="zh-CN" w:bidi="ar-SA"/>
              </w:rPr>
              <w:t>1</w:t>
            </w:r>
          </w:p>
        </w:tc>
        <w:tc>
          <w:tcPr>
            <w:tcW w:w="1320" w:type="dxa"/>
            <w:noWrap w:val="0"/>
            <w:vAlign w:val="center"/>
          </w:tcPr>
          <w:p>
            <w:pPr>
              <w:widowControl w:val="0"/>
              <w:autoSpaceDE w:val="0"/>
              <w:autoSpaceDN w:val="0"/>
              <w:adjustRightInd w:val="0"/>
              <w:jc w:val="center"/>
              <w:rPr>
                <w:rFonts w:hint="default" w:ascii="仿宋_GB2312" w:hAnsi="仿宋_GB2312" w:eastAsia="仿宋_GB2312" w:cs="仿宋_GB2312"/>
                <w:b w:val="0"/>
                <w:bCs w:val="0"/>
                <w:kern w:val="2"/>
                <w:sz w:val="24"/>
                <w:szCs w:val="28"/>
                <w:lang w:val="en-US" w:eastAsia="zh-CN" w:bidi="ar-SA"/>
              </w:rPr>
            </w:pPr>
            <w:r>
              <w:rPr>
                <w:rFonts w:hint="eastAsia" w:ascii="仿宋_GB2312" w:hAnsi="仿宋_GB2312" w:eastAsia="仿宋_GB2312" w:cs="仿宋_GB2312"/>
                <w:b w:val="0"/>
                <w:bCs w:val="0"/>
                <w:kern w:val="2"/>
                <w:sz w:val="24"/>
                <w:szCs w:val="28"/>
                <w:lang w:val="en-US" w:eastAsia="zh-CN" w:bidi="ar-SA"/>
              </w:rPr>
              <w:t>套</w:t>
            </w:r>
          </w:p>
        </w:tc>
        <w:tc>
          <w:tcPr>
            <w:tcW w:w="1320" w:type="dxa"/>
            <w:noWrap w:val="0"/>
            <w:vAlign w:val="center"/>
          </w:tcPr>
          <w:p>
            <w:pPr>
              <w:widowControl w:val="0"/>
              <w:autoSpaceDE w:val="0"/>
              <w:autoSpaceDN w:val="0"/>
              <w:adjustRightInd w:val="0"/>
              <w:jc w:val="center"/>
              <w:rPr>
                <w:rFonts w:hint="eastAsia" w:ascii="仿宋_GB2312" w:hAnsi="仿宋_GB2312" w:eastAsia="仿宋_GB2312" w:cs="仿宋_GB2312"/>
                <w:b/>
                <w:bCs/>
                <w:kern w:val="2"/>
                <w:sz w:val="24"/>
                <w:szCs w:val="28"/>
                <w:lang w:val="en-US" w:eastAsia="zh-CN" w:bidi="ar-SA"/>
              </w:rPr>
            </w:pPr>
          </w:p>
        </w:tc>
        <w:tc>
          <w:tcPr>
            <w:tcW w:w="967" w:type="dxa"/>
            <w:noWrap w:val="0"/>
            <w:vAlign w:val="center"/>
          </w:tcPr>
          <w:p>
            <w:pPr>
              <w:widowControl w:val="0"/>
              <w:adjustRightInd w:val="0"/>
              <w:snapToGrid w:val="0"/>
              <w:spacing w:after="0" w:line="240" w:lineRule="auto"/>
              <w:ind w:left="0" w:leftChars="0" w:firstLine="0" w:firstLineChars="0"/>
              <w:jc w:val="both"/>
              <w:textAlignment w:val="baseline"/>
              <w:rPr>
                <w:rFonts w:hint="eastAsia" w:ascii="仿宋_GB2312" w:hAnsi="仿宋_GB2312" w:eastAsia="仿宋_GB2312" w:cs="仿宋_GB2312"/>
                <w:color w:val="000000"/>
                <w:kern w:val="0"/>
                <w:sz w:val="24"/>
                <w:szCs w:val="24"/>
                <w:lang w:val="en-US" w:eastAsia="zh-CN" w:bidi="ar-SA"/>
              </w:rPr>
            </w:pPr>
          </w:p>
        </w:tc>
        <w:tc>
          <w:tcPr>
            <w:tcW w:w="967" w:type="dxa"/>
            <w:noWrap w:val="0"/>
            <w:vAlign w:val="center"/>
          </w:tcPr>
          <w:p>
            <w:pPr>
              <w:widowControl w:val="0"/>
              <w:adjustRightInd w:val="0"/>
              <w:snapToGrid w:val="0"/>
              <w:spacing w:after="0" w:line="240" w:lineRule="auto"/>
              <w:ind w:left="0" w:leftChars="0" w:firstLine="0" w:firstLineChars="0"/>
              <w:jc w:val="both"/>
              <w:textAlignment w:val="baseline"/>
              <w:rPr>
                <w:rFonts w:hint="eastAsia" w:ascii="仿宋_GB2312" w:hAnsi="仿宋_GB2312" w:eastAsia="仿宋_GB2312" w:cs="仿宋_GB2312"/>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6" w:type="dxa"/>
            <w:gridSpan w:val="7"/>
            <w:noWrap w:val="0"/>
            <w:vAlign w:val="center"/>
          </w:tcPr>
          <w:p>
            <w:pPr>
              <w:widowControl w:val="0"/>
              <w:adjustRightInd w:val="0"/>
              <w:snapToGrid w:val="0"/>
              <w:spacing w:after="0" w:line="240" w:lineRule="auto"/>
              <w:ind w:left="0" w:leftChars="0" w:firstLine="0" w:firstLineChars="0"/>
              <w:jc w:val="center"/>
              <w:textAlignment w:val="baseline"/>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合计：   元（含税： %）</w:t>
            </w:r>
          </w:p>
        </w:tc>
      </w:tr>
    </w:tbl>
    <w:p>
      <w:pPr>
        <w:rPr>
          <w:rFonts w:hint="eastAsia"/>
          <w:lang w:val="en-US" w:eastAsia="zh-CN"/>
        </w:rPr>
      </w:pPr>
    </w:p>
    <w:p>
      <w:pPr>
        <w:jc w:val="left"/>
        <w:rPr>
          <w:rFonts w:hint="eastAsia" w:ascii="宋体" w:hAnsi="宋体" w:eastAsia="宋体" w:cs="宋体"/>
          <w:b/>
          <w:bCs/>
          <w:sz w:val="21"/>
          <w:szCs w:val="21"/>
          <w:lang w:val="en-US" w:eastAsia="zh-CN"/>
        </w:rPr>
      </w:pPr>
    </w:p>
    <w:p>
      <w:pPr>
        <w:numPr>
          <w:ilvl w:val="0"/>
          <w:numId w:val="0"/>
        </w:numPr>
        <w:ind w:leftChars="0"/>
        <w:rPr>
          <w:rFonts w:hint="eastAsia"/>
          <w:b/>
          <w:bCs/>
          <w:lang w:val="en-US" w:eastAsia="zh-CN"/>
        </w:rPr>
      </w:pPr>
    </w:p>
    <w:p>
      <w:pPr>
        <w:adjustRightInd w:val="0"/>
        <w:snapToGrid w:val="0"/>
        <w:spacing w:line="360" w:lineRule="auto"/>
        <w:jc w:val="center"/>
        <w:rPr>
          <w:rFonts w:hint="eastAsia" w:ascii="宋体" w:hAnsi="宋体" w:eastAsia="宋体" w:cs="宋体"/>
          <w:color w:val="auto"/>
          <w:kern w:val="2"/>
          <w:sz w:val="24"/>
          <w:szCs w:val="24"/>
          <w:highlight w:val="none"/>
          <w:lang w:val="en-GB"/>
        </w:rPr>
      </w:pPr>
      <w:bookmarkStart w:id="182" w:name="_Toc16386"/>
      <w:bookmarkStart w:id="183" w:name="_Toc87616402"/>
      <w:bookmarkStart w:id="184" w:name="_Toc88209965"/>
      <w:bookmarkStart w:id="185" w:name="_Toc6058"/>
      <w:r>
        <w:rPr>
          <w:rFonts w:hint="eastAsia" w:ascii="宋体" w:hAnsi="宋体" w:eastAsia="宋体" w:cs="宋体"/>
          <w:color w:val="auto"/>
          <w:kern w:val="2"/>
          <w:sz w:val="24"/>
          <w:szCs w:val="24"/>
          <w:highlight w:val="none"/>
          <w:lang w:val="en-GB"/>
        </w:rPr>
        <w:t xml:space="preserve">供应商名称（加盖公章）： </w:t>
      </w:r>
    </w:p>
    <w:p>
      <w:pPr>
        <w:pStyle w:val="6"/>
        <w:ind w:firstLine="5542" w:firstLineChars="2300"/>
        <w:rPr>
          <w:rFonts w:hint="eastAsia" w:eastAsiaTheme="majorEastAsia"/>
          <w:color w:val="auto"/>
          <w:highlight w:val="none"/>
          <w:lang w:val="en-US" w:eastAsia="zh-CN"/>
        </w:rPr>
        <w:sectPr>
          <w:pgSz w:w="16838" w:h="11906" w:orient="landscape"/>
          <w:pgMar w:top="1588" w:right="2098" w:bottom="1474" w:left="1985" w:header="851" w:footer="992" w:gutter="0"/>
          <w:pgNumType w:fmt="decimal"/>
          <w:cols w:space="425" w:num="1"/>
          <w:titlePg/>
          <w:docGrid w:type="lines" w:linePitch="312" w:charSpace="0"/>
        </w:sectPr>
      </w:pPr>
      <w:r>
        <w:rPr>
          <w:rFonts w:hint="eastAsia" w:ascii="宋体" w:hAnsi="宋体" w:eastAsia="宋体" w:cs="宋体"/>
          <w:color w:val="auto"/>
          <w:kern w:val="2"/>
          <w:sz w:val="24"/>
          <w:szCs w:val="24"/>
          <w:highlight w:val="none"/>
          <w:lang w:val="en-GB"/>
        </w:rPr>
        <w:t>年  月  日</w:t>
      </w:r>
    </w:p>
    <w:p>
      <w:pPr>
        <w:pStyle w:val="6"/>
        <w:numPr>
          <w:ilvl w:val="0"/>
          <w:numId w:val="0"/>
        </w:numPr>
        <w:rPr>
          <w:rFonts w:hint="eastAsia" w:eastAsiaTheme="majorEastAsia"/>
          <w:color w:val="auto"/>
          <w:highlight w:val="none"/>
          <w:lang w:val="en-US" w:eastAsia="zh-CN"/>
        </w:rPr>
      </w:pPr>
      <w:r>
        <w:rPr>
          <w:rFonts w:hint="eastAsia" w:eastAsiaTheme="majorEastAsia"/>
          <w:color w:val="auto"/>
          <w:highlight w:val="none"/>
          <w:lang w:val="en-US" w:eastAsia="zh-CN"/>
        </w:rPr>
        <w:t>6.承诺函</w:t>
      </w:r>
    </w:p>
    <w:p>
      <w:pPr>
        <w:pStyle w:val="6"/>
        <w:numPr>
          <w:ilvl w:val="0"/>
          <w:numId w:val="0"/>
        </w:numPr>
        <w:ind w:firstLine="560" w:firstLineChars="200"/>
        <w:rPr>
          <w:rFonts w:hint="eastAsia" w:ascii="仿宋_GB2312" w:eastAsia="仿宋_GB2312"/>
          <w:color w:val="auto"/>
          <w:sz w:val="28"/>
          <w:szCs w:val="28"/>
          <w:highlight w:val="none"/>
          <w:u w:val="none"/>
        </w:rPr>
      </w:pPr>
      <w:r>
        <w:rPr>
          <w:rFonts w:hint="eastAsia" w:ascii="仿宋_GB2312" w:eastAsia="仿宋_GB2312"/>
          <w:b w:val="0"/>
          <w:bCs w:val="0"/>
          <w:color w:val="auto"/>
          <w:sz w:val="28"/>
          <w:szCs w:val="28"/>
          <w:highlight w:val="none"/>
          <w:u w:val="none"/>
          <w:lang w:val="en-US" w:eastAsia="zh-CN"/>
        </w:rPr>
        <w:t>我司承诺，</w:t>
      </w:r>
      <w:r>
        <w:rPr>
          <w:rFonts w:hint="eastAsia" w:ascii="仿宋_GB2312" w:eastAsia="仿宋_GB2312"/>
          <w:b w:val="0"/>
          <w:bCs w:val="0"/>
          <w:color w:val="auto"/>
          <w:sz w:val="28"/>
          <w:szCs w:val="28"/>
          <w:highlight w:val="none"/>
          <w:u w:val="none"/>
        </w:rPr>
        <w:t>所提供报价</w:t>
      </w:r>
      <w:r>
        <w:rPr>
          <w:rFonts w:hint="eastAsia" w:ascii="仿宋_GB2312" w:eastAsia="仿宋_GB2312"/>
          <w:b w:val="0"/>
          <w:bCs w:val="0"/>
          <w:color w:val="auto"/>
          <w:sz w:val="28"/>
          <w:szCs w:val="28"/>
          <w:highlight w:val="none"/>
          <w:u w:val="none"/>
          <w:lang w:val="en-US" w:eastAsia="zh-CN"/>
        </w:rPr>
        <w:t>货物</w:t>
      </w:r>
      <w:r>
        <w:rPr>
          <w:rFonts w:hint="eastAsia" w:ascii="仿宋_GB2312" w:eastAsia="仿宋_GB2312"/>
          <w:b w:val="0"/>
          <w:bCs w:val="0"/>
          <w:color w:val="auto"/>
          <w:sz w:val="28"/>
          <w:szCs w:val="28"/>
          <w:highlight w:val="none"/>
          <w:u w:val="none"/>
        </w:rPr>
        <w:t>均为制造商全新原装产品，中选后所提供的货物满足清单仪器型号使用的品牌原装或仪器厂家指定供应商的合格产品，</w:t>
      </w:r>
      <w:r>
        <w:rPr>
          <w:rFonts w:hint="eastAsia" w:ascii="仿宋_GB2312" w:eastAsia="仿宋_GB2312"/>
          <w:b w:val="0"/>
          <w:bCs w:val="0"/>
          <w:color w:val="auto"/>
          <w:sz w:val="28"/>
          <w:szCs w:val="28"/>
          <w:highlight w:val="none"/>
          <w:u w:val="none"/>
          <w:lang w:val="en-US" w:eastAsia="zh-CN"/>
        </w:rPr>
        <w:t>完全满足采购需求中所有技术指标，</w:t>
      </w:r>
      <w:r>
        <w:rPr>
          <w:rFonts w:hint="eastAsia" w:ascii="仿宋_GB2312" w:eastAsia="仿宋_GB2312"/>
          <w:b w:val="0"/>
          <w:bCs w:val="0"/>
          <w:color w:val="auto"/>
          <w:sz w:val="28"/>
          <w:szCs w:val="28"/>
          <w:highlight w:val="none"/>
          <w:u w:val="none"/>
        </w:rPr>
        <w:t>并能安装适配至现有设备中且能让在线监测设备正常运行</w:t>
      </w:r>
      <w:r>
        <w:rPr>
          <w:rFonts w:hint="eastAsia" w:ascii="仿宋_GB2312" w:eastAsia="仿宋_GB2312"/>
          <w:b w:val="0"/>
          <w:bCs w:val="0"/>
          <w:color w:val="auto"/>
          <w:sz w:val="28"/>
          <w:szCs w:val="28"/>
          <w:highlight w:val="none"/>
          <w:u w:val="none"/>
          <w:lang w:eastAsia="zh-CN"/>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6720" w:firstLineChars="2800"/>
        <w:rPr>
          <w:rFonts w:hint="default"/>
          <w:lang w:val="en-US" w:eastAsia="zh-CN"/>
        </w:rPr>
      </w:pPr>
      <w:r>
        <w:rPr>
          <w:rFonts w:hint="eastAsia" w:ascii="宋体" w:hAnsi="宋体" w:eastAsia="宋体" w:cs="宋体"/>
          <w:color w:val="auto"/>
          <w:kern w:val="2"/>
          <w:sz w:val="24"/>
          <w:szCs w:val="24"/>
          <w:highlight w:val="none"/>
          <w:lang w:val="en-GB"/>
        </w:rPr>
        <w:t>年  月  日</w:t>
      </w:r>
    </w:p>
    <w:p>
      <w:pPr>
        <w:rPr>
          <w:rFonts w:hint="default"/>
          <w:lang w:val="en-US" w:eastAsia="zh-CN"/>
        </w:rPr>
      </w:pPr>
    </w:p>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7</w:t>
      </w:r>
      <w:r>
        <w:rPr>
          <w:rFonts w:hint="eastAsia" w:asciiTheme="majorEastAsia" w:hAnsiTheme="majorEastAsia" w:eastAsiaTheme="majorEastAsia"/>
          <w:color w:val="auto"/>
          <w:sz w:val="28"/>
          <w:szCs w:val="28"/>
          <w:highlight w:val="none"/>
        </w:rPr>
        <w:t>.其他资料</w:t>
      </w:r>
      <w:bookmarkEnd w:id="182"/>
      <w:bookmarkEnd w:id="183"/>
      <w:bookmarkEnd w:id="184"/>
      <w:bookmarkEnd w:id="18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3E5306B-9E24-44FD-AE10-51549E4C6C8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48EA4AE-D46E-4579-A71F-A5764B962B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CDE551B-707C-4D58-8D3A-B435EF21D214}"/>
  </w:font>
  <w:font w:name="方正小标宋简体">
    <w:panose1 w:val="03000509000000000000"/>
    <w:charset w:val="86"/>
    <w:family w:val="auto"/>
    <w:pitch w:val="default"/>
    <w:sig w:usb0="00000001" w:usb1="080E0000" w:usb2="00000000" w:usb3="00000000" w:csb0="00040000" w:csb1="00000000"/>
    <w:embedRegular r:id="rId4" w:fontKey="{F1920E79-3031-4F4F-B241-F9683F341AA5}"/>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embedRegular r:id="rId5" w:fontKey="{38784E9D-960D-476B-8171-78647DBD2102}"/>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6" w:fontKey="{73785D44-7596-449C-A9B7-F7968ADF1E33}"/>
  </w:font>
  <w:font w:name="仿宋_GB2312">
    <w:panose1 w:val="02010609030101010101"/>
    <w:charset w:val="86"/>
    <w:family w:val="auto"/>
    <w:pitch w:val="default"/>
    <w:sig w:usb0="00000001" w:usb1="080E0000" w:usb2="00000000" w:usb3="00000000" w:csb0="00040000" w:csb1="00000000"/>
    <w:embedRegular r:id="rId7" w:fontKey="{BF6BBC99-3042-4DFB-A030-B8C877557AFF}"/>
  </w:font>
  <w:font w:name="Wingdings 2">
    <w:panose1 w:val="05020102010507070707"/>
    <w:charset w:val="00"/>
    <w:family w:val="auto"/>
    <w:pitch w:val="default"/>
    <w:sig w:usb0="00000000" w:usb1="00000000" w:usb2="00000000" w:usb3="00000000" w:csb0="80000000" w:csb1="00000000"/>
    <w:embedRegular r:id="rId8" w:fontKey="{2759B094-588E-4864-ADE1-457E855969A2}"/>
  </w:font>
  <w:font w:name="仿宋">
    <w:panose1 w:val="02010609060101010101"/>
    <w:charset w:val="86"/>
    <w:family w:val="modern"/>
    <w:pitch w:val="default"/>
    <w:sig w:usb0="800002BF" w:usb1="38CF7CFA" w:usb2="00000016" w:usb3="00000000" w:csb0="00040001" w:csb1="00000000"/>
    <w:embedRegular r:id="rId9" w:fontKey="{4A549D8F-6E60-4530-9654-7182C6189E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rPr>
        <w:rFonts w:hint="eastAsia"/>
      </w:rP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1iHky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nWIeTICAABkBAAADgAAAAAAAAABACAAAAAfAQAAZHJzL2Uyb0RvYy54bWxQSwUG&#10;AAAAAAYABgBZAQAAwwUAAAAA&#10;">
              <v:fill on="f" focussize="0,0"/>
              <v:stroke on="f" weight="0.5pt"/>
              <v:imagedata o:title=""/>
              <o:lock v:ext="edit" aspectratio="f"/>
              <v:textbox inset="0mm,0mm,0mm,0mm" style="mso-fit-shape-to-text:t;">
                <w:txbxContent>
                  <w:p>
                    <w:pPr>
                      <w:pStyle w:val="18"/>
                    </w:pPr>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rPr>
        <w:rFonts w:hint="eastAsia"/>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21v0yAgAAZA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OTbW/TICAABkBAAADgAAAAAAAAABACAAAAAfAQAAZHJzL2Uyb0RvYy54bWxQSwUG&#10;AAAAAAYABgBZAQAAwwUAAAAA&#10;">
              <v:fill on="f" focussize="0,0"/>
              <v:stroke on="f" weight="0.5pt"/>
              <v:imagedata o:title=""/>
              <o:lock v:ext="edit" aspectratio="f"/>
              <v:textbox inset="0mm,0mm,0mm,0mm" style="mso-fit-shape-to-text:t;">
                <w:txbxContent>
                  <w:p>
                    <w:pPr>
                      <w:pStyle w:val="18"/>
                    </w:pPr>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hRTH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BuFFMd0CAAAmBgAADgAAAAAAAAABACAAAAAfAQAAZHJzL2Uyb0RvYy54bWxQSwUG&#10;AAAAAAYABgBZAQAAbgY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25949CE"/>
    <w:multiLevelType w:val="multilevel"/>
    <w:tmpl w:val="025949CE"/>
    <w:lvl w:ilvl="0" w:tentative="0">
      <w:start w:val="1"/>
      <w:numFmt w:val="japaneseCounting"/>
      <w:lvlText w:val="%1、"/>
      <w:lvlJc w:val="left"/>
      <w:pPr>
        <w:tabs>
          <w:tab w:val="left" w:pos="420"/>
        </w:tabs>
        <w:ind w:left="420" w:hanging="420"/>
      </w:pPr>
      <w:rPr>
        <w:rFonts w:hint="eastAsia"/>
        <w:lang w:val="en-US"/>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rPr>
        <w:rFonts w:hint="eastAsia"/>
        <w:lang w:val="en-U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57710AA"/>
    <w:multiLevelType w:val="multilevel"/>
    <w:tmpl w:val="057710AA"/>
    <w:lvl w:ilvl="0" w:tentative="0">
      <w:start w:val="1"/>
      <w:numFmt w:val="decimal"/>
      <w:lvlText w:val="%1."/>
      <w:lvlJc w:val="left"/>
      <w:pPr>
        <w:tabs>
          <w:tab w:val="left" w:pos="1134"/>
        </w:tabs>
        <w:ind w:left="0" w:leftChars="0" w:firstLine="40" w:firstLineChars="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E3E2CCC"/>
    <w:multiLevelType w:val="multilevel"/>
    <w:tmpl w:val="5E3E2CCC"/>
    <w:lvl w:ilvl="0" w:tentative="0">
      <w:start w:val="1"/>
      <w:numFmt w:val="decimal"/>
      <w:lvlText w:val="%1）"/>
      <w:lvlJc w:val="left"/>
      <w:pPr>
        <w:ind w:left="120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7D63619"/>
    <w:multiLevelType w:val="singleLevel"/>
    <w:tmpl w:val="67D63619"/>
    <w:lvl w:ilvl="0" w:tentative="0">
      <w:start w:val="2"/>
      <w:numFmt w:val="chineseCounting"/>
      <w:suff w:val="space"/>
      <w:lvlText w:val="第%1条"/>
      <w:lvlJc w:val="left"/>
      <w:rPr>
        <w:rFonts w:hint="eastAsia"/>
      </w:rPr>
    </w:lvl>
  </w:abstractNum>
  <w:abstractNum w:abstractNumId="6">
    <w:nsid w:val="705D32C3"/>
    <w:multiLevelType w:val="singleLevel"/>
    <w:tmpl w:val="705D32C3"/>
    <w:lvl w:ilvl="0" w:tentative="0">
      <w:start w:val="5"/>
      <w:numFmt w:val="decimal"/>
      <w:lvlText w:val="%1."/>
      <w:lvlJc w:val="left"/>
      <w:pPr>
        <w:tabs>
          <w:tab w:val="left" w:pos="312"/>
        </w:tabs>
      </w:pPr>
    </w:lvl>
  </w:abstractNum>
  <w:abstractNum w:abstractNumId="7">
    <w:nsid w:val="771C8F7B"/>
    <w:multiLevelType w:val="singleLevel"/>
    <w:tmpl w:val="771C8F7B"/>
    <w:lvl w:ilvl="0" w:tentative="0">
      <w:start w:val="4"/>
      <w:numFmt w:val="chineseCounting"/>
      <w:suff w:val="space"/>
      <w:lvlText w:val="第%1条"/>
      <w:lvlJc w:val="left"/>
      <w:rPr>
        <w:rFonts w:hint="eastAsia"/>
      </w:rPr>
    </w:lvl>
  </w:abstractNum>
  <w:abstractNum w:abstractNumId="8">
    <w:nsid w:val="78F6DD6D"/>
    <w:multiLevelType w:val="singleLevel"/>
    <w:tmpl w:val="78F6DD6D"/>
    <w:lvl w:ilvl="0" w:tentative="0">
      <w:start w:val="1"/>
      <w:numFmt w:val="decimal"/>
      <w:lvlText w:val="%1)"/>
      <w:lvlJc w:val="left"/>
      <w:pPr>
        <w:tabs>
          <w:tab w:val="left" w:pos="397"/>
        </w:tabs>
        <w:ind w:left="0" w:leftChars="0" w:firstLine="0" w:firstLineChars="0"/>
      </w:pPr>
      <w:rPr>
        <w:rFonts w:hint="default"/>
      </w:rPr>
    </w:lvl>
  </w:abstractNum>
  <w:num w:numId="1">
    <w:abstractNumId w:val="0"/>
  </w:num>
  <w:num w:numId="2">
    <w:abstractNumId w:val="6"/>
  </w:num>
  <w:num w:numId="3">
    <w:abstractNumId w:val="3"/>
  </w:num>
  <w:num w:numId="4">
    <w:abstractNumId w:val="1"/>
  </w:num>
  <w:num w:numId="5">
    <w:abstractNumId w:val="4"/>
  </w:num>
  <w:num w:numId="6">
    <w:abstractNumId w:val="5"/>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iYjQ3MDE3YWNiZjNlZDMwZjRjMDUwNjk4N2JmOWIifQ=="/>
    <w:docVar w:name="KSO_WPS_MARK_KEY" w:val="ac477f61-9cab-4dcd-aec9-7fc247590876"/>
  </w:docVars>
  <w:rsids>
    <w:rsidRoot w:val="00172A27"/>
    <w:rsid w:val="003D60BA"/>
    <w:rsid w:val="00411689"/>
    <w:rsid w:val="005D618A"/>
    <w:rsid w:val="00782C10"/>
    <w:rsid w:val="00911ECD"/>
    <w:rsid w:val="00A042E0"/>
    <w:rsid w:val="00B26BB1"/>
    <w:rsid w:val="00B26E21"/>
    <w:rsid w:val="00B741D7"/>
    <w:rsid w:val="00D4533C"/>
    <w:rsid w:val="00F83B64"/>
    <w:rsid w:val="013E3461"/>
    <w:rsid w:val="01437BD2"/>
    <w:rsid w:val="01BB0F13"/>
    <w:rsid w:val="01F80A87"/>
    <w:rsid w:val="02090C75"/>
    <w:rsid w:val="02A23A3C"/>
    <w:rsid w:val="02E72814"/>
    <w:rsid w:val="02FB196F"/>
    <w:rsid w:val="035D130A"/>
    <w:rsid w:val="039110A9"/>
    <w:rsid w:val="03AC246A"/>
    <w:rsid w:val="03AE6061"/>
    <w:rsid w:val="03B23056"/>
    <w:rsid w:val="03DA023E"/>
    <w:rsid w:val="03DC3EBA"/>
    <w:rsid w:val="03F9794D"/>
    <w:rsid w:val="046A2461"/>
    <w:rsid w:val="051C2970"/>
    <w:rsid w:val="05216546"/>
    <w:rsid w:val="060C3611"/>
    <w:rsid w:val="066E3C86"/>
    <w:rsid w:val="06C64829"/>
    <w:rsid w:val="070E7B6E"/>
    <w:rsid w:val="071D62B7"/>
    <w:rsid w:val="077D16D2"/>
    <w:rsid w:val="082A69F3"/>
    <w:rsid w:val="08675FC8"/>
    <w:rsid w:val="08B466A8"/>
    <w:rsid w:val="09B713FD"/>
    <w:rsid w:val="09EF6ACC"/>
    <w:rsid w:val="0A315056"/>
    <w:rsid w:val="0A3E3B7B"/>
    <w:rsid w:val="0A694621"/>
    <w:rsid w:val="0A6E7BBD"/>
    <w:rsid w:val="0AA213B4"/>
    <w:rsid w:val="0AF61C7E"/>
    <w:rsid w:val="0AFB45AD"/>
    <w:rsid w:val="0B0E6047"/>
    <w:rsid w:val="0B351E9B"/>
    <w:rsid w:val="0B4C50D3"/>
    <w:rsid w:val="0B755A48"/>
    <w:rsid w:val="0B806B92"/>
    <w:rsid w:val="0B827E94"/>
    <w:rsid w:val="0B842F76"/>
    <w:rsid w:val="0BD070E1"/>
    <w:rsid w:val="0BD65B6B"/>
    <w:rsid w:val="0C2361E7"/>
    <w:rsid w:val="0C247926"/>
    <w:rsid w:val="0C3E12C4"/>
    <w:rsid w:val="0C6A5449"/>
    <w:rsid w:val="0CAE077E"/>
    <w:rsid w:val="0D794204"/>
    <w:rsid w:val="0E2125D1"/>
    <w:rsid w:val="0E214211"/>
    <w:rsid w:val="0E5F2769"/>
    <w:rsid w:val="0ED8332F"/>
    <w:rsid w:val="0F4D75A3"/>
    <w:rsid w:val="0F5B2DCA"/>
    <w:rsid w:val="0F714D08"/>
    <w:rsid w:val="0FA20605"/>
    <w:rsid w:val="0FED051E"/>
    <w:rsid w:val="0FEE4C29"/>
    <w:rsid w:val="0FFD33F6"/>
    <w:rsid w:val="10031608"/>
    <w:rsid w:val="10046082"/>
    <w:rsid w:val="10266EB0"/>
    <w:rsid w:val="104974DD"/>
    <w:rsid w:val="10CD3F9F"/>
    <w:rsid w:val="111703D2"/>
    <w:rsid w:val="112B101A"/>
    <w:rsid w:val="119B53FC"/>
    <w:rsid w:val="120E47BF"/>
    <w:rsid w:val="1215733B"/>
    <w:rsid w:val="12424CDC"/>
    <w:rsid w:val="129A2738"/>
    <w:rsid w:val="12B56BF1"/>
    <w:rsid w:val="12CB1A89"/>
    <w:rsid w:val="13090350"/>
    <w:rsid w:val="131840FB"/>
    <w:rsid w:val="13467417"/>
    <w:rsid w:val="136E76CF"/>
    <w:rsid w:val="140B1B6D"/>
    <w:rsid w:val="145F08C6"/>
    <w:rsid w:val="14BF1116"/>
    <w:rsid w:val="14E43F59"/>
    <w:rsid w:val="14E77A85"/>
    <w:rsid w:val="1520638B"/>
    <w:rsid w:val="15776308"/>
    <w:rsid w:val="15BC6B3C"/>
    <w:rsid w:val="15EC2C59"/>
    <w:rsid w:val="160C3959"/>
    <w:rsid w:val="16360A7B"/>
    <w:rsid w:val="163E0EF7"/>
    <w:rsid w:val="164D40B0"/>
    <w:rsid w:val="1694429A"/>
    <w:rsid w:val="17635326"/>
    <w:rsid w:val="17A0779F"/>
    <w:rsid w:val="17B803EA"/>
    <w:rsid w:val="1815096B"/>
    <w:rsid w:val="18236EFD"/>
    <w:rsid w:val="18377249"/>
    <w:rsid w:val="185D743E"/>
    <w:rsid w:val="189D5B1F"/>
    <w:rsid w:val="18A34CD0"/>
    <w:rsid w:val="19A53EA8"/>
    <w:rsid w:val="19B64DBC"/>
    <w:rsid w:val="19EC6A4A"/>
    <w:rsid w:val="1A373ACF"/>
    <w:rsid w:val="1A7B10BA"/>
    <w:rsid w:val="1A895341"/>
    <w:rsid w:val="1B0D071F"/>
    <w:rsid w:val="1B0D6EF9"/>
    <w:rsid w:val="1B4568CE"/>
    <w:rsid w:val="1B9015B7"/>
    <w:rsid w:val="1B950DA6"/>
    <w:rsid w:val="1BF54245"/>
    <w:rsid w:val="1D0E6976"/>
    <w:rsid w:val="1D5A79EE"/>
    <w:rsid w:val="1DEC6F1E"/>
    <w:rsid w:val="1E0E2CD0"/>
    <w:rsid w:val="1E831280"/>
    <w:rsid w:val="1EBC4704"/>
    <w:rsid w:val="1EE522C8"/>
    <w:rsid w:val="1F172EB5"/>
    <w:rsid w:val="1F22070B"/>
    <w:rsid w:val="1F6404E2"/>
    <w:rsid w:val="1F94592D"/>
    <w:rsid w:val="1FB273B5"/>
    <w:rsid w:val="1FB860DE"/>
    <w:rsid w:val="201E643D"/>
    <w:rsid w:val="203C5A02"/>
    <w:rsid w:val="20812D83"/>
    <w:rsid w:val="209D4C94"/>
    <w:rsid w:val="20B44FCD"/>
    <w:rsid w:val="20E84705"/>
    <w:rsid w:val="20EE157B"/>
    <w:rsid w:val="212843A3"/>
    <w:rsid w:val="218400BA"/>
    <w:rsid w:val="21AB1E2F"/>
    <w:rsid w:val="21D40498"/>
    <w:rsid w:val="22493963"/>
    <w:rsid w:val="22767047"/>
    <w:rsid w:val="22C9485D"/>
    <w:rsid w:val="23A05588"/>
    <w:rsid w:val="240476A1"/>
    <w:rsid w:val="24E953B9"/>
    <w:rsid w:val="25431AEB"/>
    <w:rsid w:val="25B875EB"/>
    <w:rsid w:val="25BE3BFB"/>
    <w:rsid w:val="25BF43FD"/>
    <w:rsid w:val="25F86BCD"/>
    <w:rsid w:val="2605748B"/>
    <w:rsid w:val="26396D26"/>
    <w:rsid w:val="264544A6"/>
    <w:rsid w:val="267702FB"/>
    <w:rsid w:val="269E416A"/>
    <w:rsid w:val="26C11C6B"/>
    <w:rsid w:val="272100D3"/>
    <w:rsid w:val="272C72FC"/>
    <w:rsid w:val="275067C9"/>
    <w:rsid w:val="275131CB"/>
    <w:rsid w:val="278F6521"/>
    <w:rsid w:val="27EB149D"/>
    <w:rsid w:val="27FD3E52"/>
    <w:rsid w:val="28E11370"/>
    <w:rsid w:val="29435B3D"/>
    <w:rsid w:val="294A756A"/>
    <w:rsid w:val="29781BF8"/>
    <w:rsid w:val="297939E2"/>
    <w:rsid w:val="29C33ED0"/>
    <w:rsid w:val="29D5322D"/>
    <w:rsid w:val="29DC2838"/>
    <w:rsid w:val="2A025DD9"/>
    <w:rsid w:val="2A221C5B"/>
    <w:rsid w:val="2A2619CB"/>
    <w:rsid w:val="2A7317D3"/>
    <w:rsid w:val="2A7C2231"/>
    <w:rsid w:val="2A920E4F"/>
    <w:rsid w:val="2ABB753D"/>
    <w:rsid w:val="2AFE6EC4"/>
    <w:rsid w:val="2B345DDC"/>
    <w:rsid w:val="2B7A49FA"/>
    <w:rsid w:val="2C615D26"/>
    <w:rsid w:val="2CB679ED"/>
    <w:rsid w:val="2CE83C37"/>
    <w:rsid w:val="2CEB2FFC"/>
    <w:rsid w:val="2D173C07"/>
    <w:rsid w:val="2D424A86"/>
    <w:rsid w:val="2DDA66B7"/>
    <w:rsid w:val="2E6F2D11"/>
    <w:rsid w:val="2E7B52DB"/>
    <w:rsid w:val="2ED60115"/>
    <w:rsid w:val="2F324CFE"/>
    <w:rsid w:val="2FBA09F1"/>
    <w:rsid w:val="2FEF2ACF"/>
    <w:rsid w:val="2FF93D20"/>
    <w:rsid w:val="30540211"/>
    <w:rsid w:val="30E45100"/>
    <w:rsid w:val="30EA2296"/>
    <w:rsid w:val="31112A0D"/>
    <w:rsid w:val="3118711F"/>
    <w:rsid w:val="311F4B20"/>
    <w:rsid w:val="312D7741"/>
    <w:rsid w:val="316F137F"/>
    <w:rsid w:val="31815AF3"/>
    <w:rsid w:val="31997638"/>
    <w:rsid w:val="31A914F8"/>
    <w:rsid w:val="31DF525F"/>
    <w:rsid w:val="31EC162B"/>
    <w:rsid w:val="3209722F"/>
    <w:rsid w:val="32324C2E"/>
    <w:rsid w:val="327171DF"/>
    <w:rsid w:val="333823B8"/>
    <w:rsid w:val="3391569E"/>
    <w:rsid w:val="341E3434"/>
    <w:rsid w:val="34BB4442"/>
    <w:rsid w:val="34BC716F"/>
    <w:rsid w:val="3584136B"/>
    <w:rsid w:val="35D07049"/>
    <w:rsid w:val="35FF5AA4"/>
    <w:rsid w:val="360B7EBA"/>
    <w:rsid w:val="36416867"/>
    <w:rsid w:val="367D5DD4"/>
    <w:rsid w:val="369C32FD"/>
    <w:rsid w:val="372E075C"/>
    <w:rsid w:val="37666E72"/>
    <w:rsid w:val="38081EA3"/>
    <w:rsid w:val="38167A04"/>
    <w:rsid w:val="381C3783"/>
    <w:rsid w:val="394B167A"/>
    <w:rsid w:val="39AD34EA"/>
    <w:rsid w:val="39DA2868"/>
    <w:rsid w:val="39DF6BF2"/>
    <w:rsid w:val="3A055F4B"/>
    <w:rsid w:val="3A2F56EE"/>
    <w:rsid w:val="3A4E4336"/>
    <w:rsid w:val="3A6007FE"/>
    <w:rsid w:val="3A802587"/>
    <w:rsid w:val="3A852164"/>
    <w:rsid w:val="3AF93D6C"/>
    <w:rsid w:val="3AFD06C8"/>
    <w:rsid w:val="3B477B26"/>
    <w:rsid w:val="3B7C2CE4"/>
    <w:rsid w:val="3BAF716B"/>
    <w:rsid w:val="3C0B5355"/>
    <w:rsid w:val="3CD4176B"/>
    <w:rsid w:val="3D1F44D9"/>
    <w:rsid w:val="3D5C38CD"/>
    <w:rsid w:val="3E5070F1"/>
    <w:rsid w:val="3E7569E0"/>
    <w:rsid w:val="3EC370CB"/>
    <w:rsid w:val="3F226166"/>
    <w:rsid w:val="3F6C3589"/>
    <w:rsid w:val="3F72153C"/>
    <w:rsid w:val="3F850180"/>
    <w:rsid w:val="3F9004D6"/>
    <w:rsid w:val="3FEE7CFA"/>
    <w:rsid w:val="400E4D5E"/>
    <w:rsid w:val="406E1138"/>
    <w:rsid w:val="40E1138C"/>
    <w:rsid w:val="411424E0"/>
    <w:rsid w:val="413814BA"/>
    <w:rsid w:val="41872511"/>
    <w:rsid w:val="41DF1251"/>
    <w:rsid w:val="424236D9"/>
    <w:rsid w:val="42466655"/>
    <w:rsid w:val="426642AA"/>
    <w:rsid w:val="42C82F57"/>
    <w:rsid w:val="435707E5"/>
    <w:rsid w:val="439927E1"/>
    <w:rsid w:val="43C76AF7"/>
    <w:rsid w:val="43E97E4A"/>
    <w:rsid w:val="440D65DA"/>
    <w:rsid w:val="446828F0"/>
    <w:rsid w:val="45093E85"/>
    <w:rsid w:val="450B3BFA"/>
    <w:rsid w:val="45C13B4D"/>
    <w:rsid w:val="46054BCA"/>
    <w:rsid w:val="464C6AFC"/>
    <w:rsid w:val="468B0091"/>
    <w:rsid w:val="46A107C3"/>
    <w:rsid w:val="46B15CE2"/>
    <w:rsid w:val="46BE113D"/>
    <w:rsid w:val="46E44B13"/>
    <w:rsid w:val="46F9370F"/>
    <w:rsid w:val="4703508A"/>
    <w:rsid w:val="475023F8"/>
    <w:rsid w:val="479A1E7B"/>
    <w:rsid w:val="479D361E"/>
    <w:rsid w:val="47A04ACD"/>
    <w:rsid w:val="47B74789"/>
    <w:rsid w:val="48032A55"/>
    <w:rsid w:val="480F2B9D"/>
    <w:rsid w:val="48102176"/>
    <w:rsid w:val="48282920"/>
    <w:rsid w:val="483E1347"/>
    <w:rsid w:val="485321E0"/>
    <w:rsid w:val="48546AD3"/>
    <w:rsid w:val="48CA4868"/>
    <w:rsid w:val="48F005D3"/>
    <w:rsid w:val="492A5C87"/>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493511"/>
    <w:rsid w:val="4D916BA6"/>
    <w:rsid w:val="4DC44169"/>
    <w:rsid w:val="4DE24E21"/>
    <w:rsid w:val="4E1B19A3"/>
    <w:rsid w:val="4E48787F"/>
    <w:rsid w:val="4EF0709E"/>
    <w:rsid w:val="4F0469A4"/>
    <w:rsid w:val="500E56F4"/>
    <w:rsid w:val="50540C73"/>
    <w:rsid w:val="505428F9"/>
    <w:rsid w:val="50752AF8"/>
    <w:rsid w:val="50DE1138"/>
    <w:rsid w:val="513C6A7B"/>
    <w:rsid w:val="517300C9"/>
    <w:rsid w:val="520D7203"/>
    <w:rsid w:val="52EC6EC2"/>
    <w:rsid w:val="532D486F"/>
    <w:rsid w:val="5333545B"/>
    <w:rsid w:val="53486355"/>
    <w:rsid w:val="538D0E89"/>
    <w:rsid w:val="5441339D"/>
    <w:rsid w:val="5450213C"/>
    <w:rsid w:val="546711F3"/>
    <w:rsid w:val="546C3825"/>
    <w:rsid w:val="54D24048"/>
    <w:rsid w:val="54D64CD5"/>
    <w:rsid w:val="5532287C"/>
    <w:rsid w:val="55887D69"/>
    <w:rsid w:val="55EE5D11"/>
    <w:rsid w:val="561A0928"/>
    <w:rsid w:val="562541AA"/>
    <w:rsid w:val="56423872"/>
    <w:rsid w:val="569E06BC"/>
    <w:rsid w:val="56B279F0"/>
    <w:rsid w:val="56F20F86"/>
    <w:rsid w:val="578C371E"/>
    <w:rsid w:val="579D710E"/>
    <w:rsid w:val="57CB2E18"/>
    <w:rsid w:val="581F22F6"/>
    <w:rsid w:val="585B1260"/>
    <w:rsid w:val="586E1E17"/>
    <w:rsid w:val="58752368"/>
    <w:rsid w:val="58862C35"/>
    <w:rsid w:val="58C14957"/>
    <w:rsid w:val="58CC23D2"/>
    <w:rsid w:val="58E66050"/>
    <w:rsid w:val="59465175"/>
    <w:rsid w:val="596B36B6"/>
    <w:rsid w:val="59E63F07"/>
    <w:rsid w:val="59FC7994"/>
    <w:rsid w:val="5ACB2820"/>
    <w:rsid w:val="5AE83A50"/>
    <w:rsid w:val="5B353193"/>
    <w:rsid w:val="5B647768"/>
    <w:rsid w:val="5B8079DB"/>
    <w:rsid w:val="5BAB2917"/>
    <w:rsid w:val="5BFC33FA"/>
    <w:rsid w:val="5C3107A4"/>
    <w:rsid w:val="5C3B1B93"/>
    <w:rsid w:val="5C9220DF"/>
    <w:rsid w:val="5D4A15F3"/>
    <w:rsid w:val="5D69542A"/>
    <w:rsid w:val="5D783B72"/>
    <w:rsid w:val="5DD62B9F"/>
    <w:rsid w:val="5E0930EF"/>
    <w:rsid w:val="5E3D4D53"/>
    <w:rsid w:val="5E4717E6"/>
    <w:rsid w:val="5E55774C"/>
    <w:rsid w:val="5E8A70FF"/>
    <w:rsid w:val="5F6D434A"/>
    <w:rsid w:val="60045F96"/>
    <w:rsid w:val="60104DDC"/>
    <w:rsid w:val="605C0804"/>
    <w:rsid w:val="60913E6F"/>
    <w:rsid w:val="61733C3E"/>
    <w:rsid w:val="6189617B"/>
    <w:rsid w:val="61B52BB6"/>
    <w:rsid w:val="61B749C2"/>
    <w:rsid w:val="62280D20"/>
    <w:rsid w:val="627F7B0B"/>
    <w:rsid w:val="62B4786E"/>
    <w:rsid w:val="62CA2457"/>
    <w:rsid w:val="63323F97"/>
    <w:rsid w:val="63351B4C"/>
    <w:rsid w:val="638240A1"/>
    <w:rsid w:val="63833423"/>
    <w:rsid w:val="63A5257B"/>
    <w:rsid w:val="63BD3DCC"/>
    <w:rsid w:val="63C61741"/>
    <w:rsid w:val="64560967"/>
    <w:rsid w:val="64623356"/>
    <w:rsid w:val="6534357D"/>
    <w:rsid w:val="656B1D10"/>
    <w:rsid w:val="65B841F9"/>
    <w:rsid w:val="65FE3864"/>
    <w:rsid w:val="66022B28"/>
    <w:rsid w:val="664A38E2"/>
    <w:rsid w:val="66581E87"/>
    <w:rsid w:val="66766EBB"/>
    <w:rsid w:val="66C331D1"/>
    <w:rsid w:val="66C574CA"/>
    <w:rsid w:val="66FA11D5"/>
    <w:rsid w:val="674302C7"/>
    <w:rsid w:val="67496E46"/>
    <w:rsid w:val="67CB09D8"/>
    <w:rsid w:val="67EE3B0F"/>
    <w:rsid w:val="680A5986"/>
    <w:rsid w:val="680D5F4B"/>
    <w:rsid w:val="68113F51"/>
    <w:rsid w:val="681B40C2"/>
    <w:rsid w:val="68B272C7"/>
    <w:rsid w:val="68E94770"/>
    <w:rsid w:val="68EC1CEF"/>
    <w:rsid w:val="68F949C9"/>
    <w:rsid w:val="693177CD"/>
    <w:rsid w:val="695A4290"/>
    <w:rsid w:val="696F3649"/>
    <w:rsid w:val="6A267606"/>
    <w:rsid w:val="6A334932"/>
    <w:rsid w:val="6A3353FF"/>
    <w:rsid w:val="6A5D63E6"/>
    <w:rsid w:val="6A5F24D1"/>
    <w:rsid w:val="6ACA70C4"/>
    <w:rsid w:val="6AE347EB"/>
    <w:rsid w:val="6AEF46C6"/>
    <w:rsid w:val="6B330365"/>
    <w:rsid w:val="6B434AF0"/>
    <w:rsid w:val="6B57675A"/>
    <w:rsid w:val="6B87098A"/>
    <w:rsid w:val="6BDD7B4D"/>
    <w:rsid w:val="6D68133A"/>
    <w:rsid w:val="6EBC0B3A"/>
    <w:rsid w:val="6EF51C7D"/>
    <w:rsid w:val="6F8363E5"/>
    <w:rsid w:val="6F841DCF"/>
    <w:rsid w:val="6FA80CCD"/>
    <w:rsid w:val="6FAC3CC5"/>
    <w:rsid w:val="6FC746F5"/>
    <w:rsid w:val="6FE33EF5"/>
    <w:rsid w:val="70317AC6"/>
    <w:rsid w:val="704B26F7"/>
    <w:rsid w:val="70697B21"/>
    <w:rsid w:val="70863262"/>
    <w:rsid w:val="70A76ED3"/>
    <w:rsid w:val="71860B17"/>
    <w:rsid w:val="719A5571"/>
    <w:rsid w:val="723B27CC"/>
    <w:rsid w:val="72687227"/>
    <w:rsid w:val="72A03FD9"/>
    <w:rsid w:val="73406CFF"/>
    <w:rsid w:val="7383028C"/>
    <w:rsid w:val="73A25E44"/>
    <w:rsid w:val="741F68CF"/>
    <w:rsid w:val="74BF5696"/>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C0C3F6D"/>
    <w:rsid w:val="7C22163C"/>
    <w:rsid w:val="7C457B4B"/>
    <w:rsid w:val="7C595075"/>
    <w:rsid w:val="7C6B07B2"/>
    <w:rsid w:val="7D133243"/>
    <w:rsid w:val="7D9239C3"/>
    <w:rsid w:val="7D945420"/>
    <w:rsid w:val="7D997857"/>
    <w:rsid w:val="7DD07A4B"/>
    <w:rsid w:val="7E394207"/>
    <w:rsid w:val="7E4007A2"/>
    <w:rsid w:val="7E791CAD"/>
    <w:rsid w:val="7EA50DFB"/>
    <w:rsid w:val="7EC86878"/>
    <w:rsid w:val="7F16390D"/>
    <w:rsid w:val="7F752917"/>
    <w:rsid w:val="7FD10FC1"/>
    <w:rsid w:val="7FD251DE"/>
    <w:rsid w:val="7FE37961"/>
    <w:rsid w:val="7FF11076"/>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2"/>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37"/>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jc w:val="left"/>
    </w:pPr>
    <w:rPr>
      <w:sz w:val="18"/>
      <w:szCs w:val="18"/>
    </w:rPr>
  </w:style>
  <w:style w:type="paragraph" w:styleId="19">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3">
    <w:name w:val="Body Text First Indent"/>
    <w:unhideWhenUsed/>
    <w:qFormat/>
    <w:uiPriority w:val="99"/>
    <w:pPr>
      <w:widowControl w:val="0"/>
      <w:spacing w:after="120"/>
      <w:ind w:firstLine="420" w:firstLineChars="100"/>
      <w:jc w:val="both"/>
    </w:pPr>
    <w:rPr>
      <w:rFonts w:asciiTheme="minorHAnsi" w:hAnsiTheme="minorHAnsi" w:eastAsiaTheme="minorEastAsia" w:cstheme="minorBidi"/>
      <w:kern w:val="2"/>
      <w:sz w:val="21"/>
      <w:szCs w:val="22"/>
      <w:lang w:val="en-US" w:eastAsia="zh-CN" w:bidi="ar-SA"/>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customStyle="1" w:styleId="30">
    <w:name w:val="标题 1 Char"/>
    <w:basedOn w:val="26"/>
    <w:link w:val="4"/>
    <w:qFormat/>
    <w:uiPriority w:val="9"/>
    <w:rPr>
      <w:rFonts w:eastAsia="方正小标宋简体"/>
      <w:bCs/>
      <w:kern w:val="44"/>
      <w:sz w:val="44"/>
      <w:szCs w:val="44"/>
    </w:rPr>
  </w:style>
  <w:style w:type="character" w:customStyle="1" w:styleId="31">
    <w:name w:val="标题 2 Char"/>
    <w:basedOn w:val="26"/>
    <w:link w:val="5"/>
    <w:qFormat/>
    <w:uiPriority w:val="9"/>
    <w:rPr>
      <w:rFonts w:eastAsia="方正小标宋简体" w:asciiTheme="majorHAnsi" w:hAnsiTheme="majorHAnsi" w:cstheme="majorBidi"/>
      <w:bCs/>
      <w:sz w:val="36"/>
      <w:szCs w:val="32"/>
    </w:rPr>
  </w:style>
  <w:style w:type="character" w:customStyle="1" w:styleId="32">
    <w:name w:val="页眉 Char"/>
    <w:basedOn w:val="26"/>
    <w:link w:val="19"/>
    <w:semiHidden/>
    <w:qFormat/>
    <w:uiPriority w:val="99"/>
    <w:rPr>
      <w:sz w:val="18"/>
      <w:szCs w:val="18"/>
    </w:rPr>
  </w:style>
  <w:style w:type="character" w:customStyle="1" w:styleId="33">
    <w:name w:val="页脚 Char"/>
    <w:basedOn w:val="26"/>
    <w:link w:val="18"/>
    <w:qFormat/>
    <w:uiPriority w:val="99"/>
    <w:rPr>
      <w:sz w:val="18"/>
      <w:szCs w:val="18"/>
    </w:rPr>
  </w:style>
  <w:style w:type="character" w:customStyle="1" w:styleId="34">
    <w:name w:val="标题 3 Char"/>
    <w:basedOn w:val="26"/>
    <w:link w:val="6"/>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6"/>
    <w:link w:val="17"/>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4"/>
    <w:next w:val="14"/>
    <w:qFormat/>
    <w:uiPriority w:val="0"/>
    <w:pPr>
      <w:spacing w:after="373"/>
    </w:pPr>
    <w:rPr>
      <w:color w:val="auto"/>
    </w:rPr>
  </w:style>
  <w:style w:type="paragraph" w:customStyle="1" w:styleId="40">
    <w:name w:val="CM91"/>
    <w:basedOn w:val="14"/>
    <w:next w:val="14"/>
    <w:qFormat/>
    <w:uiPriority w:val="0"/>
    <w:pPr>
      <w:spacing w:after="160"/>
    </w:pPr>
    <w:rPr>
      <w:color w:val="auto"/>
    </w:rPr>
  </w:style>
  <w:style w:type="character" w:customStyle="1" w:styleId="41">
    <w:name w:val="正文文本 3 Char"/>
    <w:link w:val="9"/>
    <w:qFormat/>
    <w:uiPriority w:val="99"/>
    <w:rPr>
      <w:sz w:val="16"/>
      <w:szCs w:val="16"/>
    </w:rPr>
  </w:style>
  <w:style w:type="character" w:customStyle="1" w:styleId="42">
    <w:name w:val="正文文本 3 Char1"/>
    <w:basedOn w:val="26"/>
    <w:link w:val="9"/>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3"/>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1"/>
    <w:basedOn w:val="26"/>
    <w:qFormat/>
    <w:uiPriority w:val="0"/>
    <w:rPr>
      <w:rFonts w:hint="default" w:ascii="Times New Roman" w:hAnsi="Times New Roman" w:cs="Times New Roman"/>
      <w:color w:val="000000"/>
      <w:sz w:val="22"/>
      <w:szCs w:val="22"/>
      <w:u w:val="none"/>
    </w:rPr>
  </w:style>
  <w:style w:type="character" w:customStyle="1" w:styleId="51">
    <w:name w:val="font71"/>
    <w:basedOn w:val="26"/>
    <w:qFormat/>
    <w:uiPriority w:val="0"/>
    <w:rPr>
      <w:rFonts w:hint="eastAsia" w:ascii="宋体" w:hAnsi="宋体" w:eastAsia="宋体" w:cs="宋体"/>
      <w:color w:val="000000"/>
      <w:sz w:val="22"/>
      <w:szCs w:val="22"/>
      <w:u w:val="none"/>
    </w:rPr>
  </w:style>
  <w:style w:type="character" w:customStyle="1" w:styleId="52">
    <w:name w:val="font51"/>
    <w:basedOn w:val="26"/>
    <w:qFormat/>
    <w:uiPriority w:val="0"/>
    <w:rPr>
      <w:rFonts w:hint="eastAsia" w:ascii="宋体" w:hAnsi="宋体" w:eastAsia="宋体" w:cs="宋体"/>
      <w:b/>
      <w:bCs/>
      <w:color w:val="000000"/>
      <w:sz w:val="22"/>
      <w:szCs w:val="22"/>
      <w:u w:val="none"/>
    </w:rPr>
  </w:style>
  <w:style w:type="character" w:customStyle="1" w:styleId="53">
    <w:name w:val="font61"/>
    <w:basedOn w:val="26"/>
    <w:qFormat/>
    <w:uiPriority w:val="0"/>
    <w:rPr>
      <w:rFonts w:hint="eastAsia" w:ascii="宋体" w:hAnsi="宋体" w:eastAsia="宋体" w:cs="宋体"/>
      <w:color w:val="000000"/>
      <w:sz w:val="22"/>
      <w:szCs w:val="22"/>
      <w:u w:val="none"/>
    </w:rPr>
  </w:style>
  <w:style w:type="character" w:customStyle="1" w:styleId="54">
    <w:name w:val="font31"/>
    <w:basedOn w:val="26"/>
    <w:qFormat/>
    <w:uiPriority w:val="0"/>
    <w:rPr>
      <w:rFonts w:hint="default" w:ascii="Times New Roman" w:hAnsi="Times New Roman" w:cs="Times New Roman"/>
      <w:color w:val="000000"/>
      <w:sz w:val="22"/>
      <w:szCs w:val="22"/>
      <w:u w:val="none"/>
    </w:rPr>
  </w:style>
  <w:style w:type="character" w:customStyle="1" w:styleId="55">
    <w:name w:val="font41"/>
    <w:basedOn w:val="26"/>
    <w:qFormat/>
    <w:uiPriority w:val="0"/>
    <w:rPr>
      <w:rFonts w:hint="eastAsia" w:ascii="宋体" w:hAnsi="宋体" w:eastAsia="宋体" w:cs="宋体"/>
      <w:b/>
      <w:bCs/>
      <w:color w:val="000000"/>
      <w:sz w:val="22"/>
      <w:szCs w:val="22"/>
      <w:u w:val="none"/>
    </w:rPr>
  </w:style>
  <w:style w:type="paragraph" w:customStyle="1" w:styleId="56">
    <w:name w:val="无标题条"/>
    <w:next w:val="57"/>
    <w:qFormat/>
    <w:uiPriority w:val="0"/>
    <w:pPr>
      <w:jc w:val="both"/>
    </w:pPr>
    <w:rPr>
      <w:rFonts w:ascii="Times New Roman" w:hAnsi="Times New Roman" w:eastAsia="宋体" w:cs="Times New Roman"/>
      <w:sz w:val="21"/>
      <w:lang w:val="en-US" w:eastAsia="zh-CN" w:bidi="ar-SA"/>
    </w:rPr>
  </w:style>
  <w:style w:type="paragraph" w:customStyle="1" w:styleId="57">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58">
    <w:name w:val="二级条标题"/>
    <w:basedOn w:val="1"/>
    <w:next w:val="1"/>
    <w:qFormat/>
    <w:uiPriority w:val="0"/>
    <w:pPr>
      <w:spacing w:after="0" w:line="240" w:lineRule="auto"/>
      <w:jc w:val="both"/>
      <w:outlineLvl w:val="3"/>
    </w:pPr>
    <w:rPr>
      <w:rFonts w:ascii="黑体" w:hAnsi="等线" w:eastAsia="黑体" w:cs="Times New Roman"/>
      <w:b/>
      <w:color w:val="auto"/>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23520</Words>
  <Characters>25175</Characters>
  <Lines>300</Lines>
  <Paragraphs>84</Paragraphs>
  <TotalTime>5</TotalTime>
  <ScaleCrop>false</ScaleCrop>
  <LinksUpToDate>false</LinksUpToDate>
  <CharactersWithSpaces>27399</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2023-05-12T03:36:00Z</cp:lastPrinted>
  <dcterms:modified xsi:type="dcterms:W3CDTF">2023-05-23T08:15:37Z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81B7576F8D284A2C8A6742F2800AC8B7_13</vt:lpwstr>
  </property>
</Properties>
</file>