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6" w:name="_GoBack"/>
      <w:bookmarkEnd w:id="136"/>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广州市净水有限公司新滘南路8号泵站洪涝安全评估项目</w:t>
      </w:r>
    </w:p>
    <w:p>
      <w:pPr>
        <w:pStyle w:val="2"/>
        <w:rPr>
          <w:rFonts w:hint="eastAsia"/>
          <w:lang w:val="en-US" w:eastAsia="zh-CN"/>
        </w:rPr>
      </w:pPr>
    </w:p>
    <w:p>
      <w:pPr>
        <w:jc w:val="center"/>
        <w:rPr>
          <w:rFonts w:ascii="仿宋_GB2312" w:eastAsia="仿宋_GB2312"/>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jc w:val="both"/>
        <w:rPr>
          <w:rFonts w:hint="eastAsia"/>
          <w:color w:val="auto"/>
          <w:highlight w:val="none"/>
        </w:rPr>
      </w:pPr>
      <w:bookmarkStart w:id="4" w:name="_Toc7519"/>
      <w:bookmarkStart w:id="5" w:name="_Toc11322"/>
      <w:bookmarkStart w:id="6" w:name="_Toc17801"/>
      <w:bookmarkStart w:id="7" w:name="_Toc31938"/>
      <w:bookmarkStart w:id="8" w:name="_Toc19609"/>
      <w:bookmarkStart w:id="9" w:name="_Toc1669"/>
      <w:bookmarkStart w:id="10" w:name="_Toc4275"/>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459740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5pt;margin-top:36.2pt;height:0pt;width:75.5pt;z-index:251671552;mso-width-relative:page;mso-height-relative:page;" filled="f" stroked="t" coordsize="21600,21600" o:gfxdata="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bCVv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广州市净水有限公司新滘南路8号泵站洪涝安全评估项目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广州市净水有限公司新滘南路8号泵站洪涝安全评估项目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XJ-20230510-1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10.8万元</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ind w:firstLine="560" w:firstLineChars="200"/>
        <w:rPr>
          <w:rFonts w:hint="eastAsia" w:ascii="宋体" w:hAnsi="宋体" w:cs="宋体"/>
          <w:sz w:val="24"/>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w:t>
      </w:r>
      <w:r>
        <w:rPr>
          <w:rFonts w:hint="eastAsia" w:ascii="仿宋" w:hAnsi="仿宋" w:eastAsia="仿宋"/>
          <w:color w:val="auto"/>
          <w:sz w:val="28"/>
          <w:szCs w:val="28"/>
          <w:highlight w:val="none"/>
          <w:u w:val="single"/>
        </w:rPr>
        <w:t>根据《广州市河道管理范围内建设项目管理的有关规定》、《广州市城市开发建设项目海绵城市建设</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洪涝安全评估技术指引（试行）》、《广州市海绵城市专项规划（</w:t>
      </w:r>
      <w:r>
        <w:rPr>
          <w:rFonts w:ascii="仿宋" w:hAnsi="仿宋" w:eastAsia="仿宋"/>
          <w:color w:val="auto"/>
          <w:sz w:val="28"/>
          <w:szCs w:val="28"/>
          <w:highlight w:val="none"/>
          <w:u w:val="single"/>
        </w:rPr>
        <w:t>2016-2030</w:t>
      </w:r>
      <w:r>
        <w:rPr>
          <w:rFonts w:hint="eastAsia" w:ascii="仿宋" w:hAnsi="仿宋" w:eastAsia="仿宋"/>
          <w:color w:val="auto"/>
          <w:sz w:val="28"/>
          <w:szCs w:val="28"/>
          <w:highlight w:val="none"/>
          <w:u w:val="single"/>
        </w:rPr>
        <w:t>年）》等有关要求的评估要点及方法，开展</w:t>
      </w:r>
      <w:r>
        <w:rPr>
          <w:rFonts w:hint="eastAsia" w:ascii="仿宋" w:hAnsi="仿宋" w:eastAsia="仿宋"/>
          <w:color w:val="auto"/>
          <w:sz w:val="28"/>
          <w:szCs w:val="28"/>
          <w:highlight w:val="none"/>
          <w:u w:val="single"/>
          <w:lang w:val="en-US" w:eastAsia="zh-CN"/>
        </w:rPr>
        <w:t>洪涝安全评估，包括但不限于</w:t>
      </w:r>
      <w:r>
        <w:rPr>
          <w:rFonts w:hint="eastAsia" w:ascii="仿宋" w:hAnsi="仿宋" w:eastAsia="仿宋"/>
          <w:color w:val="auto"/>
          <w:sz w:val="28"/>
          <w:szCs w:val="28"/>
          <w:highlight w:val="none"/>
          <w:u w:val="single"/>
        </w:rPr>
        <w:t>：从地形、下垫面、水系、水利设施、排水系统等多方面进行综合评估，明确评估范围存在的风险；结合用地规划方案，提出流域和片区的排水防涝策略和结论建议，提高区域水安全</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配合新滘南路8号泵站地块控制性详细规划局部调整工作</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pPr>
        <w:adjustRightInd w:val="0"/>
        <w:spacing w:line="360" w:lineRule="auto"/>
        <w:ind w:firstLine="420" w:firstLineChars="200"/>
        <w:jc w:val="left"/>
        <w:textAlignment w:val="baseline"/>
        <w:outlineLvl w:val="0"/>
        <w:rPr>
          <w:color w:val="000000" w:themeColor="text1"/>
          <w:highlight w:val="none"/>
          <w14:textFill>
            <w14:solidFill>
              <w14:schemeClr w14:val="tx1"/>
            </w14:solidFill>
          </w14:textFill>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合同签订之日起至合同约定履行完成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w:t>
      </w:r>
      <w:r>
        <w:rPr>
          <w:rFonts w:hint="eastAsia" w:ascii="仿宋" w:hAnsi="仿宋" w:eastAsia="仿宋" w:cs="仿宋"/>
          <w:color w:val="auto"/>
          <w:sz w:val="28"/>
          <w:szCs w:val="28"/>
          <w:highlight w:val="none"/>
          <w:u w:val="single"/>
        </w:rPr>
        <w:t xml:space="preserve">                     </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2.4质量要求：□施工质量要求   □货物质量标准或主要技术性能指标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lang w:val="en-US" w:eastAsia="zh-CN"/>
        </w:rPr>
        <w:t>洪涝安全评估成果作为新滘南路8号泵站地块控制性详细规划局部调整报告的相关内容，配合新滘南路8号泵站地块控制性详细规划局部调整报告上报市规划和自然资源局专题业务会，并取得通过的会议纪要。</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最少完成一项合同金额不少于7万元的洪涝安全评价</w:t>
      </w:r>
      <w:r>
        <w:rPr>
          <w:rFonts w:hint="eastAsia" w:ascii="仿宋" w:hAnsi="仿宋" w:eastAsia="仿宋" w:cs="仿宋"/>
          <w:color w:val="auto"/>
          <w:sz w:val="28"/>
          <w:szCs w:val="28"/>
          <w:highlight w:val="none"/>
        </w:rPr>
        <w:t>业绩。（提供合同复印件证明，包括但不限于项目名称、金额及实施内容、合同盖章、签订日期，</w:t>
      </w:r>
      <w:r>
        <w:rPr>
          <w:rFonts w:hint="eastAsia" w:ascii="仿宋" w:hAnsi="仿宋" w:eastAsia="仿宋" w:cs="仿宋"/>
          <w:color w:val="auto"/>
          <w:sz w:val="28"/>
          <w:szCs w:val="28"/>
          <w:highlight w:val="none"/>
          <w:lang w:val="en-US" w:eastAsia="zh-CN"/>
        </w:rPr>
        <w:t>以及对应的成果（报告封面、专家评审意见或相关批复）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加盖单位公章）</w:t>
      </w:r>
    </w:p>
    <w:p>
      <w:pPr>
        <w:adjustRightInd w:val="0"/>
        <w:snapToGrid w:val="0"/>
        <w:spacing w:line="600" w:lineRule="exac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w:t>
      </w:r>
      <w:r>
        <w:rPr>
          <w:rFonts w:hint="eastAsia" w:ascii="仿宋" w:hAnsi="仿宋" w:eastAsia="仿宋" w:cs="仿宋"/>
          <w:color w:val="auto"/>
          <w:sz w:val="28"/>
          <w:szCs w:val="28"/>
          <w:highlight w:val="none"/>
          <w:lang w:val="en-US" w:eastAsia="zh-CN"/>
        </w:rPr>
        <w:t>具备</w:t>
      </w:r>
      <w:r>
        <w:rPr>
          <w:rFonts w:hint="eastAsia" w:ascii="仿宋" w:hAnsi="仿宋" w:eastAsia="仿宋" w:cs="仿宋"/>
          <w:color w:val="auto"/>
          <w:sz w:val="28"/>
          <w:szCs w:val="28"/>
          <w:highlight w:val="none"/>
          <w:u w:val="none"/>
          <w:lang w:val="en-US" w:eastAsia="zh-CN"/>
        </w:rPr>
        <w:t>给排水专业高级工程师</w:t>
      </w:r>
      <w:r>
        <w:rPr>
          <w:rFonts w:hint="eastAsia" w:ascii="仿宋" w:hAnsi="仿宋" w:eastAsia="仿宋" w:cs="仿宋"/>
          <w:color w:val="auto"/>
          <w:sz w:val="28"/>
          <w:szCs w:val="28"/>
          <w:highlight w:val="none"/>
          <w:u w:val="none"/>
          <w:lang w:val="en-US" w:eastAsia="zh-CN"/>
        </w:rPr>
        <w:t>职称</w:t>
      </w:r>
      <w:r>
        <w:rPr>
          <w:rFonts w:hint="eastAsia" w:ascii="仿宋" w:hAnsi="仿宋" w:eastAsia="仿宋" w:cs="仿宋"/>
          <w:color w:val="auto"/>
          <w:sz w:val="28"/>
          <w:szCs w:val="28"/>
          <w:highlight w:val="none"/>
          <w:u w:val="none"/>
        </w:rPr>
        <w:t>，并提供在本单位近三个月社保记录</w:t>
      </w:r>
      <w:r>
        <w:rPr>
          <w:rFonts w:hint="eastAsia" w:ascii="仿宋" w:hAnsi="仿宋" w:eastAsia="仿宋" w:cs="仿宋"/>
          <w:color w:val="auto"/>
          <w:sz w:val="28"/>
          <w:szCs w:val="28"/>
          <w:highlight w:val="none"/>
          <w:u w:val="none"/>
          <w:lang w:eastAsia="zh-CN"/>
        </w:rPr>
        <w:t>（以加盖社会保险基金管理中心印章的《缴费历史明细表》或《社会保险参保人员证明》为准，</w:t>
      </w:r>
      <w:r>
        <w:rPr>
          <w:rFonts w:hint="eastAsia" w:ascii="仿宋" w:hAnsi="仿宋" w:eastAsia="仿宋" w:cs="仿宋"/>
          <w:color w:val="auto"/>
          <w:sz w:val="28"/>
          <w:szCs w:val="28"/>
          <w:highlight w:val="none"/>
          <w:u w:val="none"/>
          <w:lang w:val="en-US" w:eastAsia="zh-CN"/>
        </w:rPr>
        <w:t>加盖单位公章</w:t>
      </w:r>
      <w:r>
        <w:rPr>
          <w:rFonts w:hint="eastAsia" w:ascii="仿宋" w:hAnsi="仿宋" w:eastAsia="仿宋" w:cs="仿宋"/>
          <w:color w:val="auto"/>
          <w:sz w:val="28"/>
          <w:szCs w:val="28"/>
          <w:highlight w:val="none"/>
          <w:u w:val="none"/>
        </w:rPr>
        <w:t>。</w:t>
      </w:r>
    </w:p>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r>
        <w:rPr>
          <w:rFonts w:hint="eastAsia" w:ascii="仿宋" w:hAnsi="仿宋" w:eastAsia="仿宋" w:cs="仿宋"/>
          <w:color w:val="auto"/>
          <w:sz w:val="28"/>
          <w:szCs w:val="28"/>
          <w:highlight w:val="none"/>
          <w:lang w:val="en-US" w:eastAsia="zh-CN"/>
        </w:rPr>
        <w:t>无。</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须出具不得存在情形承诺函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）其他禁止情形：</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11 </w:t>
      </w:r>
      <w:r>
        <w:rPr>
          <w:rFonts w:hint="eastAsia" w:ascii="仿宋" w:hAnsi="仿宋" w:eastAsia="仿宋" w:cs="仿宋"/>
          <w:color w:val="auto"/>
          <w:sz w:val="28"/>
          <w:szCs w:val="28"/>
          <w:highlight w:val="none"/>
          <w:u w:val="none"/>
          <w:lang w:val="en-US" w:eastAsia="zh-CN"/>
        </w:rPr>
        <w:t>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360" w:lineRule="auto"/>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组织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供应商可</w:t>
      </w:r>
      <w:r>
        <w:rPr>
          <w:rFonts w:hint="eastAsia" w:ascii="仿宋" w:hAnsi="仿宋" w:eastAsia="仿宋" w:cs="仿宋"/>
          <w:color w:val="auto"/>
          <w:sz w:val="28"/>
          <w:szCs w:val="28"/>
          <w:highlight w:val="none"/>
          <w:lang w:val="zh-CN"/>
        </w:rPr>
        <w:t>自行</w:t>
      </w:r>
      <w:r>
        <w:rPr>
          <w:rFonts w:hint="eastAsia" w:ascii="仿宋" w:hAnsi="仿宋" w:eastAsia="仿宋" w:cs="仿宋"/>
          <w:color w:val="auto"/>
          <w:sz w:val="28"/>
          <w:szCs w:val="28"/>
          <w:highlight w:val="none"/>
          <w:lang w:val="en-US" w:eastAsia="zh-CN"/>
        </w:rPr>
        <w:t>选择是否前往现场踏勘</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若前往现场踏勘须在规定时间内到达集中地点，逾期不再接待</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r>
        <w:rPr>
          <w:rFonts w:hint="eastAsia" w:ascii="仿宋" w:hAnsi="仿宋" w:eastAsia="仿宋" w:cs="仿宋"/>
          <w:b/>
          <w:color w:val="auto"/>
          <w:sz w:val="32"/>
          <w:szCs w:val="32"/>
          <w:highlight w:val="none"/>
          <w:lang w:val="en-US" w:eastAsia="zh-CN"/>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递交响应文件集合时间：</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5</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分（北京时间）。截止时间</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w:t>
      </w:r>
      <w:r>
        <w:rPr>
          <w:rFonts w:hint="eastAsia" w:ascii="仿宋" w:hAnsi="仿宋" w:eastAsia="仿宋" w:cs="仿宋"/>
          <w:sz w:val="28"/>
          <w:szCs w:val="28"/>
          <w:highlight w:val="none"/>
          <w:lang w:eastAsia="zh-CN"/>
        </w:rPr>
        <w:t>。</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w:t>
      </w:r>
      <w:r>
        <w:rPr>
          <w:rFonts w:hint="eastAsia" w:ascii="仿宋" w:hAnsi="仿宋" w:eastAsia="仿宋" w:cs="仿宋"/>
          <w:sz w:val="28"/>
          <w:szCs w:val="28"/>
          <w:highlight w:val="none"/>
        </w:rPr>
        <w:t>递交地址：广州市天河区临江大道501号广州市净水有限公司6楼招标部。</w:t>
      </w:r>
    </w:p>
    <w:p>
      <w:pPr>
        <w:pStyle w:val="2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响应文件递交预约信息填写：</w:t>
      </w:r>
    </w:p>
    <w:p>
      <w:pPr>
        <w:pStyle w:val="2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（1）通过“广州净水公司”微信公众号或来访时扫码进行访客预约登记。</w:t>
      </w:r>
    </w:p>
    <w:p>
      <w:pPr>
        <w:pStyle w:val="2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（2）“组织”选择“公司本部”，“部门”选择“招投标合同管理部”。</w:t>
      </w:r>
    </w:p>
    <w:p>
      <w:pPr>
        <w:pStyle w:val="2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（3）“被访人员”选择“招标部”，“手机号”：“62315524”。</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020-62315524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rFonts w:hint="eastAsia"/>
          <w:color w:val="auto"/>
          <w:highlight w:val="none"/>
        </w:rPr>
      </w:pPr>
      <w:bookmarkStart w:id="13" w:name="_Toc10891"/>
      <w:bookmarkStart w:id="14" w:name="_Toc16557"/>
      <w:bookmarkStart w:id="15" w:name="_Toc32588"/>
      <w:bookmarkStart w:id="16" w:name="_Toc16705"/>
      <w:bookmarkStart w:id="17" w:name="_Toc19295"/>
      <w:bookmarkStart w:id="18" w:name="_Toc23749"/>
      <w:bookmarkStart w:id="19" w:name="_Toc2331"/>
      <w:bookmarkStart w:id="20" w:name="_Toc25603"/>
      <w:bookmarkStart w:id="21" w:name="_Toc7340"/>
      <w:bookmarkStart w:id="22" w:name="_Toc2324"/>
      <w:bookmarkStart w:id="23" w:name="_Toc9448"/>
    </w:p>
    <w:p>
      <w:pPr>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194945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6.15pt;margin-top:15.3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9" w:leftChars="266" w:firstLine="134" w:firstLineChars="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left="559" w:leftChars="266" w:firstLine="134" w:firstLineChars="48"/>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附件5：</w:t>
      </w:r>
      <w:r>
        <w:rPr>
          <w:rFonts w:hint="eastAsia" w:ascii="仿宋_GB2312" w:eastAsia="仿宋_GB2312"/>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pPr>
      <w:r>
        <w:rPr>
          <w:rFonts w:hint="default" w:hAnsi="仿宋" w:asciiTheme="minorHAnsi" w:eastAsiaTheme="minorEastAsia" w:cstheme="minorBidi"/>
          <w:color w:val="auto"/>
          <w:kern w:val="2"/>
          <w:sz w:val="24"/>
          <w:szCs w:val="22"/>
          <w:highlight w:val="none"/>
        </w:rPr>
        <w:t>（</w:t>
      </w:r>
      <w:r>
        <w:rPr>
          <w:rFonts w:hAnsi="仿宋" w:asciiTheme="minorHAnsi" w:eastAsiaTheme="minorEastAsia" w:cstheme="minorBidi"/>
          <w:color w:val="auto"/>
          <w:kern w:val="2"/>
          <w:sz w:val="24"/>
          <w:szCs w:val="22"/>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2348865</wp:posOffset>
                </wp:positionH>
                <wp:positionV relativeFrom="paragraph">
                  <wp:posOffset>185420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95pt;margin-top:14.6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2326005</wp:posOffset>
                </wp:positionH>
                <wp:positionV relativeFrom="paragraph">
                  <wp:posOffset>682625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15pt;margin-top:53.7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jc w:val="both"/>
        <w:rPr>
          <w:rFonts w:hint="eastAsia"/>
          <w:color w:val="auto"/>
          <w:highlight w:val="none"/>
        </w:rPr>
      </w:pPr>
      <w:bookmarkStart w:id="32" w:name="_Toc24895"/>
      <w:bookmarkStart w:id="33" w:name="_Toc3789"/>
    </w:p>
    <w:p>
      <w:pPr>
        <w:pStyle w:val="5"/>
        <w:rPr>
          <w:rFonts w:hint="eastAsia"/>
          <w:color w:val="auto"/>
          <w:highlight w:val="none"/>
        </w:rPr>
      </w:pPr>
    </w:p>
    <w:p>
      <w:pPr>
        <w:pStyle w:val="5"/>
        <w:rPr>
          <w:rFonts w:hint="eastAsia"/>
          <w:color w:val="auto"/>
          <w:highlight w:val="none"/>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3"/>
        <w:rPr>
          <w:rFonts w:hint="eastAsia"/>
          <w:color w:val="auto"/>
          <w:highlight w:val="none"/>
        </w:rPr>
      </w:pPr>
      <w:bookmarkStart w:id="34" w:name="_Toc23581"/>
      <w:bookmarkStart w:id="35" w:name="_Toc14870"/>
      <w:bookmarkStart w:id="36" w:name="_Toc3156"/>
      <w:bookmarkStart w:id="37" w:name="_Toc4952"/>
      <w:bookmarkStart w:id="38" w:name="_Toc7118"/>
      <w:bookmarkStart w:id="39" w:name="_Toc19050"/>
      <w:bookmarkStart w:id="40" w:name="_Toc14552"/>
      <w:bookmarkStart w:id="41" w:name="_Toc7437"/>
      <w:bookmarkStart w:id="42" w:name="_Toc10930"/>
      <w:bookmarkStart w:id="43" w:name="_Toc20594"/>
      <w:bookmarkStart w:id="44" w:name="_Toc19759"/>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2333625</wp:posOffset>
                </wp:positionH>
                <wp:positionV relativeFrom="paragraph">
                  <wp:posOffset>64135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75pt;margin-top:5.05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2353945</wp:posOffset>
                </wp:positionH>
                <wp:positionV relativeFrom="paragraph">
                  <wp:posOffset>537210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5.35pt;margin-top:42.3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21079"/>
      <w:bookmarkStart w:id="46" w:name="_Toc12177"/>
      <w:bookmarkStart w:id="47" w:name="_Toc87616378"/>
      <w:bookmarkStart w:id="48" w:name="_Toc7831"/>
      <w:bookmarkStart w:id="49" w:name="_Toc88209941"/>
      <w:bookmarkStart w:id="50" w:name="_Toc22212"/>
      <w:bookmarkStart w:id="51" w:name="_Toc21840"/>
      <w:bookmarkStart w:id="52" w:name="_Toc29345"/>
      <w:bookmarkStart w:id="53" w:name="_Toc29484"/>
      <w:bookmarkStart w:id="54" w:name="_Toc13898"/>
      <w:bookmarkStart w:id="55" w:name="_Toc30530"/>
      <w:bookmarkStart w:id="56" w:name="_Toc6308"/>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2332355</wp:posOffset>
                </wp:positionH>
                <wp:positionV relativeFrom="paragraph">
                  <wp:posOffset>52705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65pt;margin-top:4.1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2356485</wp:posOffset>
                </wp:positionH>
                <wp:positionV relativeFrom="paragraph">
                  <wp:posOffset>554990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55pt;margin-top:43.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项目地块位于广州市海珠区中部偏东，隶属江海街道石榴岗村社区。地块北至新滘东路，西临石榴岗大街，地块面积约2982平方米，</w:t>
      </w:r>
      <w:r>
        <w:rPr>
          <w:rFonts w:hint="eastAsia" w:ascii="仿宋" w:hAnsi="仿宋" w:eastAsia="仿宋"/>
          <w:sz w:val="28"/>
          <w:szCs w:val="28"/>
          <w:highlight w:val="none"/>
        </w:rPr>
        <w:t>研究范围面积约7.2公顷。</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根据《广州市河道管理范围内建设项目管理的有关规定》、《广州市城市开发建设项目海绵城市建设——洪涝安全评估技术指引（试行）》、《广州市海绵城市专项规划（2016-2030年）》等有关要求的评估要点及方法，开展</w:t>
      </w:r>
      <w:r>
        <w:rPr>
          <w:rFonts w:hint="eastAsia" w:ascii="仿宋" w:hAnsi="仿宋" w:eastAsia="仿宋"/>
          <w:sz w:val="28"/>
          <w:szCs w:val="28"/>
          <w:highlight w:val="none"/>
          <w:lang w:val="en-US" w:eastAsia="zh-CN"/>
        </w:rPr>
        <w:t>洪涝安全评估，包括但不限于</w:t>
      </w:r>
      <w:r>
        <w:rPr>
          <w:rFonts w:hint="eastAsia" w:ascii="仿宋" w:hAnsi="仿宋" w:eastAsia="仿宋"/>
          <w:sz w:val="28"/>
          <w:szCs w:val="28"/>
          <w:highlight w:val="none"/>
        </w:rPr>
        <w:t>：从地形、下垫面、水系、水利设施、排水系统等多方面进行综合评估，明确评估范围存在的风险；结合用地规划方案，提出流域和片区的排水防涝策略和结论建议，提高区域水安全</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配合新滘南路8号泵站地块控制性详细规划局部调整工作</w:t>
      </w:r>
      <w:r>
        <w:rPr>
          <w:rFonts w:hint="eastAsia" w:ascii="仿宋" w:hAnsi="仿宋" w:eastAsia="仿宋"/>
          <w:sz w:val="28"/>
          <w:szCs w:val="28"/>
          <w:highlight w:val="none"/>
        </w:rPr>
        <w:t>。</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hint="default"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rPr>
        <w:t>1.根据《中华人民共和国民法典》、《广州市城市开发建设项目海绵城市建设——洪涝安全评估技术指引（试行）》（穗水规计〔 2021〕 10 号）、以及国家及地方有关法规和技术标准编制</w:t>
      </w:r>
      <w:r>
        <w:rPr>
          <w:rFonts w:hint="eastAsia" w:ascii="仿宋_GB2312" w:hAnsi="仿宋_GB2312" w:eastAsia="仿宋_GB2312" w:cs="仿宋_GB2312"/>
          <w:color w:val="auto"/>
          <w:sz w:val="28"/>
          <w:szCs w:val="28"/>
          <w:highlight w:val="none"/>
          <w:u w:val="none"/>
        </w:rPr>
        <w:t>洪涝安全评估报告。</w:t>
      </w:r>
      <w:r>
        <w:rPr>
          <w:rFonts w:hint="eastAsia" w:ascii="仿宋_GB2312" w:hAnsi="仿宋_GB2312" w:eastAsia="仿宋_GB2312" w:cs="仿宋_GB2312"/>
          <w:color w:val="auto"/>
          <w:sz w:val="28"/>
          <w:szCs w:val="28"/>
          <w:highlight w:val="none"/>
          <w:u w:val="none"/>
          <w:lang w:val="en-US" w:eastAsia="zh-CN"/>
        </w:rPr>
        <w:t>洪涝安全评估成果作为新滘南路8号泵站地块控制性详细规划局部调整报告的相关内容，配合新滘南路8号泵站地块控制性详细规划局部调整报告上报市规划和自然资源局专题业务会，并取得通过的会议纪要。</w:t>
      </w:r>
    </w:p>
    <w:p>
      <w:pPr>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在</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val="zh-CN"/>
        </w:rPr>
        <w:t>过程中，能够积极主动的配合、指导建设单位，解决可能出现的其他问题。</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2.质量要求：</w:t>
      </w:r>
      <w:r>
        <w:rPr>
          <w:rFonts w:hint="eastAsia" w:ascii="仿宋_GB2312" w:hAnsi="仿宋_GB2312" w:eastAsia="仿宋_GB2312" w:cs="仿宋_GB2312"/>
          <w:color w:val="auto"/>
          <w:sz w:val="28"/>
          <w:szCs w:val="28"/>
          <w:highlight w:val="none"/>
          <w:lang w:val="en-US" w:eastAsia="zh-CN"/>
        </w:rPr>
        <w:t>洪涝安全评估成果作为新滘南路8号泵站地块控制性详细规划局部调整报告的相关内容，配合新滘南路8号泵站地块控制性详细规划局部调整报告上报市规划和自然资源局专题业务会，并取得通过的会议纪要。</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pStyle w:val="23"/>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本合同采用总价包干价，包括完成本合同项下的所有工作内容所需要的直接和间接的一切费用，包括但不限于</w:t>
      </w:r>
      <w:r>
        <w:rPr>
          <w:rFonts w:hint="eastAsia" w:ascii="仿宋_GB2312" w:hAnsi="仿宋_GB2312" w:eastAsia="仿宋_GB2312" w:cs="仿宋_GB2312"/>
          <w:color w:val="auto"/>
          <w:sz w:val="28"/>
          <w:szCs w:val="28"/>
          <w:highlight w:val="none"/>
          <w:lang w:val="en-US" w:eastAsia="zh-CN"/>
        </w:rPr>
        <w:t>现场踏勘费、报告编写费、报告装订费等</w:t>
      </w:r>
      <w:r>
        <w:rPr>
          <w:rFonts w:hint="default" w:ascii="仿宋_GB2312" w:hAnsi="仿宋_GB2312" w:eastAsia="仿宋_GB2312" w:cs="仿宋_GB2312"/>
          <w:color w:val="auto"/>
          <w:sz w:val="28"/>
          <w:szCs w:val="28"/>
          <w:highlight w:val="none"/>
          <w:lang w:val="en-US" w:eastAsia="zh-CN"/>
        </w:rPr>
        <w:t>一切相关费用。</w:t>
      </w:r>
    </w:p>
    <w:p>
      <w:pPr>
        <w:pStyle w:val="23"/>
        <w:rPr>
          <w:rFonts w:hint="eastAsia" w:ascii="仿宋_GB2312" w:eastAsia="仿宋_GB2312"/>
          <w:color w:val="auto"/>
          <w:sz w:val="28"/>
          <w:szCs w:val="28"/>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rPr>
          <w:color w:val="auto"/>
          <w:highlight w:val="none"/>
        </w:rPr>
      </w:pPr>
      <w:r>
        <w:rPr>
          <w:color w:val="auto"/>
          <w:highlight w:val="none"/>
        </w:rPr>
        <w:br w:type="page"/>
      </w: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537"/>
      <w:bookmarkStart w:id="62" w:name="_Toc29835"/>
      <w:bookmarkStart w:id="63" w:name="_Toc1496"/>
      <w:bookmarkStart w:id="64" w:name="_Toc23353"/>
      <w:bookmarkStart w:id="65" w:name="_Toc4680"/>
      <w:bookmarkStart w:id="66" w:name="_Toc23330"/>
      <w:bookmarkStart w:id="67" w:name="_Toc12135"/>
      <w:bookmarkStart w:id="68" w:name="_Toc25925"/>
      <w:bookmarkStart w:id="69" w:name="_Toc1284"/>
      <w:bookmarkStart w:id="70" w:name="_Toc18538"/>
      <w:bookmarkStart w:id="71" w:name="_Toc155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22797"/>
      <w:bookmarkStart w:id="73" w:name="_Toc1375"/>
      <w:bookmarkStart w:id="74" w:name="_Toc12980"/>
      <w:bookmarkStart w:id="75" w:name="_Toc22501"/>
      <w:bookmarkStart w:id="76" w:name="_Toc19088"/>
      <w:bookmarkStart w:id="77" w:name="_Toc19686"/>
      <w:bookmarkStart w:id="78" w:name="_Toc12968"/>
      <w:bookmarkStart w:id="79" w:name="_Toc12721"/>
      <w:bookmarkStart w:id="80" w:name="_Toc13309"/>
      <w:bookmarkStart w:id="81" w:name="_Toc88209949"/>
      <w:bookmarkStart w:id="82" w:name="_Toc323"/>
      <w:bookmarkStart w:id="83" w:name="_Toc87616386"/>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spacing w:line="360" w:lineRule="auto"/>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合同文件</w:t>
      </w:r>
    </w:p>
    <w:p>
      <w:pPr>
        <w:spacing w:line="360" w:lineRule="auto"/>
        <w:jc w:val="center"/>
        <w:rPr>
          <w:rFonts w:hint="eastAsia" w:ascii="宋体" w:hAnsi="宋体" w:cs="宋体"/>
          <w:color w:val="000000"/>
          <w:sz w:val="24"/>
          <w:highlight w:val="none"/>
        </w:rPr>
      </w:pPr>
    </w:p>
    <w:p>
      <w:pPr>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甲方（发包人） ：</w:t>
      </w:r>
      <w:r>
        <w:rPr>
          <w:rFonts w:hint="eastAsia" w:ascii="宋体" w:hAnsi="宋体" w:cs="宋体"/>
          <w:color w:val="000000"/>
          <w:sz w:val="24"/>
          <w:highlight w:val="none"/>
          <w:u w:val="single"/>
        </w:rPr>
        <w:t>广州市净水有限公司</w:t>
      </w:r>
    </w:p>
    <w:p>
      <w:pPr>
        <w:ind w:firstLine="480" w:firstLineChars="200"/>
        <w:rPr>
          <w:rFonts w:hint="eastAsia" w:ascii="宋体" w:hAnsi="宋体" w:cs="宋体"/>
          <w:color w:val="000000"/>
          <w:sz w:val="24"/>
          <w:highlight w:val="none"/>
        </w:rPr>
      </w:pPr>
    </w:p>
    <w:p>
      <w:pPr>
        <w:ind w:firstLine="480" w:firstLineChars="200"/>
        <w:rPr>
          <w:rFonts w:hint="default" w:ascii="宋体" w:hAnsi="宋体" w:cs="宋体" w:eastAsiaTheme="minorEastAsia"/>
          <w:color w:val="000000"/>
          <w:sz w:val="24"/>
          <w:highlight w:val="none"/>
          <w:u w:val="single"/>
          <w:lang w:val="en-US" w:eastAsia="zh-CN"/>
        </w:rPr>
      </w:pPr>
      <w:r>
        <w:rPr>
          <w:rFonts w:hint="eastAsia" w:ascii="宋体" w:hAnsi="宋体" w:cs="宋体"/>
          <w:color w:val="000000"/>
          <w:sz w:val="24"/>
          <w:highlight w:val="none"/>
        </w:rPr>
        <w:t>乙方（承包人） ：</w:t>
      </w:r>
      <w:r>
        <w:rPr>
          <w:rFonts w:hint="eastAsia" w:ascii="宋体" w:hAnsi="宋体" w:cs="宋体"/>
          <w:color w:val="000000"/>
          <w:sz w:val="24"/>
          <w:highlight w:val="none"/>
          <w:u w:val="single"/>
          <w:lang w:val="en-US" w:eastAsia="zh-CN"/>
        </w:rPr>
        <w:t xml:space="preserve">                  </w:t>
      </w:r>
    </w:p>
    <w:p>
      <w:pPr>
        <w:ind w:firstLine="480" w:firstLineChars="200"/>
        <w:rPr>
          <w:rFonts w:hint="eastAsia" w:ascii="宋体" w:hAnsi="宋体" w:cs="宋体"/>
          <w:color w:val="000000"/>
          <w:sz w:val="24"/>
          <w:highlight w:val="none"/>
          <w:u w:val="single"/>
        </w:rPr>
      </w:pP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甲方就</w:t>
      </w:r>
      <w:r>
        <w:rPr>
          <w:rFonts w:hint="eastAsia" w:ascii="宋体" w:hAnsi="宋体" w:cs="宋体"/>
          <w:color w:val="000000"/>
          <w:sz w:val="24"/>
          <w:highlight w:val="none"/>
          <w:u w:val="single"/>
          <w:lang w:val="en-US" w:eastAsia="zh-CN"/>
        </w:rPr>
        <w:t>广州市净水有限公司新滘南路8号泵站洪涝安全评估项目</w:t>
      </w:r>
      <w:r>
        <w:rPr>
          <w:rFonts w:hint="eastAsia" w:hAnsi="宋体" w:cs="宋体"/>
          <w:color w:val="000000"/>
          <w:sz w:val="24"/>
          <w:highlight w:val="none"/>
        </w:rPr>
        <w:t>委</w:t>
      </w:r>
      <w:r>
        <w:rPr>
          <w:rFonts w:hint="eastAsia" w:ascii="宋体" w:hAnsi="宋体" w:cs="宋体"/>
          <w:color w:val="000000"/>
          <w:sz w:val="24"/>
          <w:highlight w:val="none"/>
        </w:rPr>
        <w:t>托乙方提供相应</w:t>
      </w:r>
      <w:r>
        <w:rPr>
          <w:rFonts w:hint="eastAsia" w:hAnsi="宋体" w:cs="宋体"/>
          <w:color w:val="000000"/>
          <w:sz w:val="24"/>
          <w:highlight w:val="none"/>
        </w:rPr>
        <w:t>咨询服务</w:t>
      </w:r>
      <w:r>
        <w:rPr>
          <w:rFonts w:hint="eastAsia" w:ascii="宋体" w:hAnsi="宋体" w:cs="宋体"/>
          <w:color w:val="000000"/>
          <w:sz w:val="24"/>
          <w:highlight w:val="none"/>
        </w:rPr>
        <w:t>。</w:t>
      </w:r>
      <w:r>
        <w:rPr>
          <w:rFonts w:hint="eastAsia" w:hAnsi="宋体" w:cs="宋体"/>
          <w:color w:val="000000"/>
          <w:sz w:val="24"/>
          <w:highlight w:val="none"/>
        </w:rPr>
        <w:t>经</w:t>
      </w:r>
      <w:r>
        <w:rPr>
          <w:rFonts w:hint="eastAsia" w:ascii="宋体" w:hAnsi="宋体" w:cs="宋体"/>
          <w:color w:val="000000"/>
          <w:sz w:val="24"/>
          <w:highlight w:val="none"/>
        </w:rPr>
        <w:t>双方经协商一致，签订本合同。</w:t>
      </w:r>
    </w:p>
    <w:p>
      <w:pPr>
        <w:spacing w:line="360" w:lineRule="auto"/>
        <w:rPr>
          <w:rFonts w:hint="eastAsia" w:ascii="宋体" w:hAnsi="宋体" w:cs="宋体"/>
          <w:b/>
          <w:sz w:val="28"/>
          <w:szCs w:val="28"/>
          <w:highlight w:val="none"/>
        </w:rPr>
      </w:pPr>
      <w:bookmarkStart w:id="85" w:name="_Toc457482079"/>
      <w:bookmarkStart w:id="86" w:name="_Toc455663637"/>
      <w:r>
        <w:rPr>
          <w:rFonts w:hint="eastAsia" w:ascii="宋体" w:hAnsi="宋体" w:cs="宋体"/>
          <w:b/>
          <w:sz w:val="28"/>
          <w:szCs w:val="28"/>
          <w:highlight w:val="none"/>
        </w:rPr>
        <w:t>第一条 签订依据</w:t>
      </w:r>
      <w:bookmarkEnd w:id="85"/>
      <w:bookmarkEnd w:id="86"/>
      <w:r>
        <w:rPr>
          <w:rFonts w:hint="eastAsia" w:ascii="宋体" w:hAnsi="宋体" w:cs="宋体"/>
          <w:b/>
          <w:sz w:val="28"/>
          <w:szCs w:val="28"/>
          <w:highlight w:val="none"/>
        </w:rPr>
        <w:t xml:space="preserve"> </w:t>
      </w:r>
    </w:p>
    <w:p>
      <w:pPr>
        <w:spacing w:line="360" w:lineRule="auto"/>
        <w:ind w:firstLine="561"/>
        <w:rPr>
          <w:rFonts w:ascii="宋体" w:hAnsi="宋体"/>
          <w:sz w:val="24"/>
          <w:highlight w:val="none"/>
        </w:rPr>
      </w:pPr>
      <w:r>
        <w:rPr>
          <w:rFonts w:ascii="宋体" w:hAnsi="宋体"/>
          <w:sz w:val="24"/>
          <w:highlight w:val="none"/>
        </w:rPr>
        <w:t>1.1 《中华人民共和国</w:t>
      </w:r>
      <w:r>
        <w:rPr>
          <w:rFonts w:hint="eastAsia" w:ascii="宋体" w:hAnsi="宋体"/>
          <w:sz w:val="24"/>
          <w:highlight w:val="none"/>
        </w:rPr>
        <w:t>民法典</w:t>
      </w:r>
      <w:r>
        <w:rPr>
          <w:rFonts w:ascii="宋体" w:hAnsi="宋体"/>
          <w:sz w:val="24"/>
          <w:highlight w:val="none"/>
        </w:rPr>
        <w:t>》、</w:t>
      </w:r>
      <w:r>
        <w:rPr>
          <w:rFonts w:hint="eastAsia" w:ascii="宋体" w:hAnsi="宋体" w:cs="宋体"/>
          <w:sz w:val="24"/>
          <w:highlight w:val="none"/>
        </w:rPr>
        <w:t>《河道管理范围内建设项目技术规程》(DB44/T1661-2021）、《河道管理范围内建设项目防洪评价报告编制导则》</w:t>
      </w:r>
      <w:r>
        <w:rPr>
          <w:rFonts w:hint="eastAsia" w:ascii="宋体" w:hAnsi="宋体" w:eastAsia="宋体" w:cs="宋体"/>
          <w:sz w:val="24"/>
          <w:highlight w:val="none"/>
          <w:lang w:val="zu-ZA"/>
        </w:rPr>
        <w:t>（SL/T808—2021)</w:t>
      </w:r>
      <w:r>
        <w:rPr>
          <w:rFonts w:hint="eastAsia" w:ascii="宋体" w:hAnsi="宋体" w:eastAsia="宋体" w:cs="宋体"/>
          <w:color w:val="000000"/>
          <w:sz w:val="24"/>
          <w:highlight w:val="none"/>
        </w:rPr>
        <w:t>。</w:t>
      </w:r>
    </w:p>
    <w:p>
      <w:pPr>
        <w:spacing w:line="360" w:lineRule="auto"/>
        <w:ind w:firstLine="561"/>
        <w:rPr>
          <w:rFonts w:ascii="宋体" w:hAnsi="宋体"/>
          <w:sz w:val="24"/>
          <w:highlight w:val="none"/>
        </w:rPr>
      </w:pPr>
      <w:r>
        <w:rPr>
          <w:rFonts w:ascii="宋体" w:hAnsi="宋体"/>
          <w:sz w:val="24"/>
          <w:highlight w:val="none"/>
        </w:rPr>
        <w:t>1.2  国家及地方有关法规和规章。</w:t>
      </w:r>
    </w:p>
    <w:p>
      <w:pPr>
        <w:spacing w:line="360" w:lineRule="auto"/>
        <w:ind w:firstLine="561"/>
        <w:rPr>
          <w:rFonts w:ascii="宋体" w:hAnsi="宋体"/>
          <w:sz w:val="24"/>
          <w:highlight w:val="none"/>
        </w:rPr>
      </w:pPr>
      <w:r>
        <w:rPr>
          <w:rFonts w:ascii="宋体" w:hAnsi="宋体"/>
          <w:sz w:val="24"/>
          <w:highlight w:val="none"/>
        </w:rPr>
        <w:t>1.3  建设工程批准文件</w:t>
      </w:r>
      <w:r>
        <w:rPr>
          <w:rFonts w:hint="eastAsia" w:ascii="宋体" w:hAnsi="宋体"/>
          <w:sz w:val="24"/>
          <w:highlight w:val="none"/>
        </w:rPr>
        <w:t>等</w:t>
      </w:r>
      <w:r>
        <w:rPr>
          <w:rFonts w:ascii="宋体" w:hAnsi="宋体"/>
          <w:sz w:val="24"/>
          <w:highlight w:val="none"/>
        </w:rPr>
        <w:t>。</w:t>
      </w:r>
    </w:p>
    <w:p>
      <w:pPr>
        <w:spacing w:line="360" w:lineRule="auto"/>
        <w:ind w:firstLine="420"/>
        <w:rPr>
          <w:rFonts w:ascii="宋体" w:hAnsi="宋体"/>
          <w:color w:val="000000"/>
          <w:szCs w:val="21"/>
          <w:highlight w:val="none"/>
        </w:rPr>
      </w:pPr>
      <w:r>
        <w:rPr>
          <w:rFonts w:hint="eastAsia" w:ascii="宋体" w:hAnsi="宋体"/>
          <w:color w:val="000000"/>
          <w:sz w:val="24"/>
          <w:highlight w:val="none"/>
        </w:rPr>
        <w:t>上述规范如有更新的，以最新版本为准。</w:t>
      </w:r>
    </w:p>
    <w:p>
      <w:pPr>
        <w:spacing w:line="360" w:lineRule="auto"/>
        <w:rPr>
          <w:rFonts w:hint="eastAsia" w:ascii="宋体" w:hAnsi="宋体" w:cs="宋体"/>
          <w:b/>
          <w:sz w:val="24"/>
          <w:highlight w:val="none"/>
        </w:rPr>
      </w:pPr>
      <w:r>
        <w:rPr>
          <w:rFonts w:hint="eastAsia" w:ascii="宋体" w:hAnsi="宋体" w:cs="宋体"/>
          <w:b/>
          <w:sz w:val="28"/>
          <w:szCs w:val="28"/>
          <w:highlight w:val="none"/>
        </w:rPr>
        <w:t>第二条  乙方进行技术咨询的范围、内容、要求和方式：</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2.1 咨询范围：</w:t>
      </w:r>
    </w:p>
    <w:p>
      <w:pPr>
        <w:pStyle w:val="23"/>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项目地块位于广州市海珠区中部偏东，隶属江海街道石榴岗村社区。地块北至新滘东路，西临石榴岗大街，地块面积约2982平方米，研究范围面积约7.2公顷。</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2.2 咨询内容及要求：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河道管理范围内建设项目管理的有关规定》、《广州市城市开发建设项目海绵城市建设——洪涝安全评估技术指引（试行）》、《广州市海绵城市专项规划（2016-2030年）》等有关要求的评估要点及方法，开展</w:t>
      </w:r>
      <w:r>
        <w:rPr>
          <w:rFonts w:hint="eastAsia" w:ascii="宋体" w:hAnsi="宋体" w:cs="宋体"/>
          <w:sz w:val="24"/>
          <w:highlight w:val="none"/>
          <w:lang w:val="en-US" w:eastAsia="zh-CN"/>
        </w:rPr>
        <w:t>洪涝安全评估，包括但不限于</w:t>
      </w:r>
      <w:r>
        <w:rPr>
          <w:rFonts w:hint="eastAsia" w:ascii="宋体" w:hAnsi="宋体" w:cs="宋体"/>
          <w:sz w:val="24"/>
          <w:highlight w:val="none"/>
        </w:rPr>
        <w:t>：从地形、下垫面、水系、水利设施、排水系统等多方面进行综合评估，明确评估范围存在的风险；结合用地规划方案，提出流域和片区的排水防涝策略和结论建议，提高区域水安全</w:t>
      </w:r>
      <w:r>
        <w:rPr>
          <w:rFonts w:hint="eastAsia" w:ascii="宋体" w:hAnsi="宋体" w:cs="宋体"/>
          <w:sz w:val="24"/>
          <w:highlight w:val="none"/>
          <w:lang w:eastAsia="zh-CN"/>
        </w:rPr>
        <w:t>；</w:t>
      </w:r>
      <w:r>
        <w:rPr>
          <w:rFonts w:hint="eastAsia" w:ascii="宋体" w:hAnsi="宋体" w:cs="宋体"/>
          <w:sz w:val="24"/>
          <w:highlight w:val="none"/>
          <w:lang w:val="en-US" w:eastAsia="zh-CN"/>
        </w:rPr>
        <w:t>配合新滘南路8号泵站地块控制性详细规划局部调整工作</w:t>
      </w:r>
      <w:r>
        <w:rPr>
          <w:rFonts w:hint="eastAsia" w:ascii="宋体" w:hAnsi="宋体" w:cs="宋体"/>
          <w:sz w:val="24"/>
          <w:highlight w:val="none"/>
        </w:rPr>
        <w:t>。</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2.3咨询方式：</w:t>
      </w:r>
    </w:p>
    <w:p>
      <w:pPr>
        <w:spacing w:line="360" w:lineRule="auto"/>
        <w:ind w:firstLine="480" w:firstLineChars="200"/>
        <w:jc w:val="lef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数值模拟计算、科学论证评价，形成咨询报告。</w:t>
      </w:r>
    </w:p>
    <w:p>
      <w:pPr>
        <w:spacing w:line="360" w:lineRule="auto"/>
        <w:outlineLvl w:val="0"/>
        <w:rPr>
          <w:rFonts w:ascii="宋体" w:hAnsi="宋体" w:cs="宋体"/>
          <w:b/>
          <w:sz w:val="28"/>
          <w:szCs w:val="28"/>
          <w:highlight w:val="none"/>
        </w:rPr>
      </w:pPr>
      <w:r>
        <w:rPr>
          <w:rFonts w:hint="eastAsia" w:ascii="宋体" w:hAnsi="宋体" w:cs="宋体"/>
          <w:b/>
          <w:sz w:val="28"/>
          <w:szCs w:val="28"/>
          <w:highlight w:val="none"/>
        </w:rPr>
        <w:t>第三条 甲方向乙方提交的有关资料及文件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3.1技术资料：</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3.1.1项目基本资料和数据。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3.2甲方提供上述协作事项的时间及方式：根据项目的进度需要。</w:t>
      </w:r>
    </w:p>
    <w:p>
      <w:pPr>
        <w:spacing w:line="360" w:lineRule="auto"/>
        <w:outlineLvl w:val="0"/>
        <w:rPr>
          <w:rFonts w:hint="eastAsia" w:ascii="宋体" w:hAnsi="宋体" w:cs="宋体"/>
          <w:b/>
          <w:sz w:val="28"/>
          <w:szCs w:val="28"/>
          <w:highlight w:val="none"/>
        </w:rPr>
      </w:pPr>
      <w:r>
        <w:rPr>
          <w:rFonts w:hint="eastAsia" w:ascii="宋体" w:hAnsi="宋体" w:cs="宋体"/>
          <w:b/>
          <w:bCs/>
          <w:sz w:val="28"/>
          <w:szCs w:val="28"/>
          <w:highlight w:val="none"/>
        </w:rPr>
        <w:t>第四条 乙方向甲方交付资料及文件</w:t>
      </w:r>
    </w:p>
    <w:p>
      <w:pPr>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000000"/>
          <w:sz w:val="24"/>
          <w:highlight w:val="none"/>
        </w:rPr>
        <w:t>4.1本合同签订后，乙方应在3个工作日内提交编制计划及参编人员名单</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人员名单应与乙方在投标文件/报价文件中所载明的人员一致</w:t>
      </w:r>
      <w:r>
        <w:rPr>
          <w:rFonts w:hint="eastAsia" w:ascii="宋体" w:hAnsi="宋体" w:cs="宋体"/>
          <w:color w:val="000000"/>
          <w:sz w:val="24"/>
          <w:highlight w:val="none"/>
          <w:lang w:eastAsia="zh-CN"/>
        </w:rPr>
        <w:t>）</w:t>
      </w:r>
      <w:r>
        <w:rPr>
          <w:rFonts w:hint="eastAsia" w:ascii="宋体" w:hAnsi="宋体" w:cs="宋体"/>
          <w:color w:val="000000"/>
          <w:sz w:val="24"/>
          <w:highlight w:val="none"/>
        </w:rPr>
        <w:t>，报经甲方批准。</w:t>
      </w:r>
      <w:r>
        <w:rPr>
          <w:rFonts w:hint="eastAsia" w:ascii="宋体" w:hAnsi="宋体" w:cs="宋体"/>
          <w:sz w:val="24"/>
          <w:highlight w:val="none"/>
        </w:rPr>
        <w:t>合同执行中，乙方如需更换工作人员的，需征得甲方书面同意</w:t>
      </w:r>
      <w:r>
        <w:rPr>
          <w:rFonts w:ascii="宋体" w:hAnsi="宋体" w:cs="宋体"/>
          <w:sz w:val="24"/>
          <w:highlight w:val="none"/>
        </w:rPr>
        <w:t>，如有违反，甲方有权解除合同并要求乙方支付</w:t>
      </w:r>
      <w:r>
        <w:rPr>
          <w:rFonts w:hint="eastAsia" w:ascii="宋体" w:hAnsi="宋体" w:cs="宋体"/>
          <w:sz w:val="24"/>
          <w:highlight w:val="none"/>
        </w:rPr>
        <w:t>10000</w:t>
      </w:r>
      <w:r>
        <w:rPr>
          <w:rFonts w:ascii="宋体" w:hAnsi="宋体" w:cs="宋体"/>
          <w:sz w:val="24"/>
          <w:highlight w:val="none"/>
        </w:rPr>
        <w:t>元/人次作为违约金，以及赔偿由此造成的一切损失</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洪涝安全评估</w:t>
      </w:r>
      <w:r>
        <w:rPr>
          <w:rFonts w:hint="eastAsia" w:ascii="宋体" w:hAnsi="宋体" w:cs="宋体"/>
          <w:color w:val="000000"/>
          <w:sz w:val="24"/>
          <w:highlight w:val="none"/>
        </w:rPr>
        <w:t>报告</w:t>
      </w:r>
      <w:r>
        <w:rPr>
          <w:rFonts w:hint="eastAsia" w:ascii="宋体" w:hAnsi="宋体" w:cs="宋体"/>
          <w:color w:val="000000"/>
          <w:sz w:val="24"/>
          <w:highlight w:val="none"/>
          <w:lang w:val="en-US" w:eastAsia="zh-CN"/>
        </w:rPr>
        <w:t>初稿</w:t>
      </w:r>
      <w:r>
        <w:rPr>
          <w:rFonts w:hint="eastAsia" w:ascii="宋体" w:hAnsi="宋体" w:cs="宋体"/>
          <w:color w:val="000000"/>
          <w:sz w:val="24"/>
          <w:highlight w:val="none"/>
        </w:rPr>
        <w:t>应在提交编制计划后</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rPr>
        <w:t>个工作日内提交甲方。</w:t>
      </w:r>
      <w:r>
        <w:rPr>
          <w:rFonts w:hint="eastAsia" w:asciiTheme="minorEastAsia" w:hAnsiTheme="minorEastAsia" w:cstheme="minorEastAsia"/>
          <w:color w:val="auto"/>
          <w:sz w:val="24"/>
          <w:szCs w:val="24"/>
          <w:highlight w:val="none"/>
        </w:rPr>
        <w:t>该</w:t>
      </w:r>
      <w:r>
        <w:rPr>
          <w:rFonts w:asciiTheme="minorEastAsia" w:hAnsiTheme="minorEastAsia" w:cstheme="minorEastAsia"/>
          <w:color w:val="auto"/>
          <w:sz w:val="24"/>
          <w:szCs w:val="24"/>
          <w:highlight w:val="none"/>
        </w:rPr>
        <w:t>工作应</w:t>
      </w:r>
      <w:r>
        <w:rPr>
          <w:rFonts w:hint="eastAsia" w:asciiTheme="minorEastAsia" w:hAnsiTheme="minorEastAsia" w:cstheme="minorEastAsia"/>
          <w:color w:val="auto"/>
          <w:sz w:val="24"/>
          <w:szCs w:val="24"/>
          <w:highlight w:val="none"/>
        </w:rPr>
        <w:t>配合新滘南路8号泵站地块控制性详细规划</w:t>
      </w:r>
      <w:r>
        <w:rPr>
          <w:rFonts w:hint="eastAsia" w:asciiTheme="minorEastAsia" w:hAnsiTheme="minorEastAsia" w:cstheme="minorEastAsia"/>
          <w:color w:val="auto"/>
          <w:sz w:val="24"/>
          <w:szCs w:val="24"/>
          <w:highlight w:val="none"/>
          <w:lang w:val="en-US" w:eastAsia="zh-CN"/>
        </w:rPr>
        <w:t>局部调整</w:t>
      </w:r>
      <w:r>
        <w:rPr>
          <w:rFonts w:hint="eastAsia" w:ascii="宋体" w:hAnsi="宋体" w:cs="宋体"/>
          <w:color w:val="auto"/>
          <w:sz w:val="24"/>
          <w:szCs w:val="24"/>
          <w:highlight w:val="none"/>
        </w:rPr>
        <w:t>工作进度进行评估、提交成果及作相应修改完善，以用于甲方申请控规</w:t>
      </w:r>
      <w:r>
        <w:rPr>
          <w:rFonts w:hint="eastAsia" w:ascii="宋体" w:hAnsi="宋体" w:cs="宋体"/>
          <w:color w:val="auto"/>
          <w:sz w:val="24"/>
          <w:szCs w:val="24"/>
          <w:highlight w:val="none"/>
          <w:lang w:val="en-US" w:eastAsia="zh-CN"/>
        </w:rPr>
        <w:t>局部调整</w:t>
      </w:r>
      <w:r>
        <w:rPr>
          <w:rFonts w:hint="eastAsia" w:ascii="宋体" w:hAnsi="宋体" w:cs="宋体"/>
          <w:color w:val="auto"/>
          <w:sz w:val="24"/>
          <w:szCs w:val="24"/>
          <w:highlight w:val="none"/>
        </w:rPr>
        <w:t>。</w:t>
      </w:r>
    </w:p>
    <w:p>
      <w:pPr>
        <w:keepNext w:val="0"/>
        <w:keepLines w:val="0"/>
        <w:pageBreakBefore w:val="0"/>
        <w:widowControl w:val="0"/>
        <w:kinsoku/>
        <w:wordWrap/>
        <w:topLinePunct w:val="0"/>
        <w:autoSpaceDE/>
        <w:autoSpaceDN/>
        <w:bidi w:val="0"/>
        <w:adjustRightInd w:val="0"/>
        <w:snapToGrid/>
        <w:spacing w:line="360" w:lineRule="auto"/>
        <w:ind w:left="0" w:leftChars="0" w:right="0" w:rightChars="0" w:firstLine="480" w:firstLineChars="200"/>
        <w:jc w:val="left"/>
        <w:textAlignment w:val="baseline"/>
        <w:rPr>
          <w:rFonts w:hint="eastAsia" w:ascii="宋体" w:hAnsi="宋体" w:cs="宋体" w:eastAsiaTheme="minorEastAsia"/>
          <w:color w:val="000000"/>
          <w:sz w:val="24"/>
          <w:szCs w:val="24"/>
          <w:highlight w:val="none"/>
          <w:lang w:eastAsia="zh-CN"/>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洪涝安全评估</w:t>
      </w:r>
      <w:r>
        <w:rPr>
          <w:rFonts w:hint="eastAsia" w:ascii="宋体" w:hAnsi="宋体" w:eastAsia="宋体" w:cs="宋体"/>
          <w:color w:val="auto"/>
          <w:sz w:val="24"/>
          <w:szCs w:val="24"/>
          <w:highlight w:val="none"/>
        </w:rPr>
        <w:t>成果</w:t>
      </w:r>
      <w:r>
        <w:rPr>
          <w:rFonts w:hint="eastAsia" w:ascii="宋体" w:hAnsi="宋体" w:eastAsia="宋体" w:cs="宋体"/>
          <w:color w:val="auto"/>
          <w:sz w:val="24"/>
          <w:szCs w:val="24"/>
          <w:highlight w:val="none"/>
          <w:lang w:eastAsia="zh-CN"/>
        </w:rPr>
        <w:t>配合</w:t>
      </w:r>
      <w:r>
        <w:rPr>
          <w:rFonts w:hint="eastAsia" w:asciiTheme="minorEastAsia" w:hAnsiTheme="minorEastAsia" w:cstheme="minorEastAsia"/>
          <w:color w:val="auto"/>
          <w:sz w:val="24"/>
          <w:szCs w:val="24"/>
          <w:highlight w:val="none"/>
        </w:rPr>
        <w:t>新滘南路8号泵站地块控制性详细规划</w:t>
      </w:r>
      <w:r>
        <w:rPr>
          <w:rFonts w:hint="eastAsia" w:ascii="宋体" w:hAnsi="宋体" w:cs="宋体"/>
          <w:color w:val="auto"/>
          <w:sz w:val="24"/>
          <w:szCs w:val="24"/>
          <w:highlight w:val="none"/>
          <w:lang w:val="en-US" w:eastAsia="zh-CN"/>
        </w:rPr>
        <w:t>局部调整</w:t>
      </w:r>
      <w:r>
        <w:rPr>
          <w:rFonts w:hint="eastAsia" w:asciiTheme="minorEastAsia" w:hAnsiTheme="minorEastAsia" w:cstheme="minorEastAsia"/>
          <w:color w:val="auto"/>
          <w:sz w:val="24"/>
          <w:szCs w:val="24"/>
          <w:highlight w:val="none"/>
          <w:lang w:eastAsia="zh-CN"/>
        </w:rPr>
        <w:t>报告</w:t>
      </w:r>
      <w:r>
        <w:rPr>
          <w:rFonts w:hint="eastAsia" w:ascii="宋体" w:hAnsi="宋体" w:eastAsia="宋体" w:cs="宋体"/>
          <w:color w:val="auto"/>
          <w:sz w:val="24"/>
          <w:szCs w:val="24"/>
          <w:highlight w:val="none"/>
        </w:rPr>
        <w:t>经有关部门评审确认后</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color="auto"/>
          <w:lang w:val="en-US" w:eastAsia="zh-CN"/>
        </w:rPr>
        <w:t>个</w:t>
      </w:r>
      <w:r>
        <w:rPr>
          <w:rFonts w:hint="eastAsia" w:ascii="宋体" w:hAnsi="宋体" w:eastAsia="宋体" w:cs="宋体"/>
          <w:color w:val="auto"/>
          <w:sz w:val="24"/>
          <w:szCs w:val="24"/>
          <w:highlight w:val="none"/>
        </w:rPr>
        <w:t>工作日内，乙方向甲方交付正式的</w:t>
      </w:r>
      <w:r>
        <w:rPr>
          <w:rFonts w:hint="eastAsia" w:ascii="宋体" w:hAnsi="宋体" w:eastAsia="宋体" w:cs="宋体"/>
          <w:color w:val="auto"/>
          <w:sz w:val="24"/>
          <w:szCs w:val="24"/>
          <w:highlight w:val="none"/>
          <w:lang w:eastAsia="zh-CN"/>
        </w:rPr>
        <w:t>洪涝安全评估</w:t>
      </w:r>
      <w:r>
        <w:rPr>
          <w:rFonts w:hint="eastAsia" w:ascii="宋体" w:hAnsi="宋体" w:eastAsia="宋体" w:cs="宋体"/>
          <w:color w:val="auto"/>
          <w:sz w:val="24"/>
          <w:szCs w:val="24"/>
          <w:highlight w:val="none"/>
        </w:rPr>
        <w:t>成果</w:t>
      </w:r>
      <w:r>
        <w:rPr>
          <w:rFonts w:hint="eastAsia" w:ascii="宋体" w:hAnsi="宋体" w:cs="宋体"/>
          <w:color w:val="auto"/>
          <w:sz w:val="24"/>
          <w:szCs w:val="24"/>
          <w:highlight w:val="none"/>
          <w:lang w:eastAsia="zh-CN"/>
        </w:rPr>
        <w:t>报告书，</w:t>
      </w:r>
      <w:r>
        <w:rPr>
          <w:rFonts w:hint="eastAsia" w:ascii="宋体" w:hAnsi="宋体" w:eastAsia="宋体" w:cs="宋体"/>
          <w:color w:val="000000"/>
          <w:sz w:val="24"/>
          <w:szCs w:val="24"/>
          <w:highlight w:val="none"/>
        </w:rPr>
        <w:t>评估</w:t>
      </w:r>
      <w:r>
        <w:rPr>
          <w:rFonts w:hint="eastAsia" w:ascii="宋体" w:hAnsi="宋体" w:eastAsia="宋体" w:cs="宋体"/>
          <w:color w:val="auto"/>
          <w:sz w:val="24"/>
          <w:szCs w:val="24"/>
          <w:highlight w:val="none"/>
        </w:rPr>
        <w:t>成果</w:t>
      </w:r>
      <w:r>
        <w:rPr>
          <w:rFonts w:hint="eastAsia" w:ascii="宋体" w:hAnsi="宋体" w:cs="宋体"/>
          <w:color w:val="auto"/>
          <w:sz w:val="24"/>
          <w:szCs w:val="24"/>
          <w:highlight w:val="none"/>
          <w:lang w:eastAsia="zh-CN"/>
        </w:rPr>
        <w:t>报告书</w:t>
      </w:r>
      <w:r>
        <w:rPr>
          <w:rFonts w:hint="eastAsia" w:ascii="宋体" w:hAnsi="宋体" w:eastAsia="宋体" w:cs="宋体"/>
          <w:color w:val="auto"/>
          <w:sz w:val="24"/>
          <w:szCs w:val="24"/>
          <w:highlight w:val="none"/>
        </w:rPr>
        <w:t>一</w:t>
      </w:r>
      <w:r>
        <w:rPr>
          <w:rFonts w:hint="eastAsia" w:ascii="宋体" w:hAnsi="宋体" w:eastAsia="宋体" w:cs="宋体"/>
          <w:color w:val="000000"/>
          <w:sz w:val="24"/>
          <w:szCs w:val="24"/>
          <w:highlight w:val="none"/>
        </w:rPr>
        <w:t>式</w:t>
      </w:r>
      <w:r>
        <w:rPr>
          <w:rFonts w:hint="eastAsia" w:ascii="宋体" w:hAnsi="宋体" w:eastAsia="宋体" w:cs="宋体"/>
          <w:color w:val="000000"/>
          <w:sz w:val="24"/>
          <w:szCs w:val="24"/>
          <w:highlight w:val="none"/>
          <w:lang w:eastAsia="zh-CN"/>
        </w:rPr>
        <w:t>十</w:t>
      </w:r>
      <w:r>
        <w:rPr>
          <w:rFonts w:hint="eastAsia" w:ascii="宋体" w:hAnsi="宋体" w:eastAsia="宋体" w:cs="宋体"/>
          <w:color w:val="000000"/>
          <w:sz w:val="24"/>
          <w:szCs w:val="24"/>
          <w:highlight w:val="none"/>
        </w:rPr>
        <w:t>份，电子光盘2份（未加密且可编辑格式）</w:t>
      </w:r>
      <w:r>
        <w:rPr>
          <w:rFonts w:hint="eastAsia" w:ascii="宋体" w:hAnsi="宋体" w:eastAsia="宋体" w:cs="宋体"/>
          <w:color w:val="000000"/>
          <w:sz w:val="24"/>
          <w:szCs w:val="24"/>
          <w:highlight w:val="none"/>
          <w:lang w:eastAsia="zh-CN"/>
        </w:rPr>
        <w:t>，</w:t>
      </w:r>
      <w:r>
        <w:rPr>
          <w:rFonts w:hint="eastAsia" w:ascii="宋体" w:hAnsi="宋体" w:cs="宋体"/>
          <w:color w:val="auto"/>
          <w:sz w:val="24"/>
          <w:szCs w:val="24"/>
          <w:highlight w:val="none"/>
        </w:rPr>
        <w:t>具体以甲方通知为准</w:t>
      </w:r>
      <w:r>
        <w:rPr>
          <w:rFonts w:hint="eastAsia" w:ascii="宋体" w:hAnsi="宋体" w:cs="宋体"/>
          <w:color w:val="auto"/>
          <w:sz w:val="24"/>
          <w:szCs w:val="24"/>
          <w:highlight w:val="none"/>
          <w:lang w:eastAsia="zh-CN"/>
        </w:rPr>
        <w:t>。</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4.3乙方应配合甲方开展结算工作并提交结算的相关资料,若乙方逾期超过30天未提交完整的结算资料和结算报告等，甲方有权单方自行结算，由此产生的一切责任由乙方承担。</w:t>
      </w:r>
    </w:p>
    <w:p>
      <w:pPr>
        <w:spacing w:line="360" w:lineRule="auto"/>
        <w:jc w:val="left"/>
        <w:textAlignment w:val="baseline"/>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第五条 成果验收</w:t>
      </w:r>
    </w:p>
    <w:p>
      <w:pPr>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5.1乙方提交技术咨询工作成果的形式：</w:t>
      </w:r>
      <w:r>
        <w:rPr>
          <w:rFonts w:hint="eastAsia" w:ascii="宋体" w:hAnsi="宋体" w:cs="宋体"/>
          <w:color w:val="000000"/>
          <w:sz w:val="24"/>
          <w:highlight w:val="none"/>
          <w:lang w:val="en-US" w:eastAsia="zh-CN"/>
        </w:rPr>
        <w:t>洪涝安全评估</w:t>
      </w:r>
      <w:r>
        <w:rPr>
          <w:rFonts w:hint="eastAsia" w:ascii="宋体" w:hAnsi="宋体" w:cs="宋体"/>
          <w:sz w:val="24"/>
          <w:highlight w:val="none"/>
        </w:rPr>
        <w:t xml:space="preserve">报告。 </w:t>
      </w:r>
    </w:p>
    <w:p>
      <w:pPr>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5.2技术咨询工作成果的验收标准</w:t>
      </w:r>
      <w:r>
        <w:rPr>
          <w:rFonts w:hint="eastAsia" w:ascii="宋体" w:hAnsi="宋体" w:cs="宋体"/>
          <w:sz w:val="24"/>
          <w:highlight w:val="none"/>
          <w:lang w:eastAsia="zh-CN"/>
        </w:rPr>
        <w:t>及方法</w:t>
      </w:r>
      <w:r>
        <w:rPr>
          <w:rFonts w:hint="eastAsia" w:ascii="宋体" w:hAnsi="宋体" w:cs="宋体"/>
          <w:sz w:val="24"/>
          <w:highlight w:val="none"/>
        </w:rPr>
        <w:t>：</w:t>
      </w:r>
      <w:r>
        <w:rPr>
          <w:rFonts w:hint="eastAsia" w:ascii="宋体" w:hAnsi="宋体" w:cs="宋体"/>
          <w:sz w:val="24"/>
          <w:highlight w:val="none"/>
          <w:lang w:eastAsia="zh-CN"/>
        </w:rPr>
        <w:t>洪涝安全评估成果作为</w:t>
      </w:r>
      <w:r>
        <w:rPr>
          <w:rFonts w:hint="eastAsia" w:asciiTheme="minorEastAsia" w:hAnsiTheme="minorEastAsia" w:cstheme="minorEastAsia"/>
          <w:color w:val="auto"/>
          <w:sz w:val="24"/>
          <w:szCs w:val="24"/>
          <w:highlight w:val="none"/>
        </w:rPr>
        <w:t>新滘南路8号泵站地块控制性详细规划</w:t>
      </w:r>
      <w:r>
        <w:rPr>
          <w:rFonts w:hint="eastAsia" w:ascii="宋体" w:hAnsi="宋体" w:cs="宋体"/>
          <w:color w:val="auto"/>
          <w:sz w:val="24"/>
          <w:szCs w:val="24"/>
          <w:highlight w:val="none"/>
          <w:lang w:val="en-US" w:eastAsia="zh-CN"/>
        </w:rPr>
        <w:t>局部调整</w:t>
      </w:r>
      <w:r>
        <w:rPr>
          <w:rFonts w:hint="eastAsia" w:asciiTheme="minorEastAsia" w:hAnsiTheme="minorEastAsia" w:cstheme="minorEastAsia"/>
          <w:color w:val="auto"/>
          <w:sz w:val="24"/>
          <w:szCs w:val="24"/>
          <w:highlight w:val="none"/>
          <w:lang w:eastAsia="zh-CN"/>
        </w:rPr>
        <w:t>报告的相关内容，配合新滘南路8号泵站地块控制性详细规划局部调</w:t>
      </w:r>
      <w:r>
        <w:rPr>
          <w:rFonts w:hint="eastAsia" w:asciiTheme="minorEastAsia" w:hAnsiTheme="minorEastAsia" w:cstheme="minorEastAsia"/>
          <w:color w:val="auto"/>
          <w:sz w:val="24"/>
          <w:szCs w:val="24"/>
          <w:highlight w:val="none"/>
          <w:lang w:val="en-US" w:eastAsia="zh-CN"/>
        </w:rPr>
        <w:t>整报告</w:t>
      </w:r>
      <w:r>
        <w:rPr>
          <w:rFonts w:hint="eastAsia" w:asciiTheme="minorEastAsia" w:hAnsiTheme="minorEastAsia" w:cstheme="minorEastAsia"/>
          <w:color w:val="auto"/>
          <w:sz w:val="24"/>
          <w:szCs w:val="24"/>
          <w:highlight w:val="none"/>
          <w:lang w:eastAsia="zh-CN"/>
        </w:rPr>
        <w:t>上报市规划和自然资源局专题业务会，并取得通过的会议纪要。</w:t>
      </w:r>
    </w:p>
    <w:p>
      <w:pPr>
        <w:topLinePunct/>
        <w:spacing w:line="360" w:lineRule="auto"/>
        <w:ind w:firstLine="480" w:firstLineChars="200"/>
        <w:jc w:val="left"/>
        <w:rPr>
          <w:rFonts w:hint="eastAsia" w:ascii="宋体" w:hAnsi="宋体" w:cs="宋体"/>
          <w:color w:val="000000"/>
          <w:sz w:val="24"/>
          <w:highlight w:val="none"/>
        </w:rPr>
      </w:pPr>
      <w:r>
        <w:rPr>
          <w:rFonts w:hint="eastAsia" w:ascii="宋体" w:hAnsi="宋体" w:cs="宋体"/>
          <w:sz w:val="24"/>
          <w:highlight w:val="none"/>
        </w:rPr>
        <w:t>5.4验收时间和地点：按</w:t>
      </w:r>
      <w:r>
        <w:rPr>
          <w:rFonts w:hint="eastAsia" w:ascii="宋体" w:hAnsi="宋体" w:cs="宋体"/>
          <w:sz w:val="24"/>
          <w:highlight w:val="none"/>
          <w:lang w:eastAsia="zh-CN"/>
        </w:rPr>
        <w:t>甲方</w:t>
      </w:r>
      <w:r>
        <w:rPr>
          <w:rFonts w:hint="eastAsia" w:ascii="宋体" w:hAnsi="宋体" w:cs="宋体"/>
          <w:sz w:val="24"/>
          <w:highlight w:val="none"/>
        </w:rPr>
        <w:t xml:space="preserve">要求。 </w:t>
      </w:r>
    </w:p>
    <w:p>
      <w:pPr>
        <w:spacing w:line="360" w:lineRule="auto"/>
        <w:outlineLvl w:val="0"/>
        <w:rPr>
          <w:rFonts w:hint="eastAsia" w:ascii="宋体" w:hAnsi="宋体" w:cs="宋体"/>
          <w:b/>
          <w:bCs/>
          <w:sz w:val="28"/>
          <w:szCs w:val="28"/>
          <w:highlight w:val="none"/>
        </w:rPr>
      </w:pPr>
      <w:r>
        <w:rPr>
          <w:rFonts w:hint="eastAsia" w:ascii="宋体" w:hAnsi="宋体" w:cs="宋体"/>
          <w:b/>
          <w:bCs/>
          <w:sz w:val="28"/>
          <w:szCs w:val="28"/>
          <w:highlight w:val="none"/>
        </w:rPr>
        <w:t>第六条 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w:t>
      </w:r>
      <w:r>
        <w:rPr>
          <w:rFonts w:hint="eastAsia" w:ascii="宋体" w:hAnsi="宋体" w:cs="宋体"/>
          <w:b/>
          <w:bCs/>
          <w:sz w:val="24"/>
          <w:highlight w:val="none"/>
        </w:rPr>
        <w:t>总价包干，</w:t>
      </w:r>
      <w:r>
        <w:rPr>
          <w:rFonts w:hint="eastAsia" w:ascii="宋体" w:hAnsi="宋体" w:cs="宋体"/>
          <w:sz w:val="24"/>
          <w:highlight w:val="none"/>
        </w:rPr>
        <w:t>暂定为人民币</w:t>
      </w:r>
      <w:r>
        <w:rPr>
          <w:rFonts w:hint="eastAsia" w:ascii="宋体" w:hAnsi="宋体" w:cs="宋体"/>
          <w:b/>
          <w:bCs/>
          <w:sz w:val="24"/>
          <w:highlight w:val="none"/>
          <w:u w:val="single"/>
          <w:lang w:val="en-US" w:eastAsia="zh-CN"/>
        </w:rPr>
        <w:t xml:space="preserve">      </w:t>
      </w:r>
      <w:r>
        <w:rPr>
          <w:rFonts w:hint="eastAsia" w:ascii="宋体" w:hAnsi="宋体" w:cs="宋体"/>
          <w:b/>
          <w:sz w:val="24"/>
          <w:highlight w:val="none"/>
        </w:rPr>
        <w:t>万元</w:t>
      </w:r>
      <w:r>
        <w:rPr>
          <w:rFonts w:hint="eastAsia" w:ascii="宋体" w:hAnsi="宋体" w:cs="宋体"/>
          <w:sz w:val="24"/>
          <w:highlight w:val="none"/>
        </w:rPr>
        <w:t>（大写：</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sz w:val="24"/>
          <w:highlight w:val="none"/>
          <w:u w:val="single"/>
        </w:rPr>
        <w:t>含税率</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r>
        <w:rPr>
          <w:rFonts w:hint="eastAsia" w:ascii="宋体" w:hAnsi="宋体" w:cs="宋体"/>
          <w:color w:val="000000"/>
          <w:sz w:val="24"/>
          <w:highlight w:val="non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本合同采用总价包干价，包括完成本合同项下的所有工作内容所需要的直接和间接的一切费用</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w:t>
      </w:r>
      <w:r>
        <w:rPr>
          <w:rFonts w:hint="eastAsia"/>
          <w:sz w:val="24"/>
          <w:highlight w:val="none"/>
        </w:rPr>
        <w:t>现场踏勘费、报告编写费、</w:t>
      </w:r>
      <w:r>
        <w:rPr>
          <w:rFonts w:hint="eastAsia"/>
          <w:sz w:val="24"/>
          <w:highlight w:val="none"/>
          <w:lang w:eastAsia="zh-CN"/>
        </w:rPr>
        <w:t>报告装订费</w:t>
      </w:r>
      <w:r>
        <w:rPr>
          <w:rFonts w:hint="eastAsia"/>
          <w:sz w:val="24"/>
          <w:highlight w:val="none"/>
        </w:rPr>
        <w:t>等一切相关费用</w:t>
      </w:r>
      <w:r>
        <w:rPr>
          <w:rFonts w:hint="eastAsia" w:ascii="宋体" w:hAnsi="宋体" w:cs="宋体"/>
          <w:sz w:val="24"/>
          <w:highlight w:val="none"/>
        </w:rPr>
        <w:t>，不因人工、材料、设备的变化而作调整。</w:t>
      </w:r>
    </w:p>
    <w:p>
      <w:pPr>
        <w:spacing w:line="360" w:lineRule="auto"/>
        <w:outlineLvl w:val="0"/>
        <w:rPr>
          <w:rFonts w:hint="eastAsia" w:ascii="宋体" w:hAnsi="宋体" w:cs="宋体"/>
          <w:b/>
          <w:bCs/>
          <w:sz w:val="28"/>
          <w:szCs w:val="28"/>
          <w:highlight w:val="none"/>
        </w:rPr>
      </w:pPr>
      <w:r>
        <w:rPr>
          <w:rFonts w:hint="eastAsia" w:ascii="宋体" w:hAnsi="宋体" w:cs="宋体"/>
          <w:b/>
          <w:bCs/>
          <w:sz w:val="28"/>
          <w:szCs w:val="28"/>
          <w:highlight w:val="none"/>
        </w:rPr>
        <w:t>第七条 支付方式</w:t>
      </w:r>
    </w:p>
    <w:p>
      <w:pPr>
        <w:adjustRightInd w:val="0"/>
        <w:spacing w:line="360" w:lineRule="auto"/>
        <w:ind w:firstLine="480" w:firstLineChars="200"/>
        <w:jc w:val="left"/>
        <w:textAlignment w:val="baseline"/>
        <w:rPr>
          <w:rFonts w:hAnsi="宋体"/>
          <w:highlight w:val="none"/>
        </w:rPr>
      </w:pPr>
      <w:r>
        <w:rPr>
          <w:rFonts w:hint="eastAsia" w:ascii="宋体" w:hAnsi="宋体" w:cs="宋体"/>
          <w:sz w:val="24"/>
          <w:highlight w:val="none"/>
        </w:rPr>
        <w:t xml:space="preserve">7.1.1 </w:t>
      </w:r>
      <w:r>
        <w:rPr>
          <w:rFonts w:hint="eastAsia" w:hAnsi="宋体"/>
          <w:highlight w:val="none"/>
        </w:rPr>
        <w:t>乙方收款账号资料</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乙方收款账户：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乙方在收款前需提交等额增值税专用发票给甲方。增值税专用发票信息：</w:t>
      </w:r>
    </w:p>
    <w:p>
      <w:pPr>
        <w:spacing w:line="384" w:lineRule="auto"/>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384" w:lineRule="auto"/>
        <w:ind w:firstLine="960" w:firstLineChars="400"/>
        <w:rPr>
          <w:rFonts w:ascii="宋体" w:hAnsi="宋体" w:cs="宋体"/>
          <w:sz w:val="24"/>
          <w:highlight w:val="none"/>
          <w:u w:val="single"/>
        </w:rPr>
      </w:pPr>
      <w:r>
        <w:rPr>
          <w:rFonts w:hint="eastAsia" w:ascii="宋体" w:hAnsi="宋体" w:cs="宋体"/>
          <w:sz w:val="24"/>
          <w:highlight w:val="none"/>
        </w:rPr>
        <w:t xml:space="preserve">税号：91440101755584729Q；            </w:t>
      </w:r>
    </w:p>
    <w:p>
      <w:pPr>
        <w:spacing w:line="384" w:lineRule="auto"/>
        <w:ind w:firstLine="960" w:firstLineChars="400"/>
        <w:rPr>
          <w:rFonts w:hint="eastAsia" w:ascii="宋体" w:hAnsi="宋体" w:cs="宋体"/>
          <w:sz w:val="24"/>
          <w:highlight w:val="none"/>
        </w:rPr>
      </w:pPr>
      <w:r>
        <w:rPr>
          <w:rFonts w:hint="eastAsia" w:ascii="宋体" w:hAnsi="宋体" w:cs="宋体"/>
          <w:sz w:val="24"/>
          <w:highlight w:val="none"/>
        </w:rPr>
        <w:t>地址：广州市天河区临江大道501号。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7.1.2付款方式：</w:t>
      </w:r>
      <w:r>
        <w:rPr>
          <w:rFonts w:hint="eastAsia" w:ascii="宋体" w:hAnsi="宋体" w:cs="宋体"/>
          <w:sz w:val="24"/>
          <w:highlight w:val="none"/>
        </w:rPr>
        <w:sym w:font="Wingdings" w:char="00FE"/>
      </w:r>
      <w:r>
        <w:rPr>
          <w:rFonts w:hint="eastAsia" w:ascii="宋体" w:hAnsi="宋体" w:cs="宋体"/>
          <w:sz w:val="24"/>
          <w:highlight w:val="none"/>
        </w:rPr>
        <w:t>网银支付；</w:t>
      </w:r>
      <w:r>
        <w:rPr>
          <w:rFonts w:hint="eastAsia" w:ascii="宋体" w:hAnsi="宋体" w:cs="宋体"/>
          <w:sz w:val="24"/>
          <w:highlight w:val="none"/>
        </w:rPr>
        <w:sym w:font="Wingdings" w:char="00A8"/>
      </w:r>
      <w:r>
        <w:rPr>
          <w:rFonts w:hint="eastAsia" w:ascii="宋体" w:hAnsi="宋体" w:cs="宋体"/>
          <w:sz w:val="24"/>
          <w:highlight w:val="none"/>
        </w:rPr>
        <w:t>支票；</w:t>
      </w:r>
      <w:r>
        <w:rPr>
          <w:rFonts w:hint="eastAsia" w:ascii="宋体" w:hAnsi="宋体" w:cs="宋体"/>
          <w:sz w:val="24"/>
          <w:highlight w:val="none"/>
        </w:rPr>
        <w:sym w:font="Wingdings" w:char="00A8"/>
      </w:r>
      <w:r>
        <w:rPr>
          <w:rFonts w:hint="eastAsia" w:ascii="宋体" w:hAnsi="宋体" w:cs="宋体"/>
          <w:sz w:val="24"/>
          <w:highlight w:val="none"/>
        </w:rPr>
        <w:t>其他：/</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7.2.1乙方向甲方</w:t>
      </w:r>
      <w:r>
        <w:rPr>
          <w:rFonts w:hint="eastAsia" w:ascii="宋体" w:hAnsi="宋体" w:cs="宋体"/>
          <w:sz w:val="24"/>
          <w:highlight w:val="none"/>
          <w:lang w:val="en-US" w:eastAsia="zh-CN"/>
        </w:rPr>
        <w:t>提交洪涝安全评估</w:t>
      </w:r>
      <w:r>
        <w:rPr>
          <w:rFonts w:hint="eastAsia" w:ascii="宋体" w:hAnsi="宋体" w:cs="宋体"/>
          <w:sz w:val="24"/>
          <w:highlight w:val="none"/>
        </w:rPr>
        <w:t>报告初稿，经甲方确认后，甲方向乙方支付至合同暂定价的</w:t>
      </w:r>
      <w:r>
        <w:rPr>
          <w:rFonts w:hint="eastAsia" w:ascii="宋体" w:hAnsi="宋体" w:cs="宋体"/>
          <w:sz w:val="24"/>
          <w:highlight w:val="none"/>
          <w:lang w:eastAsia="zh-CN"/>
        </w:rPr>
        <w:t>3</w:t>
      </w:r>
      <w:r>
        <w:rPr>
          <w:rFonts w:hint="eastAsia" w:ascii="宋体" w:hAnsi="宋体" w:cs="宋体"/>
          <w:sz w:val="24"/>
          <w:highlight w:val="none"/>
        </w:rPr>
        <w:t>0%；</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所述成果</w:t>
      </w:r>
      <w:r>
        <w:rPr>
          <w:rFonts w:hint="eastAsia" w:ascii="宋体" w:hAnsi="宋体" w:cs="宋体"/>
          <w:color w:val="auto"/>
          <w:sz w:val="24"/>
          <w:szCs w:val="24"/>
          <w:highlight w:val="none"/>
          <w:lang w:eastAsia="zh-CN"/>
        </w:rPr>
        <w:t>配合</w:t>
      </w:r>
      <w:r>
        <w:rPr>
          <w:rFonts w:hint="eastAsia" w:asciiTheme="minorEastAsia" w:hAnsiTheme="minorEastAsia" w:cstheme="minorEastAsia"/>
          <w:color w:val="auto"/>
          <w:sz w:val="24"/>
          <w:szCs w:val="24"/>
          <w:highlight w:val="none"/>
        </w:rPr>
        <w:t>新滘南路8号泵站地块控制性详细规划</w:t>
      </w:r>
      <w:r>
        <w:rPr>
          <w:rFonts w:hint="eastAsia" w:ascii="宋体" w:hAnsi="宋体" w:cs="宋体"/>
          <w:color w:val="auto"/>
          <w:sz w:val="24"/>
          <w:szCs w:val="24"/>
          <w:highlight w:val="none"/>
          <w:lang w:val="en-US" w:eastAsia="zh-CN"/>
        </w:rPr>
        <w:t>局部调整</w:t>
      </w:r>
      <w:r>
        <w:rPr>
          <w:rFonts w:hint="eastAsia" w:asciiTheme="minorEastAsia" w:hAnsiTheme="minorEastAsia" w:cstheme="minorEastAsia"/>
          <w:color w:val="auto"/>
          <w:sz w:val="24"/>
          <w:szCs w:val="24"/>
          <w:highlight w:val="none"/>
          <w:lang w:eastAsia="zh-CN"/>
        </w:rPr>
        <w:t>报告，</w:t>
      </w:r>
      <w:r>
        <w:rPr>
          <w:rFonts w:hint="eastAsia" w:ascii="宋体" w:hAnsi="宋体" w:cs="宋体"/>
          <w:color w:val="auto"/>
          <w:sz w:val="24"/>
          <w:szCs w:val="24"/>
          <w:highlight w:val="none"/>
        </w:rPr>
        <w:t>取得</w:t>
      </w:r>
      <w:r>
        <w:rPr>
          <w:rFonts w:hint="eastAsia" w:ascii="宋体" w:hAnsi="宋体" w:cs="宋体"/>
          <w:color w:val="auto"/>
          <w:sz w:val="24"/>
          <w:szCs w:val="24"/>
          <w:highlight w:val="none"/>
          <w:lang w:val="en-US" w:eastAsia="zh-CN"/>
        </w:rPr>
        <w:t>区</w:t>
      </w:r>
      <w:r>
        <w:rPr>
          <w:rFonts w:hint="eastAsia" w:ascii="宋体" w:hAnsi="宋体" w:cs="宋体"/>
          <w:color w:val="auto"/>
          <w:sz w:val="24"/>
          <w:szCs w:val="24"/>
          <w:highlight w:val="none"/>
        </w:rPr>
        <w:t>规划和自然资源局专题业务会书面同意意见后，甲方向乙方支付至合同</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rPr>
        <w:t>价的</w:t>
      </w:r>
      <w:r>
        <w:rPr>
          <w:rFonts w:ascii="宋体" w:hAnsi="宋体" w:cs="宋体"/>
          <w:color w:val="auto"/>
          <w:sz w:val="24"/>
          <w:szCs w:val="24"/>
          <w:highlight w:val="none"/>
        </w:rPr>
        <w:t>60%。</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所述成果</w:t>
      </w:r>
      <w:r>
        <w:rPr>
          <w:rFonts w:hint="eastAsia" w:ascii="宋体" w:hAnsi="宋体" w:cs="宋体"/>
          <w:color w:val="auto"/>
          <w:sz w:val="24"/>
          <w:szCs w:val="24"/>
          <w:highlight w:val="none"/>
          <w:lang w:eastAsia="zh-CN"/>
        </w:rPr>
        <w:t>配合</w:t>
      </w:r>
      <w:r>
        <w:rPr>
          <w:rFonts w:hint="eastAsia" w:asciiTheme="minorEastAsia" w:hAnsiTheme="minorEastAsia" w:cstheme="minorEastAsia"/>
          <w:color w:val="auto"/>
          <w:sz w:val="24"/>
          <w:szCs w:val="24"/>
          <w:highlight w:val="none"/>
        </w:rPr>
        <w:t>新滘南路8号泵站地块控制性详细规划</w:t>
      </w:r>
      <w:r>
        <w:rPr>
          <w:rFonts w:hint="eastAsia" w:ascii="宋体" w:hAnsi="宋体" w:cs="宋体"/>
          <w:color w:val="auto"/>
          <w:sz w:val="24"/>
          <w:szCs w:val="24"/>
          <w:highlight w:val="none"/>
          <w:lang w:val="en-US" w:eastAsia="zh-CN"/>
        </w:rPr>
        <w:t>局部调整</w:t>
      </w:r>
      <w:r>
        <w:rPr>
          <w:rFonts w:hint="eastAsia" w:asciiTheme="minorEastAsia" w:hAnsiTheme="minorEastAsia" w:cstheme="minorEastAsia"/>
          <w:color w:val="auto"/>
          <w:sz w:val="24"/>
          <w:szCs w:val="24"/>
          <w:highlight w:val="none"/>
          <w:lang w:eastAsia="zh-CN"/>
        </w:rPr>
        <w:t>报告，</w:t>
      </w:r>
      <w:r>
        <w:rPr>
          <w:rFonts w:hint="eastAsia" w:ascii="宋体" w:hAnsi="宋体" w:cs="宋体"/>
          <w:color w:val="auto"/>
          <w:sz w:val="24"/>
          <w:szCs w:val="24"/>
          <w:highlight w:val="none"/>
        </w:rPr>
        <w:t>取得市规划和自然资源局专题业务会书面同意意见后，甲方向乙方支付至合同</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rPr>
        <w:t>价的</w:t>
      </w:r>
      <w:r>
        <w:rPr>
          <w:rFonts w:ascii="宋体" w:hAnsi="宋体" w:cs="宋体"/>
          <w:color w:val="auto"/>
          <w:sz w:val="24"/>
          <w:szCs w:val="24"/>
          <w:highlight w:val="none"/>
        </w:rPr>
        <w:t>80%。</w:t>
      </w:r>
    </w:p>
    <w:p>
      <w:pPr>
        <w:overflowPunct w:val="0"/>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对属于《广州市财政投资评审管理办法》评审范围的财政性资金投资项目，财政投资评审结果作为该项目价款结算的依据，甲方按照评审结果全额支付。</w:t>
      </w:r>
      <w:r>
        <w:rPr>
          <w:rFonts w:hint="eastAsia" w:ascii="宋体" w:hAnsi="宋体"/>
          <w:sz w:val="24"/>
          <w:szCs w:val="24"/>
          <w:highlight w:val="none"/>
        </w:rPr>
        <w:t>如合同项目非财政性资金投资项目，</w:t>
      </w:r>
      <w:r>
        <w:rPr>
          <w:rFonts w:hint="eastAsia" w:ascii="宋体" w:hAnsi="宋体" w:cs="宋体"/>
          <w:sz w:val="24"/>
          <w:szCs w:val="24"/>
          <w:highlight w:val="none"/>
          <w:lang w:val="en-US" w:eastAsia="zh-CN"/>
        </w:rPr>
        <w:t>经甲方或甲方委托的第三方机构</w:t>
      </w:r>
      <w:r>
        <w:rPr>
          <w:rFonts w:hint="eastAsia" w:ascii="宋体" w:hAnsi="宋体" w:cs="宋体"/>
          <w:sz w:val="24"/>
          <w:szCs w:val="24"/>
          <w:highlight w:val="none"/>
        </w:rPr>
        <w:t>结算</w:t>
      </w:r>
      <w:r>
        <w:rPr>
          <w:rFonts w:hint="eastAsia" w:ascii="宋体" w:hAnsi="宋体" w:cs="宋体"/>
          <w:sz w:val="24"/>
          <w:szCs w:val="24"/>
          <w:highlight w:val="none"/>
          <w:lang w:val="en-US" w:eastAsia="zh-CN"/>
        </w:rPr>
        <w:t>审核</w:t>
      </w:r>
      <w:r>
        <w:rPr>
          <w:rFonts w:hint="eastAsia" w:ascii="宋体" w:hAnsi="宋体" w:cs="宋体"/>
          <w:sz w:val="24"/>
          <w:szCs w:val="24"/>
          <w:highlight w:val="none"/>
        </w:rPr>
        <w:t>后</w:t>
      </w:r>
      <w:r>
        <w:rPr>
          <w:rFonts w:hint="eastAsia" w:ascii="宋体" w:hAnsi="宋体"/>
          <w:sz w:val="24"/>
          <w:szCs w:val="24"/>
          <w:highlight w:val="none"/>
        </w:rPr>
        <w:t>，甲方支付至合同结算价的100% 。</w:t>
      </w:r>
    </w:p>
    <w:p>
      <w:pPr>
        <w:overflowPunct w:val="0"/>
        <w:adjustRightInd w:val="0"/>
        <w:spacing w:line="360" w:lineRule="auto"/>
        <w:ind w:firstLine="480" w:firstLineChars="200"/>
        <w:jc w:val="left"/>
        <w:textAlignment w:val="baseline"/>
        <w:rPr>
          <w:rFonts w:hint="eastAsia" w:ascii="宋体" w:hAnsi="宋体" w:cs="宋体"/>
          <w:sz w:val="24"/>
          <w:szCs w:val="24"/>
          <w:highlight w:val="none"/>
        </w:rPr>
      </w:pPr>
      <w:r>
        <w:rPr>
          <w:rFonts w:hint="eastAsia" w:ascii="宋体" w:hAnsi="宋体" w:cs="宋体"/>
          <w:sz w:val="24"/>
          <w:szCs w:val="24"/>
          <w:highlight w:val="none"/>
        </w:rPr>
        <w:t>如甲方实际支付的费用超过结算价的，乙方应当在结算完毕之日起30日内向甲方退还超支费用。乙方迟延退还的，每逾期一天按超支费用的三倍</w:t>
      </w:r>
      <w:r>
        <w:rPr>
          <w:rFonts w:hint="eastAsia" w:ascii="宋体" w:hAnsi="宋体" w:cs="宋体"/>
          <w:sz w:val="24"/>
          <w:highlight w:val="none"/>
          <w:lang w:val="en-US" w:eastAsia="zh-CN"/>
        </w:rPr>
        <w:t>全国银行间同业拆借中心公布的贷款市场报价利率向</w:t>
      </w:r>
      <w:r>
        <w:rPr>
          <w:rFonts w:hint="eastAsia" w:ascii="宋体" w:hAnsi="宋体" w:cs="宋体"/>
          <w:sz w:val="24"/>
          <w:szCs w:val="24"/>
          <w:highlight w:val="none"/>
        </w:rPr>
        <w:t>甲方支付利息。</w:t>
      </w:r>
    </w:p>
    <w:p>
      <w:pPr>
        <w:spacing w:line="360" w:lineRule="auto"/>
        <w:outlineLvl w:val="0"/>
        <w:rPr>
          <w:rFonts w:hint="eastAsia" w:ascii="宋体" w:hAnsi="宋体" w:cs="宋体"/>
          <w:b/>
          <w:bCs/>
          <w:sz w:val="28"/>
          <w:szCs w:val="28"/>
          <w:highlight w:val="none"/>
        </w:rPr>
      </w:pPr>
      <w:r>
        <w:rPr>
          <w:rFonts w:hint="eastAsia" w:ascii="宋体" w:hAnsi="宋体" w:cs="宋体"/>
          <w:b/>
          <w:bCs/>
          <w:sz w:val="28"/>
          <w:szCs w:val="28"/>
          <w:highlight w:val="none"/>
        </w:rPr>
        <w:t>第八条 双方的责任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8.1甲方责任</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8.1.2在合同履行期间，已开始编制工作，非乙方原因，甲方要求终止或解除合同，甲方根据乙方已进行的实际工作量按实进行结算，最高支付至合同价的六成。</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8.1.3甲方要求乙方比合同规定时间提前交付编制文件时，需征得乙方同意，不得严重背离合理编制周期。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8.2乙方责任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8.2.1乙方应在商定的时间内向甲方提交</w:t>
      </w:r>
      <w:r>
        <w:rPr>
          <w:rFonts w:hint="eastAsia" w:ascii="宋体" w:hAnsi="宋体" w:cs="宋体"/>
          <w:sz w:val="24"/>
          <w:highlight w:val="none"/>
          <w:lang w:val="en-US" w:eastAsia="zh-CN"/>
        </w:rPr>
        <w:t>工作成果</w:t>
      </w:r>
      <w:r>
        <w:rPr>
          <w:rFonts w:hint="eastAsia" w:ascii="宋体" w:hAnsi="宋体" w:cs="宋体"/>
          <w:sz w:val="24"/>
          <w:highlight w:val="none"/>
        </w:rPr>
        <w:t>，乙方保证具备相应的资质并对提交的文件、报告及所出的结论负责。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8.2.2因文件质量问题引起返工，除由乙方继续完善外，并视造成损失大小，减收直至免收编制费。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8.2.3乙方提交的</w:t>
      </w:r>
      <w:r>
        <w:rPr>
          <w:rFonts w:hint="eastAsia" w:ascii="宋体" w:hAnsi="宋体" w:cs="宋体"/>
          <w:sz w:val="24"/>
          <w:highlight w:val="none"/>
          <w:lang w:val="en-US" w:eastAsia="zh-CN"/>
        </w:rPr>
        <w:t>工作成果</w:t>
      </w:r>
      <w:r>
        <w:rPr>
          <w:rFonts w:hint="eastAsia" w:ascii="宋体" w:hAnsi="宋体" w:cs="宋体"/>
          <w:sz w:val="24"/>
          <w:highlight w:val="none"/>
        </w:rPr>
        <w:t>不符合合同约定，经修改后仍未达到要求的，甲方有权解除合同，要求乙方赔偿损失并返还已收到的全部合同价款，如逾期未返还，应按全国银行间同业拆借中心公布的贷款市场报价利率支付相应利息。</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8.2.4由于乙方自身原因，延误了按本合同第</w:t>
      </w:r>
      <w:r>
        <w:rPr>
          <w:rFonts w:hint="eastAsia" w:ascii="宋体" w:hAnsi="宋体" w:cs="宋体"/>
          <w:sz w:val="24"/>
          <w:highlight w:val="none"/>
          <w:lang w:val="en-US" w:eastAsia="zh-CN"/>
        </w:rPr>
        <w:t>四</w:t>
      </w:r>
      <w:r>
        <w:rPr>
          <w:rFonts w:hint="eastAsia" w:ascii="宋体" w:hAnsi="宋体" w:cs="宋体"/>
          <w:sz w:val="24"/>
          <w:highlight w:val="none"/>
        </w:rPr>
        <w:t>条规定的</w:t>
      </w:r>
      <w:r>
        <w:rPr>
          <w:rFonts w:hint="eastAsia" w:ascii="宋体" w:hAnsi="宋体" w:cs="宋体"/>
          <w:sz w:val="24"/>
          <w:highlight w:val="none"/>
          <w:lang w:eastAsia="zh-CN"/>
        </w:rPr>
        <w:t>洪涝安全评估</w:t>
      </w:r>
      <w:r>
        <w:rPr>
          <w:rFonts w:hint="eastAsia" w:ascii="宋体" w:hAnsi="宋体" w:cs="宋体"/>
          <w:sz w:val="24"/>
          <w:highlight w:val="none"/>
        </w:rPr>
        <w:t>报告交付时间，</w:t>
      </w:r>
      <w:r>
        <w:rPr>
          <w:rFonts w:hint="eastAsia" w:ascii="宋体" w:hAnsi="宋体" w:cs="宋体"/>
          <w:color w:val="000000"/>
          <w:sz w:val="24"/>
          <w:highlight w:val="none"/>
        </w:rPr>
        <w:t>每延误一天应</w:t>
      </w:r>
      <w:r>
        <w:rPr>
          <w:rFonts w:hint="eastAsia" w:ascii="宋体" w:hAnsi="宋体" w:cs="宋体"/>
          <w:color w:val="000000"/>
          <w:sz w:val="24"/>
          <w:highlight w:val="none"/>
          <w:lang w:val="en-US" w:eastAsia="zh-CN"/>
        </w:rPr>
        <w:t>支付</w:t>
      </w:r>
      <w:r>
        <w:rPr>
          <w:rFonts w:hint="eastAsia" w:ascii="宋体" w:hAnsi="宋体" w:cs="宋体"/>
          <w:color w:val="000000"/>
          <w:sz w:val="24"/>
          <w:highlight w:val="none"/>
        </w:rPr>
        <w:t>合同</w:t>
      </w:r>
      <w:r>
        <w:rPr>
          <w:rFonts w:hint="eastAsia" w:ascii="宋体" w:hAnsi="宋体" w:cs="宋体"/>
          <w:color w:val="000000"/>
          <w:sz w:val="24"/>
          <w:highlight w:val="none"/>
          <w:lang w:eastAsia="zh-CN"/>
        </w:rPr>
        <w:t>暂定</w:t>
      </w:r>
      <w:r>
        <w:rPr>
          <w:rFonts w:hint="eastAsia" w:ascii="宋体" w:hAnsi="宋体" w:cs="宋体"/>
          <w:color w:val="000000"/>
          <w:sz w:val="24"/>
          <w:highlight w:val="none"/>
        </w:rPr>
        <w:t>价的千分之三</w:t>
      </w:r>
      <w:r>
        <w:rPr>
          <w:rFonts w:hint="eastAsia" w:ascii="宋体" w:hAnsi="宋体" w:cs="宋体"/>
          <w:color w:val="000000"/>
          <w:sz w:val="24"/>
          <w:highlight w:val="none"/>
          <w:lang w:val="en-US" w:eastAsia="zh-CN"/>
        </w:rPr>
        <w:t>作为违约金</w:t>
      </w:r>
      <w:r>
        <w:rPr>
          <w:rFonts w:hint="eastAsia" w:ascii="宋体" w:hAnsi="宋体" w:cs="宋体"/>
          <w:sz w:val="24"/>
          <w:highlight w:val="none"/>
        </w:rPr>
        <w:t>，逾期超过30天，甲方有权解除合同</w:t>
      </w:r>
      <w:r>
        <w:rPr>
          <w:rFonts w:hint="eastAsia" w:ascii="宋体" w:hAnsi="宋体" w:cs="宋体"/>
          <w:sz w:val="24"/>
          <w:highlight w:val="none"/>
          <w:lang w:eastAsia="zh-CN"/>
        </w:rPr>
        <w:t>，</w:t>
      </w:r>
      <w:r>
        <w:rPr>
          <w:rFonts w:hint="eastAsia" w:ascii="宋体" w:hAnsi="宋体" w:cs="宋体"/>
          <w:sz w:val="24"/>
          <w:highlight w:val="none"/>
          <w:lang w:val="en-US" w:eastAsia="zh-CN"/>
        </w:rPr>
        <w:t>乙方应</w:t>
      </w:r>
      <w:r>
        <w:rPr>
          <w:rFonts w:hint="eastAsia" w:ascii="宋体" w:hAnsi="宋体" w:cs="宋体"/>
          <w:sz w:val="24"/>
          <w:highlight w:val="none"/>
        </w:rPr>
        <w:t>返还已收到的全部合同价款</w:t>
      </w:r>
      <w:r>
        <w:rPr>
          <w:rFonts w:hint="eastAsia" w:ascii="宋体" w:hAnsi="宋体" w:cs="宋体"/>
          <w:sz w:val="24"/>
          <w:highlight w:val="none"/>
          <w:lang w:eastAsia="zh-CN"/>
        </w:rPr>
        <w:t>，</w:t>
      </w:r>
      <w:r>
        <w:rPr>
          <w:rFonts w:hint="eastAsia" w:ascii="宋体" w:hAnsi="宋体" w:cs="宋体"/>
          <w:sz w:val="24"/>
          <w:highlight w:val="none"/>
          <w:lang w:val="en-US" w:eastAsia="zh-CN"/>
        </w:rPr>
        <w:t>并赔偿</w:t>
      </w:r>
      <w:r>
        <w:rPr>
          <w:rFonts w:hint="eastAsia" w:ascii="宋体" w:hAnsi="宋体" w:cs="宋体"/>
          <w:sz w:val="24"/>
          <w:highlight w:val="none"/>
        </w:rPr>
        <w:t>由此给甲方造成</w:t>
      </w:r>
      <w:r>
        <w:rPr>
          <w:rFonts w:hint="eastAsia" w:ascii="宋体" w:hAnsi="宋体" w:cs="宋体"/>
          <w:sz w:val="24"/>
          <w:highlight w:val="none"/>
          <w:lang w:val="en-US" w:eastAsia="zh-CN"/>
        </w:rPr>
        <w:t>的</w:t>
      </w:r>
      <w:r>
        <w:rPr>
          <w:rFonts w:hint="eastAsia" w:ascii="宋体" w:hAnsi="宋体" w:cs="宋体"/>
          <w:sz w:val="24"/>
          <w:highlight w:val="none"/>
        </w:rPr>
        <w:t>损失。</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8.2.</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color w:val="000000"/>
          <w:sz w:val="24"/>
          <w:highlight w:val="none"/>
          <w:lang w:eastAsia="zh-CN"/>
        </w:rPr>
        <w:t>暂定</w:t>
      </w:r>
      <w:r>
        <w:rPr>
          <w:rFonts w:hint="eastAsia" w:ascii="宋体" w:hAnsi="宋体" w:cs="宋体"/>
          <w:color w:val="000000"/>
          <w:sz w:val="24"/>
          <w:highlight w:val="none"/>
        </w:rPr>
        <w:t>价1%的违约金。不论何种情况下保密内容失密的，乙方应当及时采取救济措施。若乙方怠于救济导致甲方损失扩大的，乙方对扩大部分承担赔偿责任。</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8.2.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若标准或计划变更，经甲方同意，乙方可顺延期</w:t>
      </w:r>
      <w:r>
        <w:rPr>
          <w:rFonts w:hint="eastAsia" w:ascii="宋体" w:hAnsi="宋体" w:cs="宋体"/>
          <w:color w:val="000000"/>
          <w:sz w:val="24"/>
          <w:highlight w:val="none"/>
          <w:lang w:eastAsia="zh-CN"/>
        </w:rPr>
        <w:t>限</w:t>
      </w:r>
      <w:r>
        <w:rPr>
          <w:rFonts w:hint="eastAsia" w:ascii="宋体" w:hAnsi="宋体" w:cs="宋体"/>
          <w:color w:val="000000"/>
          <w:sz w:val="24"/>
          <w:highlight w:val="none"/>
        </w:rPr>
        <w:t>。</w:t>
      </w:r>
    </w:p>
    <w:p>
      <w:pPr>
        <w:spacing w:line="360" w:lineRule="auto"/>
        <w:ind w:firstLine="480" w:firstLineChars="200"/>
        <w:jc w:val="left"/>
        <w:textAlignment w:val="baseline"/>
        <w:rPr>
          <w:rFonts w:ascii="宋体"/>
          <w:sz w:val="24"/>
          <w:highlight w:val="none"/>
        </w:rPr>
      </w:pPr>
      <w:r>
        <w:rPr>
          <w:rFonts w:hint="eastAsia" w:ascii="宋体" w:hAnsi="宋体" w:cs="宋体"/>
          <w:sz w:val="24"/>
          <w:highlight w:val="none"/>
        </w:rPr>
        <w:t>8.2.</w:t>
      </w:r>
      <w:r>
        <w:rPr>
          <w:rFonts w:hint="eastAsia" w:ascii="宋体" w:hAnsi="宋体" w:cs="宋体"/>
          <w:sz w:val="24"/>
          <w:highlight w:val="none"/>
          <w:lang w:val="en-US" w:eastAsia="zh-CN"/>
        </w:rPr>
        <w:t>7</w:t>
      </w:r>
      <w:r>
        <w:rPr>
          <w:rFonts w:hint="eastAsia" w:ascii="宋体" w:hAnsi="宋体" w:cs="宋体"/>
          <w:sz w:val="24"/>
          <w:highlight w:val="none"/>
        </w:rPr>
        <w:t>非甲方原因，乙方要求解除合同的，应返还已支付的全部费用</w:t>
      </w:r>
      <w:r>
        <w:rPr>
          <w:rFonts w:hint="eastAsia" w:ascii="宋体" w:hAnsi="宋体" w:cs="宋体"/>
          <w:sz w:val="24"/>
          <w:highlight w:val="none"/>
          <w:lang w:val="en-US" w:eastAsia="zh-CN"/>
        </w:rPr>
        <w:t>、支付合同暂定价20%的违约金</w:t>
      </w:r>
      <w:r>
        <w:rPr>
          <w:rFonts w:hint="eastAsia" w:ascii="宋体" w:hAnsi="宋体" w:cs="宋体"/>
          <w:sz w:val="24"/>
          <w:highlight w:val="none"/>
        </w:rPr>
        <w:t>，并赔偿由此带来的损失。</w:t>
      </w:r>
    </w:p>
    <w:p>
      <w:pPr>
        <w:spacing w:line="360" w:lineRule="auto"/>
        <w:jc w:val="left"/>
        <w:textAlignment w:val="baseline"/>
        <w:rPr>
          <w:rFonts w:hint="eastAsia" w:ascii="宋体" w:hAnsi="宋体" w:cs="宋体"/>
          <w:color w:val="000000"/>
          <w:sz w:val="24"/>
          <w:highlight w:val="none"/>
        </w:rPr>
      </w:pPr>
      <w:r>
        <w:rPr>
          <w:rFonts w:hint="eastAsia" w:ascii="宋体" w:hAnsi="宋体" w:cs="宋体"/>
          <w:b/>
          <w:bCs/>
          <w:color w:val="000000"/>
          <w:sz w:val="28"/>
          <w:szCs w:val="28"/>
          <w:highlight w:val="none"/>
        </w:rPr>
        <w:t>第九条 知识产权</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双方均应保护对方的知识产权，未经对方同意，任何一方均不得对对方的资料及文件擅自修改、复制或向第三人转让以及用于本合同项目外的项目。如发生以上情况，违约方承担一切由此引起的后果并承担赔偿责任。</w:t>
      </w:r>
    </w:p>
    <w:p>
      <w:pPr>
        <w:adjustRightInd w:val="0"/>
        <w:spacing w:line="360" w:lineRule="auto"/>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乙方应确保向甲方提交的成果不会侵犯第三方知识产权等权利，如因甲方使用乙方提交的成果侵犯第三方权利的，由乙方负责处理，并承担由此产生的一切费用、责任。同时，甲方有权单方面解除合同，并有权要求乙方支付合同暂定总额百分之十的违约金，且乙方应赔偿由此给甲方造成的一切损失。</w:t>
      </w:r>
    </w:p>
    <w:p>
      <w:pPr>
        <w:spacing w:line="360" w:lineRule="auto"/>
        <w:jc w:val="left"/>
        <w:textAlignment w:val="baseline"/>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rPr>
        <w:t xml:space="preserve">第十条 </w:t>
      </w:r>
      <w:r>
        <w:rPr>
          <w:rFonts w:hint="eastAsia" w:ascii="宋体" w:hAnsi="宋体" w:cs="宋体"/>
          <w:b/>
          <w:bCs/>
          <w:color w:val="000000"/>
          <w:sz w:val="28"/>
          <w:szCs w:val="28"/>
          <w:highlight w:val="none"/>
          <w:lang w:val="en-US" w:eastAsia="zh-CN"/>
        </w:rPr>
        <w:t>争议解决</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本合同履行过程中发生争议，由双方当事人协商解决。协商不成的依法向甲方所在地的人民法院起诉。</w:t>
      </w:r>
    </w:p>
    <w:p>
      <w:pPr>
        <w:spacing w:line="360" w:lineRule="auto"/>
        <w:jc w:val="left"/>
        <w:textAlignment w:val="baseline"/>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第十一条 合同生效及其他</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11.1合同生效的条件：合同签订盖章。</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11.2甲方委托乙方承担本合同内容以外的工作服务，需另行签订协议并支付费用。</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11.3当项目的建设业主变更时，甲方应书面通知乙方并协商合同终止或变更事宜。</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11.4由于不可抗力因素致使合同无法履行时，双方应及时协商解决。</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11.5本合同正本一式</w:t>
      </w:r>
      <w:r>
        <w:rPr>
          <w:rFonts w:hint="eastAsia" w:ascii="宋体" w:hAnsi="宋体" w:cs="宋体"/>
          <w:color w:val="000000"/>
          <w:sz w:val="24"/>
          <w:highlight w:val="none"/>
          <w:u w:val="single"/>
        </w:rPr>
        <w:t>贰</w:t>
      </w:r>
      <w:r>
        <w:rPr>
          <w:rFonts w:hint="eastAsia" w:ascii="宋体" w:hAnsi="宋体" w:cs="宋体"/>
          <w:color w:val="000000"/>
          <w:sz w:val="24"/>
          <w:highlight w:val="none"/>
        </w:rPr>
        <w:t>份，甲方执</w:t>
      </w:r>
      <w:r>
        <w:rPr>
          <w:rFonts w:hint="eastAsia" w:ascii="宋体" w:hAnsi="宋体" w:cs="宋体"/>
          <w:color w:val="000000"/>
          <w:sz w:val="24"/>
          <w:highlight w:val="none"/>
          <w:u w:val="single"/>
        </w:rPr>
        <w:t>壹</w:t>
      </w:r>
      <w:r>
        <w:rPr>
          <w:rFonts w:hint="eastAsia" w:ascii="宋体" w:hAnsi="宋体" w:cs="宋体"/>
          <w:color w:val="000000"/>
          <w:sz w:val="24"/>
          <w:highlight w:val="none"/>
        </w:rPr>
        <w:t>份，乙方执</w:t>
      </w:r>
      <w:r>
        <w:rPr>
          <w:rFonts w:hint="eastAsia" w:ascii="宋体" w:hAnsi="宋体" w:cs="宋体"/>
          <w:color w:val="000000"/>
          <w:sz w:val="24"/>
          <w:highlight w:val="none"/>
          <w:u w:val="single"/>
        </w:rPr>
        <w:t>壹</w:t>
      </w:r>
      <w:r>
        <w:rPr>
          <w:rFonts w:hint="eastAsia" w:ascii="宋体" w:hAnsi="宋体" w:cs="宋体"/>
          <w:color w:val="000000"/>
          <w:sz w:val="24"/>
          <w:highlight w:val="none"/>
        </w:rPr>
        <w:t>份；副本一式</w:t>
      </w:r>
      <w:r>
        <w:rPr>
          <w:rFonts w:hint="eastAsia" w:ascii="宋体" w:hAnsi="宋体" w:cs="宋体"/>
          <w:color w:val="000000"/>
          <w:sz w:val="24"/>
          <w:highlight w:val="none"/>
          <w:u w:val="single"/>
        </w:rPr>
        <w:t>捌</w:t>
      </w:r>
      <w:r>
        <w:rPr>
          <w:rFonts w:hint="eastAsia" w:ascii="宋体" w:hAnsi="宋体" w:cs="宋体"/>
          <w:color w:val="000000"/>
          <w:sz w:val="24"/>
          <w:highlight w:val="none"/>
        </w:rPr>
        <w:t>份，甲方执</w:t>
      </w:r>
      <w:r>
        <w:rPr>
          <w:rFonts w:hint="eastAsia" w:ascii="宋体" w:hAnsi="宋体" w:cs="宋体"/>
          <w:color w:val="000000"/>
          <w:sz w:val="24"/>
          <w:highlight w:val="none"/>
          <w:u w:val="single"/>
        </w:rPr>
        <w:t>伍</w:t>
      </w:r>
      <w:r>
        <w:rPr>
          <w:rFonts w:hint="eastAsia" w:ascii="宋体" w:hAnsi="宋体" w:cs="宋体"/>
          <w:color w:val="000000"/>
          <w:sz w:val="24"/>
          <w:highlight w:val="none"/>
        </w:rPr>
        <w:t>份，乙方执</w:t>
      </w:r>
      <w:r>
        <w:rPr>
          <w:rFonts w:hint="eastAsia" w:ascii="宋体" w:hAnsi="宋体" w:cs="宋体"/>
          <w:color w:val="000000"/>
          <w:sz w:val="24"/>
          <w:highlight w:val="none"/>
          <w:u w:val="single"/>
        </w:rPr>
        <w:t>叁</w:t>
      </w:r>
      <w:r>
        <w:rPr>
          <w:rFonts w:hint="eastAsia" w:ascii="宋体" w:hAnsi="宋体" w:cs="宋体"/>
          <w:color w:val="000000"/>
          <w:sz w:val="24"/>
          <w:highlight w:val="none"/>
        </w:rPr>
        <w:t>份，双方所执合同具同等法律效力（若正本与副本有差异，以正本为准。）</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11.6双方履行完合同规定的义务后，本合同即行终止。</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highlight w:val="none"/>
        </w:rPr>
        <w:t>11.7双方认可的来往传真、会议纪要等，均为合同的组成部分，与本合同具有同等法律效力。</w:t>
      </w:r>
    </w:p>
    <w:p>
      <w:pPr>
        <w:spacing w:line="360" w:lineRule="auto"/>
        <w:ind w:firstLine="480" w:firstLineChars="200"/>
        <w:textAlignment w:val="baseline"/>
        <w:outlineLvl w:val="0"/>
        <w:rPr>
          <w:rFonts w:hint="eastAsia" w:ascii="宋体" w:hAnsi="宋体" w:cs="宋体"/>
          <w:color w:val="000000"/>
          <w:sz w:val="24"/>
          <w:highlight w:val="none"/>
        </w:rPr>
      </w:pPr>
      <w:r>
        <w:rPr>
          <w:rFonts w:hint="eastAsia" w:ascii="宋体" w:hAnsi="宋体" w:cs="宋体"/>
          <w:color w:val="000000"/>
          <w:sz w:val="24"/>
          <w:highlight w:val="none"/>
        </w:rPr>
        <w:t>11.8未尽事宜，双方协商一致，可签订补充协议，补充协议与本合同具有同等效力。</w:t>
      </w:r>
    </w:p>
    <w:p>
      <w:pPr>
        <w:pStyle w:val="15"/>
        <w:spacing w:line="360" w:lineRule="auto"/>
        <w:ind w:left="0" w:leftChars="0" w:firstLine="480" w:firstLineChars="200"/>
        <w:rPr>
          <w:rFonts w:ascii="宋体" w:hAnsi="宋体" w:cs="宋体"/>
          <w:color w:val="000000"/>
          <w:sz w:val="24"/>
          <w:highlight w:val="none"/>
        </w:rPr>
      </w:pPr>
      <w:r>
        <w:rPr>
          <w:rFonts w:hint="eastAsia" w:ascii="宋体" w:hAnsi="宋体" w:cs="宋体"/>
          <w:color w:val="000000"/>
          <w:sz w:val="24"/>
          <w:highlight w:val="none"/>
        </w:rPr>
        <w:t>11.9本合同附件是合同不可分割的一部分，具有相同的法律效力，具体附件如下：</w:t>
      </w:r>
    </w:p>
    <w:p>
      <w:pPr>
        <w:pStyle w:val="15"/>
        <w:spacing w:line="360" w:lineRule="auto"/>
        <w:ind w:left="0" w:leftChars="0" w:firstLine="480" w:firstLineChars="200"/>
        <w:rPr>
          <w:rFonts w:ascii="宋体" w:hAnsi="宋体" w:cs="宋体"/>
          <w:color w:val="000000"/>
          <w:sz w:val="24"/>
          <w:highlight w:val="none"/>
        </w:rPr>
      </w:pPr>
      <w:r>
        <w:rPr>
          <w:rFonts w:hint="eastAsia" w:ascii="宋体" w:hAnsi="宋体" w:cs="宋体"/>
          <w:color w:val="000000"/>
          <w:sz w:val="24"/>
          <w:highlight w:val="none"/>
        </w:rPr>
        <w:t>附件1：廉洁协议</w:t>
      </w:r>
    </w:p>
    <w:p>
      <w:pPr>
        <w:pStyle w:val="15"/>
        <w:spacing w:line="360" w:lineRule="auto"/>
        <w:ind w:left="0" w:leftChars="0"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附件2：安全协议书</w:t>
      </w:r>
    </w:p>
    <w:p>
      <w:pPr>
        <w:spacing w:line="360" w:lineRule="auto"/>
        <w:ind w:firstLine="480" w:firstLineChars="200"/>
        <w:textAlignment w:val="baseline"/>
        <w:outlineLvl w:val="0"/>
        <w:rPr>
          <w:rFonts w:hint="eastAsia" w:ascii="宋体" w:hAnsi="宋体" w:cs="宋体"/>
          <w:color w:val="000000"/>
          <w:sz w:val="24"/>
          <w:highlight w:val="none"/>
        </w:rPr>
      </w:pPr>
    </w:p>
    <w:p>
      <w:pPr>
        <w:pStyle w:val="15"/>
        <w:adjustRightInd w:val="0"/>
        <w:spacing w:after="0" w:line="360" w:lineRule="auto"/>
        <w:ind w:left="0" w:leftChars="0" w:firstLine="480" w:firstLineChars="200"/>
        <w:jc w:val="center"/>
        <w:textAlignment w:val="baseline"/>
        <w:rPr>
          <w:rFonts w:hint="eastAsia" w:ascii="宋体" w:hAnsi="宋体" w:cs="宋体"/>
          <w:color w:val="000000"/>
          <w:sz w:val="24"/>
          <w:highlight w:val="none"/>
        </w:rPr>
      </w:pPr>
      <w:r>
        <w:rPr>
          <w:rFonts w:hint="eastAsia" w:ascii="宋体" w:hAnsi="宋体" w:cs="宋体"/>
          <w:color w:val="000000"/>
          <w:sz w:val="24"/>
          <w:highlight w:val="none"/>
        </w:rPr>
        <w:t>（以下无正文）</w:t>
      </w:r>
    </w:p>
    <w:p>
      <w:pPr>
        <w:topLinePunct/>
        <w:spacing w:line="360" w:lineRule="auto"/>
        <w:jc w:val="left"/>
        <w:rPr>
          <w:rFonts w:hint="eastAsia" w:ascii="宋体" w:hAnsi="宋体" w:cs="宋体"/>
          <w:sz w:val="24"/>
          <w:highlight w:val="none"/>
        </w:rPr>
      </w:pPr>
      <w:r>
        <w:rPr>
          <w:rFonts w:hint="eastAsia" w:ascii="宋体" w:hAnsi="宋体" w:cs="宋体"/>
          <w:sz w:val="24"/>
          <w:highlight w:val="none"/>
        </w:rPr>
        <w:t xml:space="preserve"> </w:t>
      </w:r>
    </w:p>
    <w:p>
      <w:pPr>
        <w:topLinePunct/>
        <w:spacing w:line="360" w:lineRule="auto"/>
        <w:jc w:val="left"/>
        <w:rPr>
          <w:rFonts w:hint="eastAsia" w:ascii="宋体" w:hAnsi="宋体" w:cs="宋体"/>
          <w:sz w:val="24"/>
          <w:highlight w:val="none"/>
        </w:rPr>
      </w:pPr>
    </w:p>
    <w:p>
      <w:pPr>
        <w:topLinePunct/>
        <w:spacing w:line="360" w:lineRule="auto"/>
        <w:jc w:val="left"/>
        <w:rPr>
          <w:rFonts w:hint="eastAsia" w:ascii="宋体" w:hAnsi="宋体" w:cs="宋体"/>
          <w:sz w:val="24"/>
          <w:highlight w:val="none"/>
        </w:rPr>
      </w:pPr>
    </w:p>
    <w:p>
      <w:pPr>
        <w:topLinePunct/>
        <w:spacing w:line="360" w:lineRule="auto"/>
        <w:jc w:val="left"/>
        <w:rPr>
          <w:rFonts w:hint="eastAsia" w:ascii="宋体" w:hAnsi="宋体" w:cs="宋体"/>
          <w:sz w:val="24"/>
          <w:highlight w:val="none"/>
        </w:rPr>
      </w:pPr>
    </w:p>
    <w:tbl>
      <w:tblPr>
        <w:tblStyle w:val="24"/>
        <w:tblW w:w="9167" w:type="dxa"/>
        <w:jc w:val="center"/>
        <w:tblLayout w:type="fixed"/>
        <w:tblCellMar>
          <w:top w:w="0" w:type="dxa"/>
          <w:left w:w="28" w:type="dxa"/>
          <w:bottom w:w="0" w:type="dxa"/>
          <w:right w:w="28" w:type="dxa"/>
        </w:tblCellMar>
      </w:tblPr>
      <w:tblGrid>
        <w:gridCol w:w="4190"/>
        <w:gridCol w:w="4977"/>
      </w:tblGrid>
      <w:tr>
        <w:tblPrEx>
          <w:tblCellMar>
            <w:top w:w="0" w:type="dxa"/>
            <w:left w:w="28" w:type="dxa"/>
            <w:bottom w:w="0" w:type="dxa"/>
            <w:right w:w="28" w:type="dxa"/>
          </w:tblCellMar>
        </w:tblPrEx>
        <w:trPr>
          <w:trHeight w:val="310"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甲方：广州市净水有限公司</w:t>
            </w:r>
          </w:p>
        </w:tc>
        <w:tc>
          <w:tcPr>
            <w:tcW w:w="4977" w:type="dxa"/>
            <w:noWrap w:val="0"/>
            <w:vAlign w:val="top"/>
          </w:tcPr>
          <w:p>
            <w:pPr>
              <w:spacing w:line="360" w:lineRule="auto"/>
              <w:rPr>
                <w:rFonts w:hint="eastAsia" w:ascii="宋体" w:hAnsi="宋体" w:cs="宋体" w:eastAsiaTheme="minorEastAsia"/>
                <w:sz w:val="24"/>
                <w:highlight w:val="none"/>
                <w:lang w:eastAsia="zh-CN"/>
              </w:rPr>
            </w:pPr>
            <w:r>
              <w:rPr>
                <w:rFonts w:hint="eastAsia" w:ascii="宋体" w:hAnsi="宋体" w:cs="宋体"/>
                <w:sz w:val="24"/>
                <w:highlight w:val="none"/>
              </w:rPr>
              <w:t>乙方：</w:t>
            </w:r>
            <w:r>
              <w:rPr>
                <w:rFonts w:hint="eastAsia" w:hAnsi="宋体"/>
                <w:color w:val="000000"/>
                <w:sz w:val="24"/>
                <w:highlight w:val="none"/>
                <w:lang w:val="en-US" w:eastAsia="zh-CN"/>
              </w:rPr>
              <w:t xml:space="preserve"> </w:t>
            </w:r>
          </w:p>
        </w:tc>
      </w:tr>
      <w:tr>
        <w:tblPrEx>
          <w:tblCellMar>
            <w:top w:w="0" w:type="dxa"/>
            <w:left w:w="28" w:type="dxa"/>
            <w:bottom w:w="0" w:type="dxa"/>
            <w:right w:w="28" w:type="dxa"/>
          </w:tblCellMar>
        </w:tblPrEx>
        <w:trPr>
          <w:trHeight w:val="620"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（盖章）</w:t>
            </w:r>
          </w:p>
          <w:p>
            <w:pPr>
              <w:spacing w:line="360" w:lineRule="auto"/>
              <w:rPr>
                <w:rFonts w:hint="eastAsia" w:ascii="宋体" w:hAnsi="宋体" w:cs="宋体"/>
                <w:sz w:val="24"/>
                <w:highlight w:val="none"/>
              </w:rPr>
            </w:pP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（盖章）</w:t>
            </w:r>
          </w:p>
          <w:p>
            <w:pPr>
              <w:spacing w:line="360" w:lineRule="auto"/>
              <w:rPr>
                <w:rFonts w:hint="eastAsia" w:ascii="宋体" w:hAnsi="宋体" w:cs="宋体"/>
                <w:sz w:val="24"/>
                <w:highlight w:val="none"/>
              </w:rPr>
            </w:pPr>
          </w:p>
        </w:tc>
      </w:tr>
      <w:tr>
        <w:tblPrEx>
          <w:tblCellMar>
            <w:top w:w="0" w:type="dxa"/>
            <w:left w:w="28" w:type="dxa"/>
            <w:bottom w:w="0" w:type="dxa"/>
            <w:right w:w="28" w:type="dxa"/>
          </w:tblCellMar>
        </w:tblPrEx>
        <w:trPr>
          <w:trHeight w:val="930"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法定代表人/授权代理人：</w:t>
            </w:r>
          </w:p>
          <w:p>
            <w:pPr>
              <w:spacing w:line="360" w:lineRule="auto"/>
              <w:rPr>
                <w:rFonts w:hint="eastAsia" w:ascii="宋体" w:hAnsi="宋体" w:cs="宋体"/>
                <w:sz w:val="24"/>
                <w:highlight w:val="none"/>
              </w:rPr>
            </w:pP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法定代表人/授权代理人：</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联系人：</w:t>
            </w:r>
          </w:p>
        </w:tc>
        <w:tc>
          <w:tcPr>
            <w:tcW w:w="4977" w:type="dxa"/>
            <w:noWrap w:val="0"/>
            <w:vAlign w:val="top"/>
          </w:tcPr>
          <w:p>
            <w:pPr>
              <w:widowControl/>
              <w:jc w:val="left"/>
              <w:rPr>
                <w:rFonts w:hint="eastAsia" w:ascii="宋体" w:hAnsi="宋体" w:cs="宋体" w:eastAsiaTheme="minorEastAsia"/>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 xml:space="preserve"> </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地址：</w:t>
            </w:r>
          </w:p>
        </w:tc>
        <w:tc>
          <w:tcPr>
            <w:tcW w:w="4977" w:type="dxa"/>
            <w:noWrap w:val="0"/>
            <w:vAlign w:val="top"/>
          </w:tcPr>
          <w:p>
            <w:pPr>
              <w:spacing w:line="360" w:lineRule="auto"/>
              <w:ind w:left="742" w:hanging="741" w:hangingChars="309"/>
              <w:rPr>
                <w:rFonts w:hint="eastAsia" w:ascii="宋体" w:hAnsi="宋体" w:cs="宋体" w:eastAsiaTheme="minorEastAsia"/>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邮政编码：</w:t>
            </w:r>
          </w:p>
        </w:tc>
        <w:tc>
          <w:tcPr>
            <w:tcW w:w="4977" w:type="dxa"/>
            <w:noWrap w:val="0"/>
            <w:vAlign w:val="top"/>
          </w:tcPr>
          <w:p>
            <w:pPr>
              <w:spacing w:line="360" w:lineRule="auto"/>
              <w:rPr>
                <w:rFonts w:hint="eastAsia" w:ascii="宋体" w:hAnsi="宋体" w:cs="宋体" w:eastAsiaTheme="minorEastAsia"/>
                <w:sz w:val="24"/>
                <w:highlight w:val="none"/>
                <w:lang w:eastAsia="zh-CN"/>
              </w:rPr>
            </w:pPr>
            <w:r>
              <w:rPr>
                <w:rFonts w:hint="eastAsia" w:ascii="宋体" w:hAnsi="宋体" w:cs="宋体"/>
                <w:sz w:val="24"/>
                <w:highlight w:val="none"/>
              </w:rPr>
              <w:t>邮政编码：</w:t>
            </w:r>
            <w:r>
              <w:rPr>
                <w:rFonts w:hint="eastAsia" w:ascii="宋体" w:hAnsi="宋体" w:cs="宋体"/>
                <w:sz w:val="24"/>
                <w:highlight w:val="none"/>
                <w:lang w:val="en-US" w:eastAsia="zh-CN"/>
              </w:rPr>
              <w:t xml:space="preserve"> </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ascii="宋体" w:hAnsi="宋体" w:cs="宋体"/>
                <w:sz w:val="24"/>
                <w:highlight w:val="none"/>
              </w:rPr>
            </w:pPr>
            <w:r>
              <w:rPr>
                <w:rFonts w:hint="eastAsia" w:ascii="宋体" w:hAnsi="宋体" w:cs="宋体"/>
                <w:sz w:val="24"/>
                <w:highlight w:val="none"/>
              </w:rPr>
              <w:t>电话：</w:t>
            </w:r>
          </w:p>
        </w:tc>
        <w:tc>
          <w:tcPr>
            <w:tcW w:w="4977" w:type="dxa"/>
            <w:noWrap w:val="0"/>
            <w:vAlign w:val="top"/>
          </w:tcPr>
          <w:p>
            <w:pPr>
              <w:spacing w:line="360" w:lineRule="auto"/>
              <w:rPr>
                <w:rFonts w:hint="eastAsia" w:ascii="宋体" w:hAnsi="宋体" w:cs="宋体" w:eastAsiaTheme="minorEastAsia"/>
                <w:sz w:val="24"/>
                <w:highlight w:val="none"/>
                <w:lang w:eastAsia="zh-CN"/>
              </w:rPr>
            </w:pPr>
            <w:r>
              <w:rPr>
                <w:rFonts w:hint="eastAsia" w:ascii="宋体" w:hAnsi="宋体" w:cs="宋体"/>
                <w:sz w:val="24"/>
                <w:highlight w:val="none"/>
              </w:rPr>
              <w:t>电话：</w:t>
            </w:r>
            <w:r>
              <w:rPr>
                <w:rFonts w:hint="eastAsia" w:ascii="宋体" w:hAnsi="宋体" w:cs="宋体"/>
                <w:sz w:val="24"/>
                <w:highlight w:val="none"/>
                <w:lang w:val="en-US" w:eastAsia="zh-CN"/>
              </w:rPr>
              <w:t xml:space="preserve"> </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传真：</w:t>
            </w: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传真：</w:t>
            </w:r>
          </w:p>
        </w:tc>
      </w:tr>
      <w:tr>
        <w:tblPrEx>
          <w:tblCellMar>
            <w:top w:w="0" w:type="dxa"/>
            <w:left w:w="28" w:type="dxa"/>
            <w:bottom w:w="0" w:type="dxa"/>
            <w:right w:w="28" w:type="dxa"/>
          </w:tblCellMar>
        </w:tblPrEx>
        <w:trPr>
          <w:trHeight w:val="414"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签定日期： 年 月 日</w:t>
            </w: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签定日期： 年 月 日</w:t>
            </w:r>
          </w:p>
        </w:tc>
      </w:tr>
    </w:tbl>
    <w:p>
      <w:pPr>
        <w:tabs>
          <w:tab w:val="left" w:pos="-420"/>
          <w:tab w:val="left" w:pos="1200"/>
          <w:tab w:val="left" w:pos="4200"/>
          <w:tab w:val="left" w:pos="4800"/>
          <w:tab w:val="left" w:pos="5400"/>
        </w:tabs>
        <w:spacing w:line="360" w:lineRule="auto"/>
        <w:ind w:left="-420" w:leftChars="-200" w:right="-506" w:rightChars="-241"/>
        <w:jc w:val="center"/>
        <w:rPr>
          <w:rFonts w:hint="eastAsia" w:ascii="宋体" w:hAnsi="宋体" w:cs="宋体"/>
          <w:sz w:val="24"/>
          <w:highlight w:val="none"/>
        </w:rPr>
        <w:sectPr>
          <w:headerReference r:id="rId7" w:type="default"/>
          <w:footerReference r:id="rId8" w:type="default"/>
          <w:pgSz w:w="11906" w:h="16838"/>
          <w:pgMar w:top="1440" w:right="1797" w:bottom="1440" w:left="1797" w:header="851" w:footer="992" w:gutter="0"/>
          <w:cols w:space="720" w:num="1"/>
          <w:docGrid w:linePitch="312" w:charSpace="0"/>
        </w:sectPr>
      </w:pPr>
    </w:p>
    <w:p>
      <w:pPr>
        <w:keepNext/>
        <w:keepLines/>
        <w:adjustRightInd w:val="0"/>
        <w:snapToGrid w:val="0"/>
        <w:spacing w:line="360" w:lineRule="auto"/>
        <w:outlineLvl w:val="1"/>
        <w:rPr>
          <w:rFonts w:hint="eastAsia" w:ascii="宋体" w:hAnsi="宋体" w:eastAsia="宋体" w:cs="Times New Roman"/>
          <w:b/>
          <w:bCs/>
          <w:sz w:val="24"/>
          <w:highlight w:val="none"/>
        </w:rPr>
      </w:pPr>
      <w:r>
        <w:rPr>
          <w:rFonts w:hint="eastAsia" w:ascii="宋体" w:hAnsi="宋体" w:eastAsia="宋体" w:cs="Times New Roman"/>
          <w:b/>
          <w:bCs/>
          <w:sz w:val="24"/>
          <w:highlight w:val="none"/>
        </w:rPr>
        <w:t>附件1.廉洁协议</w:t>
      </w:r>
    </w:p>
    <w:p>
      <w:pPr>
        <w:spacing w:line="560" w:lineRule="exact"/>
        <w:jc w:val="center"/>
        <w:rPr>
          <w:rFonts w:hint="eastAsia" w:ascii="黑体" w:hAnsi="Batang" w:eastAsia="黑体" w:cs="Batang"/>
          <w:bCs/>
          <w:kern w:val="0"/>
          <w:sz w:val="44"/>
          <w:szCs w:val="44"/>
          <w:highlight w:val="none"/>
        </w:rPr>
      </w:pPr>
      <w:r>
        <w:rPr>
          <w:rFonts w:hint="eastAsia" w:ascii="黑体" w:hAnsi="Batang" w:eastAsia="黑体" w:cs="Batang"/>
          <w:bCs/>
          <w:kern w:val="0"/>
          <w:sz w:val="44"/>
          <w:szCs w:val="44"/>
          <w:highlight w:val="none"/>
        </w:rPr>
        <w:t>廉洁协议</w:t>
      </w:r>
    </w:p>
    <w:p>
      <w:pPr>
        <w:spacing w:line="520" w:lineRule="exact"/>
        <w:ind w:firstLine="630" w:firstLineChars="225"/>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000000"/>
          <w:sz w:val="28"/>
          <w:szCs w:val="28"/>
          <w:highlight w:val="none"/>
          <w:u w:val="single"/>
        </w:rPr>
        <w:t>广州市净水有限公司</w:t>
      </w:r>
      <w:r>
        <w:rPr>
          <w:rFonts w:hint="eastAsia" w:ascii="仿宋_GB2312" w:hAnsi="仿宋_GB2312" w:eastAsia="仿宋_GB2312" w:cs="仿宋_GB2312"/>
          <w:bCs/>
          <w:color w:val="000000"/>
          <w:sz w:val="28"/>
          <w:szCs w:val="28"/>
          <w:highlight w:val="none"/>
        </w:rPr>
        <w:t>(以下称甲方)与</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color w:val="000000"/>
          <w:sz w:val="28"/>
          <w:szCs w:val="28"/>
          <w:highlight w:val="none"/>
        </w:rPr>
        <w:t>(以下称乙方)，特此订立本协议共同遵照执行。</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第一条 甲乙双方的权利和义务</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（二）严格执行</w:t>
      </w:r>
      <w:r>
        <w:rPr>
          <w:rFonts w:hint="eastAsia" w:ascii="仿宋_GB2312" w:hAnsi="仿宋_GB2312" w:eastAsia="仿宋_GB2312" w:cs="仿宋_GB2312"/>
          <w:bCs/>
          <w:color w:val="000000"/>
          <w:sz w:val="28"/>
          <w:szCs w:val="28"/>
          <w:highlight w:val="none"/>
          <w:u w:val="single"/>
          <w:lang w:val="en-US" w:eastAsia="zh-CN"/>
        </w:rPr>
        <w:t>广州市净水有限公司新滘南路8号泵站洪涝安全评估项目</w:t>
      </w:r>
      <w:r>
        <w:rPr>
          <w:rFonts w:hint="eastAsia" w:ascii="仿宋_GB2312" w:hAnsi="仿宋_GB2312" w:eastAsia="仿宋_GB2312" w:cs="仿宋_GB2312"/>
          <w:bCs/>
          <w:color w:val="000000"/>
          <w:sz w:val="28"/>
          <w:szCs w:val="28"/>
          <w:highlight w:val="none"/>
        </w:rPr>
        <w:t>合同（以下简称：主合同），自觉履行合同约定的相关义务。</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第二条甲方的义务</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第三条乙方的义务</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（三）乙方不得以任何理由安排甲方工作人员参加可能影响相关业务公开、公正、公平性的宴请及娱乐活动。</w:t>
      </w:r>
    </w:p>
    <w:p>
      <w:pPr>
        <w:pStyle w:val="15"/>
        <w:spacing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第四条违约责任</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甲方举报投诉联系部门：广州市净水有限公司</w:t>
      </w:r>
      <w:r>
        <w:rPr>
          <w:rFonts w:hint="eastAsia" w:ascii="仿宋_GB2312" w:hAnsi="仿宋_GB2312" w:eastAsia="仿宋_GB2312" w:cs="仿宋_GB2312"/>
          <w:bCs/>
          <w:color w:val="000000"/>
          <w:sz w:val="28"/>
          <w:szCs w:val="28"/>
          <w:highlight w:val="none"/>
          <w:u w:val="single"/>
        </w:rPr>
        <w:t>纪检室</w:t>
      </w:r>
      <w:r>
        <w:rPr>
          <w:rFonts w:hint="eastAsia" w:ascii="仿宋_GB2312" w:hAnsi="仿宋_GB2312" w:eastAsia="仿宋_GB2312" w:cs="仿宋_GB2312"/>
          <w:bCs/>
          <w:color w:val="000000"/>
          <w:sz w:val="28"/>
          <w:szCs w:val="28"/>
          <w:highlight w:val="none"/>
        </w:rPr>
        <w:t>，联系电话：</w:t>
      </w:r>
      <w:r>
        <w:rPr>
          <w:rFonts w:hint="eastAsia" w:ascii="仿宋_GB2312" w:hAnsi="仿宋_GB2312" w:eastAsia="仿宋_GB2312" w:cs="仿宋_GB2312"/>
          <w:bCs/>
          <w:color w:val="000000"/>
          <w:sz w:val="28"/>
          <w:szCs w:val="28"/>
          <w:highlight w:val="none"/>
          <w:u w:val="single"/>
        </w:rPr>
        <w:t xml:space="preserve"> 020-38890265 </w:t>
      </w:r>
      <w:r>
        <w:rPr>
          <w:rFonts w:hint="eastAsia" w:ascii="仿宋_GB2312" w:hAnsi="仿宋_GB2312" w:eastAsia="仿宋_GB2312" w:cs="仿宋_GB2312"/>
          <w:bCs/>
          <w:color w:val="000000"/>
          <w:sz w:val="28"/>
          <w:szCs w:val="28"/>
          <w:highlight w:val="none"/>
        </w:rPr>
        <w:t>。</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1、扣除主合同的全部履约保证金；</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2、解除主合同；</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3、追究乙方其他违约责任；</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4、根据甲方的有关规章制度，在一定时间内暂停乙方参与甲方及下属单位所有项目的交易资格；</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5、根据甲方的有关规章制度，将乙方清退出甲方相关企业库；</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6、根据甲方上级单位、行政主管部门的意见、决定执行；</w:t>
      </w:r>
    </w:p>
    <w:p>
      <w:pPr>
        <w:pStyle w:val="21"/>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sz w:val="28"/>
          <w:szCs w:val="28"/>
          <w:highlight w:val="none"/>
        </w:rPr>
        <w:t xml:space="preserve">第五条 </w:t>
      </w:r>
      <w:r>
        <w:rPr>
          <w:rFonts w:hint="eastAsia" w:ascii="仿宋_GB2312" w:hAnsi="仿宋_GB2312" w:eastAsia="仿宋_GB2312" w:cs="仿宋_GB2312"/>
          <w:bCs/>
          <w:color w:val="000000"/>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第六条本协议作为</w:t>
      </w:r>
      <w:r>
        <w:rPr>
          <w:rFonts w:hint="eastAsia" w:ascii="仿宋_GB2312" w:hAnsi="仿宋_GB2312" w:eastAsia="仿宋_GB2312" w:cs="仿宋_GB2312"/>
          <w:bCs/>
          <w:color w:val="000000"/>
          <w:sz w:val="28"/>
          <w:szCs w:val="28"/>
          <w:highlight w:val="none"/>
          <w:u w:val="single"/>
          <w:lang w:val="en-US" w:eastAsia="zh-CN"/>
        </w:rPr>
        <w:t>广州市净水有限公司新滘南路8号泵站洪涝安全评估项目</w:t>
      </w:r>
      <w:r>
        <w:rPr>
          <w:rFonts w:hint="eastAsia" w:ascii="仿宋_GB2312" w:hAnsi="仿宋_GB2312" w:eastAsia="仿宋_GB2312" w:cs="仿宋_GB2312"/>
          <w:bCs/>
          <w:color w:val="000000"/>
          <w:sz w:val="28"/>
          <w:szCs w:val="28"/>
          <w:highlight w:val="none"/>
          <w:u w:val="single"/>
        </w:rPr>
        <w:t>（穗净水合[2023]    号）</w:t>
      </w:r>
      <w:r>
        <w:rPr>
          <w:rFonts w:hint="eastAsia" w:ascii="仿宋_GB2312" w:hAnsi="仿宋_GB2312" w:eastAsia="仿宋_GB2312" w:cs="仿宋_GB2312"/>
          <w:bCs/>
          <w:color w:val="000000"/>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第七条本协议甲乙双方所执份数与主合同一致。</w:t>
      </w:r>
    </w:p>
    <w:p>
      <w:pPr>
        <w:spacing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br w:type="textWrapping"/>
      </w:r>
      <w:r>
        <w:rPr>
          <w:rFonts w:hint="eastAsia" w:ascii="仿宋_GB2312" w:hAnsi="仿宋_GB2312" w:eastAsia="仿宋_GB2312" w:cs="仿宋_GB2312"/>
          <w:bCs/>
          <w:color w:val="000000"/>
          <w:sz w:val="28"/>
          <w:szCs w:val="28"/>
          <w:highlight w:val="none"/>
        </w:rPr>
        <w:t>甲方（盖章）：                     乙方（盖章）：</w:t>
      </w:r>
    </w:p>
    <w:p>
      <w:pPr>
        <w:pStyle w:val="35"/>
        <w:tabs>
          <w:tab w:val="left" w:pos="5100"/>
        </w:tabs>
        <w:spacing w:line="520" w:lineRule="exact"/>
        <w:ind w:left="7200" w:firstLine="0" w:firstLineChars="0"/>
        <w:jc w:val="left"/>
        <w:rPr>
          <w:rFonts w:hint="eastAsia" w:ascii="仿宋_GB2312" w:hAnsi="仿宋_GB2312" w:eastAsia="仿宋_GB2312" w:cs="仿宋_GB2312"/>
          <w:bCs/>
          <w:color w:val="000000"/>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日期:    年  月  日</w:t>
      </w:r>
      <w:r>
        <w:rPr>
          <w:rFonts w:hint="eastAsia" w:ascii="仿宋_GB2312" w:hAnsi="仿宋_GB2312" w:eastAsia="仿宋_GB2312" w:cs="仿宋_GB2312"/>
          <w:bCs/>
          <w:color w:val="000000"/>
          <w:sz w:val="28"/>
          <w:szCs w:val="28"/>
          <w:highlight w:val="none"/>
        </w:rPr>
        <w:tab/>
      </w:r>
      <w:r>
        <w:rPr>
          <w:rFonts w:hint="eastAsia" w:ascii="仿宋_GB2312" w:hAnsi="仿宋_GB2312" w:eastAsia="仿宋_GB2312" w:cs="仿宋_GB2312"/>
          <w:bCs/>
          <w:color w:val="000000"/>
          <w:sz w:val="28"/>
          <w:szCs w:val="28"/>
          <w:highlight w:val="none"/>
        </w:rPr>
        <w:t xml:space="preserve">     日期：  年  月  日</w:t>
      </w:r>
    </w:p>
    <w:p>
      <w:pPr>
        <w:rPr>
          <w:rFonts w:hint="eastAsia" w:ascii="仿宋_GB2312" w:hAnsi="仿宋_GB2312" w:eastAsia="仿宋_GB2312" w:cs="仿宋_GB2312"/>
          <w:bCs/>
          <w:color w:val="000000"/>
          <w:sz w:val="30"/>
          <w:szCs w:val="30"/>
          <w:highlight w:val="none"/>
        </w:rPr>
      </w:pPr>
    </w:p>
    <w:p>
      <w:pPr>
        <w:autoSpaceDE w:val="0"/>
        <w:autoSpaceDN w:val="0"/>
        <w:adjustRightInd w:val="0"/>
        <w:jc w:val="left"/>
        <w:rPr>
          <w:rFonts w:ascii="宋体" w:cs="宋体"/>
          <w:color w:val="000000"/>
          <w:kern w:val="0"/>
          <w:sz w:val="24"/>
          <w:highlight w:val="none"/>
        </w:rPr>
      </w:pPr>
    </w:p>
    <w:p>
      <w:pPr>
        <w:snapToGrid w:val="0"/>
        <w:rPr>
          <w:color w:val="000000"/>
          <w:sz w:val="24"/>
          <w:highlight w:val="none"/>
        </w:rPr>
      </w:pPr>
    </w:p>
    <w:p>
      <w:pPr>
        <w:rPr>
          <w:color w:val="000000"/>
          <w:sz w:val="24"/>
          <w:highlight w:val="none"/>
        </w:rPr>
      </w:pPr>
    </w:p>
    <w:p>
      <w:pPr>
        <w:autoSpaceDE w:val="0"/>
        <w:autoSpaceDN w:val="0"/>
        <w:adjustRightInd w:val="0"/>
        <w:jc w:val="left"/>
        <w:rPr>
          <w:rFonts w:ascii="宋体" w:cs="宋体"/>
          <w:color w:val="000000"/>
          <w:kern w:val="0"/>
          <w:sz w:val="24"/>
          <w:highlight w:val="none"/>
        </w:rPr>
      </w:pPr>
    </w:p>
    <w:p>
      <w:pPr>
        <w:snapToGrid w:val="0"/>
        <w:rPr>
          <w:color w:val="000000"/>
          <w:sz w:val="24"/>
          <w:highlight w:val="none"/>
        </w:rPr>
      </w:pPr>
    </w:p>
    <w:p>
      <w:pPr>
        <w:rPr>
          <w:color w:val="000000"/>
          <w:sz w:val="24"/>
          <w:highlight w:val="none"/>
        </w:rPr>
      </w:pPr>
    </w:p>
    <w:p>
      <w:pPr>
        <w:pStyle w:val="23"/>
        <w:ind w:firstLine="845"/>
        <w:rPr>
          <w:sz w:val="24"/>
          <w:highlight w:val="none"/>
        </w:rPr>
      </w:pPr>
    </w:p>
    <w:p>
      <w:pPr>
        <w:pStyle w:val="23"/>
        <w:ind w:firstLine="845"/>
        <w:rPr>
          <w:sz w:val="24"/>
          <w:highlight w:val="none"/>
        </w:rPr>
      </w:pPr>
    </w:p>
    <w:p>
      <w:pPr>
        <w:pStyle w:val="23"/>
        <w:ind w:firstLine="845"/>
        <w:rPr>
          <w:sz w:val="24"/>
          <w:highlight w:val="none"/>
        </w:rPr>
      </w:pPr>
    </w:p>
    <w:p>
      <w:pPr>
        <w:pStyle w:val="23"/>
        <w:ind w:firstLine="845"/>
        <w:rPr>
          <w:sz w:val="24"/>
          <w:highlight w:val="none"/>
        </w:rPr>
      </w:pPr>
    </w:p>
    <w:p>
      <w:pPr>
        <w:pStyle w:val="23"/>
        <w:ind w:firstLine="845"/>
        <w:rPr>
          <w:sz w:val="24"/>
          <w:highlight w:val="none"/>
        </w:rPr>
      </w:pPr>
    </w:p>
    <w:p>
      <w:pPr>
        <w:pStyle w:val="23"/>
        <w:ind w:firstLine="845"/>
        <w:rPr>
          <w:sz w:val="24"/>
          <w:highlight w:val="none"/>
        </w:rPr>
        <w:sectPr>
          <w:pgSz w:w="11906" w:h="16838"/>
          <w:pgMar w:top="1440" w:right="1800" w:bottom="1440" w:left="1800" w:header="851" w:footer="992" w:gutter="0"/>
          <w:cols w:space="425" w:num="1"/>
          <w:docGrid w:type="lines" w:linePitch="312" w:charSpace="0"/>
        </w:sectPr>
      </w:pPr>
    </w:p>
    <w:p>
      <w:pPr>
        <w:keepNext/>
        <w:keepLines/>
        <w:adjustRightInd w:val="0"/>
        <w:snapToGrid w:val="0"/>
        <w:spacing w:line="360" w:lineRule="auto"/>
        <w:outlineLvl w:val="1"/>
        <w:rPr>
          <w:rFonts w:ascii="宋体" w:hAnsi="宋体"/>
          <w:b/>
          <w:bCs/>
          <w:sz w:val="24"/>
          <w:highlight w:val="none"/>
        </w:rPr>
      </w:pPr>
      <w:r>
        <w:rPr>
          <w:rFonts w:hint="eastAsia" w:ascii="宋体" w:hAnsi="宋体"/>
          <w:b/>
          <w:bCs/>
          <w:sz w:val="24"/>
          <w:highlight w:val="none"/>
        </w:rPr>
        <w:t>附件2：安全协议书</w:t>
      </w:r>
    </w:p>
    <w:p>
      <w:pPr>
        <w:autoSpaceDE w:val="0"/>
        <w:autoSpaceDN w:val="0"/>
        <w:adjustRightInd w:val="0"/>
        <w:jc w:val="left"/>
        <w:rPr>
          <w:rFonts w:ascii="宋体" w:cs="宋体"/>
          <w:kern w:val="0"/>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87"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7"/>
          <w:rFonts w:ascii="宋体" w:hAnsi="宋体"/>
          <w:b w:val="0"/>
          <w:highlight w:val="none"/>
          <w:u w:val="single"/>
        </w:rPr>
      </w:pPr>
    </w:p>
    <w:bookmarkEnd w:id="87"/>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lang w:val="en-US" w:eastAsia="zh-CN"/>
        </w:rPr>
        <w:t>广州市净水有限公司新滘南路8号泵站洪涝安全评估项目</w:t>
      </w:r>
      <w:r>
        <w:rPr>
          <w:rFonts w:hint="eastAsia" w:ascii="宋体" w:hAnsi="宋体"/>
          <w:sz w:val="24"/>
          <w:highlight w:val="none"/>
          <w:u w:val="single"/>
        </w:rPr>
        <w:t>合同</w:t>
      </w:r>
      <w:r>
        <w:rPr>
          <w:rFonts w:hint="eastAsia" w:ascii="宋体" w:hAnsi="宋体"/>
          <w:sz w:val="24"/>
          <w:highlight w:val="none"/>
        </w:rPr>
        <w:t>的组成部分，与主合同具有同等法律。</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二、甲方权责</w:t>
      </w:r>
    </w:p>
    <w:p>
      <w:pPr>
        <w:adjustRightInd w:val="0"/>
        <w:snapToGrid w:val="0"/>
        <w:spacing w:line="560" w:lineRule="exact"/>
        <w:ind w:firstLine="480" w:firstLineChars="200"/>
        <w:jc w:val="left"/>
        <w:rPr>
          <w:rFonts w:hint="eastAsia" w:ascii="宋体" w:hAnsi="宋体"/>
          <w:sz w:val="24"/>
          <w:highlight w:val="none"/>
        </w:rPr>
      </w:pPr>
      <w:r>
        <w:rPr>
          <w:rFonts w:hint="eastAsia" w:ascii="宋体" w:hAnsi="宋体"/>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（四）遵守甲方制定的安全管理要求。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highlight w:val="none"/>
        </w:rPr>
      </w:pPr>
      <w:r>
        <w:rPr>
          <w:rFonts w:hint="eastAsia" w:ascii="宋体" w:hAnsi="宋体"/>
          <w:sz w:val="24"/>
          <w:highlight w:val="none"/>
        </w:rPr>
        <w:t>（七）委托的第三方运输单位或个人，违反本协议的，全部责任均由乙方承担。</w:t>
      </w:r>
    </w:p>
    <w:p>
      <w:pPr>
        <w:pStyle w:val="38"/>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hint="eastAsia" w:ascii="宋体" w:hAnsi="宋体"/>
          <w:sz w:val="24"/>
          <w:highlight w:val="none"/>
          <w:u w:val="single"/>
        </w:rPr>
        <w:t xml:space="preserve"> \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sz w:val="24"/>
          <w:highlight w:val="none"/>
        </w:rPr>
      </w:pP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pStyle w:val="23"/>
        <w:ind w:firstLine="1126"/>
        <w:rPr>
          <w:highlight w:val="none"/>
        </w:rPr>
      </w:pPr>
    </w:p>
    <w:p>
      <w:pPr>
        <w:rPr>
          <w:highlight w:val="none"/>
        </w:rPr>
      </w:pPr>
    </w:p>
    <w:p>
      <w:pPr>
        <w:pStyle w:val="13"/>
        <w:rPr>
          <w:rFonts w:hint="eastAsia" w:hAnsi="宋体"/>
        </w:rPr>
      </w:pPr>
    </w:p>
    <w:p>
      <w:pPr>
        <w:jc w:val="center"/>
        <w:rPr>
          <w:rFonts w:hint="eastAsia" w:ascii="宋体" w:hAnsi="宋体" w:cs="宋体"/>
          <w:color w:val="auto"/>
          <w:sz w:val="32"/>
          <w:szCs w:val="32"/>
          <w:highlight w:val="red"/>
        </w:rPr>
      </w:pPr>
    </w:p>
    <w:p>
      <w:pPr>
        <w:ind w:right="-932" w:rightChars="-444"/>
        <w:rPr>
          <w:highlight w:val="red"/>
        </w:rPr>
      </w:pPr>
    </w:p>
    <w:p>
      <w:pPr>
        <w:ind w:right="-932" w:rightChars="-444"/>
        <w:rPr>
          <w:highlight w:val="red"/>
        </w:rPr>
      </w:pPr>
    </w:p>
    <w:p>
      <w:pPr>
        <w:ind w:right="-932" w:rightChars="-444"/>
        <w:rPr>
          <w:highlight w:val="red"/>
        </w:rPr>
      </w:pPr>
    </w:p>
    <w:p>
      <w:pPr>
        <w:ind w:right="-932" w:rightChars="-444"/>
        <w:rPr>
          <w:highlight w:val="red"/>
        </w:rPr>
      </w:pPr>
    </w:p>
    <w:p>
      <w:pPr>
        <w:ind w:right="-932" w:rightChars="-444"/>
        <w:rPr>
          <w:highlight w:val="red"/>
        </w:rPr>
      </w:pPr>
    </w:p>
    <w:p>
      <w:pPr>
        <w:spacing w:line="360" w:lineRule="auto"/>
        <w:ind w:right="-1153" w:rightChars="-549"/>
        <w:rPr>
          <w:rFonts w:hint="eastAsia" w:eastAsia="宋体"/>
          <w:highlight w:val="red"/>
          <w:lang w:eastAsia="zh-CN"/>
        </w:rPr>
      </w:pPr>
    </w:p>
    <w:p>
      <w:pPr>
        <w:pStyle w:val="23"/>
        <w:ind w:firstLine="0"/>
        <w:rPr>
          <w:rFonts w:ascii="仿宋_GB2312" w:eastAsia="仿宋_GB2312"/>
          <w:color w:val="auto"/>
          <w:sz w:val="28"/>
          <w:szCs w:val="28"/>
          <w:highlight w:val="none"/>
        </w:rPr>
      </w:pPr>
    </w:p>
    <w:p>
      <w:pPr>
        <w:pStyle w:val="3"/>
        <w:rPr>
          <w:rFonts w:hint="eastAsia"/>
          <w:color w:val="auto"/>
          <w:highlight w:val="none"/>
        </w:rPr>
      </w:pPr>
      <w:bookmarkStart w:id="88" w:name="_Toc30824"/>
      <w:bookmarkStart w:id="89" w:name="_Toc8147"/>
      <w:bookmarkStart w:id="90" w:name="_Toc1563"/>
      <w:bookmarkStart w:id="91" w:name="_Toc16552"/>
      <w:bookmarkStart w:id="92" w:name="_Toc3723"/>
      <w:bookmarkStart w:id="93" w:name="_Toc5129"/>
      <w:bookmarkStart w:id="94" w:name="_Toc6230"/>
      <w:bookmarkStart w:id="95" w:name="_Toc28358"/>
      <w:bookmarkStart w:id="96" w:name="_Toc12169"/>
      <w:bookmarkStart w:id="97" w:name="_Toc21847"/>
      <w:bookmarkStart w:id="98" w:name="_Toc23515"/>
    </w:p>
    <w:p>
      <w:pPr>
        <w:rPr>
          <w:rFonts w:hint="eastAsia"/>
          <w:color w:val="auto"/>
          <w:highlight w:val="none"/>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2305685</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55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2317115</wp:posOffset>
                </wp:positionH>
                <wp:positionV relativeFrom="paragraph">
                  <wp:posOffset>247015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45pt;margin-top:19.4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8"/>
      <w:bookmarkEnd w:id="89"/>
      <w:bookmarkEnd w:id="90"/>
      <w:bookmarkEnd w:id="91"/>
      <w:bookmarkEnd w:id="92"/>
      <w:bookmarkEnd w:id="93"/>
      <w:bookmarkEnd w:id="94"/>
      <w:bookmarkEnd w:id="95"/>
      <w:bookmarkEnd w:id="96"/>
      <w:bookmarkEnd w:id="97"/>
      <w:bookmarkEnd w:id="98"/>
    </w:p>
    <w:p>
      <w:pPr>
        <w:pStyle w:val="3"/>
        <w:rPr>
          <w:rFonts w:ascii="方正小标宋简体" w:eastAsia="方正小标宋简体"/>
          <w:color w:val="auto"/>
          <w:sz w:val="44"/>
          <w:szCs w:val="44"/>
          <w:highlight w:val="none"/>
        </w:rPr>
      </w:pPr>
      <w:bookmarkStart w:id="99" w:name="_Toc21675"/>
      <w:bookmarkStart w:id="100" w:name="_Toc22764"/>
      <w:bookmarkStart w:id="101" w:name="_Toc88209951"/>
      <w:bookmarkStart w:id="102" w:name="_Toc87616388"/>
      <w:bookmarkStart w:id="103" w:name="_Toc12610"/>
      <w:bookmarkStart w:id="104" w:name="_Toc5342"/>
      <w:bookmarkStart w:id="105" w:name="_Toc30157"/>
      <w:bookmarkStart w:id="106" w:name="_Toc24490"/>
      <w:bookmarkStart w:id="107" w:name="_Toc24815"/>
      <w:bookmarkStart w:id="108" w:name="_Toc17119"/>
      <w:bookmarkStart w:id="109" w:name="_Toc10840"/>
      <w:bookmarkStart w:id="110" w:name="_Toc12769"/>
      <w:bookmarkStart w:id="111" w:name="_Toc31564"/>
      <w:r>
        <w:rPr>
          <w:rFonts w:hint="eastAsia"/>
          <w:color w:val="auto"/>
          <w:highlight w:val="none"/>
        </w:rPr>
        <w:t>响应文件</w:t>
      </w:r>
      <w:r>
        <w:rPr>
          <w:rFonts w:hint="eastAsia"/>
          <w:color w:val="auto"/>
          <w:highlight w:val="none"/>
          <w:lang w:val="en-US" w:eastAsia="zh-CN"/>
        </w:rPr>
        <w:t>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pPr>
        <w:pStyle w:val="23"/>
        <w:ind w:firstLine="0"/>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广州市净水有限公司新滘南路8号泵站</w:t>
      </w: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val="en-US" w:eastAsia="zh-CN"/>
        </w:rPr>
        <w:t>洪涝安全评估项目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3"/>
        <w:ind w:firstLine="0"/>
        <w:rPr>
          <w:rFonts w:ascii="方正小标宋简体" w:eastAsia="方正小标宋简体"/>
          <w:color w:val="auto"/>
          <w:sz w:val="30"/>
          <w:szCs w:val="30"/>
          <w:highlight w:val="none"/>
        </w:rPr>
      </w:pPr>
    </w:p>
    <w:p>
      <w:pPr>
        <w:pStyle w:val="23"/>
        <w:rPr>
          <w:rFonts w:ascii="方正小标宋简体" w:eastAsia="方正小标宋简体"/>
          <w:color w:val="auto"/>
          <w:sz w:val="30"/>
          <w:szCs w:val="30"/>
          <w:highlight w:val="none"/>
        </w:rPr>
      </w:pPr>
    </w:p>
    <w:p>
      <w:pPr>
        <w:pStyle w:val="23"/>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2" w:name="_Toc88209952"/>
      <w:bookmarkStart w:id="113" w:name="_Toc87616389"/>
      <w:r>
        <w:rPr>
          <w:rFonts w:hint="eastAsia" w:ascii="仿宋_GB2312" w:eastAsia="仿宋_GB2312"/>
          <w:color w:val="auto"/>
          <w:sz w:val="28"/>
          <w:szCs w:val="28"/>
          <w:highlight w:val="none"/>
        </w:rPr>
        <w:t>1.响应函</w:t>
      </w:r>
      <w:bookmarkEnd w:id="112"/>
      <w:bookmarkEnd w:id="113"/>
    </w:p>
    <w:p>
      <w:pPr>
        <w:spacing w:line="600" w:lineRule="exact"/>
        <w:rPr>
          <w:rFonts w:hint="eastAsia" w:ascii="仿宋_GB2312" w:eastAsia="仿宋_GB2312"/>
          <w:color w:val="auto"/>
          <w:sz w:val="28"/>
          <w:szCs w:val="28"/>
          <w:highlight w:val="none"/>
        </w:rPr>
      </w:pPr>
      <w:bookmarkStart w:id="114" w:name="_Toc88209953"/>
      <w:bookmarkStart w:id="115" w:name="_Toc87616390"/>
      <w:r>
        <w:rPr>
          <w:rFonts w:hint="eastAsia" w:ascii="仿宋_GB2312" w:eastAsia="仿宋_GB2312"/>
          <w:color w:val="auto"/>
          <w:sz w:val="28"/>
          <w:szCs w:val="28"/>
          <w:highlight w:val="none"/>
        </w:rPr>
        <w:t>2.法定代表人证明或授权委托书</w:t>
      </w:r>
      <w:bookmarkEnd w:id="114"/>
      <w:bookmarkEnd w:id="115"/>
      <w:bookmarkStart w:id="116" w:name="_Toc87616393"/>
      <w:bookmarkStart w:id="11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6"/>
      <w:bookmarkEnd w:id="11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bookmarkStart w:id="118" w:name="_Toc88209957"/>
      <w:bookmarkStart w:id="119" w:name="_Toc87616394"/>
      <w:bookmarkStart w:id="120" w:name="_Toc6313"/>
      <w:bookmarkStart w:id="121" w:name="_Toc12665"/>
      <w:bookmarkStart w:id="122" w:name="_Toc28619645"/>
      <w:r>
        <w:rPr>
          <w:rFonts w:hint="eastAsia" w:asciiTheme="minorEastAsia" w:hAnsiTheme="minorEastAsia" w:eastAsiaTheme="minorEastAsia"/>
          <w:color w:val="auto"/>
          <w:sz w:val="28"/>
          <w:szCs w:val="28"/>
          <w:highlight w:val="none"/>
        </w:rPr>
        <w:t>1.响应函</w:t>
      </w:r>
      <w:bookmarkEnd w:id="118"/>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3" w:name="_Toc22527"/>
      <w:bookmarkStart w:id="124" w:name="_Toc88209958"/>
      <w:bookmarkStart w:id="125" w:name="_Toc87616395"/>
      <w:bookmarkStart w:id="126"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3"/>
      <w:bookmarkEnd w:id="124"/>
      <w:bookmarkEnd w:id="125"/>
      <w:bookmarkEnd w:id="12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7" w:name="_Toc88209963"/>
      <w:bookmarkStart w:id="128" w:name="_Toc19830"/>
      <w:bookmarkStart w:id="129" w:name="_Toc87616400"/>
      <w:bookmarkStart w:id="13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7"/>
      <w:bookmarkEnd w:id="128"/>
      <w:bookmarkEnd w:id="129"/>
      <w:bookmarkEnd w:id="13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仿宋_GB2312" w:eastAsia="仿宋_GB2312"/>
          <w:color w:val="auto"/>
          <w:sz w:val="28"/>
          <w:szCs w:val="28"/>
          <w:highlight w:val="none"/>
          <w:u w:val="single"/>
          <w:lang w:val="en-US" w:eastAsia="zh-CN"/>
        </w:rPr>
        <w:t>广州市净水有限公司新滘南路8号泵站洪涝安全评估项目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asciiTheme="majorEastAsia" w:hAnsiTheme="majorEastAsia" w:eastAsiaTheme="majorEastAsia"/>
          <w:color w:val="auto"/>
          <w:sz w:val="28"/>
          <w:szCs w:val="28"/>
          <w:highlight w:val="none"/>
        </w:rPr>
      </w:pPr>
      <w:bookmarkStart w:id="132" w:name="_Toc87616402"/>
      <w:bookmarkStart w:id="133" w:name="_Toc88209965"/>
      <w:bookmarkStart w:id="134" w:name="_Toc16386"/>
      <w:bookmarkStart w:id="135" w:name="_Toc6058"/>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9" w:type="default"/>
      <w:footerReference r:id="rId10" w:type="default"/>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6</w:t>
    </w:r>
    <w:r>
      <w:fldChar w:fldCharType="end"/>
    </w:r>
  </w:p>
  <w:p>
    <w:pPr>
      <w:pStyle w:val="17"/>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6</w:t>
    </w:r>
    <w:r>
      <w:fldChar w:fldCharType="end"/>
    </w:r>
  </w:p>
  <w:p>
    <w:pPr>
      <w:pStyle w:val="1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Tk1MjE3N2IyZDAyOGE0NDg3MjU4MGYxZGExYzM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270DE"/>
    <w:rsid w:val="02090C75"/>
    <w:rsid w:val="027E65FC"/>
    <w:rsid w:val="02A23A3C"/>
    <w:rsid w:val="02FB196F"/>
    <w:rsid w:val="031C5FCE"/>
    <w:rsid w:val="035D130A"/>
    <w:rsid w:val="039110A9"/>
    <w:rsid w:val="03AC246A"/>
    <w:rsid w:val="03AE6061"/>
    <w:rsid w:val="03B23056"/>
    <w:rsid w:val="03DA023E"/>
    <w:rsid w:val="03DC3EBA"/>
    <w:rsid w:val="03F9794D"/>
    <w:rsid w:val="046A2461"/>
    <w:rsid w:val="05124815"/>
    <w:rsid w:val="051C2970"/>
    <w:rsid w:val="060C3611"/>
    <w:rsid w:val="06C64829"/>
    <w:rsid w:val="06FF409C"/>
    <w:rsid w:val="070E7B6E"/>
    <w:rsid w:val="071D62B7"/>
    <w:rsid w:val="077D16D2"/>
    <w:rsid w:val="07915854"/>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151A6C"/>
    <w:rsid w:val="0D794204"/>
    <w:rsid w:val="0E2125D1"/>
    <w:rsid w:val="0E214211"/>
    <w:rsid w:val="0E5F2769"/>
    <w:rsid w:val="0ED8332F"/>
    <w:rsid w:val="0F4D75A3"/>
    <w:rsid w:val="0F5B2DCA"/>
    <w:rsid w:val="0FA20605"/>
    <w:rsid w:val="0FED051E"/>
    <w:rsid w:val="0FEE4C29"/>
    <w:rsid w:val="0FFD33F6"/>
    <w:rsid w:val="10031608"/>
    <w:rsid w:val="10046082"/>
    <w:rsid w:val="104974DD"/>
    <w:rsid w:val="108C3B91"/>
    <w:rsid w:val="10C96CBC"/>
    <w:rsid w:val="111703D2"/>
    <w:rsid w:val="112B101A"/>
    <w:rsid w:val="119B53FC"/>
    <w:rsid w:val="11F4040B"/>
    <w:rsid w:val="12081752"/>
    <w:rsid w:val="1215733B"/>
    <w:rsid w:val="12424CDC"/>
    <w:rsid w:val="129A2738"/>
    <w:rsid w:val="12B56BF1"/>
    <w:rsid w:val="12CB1A89"/>
    <w:rsid w:val="131840FB"/>
    <w:rsid w:val="13467417"/>
    <w:rsid w:val="136E76CF"/>
    <w:rsid w:val="13A76E82"/>
    <w:rsid w:val="14147564"/>
    <w:rsid w:val="145F08C6"/>
    <w:rsid w:val="14E43F59"/>
    <w:rsid w:val="15776308"/>
    <w:rsid w:val="15BC6B3C"/>
    <w:rsid w:val="16360A7B"/>
    <w:rsid w:val="164D40B0"/>
    <w:rsid w:val="1694429A"/>
    <w:rsid w:val="17635326"/>
    <w:rsid w:val="17B803EA"/>
    <w:rsid w:val="1815096B"/>
    <w:rsid w:val="18236EFD"/>
    <w:rsid w:val="18377249"/>
    <w:rsid w:val="189D5B1F"/>
    <w:rsid w:val="18A34CD0"/>
    <w:rsid w:val="190D0633"/>
    <w:rsid w:val="195C7B50"/>
    <w:rsid w:val="195D0693"/>
    <w:rsid w:val="19A05834"/>
    <w:rsid w:val="19A53EA8"/>
    <w:rsid w:val="19B64DBC"/>
    <w:rsid w:val="19EC6A4A"/>
    <w:rsid w:val="1A3558AB"/>
    <w:rsid w:val="1A373ACF"/>
    <w:rsid w:val="1A4808E5"/>
    <w:rsid w:val="1A7B10BA"/>
    <w:rsid w:val="1A895341"/>
    <w:rsid w:val="1B0D071F"/>
    <w:rsid w:val="1B4568CE"/>
    <w:rsid w:val="1B9015B7"/>
    <w:rsid w:val="1B950DA6"/>
    <w:rsid w:val="1BF54245"/>
    <w:rsid w:val="1D0E6976"/>
    <w:rsid w:val="1D5A79EE"/>
    <w:rsid w:val="1E0E2CD0"/>
    <w:rsid w:val="1E831280"/>
    <w:rsid w:val="1EBC4704"/>
    <w:rsid w:val="1F172EB5"/>
    <w:rsid w:val="1F22070B"/>
    <w:rsid w:val="1F695E3D"/>
    <w:rsid w:val="1F94592D"/>
    <w:rsid w:val="1FB860DE"/>
    <w:rsid w:val="203C5A02"/>
    <w:rsid w:val="209D4C94"/>
    <w:rsid w:val="20B44FCD"/>
    <w:rsid w:val="20E84705"/>
    <w:rsid w:val="218400BA"/>
    <w:rsid w:val="21AB1E2F"/>
    <w:rsid w:val="21D40498"/>
    <w:rsid w:val="21DB788C"/>
    <w:rsid w:val="21E42010"/>
    <w:rsid w:val="22493963"/>
    <w:rsid w:val="22767047"/>
    <w:rsid w:val="23A05588"/>
    <w:rsid w:val="240476A1"/>
    <w:rsid w:val="240D5638"/>
    <w:rsid w:val="247C0C4C"/>
    <w:rsid w:val="25431AEB"/>
    <w:rsid w:val="25B875EB"/>
    <w:rsid w:val="25BE3BFB"/>
    <w:rsid w:val="25BF43FD"/>
    <w:rsid w:val="25F86BCD"/>
    <w:rsid w:val="2605748B"/>
    <w:rsid w:val="26396D26"/>
    <w:rsid w:val="264544A6"/>
    <w:rsid w:val="267702FB"/>
    <w:rsid w:val="269E416A"/>
    <w:rsid w:val="26C04D82"/>
    <w:rsid w:val="26C11C6B"/>
    <w:rsid w:val="272100D3"/>
    <w:rsid w:val="272C72FC"/>
    <w:rsid w:val="275131CB"/>
    <w:rsid w:val="278F6521"/>
    <w:rsid w:val="27AF3945"/>
    <w:rsid w:val="27EB149D"/>
    <w:rsid w:val="27FD3E52"/>
    <w:rsid w:val="28676407"/>
    <w:rsid w:val="28E11370"/>
    <w:rsid w:val="290A69F2"/>
    <w:rsid w:val="294A756A"/>
    <w:rsid w:val="29722B26"/>
    <w:rsid w:val="29781BF8"/>
    <w:rsid w:val="297939E2"/>
    <w:rsid w:val="29C33ED0"/>
    <w:rsid w:val="29D5322D"/>
    <w:rsid w:val="2A025DD9"/>
    <w:rsid w:val="2A2619CB"/>
    <w:rsid w:val="2A5F1650"/>
    <w:rsid w:val="2A7317D3"/>
    <w:rsid w:val="2A7376EA"/>
    <w:rsid w:val="2A7C2231"/>
    <w:rsid w:val="2A920E4F"/>
    <w:rsid w:val="2ABB753D"/>
    <w:rsid w:val="2AFE6EC4"/>
    <w:rsid w:val="2B7A49FA"/>
    <w:rsid w:val="2C615D26"/>
    <w:rsid w:val="2CB679ED"/>
    <w:rsid w:val="2CE83C37"/>
    <w:rsid w:val="2D173C07"/>
    <w:rsid w:val="2D424A86"/>
    <w:rsid w:val="2D6F75A0"/>
    <w:rsid w:val="2DDA66B7"/>
    <w:rsid w:val="2E6F2D11"/>
    <w:rsid w:val="2E7B52DB"/>
    <w:rsid w:val="2ED60115"/>
    <w:rsid w:val="2EF44F80"/>
    <w:rsid w:val="2F324CFE"/>
    <w:rsid w:val="2F8B6144"/>
    <w:rsid w:val="2FBA09F1"/>
    <w:rsid w:val="2FEF2ACF"/>
    <w:rsid w:val="2FF93D20"/>
    <w:rsid w:val="30540211"/>
    <w:rsid w:val="30CC121C"/>
    <w:rsid w:val="30E45100"/>
    <w:rsid w:val="31112A0D"/>
    <w:rsid w:val="3118711F"/>
    <w:rsid w:val="311F4B20"/>
    <w:rsid w:val="312D7741"/>
    <w:rsid w:val="316F137F"/>
    <w:rsid w:val="31DF525F"/>
    <w:rsid w:val="31EC162B"/>
    <w:rsid w:val="32324C2E"/>
    <w:rsid w:val="327171DF"/>
    <w:rsid w:val="328D514A"/>
    <w:rsid w:val="3391569E"/>
    <w:rsid w:val="3396016C"/>
    <w:rsid w:val="33B75258"/>
    <w:rsid w:val="341E3434"/>
    <w:rsid w:val="34BB4442"/>
    <w:rsid w:val="3584136B"/>
    <w:rsid w:val="3597671C"/>
    <w:rsid w:val="35FF5AA4"/>
    <w:rsid w:val="360B7EBA"/>
    <w:rsid w:val="36416867"/>
    <w:rsid w:val="367D5DD4"/>
    <w:rsid w:val="369C32FD"/>
    <w:rsid w:val="3722508F"/>
    <w:rsid w:val="37605608"/>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605B13"/>
    <w:rsid w:val="3E5070F1"/>
    <w:rsid w:val="3EC370CB"/>
    <w:rsid w:val="3F6C3589"/>
    <w:rsid w:val="3F850180"/>
    <w:rsid w:val="3F9004D6"/>
    <w:rsid w:val="3FEE7CFA"/>
    <w:rsid w:val="400E4D5E"/>
    <w:rsid w:val="40E1138C"/>
    <w:rsid w:val="413814BA"/>
    <w:rsid w:val="41872511"/>
    <w:rsid w:val="41DF1251"/>
    <w:rsid w:val="424236D9"/>
    <w:rsid w:val="42466655"/>
    <w:rsid w:val="427D6DA7"/>
    <w:rsid w:val="42C82F57"/>
    <w:rsid w:val="435707E5"/>
    <w:rsid w:val="439927E1"/>
    <w:rsid w:val="43B814C8"/>
    <w:rsid w:val="43C76AF7"/>
    <w:rsid w:val="43E97E4A"/>
    <w:rsid w:val="440D65DA"/>
    <w:rsid w:val="446828F0"/>
    <w:rsid w:val="45093E85"/>
    <w:rsid w:val="451B7BC2"/>
    <w:rsid w:val="45C13B4D"/>
    <w:rsid w:val="46054BCA"/>
    <w:rsid w:val="464C6AFC"/>
    <w:rsid w:val="468B0091"/>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381780"/>
    <w:rsid w:val="4A7F3979"/>
    <w:rsid w:val="4ADA1F63"/>
    <w:rsid w:val="4AE23D89"/>
    <w:rsid w:val="4B2038D0"/>
    <w:rsid w:val="4B296E7D"/>
    <w:rsid w:val="4B79394E"/>
    <w:rsid w:val="4B877F28"/>
    <w:rsid w:val="4C023D76"/>
    <w:rsid w:val="4CD200BA"/>
    <w:rsid w:val="4D2044E7"/>
    <w:rsid w:val="4D916BA6"/>
    <w:rsid w:val="4DC44169"/>
    <w:rsid w:val="4DC52AAE"/>
    <w:rsid w:val="4DE24E21"/>
    <w:rsid w:val="4E1B19A3"/>
    <w:rsid w:val="4E48787F"/>
    <w:rsid w:val="4E617F29"/>
    <w:rsid w:val="4EF0709E"/>
    <w:rsid w:val="4F0469A4"/>
    <w:rsid w:val="4F62727E"/>
    <w:rsid w:val="500E56F4"/>
    <w:rsid w:val="50540C73"/>
    <w:rsid w:val="50752AF8"/>
    <w:rsid w:val="509727E6"/>
    <w:rsid w:val="513C6A7B"/>
    <w:rsid w:val="515468C5"/>
    <w:rsid w:val="517300C9"/>
    <w:rsid w:val="52203FFF"/>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5278F"/>
    <w:rsid w:val="58E66050"/>
    <w:rsid w:val="59EC3BB9"/>
    <w:rsid w:val="59FC7994"/>
    <w:rsid w:val="5A006DFE"/>
    <w:rsid w:val="5A3F7DE0"/>
    <w:rsid w:val="5AE83A50"/>
    <w:rsid w:val="5B353193"/>
    <w:rsid w:val="5B724FEB"/>
    <w:rsid w:val="5BAB2917"/>
    <w:rsid w:val="5BFC33FA"/>
    <w:rsid w:val="5C3107A4"/>
    <w:rsid w:val="5C3B1B93"/>
    <w:rsid w:val="5C9220DF"/>
    <w:rsid w:val="5CB43E5E"/>
    <w:rsid w:val="5D4A15F3"/>
    <w:rsid w:val="5D69542A"/>
    <w:rsid w:val="5D783B72"/>
    <w:rsid w:val="5E0930EF"/>
    <w:rsid w:val="5E3D4D53"/>
    <w:rsid w:val="5E4717E6"/>
    <w:rsid w:val="5E55774C"/>
    <w:rsid w:val="5E873E9A"/>
    <w:rsid w:val="5E8A70FF"/>
    <w:rsid w:val="5EA61E7A"/>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4F96EFD"/>
    <w:rsid w:val="656B1D10"/>
    <w:rsid w:val="65B841F9"/>
    <w:rsid w:val="66022B28"/>
    <w:rsid w:val="664A38E2"/>
    <w:rsid w:val="66581E87"/>
    <w:rsid w:val="66766EBB"/>
    <w:rsid w:val="66FA11D5"/>
    <w:rsid w:val="674302C7"/>
    <w:rsid w:val="676D67DA"/>
    <w:rsid w:val="67CB09D8"/>
    <w:rsid w:val="67EE3B0F"/>
    <w:rsid w:val="680A5986"/>
    <w:rsid w:val="680D5F4B"/>
    <w:rsid w:val="68113F51"/>
    <w:rsid w:val="6828259E"/>
    <w:rsid w:val="68691A4F"/>
    <w:rsid w:val="68AD09A1"/>
    <w:rsid w:val="68C10EF1"/>
    <w:rsid w:val="68E94770"/>
    <w:rsid w:val="68EC1CEF"/>
    <w:rsid w:val="68F949C9"/>
    <w:rsid w:val="695A4290"/>
    <w:rsid w:val="696F3649"/>
    <w:rsid w:val="699E5B68"/>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3166BC"/>
    <w:rsid w:val="73406CFF"/>
    <w:rsid w:val="7383028C"/>
    <w:rsid w:val="73A25E44"/>
    <w:rsid w:val="741F68CF"/>
    <w:rsid w:val="75252DF3"/>
    <w:rsid w:val="75583DB0"/>
    <w:rsid w:val="75621536"/>
    <w:rsid w:val="75BF3154"/>
    <w:rsid w:val="764A07CF"/>
    <w:rsid w:val="764F6B3D"/>
    <w:rsid w:val="76CD2B7B"/>
    <w:rsid w:val="76D80645"/>
    <w:rsid w:val="76E03371"/>
    <w:rsid w:val="771211AA"/>
    <w:rsid w:val="77736C04"/>
    <w:rsid w:val="780E5898"/>
    <w:rsid w:val="782642CC"/>
    <w:rsid w:val="78706F4A"/>
    <w:rsid w:val="7894095E"/>
    <w:rsid w:val="78964555"/>
    <w:rsid w:val="78CF4963"/>
    <w:rsid w:val="79000679"/>
    <w:rsid w:val="7916258F"/>
    <w:rsid w:val="791C0FE5"/>
    <w:rsid w:val="79A416F0"/>
    <w:rsid w:val="79B03EB6"/>
    <w:rsid w:val="79B61437"/>
    <w:rsid w:val="7AE15A5C"/>
    <w:rsid w:val="7AF37579"/>
    <w:rsid w:val="7AF87F64"/>
    <w:rsid w:val="7B1C0C84"/>
    <w:rsid w:val="7B305ECD"/>
    <w:rsid w:val="7B5A62DF"/>
    <w:rsid w:val="7B7A04A8"/>
    <w:rsid w:val="7C0C3F6D"/>
    <w:rsid w:val="7C22163C"/>
    <w:rsid w:val="7C457B4B"/>
    <w:rsid w:val="7C595075"/>
    <w:rsid w:val="7C6B07B2"/>
    <w:rsid w:val="7CDD4F80"/>
    <w:rsid w:val="7D133243"/>
    <w:rsid w:val="7D945420"/>
    <w:rsid w:val="7D997857"/>
    <w:rsid w:val="7E394207"/>
    <w:rsid w:val="7E4007A2"/>
    <w:rsid w:val="7E634D85"/>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5"/>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jc w:val="left"/>
    </w:pPr>
    <w:rPr>
      <w:rFonts w:cs="Times New Roman"/>
      <w:kern w:val="0"/>
      <w:sz w:val="24"/>
    </w:rPr>
  </w:style>
  <w:style w:type="paragraph" w:styleId="22">
    <w:name w:val="Body Text First Indent"/>
    <w:basedOn w:val="8"/>
    <w:unhideWhenUsed/>
    <w:qFormat/>
    <w:uiPriority w:val="99"/>
    <w:pPr>
      <w:spacing w:after="120"/>
      <w:ind w:firstLine="420"/>
    </w:pPr>
    <w:rPr>
      <w:sz w:val="21"/>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Char"/>
    <w:basedOn w:val="26"/>
    <w:link w:val="18"/>
    <w:semiHidden/>
    <w:qFormat/>
    <w:uiPriority w:val="99"/>
    <w:rPr>
      <w:sz w:val="18"/>
      <w:szCs w:val="18"/>
    </w:rPr>
  </w:style>
  <w:style w:type="character" w:customStyle="1" w:styleId="31">
    <w:name w:val="页脚 Char"/>
    <w:basedOn w:val="26"/>
    <w:link w:val="17"/>
    <w:qFormat/>
    <w:uiPriority w:val="99"/>
    <w:rPr>
      <w:sz w:val="18"/>
      <w:szCs w:val="18"/>
    </w:rPr>
  </w:style>
  <w:style w:type="character" w:customStyle="1" w:styleId="32">
    <w:name w:val="标题 1 Char"/>
    <w:basedOn w:val="26"/>
    <w:link w:val="3"/>
    <w:qFormat/>
    <w:uiPriority w:val="9"/>
    <w:rPr>
      <w:rFonts w:eastAsia="方正小标宋简体"/>
      <w:bCs/>
      <w:kern w:val="44"/>
      <w:sz w:val="44"/>
      <w:szCs w:val="44"/>
    </w:rPr>
  </w:style>
  <w:style w:type="character" w:customStyle="1" w:styleId="33">
    <w:name w:val="标题 2 Char"/>
    <w:basedOn w:val="26"/>
    <w:link w:val="4"/>
    <w:qFormat/>
    <w:uiPriority w:val="9"/>
    <w:rPr>
      <w:rFonts w:eastAsia="方正小标宋简体" w:asciiTheme="majorHAnsi" w:hAnsiTheme="majorHAnsi" w:cstheme="majorBidi"/>
      <w:bCs/>
      <w:sz w:val="36"/>
      <w:szCs w:val="32"/>
    </w:rPr>
  </w:style>
  <w:style w:type="character" w:customStyle="1" w:styleId="34">
    <w:name w:val="标题 3 Char"/>
    <w:basedOn w:val="26"/>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6"/>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character" w:customStyle="1" w:styleId="48">
    <w:name w:val="font21"/>
    <w:basedOn w:val="26"/>
    <w:qFormat/>
    <w:uiPriority w:val="0"/>
    <w:rPr>
      <w:rFonts w:hint="eastAsia" w:ascii="宋体" w:hAnsi="宋体" w:eastAsia="宋体" w:cs="宋体"/>
      <w:b/>
      <w:bCs/>
      <w:color w:val="000000"/>
      <w:sz w:val="18"/>
      <w:szCs w:val="18"/>
      <w:u w:val="none"/>
    </w:rPr>
  </w:style>
  <w:style w:type="character" w:customStyle="1" w:styleId="49">
    <w:name w:val="font11"/>
    <w:basedOn w:val="2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15966</Words>
  <Characters>16577</Characters>
  <Lines>300</Lines>
  <Paragraphs>84</Paragraphs>
  <TotalTime>1</TotalTime>
  <ScaleCrop>false</ScaleCrop>
  <LinksUpToDate>false</LinksUpToDate>
  <CharactersWithSpaces>18163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2022-09-06T06:31:00Z</cp:lastPrinted>
  <dcterms:modified xsi:type="dcterms:W3CDTF">2023-05-10T03:32:31Z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F2027A0517DB48C894505B14F1DAFAF5</vt:lpwstr>
  </property>
</Properties>
</file>