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jc w:val="center"/>
        <w:rPr>
          <w:rFonts w:ascii="宋体" w:hAnsi="宋体" w:eastAsia="宋体" w:cs="宋体"/>
          <w:color w:val="auto"/>
          <w:sz w:val="52"/>
          <w:szCs w:val="52"/>
          <w:highlight w:val="none"/>
        </w:rPr>
      </w:pPr>
      <w:r>
        <w:rPr>
          <w:rFonts w:hint="eastAsia" w:ascii="宋体" w:hAnsi="宋体" w:eastAsia="宋体" w:cs="宋体"/>
          <w:b/>
          <w:bCs/>
          <w:color w:val="auto"/>
          <w:sz w:val="52"/>
          <w:szCs w:val="52"/>
          <w:highlight w:val="none"/>
          <w:lang w:val="en-US" w:eastAsia="zh-CN"/>
        </w:rPr>
        <w:t>广州城市水处理设备有限公司2023年柔性加热器及轴承加热器</w:t>
      </w:r>
      <w:r>
        <w:rPr>
          <w:rFonts w:hint="eastAsia" w:ascii="宋体" w:hAnsi="宋体" w:eastAsia="宋体" w:cs="宋体"/>
          <w:b/>
          <w:bCs/>
          <w:color w:val="auto"/>
          <w:sz w:val="52"/>
          <w:szCs w:val="52"/>
          <w:highlight w:val="none"/>
        </w:rPr>
        <w:t>采购</w:t>
      </w:r>
      <w:r>
        <w:rPr>
          <w:rFonts w:hint="eastAsia" w:ascii="宋体" w:hAnsi="宋体" w:eastAsia="宋体" w:cs="宋体"/>
          <w:b/>
          <w:bCs/>
          <w:color w:val="auto"/>
          <w:sz w:val="52"/>
          <w:szCs w:val="52"/>
          <w:highlight w:val="none"/>
          <w:lang w:val="en-US" w:eastAsia="zh-CN"/>
        </w:rPr>
        <w:t>项目采购</w:t>
      </w:r>
      <w:r>
        <w:rPr>
          <w:rFonts w:hint="eastAsia" w:ascii="宋体" w:hAnsi="宋体" w:eastAsia="宋体" w:cs="宋体"/>
          <w:b/>
          <w:bCs/>
          <w:color w:val="auto"/>
          <w:sz w:val="52"/>
          <w:szCs w:val="52"/>
          <w:highlight w:val="none"/>
        </w:rPr>
        <w:t>文件</w:t>
      </w: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广州城市水处理设备有限公司</w:t>
      </w: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二〇二</w:t>
      </w:r>
      <w:r>
        <w:rPr>
          <w:rFonts w:hint="eastAsia" w:ascii="宋体" w:hAnsi="宋体" w:eastAsia="宋体" w:cs="宋体"/>
          <w:color w:val="auto"/>
          <w:sz w:val="32"/>
          <w:szCs w:val="32"/>
          <w:highlight w:val="none"/>
          <w:lang w:val="en-US" w:eastAsia="zh-CN"/>
        </w:rPr>
        <w:t>三</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lang w:val="en-US" w:eastAsia="zh-CN"/>
        </w:rPr>
        <w:t>五</w:t>
      </w:r>
      <w:r>
        <w:rPr>
          <w:rFonts w:hint="eastAsia" w:ascii="宋体" w:hAnsi="宋体" w:eastAsia="宋体" w:cs="宋体"/>
          <w:color w:val="auto"/>
          <w:sz w:val="32"/>
          <w:szCs w:val="32"/>
          <w:highlight w:val="none"/>
        </w:rPr>
        <w:t>月</w:t>
      </w:r>
    </w:p>
    <w:p>
      <w:pPr>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rPr>
          <w:rFonts w:ascii="宋体" w:hAnsi="宋体" w:eastAsia="宋体" w:cs="宋体"/>
          <w:color w:val="auto"/>
          <w:highlight w:val="none"/>
        </w:rPr>
      </w:pPr>
    </w:p>
    <w:p>
      <w:pPr>
        <w:pStyle w:val="38"/>
        <w:adjustRightInd w:val="0"/>
        <w:snapToGrid w:val="0"/>
        <w:spacing w:before="0" w:line="600" w:lineRule="exact"/>
        <w:jc w:val="center"/>
        <w:rPr>
          <w:rFonts w:ascii="宋体" w:hAnsi="宋体" w:eastAsia="宋体" w:cs="宋体"/>
          <w:b/>
          <w:color w:val="auto"/>
          <w:sz w:val="44"/>
          <w:szCs w:val="44"/>
          <w:highlight w:val="none"/>
        </w:rPr>
      </w:pPr>
      <w:r>
        <w:rPr>
          <w:rFonts w:hint="eastAsia" w:ascii="宋体" w:hAnsi="宋体" w:eastAsia="宋体" w:cs="宋体"/>
          <w:b/>
          <w:color w:val="auto"/>
          <w:sz w:val="44"/>
          <w:szCs w:val="44"/>
          <w:highlight w:val="none"/>
        </w:rPr>
        <w:t>目录</w:t>
      </w:r>
    </w:p>
    <w:p>
      <w:pPr>
        <w:rPr>
          <w:rFonts w:ascii="宋体" w:hAnsi="宋体" w:eastAsia="宋体" w:cs="宋体"/>
          <w:color w:val="auto"/>
          <w:sz w:val="24"/>
          <w:szCs w:val="24"/>
          <w:highlight w:val="none"/>
        </w:rPr>
      </w:pP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采购公告</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供应商须知</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采购方法</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评审方法</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采购需求</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合同草案</w:t>
      </w:r>
    </w:p>
    <w:p>
      <w:pPr>
        <w:pStyle w:val="18"/>
        <w:numPr>
          <w:ilvl w:val="0"/>
          <w:numId w:val="1"/>
        </w:numPr>
        <w:tabs>
          <w:tab w:val="right" w:pos="8844"/>
        </w:tabs>
        <w:rPr>
          <w:rFonts w:ascii="宋体" w:hAnsi="宋体" w:eastAsia="宋体" w:cs="宋体"/>
          <w:color w:val="auto"/>
          <w:highlight w:val="none"/>
        </w:rPr>
      </w:pPr>
      <w:r>
        <w:rPr>
          <w:rFonts w:hint="eastAsia" w:ascii="宋体" w:hAnsi="宋体" w:eastAsia="宋体" w:cs="宋体"/>
          <w:color w:val="auto"/>
          <w:highlight w:val="none"/>
        </w:rPr>
        <w:t>响应文件格式要求</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"1-1" \n  \h \u </w:instrText>
      </w:r>
      <w:r>
        <w:rPr>
          <w:rFonts w:hint="eastAsia" w:ascii="宋体" w:hAnsi="宋体" w:eastAsia="宋体" w:cs="宋体"/>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rFonts w:ascii="宋体" w:hAnsi="宋体" w:eastAsia="宋体" w:cs="宋体"/>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rFonts w:eastAsia="宋体" w:cs="宋体"/>
          <w:color w:val="auto"/>
          <w:highlight w:val="none"/>
        </w:rPr>
      </w:pPr>
      <w:r>
        <w:rPr>
          <w:rFonts w:hint="eastAsia" w:eastAsia="宋体" w:cs="宋体"/>
          <w:color w:val="auto"/>
          <w:highlight w:val="none"/>
        </w:rPr>
        <w:fldChar w:fldCharType="end"/>
      </w: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rPr>
          <w:rFonts w:ascii="宋体" w:hAnsi="宋体" w:eastAsia="宋体" w:cs="宋体"/>
          <w:color w:val="auto"/>
          <w:highlight w:val="none"/>
        </w:rPr>
      </w:pPr>
      <w:bookmarkStart w:id="0" w:name="_Toc26148"/>
      <w:bookmarkStart w:id="1" w:name="_Toc18145"/>
    </w:p>
    <w:p>
      <w:pPr>
        <w:rPr>
          <w:rFonts w:ascii="宋体" w:hAnsi="宋体" w:eastAsia="宋体" w:cs="宋体"/>
          <w:color w:val="auto"/>
          <w:highlight w:val="none"/>
        </w:rPr>
      </w:pPr>
    </w:p>
    <w:p>
      <w:pPr>
        <w:rPr>
          <w:rFonts w:ascii="宋体" w:hAnsi="宋体" w:eastAsia="宋体" w:cs="宋体"/>
          <w:color w:val="auto"/>
          <w:highlight w:val="none"/>
        </w:rPr>
      </w:pPr>
      <w:bookmarkStart w:id="2" w:name="_Toc1711"/>
      <w:bookmarkStart w:id="3" w:name="_Toc17696"/>
    </w:p>
    <w:p>
      <w:pPr>
        <w:rPr>
          <w:rFonts w:ascii="宋体" w:hAnsi="宋体"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rPr>
          <w:rFonts w:ascii="宋体" w:hAnsi="宋体" w:eastAsia="宋体" w:cs="宋体"/>
          <w:color w:val="auto"/>
          <w:highlight w:val="none"/>
        </w:rPr>
      </w:pPr>
      <w:bookmarkStart w:id="4" w:name="_Toc19609"/>
      <w:bookmarkStart w:id="5" w:name="_Toc31938"/>
      <w:bookmarkStart w:id="6" w:name="_Toc11322"/>
      <w:bookmarkStart w:id="7" w:name="_Toc1669"/>
      <w:bookmarkStart w:id="8" w:name="_Toc4275"/>
      <w:bookmarkStart w:id="9" w:name="_Toc7519"/>
      <w:bookmarkStart w:id="10" w:name="_Toc17801"/>
    </w:p>
    <w:p>
      <w:pPr>
        <w:pStyle w:val="2"/>
        <w:rPr>
          <w:color w:val="auto"/>
          <w:highlight w:val="none"/>
        </w:rPr>
      </w:pPr>
    </w:p>
    <w:p>
      <w:pPr>
        <w:rPr>
          <w:rFonts w:ascii="宋体" w:hAnsi="宋体" w:eastAsia="宋体" w:cs="宋体"/>
          <w:color w:val="auto"/>
          <w:highlight w:val="none"/>
        </w:rPr>
      </w:pPr>
    </w:p>
    <w:p>
      <w:pPr>
        <w:rPr>
          <w:rFonts w:ascii="宋体" w:hAnsi="宋体" w:eastAsia="宋体" w:cs="宋体"/>
          <w:color w:val="auto"/>
          <w:highlight w:val="none"/>
        </w:rPr>
      </w:pPr>
    </w:p>
    <w:p>
      <w:pPr>
        <w:pStyle w:val="4"/>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40"/>
        <w:rPr>
          <w:rFonts w:ascii="宋体" w:hAnsi="宋体" w:eastAsia="宋体" w:cs="宋体"/>
          <w:color w:val="auto"/>
          <w:highlight w:val="none"/>
        </w:rPr>
      </w:pPr>
    </w:p>
    <w:p>
      <w:pPr>
        <w:pStyle w:val="4"/>
        <w:rPr>
          <w:rFonts w:ascii="宋体" w:hAnsi="宋体" w:eastAsia="宋体" w:cs="宋体"/>
          <w:color w:val="auto"/>
          <w:highlight w:val="none"/>
        </w:rPr>
      </w:pPr>
      <w:bookmarkStart w:id="11" w:name="_Toc14238"/>
      <w:bookmarkStart w:id="12" w:name="_Toc30131"/>
      <w:bookmarkStart w:id="13" w:name="_Toc88209924"/>
      <w:bookmarkStart w:id="14" w:name="_Toc15709"/>
      <w:bookmarkStart w:id="15" w:name="_Toc5230"/>
      <w:bookmarkStart w:id="16" w:name="_Toc30989"/>
      <w:bookmarkStart w:id="17" w:name="_Toc28995"/>
      <w:bookmarkStart w:id="18" w:name="_Toc10122"/>
      <w:bookmarkStart w:id="19" w:name="_Toc26363"/>
      <w:bookmarkStart w:id="20" w:name="_Toc2659"/>
      <w:bookmarkStart w:id="21" w:name="_Toc8201"/>
      <w:bookmarkStart w:id="22" w:name="_Toc999"/>
      <w:r>
        <w:rPr>
          <w:rFonts w:hint="eastAsia" w:ascii="宋体" w:hAnsi="宋体" w:eastAsia="宋体" w:cs="宋体"/>
          <w:color w:val="auto"/>
          <w:highlight w:val="none"/>
        </w:rPr>
        <w:t>采购公告</w:t>
      </w:r>
      <w:bookmarkEnd w:id="11"/>
      <w:bookmarkEnd w:id="12"/>
      <w:bookmarkEnd w:id="13"/>
      <w:bookmarkEnd w:id="14"/>
      <w:bookmarkEnd w:id="15"/>
      <w:bookmarkEnd w:id="16"/>
      <w:bookmarkEnd w:id="17"/>
      <w:bookmarkEnd w:id="18"/>
      <w:bookmarkEnd w:id="19"/>
      <w:bookmarkEnd w:id="20"/>
      <w:bookmarkEnd w:id="21"/>
      <w:bookmarkEnd w:id="22"/>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28"/>
          <w:szCs w:val="28"/>
          <w:highlight w:val="none"/>
        </w:rPr>
      </w:pPr>
    </w:p>
    <w:p>
      <w:pPr>
        <w:adjustRightInd w:val="0"/>
        <w:snapToGrid w:val="0"/>
        <w:spacing w:before="190" w:beforeLines="50" w:after="190" w:afterLines="50" w:line="600" w:lineRule="exact"/>
        <w:jc w:val="left"/>
        <w:rPr>
          <w:rFonts w:ascii="宋体" w:hAnsi="宋体" w:eastAsia="宋体" w:cs="宋体"/>
          <w:color w:val="auto"/>
          <w:highlight w:val="none"/>
        </w:rPr>
      </w:pPr>
      <w:r>
        <w:rPr>
          <w:rFonts w:hint="eastAsia" w:ascii="宋体" w:hAnsi="宋体" w:eastAsia="宋体" w:cs="宋体"/>
          <w:color w:val="auto"/>
          <w:sz w:val="24"/>
          <w:szCs w:val="24"/>
          <w:highlight w:val="none"/>
        </w:rPr>
        <w:t>适用于纸质评审的公开采购方式</w:t>
      </w:r>
    </w:p>
    <w:p>
      <w:pPr>
        <w:pStyle w:val="5"/>
        <w:spacing w:line="600" w:lineRule="exact"/>
        <w:rPr>
          <w:rFonts w:ascii="宋体" w:hAnsi="宋体" w:eastAsia="宋体" w:cs="宋体"/>
          <w:color w:val="auto"/>
          <w:highlight w:val="none"/>
        </w:rPr>
      </w:pPr>
      <w:bookmarkStart w:id="23" w:name="_Toc21373"/>
      <w:bookmarkStart w:id="24" w:name="_Toc9680"/>
      <w:r>
        <w:rPr>
          <w:rFonts w:hint="eastAsia" w:ascii="宋体" w:hAnsi="宋体" w:eastAsia="宋体" w:cs="宋体"/>
          <w:color w:val="auto"/>
          <w:highlight w:val="none"/>
          <w:lang w:val="en-US" w:eastAsia="zh-CN"/>
        </w:rPr>
        <w:t>广州城市水处理设备有限公司2023年柔性加热器及轴承加热器采购项目</w:t>
      </w:r>
      <w:r>
        <w:rPr>
          <w:rFonts w:hint="eastAsia" w:ascii="宋体" w:hAnsi="宋体" w:eastAsia="宋体" w:cs="宋体"/>
          <w:color w:val="auto"/>
          <w:highlight w:val="none"/>
        </w:rPr>
        <w:t>采购公告</w:t>
      </w:r>
      <w:bookmarkEnd w:id="23"/>
      <w:bookmarkEnd w:id="24"/>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广州城市水处理设备有限公司2023年柔性加热器及轴承加热器采购项目</w:t>
      </w:r>
      <w:r>
        <w:rPr>
          <w:rFonts w:hint="eastAsia" w:ascii="宋体" w:hAnsi="宋体" w:eastAsia="宋体" w:cs="宋体"/>
          <w:color w:val="auto"/>
          <w:sz w:val="28"/>
          <w:szCs w:val="28"/>
          <w:highlight w:val="none"/>
        </w:rPr>
        <w:t>已具备采购条件，现对该</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 xml:space="preserve">施工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货物 □服务项目实施公开采购活动，采用</w:t>
      </w:r>
      <w:r>
        <w:rPr>
          <w:rFonts w:hint="eastAsia" w:ascii="宋体" w:hAnsi="宋体" w:eastAsia="宋体" w:cs="宋体"/>
          <w:color w:val="auto"/>
          <w:sz w:val="28"/>
          <w:szCs w:val="28"/>
          <w:highlight w:val="none"/>
          <w:u w:val="single"/>
        </w:rPr>
        <w:sym w:font="Wingdings 2" w:char="00A3"/>
      </w:r>
      <w:r>
        <w:rPr>
          <w:rFonts w:hint="eastAsia" w:ascii="宋体" w:hAnsi="宋体" w:eastAsia="宋体" w:cs="宋体"/>
          <w:color w:val="auto"/>
          <w:sz w:val="28"/>
          <w:szCs w:val="28"/>
          <w:highlight w:val="none"/>
          <w:u w:val="single"/>
        </w:rPr>
        <w:t xml:space="preserve">邀请询比 </w:t>
      </w:r>
      <w:r>
        <w:rPr>
          <w:rFonts w:hint="eastAsia" w:ascii="宋体" w:hAnsi="宋体" w:eastAsia="宋体" w:cs="宋体"/>
          <w:color w:val="auto"/>
          <w:sz w:val="28"/>
          <w:szCs w:val="28"/>
          <w:highlight w:val="none"/>
          <w:u w:val="single"/>
        </w:rPr>
        <w:sym w:font="Wingdings 2" w:char="0052"/>
      </w:r>
      <w:r>
        <w:rPr>
          <w:rFonts w:hint="eastAsia" w:ascii="宋体" w:hAnsi="宋体" w:eastAsia="宋体" w:cs="宋体"/>
          <w:color w:val="auto"/>
          <w:sz w:val="28"/>
          <w:szCs w:val="28"/>
          <w:highlight w:val="none"/>
          <w:u w:val="single"/>
        </w:rPr>
        <w:t>公开询比</w:t>
      </w:r>
      <w:r>
        <w:rPr>
          <w:rFonts w:hint="eastAsia" w:ascii="宋体" w:hAnsi="宋体" w:eastAsia="宋体" w:cs="宋体"/>
          <w:color w:val="auto"/>
          <w:sz w:val="28"/>
          <w:szCs w:val="28"/>
          <w:highlight w:val="none"/>
        </w:rPr>
        <w:t>方式公开邀请合格供应商参加本项目采购竞争。</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1.采购项目简介</w:t>
      </w:r>
    </w:p>
    <w:p>
      <w:pPr>
        <w:tabs>
          <w:tab w:val="right" w:pos="8415"/>
        </w:tabs>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1.1采购项目名称：</w:t>
      </w:r>
      <w:r>
        <w:rPr>
          <w:rFonts w:hint="eastAsia" w:ascii="宋体" w:hAnsi="宋体" w:eastAsia="宋体" w:cs="宋体"/>
          <w:color w:val="auto"/>
          <w:sz w:val="28"/>
          <w:szCs w:val="28"/>
          <w:highlight w:val="none"/>
          <w:lang w:val="en-US" w:eastAsia="zh-CN"/>
        </w:rPr>
        <w:t>广州城市水处理设备有限公司2023年柔性加热器及轴承加热器采购</w:t>
      </w:r>
    </w:p>
    <w:p>
      <w:pPr>
        <w:adjustRightInd w:val="0"/>
        <w:snapToGrid w:val="0"/>
        <w:spacing w:line="600" w:lineRule="exact"/>
        <w:jc w:val="lef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1.2项目编号：</w:t>
      </w:r>
      <w:r>
        <w:rPr>
          <w:rFonts w:hint="eastAsia" w:ascii="宋体" w:hAnsi="宋体" w:eastAsia="宋体" w:cs="宋体"/>
          <w:color w:val="auto"/>
          <w:sz w:val="28"/>
          <w:szCs w:val="28"/>
          <w:highlight w:val="none"/>
          <w:lang w:val="en-US" w:eastAsia="zh-CN"/>
        </w:rPr>
        <w:t>穗净水设备询[2023]004号</w:t>
      </w:r>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1.3资金来源：</w:t>
      </w:r>
      <w:r>
        <w:rPr>
          <w:rFonts w:hint="eastAsia" w:ascii="宋体" w:hAnsi="宋体" w:eastAsia="宋体" w:cs="宋体"/>
          <w:color w:val="auto"/>
          <w:sz w:val="28"/>
          <w:szCs w:val="28"/>
          <w:highlight w:val="none"/>
          <w:u w:val="single"/>
        </w:rPr>
        <w:t xml:space="preserve">自有资金  </w:t>
      </w:r>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1.4最高限价（元）：</w:t>
      </w:r>
      <w:r>
        <w:rPr>
          <w:rFonts w:hint="eastAsia" w:ascii="宋体" w:hAnsi="宋体" w:eastAsia="宋体" w:cs="宋体"/>
          <w:color w:val="auto"/>
          <w:sz w:val="28"/>
          <w:szCs w:val="28"/>
          <w:highlight w:val="none"/>
          <w:u w:val="single"/>
          <w:lang w:val="en-US" w:eastAsia="zh-CN"/>
        </w:rPr>
        <w:t>276800</w:t>
      </w:r>
      <w:r>
        <w:rPr>
          <w:rFonts w:hint="eastAsia" w:ascii="宋体" w:hAnsi="宋体" w:eastAsia="宋体" w:cs="宋体"/>
          <w:color w:val="auto"/>
          <w:sz w:val="28"/>
          <w:szCs w:val="28"/>
          <w:highlight w:val="none"/>
          <w:u w:val="single"/>
        </w:rPr>
        <w:t>元，其中不含税价为</w:t>
      </w:r>
      <w:r>
        <w:rPr>
          <w:rFonts w:hint="eastAsia" w:ascii="宋体" w:hAnsi="宋体" w:eastAsia="宋体" w:cs="宋体"/>
          <w:color w:val="auto"/>
          <w:sz w:val="28"/>
          <w:szCs w:val="28"/>
          <w:highlight w:val="none"/>
          <w:u w:val="single"/>
          <w:lang w:val="en-US" w:eastAsia="zh-CN"/>
        </w:rPr>
        <w:t>244955.75</w:t>
      </w:r>
      <w:r>
        <w:rPr>
          <w:rFonts w:hint="eastAsia" w:ascii="宋体" w:hAnsi="宋体" w:eastAsia="宋体" w:cs="宋体"/>
          <w:color w:val="auto"/>
          <w:sz w:val="28"/>
          <w:szCs w:val="28"/>
          <w:highlight w:val="none"/>
          <w:u w:val="single"/>
        </w:rPr>
        <w:t>元，税率13%.</w:t>
      </w:r>
    </w:p>
    <w:p>
      <w:pPr>
        <w:adjustRightInd w:val="0"/>
        <w:snapToGrid w:val="0"/>
        <w:spacing w:line="600" w:lineRule="exact"/>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1.5标段划分：</w:t>
      </w:r>
      <w:r>
        <w:rPr>
          <w:rFonts w:hint="eastAsia" w:ascii="宋体" w:hAnsi="宋体" w:eastAsia="宋体" w:cs="宋体"/>
          <w:color w:val="auto"/>
          <w:sz w:val="28"/>
          <w:szCs w:val="28"/>
          <w:highlight w:val="none"/>
          <w:u w:val="single"/>
        </w:rPr>
        <w:t xml:space="preserve">                  /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2.采购内容和范围</w:t>
      </w:r>
    </w:p>
    <w:p>
      <w:pPr>
        <w:pStyle w:val="10"/>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2.1采购内容和范围：</w:t>
      </w:r>
    </w:p>
    <w:tbl>
      <w:tblPr>
        <w:tblStyle w:val="25"/>
        <w:tblpPr w:leftFromText="180" w:rightFromText="180" w:vertAnchor="text" w:horzAnchor="page" w:tblpX="1825" w:tblpY="297"/>
        <w:tblOverlap w:val="never"/>
        <w:tblW w:w="9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1710"/>
        <w:gridCol w:w="1575"/>
        <w:gridCol w:w="1515"/>
        <w:gridCol w:w="193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60" w:type="dxa"/>
            <w:noWrap w:val="0"/>
            <w:vAlign w:val="center"/>
          </w:tcPr>
          <w:p>
            <w:pPr>
              <w:pStyle w:val="10"/>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序号</w:t>
            </w:r>
          </w:p>
        </w:tc>
        <w:tc>
          <w:tcPr>
            <w:tcW w:w="1710" w:type="dxa"/>
            <w:noWrap w:val="0"/>
            <w:vAlign w:val="center"/>
          </w:tcPr>
          <w:p>
            <w:pPr>
              <w:pStyle w:val="10"/>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设备名称</w:t>
            </w:r>
          </w:p>
        </w:tc>
        <w:tc>
          <w:tcPr>
            <w:tcW w:w="1575" w:type="dxa"/>
            <w:noWrap w:val="0"/>
            <w:vAlign w:val="center"/>
          </w:tcPr>
          <w:p>
            <w:pPr>
              <w:pStyle w:val="10"/>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单位</w:t>
            </w:r>
          </w:p>
        </w:tc>
        <w:tc>
          <w:tcPr>
            <w:tcW w:w="1515" w:type="dxa"/>
            <w:noWrap w:val="0"/>
            <w:vAlign w:val="center"/>
          </w:tcPr>
          <w:p>
            <w:pPr>
              <w:pStyle w:val="10"/>
              <w:jc w:val="center"/>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工作功率/加热内孔径范围</w:t>
            </w:r>
          </w:p>
        </w:tc>
        <w:tc>
          <w:tcPr>
            <w:tcW w:w="1935" w:type="dxa"/>
            <w:noWrap w:val="0"/>
            <w:vAlign w:val="center"/>
          </w:tcPr>
          <w:p>
            <w:pPr>
              <w:pStyle w:val="1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数量</w:t>
            </w:r>
          </w:p>
        </w:tc>
        <w:tc>
          <w:tcPr>
            <w:tcW w:w="1320" w:type="dxa"/>
            <w:noWrap w:val="0"/>
            <w:vAlign w:val="center"/>
          </w:tcPr>
          <w:p>
            <w:pPr>
              <w:pStyle w:val="10"/>
              <w:jc w:val="center"/>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0"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1</w:t>
            </w:r>
          </w:p>
        </w:tc>
        <w:tc>
          <w:tcPr>
            <w:tcW w:w="1710"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柔性加热器</w:t>
            </w:r>
          </w:p>
        </w:tc>
        <w:tc>
          <w:tcPr>
            <w:tcW w:w="1575" w:type="dxa"/>
            <w:noWrap w:val="0"/>
            <w:vAlign w:val="center"/>
          </w:tcPr>
          <w:p>
            <w:pPr>
              <w:pStyle w:val="1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台</w:t>
            </w:r>
          </w:p>
        </w:tc>
        <w:tc>
          <w:tcPr>
            <w:tcW w:w="1515"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5kW</w:t>
            </w:r>
          </w:p>
        </w:tc>
        <w:tc>
          <w:tcPr>
            <w:tcW w:w="1935"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tc>
        <w:tc>
          <w:tcPr>
            <w:tcW w:w="1320" w:type="dxa"/>
            <w:noWrap w:val="0"/>
            <w:vAlign w:val="center"/>
          </w:tcPr>
          <w:p>
            <w:pPr>
              <w:pStyle w:val="10"/>
              <w:ind w:firstLine="560" w:firstLineChars="200"/>
              <w:jc w:val="center"/>
              <w:rPr>
                <w:rFonts w:hint="default" w:ascii="宋体" w:hAnsi="宋体" w:eastAsia="宋体" w:cs="宋体"/>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60"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w:t>
            </w:r>
          </w:p>
        </w:tc>
        <w:tc>
          <w:tcPr>
            <w:tcW w:w="1710"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default" w:ascii="宋体" w:hAnsi="宋体" w:eastAsia="宋体" w:cs="宋体"/>
                <w:color w:val="auto"/>
                <w:sz w:val="28"/>
                <w:szCs w:val="28"/>
                <w:highlight w:val="none"/>
                <w:lang w:val="en-US" w:eastAsia="zh-CN"/>
              </w:rPr>
              <w:t>柔性加热器</w:t>
            </w:r>
          </w:p>
        </w:tc>
        <w:tc>
          <w:tcPr>
            <w:tcW w:w="1575" w:type="dxa"/>
            <w:noWrap w:val="0"/>
            <w:vAlign w:val="center"/>
          </w:tcPr>
          <w:p>
            <w:pPr>
              <w:pStyle w:val="1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台</w:t>
            </w:r>
          </w:p>
        </w:tc>
        <w:tc>
          <w:tcPr>
            <w:tcW w:w="1515" w:type="dxa"/>
            <w:noWrap w:val="0"/>
            <w:vAlign w:val="center"/>
          </w:tcPr>
          <w:p>
            <w:pPr>
              <w:pStyle w:val="1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12kW</w:t>
            </w:r>
          </w:p>
        </w:tc>
        <w:tc>
          <w:tcPr>
            <w:tcW w:w="1935"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tc>
        <w:tc>
          <w:tcPr>
            <w:tcW w:w="1320" w:type="dxa"/>
            <w:noWrap w:val="0"/>
            <w:vAlign w:val="center"/>
          </w:tcPr>
          <w:p>
            <w:pPr>
              <w:pStyle w:val="10"/>
              <w:ind w:firstLine="560" w:firstLineChars="200"/>
              <w:jc w:val="center"/>
              <w:rPr>
                <w:rFonts w:hint="default" w:ascii="宋体" w:hAnsi="宋体" w:eastAsia="宋体" w:cs="宋体"/>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60"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w:t>
            </w:r>
          </w:p>
        </w:tc>
        <w:tc>
          <w:tcPr>
            <w:tcW w:w="1710"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轴承加热器</w:t>
            </w:r>
          </w:p>
        </w:tc>
        <w:tc>
          <w:tcPr>
            <w:tcW w:w="1575"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台</w:t>
            </w:r>
          </w:p>
        </w:tc>
        <w:tc>
          <w:tcPr>
            <w:tcW w:w="1515" w:type="dxa"/>
            <w:noWrap w:val="0"/>
            <w:vAlign w:val="center"/>
          </w:tcPr>
          <w:p>
            <w:pPr>
              <w:pStyle w:val="1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轴承内孔径范围：20-120mm</w:t>
            </w:r>
          </w:p>
        </w:tc>
        <w:tc>
          <w:tcPr>
            <w:tcW w:w="1935"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tc>
        <w:tc>
          <w:tcPr>
            <w:tcW w:w="1320" w:type="dxa"/>
            <w:noWrap w:val="0"/>
            <w:vAlign w:val="center"/>
          </w:tcPr>
          <w:p>
            <w:pPr>
              <w:pStyle w:val="10"/>
              <w:ind w:firstLine="560" w:firstLineChars="200"/>
              <w:jc w:val="center"/>
              <w:rPr>
                <w:rFonts w:hint="default" w:ascii="宋体" w:hAnsi="宋体" w:eastAsia="宋体" w:cs="宋体"/>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60"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w:t>
            </w:r>
          </w:p>
        </w:tc>
        <w:tc>
          <w:tcPr>
            <w:tcW w:w="1710"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轴承加热器</w:t>
            </w:r>
          </w:p>
        </w:tc>
        <w:tc>
          <w:tcPr>
            <w:tcW w:w="1575"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台</w:t>
            </w:r>
          </w:p>
        </w:tc>
        <w:tc>
          <w:tcPr>
            <w:tcW w:w="1515" w:type="dxa"/>
            <w:noWrap w:val="0"/>
            <w:vAlign w:val="center"/>
          </w:tcPr>
          <w:p>
            <w:pPr>
              <w:pStyle w:val="1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轴承内孔径范围：20-400mm</w:t>
            </w:r>
          </w:p>
        </w:tc>
        <w:tc>
          <w:tcPr>
            <w:tcW w:w="1935"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tc>
        <w:tc>
          <w:tcPr>
            <w:tcW w:w="1320" w:type="dxa"/>
            <w:noWrap w:val="0"/>
            <w:vAlign w:val="center"/>
          </w:tcPr>
          <w:p>
            <w:pPr>
              <w:pStyle w:val="10"/>
              <w:ind w:firstLine="560" w:firstLineChars="200"/>
              <w:jc w:val="center"/>
              <w:rPr>
                <w:rFonts w:hint="default" w:ascii="宋体" w:hAnsi="宋体" w:eastAsia="宋体" w:cs="宋体"/>
                <w:color w:val="auto"/>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60"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w:t>
            </w:r>
          </w:p>
        </w:tc>
        <w:tc>
          <w:tcPr>
            <w:tcW w:w="1710"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轴承加热器</w:t>
            </w:r>
          </w:p>
        </w:tc>
        <w:tc>
          <w:tcPr>
            <w:tcW w:w="1575"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台</w:t>
            </w:r>
          </w:p>
        </w:tc>
        <w:tc>
          <w:tcPr>
            <w:tcW w:w="1515" w:type="dxa"/>
            <w:noWrap w:val="0"/>
            <w:vAlign w:val="center"/>
          </w:tcPr>
          <w:p>
            <w:pPr>
              <w:pStyle w:val="10"/>
              <w:jc w:val="center"/>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轴承内孔径范围：40-500mm</w:t>
            </w:r>
          </w:p>
        </w:tc>
        <w:tc>
          <w:tcPr>
            <w:tcW w:w="1935" w:type="dxa"/>
            <w:noWrap w:val="0"/>
            <w:vAlign w:val="center"/>
          </w:tcPr>
          <w:p>
            <w:pPr>
              <w:pStyle w:val="10"/>
              <w:jc w:val="center"/>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p>
        </w:tc>
        <w:tc>
          <w:tcPr>
            <w:tcW w:w="1320" w:type="dxa"/>
            <w:noWrap w:val="0"/>
            <w:vAlign w:val="center"/>
          </w:tcPr>
          <w:p>
            <w:pPr>
              <w:pStyle w:val="10"/>
              <w:jc w:val="both"/>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手推车一体式</w:t>
            </w:r>
          </w:p>
        </w:tc>
      </w:tr>
    </w:tbl>
    <w:p>
      <w:pPr>
        <w:adjustRightInd w:val="0"/>
        <w:snapToGrid w:val="0"/>
        <w:spacing w:line="600" w:lineRule="exact"/>
        <w:ind w:firstLine="560" w:firstLineChars="200"/>
        <w:jc w:val="left"/>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en-US" w:eastAsia="zh-CN"/>
        </w:rPr>
        <w:t>上述货物供货时需提供设备维修保养手册，使用说明书，设备生产合格证或厂家提供的产品合格证明。必须是全新合格产品，并能正常使用。</w:t>
      </w:r>
    </w:p>
    <w:p>
      <w:pPr>
        <w:pStyle w:val="10"/>
        <w:ind w:firstLine="560" w:firstLineChars="200"/>
        <w:rPr>
          <w:rFonts w:hint="eastAsia" w:ascii="宋体" w:hAnsi="宋体" w:eastAsia="宋体" w:cs="宋体"/>
          <w:color w:val="auto"/>
          <w:sz w:val="28"/>
          <w:szCs w:val="28"/>
          <w:highlight w:val="none"/>
        </w:rPr>
      </w:pPr>
    </w:p>
    <w:p>
      <w:pPr>
        <w:pStyle w:val="10"/>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2.2项目工期：</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 xml:space="preserve">计划工期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交货期  □服务期为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60</w:t>
      </w:r>
      <w:r>
        <w:rPr>
          <w:rFonts w:hint="eastAsia" w:ascii="宋体" w:hAnsi="宋体" w:eastAsia="宋体" w:cs="宋体"/>
          <w:color w:val="auto"/>
          <w:sz w:val="28"/>
          <w:szCs w:val="28"/>
          <w:highlight w:val="none"/>
          <w:u w:val="single"/>
        </w:rPr>
        <w:t xml:space="preserve">天                   </w:t>
      </w:r>
      <w:r>
        <w:rPr>
          <w:rFonts w:hint="eastAsia" w:ascii="宋体" w:hAnsi="宋体" w:eastAsia="宋体" w:cs="宋体"/>
          <w:color w:val="auto"/>
          <w:sz w:val="28"/>
          <w:szCs w:val="28"/>
          <w:highlight w:val="none"/>
        </w:rPr>
        <w:t xml:space="preserve"> </w:t>
      </w:r>
    </w:p>
    <w:p>
      <w:pPr>
        <w:spacing w:line="360" w:lineRule="auto"/>
        <w:ind w:firstLine="560" w:firstLineChars="200"/>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 xml:space="preserve">2.3地点：□建设地点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交货地点  □服务地点位于</w:t>
      </w:r>
      <w:r>
        <w:rPr>
          <w:rFonts w:hint="eastAsia" w:ascii="宋体" w:hAnsi="宋体" w:eastAsia="宋体" w:cs="宋体"/>
          <w:color w:val="auto"/>
          <w:sz w:val="28"/>
          <w:szCs w:val="28"/>
          <w:highlight w:val="none"/>
          <w:u w:val="single"/>
        </w:rPr>
        <w:t>广州城市水处理设备有限公司指定位置。（具体位置供货前由广州城市水处理设备有限公司通知）</w:t>
      </w:r>
    </w:p>
    <w:p>
      <w:pPr>
        <w:adjustRightInd w:val="0"/>
        <w:snapToGrid w:val="0"/>
        <w:spacing w:line="600" w:lineRule="exact"/>
        <w:ind w:left="420" w:right="-369" w:rightChars="-176" w:hanging="420" w:hanging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2.4质量要求：□施工质量要求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 xml:space="preserve">货物质量标准或主要技术性能指标  </w:t>
      </w: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服务质量要求或服务标准如下：</w:t>
      </w:r>
      <w:r>
        <w:rPr>
          <w:rFonts w:hint="eastAsia" w:ascii="宋体" w:hAnsi="宋体" w:eastAsia="宋体" w:cs="宋体"/>
          <w:color w:val="auto"/>
          <w:sz w:val="28"/>
          <w:szCs w:val="28"/>
          <w:highlight w:val="none"/>
          <w:u w:val="single"/>
        </w:rPr>
        <w:t xml:space="preserve">   满足询价文件中所有要求。 </w:t>
      </w:r>
      <w:r>
        <w:rPr>
          <w:rFonts w:hint="eastAsia" w:ascii="宋体" w:hAnsi="宋体" w:eastAsia="宋体" w:cs="宋体"/>
          <w:color w:val="auto"/>
          <w:sz w:val="28"/>
          <w:szCs w:val="28"/>
          <w:highlight w:val="none"/>
        </w:rPr>
        <w:t xml:space="preserve">  </w:t>
      </w:r>
    </w:p>
    <w:p>
      <w:pPr>
        <w:adjustRightInd w:val="0"/>
        <w:snapToGrid w:val="0"/>
        <w:spacing w:line="600" w:lineRule="exact"/>
        <w:ind w:left="420" w:right="-369" w:rightChars="-176" w:hanging="420" w:hanging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2.5其他：</w:t>
      </w: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安全目标如下：</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none"/>
          <w:lang w:val="en-US" w:eastAsia="zh-CN"/>
        </w:rPr>
        <w:t xml:space="preserve">的具体安排 </w:t>
      </w:r>
      <w:r>
        <w:rPr>
          <w:rFonts w:hint="eastAsia" w:ascii="宋体" w:hAnsi="宋体" w:eastAsia="宋体" w:cs="宋体"/>
          <w:color w:val="auto"/>
          <w:sz w:val="28"/>
          <w:szCs w:val="28"/>
          <w:highlight w:val="none"/>
        </w:rPr>
        <w:t xml:space="preserve">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3.供应商资格要求（须提供复印件并加盖单位公章）</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3.1参与本项目采购活动的供应商应当依法设立且满足如下要求：</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zh-CN"/>
        </w:rPr>
        <w:t>业绩要求：2019年1月1日至今，最少有一个本</w:t>
      </w:r>
      <w:r>
        <w:rPr>
          <w:rFonts w:hint="eastAsia" w:ascii="宋体" w:hAnsi="宋体" w:eastAsia="宋体" w:cs="宋体"/>
          <w:color w:val="auto"/>
          <w:sz w:val="28"/>
          <w:szCs w:val="28"/>
          <w:highlight w:val="none"/>
        </w:rPr>
        <w:t>采购</w:t>
      </w:r>
      <w:r>
        <w:rPr>
          <w:rFonts w:hint="eastAsia" w:ascii="宋体" w:hAnsi="宋体" w:eastAsia="宋体" w:cs="宋体"/>
          <w:color w:val="auto"/>
          <w:sz w:val="28"/>
          <w:szCs w:val="28"/>
          <w:highlight w:val="none"/>
          <w:lang w:val="zh-CN"/>
        </w:rPr>
        <w:t>询价</w:t>
      </w:r>
      <w:r>
        <w:rPr>
          <w:rFonts w:hint="eastAsia" w:ascii="宋体" w:hAnsi="宋体" w:eastAsia="宋体" w:cs="宋体"/>
          <w:color w:val="auto"/>
          <w:sz w:val="28"/>
          <w:szCs w:val="28"/>
          <w:highlight w:val="none"/>
        </w:rPr>
        <w:t>货物</w:t>
      </w:r>
      <w:r>
        <w:rPr>
          <w:rFonts w:hint="eastAsia" w:ascii="宋体" w:hAnsi="宋体" w:eastAsia="宋体" w:cs="宋体"/>
          <w:color w:val="auto"/>
          <w:sz w:val="28"/>
          <w:szCs w:val="28"/>
          <w:highlight w:val="none"/>
          <w:lang w:val="en-US" w:eastAsia="zh-CN"/>
        </w:rPr>
        <w:t>同类型产品</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val="zh-CN"/>
        </w:rPr>
        <w:t>供货业绩（提供合同复印件证明，包括但不限于项目名称、金额及实施内容、合同双方签字盖章、签订日期，并加盖单位公章）。</w:t>
      </w:r>
    </w:p>
    <w:p>
      <w:pPr>
        <w:pStyle w:val="2"/>
        <w:ind w:left="0" w:leftChars="0" w:firstLine="0" w:firstLineChars="0"/>
        <w:rPr>
          <w:rFonts w:hint="eastAsia"/>
          <w:highlight w:val="none"/>
          <w:lang w:eastAsia="zh-CN"/>
        </w:rPr>
      </w:pPr>
      <w:r>
        <w:rPr>
          <w:rFonts w:hint="eastAsia" w:ascii="宋体" w:hAnsi="宋体" w:eastAsia="宋体" w:cs="宋体"/>
          <w:color w:val="auto"/>
          <w:sz w:val="28"/>
          <w:szCs w:val="28"/>
          <w:highlight w:val="none"/>
          <w:lang w:val="zh-CN"/>
        </w:rPr>
        <w:sym w:font="Wingdings 2" w:char="0052"/>
      </w:r>
      <w:r>
        <w:rPr>
          <w:rFonts w:hint="eastAsia" w:ascii="宋体" w:hAnsi="宋体" w:eastAsia="宋体" w:cs="宋体"/>
          <w:color w:val="auto"/>
          <w:sz w:val="28"/>
          <w:szCs w:val="28"/>
          <w:highlight w:val="none"/>
          <w:lang w:val="zh-CN"/>
        </w:rPr>
        <w:t>（</w:t>
      </w:r>
      <w:r>
        <w:rPr>
          <w:rFonts w:hint="eastAsia" w:eastAsia="宋体" w:cs="宋体"/>
          <w:color w:val="auto"/>
          <w:sz w:val="28"/>
          <w:szCs w:val="28"/>
          <w:highlight w:val="none"/>
          <w:lang w:val="en-US" w:eastAsia="zh-CN"/>
        </w:rPr>
        <w:t>3</w:t>
      </w:r>
      <w:r>
        <w:rPr>
          <w:rFonts w:hint="eastAsia" w:ascii="宋体" w:hAnsi="宋体" w:eastAsia="宋体" w:cs="宋体"/>
          <w:color w:val="auto"/>
          <w:sz w:val="28"/>
          <w:szCs w:val="28"/>
          <w:highlight w:val="none"/>
          <w:lang w:val="zh-CN"/>
        </w:rPr>
        <w:t>）</w:t>
      </w:r>
      <w:r>
        <w:rPr>
          <w:rFonts w:hint="eastAsia" w:ascii="宋体" w:hAnsi="宋体" w:eastAsia="宋体" w:cs="宋体"/>
          <w:color w:val="auto"/>
          <w:kern w:val="2"/>
          <w:sz w:val="28"/>
          <w:szCs w:val="28"/>
          <w:highlight w:val="none"/>
          <w:lang w:val="zh-CN" w:eastAsia="zh-CN" w:bidi="ar-SA"/>
        </w:rPr>
        <w:t>中选后</w:t>
      </w:r>
      <w:r>
        <w:rPr>
          <w:rFonts w:hint="eastAsia" w:eastAsia="宋体" w:cs="宋体"/>
          <w:color w:val="auto"/>
          <w:kern w:val="2"/>
          <w:sz w:val="28"/>
          <w:szCs w:val="28"/>
          <w:highlight w:val="none"/>
          <w:lang w:val="zh-CN" w:eastAsia="zh-CN" w:bidi="ar-SA"/>
        </w:rPr>
        <w:t>，</w:t>
      </w:r>
      <w:r>
        <w:rPr>
          <w:rFonts w:hint="eastAsia" w:ascii="宋体" w:hAnsi="宋体" w:eastAsia="宋体" w:cs="宋体"/>
          <w:color w:val="auto"/>
          <w:kern w:val="2"/>
          <w:sz w:val="28"/>
          <w:szCs w:val="28"/>
          <w:highlight w:val="none"/>
          <w:lang w:val="zh-CN" w:eastAsia="zh-CN" w:bidi="ar-SA"/>
        </w:rPr>
        <w:t>合同签订前</w:t>
      </w:r>
      <w:r>
        <w:rPr>
          <w:rFonts w:hint="eastAsia" w:eastAsia="宋体" w:cs="宋体"/>
          <w:color w:val="auto"/>
          <w:kern w:val="2"/>
          <w:sz w:val="28"/>
          <w:szCs w:val="28"/>
          <w:highlight w:val="none"/>
          <w:lang w:val="zh-CN" w:eastAsia="zh-CN" w:bidi="ar-SA"/>
        </w:rPr>
        <w:t>，</w:t>
      </w:r>
      <w:r>
        <w:rPr>
          <w:rFonts w:hint="eastAsia" w:eastAsia="宋体" w:cs="宋体"/>
          <w:color w:val="auto"/>
          <w:kern w:val="2"/>
          <w:sz w:val="28"/>
          <w:szCs w:val="28"/>
          <w:highlight w:val="none"/>
          <w:lang w:val="en-US" w:eastAsia="zh-CN" w:bidi="ar-SA"/>
        </w:rPr>
        <w:t>报价人</w:t>
      </w:r>
      <w:r>
        <w:rPr>
          <w:rFonts w:hint="eastAsia" w:ascii="宋体" w:hAnsi="宋体" w:eastAsia="宋体" w:cs="宋体"/>
          <w:color w:val="auto"/>
          <w:kern w:val="2"/>
          <w:sz w:val="28"/>
          <w:szCs w:val="28"/>
          <w:highlight w:val="none"/>
          <w:lang w:val="zh-CN" w:eastAsia="zh-CN" w:bidi="ar-SA"/>
        </w:rPr>
        <w:t>须提供拟供货设备的厂商授权书或制造商授权书。</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（2）与本项目其他供应商存在控股关系。</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（3）与本项目其他供应商存在管理关系。</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（8）被最高人民法院在“信用中国”网站（www.creditchina.gov.cn）或各级信用信息共享平台中列入失信被执行人名单。</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（12）其他禁止情形：</w:t>
      </w:r>
      <w:r>
        <w:rPr>
          <w:rFonts w:hint="eastAsia" w:ascii="宋体" w:hAnsi="宋体" w:eastAsia="宋体" w:cs="宋体"/>
          <w:color w:val="auto"/>
          <w:sz w:val="28"/>
          <w:szCs w:val="28"/>
          <w:highlight w:val="none"/>
          <w:u w:val="single"/>
        </w:rPr>
        <w:t xml:space="preserve">                 /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3.3本次项目</w:t>
      </w:r>
      <w:r>
        <w:rPr>
          <w:rFonts w:hint="eastAsia" w:ascii="宋体" w:hAnsi="宋体" w:eastAsia="宋体" w:cs="宋体"/>
          <w:color w:val="auto"/>
          <w:sz w:val="28"/>
          <w:szCs w:val="28"/>
          <w:highlight w:val="none"/>
          <w:u w:val="single"/>
        </w:rPr>
        <w:t>不接受</w:t>
      </w:r>
      <w:r>
        <w:rPr>
          <w:rFonts w:hint="eastAsia" w:ascii="宋体" w:hAnsi="宋体" w:eastAsia="宋体" w:cs="宋体"/>
          <w:color w:val="auto"/>
          <w:sz w:val="28"/>
          <w:szCs w:val="28"/>
          <w:highlight w:val="none"/>
        </w:rPr>
        <w:t>联合体参加采购活动</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4.采购文件的获取</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4.1获取时间</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从202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日至202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rPr>
        <w:t>日（北京时间）</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4.2获取方式</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在</w:t>
      </w:r>
      <w:r>
        <w:rPr>
          <w:rFonts w:hint="eastAsia" w:ascii="宋体" w:hAnsi="宋体" w:eastAsia="宋体" w:cs="宋体"/>
          <w:color w:val="auto"/>
          <w:sz w:val="28"/>
          <w:szCs w:val="28"/>
          <w:highlight w:val="none"/>
          <w:u w:val="single"/>
        </w:rPr>
        <w:t>广州市净水有限公司门户网站</w:t>
      </w:r>
      <w:r>
        <w:rPr>
          <w:rFonts w:hint="eastAsia" w:ascii="宋体" w:hAnsi="宋体" w:eastAsia="宋体" w:cs="宋体"/>
          <w:color w:val="auto"/>
          <w:sz w:val="28"/>
          <w:szCs w:val="28"/>
          <w:highlight w:val="none"/>
        </w:rPr>
        <w:t xml:space="preserve">下载采购文件。 </w:t>
      </w:r>
    </w:p>
    <w:p>
      <w:pPr>
        <w:numPr>
          <w:ilvl w:val="0"/>
          <w:numId w:val="2"/>
        </w:num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踏勘现场</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52"/>
      </w:r>
      <w:r>
        <w:rPr>
          <w:rFonts w:hint="eastAsia" w:ascii="宋体" w:hAnsi="宋体" w:eastAsia="宋体" w:cs="宋体"/>
          <w:color w:val="auto"/>
          <w:sz w:val="28"/>
          <w:szCs w:val="28"/>
          <w:highlight w:val="none"/>
        </w:rPr>
        <w:t>不组织</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sym w:font="Wingdings 2" w:char="00A3"/>
      </w:r>
      <w:r>
        <w:rPr>
          <w:rFonts w:hint="eastAsia" w:ascii="宋体" w:hAnsi="宋体" w:eastAsia="宋体" w:cs="宋体"/>
          <w:color w:val="auto"/>
          <w:sz w:val="28"/>
          <w:szCs w:val="28"/>
          <w:highlight w:val="none"/>
        </w:rPr>
        <w:t>组织</w:t>
      </w:r>
    </w:p>
    <w:p>
      <w:pPr>
        <w:adjustRightInd w:val="0"/>
        <w:snapToGrid w:val="0"/>
        <w:spacing w:line="600" w:lineRule="exact"/>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项目根据实际情况须在提交响应文件前进行现场踏勘，未进行现场踏勘的，报价一律视为无效报价，提交报价响应文件时需附上现场踏勘委派书（需求单位及</w:t>
      </w:r>
      <w:bookmarkStart w:id="206" w:name="_GoBack"/>
      <w:bookmarkEnd w:id="206"/>
      <w:r>
        <w:rPr>
          <w:rFonts w:hint="eastAsia" w:ascii="宋体" w:hAnsi="宋体" w:eastAsia="宋体" w:cs="宋体"/>
          <w:color w:val="auto"/>
          <w:sz w:val="28"/>
          <w:szCs w:val="28"/>
          <w:highlight w:val="none"/>
        </w:rPr>
        <w:t>报价单位均需盖章，详见附件现场踏勘委派书）</w:t>
      </w:r>
    </w:p>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踏勘时间：/。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color w:val="auto"/>
          <w:sz w:val="28"/>
          <w:szCs w:val="28"/>
          <w:highlight w:val="none"/>
        </w:rPr>
        <w:t xml:space="preserve">踏勘集中地点：/                             </w:t>
      </w:r>
    </w:p>
    <w:p>
      <w:pPr>
        <w:numPr>
          <w:ilvl w:val="0"/>
          <w:numId w:val="2"/>
        </w:num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响应文件的递交</w:t>
      </w:r>
    </w:p>
    <w:p>
      <w:pPr>
        <w:adjustRightInd w:val="0"/>
        <w:snapToGrid w:val="0"/>
        <w:spacing w:line="60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6.1递交响应文件集合时间：2023年</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rPr>
        <w:t>日9时</w:t>
      </w:r>
      <w:r>
        <w:rPr>
          <w:rFonts w:hint="eastAsia" w:ascii="宋体" w:hAnsi="宋体" w:eastAsia="宋体" w:cs="宋体"/>
          <w:color w:val="auto"/>
          <w:sz w:val="28"/>
          <w:szCs w:val="28"/>
          <w:highlight w:val="none"/>
          <w:lang w:val="en-US" w:eastAsia="zh-CN"/>
        </w:rPr>
        <w:t>30</w:t>
      </w:r>
      <w:r>
        <w:rPr>
          <w:rFonts w:hint="eastAsia" w:ascii="宋体" w:hAnsi="宋体" w:eastAsia="宋体" w:cs="宋体"/>
          <w:color w:val="auto"/>
          <w:sz w:val="28"/>
          <w:szCs w:val="28"/>
          <w:highlight w:val="none"/>
        </w:rPr>
        <w:t>分至2023年</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rPr>
        <w:t>日10时00分（北京时间）。截止时间：2023年</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12</w:t>
      </w:r>
      <w:r>
        <w:rPr>
          <w:rFonts w:hint="eastAsia" w:ascii="宋体" w:hAnsi="宋体" w:eastAsia="宋体" w:cs="宋体"/>
          <w:color w:val="auto"/>
          <w:sz w:val="28"/>
          <w:szCs w:val="28"/>
          <w:highlight w:val="none"/>
        </w:rPr>
        <w:t>日10时00分（北京时间）。</w:t>
      </w:r>
    </w:p>
    <w:p>
      <w:pPr>
        <w:adjustRightInd w:val="0"/>
        <w:snapToGrid w:val="0"/>
        <w:spacing w:line="60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6.2递交及快递地址：</w:t>
      </w:r>
      <w:r>
        <w:rPr>
          <w:rFonts w:hint="eastAsia" w:ascii="宋体" w:hAnsi="宋体" w:eastAsia="宋体" w:cs="宋体"/>
          <w:color w:val="auto"/>
          <w:sz w:val="28"/>
          <w:szCs w:val="28"/>
          <w:highlight w:val="none"/>
          <w:lang w:val="zh-CN"/>
        </w:rPr>
        <w:t>广州市</w:t>
      </w:r>
      <w:r>
        <w:rPr>
          <w:rFonts w:hint="eastAsia" w:ascii="宋体" w:hAnsi="宋体" w:eastAsia="宋体" w:cs="宋体"/>
          <w:color w:val="auto"/>
          <w:sz w:val="28"/>
          <w:szCs w:val="28"/>
          <w:highlight w:val="none"/>
          <w:lang w:val="en-US" w:eastAsia="zh-CN"/>
        </w:rPr>
        <w:t>海珠区南洲路1375号</w:t>
      </w:r>
      <w:r>
        <w:rPr>
          <w:rFonts w:hint="eastAsia" w:ascii="宋体" w:hAnsi="宋体" w:eastAsia="宋体" w:cs="宋体"/>
          <w:color w:val="auto"/>
          <w:sz w:val="28"/>
          <w:szCs w:val="28"/>
          <w:highlight w:val="none"/>
          <w:lang w:val="zh-CN"/>
        </w:rPr>
        <w:t>广州</w:t>
      </w:r>
      <w:r>
        <w:rPr>
          <w:rFonts w:hint="eastAsia" w:ascii="宋体" w:hAnsi="宋体" w:eastAsia="宋体" w:cs="宋体"/>
          <w:color w:val="auto"/>
          <w:sz w:val="28"/>
          <w:szCs w:val="28"/>
          <w:highlight w:val="none"/>
        </w:rPr>
        <w:t>市</w:t>
      </w:r>
      <w:r>
        <w:rPr>
          <w:rFonts w:hint="eastAsia" w:ascii="宋体" w:hAnsi="宋体" w:eastAsia="宋体" w:cs="宋体"/>
          <w:color w:val="auto"/>
          <w:sz w:val="28"/>
          <w:szCs w:val="28"/>
          <w:highlight w:val="none"/>
          <w:lang w:val="en-US" w:eastAsia="zh-CN"/>
        </w:rPr>
        <w:t>沥滘净水厂</w:t>
      </w:r>
      <w:r>
        <w:rPr>
          <w:rFonts w:hint="eastAsia" w:ascii="宋体" w:hAnsi="宋体" w:eastAsia="宋体" w:cs="宋体"/>
          <w:color w:val="auto"/>
          <w:sz w:val="28"/>
          <w:szCs w:val="28"/>
          <w:highlight w:val="none"/>
        </w:rPr>
        <w:t>。</w:t>
      </w:r>
    </w:p>
    <w:p>
      <w:pPr>
        <w:pStyle w:val="2"/>
        <w:ind w:firstLine="560" w:firstLineChars="200"/>
        <w:rPr>
          <w:rFonts w:hint="eastAsia" w:eastAsia="宋体" w:cs="宋体"/>
          <w:color w:val="auto"/>
          <w:highlight w:val="none"/>
          <w:lang w:eastAsia="zh-CN"/>
        </w:rPr>
      </w:pPr>
      <w:r>
        <w:rPr>
          <w:rFonts w:hint="eastAsia" w:eastAsia="宋体" w:cs="宋体"/>
          <w:color w:val="auto"/>
          <w:sz w:val="28"/>
          <w:szCs w:val="28"/>
          <w:highlight w:val="none"/>
        </w:rPr>
        <w:t>如以快递形式递交响应文件，须在递交截止时间前送达，不参加见证报价开启程序的报价单位视其认可所有报价</w:t>
      </w:r>
      <w:r>
        <w:rPr>
          <w:rFonts w:hint="eastAsia" w:eastAsia="宋体" w:cs="宋体"/>
          <w:color w:val="auto"/>
          <w:sz w:val="28"/>
          <w:szCs w:val="28"/>
          <w:highlight w:val="none"/>
          <w:lang w:eastAsia="zh-CN"/>
        </w:rPr>
        <w:t>。</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7.其他</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7.1发布公告的其他媒介</w:t>
      </w:r>
    </w:p>
    <w:p>
      <w:pPr>
        <w:adjustRightInd w:val="0"/>
        <w:snapToGrid w:val="0"/>
        <w:spacing w:line="600" w:lineRule="exact"/>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本项目采购公告（采购邀请书）、公告补充及修改同步在广州净水公司门户网站。本公告在各媒体发布的文本如有不同之处，以广州净水公司门户网站为准。</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7.2响应文件递交注意事项</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8.异议及投诉的受理</w:t>
      </w:r>
    </w:p>
    <w:p>
      <w:pPr>
        <w:widowControl/>
        <w:shd w:val="clear" w:color="auto" w:fill="FFFFFF"/>
        <w:adjustRightInd w:val="0"/>
        <w:snapToGrid w:val="0"/>
        <w:spacing w:line="600" w:lineRule="exact"/>
        <w:ind w:left="1" w:firstLine="618" w:firstLineChars="221"/>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潜在供应商或利害关系人对本采购公告及采购文件中任何违法及不公平内容有异议的，可以在提交响应文件截止之日</w:t>
      </w:r>
      <w:r>
        <w:rPr>
          <w:rFonts w:hint="eastAsia" w:ascii="宋体" w:hAnsi="宋体" w:eastAsia="宋体" w:cs="宋体"/>
          <w:color w:val="auto"/>
          <w:sz w:val="28"/>
          <w:szCs w:val="28"/>
          <w:highlight w:val="none"/>
          <w:u w:val="single"/>
        </w:rPr>
        <w:t>2</w:t>
      </w:r>
      <w:r>
        <w:rPr>
          <w:rFonts w:hint="eastAsia" w:ascii="宋体" w:hAnsi="宋体" w:eastAsia="宋体" w:cs="宋体"/>
          <w:color w:val="auto"/>
          <w:sz w:val="28"/>
          <w:szCs w:val="28"/>
          <w:highlight w:val="none"/>
        </w:rPr>
        <w:t>个工作日前书面提出异议。如潜在响应人或其他利害关系人对采购人答复仍持有异议的，可按相关规定进行投诉。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异议受理部门：</w:t>
      </w:r>
      <w:r>
        <w:rPr>
          <w:rFonts w:hint="eastAsia" w:ascii="宋体" w:hAnsi="宋体" w:eastAsia="宋体" w:cs="宋体"/>
          <w:color w:val="auto"/>
          <w:sz w:val="28"/>
          <w:szCs w:val="28"/>
          <w:highlight w:val="none"/>
          <w:u w:val="single"/>
          <w:lang w:val="en-US" w:eastAsia="zh-CN"/>
        </w:rPr>
        <w:t>广州城市水处理设备有限公司</w:t>
      </w: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lang w:val="en-US" w:eastAsia="zh-CN"/>
        </w:rPr>
        <w:t>13503003256</w:t>
      </w:r>
      <w:r>
        <w:rPr>
          <w:rFonts w:hint="eastAsia" w:ascii="宋体" w:hAnsi="宋体" w:eastAsia="宋体" w:cs="宋体"/>
          <w:color w:val="auto"/>
          <w:sz w:val="28"/>
          <w:szCs w:val="28"/>
          <w:highlight w:val="none"/>
        </w:rPr>
        <w:t>。</w:t>
      </w:r>
    </w:p>
    <w:p>
      <w:pPr>
        <w:widowControl/>
        <w:shd w:val="clear" w:color="auto" w:fill="FFFFFF"/>
        <w:adjustRightInd w:val="0"/>
        <w:snapToGrid w:val="0"/>
        <w:spacing w:line="600" w:lineRule="exact"/>
        <w:ind w:left="1" w:firstLine="48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eastAsia="宋体" w:cs="宋体"/>
          <w:color w:val="auto"/>
          <w:sz w:val="28"/>
          <w:szCs w:val="28"/>
          <w:highlight w:val="none"/>
        </w:rPr>
        <w:t>广州市海珠区南洲路1375号2栋101房</w:t>
      </w:r>
      <w:r>
        <w:rPr>
          <w:rFonts w:hint="eastAsia" w:ascii="宋体" w:hAnsi="宋体" w:eastAsia="宋体" w:cs="宋体"/>
          <w:color w:val="auto"/>
          <w:sz w:val="28"/>
          <w:szCs w:val="28"/>
          <w:highlight w:val="none"/>
        </w:rPr>
        <w:t xml:space="preserve"> 。</w:t>
      </w:r>
    </w:p>
    <w:p>
      <w:pPr>
        <w:adjustRightInd w:val="0"/>
        <w:snapToGrid w:val="0"/>
        <w:spacing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本项目采购人（包括市水投集团及其属下子公司）书面限制参与采购活动的企业名单：</w:t>
      </w:r>
    </w:p>
    <w:tbl>
      <w:tblPr>
        <w:tblStyle w:val="2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73"/>
        <w:gridCol w:w="3268"/>
        <w:gridCol w:w="438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3"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3268"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单位名称</w:t>
            </w:r>
          </w:p>
        </w:tc>
        <w:tc>
          <w:tcPr>
            <w:tcW w:w="4380" w:type="dxa"/>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3"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1</w:t>
            </w:r>
          </w:p>
        </w:tc>
        <w:tc>
          <w:tcPr>
            <w:tcW w:w="3268"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380"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73"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w:t>
            </w:r>
          </w:p>
        </w:tc>
        <w:tc>
          <w:tcPr>
            <w:tcW w:w="3268"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380"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2021年11月18至2023年5月17日</w:t>
            </w:r>
          </w:p>
        </w:tc>
      </w:tr>
    </w:tbl>
    <w:p>
      <w:pPr>
        <w:adjustRightInd w:val="0"/>
        <w:snapToGrid w:val="0"/>
        <w:spacing w:before="190" w:beforeLines="50" w:after="190" w:afterLines="50" w:line="60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10.联系方式</w:t>
      </w:r>
    </w:p>
    <w:p>
      <w:pPr>
        <w:pStyle w:val="2"/>
        <w:ind w:firstLine="0"/>
        <w:rPr>
          <w:rFonts w:eastAsia="宋体" w:cs="宋体"/>
          <w:color w:val="auto"/>
          <w:sz w:val="28"/>
          <w:szCs w:val="28"/>
          <w:highlight w:val="none"/>
        </w:rPr>
      </w:pPr>
      <w:r>
        <w:rPr>
          <w:rFonts w:hint="eastAsia" w:eastAsia="宋体" w:cs="宋体"/>
          <w:color w:val="auto"/>
          <w:sz w:val="28"/>
          <w:szCs w:val="28"/>
          <w:highlight w:val="none"/>
        </w:rPr>
        <w:t>采购人：广州城市水处理设备有限公司</w:t>
      </w:r>
    </w:p>
    <w:p>
      <w:pPr>
        <w:pStyle w:val="2"/>
        <w:ind w:firstLine="0"/>
        <w:rPr>
          <w:rFonts w:eastAsia="宋体" w:cs="宋体"/>
          <w:color w:val="auto"/>
          <w:sz w:val="28"/>
          <w:szCs w:val="28"/>
          <w:highlight w:val="none"/>
        </w:rPr>
      </w:pPr>
      <w:r>
        <w:rPr>
          <w:rFonts w:hint="eastAsia" w:eastAsia="宋体" w:cs="宋体"/>
          <w:color w:val="auto"/>
          <w:sz w:val="28"/>
          <w:szCs w:val="28"/>
          <w:highlight w:val="none"/>
        </w:rPr>
        <w:t>地  址：广州市海珠区南洲路1375号2栋101房</w:t>
      </w:r>
    </w:p>
    <w:p>
      <w:pPr>
        <w:pStyle w:val="2"/>
        <w:ind w:firstLine="0"/>
        <w:rPr>
          <w:rFonts w:eastAsia="宋体" w:cs="宋体"/>
          <w:color w:val="auto"/>
          <w:sz w:val="28"/>
          <w:szCs w:val="28"/>
          <w:highlight w:val="none"/>
        </w:rPr>
      </w:pPr>
      <w:r>
        <w:rPr>
          <w:rFonts w:hint="eastAsia" w:eastAsia="宋体" w:cs="宋体"/>
          <w:color w:val="auto"/>
          <w:sz w:val="28"/>
          <w:szCs w:val="28"/>
          <w:highlight w:val="none"/>
        </w:rPr>
        <w:t>联系人：蔡工</w:t>
      </w:r>
    </w:p>
    <w:p>
      <w:pPr>
        <w:pStyle w:val="2"/>
        <w:ind w:firstLine="0"/>
        <w:rPr>
          <w:rFonts w:hint="default" w:eastAsia="宋体" w:cs="宋体"/>
          <w:color w:val="auto"/>
          <w:sz w:val="28"/>
          <w:szCs w:val="28"/>
          <w:highlight w:val="none"/>
          <w:lang w:val="en-US" w:eastAsia="zh-CN"/>
        </w:rPr>
      </w:pPr>
      <w:r>
        <w:rPr>
          <w:rFonts w:hint="eastAsia" w:eastAsia="宋体" w:cs="宋体"/>
          <w:color w:val="auto"/>
          <w:sz w:val="28"/>
          <w:szCs w:val="28"/>
          <w:highlight w:val="none"/>
        </w:rPr>
        <w:t>电  话：1</w:t>
      </w:r>
      <w:r>
        <w:rPr>
          <w:rFonts w:hint="eastAsia" w:eastAsia="宋体" w:cs="宋体"/>
          <w:color w:val="auto"/>
          <w:sz w:val="28"/>
          <w:szCs w:val="28"/>
          <w:highlight w:val="none"/>
          <w:lang w:val="en-US" w:eastAsia="zh-CN"/>
        </w:rPr>
        <w:t>7820519780</w:t>
      </w:r>
    </w:p>
    <w:p>
      <w:pPr>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日</w:t>
      </w:r>
      <w:r>
        <w:rPr>
          <w:rFonts w:hint="eastAsia" w:ascii="宋体" w:hAnsi="宋体" w:eastAsia="宋体" w:cs="宋体"/>
          <w:b/>
          <w:color w:val="auto"/>
          <w:sz w:val="28"/>
          <w:szCs w:val="28"/>
          <w:highlight w:val="none"/>
        </w:rPr>
        <w:br w:type="page"/>
      </w:r>
    </w:p>
    <w:p>
      <w:pPr>
        <w:rPr>
          <w:rFonts w:ascii="宋体" w:hAnsi="宋体" w:eastAsia="宋体" w:cs="宋体"/>
          <w:color w:val="auto"/>
          <w:highlight w:val="none"/>
        </w:rPr>
      </w:pPr>
      <w:bookmarkStart w:id="25" w:name="_Toc10891"/>
    </w:p>
    <w:p>
      <w:pPr>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ascii="宋体" w:hAnsi="宋体" w:eastAsia="宋体" w:cs="宋体"/>
          <w:color w:val="auto"/>
          <w:highlight w:val="none"/>
        </w:rPr>
      </w:pPr>
    </w:p>
    <w:p>
      <w:pPr>
        <w:pStyle w:val="2"/>
        <w:rPr>
          <w:rFonts w:eastAsia="宋体" w:cs="宋体"/>
          <w:color w:val="auto"/>
          <w:highlight w:val="none"/>
        </w:rPr>
      </w:pPr>
    </w:p>
    <w:p>
      <w:pPr>
        <w:pStyle w:val="4"/>
        <w:rPr>
          <w:rFonts w:ascii="宋体" w:hAnsi="宋体" w:eastAsia="宋体" w:cs="宋体"/>
          <w:color w:val="auto"/>
          <w:highlight w:val="none"/>
        </w:rPr>
      </w:pPr>
      <w:bookmarkStart w:id="26" w:name="_Toc7340"/>
      <w:bookmarkStart w:id="27" w:name="_Toc25603"/>
      <w:bookmarkStart w:id="28" w:name="_Toc16557"/>
      <w:bookmarkStart w:id="29" w:name="_Toc2324"/>
      <w:bookmarkStart w:id="30" w:name="_Toc19295"/>
      <w:bookmarkStart w:id="31" w:name="_Toc2331"/>
      <w:bookmarkStart w:id="32" w:name="_Toc32588"/>
      <w:bookmarkStart w:id="33" w:name="_Toc9448"/>
      <w:bookmarkStart w:id="34" w:name="_Toc23749"/>
      <w:bookmarkStart w:id="35" w:name="_Toc16705"/>
      <w:r>
        <w:rPr>
          <w:rFonts w:hint="eastAsia" w:ascii="宋体" w:hAnsi="宋体" w:eastAsia="宋体" w:cs="宋体"/>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第二章</w:t>
      </w:r>
      <w:bookmarkEnd w:id="25"/>
      <w:bookmarkEnd w:id="26"/>
      <w:bookmarkEnd w:id="27"/>
      <w:bookmarkEnd w:id="28"/>
      <w:bookmarkEnd w:id="29"/>
      <w:bookmarkEnd w:id="30"/>
      <w:bookmarkEnd w:id="31"/>
      <w:bookmarkEnd w:id="32"/>
      <w:bookmarkEnd w:id="33"/>
      <w:bookmarkEnd w:id="34"/>
      <w:bookmarkEnd w:id="35"/>
    </w:p>
    <w:p>
      <w:pPr>
        <w:rPr>
          <w:rFonts w:ascii="宋体" w:hAnsi="宋体" w:eastAsia="宋体" w:cs="宋体"/>
          <w:color w:val="auto"/>
          <w:highlight w:val="none"/>
        </w:rPr>
      </w:pPr>
    </w:p>
    <w:p>
      <w:pPr>
        <w:rPr>
          <w:rFonts w:ascii="宋体" w:hAnsi="宋体" w:eastAsia="宋体" w:cs="宋体"/>
          <w:color w:val="auto"/>
          <w:highlight w:val="none"/>
        </w:rPr>
      </w:pPr>
    </w:p>
    <w:p>
      <w:pPr>
        <w:pStyle w:val="2"/>
        <w:rPr>
          <w:rFonts w:eastAsia="宋体" w:cs="宋体"/>
          <w:color w:val="auto"/>
          <w:highlight w:val="none"/>
        </w:rPr>
      </w:pPr>
    </w:p>
    <w:p>
      <w:pPr>
        <w:pStyle w:val="5"/>
        <w:rPr>
          <w:rFonts w:ascii="宋体" w:hAnsi="宋体" w:eastAsia="宋体" w:cs="宋体"/>
          <w:color w:val="auto"/>
          <w:highlight w:val="none"/>
        </w:rPr>
      </w:pPr>
      <w:bookmarkStart w:id="36" w:name="_Toc3416"/>
      <w:bookmarkStart w:id="37" w:name="_Toc2339"/>
      <w:r>
        <w:rPr>
          <w:rFonts w:hint="eastAsia" w:ascii="宋体" w:hAnsi="宋体" w:eastAsia="宋体" w:cs="宋体"/>
          <w:color w:val="auto"/>
          <w:highlight w:val="none"/>
        </w:rPr>
        <w:t>供应商须知</w:t>
      </w:r>
      <w:bookmarkEnd w:id="36"/>
      <w:bookmarkEnd w:id="37"/>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adjustRightInd w:val="0"/>
        <w:snapToGrid w:val="0"/>
        <w:spacing w:before="190" w:beforeLines="50" w:after="190" w:afterLines="50" w:line="600" w:lineRule="exact"/>
        <w:ind w:left="643" w:hanging="640" w:hangingChars="200"/>
        <w:jc w:val="left"/>
        <w:rPr>
          <w:rFonts w:ascii="宋体" w:hAnsi="宋体" w:eastAsia="宋体" w:cs="宋体"/>
          <w:b/>
          <w:color w:val="auto"/>
          <w:sz w:val="32"/>
          <w:szCs w:val="32"/>
          <w:highlight w:val="none"/>
        </w:rPr>
      </w:pPr>
    </w:p>
    <w:p>
      <w:pPr>
        <w:pStyle w:val="2"/>
        <w:rPr>
          <w:rFonts w:eastAsia="宋体" w:cs="宋体"/>
          <w:b/>
          <w:color w:val="auto"/>
          <w:sz w:val="32"/>
          <w:szCs w:val="32"/>
          <w:highlight w:val="none"/>
        </w:rPr>
      </w:pPr>
    </w:p>
    <w:p>
      <w:pPr>
        <w:pStyle w:val="2"/>
        <w:rPr>
          <w:rFonts w:eastAsia="宋体" w:cs="宋体"/>
          <w:b/>
          <w:color w:val="auto"/>
          <w:sz w:val="32"/>
          <w:szCs w:val="32"/>
          <w:highlight w:val="none"/>
        </w:rPr>
      </w:pPr>
    </w:p>
    <w:p>
      <w:pPr>
        <w:pStyle w:val="2"/>
        <w:rPr>
          <w:rFonts w:eastAsia="宋体" w:cs="宋体"/>
          <w:b/>
          <w:color w:val="auto"/>
          <w:sz w:val="32"/>
          <w:szCs w:val="32"/>
          <w:highlight w:val="none"/>
        </w:rPr>
      </w:pPr>
    </w:p>
    <w:p>
      <w:pPr>
        <w:adjustRightInd w:val="0"/>
        <w:snapToGrid w:val="0"/>
        <w:spacing w:before="190" w:beforeLines="50" w:after="190" w:afterLines="50" w:line="600" w:lineRule="exact"/>
        <w:ind w:left="0" w:firstLine="0" w:firstLineChars="0"/>
        <w:jc w:val="left"/>
        <w:rPr>
          <w:rFonts w:ascii="宋体" w:hAnsi="宋体" w:eastAsia="宋体" w:cs="宋体"/>
          <w:b/>
          <w:color w:val="auto"/>
          <w:sz w:val="32"/>
          <w:szCs w:val="32"/>
          <w:highlight w:val="none"/>
        </w:rPr>
      </w:pPr>
    </w:p>
    <w:p>
      <w:pPr>
        <w:numPr>
          <w:ilvl w:val="0"/>
          <w:numId w:val="3"/>
        </w:numPr>
        <w:adjustRightInd w:val="0"/>
        <w:snapToGrid w:val="0"/>
        <w:spacing w:before="190" w:beforeLines="50" w:after="190" w:afterLines="50" w:line="50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对供应商的资格要求.</w:t>
      </w:r>
    </w:p>
    <w:p>
      <w:pPr>
        <w:pStyle w:val="2"/>
        <w:numPr>
          <w:ilvl w:val="255"/>
          <w:numId w:val="0"/>
        </w:numPr>
        <w:rPr>
          <w:rFonts w:eastAsia="宋体" w:cs="宋体"/>
          <w:color w:val="auto"/>
          <w:highlight w:val="none"/>
        </w:rPr>
      </w:pPr>
      <w:r>
        <w:rPr>
          <w:rFonts w:hint="eastAsia" w:eastAsia="宋体" w:cs="宋体"/>
          <w:color w:val="auto"/>
          <w:highlight w:val="none"/>
        </w:rPr>
        <w:t>详见第一章采购公告（采购邀请书）3.供应商资格要求</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b/>
          <w:color w:val="auto"/>
          <w:sz w:val="32"/>
          <w:szCs w:val="32"/>
          <w:highlight w:val="none"/>
        </w:rPr>
        <w:t>2.  本次交易一般规则.</w:t>
      </w:r>
      <w:r>
        <w:rPr>
          <w:rFonts w:hint="eastAsia" w:ascii="宋体" w:hAnsi="宋体" w:eastAsia="宋体" w:cs="宋体"/>
          <w:color w:val="auto"/>
          <w:sz w:val="28"/>
          <w:szCs w:val="28"/>
          <w:highlight w:val="none"/>
        </w:rPr>
        <w:t>表1.1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阶段</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条款</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5979" w:type="dxa"/>
            <w:tcBorders>
              <w:righ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采购文件组成</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（1）采购公告（采购邀请书）</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（2）供应商须知</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（4）评审办法</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（5）采购需求</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（6）合同草案</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（7）响应文件</w:t>
            </w:r>
          </w:p>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采购文件的澄清和修改</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1.2.1供应商对采购文件有疑问的，应当在提交响应文件截止之日</w:t>
            </w:r>
            <w:r>
              <w:rPr>
                <w:rFonts w:hint="eastAsia" w:ascii="宋体" w:hAnsi="宋体" w:eastAsia="宋体" w:cs="宋体"/>
                <w:color w:val="auto"/>
                <w:sz w:val="24"/>
                <w:szCs w:val="24"/>
                <w:highlight w:val="none"/>
                <w:u w:val="single"/>
              </w:rPr>
              <w:t>2</w:t>
            </w:r>
            <w:r>
              <w:rPr>
                <w:rFonts w:hint="eastAsia" w:ascii="宋体" w:hAnsi="宋体" w:eastAsia="宋体" w:cs="宋体"/>
                <w:color w:val="auto"/>
                <w:sz w:val="24"/>
                <w:szCs w:val="24"/>
                <w:highlight w:val="none"/>
              </w:rPr>
              <w:t>个工作日前，以书面形式提出。</w:t>
            </w:r>
          </w:p>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2.3</w:t>
            </w:r>
          </w:p>
          <w:p>
            <w:pPr>
              <w:adjustRightInd w:val="0"/>
              <w:snapToGrid w:val="0"/>
              <w:jc w:val="center"/>
              <w:rPr>
                <w:rFonts w:ascii="宋体" w:hAnsi="宋体" w:eastAsia="宋体" w:cs="宋体"/>
                <w:color w:val="auto"/>
                <w:sz w:val="24"/>
                <w:szCs w:val="24"/>
                <w:highlight w:val="none"/>
              </w:rPr>
            </w:pPr>
          </w:p>
        </w:tc>
        <w:tc>
          <w:tcPr>
            <w:tcW w:w="1263" w:type="dxa"/>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5979" w:type="dxa"/>
            <w:tcBorders>
              <w:right w:val="nil"/>
            </w:tcBorders>
            <w:vAlign w:val="center"/>
          </w:tcPr>
          <w:p>
            <w:pPr>
              <w:adjustRightInd w:val="0"/>
              <w:snapToGrid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宋体" w:hAnsi="宋体" w:eastAsia="宋体" w:cs="宋体"/>
                <w:b/>
                <w:bCs/>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2.5</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响应截止时间</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2.6</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2.7</w:t>
            </w:r>
          </w:p>
          <w:p>
            <w:pPr>
              <w:adjustRightInd w:val="0"/>
              <w:snapToGrid w:val="0"/>
              <w:jc w:val="center"/>
              <w:rPr>
                <w:rFonts w:ascii="宋体" w:hAnsi="宋体" w:eastAsia="宋体" w:cs="宋体"/>
                <w:color w:val="auto"/>
                <w:sz w:val="24"/>
                <w:szCs w:val="24"/>
                <w:highlight w:val="none"/>
              </w:rPr>
            </w:pP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90个</w:t>
            </w:r>
            <w:r>
              <w:rPr>
                <w:rFonts w:hint="eastAsia" w:ascii="宋体" w:hAnsi="宋体" w:eastAsia="宋体" w:cs="宋体"/>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准备</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及其</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2.8</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响应文件份数</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纸质文件正本1份，副本 </w:t>
            </w:r>
            <w:r>
              <w:rPr>
                <w:rFonts w:hint="eastAsia" w:ascii="宋体" w:hAnsi="宋体" w:eastAsia="宋体" w:cs="宋体"/>
                <w:color w:val="auto"/>
                <w:sz w:val="24"/>
                <w:szCs w:val="24"/>
                <w:highlight w:val="none"/>
                <w:u w:val="single"/>
              </w:rPr>
              <w:t>1</w:t>
            </w:r>
            <w:r>
              <w:rPr>
                <w:rFonts w:hint="eastAsia" w:ascii="宋体" w:hAnsi="宋体" w:eastAsia="宋体" w:cs="宋体"/>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2.9</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要求密封，响应文件应在密封处加盖公章，标注正本和副本，封皮应注明：</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2.10</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文件开启及评审</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响应文件开启会议</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举行</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会议时间：同响应截止时间</w:t>
            </w:r>
          </w:p>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评审小组构成：</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2.14</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评审办法</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2.15</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成交候选人</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u w:val="single"/>
              </w:rPr>
              <w:t>广州市净水有限公司门户网站</w:t>
            </w:r>
            <w:r>
              <w:rPr>
                <w:rFonts w:hint="eastAsia" w:ascii="宋体" w:hAnsi="宋体" w:eastAsia="宋体" w:cs="宋体"/>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确定成交人</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2.16</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成交办法</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2.17</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签订合同</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宋体" w:hAnsi="宋体" w:eastAsia="宋体" w:cs="宋体"/>
                <w:color w:val="auto"/>
                <w:sz w:val="24"/>
                <w:szCs w:val="24"/>
                <w:highlight w:val="none"/>
              </w:rPr>
            </w:pP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2.18</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936"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2.19</w:t>
            </w:r>
          </w:p>
        </w:tc>
        <w:tc>
          <w:tcPr>
            <w:tcW w:w="1263"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5979" w:type="dxa"/>
            <w:tcBorders>
              <w:right w:val="nil"/>
            </w:tcBorders>
            <w:vAlign w:val="center"/>
          </w:tcPr>
          <w:p>
            <w:pPr>
              <w:adjustRightInd w:val="0"/>
              <w:snapToGrid w:val="0"/>
              <w:rPr>
                <w:rFonts w:ascii="宋体" w:hAnsi="宋体" w:eastAsia="宋体" w:cs="宋体"/>
                <w:color w:val="auto"/>
                <w:sz w:val="24"/>
                <w:szCs w:val="24"/>
                <w:highlight w:val="none"/>
              </w:rPr>
            </w:pPr>
          </w:p>
        </w:tc>
      </w:tr>
    </w:tbl>
    <w:p>
      <w:pPr>
        <w:adjustRightInd w:val="0"/>
        <w:snapToGrid w:val="0"/>
        <w:spacing w:before="190" w:beforeLines="50" w:after="190" w:afterLines="50" w:line="560" w:lineRule="exact"/>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（1）逾期送达的、未送达指定地点的响应文件，采购人将予以拒收。</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（2）不按照采购文件要求密封的响应文件，采购人将予以拒收。</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3.发生下列情况之一者，视为无效响应行为</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（1）响应文件未按规定签字、盖章的。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（4）质量标准不符合采购文件要求的。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（5）服务期不符合采购文件要求的。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（6）报价超过最高限价的。</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（7）供应商不符合国家或采购文件规定的资格条件。</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（9）其他不符合采购文件要求的情形。</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4.响应保证金</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本项目无须递交响应保证金。</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5.响应文件要求</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6.1响应文件包括下列内容</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1.响应函</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2.法定代表人证明或授权委托书</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3.资格审查资料</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4.拟投入本项目的项目负责人情况表</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5.报价表</w:t>
      </w:r>
    </w:p>
    <w:p>
      <w:pPr>
        <w:adjustRightInd w:val="0"/>
        <w:snapToGrid w:val="0"/>
        <w:spacing w:line="56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6.其他资料</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6.异议</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（1）异议人名称、地址、邮政编码、联系人及联系电话；</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7.3 异议人与采购人对异议事项无法达成一致的，异议人可向采购人的监管部门进行反映。</w:t>
      </w:r>
    </w:p>
    <w:p>
      <w:pPr>
        <w:adjustRightInd w:val="0"/>
        <w:snapToGrid w:val="0"/>
        <w:spacing w:before="190" w:beforeLines="50" w:after="190" w:afterLines="50" w:line="560" w:lineRule="exact"/>
        <w:ind w:left="643" w:hanging="640" w:hangingChars="200"/>
        <w:jc w:val="left"/>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7.本章附件</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附件1：响应文件开启表</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附件2：问题澄清通知</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附件3：问题的澄清</w:t>
      </w:r>
    </w:p>
    <w:p>
      <w:pPr>
        <w:adjustRightInd w:val="0"/>
        <w:snapToGrid w:val="0"/>
        <w:spacing w:line="560" w:lineRule="exact"/>
        <w:ind w:firstLine="694" w:firstLineChars="248"/>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附件4：成交通知书</w:t>
      </w:r>
    </w:p>
    <w:p>
      <w:pPr>
        <w:adjustRightInd w:val="0"/>
        <w:snapToGrid w:val="0"/>
        <w:spacing w:line="560" w:lineRule="exact"/>
        <w:ind w:firstLine="694" w:firstLineChars="248"/>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附件5：</w:t>
      </w:r>
      <w:r>
        <w:rPr>
          <w:rFonts w:hint="eastAsia" w:ascii="宋体" w:hAnsi="宋体" w:eastAsia="宋体" w:cs="宋体"/>
          <w:color w:val="auto"/>
          <w:sz w:val="28"/>
          <w:szCs w:val="28"/>
          <w:highlight w:val="none"/>
        </w:rPr>
        <w:t>关于**项目异议书</w:t>
      </w: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附件1</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响应文件开启表</w:t>
      </w:r>
    </w:p>
    <w:p>
      <w:pPr>
        <w:pStyle w:val="40"/>
        <w:rPr>
          <w:rFonts w:ascii="宋体" w:hAnsi="宋体" w:eastAsia="宋体" w:cs="宋体"/>
          <w:color w:val="auto"/>
          <w:highlight w:val="none"/>
        </w:rPr>
      </w:pP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开启时间：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报价（元）</w:t>
            </w:r>
          </w:p>
        </w:tc>
        <w:tc>
          <w:tcPr>
            <w:tcW w:w="1609"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00" w:hRule="atLeast"/>
        </w:trPr>
        <w:tc>
          <w:tcPr>
            <w:tcW w:w="554"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668" w:type="dxa"/>
            <w:vMerge w:val="continue"/>
            <w:vAlign w:val="center"/>
          </w:tcPr>
          <w:p>
            <w:pPr>
              <w:adjustRightInd w:val="0"/>
              <w:snapToGrid w:val="0"/>
              <w:spacing w:line="600" w:lineRule="exact"/>
              <w:jc w:val="center"/>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vAlign w:val="center"/>
          </w:tcPr>
          <w:p>
            <w:pPr>
              <w:jc w:val="center"/>
              <w:rPr>
                <w:rFonts w:ascii="宋体" w:hAnsi="宋体" w:eastAsia="宋体" w:cs="宋体"/>
                <w:color w:val="auto"/>
                <w:sz w:val="24"/>
                <w:szCs w:val="24"/>
                <w:highlight w:val="none"/>
              </w:rPr>
            </w:pPr>
          </w:p>
        </w:tc>
        <w:tc>
          <w:tcPr>
            <w:tcW w:w="265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p>
        </w:tc>
      </w:tr>
    </w:tbl>
    <w:p>
      <w:pPr>
        <w:adjustRightInd w:val="0"/>
        <w:snapToGrid w:val="0"/>
        <w:spacing w:line="600" w:lineRule="exact"/>
        <w:ind w:firstLine="555"/>
        <w:jc w:val="left"/>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采购人代表</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记录人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555"/>
        <w:jc w:val="left"/>
        <w:rPr>
          <w:rFonts w:ascii="宋体" w:hAnsi="宋体" w:eastAsia="宋体" w:cs="宋体"/>
          <w:color w:val="auto"/>
          <w:sz w:val="28"/>
          <w:szCs w:val="28"/>
          <w:highlight w:val="none"/>
        </w:rPr>
      </w:pPr>
    </w:p>
    <w:p>
      <w:pPr>
        <w:adjustRightInd w:val="0"/>
        <w:snapToGrid w:val="0"/>
        <w:spacing w:line="600" w:lineRule="exact"/>
        <w:ind w:firstLine="555"/>
        <w:jc w:val="left"/>
        <w:rPr>
          <w:rFonts w:ascii="宋体" w:hAnsi="宋体"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附件2</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问题澄清通知</w:t>
      </w:r>
    </w:p>
    <w:p>
      <w:pPr>
        <w:pStyle w:val="40"/>
        <w:rPr>
          <w:rFonts w:ascii="宋体" w:hAnsi="宋体" w:eastAsia="宋体" w:cs="宋体"/>
          <w:color w:val="auto"/>
          <w:highlight w:val="none"/>
        </w:rPr>
      </w:pP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编号：</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（供应商名称）    </w:t>
      </w:r>
      <w:r>
        <w:rPr>
          <w:rFonts w:hint="eastAsia" w:ascii="宋体" w:hAnsi="宋体" w:eastAsia="宋体" w:cs="宋体"/>
          <w:color w:val="auto"/>
          <w:sz w:val="28"/>
          <w:szCs w:val="28"/>
          <w:highlight w:val="none"/>
        </w:rPr>
        <w:t>：</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（项目名称）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请将上述问题的澄清于</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时前递交至</w:t>
      </w:r>
      <w:r>
        <w:rPr>
          <w:rFonts w:hint="eastAsia" w:ascii="宋体" w:hAnsi="宋体" w:eastAsia="宋体" w:cs="宋体"/>
          <w:color w:val="auto"/>
          <w:sz w:val="28"/>
          <w:szCs w:val="28"/>
          <w:highlight w:val="none"/>
          <w:u w:val="single"/>
        </w:rPr>
        <w:t xml:space="preserve">  （详细地址） </w:t>
      </w:r>
      <w:r>
        <w:rPr>
          <w:rFonts w:hint="eastAsia" w:ascii="宋体" w:hAnsi="宋体" w:eastAsia="宋体" w:cs="宋体"/>
          <w:color w:val="auto"/>
          <w:sz w:val="28"/>
          <w:szCs w:val="28"/>
          <w:highlight w:val="none"/>
        </w:rPr>
        <w:t>。</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ind w:firstLine="4480" w:firstLineChars="16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lang w:val="en-US" w:eastAsia="zh-CN"/>
        </w:rPr>
        <w:t>（项目名称）</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评审小组</w:t>
      </w:r>
    </w:p>
    <w:p>
      <w:pPr>
        <w:adjustRightInd w:val="0"/>
        <w:snapToGrid w:val="0"/>
        <w:spacing w:line="600" w:lineRule="exact"/>
        <w:ind w:firstLine="4760" w:firstLineChars="17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评审小组：</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（签字）</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4760" w:firstLineChars="1700"/>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2"/>
        <w:rPr>
          <w:rFonts w:eastAsia="宋体" w:cs="宋体"/>
          <w:color w:val="auto"/>
          <w:highlight w:val="none"/>
        </w:rPr>
      </w:pPr>
    </w:p>
    <w:p>
      <w:pPr>
        <w:pStyle w:val="2"/>
        <w:ind w:firstLine="0"/>
        <w:rPr>
          <w:rFonts w:eastAsia="宋体" w:cs="宋体"/>
          <w:b/>
          <w:color w:val="auto"/>
          <w:sz w:val="28"/>
          <w:szCs w:val="28"/>
          <w:highlight w:val="none"/>
        </w:rPr>
      </w:pPr>
    </w:p>
    <w:p>
      <w:pPr>
        <w:pStyle w:val="2"/>
        <w:ind w:firstLine="0"/>
        <w:rPr>
          <w:rFonts w:eastAsia="宋体" w:cs="宋体"/>
          <w:b/>
          <w:color w:val="auto"/>
          <w:sz w:val="28"/>
          <w:szCs w:val="28"/>
          <w:highlight w:val="none"/>
        </w:rPr>
      </w:pPr>
    </w:p>
    <w:p>
      <w:pPr>
        <w:pStyle w:val="2"/>
        <w:ind w:firstLine="0"/>
        <w:rPr>
          <w:rFonts w:eastAsia="宋体" w:cs="宋体"/>
          <w:b/>
          <w:color w:val="auto"/>
          <w:sz w:val="28"/>
          <w:szCs w:val="28"/>
          <w:highlight w:val="none"/>
        </w:rPr>
      </w:pPr>
    </w:p>
    <w:p>
      <w:pPr>
        <w:pStyle w:val="2"/>
        <w:ind w:firstLine="0"/>
        <w:rPr>
          <w:rFonts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附件3</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问题的澄清</w:t>
      </w:r>
    </w:p>
    <w:p>
      <w:pPr>
        <w:pStyle w:val="40"/>
        <w:rPr>
          <w:rFonts w:ascii="宋体" w:hAnsi="宋体" w:eastAsia="宋体" w:cs="宋体"/>
          <w:color w:val="auto"/>
          <w:highlight w:val="none"/>
        </w:rPr>
      </w:pP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编号：</w:t>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lang w:val="en-US" w:eastAsia="zh-CN"/>
        </w:rPr>
        <w:t>（项目名称）</w:t>
      </w:r>
      <w:r>
        <w:rPr>
          <w:rFonts w:hint="eastAsia" w:ascii="宋体" w:hAnsi="宋体" w:eastAsia="宋体" w:cs="宋体"/>
          <w:color w:val="auto"/>
          <w:sz w:val="28"/>
          <w:szCs w:val="28"/>
          <w:highlight w:val="none"/>
        </w:rPr>
        <w:t>评审小组：</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问题澄清通知（编号：</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）已收悉，现澄清如下：</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p>
      <w:pPr>
        <w:adjustRightInd w:val="0"/>
        <w:snapToGrid w:val="0"/>
        <w:spacing w:line="600" w:lineRule="exact"/>
        <w:ind w:firstLine="570"/>
        <w:jc w:val="left"/>
        <w:rPr>
          <w:rFonts w:ascii="宋体" w:hAnsi="宋体" w:eastAsia="宋体" w:cs="宋体"/>
          <w:b/>
          <w:color w:val="auto"/>
          <w:sz w:val="28"/>
          <w:szCs w:val="28"/>
          <w:highlight w:val="none"/>
        </w:rPr>
      </w:pPr>
    </w:p>
    <w:p>
      <w:pPr>
        <w:adjustRightInd w:val="0"/>
        <w:snapToGrid w:val="0"/>
        <w:spacing w:line="600" w:lineRule="exact"/>
        <w:ind w:firstLine="2520" w:firstLineChars="9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（公章）</w:t>
      </w:r>
    </w:p>
    <w:p>
      <w:pPr>
        <w:adjustRightInd w:val="0"/>
        <w:snapToGrid w:val="0"/>
        <w:spacing w:line="600" w:lineRule="exact"/>
        <w:ind w:firstLine="2520" w:firstLineChars="900"/>
        <w:jc w:val="left"/>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或</w:t>
      </w:r>
    </w:p>
    <w:p>
      <w:pPr>
        <w:adjustRightInd w:val="0"/>
        <w:snapToGrid w:val="0"/>
        <w:spacing w:line="600" w:lineRule="exact"/>
        <w:ind w:firstLine="2520" w:firstLineChars="9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（签字）</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adjustRightInd w:val="0"/>
        <w:snapToGrid w:val="0"/>
        <w:spacing w:line="600" w:lineRule="exact"/>
        <w:ind w:firstLine="2665" w:firstLineChars="952"/>
        <w:jc w:val="left"/>
        <w:rPr>
          <w:rFonts w:ascii="宋体" w:hAnsi="宋体" w:eastAsia="宋体" w:cs="宋体"/>
          <w:color w:val="auto"/>
          <w:sz w:val="28"/>
          <w:szCs w:val="28"/>
          <w:highlight w:val="none"/>
        </w:rPr>
      </w:pP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附件4 </w:t>
      </w:r>
    </w:p>
    <w:p>
      <w:pPr>
        <w:adjustRightInd w:val="0"/>
        <w:snapToGrid w:val="0"/>
        <w:spacing w:line="600" w:lineRule="exact"/>
        <w:jc w:val="center"/>
        <w:rPr>
          <w:rFonts w:ascii="宋体" w:hAnsi="宋体" w:eastAsia="宋体" w:cs="宋体"/>
          <w:color w:val="auto"/>
          <w:sz w:val="32"/>
          <w:szCs w:val="32"/>
          <w:highlight w:val="none"/>
        </w:rPr>
      </w:pPr>
    </w:p>
    <w:p>
      <w:pPr>
        <w:adjustRightInd w:val="0"/>
        <w:snapToGrid w:val="0"/>
        <w:spacing w:line="60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成交通知书</w:t>
      </w:r>
    </w:p>
    <w:p>
      <w:pPr>
        <w:pStyle w:val="40"/>
        <w:rPr>
          <w:rFonts w:ascii="宋体" w:hAnsi="宋体" w:eastAsia="宋体" w:cs="宋体"/>
          <w:color w:val="auto"/>
          <w:highlight w:val="none"/>
        </w:rPr>
      </w:pPr>
    </w:p>
    <w:p>
      <w:pPr>
        <w:pStyle w:val="40"/>
        <w:ind w:firstLine="3465" w:firstLineChars="1650"/>
        <w:rPr>
          <w:rFonts w:ascii="宋体" w:hAnsi="宋体" w:eastAsia="宋体" w:cs="宋体"/>
          <w:color w:val="auto"/>
          <w:highlight w:val="none"/>
        </w:rPr>
      </w:pPr>
      <w:r>
        <w:rPr>
          <w:rFonts w:hint="eastAsia" w:ascii="宋体" w:hAnsi="宋体" w:eastAsia="宋体" w:cs="宋体"/>
          <w:color w:val="auto"/>
          <w:highlight w:val="none"/>
        </w:rPr>
        <w:t>（编号：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（成交供应商名称）    </w:t>
      </w:r>
      <w:r>
        <w:rPr>
          <w:rFonts w:hint="eastAsia" w:ascii="宋体" w:hAnsi="宋体" w:eastAsia="宋体" w:cs="宋体"/>
          <w:color w:val="auto"/>
          <w:sz w:val="28"/>
          <w:szCs w:val="28"/>
          <w:highlight w:val="none"/>
        </w:rPr>
        <w:t>：</w:t>
      </w:r>
    </w:p>
    <w:p>
      <w:pPr>
        <w:adjustRightInd w:val="0"/>
        <w:snapToGrid w:val="0"/>
        <w:spacing w:line="600" w:lineRule="exact"/>
        <w:ind w:firstLine="57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你方递交的响应文件已被我方接受，你方已被确认为</w:t>
      </w:r>
      <w:r>
        <w:rPr>
          <w:rFonts w:hint="eastAsia" w:ascii="宋体" w:hAnsi="宋体" w:eastAsia="宋体" w:cs="宋体"/>
          <w:color w:val="auto"/>
          <w:sz w:val="28"/>
          <w:szCs w:val="28"/>
          <w:highlight w:val="none"/>
          <w:u w:val="single"/>
        </w:rPr>
        <w:t xml:space="preserve">      项目</w:t>
      </w:r>
      <w:r>
        <w:rPr>
          <w:rFonts w:hint="eastAsia" w:ascii="宋体" w:hAnsi="宋体" w:eastAsia="宋体" w:cs="宋体"/>
          <w:color w:val="auto"/>
          <w:sz w:val="28"/>
          <w:szCs w:val="28"/>
          <w:highlight w:val="none"/>
        </w:rPr>
        <w:t>的成交供应商。</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成交金额，大写：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，小写：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 xml:space="preserve"> 。</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请你方在接到本通知书后的</w:t>
      </w:r>
      <w:r>
        <w:rPr>
          <w:rFonts w:hint="eastAsia" w:ascii="宋体" w:hAnsi="宋体" w:eastAsia="宋体" w:cs="宋体"/>
          <w:color w:val="auto"/>
          <w:sz w:val="28"/>
          <w:szCs w:val="28"/>
          <w:highlight w:val="none"/>
          <w:u w:val="single"/>
        </w:rPr>
        <w:t>30</w:t>
      </w:r>
      <w:r>
        <w:rPr>
          <w:rFonts w:hint="eastAsia" w:ascii="宋体" w:hAnsi="宋体" w:eastAsia="宋体" w:cs="宋体"/>
          <w:color w:val="auto"/>
          <w:sz w:val="28"/>
          <w:szCs w:val="28"/>
          <w:highlight w:val="none"/>
        </w:rPr>
        <w:t>日内与我方签订采购合同，逾期视为自动放弃成交资格。</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ind w:firstLine="4760" w:firstLineChars="170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采购人：</w:t>
      </w:r>
      <w:r>
        <w:rPr>
          <w:rFonts w:hint="eastAsia" w:ascii="宋体" w:hAnsi="宋体" w:eastAsia="宋体" w:cs="宋体"/>
          <w:b/>
          <w:color w:val="auto"/>
          <w:sz w:val="28"/>
          <w:szCs w:val="28"/>
          <w:highlight w:val="none"/>
          <w:u w:val="single"/>
        </w:rPr>
        <w:t xml:space="preserve">          </w:t>
      </w:r>
      <w:r>
        <w:rPr>
          <w:rFonts w:hint="eastAsia" w:ascii="宋体" w:hAnsi="宋体" w:eastAsia="宋体" w:cs="宋体"/>
          <w:color w:val="auto"/>
          <w:sz w:val="28"/>
          <w:szCs w:val="28"/>
          <w:highlight w:val="none"/>
        </w:rPr>
        <w:t>（公章）</w:t>
      </w:r>
    </w:p>
    <w:p>
      <w:pPr>
        <w:adjustRightInd w:val="0"/>
        <w:snapToGrid w:val="0"/>
        <w:spacing w:line="600" w:lineRule="exact"/>
        <w:ind w:firstLine="5451" w:firstLineChars="19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pStyle w:val="2"/>
        <w:rPr>
          <w:rFonts w:hint="eastAsia" w:ascii="宋体" w:hAnsi="宋体" w:eastAsia="宋体" w:cs="宋体"/>
          <w:b/>
          <w:color w:val="auto"/>
          <w:sz w:val="28"/>
          <w:szCs w:val="28"/>
          <w:highlight w:val="none"/>
        </w:rPr>
      </w:pPr>
      <w:r>
        <w:rPr>
          <w:rFonts w:hint="eastAsia" w:hAnsi="仿宋"/>
          <w:sz w:val="24"/>
          <w:highlight w:val="none"/>
        </w:rPr>
        <w:t>（</w:t>
      </w:r>
      <w:r>
        <w:rPr>
          <w:rFonts w:hAnsi="仿宋"/>
          <w:sz w:val="24"/>
          <w:highlight w:val="none"/>
        </w:rPr>
        <w:t>3）可证明与异议项目有利害关系的其他证明文件。</w:t>
      </w:r>
    </w:p>
    <w:p>
      <w:pPr>
        <w:pStyle w:val="2"/>
        <w:rPr>
          <w:rFonts w:eastAsia="宋体" w:cs="宋体"/>
          <w:color w:val="auto"/>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2"/>
        <w:rPr>
          <w:rFonts w:eastAsia="宋体" w:cs="宋体"/>
          <w:b/>
          <w:color w:val="auto"/>
          <w:sz w:val="28"/>
          <w:szCs w:val="28"/>
          <w:highlight w:val="none"/>
        </w:rPr>
      </w:pPr>
    </w:p>
    <w:p>
      <w:pPr>
        <w:pStyle w:val="2"/>
        <w:rPr>
          <w:rFonts w:eastAsia="宋体" w:cs="宋体"/>
          <w:b/>
          <w:color w:val="auto"/>
          <w:sz w:val="28"/>
          <w:szCs w:val="28"/>
          <w:highlight w:val="none"/>
        </w:rPr>
      </w:pPr>
    </w:p>
    <w:p>
      <w:pPr>
        <w:pStyle w:val="2"/>
        <w:rPr>
          <w:rFonts w:eastAsia="宋体" w:cs="宋体"/>
          <w:b/>
          <w:color w:val="auto"/>
          <w:sz w:val="28"/>
          <w:szCs w:val="28"/>
          <w:highlight w:val="none"/>
        </w:rPr>
      </w:pPr>
    </w:p>
    <w:p>
      <w:pPr>
        <w:pStyle w:val="2"/>
        <w:rPr>
          <w:rFonts w:eastAsia="宋体" w:cs="宋体"/>
          <w:b/>
          <w:color w:val="auto"/>
          <w:sz w:val="28"/>
          <w:szCs w:val="28"/>
          <w:highlight w:val="none"/>
        </w:rPr>
      </w:pPr>
    </w:p>
    <w:p>
      <w:pPr>
        <w:pStyle w:val="2"/>
        <w:rPr>
          <w:rFonts w:eastAsia="宋体" w:cs="宋体"/>
          <w:b/>
          <w:color w:val="auto"/>
          <w:sz w:val="28"/>
          <w:szCs w:val="28"/>
          <w:highlight w:val="none"/>
        </w:rPr>
      </w:pPr>
    </w:p>
    <w:p>
      <w:pPr>
        <w:pStyle w:val="2"/>
        <w:rPr>
          <w:rFonts w:eastAsia="宋体" w:cs="宋体"/>
          <w:b/>
          <w:color w:val="auto"/>
          <w:sz w:val="28"/>
          <w:szCs w:val="28"/>
          <w:highlight w:val="none"/>
        </w:rPr>
      </w:pPr>
    </w:p>
    <w:p>
      <w:pPr>
        <w:pStyle w:val="2"/>
        <w:rPr>
          <w:rFonts w:eastAsia="宋体" w:cs="宋体"/>
          <w:b/>
          <w:color w:val="auto"/>
          <w:sz w:val="28"/>
          <w:szCs w:val="28"/>
          <w:highlight w:val="none"/>
        </w:rPr>
      </w:pPr>
    </w:p>
    <w:p>
      <w:pPr>
        <w:pStyle w:val="2"/>
        <w:rPr>
          <w:rFonts w:eastAsia="宋体" w:cs="宋体"/>
          <w:b/>
          <w:color w:val="auto"/>
          <w:sz w:val="28"/>
          <w:szCs w:val="28"/>
          <w:highlight w:val="none"/>
        </w:rPr>
      </w:pPr>
    </w:p>
    <w:p>
      <w:pPr>
        <w:pStyle w:val="2"/>
        <w:rPr>
          <w:rFonts w:eastAsia="宋体" w:cs="宋体"/>
          <w:b/>
          <w:color w:val="auto"/>
          <w:sz w:val="28"/>
          <w:szCs w:val="28"/>
          <w:highlight w:val="none"/>
        </w:rPr>
      </w:pPr>
    </w:p>
    <w:p>
      <w:pPr>
        <w:pStyle w:val="2"/>
        <w:rPr>
          <w:rFonts w:eastAsia="宋体" w:cs="宋体"/>
          <w:b/>
          <w:color w:val="auto"/>
          <w:sz w:val="28"/>
          <w:szCs w:val="28"/>
          <w:highlight w:val="none"/>
        </w:rPr>
      </w:pPr>
    </w:p>
    <w:p>
      <w:pPr>
        <w:pStyle w:val="2"/>
        <w:rPr>
          <w:rFonts w:eastAsia="宋体" w:cs="宋体"/>
          <w:b/>
          <w:color w:val="auto"/>
          <w:sz w:val="28"/>
          <w:szCs w:val="28"/>
          <w:highlight w:val="none"/>
        </w:rPr>
      </w:pPr>
    </w:p>
    <w:p>
      <w:pPr>
        <w:pStyle w:val="2"/>
        <w:rPr>
          <w:rFonts w:eastAsia="宋体" w:cs="宋体"/>
          <w:b/>
          <w:color w:val="auto"/>
          <w:sz w:val="28"/>
          <w:szCs w:val="28"/>
          <w:highlight w:val="none"/>
        </w:rPr>
      </w:pPr>
    </w:p>
    <w:p>
      <w:pPr>
        <w:pStyle w:val="2"/>
        <w:rPr>
          <w:rFonts w:eastAsia="宋体" w:cs="宋体"/>
          <w:b/>
          <w:color w:val="auto"/>
          <w:sz w:val="28"/>
          <w:szCs w:val="28"/>
          <w:highlight w:val="none"/>
        </w:rPr>
      </w:pPr>
    </w:p>
    <w:p>
      <w:pPr>
        <w:pStyle w:val="2"/>
        <w:rPr>
          <w:rFonts w:eastAsia="宋体" w:cs="宋体"/>
          <w:b/>
          <w:color w:val="auto"/>
          <w:sz w:val="28"/>
          <w:szCs w:val="28"/>
          <w:highlight w:val="none"/>
        </w:rPr>
      </w:pPr>
    </w:p>
    <w:p>
      <w:pPr>
        <w:pStyle w:val="2"/>
        <w:rPr>
          <w:rFonts w:eastAsia="宋体" w:cs="宋体"/>
          <w:b/>
          <w:color w:val="auto"/>
          <w:sz w:val="28"/>
          <w:szCs w:val="28"/>
          <w:highlight w:val="none"/>
        </w:rPr>
      </w:pPr>
    </w:p>
    <w:p>
      <w:pPr>
        <w:pStyle w:val="2"/>
        <w:rPr>
          <w:rFonts w:eastAsia="宋体" w:cs="宋体"/>
          <w:b/>
          <w:color w:val="auto"/>
          <w:sz w:val="28"/>
          <w:szCs w:val="28"/>
          <w:highlight w:val="none"/>
        </w:rPr>
      </w:pPr>
    </w:p>
    <w:p>
      <w:pPr>
        <w:pStyle w:val="2"/>
        <w:rPr>
          <w:rFonts w:eastAsia="宋体" w:cs="宋体"/>
          <w:b/>
          <w:color w:val="auto"/>
          <w:sz w:val="28"/>
          <w:szCs w:val="28"/>
          <w:highlight w:val="none"/>
        </w:rPr>
      </w:pPr>
    </w:p>
    <w:p>
      <w:pPr>
        <w:pStyle w:val="2"/>
        <w:rPr>
          <w:rFonts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p>
    <w:p>
      <w:pPr>
        <w:pStyle w:val="5"/>
        <w:rPr>
          <w:rFonts w:ascii="宋体" w:hAnsi="宋体" w:eastAsia="宋体" w:cs="宋体"/>
          <w:color w:val="auto"/>
          <w:kern w:val="44"/>
          <w:sz w:val="44"/>
          <w:szCs w:val="44"/>
          <w:highlight w:val="none"/>
        </w:rPr>
      </w:pPr>
      <w:bookmarkStart w:id="38" w:name="_Toc2867"/>
      <w:bookmarkStart w:id="39" w:name="_Toc21455"/>
      <w:r>
        <w:rPr>
          <w:rFonts w:hint="eastAsia" w:ascii="宋体" w:hAnsi="宋体" w:eastAsia="宋体" w:cs="宋体"/>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宋体" w:hAnsi="宋体" w:eastAsia="宋体" w:cs="宋体"/>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宋体" w:hAnsi="宋体" w:eastAsia="宋体" w:cs="宋体"/>
          <w:color w:val="auto"/>
          <w:kern w:val="44"/>
          <w:sz w:val="44"/>
          <w:szCs w:val="44"/>
          <w:highlight w:val="none"/>
        </w:rPr>
        <w:t>第三章</w:t>
      </w:r>
      <w:bookmarkEnd w:id="38"/>
      <w:bookmarkEnd w:id="39"/>
    </w:p>
    <w:p>
      <w:pPr>
        <w:pStyle w:val="40"/>
        <w:rPr>
          <w:rFonts w:ascii="宋体" w:hAnsi="宋体" w:eastAsia="宋体" w:cs="宋体"/>
          <w:color w:val="auto"/>
          <w:highlight w:val="none"/>
        </w:rPr>
      </w:pPr>
    </w:p>
    <w:p>
      <w:pPr>
        <w:pStyle w:val="5"/>
        <w:rPr>
          <w:rFonts w:ascii="宋体" w:hAnsi="宋体" w:eastAsia="宋体" w:cs="宋体"/>
          <w:color w:val="auto"/>
          <w:highlight w:val="none"/>
        </w:rPr>
      </w:pPr>
      <w:bookmarkStart w:id="40" w:name="_Toc87616371"/>
      <w:bookmarkStart w:id="41" w:name="_Toc88209934"/>
      <w:bookmarkStart w:id="42" w:name="_Toc7040"/>
      <w:bookmarkStart w:id="43" w:name="_Toc7303"/>
      <w:r>
        <w:rPr>
          <w:rFonts w:hint="eastAsia" w:ascii="宋体" w:hAnsi="宋体" w:eastAsia="宋体" w:cs="宋体"/>
          <w:color w:val="auto"/>
          <w:highlight w:val="none"/>
        </w:rPr>
        <w:t>采购方法</w:t>
      </w:r>
      <w:bookmarkEnd w:id="40"/>
      <w:bookmarkEnd w:id="41"/>
      <w:bookmarkEnd w:id="42"/>
      <w:bookmarkEnd w:id="43"/>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5"/>
        <w:rPr>
          <w:rFonts w:ascii="宋体" w:hAnsi="宋体" w:eastAsia="宋体" w:cs="宋体"/>
          <w:color w:val="auto"/>
          <w:highlight w:val="none"/>
        </w:rPr>
      </w:pPr>
      <w:r>
        <w:rPr>
          <w:rFonts w:hint="eastAsia" w:ascii="宋体" w:hAnsi="宋体" w:eastAsia="宋体" w:cs="宋体"/>
          <w:color w:val="auto"/>
          <w:highlight w:val="none"/>
        </w:rPr>
        <w:t>询比采购</w:t>
      </w: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pStyle w:val="2"/>
        <w:rPr>
          <w:rFonts w:eastAsia="宋体" w:cs="宋体"/>
          <w:color w:val="auto"/>
          <w:sz w:val="44"/>
          <w:szCs w:val="44"/>
          <w:highlight w:val="none"/>
        </w:rPr>
      </w:pPr>
    </w:p>
    <w:p>
      <w:pPr>
        <w:adjustRightInd w:val="0"/>
        <w:snapToGrid w:val="0"/>
        <w:spacing w:line="600" w:lineRule="exact"/>
        <w:jc w:val="left"/>
        <w:rPr>
          <w:rFonts w:hint="eastAsia" w:ascii="宋体" w:hAnsi="宋体" w:eastAsia="宋体" w:cs="宋体"/>
          <w:b/>
          <w:color w:val="auto"/>
          <w:sz w:val="28"/>
          <w:szCs w:val="28"/>
          <w:highlight w:val="none"/>
        </w:rPr>
      </w:pP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公开询比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2318" w:hRule="atLeast"/>
        </w:trPr>
        <w:tc>
          <w:tcPr>
            <w:tcW w:w="959" w:type="dxa"/>
            <w:tcBorders>
              <w:top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1.采购准备</w:t>
            </w:r>
          </w:p>
        </w:tc>
        <w:tc>
          <w:tcPr>
            <w:tcW w:w="7938" w:type="dxa"/>
            <w:tcBorders>
              <w:top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1.2 资格审查执行第二章供应商须知1.对供应商的资格要求</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 响应文件提交截止后，递交响应文件供应商不足3家的或有效响应文件供应商不足两家，应分析原因并重新发出采购公告或采取其他采购方式。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2.1 报价应包括国家规定的增值税税金，增值税税金按一般计税方法计算。报价范围包括</w:t>
            </w:r>
            <w:r>
              <w:rPr>
                <w:rFonts w:hint="eastAsia" w:ascii="宋体" w:hAnsi="宋体" w:eastAsia="宋体" w:cs="宋体"/>
                <w:color w:val="auto"/>
                <w:sz w:val="24"/>
                <w:szCs w:val="24"/>
                <w:highlight w:val="none"/>
                <w:u w:val="single"/>
              </w:rPr>
              <w:t>本项目所有采购内容和范围。</w:t>
            </w:r>
            <w:r>
              <w:rPr>
                <w:rFonts w:hint="eastAsia" w:ascii="宋体" w:hAnsi="宋体" w:eastAsia="宋体" w:cs="宋体"/>
                <w:color w:val="auto"/>
                <w:sz w:val="24"/>
                <w:szCs w:val="24"/>
                <w:highlight w:val="none"/>
              </w:rPr>
              <w:t xml:space="preserve"> </w:t>
            </w:r>
          </w:p>
          <w:p>
            <w:pPr>
              <w:adjustRightInd w:val="0"/>
              <w:snapToGrid w:val="0"/>
              <w:ind w:left="458" w:hanging="458" w:hangingChars="191"/>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2.2 询比地址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 </w:t>
            </w:r>
          </w:p>
          <w:p>
            <w:pPr>
              <w:adjustRightInd w:val="0"/>
              <w:snapToGrid w:val="0"/>
              <w:ind w:left="458" w:hanging="458" w:hangingChars="191"/>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广州市荔湾区桥中南路7号广州净水有限公司大坦沙净水厂</w:t>
            </w:r>
          </w:p>
          <w:p>
            <w:pPr>
              <w:adjustRightInd w:val="0"/>
              <w:snapToGrid w:val="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2.3 询比开始时间（同响应文件截止时间）</w:t>
            </w:r>
          </w:p>
          <w:p>
            <w:pPr>
              <w:adjustRightInd w:val="0"/>
              <w:snapToGrid w:val="0"/>
              <w:ind w:left="480" w:hanging="480" w:hanging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52"/>
            </w:r>
            <w:r>
              <w:rPr>
                <w:rFonts w:hint="eastAsia" w:ascii="宋体" w:hAnsi="宋体" w:eastAsia="宋体" w:cs="宋体"/>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2" w:char="00A3"/>
            </w:r>
            <w:r>
              <w:rPr>
                <w:rFonts w:hint="eastAsia" w:ascii="宋体" w:hAnsi="宋体" w:eastAsia="宋体" w:cs="宋体"/>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在评审小组提交评审报告3日内，在</w:t>
            </w:r>
            <w:r>
              <w:rPr>
                <w:rFonts w:hint="eastAsia" w:ascii="宋体" w:hAnsi="宋体" w:eastAsia="宋体" w:cs="宋体"/>
                <w:color w:val="auto"/>
                <w:sz w:val="24"/>
                <w:szCs w:val="24"/>
                <w:highlight w:val="none"/>
                <w:u w:val="single"/>
              </w:rPr>
              <w:t>广州市净水有限公司门户网站</w:t>
            </w:r>
            <w:r>
              <w:rPr>
                <w:rFonts w:hint="eastAsia" w:ascii="宋体" w:hAnsi="宋体" w:eastAsia="宋体" w:cs="宋体"/>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成交候选人公示结束后。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
        <w:ind w:firstLine="0"/>
        <w:rPr>
          <w:rFonts w:eastAsia="宋体" w:cs="宋体"/>
          <w:color w:val="auto"/>
          <w:sz w:val="28"/>
          <w:szCs w:val="28"/>
          <w:highlight w:val="none"/>
        </w:rPr>
      </w:pPr>
    </w:p>
    <w:p>
      <w:pPr>
        <w:pStyle w:val="2"/>
        <w:rPr>
          <w:rFonts w:eastAsia="宋体" w:cs="宋体"/>
          <w:color w:val="auto"/>
          <w:sz w:val="28"/>
          <w:szCs w:val="28"/>
          <w:highlight w:val="none"/>
        </w:rPr>
      </w:pPr>
    </w:p>
    <w:p>
      <w:pPr>
        <w:pStyle w:val="4"/>
        <w:rPr>
          <w:rFonts w:ascii="宋体" w:hAnsi="宋体" w:eastAsia="宋体" w:cs="宋体"/>
          <w:color w:val="auto"/>
          <w:highlight w:val="none"/>
        </w:rPr>
      </w:pPr>
      <w:bookmarkStart w:id="44" w:name="_Toc20594"/>
      <w:bookmarkStart w:id="45" w:name="_Toc23581"/>
      <w:bookmarkStart w:id="46" w:name="_Toc4952"/>
      <w:bookmarkStart w:id="47" w:name="_Toc3156"/>
      <w:bookmarkStart w:id="48" w:name="_Toc19050"/>
      <w:bookmarkStart w:id="49" w:name="_Toc7437"/>
      <w:bookmarkStart w:id="50" w:name="_Toc14870"/>
      <w:bookmarkStart w:id="51" w:name="_Toc14552"/>
      <w:bookmarkStart w:id="52" w:name="_Toc19759"/>
      <w:bookmarkStart w:id="53" w:name="_Toc10930"/>
      <w:bookmarkStart w:id="54" w:name="_Toc7118"/>
      <w:r>
        <w:rPr>
          <w:rFonts w:hint="eastAsia" w:ascii="宋体" w:hAnsi="宋体" w:eastAsia="宋体" w:cs="宋体"/>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第四章</w:t>
      </w:r>
      <w:bookmarkEnd w:id="44"/>
      <w:bookmarkEnd w:id="45"/>
      <w:bookmarkEnd w:id="46"/>
      <w:bookmarkEnd w:id="47"/>
      <w:bookmarkEnd w:id="48"/>
      <w:bookmarkEnd w:id="49"/>
      <w:bookmarkEnd w:id="50"/>
      <w:bookmarkEnd w:id="51"/>
      <w:bookmarkEnd w:id="52"/>
      <w:bookmarkEnd w:id="53"/>
      <w:bookmarkEnd w:id="54"/>
    </w:p>
    <w:p>
      <w:pPr>
        <w:pStyle w:val="40"/>
        <w:rPr>
          <w:rFonts w:ascii="宋体" w:hAnsi="宋体" w:eastAsia="宋体" w:cs="宋体"/>
          <w:color w:val="auto"/>
          <w:highlight w:val="none"/>
        </w:rPr>
      </w:pPr>
    </w:p>
    <w:p>
      <w:pPr>
        <w:pStyle w:val="4"/>
        <w:rPr>
          <w:rFonts w:ascii="宋体" w:hAnsi="宋体" w:eastAsia="宋体" w:cs="宋体"/>
          <w:color w:val="auto"/>
          <w:highlight w:val="none"/>
        </w:rPr>
      </w:pPr>
      <w:bookmarkStart w:id="55" w:name="_Toc6308"/>
      <w:bookmarkStart w:id="56" w:name="_Toc21840"/>
      <w:bookmarkStart w:id="57" w:name="_Toc29484"/>
      <w:bookmarkStart w:id="58" w:name="_Toc7831"/>
      <w:bookmarkStart w:id="59" w:name="_Toc12177"/>
      <w:bookmarkStart w:id="60" w:name="_Toc30530"/>
      <w:bookmarkStart w:id="61" w:name="_Toc21079"/>
      <w:bookmarkStart w:id="62" w:name="_Toc32607"/>
      <w:bookmarkStart w:id="63" w:name="_Toc29345"/>
      <w:bookmarkStart w:id="64" w:name="_Toc22212"/>
      <w:bookmarkStart w:id="65" w:name="_Toc87616378"/>
      <w:bookmarkStart w:id="66" w:name="_Toc13898"/>
      <w:bookmarkStart w:id="67" w:name="_Toc88209941"/>
      <w:r>
        <w:rPr>
          <w:rFonts w:hint="eastAsia" w:ascii="宋体" w:hAnsi="宋体" w:eastAsia="宋体" w:cs="宋体"/>
          <w:color w:val="auto"/>
          <w:highlight w:val="none"/>
        </w:rPr>
        <w:t>评审办法</w:t>
      </w:r>
      <w:bookmarkEnd w:id="55"/>
      <w:bookmarkEnd w:id="56"/>
      <w:bookmarkEnd w:id="57"/>
      <w:bookmarkEnd w:id="58"/>
      <w:bookmarkEnd w:id="59"/>
      <w:bookmarkEnd w:id="60"/>
      <w:bookmarkEnd w:id="61"/>
      <w:bookmarkEnd w:id="62"/>
      <w:bookmarkEnd w:id="63"/>
      <w:bookmarkEnd w:id="64"/>
      <w:bookmarkEnd w:id="65"/>
      <w:bookmarkEnd w:id="66"/>
      <w:bookmarkEnd w:id="67"/>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
        <w:rPr>
          <w:rFonts w:eastAsia="宋体" w:cs="宋体"/>
          <w:color w:val="auto"/>
          <w:sz w:val="44"/>
          <w:szCs w:val="44"/>
          <w:highlight w:val="none"/>
        </w:rPr>
      </w:pPr>
    </w:p>
    <w:p>
      <w:pPr>
        <w:pStyle w:val="2"/>
        <w:ind w:firstLine="0"/>
        <w:rPr>
          <w:rFonts w:eastAsia="宋体" w:cs="宋体"/>
          <w:color w:val="auto"/>
          <w:sz w:val="44"/>
          <w:szCs w:val="44"/>
          <w:highlight w:val="none"/>
        </w:rPr>
      </w:pPr>
    </w:p>
    <w:p>
      <w:pPr>
        <w:rPr>
          <w:rFonts w:ascii="宋体" w:hAnsi="宋体" w:eastAsia="宋体" w:cs="宋体"/>
          <w:color w:val="auto"/>
          <w:highlight w:val="none"/>
        </w:rPr>
      </w:pPr>
      <w:bookmarkStart w:id="68" w:name="_Toc23033"/>
      <w:bookmarkStart w:id="69" w:name="_Toc26826"/>
      <w:r>
        <w:rPr>
          <w:rFonts w:hint="eastAsia" w:ascii="宋体" w:hAnsi="宋体" w:eastAsia="宋体" w:cs="宋体"/>
          <w:color w:val="auto"/>
          <w:highlight w:val="none"/>
        </w:rPr>
        <w:br w:type="page"/>
      </w:r>
    </w:p>
    <w:p>
      <w:pPr>
        <w:pStyle w:val="5"/>
        <w:rPr>
          <w:rFonts w:ascii="宋体" w:hAnsi="宋体" w:eastAsia="宋体" w:cs="宋体"/>
          <w:color w:val="auto"/>
          <w:highlight w:val="none"/>
        </w:rPr>
      </w:pPr>
      <w:r>
        <w:rPr>
          <w:rFonts w:hint="eastAsia" w:ascii="宋体" w:hAnsi="宋体" w:eastAsia="宋体" w:cs="宋体"/>
          <w:color w:val="auto"/>
          <w:highlight w:val="none"/>
        </w:rPr>
        <w:t>经评审的最低价法</w:t>
      </w:r>
      <w:bookmarkEnd w:id="68"/>
      <w:bookmarkEnd w:id="69"/>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1.评审方法</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（1）运输费用及保险费。（如有）</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（2）工期、交货期或服务期限。</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（3）支付条件。</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（4）备品备件以及售后服务（如有）。</w:t>
      </w:r>
    </w:p>
    <w:p>
      <w:pPr>
        <w:adjustRightInd w:val="0"/>
        <w:snapToGrid w:val="0"/>
        <w:spacing w:line="600" w:lineRule="exact"/>
        <w:ind w:firstLine="420" w:firstLineChars="150"/>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（5）价格调整因素。</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2.评审程序</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2.1 初步评审</w:t>
      </w:r>
    </w:p>
    <w:p>
      <w:pPr>
        <w:adjustRightInd w:val="0"/>
        <w:snapToGrid w:val="0"/>
        <w:spacing w:line="600" w:lineRule="exact"/>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表4-1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评审标准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形式评审</w:t>
            </w: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有响应函，有法定代表人或其委托代理人签字并加盖单位章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符合采购文件“响应文件格式”要求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报价唯一</w:t>
            </w:r>
          </w:p>
        </w:tc>
        <w:tc>
          <w:tcPr>
            <w:tcW w:w="5528" w:type="dxa"/>
            <w:tcBorders>
              <w:top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w:t>
            </w:r>
          </w:p>
        </w:tc>
        <w:tc>
          <w:tcPr>
            <w:tcW w:w="2127"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w:t>
            </w:r>
          </w:p>
        </w:tc>
        <w:tc>
          <w:tcPr>
            <w:tcW w:w="5528" w:type="dxa"/>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pPr>
              <w:adjustRightInd w:val="0"/>
              <w:snapToGrid w:val="0"/>
              <w:jc w:val="center"/>
              <w:rPr>
                <w:rFonts w:ascii="宋体" w:hAnsi="宋体" w:eastAsia="宋体" w:cs="宋体"/>
                <w:color w:val="auto"/>
                <w:sz w:val="24"/>
                <w:szCs w:val="24"/>
                <w:highlight w:val="none"/>
              </w:rPr>
            </w:pPr>
          </w:p>
        </w:tc>
        <w:tc>
          <w:tcPr>
            <w:tcW w:w="2127" w:type="dxa"/>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满足法律法规及采购文件供应商资格要求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响应性</w:t>
            </w:r>
          </w:p>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评审</w:t>
            </w: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没有超过最高限价；若报价低于本项目最高限价的60%，必须说明报价理由。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w:t>
            </w:r>
          </w:p>
        </w:tc>
        <w:tc>
          <w:tcPr>
            <w:tcW w:w="5528" w:type="dxa"/>
            <w:tcBorders>
              <w:top w:val="single" w:color="auto" w:sz="4" w:space="0"/>
              <w:bottom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其他无效响应</w:t>
            </w:r>
          </w:p>
        </w:tc>
        <w:tc>
          <w:tcPr>
            <w:tcW w:w="5528" w:type="dxa"/>
            <w:tcBorders>
              <w:top w:val="single" w:color="auto" w:sz="4" w:space="0"/>
              <w:bottom w:val="single" w:color="auto" w:sz="4" w:space="0"/>
              <w:right w:val="single" w:color="auto" w:sz="4" w:space="0"/>
            </w:tcBorders>
            <w:vAlign w:val="center"/>
          </w:tcPr>
          <w:p>
            <w:pPr>
              <w:adjustRightInd w:val="0"/>
              <w:snapToGrid w:val="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无法律法规及采购文件规定的其他无效响应内容</w:t>
            </w:r>
          </w:p>
        </w:tc>
      </w:tr>
    </w:tbl>
    <w:p>
      <w:pPr>
        <w:spacing w:line="400" w:lineRule="exact"/>
        <w:jc w:val="left"/>
        <w:rPr>
          <w:rFonts w:ascii="宋体" w:hAnsi="宋体" w:eastAsia="宋体" w:cs="宋体"/>
          <w:color w:val="auto"/>
          <w:szCs w:val="21"/>
          <w:highlight w:val="none"/>
        </w:rPr>
      </w:pPr>
    </w:p>
    <w:p>
      <w:pPr>
        <w:spacing w:line="400" w:lineRule="exact"/>
        <w:jc w:val="left"/>
        <w:rPr>
          <w:rFonts w:ascii="宋体" w:hAnsi="宋体" w:eastAsia="宋体" w:cs="宋体"/>
          <w:color w:val="auto"/>
          <w:highlight w:val="none"/>
        </w:rPr>
      </w:pPr>
      <w:r>
        <w:rPr>
          <w:rFonts w:hint="eastAsia" w:ascii="宋体" w:hAnsi="宋体" w:eastAsia="宋体" w:cs="宋体"/>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2.2澄清补正</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adjustRightInd w:val="0"/>
        <w:snapToGrid w:val="0"/>
        <w:spacing w:line="600" w:lineRule="exact"/>
        <w:jc w:val="left"/>
        <w:rPr>
          <w:rFonts w:ascii="宋体" w:hAnsi="宋体" w:eastAsia="宋体" w:cs="宋体"/>
          <w:color w:val="auto"/>
          <w:szCs w:val="21"/>
          <w:highlight w:val="none"/>
        </w:rPr>
      </w:pPr>
    </w:p>
    <w:p>
      <w:pPr>
        <w:pStyle w:val="2"/>
        <w:rPr>
          <w:rFonts w:eastAsia="宋体" w:cs="宋体"/>
          <w:color w:val="auto"/>
          <w:szCs w:val="21"/>
          <w:highlight w:val="none"/>
        </w:rPr>
      </w:pPr>
    </w:p>
    <w:p>
      <w:pPr>
        <w:pStyle w:val="2"/>
        <w:rPr>
          <w:rFonts w:eastAsia="宋体" w:cs="宋体"/>
          <w:color w:val="auto"/>
          <w:szCs w:val="21"/>
          <w:highlight w:val="none"/>
        </w:rPr>
      </w:pPr>
    </w:p>
    <w:p>
      <w:pPr>
        <w:pStyle w:val="2"/>
        <w:rPr>
          <w:rFonts w:eastAsia="宋体" w:cs="宋体"/>
          <w:color w:val="auto"/>
          <w:szCs w:val="21"/>
          <w:highlight w:val="none"/>
        </w:rPr>
      </w:pPr>
    </w:p>
    <w:p>
      <w:pPr>
        <w:rPr>
          <w:rFonts w:ascii="宋体" w:hAnsi="宋体" w:eastAsia="宋体" w:cs="宋体"/>
          <w:color w:val="auto"/>
          <w:highlight w:val="none"/>
        </w:rPr>
      </w:pPr>
      <w:bookmarkStart w:id="70" w:name="_Toc88209947"/>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23"/>
        <w:rPr>
          <w:rFonts w:ascii="宋体" w:hAnsi="宋体" w:eastAsia="宋体" w:cs="宋体"/>
          <w:color w:val="auto"/>
          <w:highlight w:val="none"/>
        </w:rPr>
      </w:pPr>
    </w:p>
    <w:p>
      <w:pPr>
        <w:pStyle w:val="4"/>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第五章</w:t>
      </w:r>
    </w:p>
    <w:p>
      <w:pPr>
        <w:rPr>
          <w:rFonts w:ascii="宋体" w:hAnsi="宋体" w:eastAsia="宋体" w:cs="宋体"/>
          <w:color w:val="auto"/>
          <w:highlight w:val="none"/>
        </w:rPr>
      </w:pPr>
    </w:p>
    <w:p>
      <w:pPr>
        <w:pStyle w:val="5"/>
        <w:rPr>
          <w:rFonts w:ascii="宋体" w:hAnsi="宋体" w:eastAsia="宋体" w:cs="宋体"/>
          <w:color w:val="auto"/>
          <w:szCs w:val="44"/>
          <w:highlight w:val="none"/>
        </w:rPr>
      </w:pPr>
      <w:r>
        <w:rPr>
          <w:rFonts w:hint="eastAsia" w:ascii="宋体" w:hAnsi="宋体" w:eastAsia="宋体" w:cs="宋体"/>
          <w:color w:val="auto"/>
          <w:szCs w:val="44"/>
          <w:highlight w:val="none"/>
        </w:rPr>
        <w:t>采购需求</w:t>
      </w:r>
    </w:p>
    <w:p>
      <w:pPr>
        <w:rPr>
          <w:rFonts w:ascii="宋体" w:hAnsi="宋体" w:eastAsia="宋体" w:cs="宋体"/>
          <w:color w:val="auto"/>
          <w:szCs w:val="44"/>
          <w:highlight w:val="none"/>
        </w:rPr>
      </w:pPr>
    </w:p>
    <w:p>
      <w:pPr>
        <w:rPr>
          <w:rFonts w:ascii="宋体" w:hAnsi="宋体" w:eastAsia="宋体" w:cs="宋体"/>
          <w:color w:val="auto"/>
          <w:szCs w:val="44"/>
          <w:highlight w:val="none"/>
        </w:rPr>
      </w:pPr>
    </w:p>
    <w:p>
      <w:pPr>
        <w:pStyle w:val="2"/>
        <w:rPr>
          <w:rFonts w:eastAsia="宋体" w:cs="宋体"/>
          <w:color w:val="auto"/>
          <w:szCs w:val="44"/>
          <w:highlight w:val="none"/>
        </w:rPr>
      </w:pPr>
    </w:p>
    <w:p>
      <w:pPr>
        <w:pStyle w:val="2"/>
        <w:rPr>
          <w:rFonts w:eastAsia="宋体" w:cs="宋体"/>
          <w:color w:val="auto"/>
          <w:szCs w:val="44"/>
          <w:highlight w:val="none"/>
        </w:rPr>
      </w:pPr>
    </w:p>
    <w:p>
      <w:pPr>
        <w:pStyle w:val="2"/>
        <w:ind w:firstLine="0"/>
        <w:rPr>
          <w:rFonts w:eastAsia="宋体" w:cs="宋体"/>
          <w:color w:val="auto"/>
          <w:szCs w:val="44"/>
          <w:highlight w:val="none"/>
        </w:rPr>
      </w:pPr>
    </w:p>
    <w:p>
      <w:pPr>
        <w:rPr>
          <w:rFonts w:ascii="宋体" w:hAnsi="宋体" w:eastAsia="宋体" w:cs="宋体"/>
          <w:color w:val="auto"/>
          <w:szCs w:val="44"/>
          <w:highlight w:val="none"/>
        </w:rPr>
      </w:pPr>
      <w:r>
        <w:rPr>
          <w:rFonts w:hint="eastAsia" w:ascii="宋体" w:hAnsi="宋体" w:eastAsia="宋体" w:cs="宋体"/>
          <w:color w:val="auto"/>
          <w:szCs w:val="44"/>
          <w:highlight w:val="none"/>
        </w:rPr>
        <w:br w:type="page"/>
      </w:r>
    </w:p>
    <w:bookmarkEnd w:id="70"/>
    <w:p>
      <w:pPr>
        <w:pStyle w:val="13"/>
        <w:numPr>
          <w:ilvl w:val="0"/>
          <w:numId w:val="4"/>
        </w:numPr>
        <w:adjustRightInd w:val="0"/>
        <w:snapToGrid w:val="0"/>
        <w:spacing w:line="300" w:lineRule="auto"/>
        <w:rPr>
          <w:rFonts w:hAnsi="宋体" w:eastAsia="宋体" w:cs="宋体"/>
          <w:b/>
          <w:color w:val="auto"/>
          <w:sz w:val="28"/>
          <w:szCs w:val="28"/>
          <w:highlight w:val="none"/>
          <w:lang w:val="zh-CN"/>
        </w:rPr>
      </w:pPr>
      <w:r>
        <w:rPr>
          <w:rFonts w:hint="eastAsia" w:hAnsi="宋体" w:eastAsia="宋体" w:cs="宋体"/>
          <w:b/>
          <w:color w:val="auto"/>
          <w:sz w:val="28"/>
          <w:szCs w:val="28"/>
          <w:highlight w:val="none"/>
          <w:lang w:val="zh-CN"/>
        </w:rPr>
        <w:t>项目情况介绍</w:t>
      </w:r>
    </w:p>
    <w:p>
      <w:pPr>
        <w:tabs>
          <w:tab w:val="left" w:pos="270"/>
          <w:tab w:val="left" w:pos="4324"/>
          <w:tab w:val="left" w:pos="5062"/>
          <w:tab w:val="left" w:pos="5800"/>
          <w:tab w:val="left" w:pos="6645"/>
          <w:tab w:val="left" w:pos="8382"/>
        </w:tabs>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我司维修车间业务扩张，加热器数量不足，为提高维修效率，需采购2台柔性加热器及3台轴承加热器。</w:t>
      </w:r>
    </w:p>
    <w:p>
      <w:pPr>
        <w:pStyle w:val="13"/>
        <w:numPr>
          <w:ilvl w:val="0"/>
          <w:numId w:val="5"/>
        </w:numPr>
        <w:adjustRightInd w:val="0"/>
        <w:snapToGrid w:val="0"/>
        <w:spacing w:line="300" w:lineRule="auto"/>
        <w:rPr>
          <w:rFonts w:hAnsi="宋体" w:eastAsia="宋体" w:cs="宋体"/>
          <w:color w:val="auto"/>
          <w:sz w:val="28"/>
          <w:szCs w:val="28"/>
          <w:highlight w:val="none"/>
          <w:lang w:val="zh-CN"/>
        </w:rPr>
      </w:pPr>
      <w:r>
        <w:rPr>
          <w:rFonts w:hint="eastAsia" w:hAnsi="宋体" w:eastAsia="宋体" w:cs="宋体"/>
          <w:b/>
          <w:color w:val="auto"/>
          <w:sz w:val="28"/>
          <w:szCs w:val="28"/>
          <w:highlight w:val="none"/>
          <w:lang w:val="zh-CN"/>
        </w:rPr>
        <w:t>项目技术要求</w:t>
      </w:r>
    </w:p>
    <w:p>
      <w:pPr>
        <w:tabs>
          <w:tab w:val="left" w:pos="270"/>
          <w:tab w:val="left" w:pos="4324"/>
          <w:tab w:val="left" w:pos="5062"/>
          <w:tab w:val="left" w:pos="5800"/>
          <w:tab w:val="left" w:pos="6645"/>
          <w:tab w:val="left" w:pos="8382"/>
        </w:tabs>
        <w:adjustRightInd w:val="0"/>
        <w:snapToGrid w:val="0"/>
        <w:spacing w:line="360" w:lineRule="auto"/>
        <w:ind w:firstLine="480" w:firstLineChars="200"/>
        <w:rPr>
          <w:highlight w:val="none"/>
          <w:lang w:val="zh-CN"/>
        </w:rPr>
      </w:pPr>
      <w:r>
        <w:rPr>
          <w:rFonts w:hint="eastAsia" w:ascii="宋体" w:hAnsi="宋体" w:eastAsia="宋体" w:cs="宋体"/>
          <w:color w:val="auto"/>
          <w:sz w:val="24"/>
          <w:szCs w:val="24"/>
          <w:highlight w:val="none"/>
          <w:lang w:val="en-US" w:eastAsia="zh-CN"/>
        </w:rPr>
        <w:t>中选单位需按采购清单及需求参数的要求进行供货，货物必须符合国家法律法规规定的标准、行业标准；所有货物必须有原厂产品合格证并与送货之日移交至</w:t>
      </w:r>
      <w:r>
        <w:rPr>
          <w:rFonts w:hint="eastAsia" w:ascii="宋体" w:hAnsi="宋体" w:eastAsia="宋体" w:cs="宋体"/>
          <w:color w:val="auto"/>
          <w:sz w:val="24"/>
          <w:szCs w:val="24"/>
          <w:highlight w:val="none"/>
          <w:lang w:val="zh-CN" w:eastAsia="zh-CN"/>
        </w:rPr>
        <w:t>广州</w:t>
      </w:r>
      <w:r>
        <w:rPr>
          <w:rFonts w:hint="eastAsia" w:ascii="宋体" w:hAnsi="宋体" w:eastAsia="宋体" w:cs="宋体"/>
          <w:color w:val="auto"/>
          <w:sz w:val="24"/>
          <w:szCs w:val="24"/>
          <w:highlight w:val="none"/>
          <w:lang w:val="en-US" w:eastAsia="zh-CN"/>
        </w:rPr>
        <w:t>城市水处理设备</w:t>
      </w:r>
      <w:r>
        <w:rPr>
          <w:rFonts w:hint="eastAsia" w:ascii="宋体" w:hAnsi="宋体" w:eastAsia="宋体" w:cs="宋体"/>
          <w:color w:val="auto"/>
          <w:sz w:val="24"/>
          <w:szCs w:val="24"/>
          <w:highlight w:val="none"/>
          <w:lang w:val="zh-CN" w:eastAsia="zh-CN"/>
        </w:rPr>
        <w:t>有限公司</w:t>
      </w:r>
      <w:r>
        <w:rPr>
          <w:rFonts w:hint="eastAsia" w:ascii="宋体" w:hAnsi="宋体" w:eastAsia="宋体" w:cs="宋体"/>
          <w:color w:val="auto"/>
          <w:sz w:val="24"/>
          <w:szCs w:val="24"/>
          <w:highlight w:val="none"/>
          <w:lang w:val="en-US" w:eastAsia="zh-CN"/>
        </w:rPr>
        <w:t xml:space="preserve">指定地点。所供货物必须为原厂全新产品，中选单位禁止向询价人提供二手产品、拆机件、翻新件。 </w:t>
      </w:r>
    </w:p>
    <w:p>
      <w:pPr>
        <w:tabs>
          <w:tab w:val="left" w:pos="270"/>
          <w:tab w:val="left" w:pos="4324"/>
          <w:tab w:val="left" w:pos="5062"/>
          <w:tab w:val="left" w:pos="5800"/>
          <w:tab w:val="left" w:pos="6645"/>
          <w:tab w:val="left" w:pos="8382"/>
        </w:tabs>
        <w:adjustRightInd w:val="0"/>
        <w:snapToGrid w:val="0"/>
        <w:spacing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1.采购清单：</w:t>
      </w:r>
    </w:p>
    <w:tbl>
      <w:tblPr>
        <w:tblStyle w:val="25"/>
        <w:tblpPr w:leftFromText="180" w:rightFromText="180" w:vertAnchor="text" w:horzAnchor="page" w:tblpX="1637" w:tblpY="297"/>
        <w:tblOverlap w:val="never"/>
        <w:tblW w:w="51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969"/>
        <w:gridCol w:w="1356"/>
        <w:gridCol w:w="1705"/>
        <w:gridCol w:w="1659"/>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460" w:type="dxa"/>
            <w:vAlign w:val="center"/>
          </w:tcPr>
          <w:p>
            <w:pPr>
              <w:pStyle w:val="1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8"/>
                <w:szCs w:val="28"/>
                <w:highlight w:val="none"/>
                <w:lang w:val="en-US" w:eastAsia="zh-CN"/>
              </w:rPr>
              <w:t>序号</w:t>
            </w:r>
          </w:p>
        </w:tc>
        <w:tc>
          <w:tcPr>
            <w:tcW w:w="1980" w:type="dxa"/>
            <w:vAlign w:val="center"/>
          </w:tcPr>
          <w:p>
            <w:pPr>
              <w:pStyle w:val="1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8"/>
                <w:szCs w:val="28"/>
                <w:highlight w:val="none"/>
                <w:lang w:val="en-US" w:eastAsia="zh-CN"/>
              </w:rPr>
              <w:t>设备名称</w:t>
            </w:r>
          </w:p>
        </w:tc>
        <w:tc>
          <w:tcPr>
            <w:tcW w:w="1362" w:type="dxa"/>
            <w:vAlign w:val="center"/>
          </w:tcPr>
          <w:p>
            <w:pPr>
              <w:pStyle w:val="1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8"/>
                <w:szCs w:val="28"/>
                <w:highlight w:val="none"/>
                <w:lang w:val="en-US" w:eastAsia="zh-CN"/>
              </w:rPr>
              <w:t>单位</w:t>
            </w:r>
          </w:p>
        </w:tc>
        <w:tc>
          <w:tcPr>
            <w:tcW w:w="1708" w:type="dxa"/>
            <w:vAlign w:val="center"/>
          </w:tcPr>
          <w:p>
            <w:pPr>
              <w:pStyle w:val="1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8"/>
                <w:szCs w:val="28"/>
                <w:highlight w:val="none"/>
                <w:lang w:val="en-US" w:eastAsia="zh-CN"/>
              </w:rPr>
              <w:t>工作功率/加热内孔径范围</w:t>
            </w:r>
          </w:p>
        </w:tc>
        <w:tc>
          <w:tcPr>
            <w:tcW w:w="1668" w:type="dxa"/>
            <w:vAlign w:val="center"/>
          </w:tcPr>
          <w:p>
            <w:pPr>
              <w:pStyle w:val="1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8"/>
                <w:szCs w:val="28"/>
                <w:highlight w:val="none"/>
                <w:lang w:val="en-US" w:eastAsia="zh-CN"/>
              </w:rPr>
              <w:t>数量</w:t>
            </w:r>
          </w:p>
        </w:tc>
        <w:tc>
          <w:tcPr>
            <w:tcW w:w="1833" w:type="dxa"/>
            <w:vAlign w:val="center"/>
          </w:tcPr>
          <w:p>
            <w:pPr>
              <w:pStyle w:val="1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8"/>
                <w:szCs w:val="28"/>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460" w:type="dxa"/>
            <w:vAlign w:val="center"/>
          </w:tcPr>
          <w:p>
            <w:pPr>
              <w:pStyle w:val="10"/>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8"/>
                <w:szCs w:val="28"/>
                <w:highlight w:val="none"/>
                <w:lang w:val="en-US" w:eastAsia="zh-CN"/>
              </w:rPr>
              <w:t>1</w:t>
            </w:r>
          </w:p>
        </w:tc>
        <w:tc>
          <w:tcPr>
            <w:tcW w:w="1980" w:type="dxa"/>
            <w:vAlign w:val="center"/>
          </w:tcPr>
          <w:p>
            <w:pPr>
              <w:pStyle w:val="10"/>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8"/>
                <w:szCs w:val="28"/>
                <w:highlight w:val="none"/>
                <w:lang w:val="en-US" w:eastAsia="zh-CN"/>
              </w:rPr>
              <w:t>柔性加热器</w:t>
            </w:r>
          </w:p>
        </w:tc>
        <w:tc>
          <w:tcPr>
            <w:tcW w:w="1362" w:type="dxa"/>
            <w:vAlign w:val="center"/>
          </w:tcPr>
          <w:p>
            <w:pPr>
              <w:pStyle w:val="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台</w:t>
            </w:r>
          </w:p>
        </w:tc>
        <w:tc>
          <w:tcPr>
            <w:tcW w:w="1708" w:type="dxa"/>
            <w:vAlign w:val="center"/>
          </w:tcPr>
          <w:p>
            <w:pPr>
              <w:pStyle w:val="1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5kW</w:t>
            </w:r>
          </w:p>
        </w:tc>
        <w:tc>
          <w:tcPr>
            <w:tcW w:w="1668" w:type="dxa"/>
            <w:vAlign w:val="center"/>
          </w:tcPr>
          <w:p>
            <w:pPr>
              <w:pStyle w:val="1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1</w:t>
            </w:r>
          </w:p>
        </w:tc>
        <w:tc>
          <w:tcPr>
            <w:tcW w:w="1833" w:type="dxa"/>
            <w:vAlign w:val="center"/>
          </w:tcPr>
          <w:p>
            <w:pPr>
              <w:pStyle w:val="10"/>
              <w:ind w:firstLine="480" w:firstLineChars="200"/>
              <w:jc w:val="center"/>
              <w:rPr>
                <w:rFonts w:hint="default"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60" w:type="dxa"/>
            <w:vAlign w:val="center"/>
          </w:tcPr>
          <w:p>
            <w:pPr>
              <w:pStyle w:val="1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2</w:t>
            </w:r>
          </w:p>
        </w:tc>
        <w:tc>
          <w:tcPr>
            <w:tcW w:w="1980" w:type="dxa"/>
            <w:vAlign w:val="center"/>
          </w:tcPr>
          <w:p>
            <w:pPr>
              <w:pStyle w:val="10"/>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8"/>
                <w:szCs w:val="28"/>
                <w:highlight w:val="none"/>
                <w:lang w:val="en-US" w:eastAsia="zh-CN"/>
              </w:rPr>
              <w:t>柔性加热器</w:t>
            </w:r>
          </w:p>
        </w:tc>
        <w:tc>
          <w:tcPr>
            <w:tcW w:w="1362" w:type="dxa"/>
            <w:vAlign w:val="center"/>
          </w:tcPr>
          <w:p>
            <w:pPr>
              <w:pStyle w:val="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台</w:t>
            </w:r>
          </w:p>
        </w:tc>
        <w:tc>
          <w:tcPr>
            <w:tcW w:w="1708" w:type="dxa"/>
            <w:vAlign w:val="center"/>
          </w:tcPr>
          <w:p>
            <w:pPr>
              <w:pStyle w:val="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12kW</w:t>
            </w:r>
          </w:p>
        </w:tc>
        <w:tc>
          <w:tcPr>
            <w:tcW w:w="1668" w:type="dxa"/>
            <w:vAlign w:val="center"/>
          </w:tcPr>
          <w:p>
            <w:pPr>
              <w:pStyle w:val="1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1</w:t>
            </w:r>
          </w:p>
        </w:tc>
        <w:tc>
          <w:tcPr>
            <w:tcW w:w="1833" w:type="dxa"/>
            <w:vAlign w:val="center"/>
          </w:tcPr>
          <w:p>
            <w:pPr>
              <w:pStyle w:val="10"/>
              <w:ind w:firstLine="480" w:firstLineChars="200"/>
              <w:jc w:val="center"/>
              <w:rPr>
                <w:rFonts w:hint="default"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60" w:type="dxa"/>
            <w:vAlign w:val="center"/>
          </w:tcPr>
          <w:p>
            <w:pPr>
              <w:pStyle w:val="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3</w:t>
            </w:r>
          </w:p>
        </w:tc>
        <w:tc>
          <w:tcPr>
            <w:tcW w:w="1980" w:type="dxa"/>
            <w:vAlign w:val="center"/>
          </w:tcPr>
          <w:p>
            <w:pPr>
              <w:pStyle w:val="1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轴承加热器</w:t>
            </w:r>
          </w:p>
        </w:tc>
        <w:tc>
          <w:tcPr>
            <w:tcW w:w="1362" w:type="dxa"/>
            <w:vAlign w:val="center"/>
          </w:tcPr>
          <w:p>
            <w:pPr>
              <w:pStyle w:val="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台</w:t>
            </w:r>
          </w:p>
        </w:tc>
        <w:tc>
          <w:tcPr>
            <w:tcW w:w="1708" w:type="dxa"/>
            <w:vAlign w:val="center"/>
          </w:tcPr>
          <w:p>
            <w:pPr>
              <w:pStyle w:val="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轴承内孔径范围：20-120mm</w:t>
            </w:r>
          </w:p>
        </w:tc>
        <w:tc>
          <w:tcPr>
            <w:tcW w:w="1668" w:type="dxa"/>
            <w:vAlign w:val="center"/>
          </w:tcPr>
          <w:p>
            <w:pPr>
              <w:pStyle w:val="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1</w:t>
            </w:r>
          </w:p>
        </w:tc>
        <w:tc>
          <w:tcPr>
            <w:tcW w:w="1833" w:type="dxa"/>
            <w:vAlign w:val="center"/>
          </w:tcPr>
          <w:p>
            <w:pPr>
              <w:pStyle w:val="10"/>
              <w:ind w:firstLine="480" w:firstLineChars="200"/>
              <w:jc w:val="center"/>
              <w:rPr>
                <w:rFonts w:hint="default"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60" w:type="dxa"/>
            <w:vAlign w:val="center"/>
          </w:tcPr>
          <w:p>
            <w:pPr>
              <w:pStyle w:val="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4</w:t>
            </w:r>
          </w:p>
        </w:tc>
        <w:tc>
          <w:tcPr>
            <w:tcW w:w="1980" w:type="dxa"/>
            <w:vAlign w:val="center"/>
          </w:tcPr>
          <w:p>
            <w:pPr>
              <w:pStyle w:val="1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轴承加热器</w:t>
            </w:r>
          </w:p>
        </w:tc>
        <w:tc>
          <w:tcPr>
            <w:tcW w:w="1362" w:type="dxa"/>
            <w:vAlign w:val="center"/>
          </w:tcPr>
          <w:p>
            <w:pPr>
              <w:pStyle w:val="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台</w:t>
            </w:r>
          </w:p>
        </w:tc>
        <w:tc>
          <w:tcPr>
            <w:tcW w:w="1708" w:type="dxa"/>
            <w:vAlign w:val="center"/>
          </w:tcPr>
          <w:p>
            <w:pPr>
              <w:pStyle w:val="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轴承内孔径范围：20-400mm</w:t>
            </w:r>
          </w:p>
        </w:tc>
        <w:tc>
          <w:tcPr>
            <w:tcW w:w="1668" w:type="dxa"/>
            <w:vAlign w:val="center"/>
          </w:tcPr>
          <w:p>
            <w:pPr>
              <w:pStyle w:val="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1</w:t>
            </w:r>
          </w:p>
        </w:tc>
        <w:tc>
          <w:tcPr>
            <w:tcW w:w="1833" w:type="dxa"/>
            <w:vAlign w:val="center"/>
          </w:tcPr>
          <w:p>
            <w:pPr>
              <w:pStyle w:val="10"/>
              <w:ind w:firstLine="480" w:firstLineChars="200"/>
              <w:jc w:val="center"/>
              <w:rPr>
                <w:rFonts w:hint="default"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460" w:type="dxa"/>
            <w:vAlign w:val="center"/>
          </w:tcPr>
          <w:p>
            <w:pPr>
              <w:pStyle w:val="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5</w:t>
            </w:r>
          </w:p>
        </w:tc>
        <w:tc>
          <w:tcPr>
            <w:tcW w:w="1980" w:type="dxa"/>
            <w:vAlign w:val="center"/>
          </w:tcPr>
          <w:p>
            <w:pPr>
              <w:pStyle w:val="1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轴承加热器</w:t>
            </w:r>
          </w:p>
        </w:tc>
        <w:tc>
          <w:tcPr>
            <w:tcW w:w="1362" w:type="dxa"/>
            <w:vAlign w:val="center"/>
          </w:tcPr>
          <w:p>
            <w:pPr>
              <w:pStyle w:val="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台</w:t>
            </w:r>
          </w:p>
        </w:tc>
        <w:tc>
          <w:tcPr>
            <w:tcW w:w="1708" w:type="dxa"/>
            <w:vAlign w:val="center"/>
          </w:tcPr>
          <w:p>
            <w:pPr>
              <w:pStyle w:val="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轴承内孔径范围：40-500mm</w:t>
            </w:r>
          </w:p>
        </w:tc>
        <w:tc>
          <w:tcPr>
            <w:tcW w:w="1668" w:type="dxa"/>
            <w:vAlign w:val="center"/>
          </w:tcPr>
          <w:p>
            <w:pPr>
              <w:pStyle w:val="1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1</w:t>
            </w:r>
          </w:p>
        </w:tc>
        <w:tc>
          <w:tcPr>
            <w:tcW w:w="1833" w:type="dxa"/>
            <w:vAlign w:val="center"/>
          </w:tcPr>
          <w:p>
            <w:pPr>
              <w:pStyle w:val="10"/>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8"/>
                <w:szCs w:val="28"/>
                <w:highlight w:val="none"/>
                <w:lang w:val="en-US" w:eastAsia="zh-CN"/>
              </w:rPr>
              <w:t>手推车一体式</w:t>
            </w:r>
          </w:p>
        </w:tc>
      </w:tr>
    </w:tbl>
    <w:p>
      <w:pPr>
        <w:adjustRightInd w:val="0"/>
        <w:snapToGrid w:val="0"/>
        <w:spacing w:line="360" w:lineRule="auto"/>
        <w:ind w:firstLine="560" w:firstLineChars="200"/>
        <w:rPr>
          <w:rFonts w:hint="eastAsia" w:ascii="仿宋" w:hAnsi="仿宋" w:eastAsia="仿宋" w:cs="仿宋"/>
          <w:kern w:val="0"/>
          <w:sz w:val="28"/>
          <w:szCs w:val="28"/>
          <w:highlight w:val="none"/>
          <w:lang w:val="en-US" w:eastAsia="zh-CN"/>
        </w:rPr>
      </w:pPr>
    </w:p>
    <w:p>
      <w:pPr>
        <w:tabs>
          <w:tab w:val="left" w:pos="270"/>
          <w:tab w:val="left" w:pos="4324"/>
          <w:tab w:val="left" w:pos="5062"/>
          <w:tab w:val="left" w:pos="5800"/>
          <w:tab w:val="left" w:pos="6645"/>
          <w:tab w:val="left" w:pos="8382"/>
        </w:tabs>
        <w:adjustRightInd w:val="0"/>
        <w:snapToGrid w:val="0"/>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2.需求参数：（注：报价的设备参数须完全满足以下的设备参数要求，报价时须提供参数响应承诺书）</w:t>
      </w:r>
    </w:p>
    <w:p>
      <w:pPr>
        <w:adjustRightInd w:val="0"/>
        <w:snapToGrid w:val="0"/>
        <w:spacing w:line="360" w:lineRule="auto"/>
        <w:ind w:firstLine="960" w:firstLineChars="400"/>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2.1柔性加热器（12kW）：</w:t>
      </w:r>
    </w:p>
    <w:p>
      <w:pPr>
        <w:adjustRightInd w:val="0"/>
        <w:snapToGrid w:val="0"/>
        <w:spacing w:line="360" w:lineRule="auto"/>
        <w:ind w:firstLine="1200" w:firstLineChars="5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2.1.1使用需求：</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（1）工件类型：轴承内圈、联轴器；</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（2）加热作用：加热后，拆卸。</w:t>
      </w:r>
    </w:p>
    <w:p>
      <w:pPr>
        <w:adjustRightInd w:val="0"/>
        <w:snapToGrid w:val="0"/>
        <w:spacing w:line="360" w:lineRule="auto"/>
        <w:ind w:firstLine="1200" w:firstLineChars="5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2.1.2工件信息：</w:t>
      </w:r>
    </w:p>
    <w:tbl>
      <w:tblPr>
        <w:tblStyle w:val="25"/>
        <w:tblW w:w="9405"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320"/>
        <w:gridCol w:w="1305"/>
        <w:gridCol w:w="1260"/>
        <w:gridCol w:w="1320"/>
        <w:gridCol w:w="1395"/>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adjustRightInd w:val="0"/>
              <w:snapToGrid w:val="0"/>
              <w:spacing w:line="360" w:lineRule="auto"/>
              <w:jc w:val="center"/>
              <w:rPr>
                <w:rFonts w:hint="default"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工件类型</w:t>
            </w:r>
          </w:p>
        </w:tc>
        <w:tc>
          <w:tcPr>
            <w:tcW w:w="1320" w:type="dxa"/>
          </w:tcPr>
          <w:p>
            <w:pPr>
              <w:adjustRightInd w:val="0"/>
              <w:snapToGrid w:val="0"/>
              <w:spacing w:line="360" w:lineRule="auto"/>
              <w:jc w:val="center"/>
              <w:rPr>
                <w:rFonts w:hint="default"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最小外径</w:t>
            </w:r>
          </w:p>
        </w:tc>
        <w:tc>
          <w:tcPr>
            <w:tcW w:w="1305" w:type="dxa"/>
          </w:tcPr>
          <w:p>
            <w:pPr>
              <w:adjustRightInd w:val="0"/>
              <w:snapToGrid w:val="0"/>
              <w:spacing w:line="360" w:lineRule="auto"/>
              <w:jc w:val="center"/>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最大外径</w:t>
            </w:r>
          </w:p>
        </w:tc>
        <w:tc>
          <w:tcPr>
            <w:tcW w:w="1260" w:type="dxa"/>
          </w:tcPr>
          <w:p>
            <w:pPr>
              <w:adjustRightInd w:val="0"/>
              <w:snapToGrid w:val="0"/>
              <w:spacing w:line="360" w:lineRule="auto"/>
              <w:jc w:val="center"/>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最小宽度</w:t>
            </w:r>
          </w:p>
        </w:tc>
        <w:tc>
          <w:tcPr>
            <w:tcW w:w="1320" w:type="dxa"/>
          </w:tcPr>
          <w:p>
            <w:pPr>
              <w:adjustRightInd w:val="0"/>
              <w:snapToGrid w:val="0"/>
              <w:spacing w:line="360" w:lineRule="auto"/>
              <w:jc w:val="center"/>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最大宽度</w:t>
            </w:r>
          </w:p>
        </w:tc>
        <w:tc>
          <w:tcPr>
            <w:tcW w:w="1395" w:type="dxa"/>
          </w:tcPr>
          <w:p>
            <w:pPr>
              <w:adjustRightInd w:val="0"/>
              <w:snapToGrid w:val="0"/>
              <w:spacing w:line="360" w:lineRule="auto"/>
              <w:jc w:val="center"/>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最小壁厚</w:t>
            </w:r>
          </w:p>
        </w:tc>
        <w:tc>
          <w:tcPr>
            <w:tcW w:w="1530" w:type="dxa"/>
          </w:tcPr>
          <w:p>
            <w:pPr>
              <w:adjustRightInd w:val="0"/>
              <w:snapToGrid w:val="0"/>
              <w:spacing w:line="360" w:lineRule="auto"/>
              <w:jc w:val="center"/>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最大壁厚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轴承内圈</w:t>
            </w:r>
          </w:p>
        </w:tc>
        <w:tc>
          <w:tcPr>
            <w:tcW w:w="1320"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55</w:t>
            </w:r>
          </w:p>
        </w:tc>
        <w:tc>
          <w:tcPr>
            <w:tcW w:w="1305"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100</w:t>
            </w:r>
          </w:p>
        </w:tc>
        <w:tc>
          <w:tcPr>
            <w:tcW w:w="1260"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25</w:t>
            </w:r>
          </w:p>
        </w:tc>
        <w:tc>
          <w:tcPr>
            <w:tcW w:w="1320"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50</w:t>
            </w:r>
          </w:p>
        </w:tc>
        <w:tc>
          <w:tcPr>
            <w:tcW w:w="1395"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w:t>
            </w:r>
          </w:p>
        </w:tc>
        <w:tc>
          <w:tcPr>
            <w:tcW w:w="1530"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联轴器</w:t>
            </w:r>
          </w:p>
        </w:tc>
        <w:tc>
          <w:tcPr>
            <w:tcW w:w="1320"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65</w:t>
            </w:r>
          </w:p>
        </w:tc>
        <w:tc>
          <w:tcPr>
            <w:tcW w:w="1305"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100</w:t>
            </w:r>
          </w:p>
        </w:tc>
        <w:tc>
          <w:tcPr>
            <w:tcW w:w="1260"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w:t>
            </w:r>
          </w:p>
        </w:tc>
        <w:tc>
          <w:tcPr>
            <w:tcW w:w="1320"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90</w:t>
            </w:r>
          </w:p>
        </w:tc>
        <w:tc>
          <w:tcPr>
            <w:tcW w:w="1395"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w:t>
            </w:r>
          </w:p>
        </w:tc>
        <w:tc>
          <w:tcPr>
            <w:tcW w:w="1530"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w:t>
            </w:r>
          </w:p>
        </w:tc>
      </w:tr>
    </w:tbl>
    <w:p>
      <w:pPr>
        <w:adjustRightInd w:val="0"/>
        <w:snapToGrid w:val="0"/>
        <w:spacing w:line="360" w:lineRule="auto"/>
        <w:ind w:firstLine="1200" w:firstLineChars="500"/>
        <w:rPr>
          <w:rFonts w:hint="eastAsia" w:ascii="宋体" w:hAnsi="宋体" w:eastAsia="宋体" w:cs="宋体"/>
          <w:kern w:val="0"/>
          <w:sz w:val="24"/>
          <w:szCs w:val="24"/>
          <w:highlight w:val="none"/>
          <w:lang w:val="en-US" w:eastAsia="zh-CN"/>
        </w:rPr>
      </w:pPr>
    </w:p>
    <w:p>
      <w:pPr>
        <w:adjustRightInd w:val="0"/>
        <w:snapToGrid w:val="0"/>
        <w:spacing w:line="360" w:lineRule="auto"/>
        <w:ind w:firstLine="1200" w:firstLineChars="5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2.1.3技术参数：</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（1）采购的加热器为中频加热器，采用IGBT 和全空冷式感应加热。</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（2）参数配置表：</w:t>
      </w:r>
    </w:p>
    <w:p>
      <w:pPr>
        <w:pStyle w:val="2"/>
        <w:rPr>
          <w:rFonts w:hint="eastAsia"/>
          <w:highlight w:val="none"/>
          <w:lang w:val="en-US" w:eastAsia="zh-CN"/>
        </w:rPr>
      </w:pPr>
    </w:p>
    <w:tbl>
      <w:tblPr>
        <w:tblStyle w:val="25"/>
        <w:tblW w:w="9420" w:type="dxa"/>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1"/>
        <w:gridCol w:w="2823"/>
        <w:gridCol w:w="3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项目</w:t>
            </w:r>
          </w:p>
        </w:tc>
        <w:tc>
          <w:tcPr>
            <w:tcW w:w="2823"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指标</w:t>
            </w:r>
          </w:p>
        </w:tc>
        <w:tc>
          <w:tcPr>
            <w:tcW w:w="3616"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功率</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12kW</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电流</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20A</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加热温度</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0-240摄氏度</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输出功率可调节范围</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10-100%</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输出频率可调节范围</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10kHz-35kHz</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输出频率跟踪</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自动</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闭环控制精度</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效率</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≧95%</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包括输出隔离变压器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功率因数</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≧0.85</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输入电压</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380VAC 三相</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输入电压允许波动范围</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+20%, -30%</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0-100%负载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输入频率允许波动范围</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0-100%负载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过载能力</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1.10 倍额定，1 分钟</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柜体防护等级</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IP20</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bl>
    <w:p>
      <w:pPr>
        <w:adjustRightInd w:val="0"/>
        <w:snapToGrid w:val="0"/>
        <w:spacing w:line="360" w:lineRule="auto"/>
        <w:rPr>
          <w:rFonts w:hint="eastAsia" w:ascii="宋体" w:hAnsi="宋体" w:eastAsia="宋体" w:cs="宋体"/>
          <w:kern w:val="0"/>
          <w:sz w:val="24"/>
          <w:szCs w:val="24"/>
          <w:highlight w:val="none"/>
          <w:lang w:val="en-US" w:eastAsia="zh-CN"/>
        </w:rPr>
      </w:pPr>
    </w:p>
    <w:p>
      <w:pPr>
        <w:adjustRightInd w:val="0"/>
        <w:snapToGrid w:val="0"/>
        <w:spacing w:line="360" w:lineRule="auto"/>
        <w:ind w:firstLine="960" w:firstLineChars="400"/>
        <w:rPr>
          <w:rFonts w:hint="eastAsia" w:ascii="宋体" w:hAnsi="宋体" w:eastAsia="宋体" w:cs="宋体"/>
          <w:kern w:val="0"/>
          <w:sz w:val="24"/>
          <w:szCs w:val="24"/>
          <w:highlight w:val="none"/>
          <w:lang w:val="en-US" w:eastAsia="zh-CN"/>
        </w:rPr>
      </w:pPr>
      <w:r>
        <w:rPr>
          <w:rFonts w:hint="eastAsia" w:ascii="宋体" w:hAnsi="宋体" w:eastAsia="宋体" w:cs="宋体"/>
          <w:b/>
          <w:bCs/>
          <w:kern w:val="0"/>
          <w:sz w:val="24"/>
          <w:szCs w:val="24"/>
          <w:highlight w:val="none"/>
          <w:lang w:val="en-US" w:eastAsia="zh-CN"/>
        </w:rPr>
        <w:t>2.2柔性加热器（5kW）：</w:t>
      </w:r>
    </w:p>
    <w:p>
      <w:pPr>
        <w:adjustRightInd w:val="0"/>
        <w:snapToGrid w:val="0"/>
        <w:spacing w:line="360" w:lineRule="auto"/>
        <w:ind w:firstLine="1200" w:firstLineChars="5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2.2.1使用需求：</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工件类型：轴承内圈。</w:t>
      </w:r>
    </w:p>
    <w:p>
      <w:pPr>
        <w:adjustRightInd w:val="0"/>
        <w:snapToGrid w:val="0"/>
        <w:spacing w:line="360" w:lineRule="auto"/>
        <w:ind w:firstLine="1200" w:firstLineChars="5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2.2.2工件信息：</w:t>
      </w:r>
    </w:p>
    <w:tbl>
      <w:tblPr>
        <w:tblStyle w:val="25"/>
        <w:tblW w:w="9405"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40"/>
        <w:gridCol w:w="2460"/>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轴承内圈</w:t>
            </w:r>
          </w:p>
        </w:tc>
        <w:tc>
          <w:tcPr>
            <w:tcW w:w="2040"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轴承内圈宽度</w:t>
            </w:r>
          </w:p>
        </w:tc>
        <w:tc>
          <w:tcPr>
            <w:tcW w:w="2460"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轴承内圈外径</w:t>
            </w:r>
          </w:p>
        </w:tc>
        <w:tc>
          <w:tcPr>
            <w:tcW w:w="2430"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轴承内圈重量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≧20mm</w:t>
            </w:r>
          </w:p>
        </w:tc>
        <w:tc>
          <w:tcPr>
            <w:tcW w:w="2040"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≧20mm</w:t>
            </w:r>
          </w:p>
        </w:tc>
        <w:tc>
          <w:tcPr>
            <w:tcW w:w="2460"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≦150mm</w:t>
            </w:r>
          </w:p>
        </w:tc>
        <w:tc>
          <w:tcPr>
            <w:tcW w:w="2430"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≦3KG</w:t>
            </w:r>
          </w:p>
        </w:tc>
      </w:tr>
    </w:tbl>
    <w:p>
      <w:pPr>
        <w:adjustRightInd w:val="0"/>
        <w:snapToGrid w:val="0"/>
        <w:spacing w:line="360" w:lineRule="auto"/>
        <w:rPr>
          <w:rFonts w:hint="eastAsia" w:ascii="宋体" w:hAnsi="宋体" w:eastAsia="宋体" w:cs="宋体"/>
          <w:kern w:val="0"/>
          <w:sz w:val="24"/>
          <w:szCs w:val="24"/>
          <w:highlight w:val="none"/>
          <w:lang w:val="en-US" w:eastAsia="zh-CN"/>
        </w:rPr>
      </w:pPr>
    </w:p>
    <w:p>
      <w:pPr>
        <w:adjustRightInd w:val="0"/>
        <w:snapToGrid w:val="0"/>
        <w:spacing w:line="360" w:lineRule="auto"/>
        <w:ind w:firstLine="1200" w:firstLineChars="5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2.2.3技术参数：</w:t>
      </w:r>
    </w:p>
    <w:tbl>
      <w:tblPr>
        <w:tblStyle w:val="25"/>
        <w:tblW w:w="94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6"/>
        <w:gridCol w:w="2823"/>
        <w:gridCol w:w="3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项目</w:t>
            </w:r>
          </w:p>
        </w:tc>
        <w:tc>
          <w:tcPr>
            <w:tcW w:w="2823"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指标</w:t>
            </w:r>
          </w:p>
        </w:tc>
        <w:tc>
          <w:tcPr>
            <w:tcW w:w="3631"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输出功率可调范围</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1-5kW</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输出频率可调节范围</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10kHz-35kHz</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输出频率跟踪</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自动</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闭环控制精度</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效率</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≧95%</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包括输出隔离变压器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功率因数</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≧0.85</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输入电压</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220VAC 单相</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输入电压允许波动范围</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+20%, -30%</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0-100%负载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输入频率允许波动范围</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0-100%负载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过载能力</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1.10 倍额定，1 分钟</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柜体防护等级</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IP20</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bl>
    <w:p>
      <w:pPr>
        <w:adjustRightInd w:val="0"/>
        <w:snapToGrid w:val="0"/>
        <w:spacing w:line="360" w:lineRule="auto"/>
        <w:ind w:firstLine="960" w:firstLineChars="400"/>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2.3柔性加热器设备要求:</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（1）系统的IGBT 逆变以及输出隔离变压器均采用空冷结构；</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（2）设备需采用DSP 中央处理器；</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（3）系统采用ZCS 电路实现高频低损耗IGBT 逆变，在DSP 的控制下，能快速精准地跟踪负载的变化，及时调整逆变频率和相位；</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（4）高频跟踪逆变的稳定性较强，具备有短路保护和欠压保护功能；</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（5）具备谐振频率自动准确跟踪功能，保证系统始终工作在最佳工作点附近；</w:t>
      </w:r>
    </w:p>
    <w:p>
      <w:pPr>
        <w:adjustRightInd w:val="0"/>
        <w:snapToGrid w:val="0"/>
        <w:spacing w:line="360" w:lineRule="auto"/>
        <w:ind w:firstLine="480" w:firstLineChars="200"/>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en-US" w:eastAsia="zh-CN"/>
        </w:rPr>
        <w:t>（6）内置PID 程序，适合温度闭环运行，能实现升温及降温速度控制。内置绝缘电阻在线监测功能，可在运行时实时测量输出回路的绝缘电阻（包括感应器/感应电缆、延长电缆/），可显示绝缘电阻值（例如8.2MΩ），可设置绝缘电阻报警/保护值，可在复杂的现场环境下提供高安全保障；</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（7）装置具有短路、过载、过压、过温保护和限制功能，具有变压器状态检测。其中过流和过压均具有硬件和软件双重保护；</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（8）具有本地控制、有线控制、PC机控制，三种启停和操控方法，同时具有多个输入输出状态接口，满足PLC、电脑等远程控制或集中控制的需要；</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（9）具有阻抗自动切换功能：可实现居里点前、后阻抗自动切换，以保持电源始终以高功率输出。借助此功能，可以选择较小功率的电源实现过居里温度点加热；</w:t>
      </w:r>
    </w:p>
    <w:p>
      <w:pPr>
        <w:adjustRightInd w:val="0"/>
        <w:snapToGrid w:val="0"/>
        <w:spacing w:line="360" w:lineRule="auto"/>
        <w:ind w:firstLine="360" w:firstLineChars="100"/>
        <w:rPr>
          <w:rFonts w:hint="eastAsia" w:ascii="宋体" w:hAnsi="宋体" w:eastAsia="宋体" w:cs="宋体"/>
          <w:kern w:val="0"/>
          <w:sz w:val="24"/>
          <w:szCs w:val="24"/>
          <w:highlight w:val="none"/>
          <w:lang w:val="en-US" w:eastAsia="zh-CN"/>
        </w:rPr>
      </w:pPr>
      <w:r>
        <w:rPr>
          <w:rFonts w:hint="eastAsia" w:ascii="宋体" w:hAnsi="宋体" w:eastAsia="宋体" w:cs="宋体"/>
          <w:b/>
          <w:bCs/>
          <w:kern w:val="0"/>
          <w:sz w:val="36"/>
          <w:szCs w:val="36"/>
          <w:highlight w:val="none"/>
          <w:lang w:val="en-US" w:eastAsia="zh-CN"/>
        </w:rPr>
        <w:t>*</w:t>
      </w:r>
      <w:r>
        <w:rPr>
          <w:rFonts w:hint="eastAsia" w:ascii="宋体" w:hAnsi="宋体" w:eastAsia="宋体" w:cs="宋体"/>
          <w:kern w:val="0"/>
          <w:sz w:val="24"/>
          <w:szCs w:val="24"/>
          <w:highlight w:val="none"/>
          <w:lang w:val="en-US" w:eastAsia="zh-CN"/>
        </w:rPr>
        <w:t>（10）加热器经过加热、消磁工序后，残磁值应满足JB/T 6641-2017滚动轴承 残磁及其评定方法的标准要求；（须提供第三方单位的产品CMA检验报告复印件，并加盖报价单位公章）</w:t>
      </w:r>
    </w:p>
    <w:p>
      <w:pPr>
        <w:adjustRightInd w:val="0"/>
        <w:snapToGrid w:val="0"/>
        <w:spacing w:line="360" w:lineRule="auto"/>
        <w:ind w:firstLine="960" w:firstLineChars="400"/>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2.4轴承加热器（轴承内孔径范围：20-120mm）</w:t>
      </w:r>
    </w:p>
    <w:p>
      <w:pPr>
        <w:adjustRightInd w:val="0"/>
        <w:snapToGrid w:val="0"/>
        <w:spacing w:line="360" w:lineRule="auto"/>
        <w:ind w:firstLine="1200" w:firstLineChars="5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2.4.1基本参数：</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rPr>
                <w:rFonts w:hAnsi="仿宋_GB2312" w:cs="仿宋_GB2312"/>
                <w:bCs/>
                <w:highlight w:val="none"/>
              </w:rPr>
            </w:pPr>
            <w:r>
              <w:rPr>
                <w:rFonts w:hint="eastAsia" w:cs="MicrosoftYaHei" w:hAnsiTheme="minorHAnsi"/>
                <w:kern w:val="0"/>
                <w:highlight w:val="none"/>
              </w:rPr>
              <w:t>电压/频率</w:t>
            </w:r>
          </w:p>
        </w:tc>
        <w:tc>
          <w:tcPr>
            <w:tcW w:w="2841" w:type="dxa"/>
            <w:vAlign w:val="center"/>
          </w:tcPr>
          <w:p>
            <w:pPr>
              <w:rPr>
                <w:rFonts w:hAnsi="仿宋_GB2312" w:cs="仿宋_GB2312"/>
                <w:bCs/>
                <w:highlight w:val="none"/>
              </w:rPr>
            </w:pPr>
            <w:r>
              <w:rPr>
                <w:rFonts w:hint="eastAsia" w:cs="MicrosoftYaHei" w:hAnsiTheme="minorHAnsi"/>
                <w:kern w:val="0"/>
                <w:highlight w:val="none"/>
              </w:rPr>
              <w:t>220V/50-60HZ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rPr>
                <w:rFonts w:hAnsi="仿宋_GB2312" w:cs="仿宋_GB2312"/>
                <w:bCs/>
                <w:highlight w:val="none"/>
              </w:rPr>
            </w:pPr>
            <w:r>
              <w:rPr>
                <w:rFonts w:hint="eastAsia" w:cs="MicrosoftYaHei" w:hAnsiTheme="minorHAnsi"/>
                <w:kern w:val="0"/>
                <w:highlight w:val="none"/>
              </w:rPr>
              <w:t>功率</w:t>
            </w:r>
          </w:p>
        </w:tc>
        <w:tc>
          <w:tcPr>
            <w:tcW w:w="2841" w:type="dxa"/>
            <w:vAlign w:val="center"/>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3.6KVA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rPr>
                <w:rFonts w:hAnsi="仿宋_GB2312" w:cs="仿宋_GB2312"/>
                <w:bCs/>
                <w:highlight w:val="none"/>
              </w:rPr>
            </w:pPr>
            <w:r>
              <w:rPr>
                <w:rFonts w:hint="eastAsia" w:cs="MicrosoftYaHei" w:hAnsiTheme="minorHAnsi"/>
                <w:kern w:val="0"/>
                <w:highlight w:val="none"/>
              </w:rPr>
              <w:t>加热轴承内径范围</w:t>
            </w:r>
          </w:p>
        </w:tc>
        <w:tc>
          <w:tcPr>
            <w:tcW w:w="2841" w:type="dxa"/>
            <w:vAlign w:val="center"/>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20-120mm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rPr>
                <w:rFonts w:hAnsi="仿宋_GB2312" w:cs="仿宋_GB2312"/>
                <w:bCs/>
                <w:highlight w:val="none"/>
              </w:rPr>
            </w:pPr>
            <w:r>
              <w:rPr>
                <w:rFonts w:hint="eastAsia" w:cs="MicrosoftYaHei" w:hAnsiTheme="minorHAnsi"/>
                <w:kern w:val="0"/>
                <w:highlight w:val="none"/>
              </w:rPr>
              <w:t>加热轴承最大外径</w:t>
            </w:r>
          </w:p>
        </w:tc>
        <w:tc>
          <w:tcPr>
            <w:tcW w:w="2841" w:type="dxa"/>
            <w:vAlign w:val="center"/>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480mm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rPr>
                <w:rFonts w:hAnsi="仿宋_GB2312" w:cs="仿宋_GB2312"/>
                <w:bCs/>
                <w:highlight w:val="none"/>
              </w:rPr>
            </w:pPr>
            <w:r>
              <w:rPr>
                <w:rFonts w:hint="eastAsia" w:cs="MicrosoftYaHei" w:hAnsiTheme="minorHAnsi"/>
                <w:kern w:val="0"/>
                <w:highlight w:val="none"/>
              </w:rPr>
              <w:t>加热轴承最大宽度（悬挂/水平）</w:t>
            </w:r>
          </w:p>
        </w:tc>
        <w:tc>
          <w:tcPr>
            <w:tcW w:w="2841" w:type="dxa"/>
            <w:vAlign w:val="center"/>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115mm/175mm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rPr>
                <w:rFonts w:hAnsi="仿宋_GB2312" w:cs="仿宋_GB2312"/>
                <w:bCs/>
                <w:highlight w:val="none"/>
              </w:rPr>
            </w:pPr>
            <w:r>
              <w:rPr>
                <w:rFonts w:hint="eastAsia" w:cs="MicrosoftYaHei" w:hAnsiTheme="minorHAnsi"/>
                <w:kern w:val="0"/>
                <w:highlight w:val="none"/>
              </w:rPr>
              <w:t>加热轴承最大重量</w:t>
            </w:r>
          </w:p>
        </w:tc>
        <w:tc>
          <w:tcPr>
            <w:tcW w:w="2841" w:type="dxa"/>
            <w:vAlign w:val="center"/>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50KG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rPr>
                <w:rFonts w:hAnsi="仿宋_GB2312" w:cs="仿宋_GB2312"/>
                <w:bCs/>
                <w:highlight w:val="none"/>
              </w:rPr>
            </w:pPr>
            <w:r>
              <w:rPr>
                <w:rFonts w:hint="eastAsia" w:cs="MicrosoftYaHei" w:hAnsiTheme="minorHAnsi"/>
                <w:kern w:val="0"/>
                <w:highlight w:val="none"/>
              </w:rPr>
              <w:t>加热最高温度</w:t>
            </w:r>
          </w:p>
        </w:tc>
        <w:tc>
          <w:tcPr>
            <w:tcW w:w="2841" w:type="dxa"/>
            <w:vAlign w:val="center"/>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rPr>
                <w:rFonts w:hAnsi="仿宋_GB2312" w:cs="仿宋_GB2312"/>
                <w:bCs/>
                <w:highlight w:val="none"/>
              </w:rPr>
            </w:pPr>
            <w:r>
              <w:rPr>
                <w:rFonts w:hint="eastAsia" w:cs="MicrosoftYaHei-Bold" w:hAnsiTheme="minorHAnsi"/>
                <w:kern w:val="0"/>
                <w:highlight w:val="none"/>
              </w:rPr>
              <w:t>水平</w:t>
            </w:r>
            <w:r>
              <w:rPr>
                <w:rFonts w:hint="eastAsia" w:cs="MicrosoftYaHei" w:hAnsiTheme="minorHAnsi"/>
                <w:kern w:val="0"/>
                <w:highlight w:val="none"/>
              </w:rPr>
              <w:t>加热35KG 的轴承到110℃</w:t>
            </w:r>
          </w:p>
        </w:tc>
        <w:tc>
          <w:tcPr>
            <w:tcW w:w="2841" w:type="dxa"/>
            <w:vAlign w:val="center"/>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10 分钟（根据实际工况环境可能有所差异）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rPr>
                <w:rFonts w:hAnsi="仿宋_GB2312" w:cs="仿宋_GB2312"/>
                <w:bCs/>
                <w:highlight w:val="none"/>
              </w:rPr>
            </w:pPr>
            <w:r>
              <w:rPr>
                <w:rFonts w:hint="eastAsia" w:cs="MicrosoftYaHei" w:hAnsiTheme="minorHAnsi"/>
                <w:kern w:val="0"/>
                <w:highlight w:val="none"/>
              </w:rPr>
              <w:t>加热器净重</w:t>
            </w:r>
          </w:p>
        </w:tc>
        <w:tc>
          <w:tcPr>
            <w:tcW w:w="2841" w:type="dxa"/>
            <w:vAlign w:val="center"/>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35KG</w:t>
            </w:r>
          </w:p>
        </w:tc>
      </w:tr>
    </w:tbl>
    <w:p>
      <w:pPr>
        <w:pStyle w:val="2"/>
        <w:rPr>
          <w:rFonts w:hint="default"/>
          <w:highlight w:val="none"/>
          <w:lang w:val="en-US" w:eastAsia="zh-CN"/>
        </w:rPr>
      </w:pPr>
    </w:p>
    <w:p>
      <w:pPr>
        <w:adjustRightInd w:val="0"/>
        <w:snapToGrid w:val="0"/>
        <w:spacing w:line="360" w:lineRule="auto"/>
        <w:ind w:firstLine="1200" w:firstLineChars="5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2.4.2设备标准、要求：</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1.使用武钢军工标准35W270高矽硅钢片</w:t>
      </w:r>
    </w:p>
    <w:p>
      <w:pPr>
        <w:adjustRightInd w:val="0"/>
        <w:snapToGrid w:val="0"/>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2.采用T2紫铜线圈，耐温-10℃-400℃绝缘双玻璃丝包线工艺</w:t>
      </w:r>
    </w:p>
    <w:p>
      <w:pPr>
        <w:adjustRightInd w:val="0"/>
        <w:snapToGrid w:val="0"/>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3.设备电气元件使用品牌：施耐德或其他同等品牌</w:t>
      </w:r>
    </w:p>
    <w:p>
      <w:pPr>
        <w:adjustRightInd w:val="0"/>
        <w:snapToGrid w:val="0"/>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4.定制耐温-50℃-300℃环氧棒铂热电阻</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5.全封闭式的绝缘线圈；</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6.缠绕多层无碱纤维带，选用F级环氧树脂绝缘漆；</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7.工作噪音≤65分贝；</w:t>
      </w:r>
    </w:p>
    <w:p>
      <w:pPr>
        <w:adjustRightInd w:val="0"/>
        <w:snapToGrid w:val="0"/>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8.加热模式下可切换查看加热时间和实时温度。</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9.双重控制：时间（0-9999秒）与温度（0-300℃）双重控制，数显。</w:t>
      </w:r>
    </w:p>
    <w:p>
      <w:pPr>
        <w:adjustRightInd w:val="0"/>
        <w:snapToGrid w:val="0"/>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10.设备的生产厂家具有ISO9001、CE、EMC及FCC认证。(报价时需提供以上的质量认证复印件并加盖报价单位公章）</w:t>
      </w:r>
    </w:p>
    <w:p>
      <w:pPr>
        <w:pStyle w:val="2"/>
        <w:rPr>
          <w:rFonts w:hint="eastAsia"/>
          <w:highlight w:val="none"/>
          <w:lang w:val="en-US" w:eastAsia="zh-CN"/>
        </w:rPr>
      </w:pPr>
    </w:p>
    <w:p>
      <w:pPr>
        <w:adjustRightInd w:val="0"/>
        <w:snapToGrid w:val="0"/>
        <w:spacing w:line="360" w:lineRule="auto"/>
        <w:ind w:firstLine="720" w:firstLineChars="200"/>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36"/>
          <w:szCs w:val="36"/>
          <w:highlight w:val="none"/>
          <w:lang w:val="en-US" w:eastAsia="zh-CN"/>
        </w:rPr>
        <w:t>*</w:t>
      </w:r>
      <w:r>
        <w:rPr>
          <w:rFonts w:hint="eastAsia" w:ascii="宋体" w:hAnsi="宋体" w:eastAsia="宋体" w:cs="宋体"/>
          <w:b/>
          <w:bCs/>
          <w:kern w:val="0"/>
          <w:sz w:val="24"/>
          <w:szCs w:val="24"/>
          <w:highlight w:val="none"/>
          <w:lang w:val="en-US" w:eastAsia="zh-CN"/>
        </w:rPr>
        <w:t>2.5轴承加热器（轴承内孔径范围：20-400mm）</w:t>
      </w:r>
    </w:p>
    <w:p>
      <w:pPr>
        <w:ind w:left="420"/>
        <w:rPr>
          <w:rFonts w:hint="eastAsia" w:hAnsi="仿宋_GB2312" w:cs="仿宋_GB2312"/>
          <w:bCs/>
          <w:highlight w:val="none"/>
        </w:rPr>
      </w:pPr>
      <w:r>
        <w:rPr>
          <w:rFonts w:hint="eastAsia" w:hAnsi="仿宋_GB2312" w:cs="仿宋_GB2312"/>
          <w:bCs/>
          <w:highlight w:val="none"/>
          <w:lang w:val="en-US" w:eastAsia="zh-CN"/>
        </w:rPr>
        <w:t>（一）</w:t>
      </w:r>
      <w:r>
        <w:rPr>
          <w:rFonts w:hint="eastAsia" w:hAnsi="仿宋_GB2312" w:cs="仿宋_GB2312"/>
          <w:bCs/>
          <w:highlight w:val="none"/>
        </w:rPr>
        <w:t xml:space="preserve">轴承最大重量：120kg，最大孔径：20-400mm            </w:t>
      </w:r>
    </w:p>
    <w:p>
      <w:pPr>
        <w:ind w:left="420"/>
        <w:rPr>
          <w:rFonts w:hAnsi="仿宋_GB2312" w:cs="仿宋_GB2312"/>
          <w:bCs/>
          <w:highlight w:val="none"/>
        </w:rPr>
      </w:pPr>
      <w:r>
        <w:rPr>
          <w:rFonts w:hint="eastAsia" w:hAnsi="仿宋_GB2312" w:cs="仿宋_GB2312"/>
          <w:bCs/>
          <w:highlight w:val="none"/>
        </w:rPr>
        <w:t>（二）</w:t>
      </w:r>
      <w:r>
        <w:rPr>
          <w:rFonts w:hAnsi="仿宋_GB2312" w:cs="仿宋_GB2312"/>
          <w:bCs/>
          <w:highlight w:val="none"/>
        </w:rPr>
        <w:t xml:space="preserve">温控模式：范围：0-250摄氏度，磁吸传感器K型，精度±2摄氏度                                        </w:t>
      </w:r>
      <w:r>
        <w:rPr>
          <w:rFonts w:hint="eastAsia" w:hAnsi="仿宋_GB2312" w:cs="仿宋_GB2312"/>
          <w:bCs/>
          <w:highlight w:val="none"/>
        </w:rPr>
        <w:t>（三）</w:t>
      </w:r>
      <w:r>
        <w:rPr>
          <w:rFonts w:hAnsi="仿宋_GB2312" w:cs="仿宋_GB2312"/>
          <w:bCs/>
          <w:highlight w:val="none"/>
        </w:rPr>
        <w:t xml:space="preserve">时间控制范围：0-60分钟                            </w:t>
      </w:r>
    </w:p>
    <w:p>
      <w:pPr>
        <w:ind w:left="420"/>
        <w:rPr>
          <w:rFonts w:hAnsi="仿宋_GB2312" w:cs="仿宋_GB2312"/>
          <w:bCs/>
          <w:highlight w:val="none"/>
        </w:rPr>
      </w:pPr>
      <w:r>
        <w:rPr>
          <w:rFonts w:hint="eastAsia" w:hAnsi="仿宋_GB2312" w:cs="仿宋_GB2312"/>
          <w:bCs/>
          <w:highlight w:val="none"/>
        </w:rPr>
        <w:t>（四）</w:t>
      </w:r>
      <w:r>
        <w:rPr>
          <w:rFonts w:hAnsi="仿宋_GB2312" w:cs="仿宋_GB2312"/>
          <w:bCs/>
          <w:highlight w:val="none"/>
        </w:rPr>
        <w:t xml:space="preserve">功率选择50-100%                                  </w:t>
      </w:r>
    </w:p>
    <w:p>
      <w:pPr>
        <w:ind w:left="420"/>
        <w:rPr>
          <w:rFonts w:hAnsi="仿宋_GB2312" w:cs="仿宋_GB2312"/>
          <w:bCs/>
          <w:highlight w:val="none"/>
        </w:rPr>
      </w:pPr>
      <w:r>
        <w:rPr>
          <w:rFonts w:hint="eastAsia" w:hAnsi="仿宋_GB2312" w:cs="仿宋_GB2312"/>
          <w:bCs/>
          <w:highlight w:val="none"/>
        </w:rPr>
        <w:t>（五）</w:t>
      </w:r>
      <w:r>
        <w:rPr>
          <w:rFonts w:hAnsi="仿宋_GB2312" w:cs="仿宋_GB2312"/>
          <w:bCs/>
          <w:highlight w:val="none"/>
        </w:rPr>
        <w:t xml:space="preserve">最大磁通量1.7T，工作面积155×205，线圈直径110     </w:t>
      </w:r>
    </w:p>
    <w:p>
      <w:pPr>
        <w:ind w:left="420"/>
        <w:rPr>
          <w:rFonts w:hAnsi="仿宋_GB2312" w:cs="仿宋_GB2312"/>
          <w:bCs/>
          <w:highlight w:val="none"/>
        </w:rPr>
      </w:pPr>
      <w:r>
        <w:rPr>
          <w:rFonts w:hint="eastAsia" w:hAnsi="仿宋_GB2312" w:cs="仿宋_GB2312"/>
          <w:bCs/>
          <w:highlight w:val="none"/>
        </w:rPr>
        <w:t>（六）</w:t>
      </w:r>
      <w:r>
        <w:rPr>
          <w:rFonts w:hAnsi="仿宋_GB2312" w:cs="仿宋_GB2312"/>
          <w:bCs/>
          <w:highlight w:val="none"/>
        </w:rPr>
        <w:t xml:space="preserve">标准磁轭数量：3，标准磁轭：56*56*296，用于加热内径80mm及以上轴承；28*28*296，用于加热内径40mm及以上轴承；14*14*296，用于加热内径20mm及以上轴承           </w:t>
      </w:r>
    </w:p>
    <w:p>
      <w:pPr>
        <w:ind w:left="420"/>
        <w:rPr>
          <w:rFonts w:hAnsi="仿宋_GB2312" w:cs="仿宋_GB2312"/>
          <w:bCs/>
          <w:highlight w:val="none"/>
        </w:rPr>
      </w:pPr>
      <w:r>
        <w:rPr>
          <w:rFonts w:hint="eastAsia" w:hAnsi="仿宋_GB2312" w:cs="仿宋_GB2312"/>
          <w:bCs/>
          <w:highlight w:val="none"/>
        </w:rPr>
        <w:t>（七）</w:t>
      </w:r>
      <w:r>
        <w:rPr>
          <w:rFonts w:hAnsi="仿宋_GB2312" w:cs="仿宋_GB2312"/>
          <w:bCs/>
          <w:highlight w:val="none"/>
        </w:rPr>
        <w:t>铁芯横截面：56*56</w:t>
      </w:r>
    </w:p>
    <w:p>
      <w:pPr>
        <w:ind w:left="420"/>
        <w:rPr>
          <w:rFonts w:hAnsi="仿宋_GB2312" w:cs="仿宋_GB2312"/>
          <w:bCs/>
          <w:highlight w:val="none"/>
        </w:rPr>
      </w:pPr>
      <w:r>
        <w:rPr>
          <w:rFonts w:hint="eastAsia" w:hAnsi="仿宋_GB2312" w:cs="仿宋_GB2312"/>
          <w:bCs/>
          <w:highlight w:val="none"/>
        </w:rPr>
        <w:t>（八）其他要求：</w:t>
      </w:r>
    </w:p>
    <w:p>
      <w:pPr>
        <w:ind w:left="420"/>
        <w:rPr>
          <w:rFonts w:hAnsi="仿宋_GB2312" w:cs="仿宋_GB2312"/>
          <w:bCs/>
          <w:highlight w:val="none"/>
        </w:rPr>
      </w:pPr>
      <w:r>
        <w:rPr>
          <w:rFonts w:hint="eastAsia" w:hAnsi="仿宋_GB2312" w:cs="仿宋_GB2312"/>
          <w:bCs/>
          <w:highlight w:val="none"/>
        </w:rPr>
        <w:t>1、</w:t>
      </w:r>
      <w:r>
        <w:rPr>
          <w:rFonts w:hAnsi="仿宋_GB2312" w:cs="仿宋_GB2312"/>
          <w:bCs/>
          <w:highlight w:val="none"/>
        </w:rPr>
        <w:t xml:space="preserve">按照SKF标准退磁可加热密封轴承，可加热预润滑轴承  </w:t>
      </w:r>
    </w:p>
    <w:p>
      <w:pPr>
        <w:ind w:left="420"/>
        <w:rPr>
          <w:rFonts w:hAnsi="仿宋_GB2312" w:cs="仿宋_GB2312"/>
          <w:bCs/>
          <w:highlight w:val="none"/>
        </w:rPr>
      </w:pPr>
      <w:r>
        <w:rPr>
          <w:rFonts w:hint="eastAsia" w:hAnsi="仿宋_GB2312" w:cs="仿宋_GB2312"/>
          <w:bCs/>
          <w:highlight w:val="none"/>
        </w:rPr>
        <w:t>2、</w:t>
      </w:r>
      <w:r>
        <w:rPr>
          <w:rFonts w:hAnsi="仿宋_GB2312" w:cs="仿宋_GB2312"/>
          <w:bCs/>
          <w:highlight w:val="none"/>
        </w:rPr>
        <w:t>过热保护，错误代码报警</w:t>
      </w:r>
    </w:p>
    <w:p>
      <w:pPr>
        <w:ind w:left="420"/>
        <w:rPr>
          <w:rFonts w:hint="default" w:hAnsi="仿宋_GB2312" w:cs="仿宋_GB2312"/>
          <w:bCs/>
          <w:highlight w:val="none"/>
          <w:lang w:val="en-US" w:eastAsia="zh-CN"/>
        </w:rPr>
      </w:pPr>
      <w:r>
        <w:rPr>
          <w:rFonts w:hint="eastAsia" w:hAnsi="仿宋_GB2312" w:cs="仿宋_GB2312"/>
          <w:bCs/>
          <w:highlight w:val="none"/>
          <w:lang w:eastAsia="zh-CN"/>
        </w:rPr>
        <w:t>（</w:t>
      </w:r>
      <w:r>
        <w:rPr>
          <w:rFonts w:hint="eastAsia" w:hAnsi="仿宋_GB2312" w:cs="仿宋_GB2312"/>
          <w:bCs/>
          <w:highlight w:val="none"/>
          <w:lang w:val="en-US" w:eastAsia="zh-CN"/>
        </w:rPr>
        <w:t>九）产品遵循以下标准生产:（报价时需提供生产厂家书写的符合以下标准的声明，复印件或原件）</w:t>
      </w:r>
    </w:p>
    <w:p>
      <w:pPr>
        <w:pStyle w:val="2"/>
        <w:rPr>
          <w:rFonts w:ascii="宋体" w:hAnsi="宋体" w:eastAsia="宋体" w:cs="宋体"/>
          <w:sz w:val="24"/>
          <w:szCs w:val="24"/>
        </w:rPr>
      </w:pPr>
      <w:r>
        <w:rPr>
          <w:rFonts w:ascii="宋体" w:hAnsi="宋体" w:eastAsia="宋体" w:cs="宋体"/>
          <w:sz w:val="24"/>
          <w:szCs w:val="24"/>
        </w:rPr>
        <w:t xml:space="preserve">EN61000-6-3:2007 /A1:2011 </w:t>
      </w:r>
    </w:p>
    <w:p>
      <w:pPr>
        <w:pStyle w:val="2"/>
        <w:rPr>
          <w:rFonts w:ascii="宋体" w:hAnsi="宋体" w:eastAsia="宋体" w:cs="宋体"/>
          <w:sz w:val="24"/>
          <w:szCs w:val="24"/>
        </w:rPr>
      </w:pPr>
      <w:r>
        <w:rPr>
          <w:rFonts w:ascii="宋体" w:hAnsi="宋体" w:eastAsia="宋体" w:cs="宋体"/>
          <w:sz w:val="24"/>
          <w:szCs w:val="24"/>
        </w:rPr>
        <w:t xml:space="preserve">EN61000-6-2:2005 </w:t>
      </w:r>
    </w:p>
    <w:p>
      <w:pPr>
        <w:pStyle w:val="2"/>
        <w:rPr>
          <w:rFonts w:ascii="宋体" w:hAnsi="宋体" w:eastAsia="宋体" w:cs="宋体"/>
          <w:sz w:val="24"/>
          <w:szCs w:val="24"/>
        </w:rPr>
      </w:pPr>
      <w:r>
        <w:rPr>
          <w:rFonts w:ascii="宋体" w:hAnsi="宋体" w:eastAsia="宋体" w:cs="宋体"/>
          <w:sz w:val="24"/>
          <w:szCs w:val="24"/>
        </w:rPr>
        <w:t xml:space="preserve">EN61000-4-2 </w:t>
      </w:r>
    </w:p>
    <w:p>
      <w:pPr>
        <w:pStyle w:val="2"/>
        <w:rPr>
          <w:rFonts w:ascii="宋体" w:hAnsi="宋体" w:eastAsia="宋体" w:cs="宋体"/>
          <w:sz w:val="24"/>
          <w:szCs w:val="24"/>
        </w:rPr>
      </w:pPr>
      <w:r>
        <w:rPr>
          <w:rFonts w:ascii="宋体" w:hAnsi="宋体" w:eastAsia="宋体" w:cs="宋体"/>
          <w:sz w:val="24"/>
          <w:szCs w:val="24"/>
        </w:rPr>
        <w:t xml:space="preserve">EN61000-4-3 </w:t>
      </w:r>
    </w:p>
    <w:p>
      <w:pPr>
        <w:pStyle w:val="2"/>
        <w:rPr>
          <w:rFonts w:ascii="宋体" w:hAnsi="宋体" w:eastAsia="宋体" w:cs="宋体"/>
          <w:sz w:val="24"/>
          <w:szCs w:val="24"/>
        </w:rPr>
      </w:pPr>
      <w:r>
        <w:rPr>
          <w:rFonts w:ascii="宋体" w:hAnsi="宋体" w:eastAsia="宋体" w:cs="宋体"/>
          <w:sz w:val="24"/>
          <w:szCs w:val="24"/>
        </w:rPr>
        <w:t xml:space="preserve">EN61000-4-4 </w:t>
      </w:r>
    </w:p>
    <w:p>
      <w:pPr>
        <w:pStyle w:val="2"/>
        <w:rPr>
          <w:rFonts w:ascii="宋体" w:hAnsi="宋体" w:eastAsia="宋体" w:cs="宋体"/>
          <w:sz w:val="24"/>
          <w:szCs w:val="24"/>
        </w:rPr>
      </w:pPr>
      <w:r>
        <w:rPr>
          <w:rFonts w:ascii="宋体" w:hAnsi="宋体" w:eastAsia="宋体" w:cs="宋体"/>
          <w:sz w:val="24"/>
          <w:szCs w:val="24"/>
        </w:rPr>
        <w:t xml:space="preserve">EN61000-4-5 </w:t>
      </w:r>
    </w:p>
    <w:p>
      <w:pPr>
        <w:pStyle w:val="2"/>
        <w:rPr>
          <w:rFonts w:ascii="宋体" w:hAnsi="宋体" w:eastAsia="宋体" w:cs="宋体"/>
          <w:sz w:val="24"/>
          <w:szCs w:val="24"/>
        </w:rPr>
      </w:pPr>
      <w:r>
        <w:rPr>
          <w:rFonts w:ascii="宋体" w:hAnsi="宋体" w:eastAsia="宋体" w:cs="宋体"/>
          <w:sz w:val="24"/>
          <w:szCs w:val="24"/>
        </w:rPr>
        <w:t xml:space="preserve">EN61000-4-6 </w:t>
      </w:r>
    </w:p>
    <w:p>
      <w:pPr>
        <w:pStyle w:val="2"/>
        <w:rPr>
          <w:rFonts w:ascii="宋体" w:hAnsi="宋体" w:eastAsia="宋体" w:cs="宋体"/>
          <w:sz w:val="24"/>
          <w:szCs w:val="24"/>
        </w:rPr>
      </w:pPr>
      <w:r>
        <w:rPr>
          <w:rFonts w:ascii="宋体" w:hAnsi="宋体" w:eastAsia="宋体" w:cs="宋体"/>
          <w:sz w:val="24"/>
          <w:szCs w:val="24"/>
        </w:rPr>
        <w:t xml:space="preserve">EN61000-4-8 </w:t>
      </w:r>
    </w:p>
    <w:p>
      <w:pPr>
        <w:pStyle w:val="2"/>
        <w:rPr>
          <w:rFonts w:hint="default"/>
          <w:lang w:val="en-US" w:eastAsia="zh-CN"/>
        </w:rPr>
      </w:pPr>
      <w:r>
        <w:rPr>
          <w:rFonts w:ascii="宋体" w:hAnsi="宋体" w:eastAsia="宋体" w:cs="宋体"/>
          <w:sz w:val="24"/>
          <w:szCs w:val="24"/>
        </w:rPr>
        <w:t>EN61000-4-11</w:t>
      </w:r>
    </w:p>
    <w:p>
      <w:pPr>
        <w:adjustRightInd w:val="0"/>
        <w:snapToGrid w:val="0"/>
        <w:spacing w:line="360" w:lineRule="auto"/>
        <w:ind w:firstLine="960" w:firstLineChars="400"/>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2.6轴承加热器（轴承内孔径范围：40-500mm）</w:t>
      </w:r>
    </w:p>
    <w:p>
      <w:pPr>
        <w:adjustRightInd w:val="0"/>
        <w:snapToGrid w:val="0"/>
        <w:spacing w:line="360" w:lineRule="auto"/>
        <w:ind w:firstLine="1200" w:firstLineChars="5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2.6.1基本参数：</w:t>
      </w:r>
    </w:p>
    <w:tbl>
      <w:tblPr>
        <w:tblStyle w:val="25"/>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功率</w:t>
            </w:r>
          </w:p>
        </w:tc>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12KVA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电压/频率</w:t>
            </w:r>
          </w:p>
        </w:tc>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380V/50HZ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电流</w:t>
            </w:r>
          </w:p>
        </w:tc>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60A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磁极面积（mm）</w:t>
            </w:r>
          </w:p>
        </w:tc>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100x100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磁极高度（mm）</w:t>
            </w:r>
          </w:p>
        </w:tc>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加热工件最小内径（mm）</w:t>
            </w:r>
          </w:p>
        </w:tc>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加热工件最大外径（mm）</w:t>
            </w:r>
          </w:p>
        </w:tc>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加热工件最大宽度（mm）</w:t>
            </w:r>
          </w:p>
        </w:tc>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加热工件最大重量（KG）</w:t>
            </w:r>
          </w:p>
        </w:tc>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温度控制</w:t>
            </w:r>
          </w:p>
        </w:tc>
        <w:tc>
          <w:tcPr>
            <w:tcW w:w="4261" w:type="dxa"/>
          </w:tcPr>
          <w:p>
            <w:pPr>
              <w:autoSpaceDE w:val="0"/>
              <w:autoSpaceDN w:val="0"/>
              <w:adjustRightInd w:val="0"/>
              <w:jc w:val="left"/>
              <w:rPr>
                <w:rFonts w:hint="eastAsia" w:cs="MicrosoftYaHei" w:hAnsiTheme="minorHAnsi"/>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最高温度</w:t>
            </w:r>
          </w:p>
        </w:tc>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磁性温控探头</w:t>
            </w:r>
          </w:p>
        </w:tc>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PT100型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时间控制</w:t>
            </w:r>
          </w:p>
        </w:tc>
        <w:tc>
          <w:tcPr>
            <w:tcW w:w="4261" w:type="dxa"/>
          </w:tcPr>
          <w:p>
            <w:pPr>
              <w:autoSpaceDE w:val="0"/>
              <w:autoSpaceDN w:val="0"/>
              <w:adjustRightInd w:val="0"/>
              <w:jc w:val="left"/>
              <w:rPr>
                <w:rFonts w:hint="eastAsia" w:cs="MicrosoftYaHei" w:hAnsiTheme="minorHAnsi"/>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最大时间范围</w:t>
            </w:r>
          </w:p>
        </w:tc>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0-99.9分钟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退磁标准自动退磁</w:t>
            </w:r>
          </w:p>
        </w:tc>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&lt;2A/CM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轭铁配置（mm）</w:t>
            </w:r>
          </w:p>
        </w:tc>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28x28x430；40x40x530</w:t>
            </w:r>
          </w:p>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60x60x530；82x82x530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设备外观</w:t>
            </w:r>
          </w:p>
        </w:tc>
        <w:tc>
          <w:tcPr>
            <w:tcW w:w="4261" w:type="dxa"/>
          </w:tcPr>
          <w:p>
            <w:pPr>
              <w:rPr>
                <w:rFonts w:hint="eastAsia" w:hAnsi="仿宋_GB2312" w:cs="仿宋_GB2312"/>
                <w:bCs/>
                <w:highlight w:val="none"/>
              </w:rPr>
            </w:pPr>
            <w:r>
              <w:rPr>
                <w:rFonts w:hint="eastAsia" w:cs="MicrosoftYaHei" w:hAnsiTheme="minorHAnsi"/>
                <w:kern w:val="0"/>
                <w:highlight w:val="none"/>
              </w:rPr>
              <w:t>手推车一体式</w:t>
            </w:r>
          </w:p>
        </w:tc>
      </w:tr>
    </w:tbl>
    <w:p>
      <w:pPr>
        <w:pStyle w:val="2"/>
        <w:rPr>
          <w:rFonts w:hint="default"/>
          <w:highlight w:val="none"/>
          <w:lang w:val="en-US" w:eastAsia="zh-CN"/>
        </w:rPr>
      </w:pPr>
    </w:p>
    <w:p>
      <w:pPr>
        <w:adjustRightInd w:val="0"/>
        <w:snapToGrid w:val="0"/>
        <w:spacing w:line="360" w:lineRule="auto"/>
        <w:ind w:firstLine="1200" w:firstLineChars="5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2.6.2设备标准、要求：</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1.使用武钢军工标准35W270高矽硅钢片</w:t>
      </w:r>
    </w:p>
    <w:p>
      <w:pPr>
        <w:adjustRightInd w:val="0"/>
        <w:snapToGrid w:val="0"/>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2.T2紫铜线圈，耐温-10℃-400℃绝缘双玻璃丝包线工艺</w:t>
      </w:r>
    </w:p>
    <w:p>
      <w:pPr>
        <w:adjustRightInd w:val="0"/>
        <w:snapToGrid w:val="0"/>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3.设备电气元件使用品牌：施耐德或其他同等品牌</w:t>
      </w:r>
    </w:p>
    <w:p>
      <w:pPr>
        <w:adjustRightInd w:val="0"/>
        <w:snapToGrid w:val="0"/>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4.定制耐温-50℃-300℃环氧棒铂热电阻</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5.全封闭式的绝缘线圈；</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6.缠绕多层无碱纤维带，选用F级环氧树脂绝缘漆；</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7.工作噪音≤65分贝；</w:t>
      </w:r>
    </w:p>
    <w:p>
      <w:pPr>
        <w:adjustRightInd w:val="0"/>
        <w:snapToGrid w:val="0"/>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8.加热模式下可切换查看加热时间和实时温度。</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9.双重控制：时间（0-9999秒）与温度（0-300℃）双重控制，数显。</w:t>
      </w:r>
    </w:p>
    <w:p>
      <w:pPr>
        <w:adjustRightInd w:val="0"/>
        <w:snapToGrid w:val="0"/>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10.设备的生产厂家具有ISO9001、CE、EMC及FCC认证。(报价时需提供以上的质量认证复印件并加盖报价单位公章）</w:t>
      </w:r>
    </w:p>
    <w:p>
      <w:pPr>
        <w:pStyle w:val="13"/>
        <w:numPr>
          <w:ilvl w:val="0"/>
          <w:numId w:val="5"/>
        </w:numPr>
        <w:adjustRightInd w:val="0"/>
        <w:snapToGrid w:val="0"/>
        <w:spacing w:line="300" w:lineRule="auto"/>
        <w:ind w:firstLineChars="0"/>
        <w:rPr>
          <w:rFonts w:hint="default" w:ascii="宋体" w:hAnsi="宋体" w:eastAsia="宋体" w:cs="宋体"/>
          <w:color w:val="auto"/>
          <w:sz w:val="24"/>
          <w:szCs w:val="24"/>
          <w:highlight w:val="none"/>
          <w:lang w:val="en-US" w:eastAsia="zh-CN"/>
        </w:rPr>
      </w:pPr>
      <w:r>
        <w:rPr>
          <w:rFonts w:hint="eastAsia" w:ascii="宋体" w:hAnsi="宋体" w:eastAsia="宋体" w:cs="宋体"/>
          <w:b/>
          <w:color w:val="auto"/>
          <w:sz w:val="28"/>
          <w:szCs w:val="28"/>
          <w:highlight w:val="none"/>
          <w:lang w:val="zh-CN" w:eastAsia="zh-CN"/>
        </w:rPr>
        <w:t>其他要求</w:t>
      </w:r>
    </w:p>
    <w:p>
      <w:pPr>
        <w:pStyle w:val="37"/>
        <w:numPr>
          <w:ilvl w:val="0"/>
          <w:numId w:val="6"/>
        </w:numPr>
        <w:adjustRightInd w:val="0"/>
        <w:snapToGrid w:val="0"/>
        <w:spacing w:line="360" w:lineRule="auto"/>
        <w:ind w:left="420" w:leftChars="0" w:firstLine="480" w:firstLineChars="0"/>
        <w:jc w:val="left"/>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lang w:val="zh-CN" w:eastAsia="zh-CN"/>
        </w:rPr>
        <w:t>遇到使用技术问题，电话咨询不能解决的，</w:t>
      </w:r>
      <w:r>
        <w:rPr>
          <w:rFonts w:hint="eastAsia" w:ascii="宋体" w:hAnsi="宋体" w:eastAsia="宋体" w:cs="宋体"/>
          <w:color w:val="auto"/>
          <w:sz w:val="24"/>
          <w:szCs w:val="24"/>
          <w:highlight w:val="none"/>
          <w:lang w:val="zh-CN"/>
        </w:rPr>
        <w:t>供应商</w:t>
      </w:r>
      <w:r>
        <w:rPr>
          <w:rFonts w:hint="eastAsia" w:ascii="宋体" w:hAnsi="宋体" w:eastAsia="宋体" w:cs="宋体"/>
          <w:color w:val="auto"/>
          <w:sz w:val="24"/>
          <w:szCs w:val="24"/>
          <w:highlight w:val="none"/>
          <w:lang w:val="zh-CN" w:eastAsia="zh-CN"/>
        </w:rPr>
        <w:t>应在</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小时内到达现场进行处理，确保产品正常工作；无法在</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eastAsia="zh-CN"/>
        </w:rPr>
        <w:t>小时内解决的，应该在</w:t>
      </w:r>
      <w:r>
        <w:rPr>
          <w:rFonts w:hint="eastAsia" w:ascii="宋体" w:hAnsi="宋体" w:eastAsia="宋体" w:cs="宋体"/>
          <w:color w:val="auto"/>
          <w:sz w:val="24"/>
          <w:szCs w:val="24"/>
          <w:highlight w:val="none"/>
          <w:lang w:val="en-US" w:eastAsia="zh-CN"/>
        </w:rPr>
        <w:t>48</w:t>
      </w:r>
      <w:r>
        <w:rPr>
          <w:rFonts w:hint="eastAsia" w:ascii="宋体" w:hAnsi="宋体" w:eastAsia="宋体" w:cs="宋体"/>
          <w:color w:val="auto"/>
          <w:sz w:val="24"/>
          <w:szCs w:val="24"/>
          <w:highlight w:val="none"/>
          <w:lang w:val="zh-CN" w:eastAsia="zh-CN"/>
        </w:rPr>
        <w:t>小时内提供设备备用配件，使询价人能够正常使用。（报价时须出具承诺函并盖公章）</w:t>
      </w:r>
    </w:p>
    <w:p>
      <w:pPr>
        <w:pStyle w:val="37"/>
        <w:numPr>
          <w:ilvl w:val="0"/>
          <w:numId w:val="6"/>
        </w:numPr>
        <w:adjustRightInd w:val="0"/>
        <w:snapToGrid w:val="0"/>
        <w:spacing w:line="360" w:lineRule="auto"/>
        <w:ind w:left="0" w:leftChars="0" w:firstLine="480" w:firstLineChars="0"/>
        <w:jc w:val="left"/>
        <w:rPr>
          <w:rFonts w:hint="default" w:ascii="宋体" w:hAnsi="宋体" w:eastAsia="宋体" w:cs="宋体"/>
          <w:color w:val="auto"/>
          <w:sz w:val="24"/>
          <w:szCs w:val="24"/>
          <w:highlight w:val="none"/>
          <w:lang w:val="en-US" w:eastAsia="zh-CN"/>
        </w:rPr>
      </w:pPr>
      <w:r>
        <w:rPr>
          <w:rFonts w:hint="eastAsia" w:ascii="宋体" w:hAnsi="宋体" w:eastAsia="宋体" w:cs="宋体"/>
          <w:b/>
          <w:bCs/>
          <w:kern w:val="0"/>
          <w:sz w:val="36"/>
          <w:szCs w:val="36"/>
          <w:highlight w:val="none"/>
          <w:lang w:val="en-US" w:eastAsia="zh-CN"/>
        </w:rPr>
        <w:t>*</w:t>
      </w:r>
      <w:r>
        <w:rPr>
          <w:rFonts w:hint="eastAsia" w:ascii="宋体" w:hAnsi="宋体" w:eastAsia="宋体" w:cs="宋体"/>
          <w:color w:val="auto"/>
          <w:sz w:val="24"/>
          <w:szCs w:val="24"/>
          <w:highlight w:val="none"/>
          <w:lang w:val="en-US" w:eastAsia="zh-CN"/>
        </w:rPr>
        <w:t>报价时须提供由货物的生产厂家书写的或生产厂家认可的产品参数技术说明书。</w:t>
      </w:r>
    </w:p>
    <w:p>
      <w:pPr>
        <w:pStyle w:val="37"/>
        <w:numPr>
          <w:ilvl w:val="0"/>
          <w:numId w:val="6"/>
        </w:numPr>
        <w:adjustRightInd w:val="0"/>
        <w:snapToGrid w:val="0"/>
        <w:spacing w:line="360" w:lineRule="auto"/>
        <w:ind w:left="0" w:leftChars="0" w:firstLine="480" w:firstLineChars="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上述</w:t>
      </w:r>
      <w:r>
        <w:rPr>
          <w:rFonts w:hint="eastAsia" w:ascii="宋体" w:hAnsi="宋体" w:eastAsia="宋体" w:cs="宋体"/>
          <w:b/>
          <w:bCs/>
          <w:kern w:val="0"/>
          <w:sz w:val="36"/>
          <w:szCs w:val="36"/>
          <w:highlight w:val="none"/>
          <w:lang w:val="en-US" w:eastAsia="zh-CN"/>
        </w:rPr>
        <w:t>*</w:t>
      </w:r>
      <w:r>
        <w:rPr>
          <w:rFonts w:hint="eastAsia" w:ascii="宋体" w:hAnsi="宋体" w:eastAsia="宋体" w:cs="宋体"/>
          <w:color w:val="auto"/>
          <w:sz w:val="24"/>
          <w:szCs w:val="24"/>
          <w:highlight w:val="none"/>
          <w:lang w:val="en-US" w:eastAsia="zh-CN"/>
        </w:rPr>
        <w:t>号部分必须完全满足文件要求，不接受技术偏差。</w:t>
      </w:r>
    </w:p>
    <w:p>
      <w:pPr>
        <w:ind w:firstLine="560" w:firstLineChars="200"/>
        <w:rPr>
          <w:rFonts w:ascii="宋体" w:hAnsi="宋体" w:eastAsia="宋体" w:cs="宋体"/>
          <w:b/>
          <w:bCs/>
          <w:color w:val="auto"/>
          <w:sz w:val="28"/>
          <w:szCs w:val="28"/>
          <w:highlight w:val="none"/>
        </w:rPr>
      </w:pPr>
    </w:p>
    <w:p>
      <w:pPr>
        <w:pStyle w:val="13"/>
        <w:keepNext w:val="0"/>
        <w:keepLines w:val="0"/>
        <w:widowControl/>
        <w:numPr>
          <w:ilvl w:val="0"/>
          <w:numId w:val="5"/>
        </w:numPr>
        <w:suppressLineNumbers w:val="0"/>
        <w:spacing w:line="300" w:lineRule="auto"/>
        <w:ind w:left="0" w:firstLine="0"/>
        <w:rPr>
          <w:rFonts w:hint="eastAsia" w:ascii="宋体" w:hAnsi="宋体" w:eastAsia="宋体" w:cs="宋体"/>
          <w:b/>
          <w:i w:val="0"/>
          <w:caps w:val="0"/>
          <w:color w:val="auto"/>
          <w:spacing w:val="0"/>
          <w:sz w:val="28"/>
          <w:szCs w:val="28"/>
          <w:highlight w:val="none"/>
          <w:lang w:val="zh-CN"/>
        </w:rPr>
      </w:pPr>
      <w:r>
        <w:rPr>
          <w:rFonts w:hint="eastAsia" w:ascii="宋体" w:hAnsi="宋体" w:eastAsia="宋体" w:cs="宋体"/>
          <w:b/>
          <w:i w:val="0"/>
          <w:caps w:val="0"/>
          <w:color w:val="auto"/>
          <w:spacing w:val="0"/>
          <w:sz w:val="28"/>
          <w:szCs w:val="28"/>
          <w:highlight w:val="none"/>
          <w:lang w:val="zh-CN"/>
        </w:rPr>
        <w:t>项目商务要求</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1.包装、运输</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及保管、保险：</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（1）报价人所供货物应为制造商原装出厂包装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包装须符合同等相关标准，因包装不良造成的损失由报价人负责。</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（2）报价人负责将</w:t>
      </w: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送到现场过程中的全部运输，包括装卸车、货物现场的搬运</w:t>
      </w:r>
      <w:r>
        <w:rPr>
          <w:rFonts w:hint="eastAsia" w:ascii="宋体" w:hAnsi="宋体" w:eastAsia="宋体" w:cs="宋体"/>
          <w:color w:val="auto"/>
          <w:sz w:val="24"/>
          <w:szCs w:val="24"/>
          <w:highlight w:val="none"/>
          <w:lang w:val="en-US" w:eastAsia="zh-CN"/>
        </w:rPr>
        <w:t>等</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bidi w:val="0"/>
        <w:adjustRightInd w:val="0"/>
        <w:snapToGrid w:val="0"/>
        <w:spacing w:line="360" w:lineRule="auto"/>
        <w:ind w:left="420" w:leftChars="20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供货期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合同签订后60天内到货</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20" w:leftChars="200"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交货地点：</w:t>
      </w:r>
      <w:r>
        <w:rPr>
          <w:rFonts w:hint="eastAsia" w:ascii="宋体" w:hAnsi="宋体" w:eastAsia="宋体" w:cs="宋体"/>
          <w:color w:val="auto"/>
          <w:sz w:val="24"/>
          <w:szCs w:val="24"/>
          <w:highlight w:val="none"/>
          <w:lang w:val="en-US" w:eastAsia="zh-CN"/>
        </w:rPr>
        <w:t>广州城市水处理设备有限公司指定位置。（具体位置供货前由广州城市水处理设备有限公司通知）</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2.质量保证及售后服务：</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）确保</w:t>
      </w:r>
      <w:r>
        <w:rPr>
          <w:rFonts w:hint="eastAsia" w:ascii="宋体" w:hAnsi="宋体" w:eastAsia="宋体" w:cs="宋体"/>
          <w:color w:val="auto"/>
          <w:sz w:val="24"/>
          <w:szCs w:val="24"/>
          <w:highlight w:val="none"/>
          <w:lang w:val="en-US" w:eastAsia="zh-CN"/>
        </w:rPr>
        <w:t>货物为原装未拆封或未使用的产品</w:t>
      </w:r>
      <w:r>
        <w:rPr>
          <w:rFonts w:hint="eastAsia" w:ascii="宋体" w:hAnsi="宋体" w:eastAsia="宋体" w:cs="宋体"/>
          <w:color w:val="auto"/>
          <w:sz w:val="24"/>
          <w:szCs w:val="24"/>
          <w:highlight w:val="none"/>
          <w:lang w:eastAsia="zh-CN"/>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）货物在质保期</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为自供货验收合格之日起1年内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如有质量问题</w:t>
      </w:r>
      <w:r>
        <w:rPr>
          <w:rFonts w:hint="eastAsia" w:ascii="宋体" w:hAnsi="宋体" w:eastAsia="宋体" w:cs="宋体"/>
          <w:color w:val="auto"/>
          <w:sz w:val="24"/>
          <w:szCs w:val="24"/>
          <w:highlight w:val="none"/>
          <w:lang w:val="en-US" w:eastAsia="zh-CN"/>
        </w:rPr>
        <w:t>或未能适配原有设备</w:t>
      </w:r>
      <w:r>
        <w:rPr>
          <w:rFonts w:hint="eastAsia" w:ascii="宋体" w:hAnsi="宋体" w:eastAsia="宋体" w:cs="宋体"/>
          <w:color w:val="auto"/>
          <w:sz w:val="24"/>
          <w:szCs w:val="24"/>
          <w:highlight w:val="none"/>
        </w:rPr>
        <w:t>时，报价人必须</w:t>
      </w:r>
      <w:r>
        <w:rPr>
          <w:rFonts w:hint="eastAsia" w:ascii="宋体" w:hAnsi="宋体" w:eastAsia="宋体" w:cs="宋体"/>
          <w:color w:val="auto"/>
          <w:sz w:val="24"/>
          <w:szCs w:val="24"/>
          <w:highlight w:val="none"/>
          <w:lang w:val="en-US" w:eastAsia="zh-CN"/>
        </w:rPr>
        <w:t>1小时内派技术人员到现场免费进行维修</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3.总包及分包规定：</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乙方不得转包</w:t>
      </w:r>
      <w:r>
        <w:rPr>
          <w:rFonts w:hint="eastAsia" w:ascii="宋体" w:hAnsi="宋体" w:eastAsia="宋体" w:cs="宋体"/>
          <w:color w:val="auto"/>
          <w:sz w:val="24"/>
          <w:szCs w:val="24"/>
          <w:highlight w:val="none"/>
          <w:lang w:eastAsia="zh-CN"/>
        </w:rPr>
        <w:t>、分包</w:t>
      </w:r>
      <w:r>
        <w:rPr>
          <w:rFonts w:hint="eastAsia" w:ascii="宋体" w:hAnsi="宋体" w:eastAsia="宋体" w:cs="宋体"/>
          <w:color w:val="auto"/>
          <w:sz w:val="24"/>
          <w:szCs w:val="24"/>
          <w:highlight w:val="none"/>
        </w:rPr>
        <w:t>。否则，甲方有权单方面终止合同，</w:t>
      </w:r>
      <w:r>
        <w:rPr>
          <w:rFonts w:hint="eastAsia" w:ascii="宋体" w:hAnsi="宋体" w:eastAsia="宋体" w:cs="宋体"/>
          <w:color w:val="auto"/>
          <w:sz w:val="24"/>
          <w:szCs w:val="24"/>
          <w:highlight w:val="none"/>
          <w:lang w:val="en-US" w:eastAsia="zh-CN"/>
        </w:rPr>
        <w:t>拒收其货物</w:t>
      </w:r>
      <w:r>
        <w:rPr>
          <w:rFonts w:hint="eastAsia" w:ascii="宋体" w:hAnsi="宋体" w:eastAsia="宋体" w:cs="宋体"/>
          <w:color w:val="auto"/>
          <w:sz w:val="24"/>
          <w:szCs w:val="24"/>
          <w:highlight w:val="none"/>
        </w:rPr>
        <w:t>，由此而造成的经济损失由乙方负责赔偿。</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.询价人将自承包商履行完合同义务之日起15个工作日内组织验收，审定报价人供货的货物合格情况，进行结算审核。</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.付款方式：</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（1）采用</w:t>
      </w:r>
      <w:r>
        <w:rPr>
          <w:rFonts w:hint="eastAsia" w:ascii="宋体" w:hAnsi="宋体" w:eastAsia="宋体" w:cs="宋体"/>
          <w:color w:val="auto"/>
          <w:sz w:val="24"/>
          <w:szCs w:val="24"/>
          <w:highlight w:val="none"/>
          <w:lang w:val="en-US" w:eastAsia="zh-CN"/>
        </w:rPr>
        <w:t>支票、</w:t>
      </w:r>
      <w:r>
        <w:rPr>
          <w:rFonts w:hint="eastAsia" w:ascii="宋体" w:hAnsi="宋体" w:eastAsia="宋体" w:cs="宋体"/>
          <w:color w:val="auto"/>
          <w:sz w:val="24"/>
          <w:szCs w:val="24"/>
          <w:highlight w:val="none"/>
        </w:rPr>
        <w:t>银行汇票形式。</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（2）报价人在收款前需提交相应金额增值税专用发票给</w:t>
      </w:r>
      <w:r>
        <w:rPr>
          <w:rFonts w:hint="eastAsia" w:ascii="宋体" w:hAnsi="宋体" w:eastAsia="宋体" w:cs="宋体"/>
          <w:color w:val="auto"/>
          <w:sz w:val="24"/>
          <w:szCs w:val="24"/>
          <w:highlight w:val="none"/>
          <w:lang w:val="en-US" w:eastAsia="zh-CN"/>
        </w:rPr>
        <w:t>需求单位</w:t>
      </w:r>
      <w:r>
        <w:rPr>
          <w:rFonts w:hint="eastAsia" w:ascii="宋体" w:hAnsi="宋体" w:eastAsia="宋体" w:cs="宋体"/>
          <w:color w:val="auto"/>
          <w:sz w:val="24"/>
          <w:szCs w:val="24"/>
          <w:highlight w:val="none"/>
        </w:rPr>
        <w:t>。</w:t>
      </w:r>
    </w:p>
    <w:p>
      <w:pPr>
        <w:pStyle w:val="37"/>
        <w:keepNext w:val="0"/>
        <w:keepLines w:val="0"/>
        <w:pageBreakBefore w:val="0"/>
        <w:numPr>
          <w:ilvl w:val="-1"/>
          <w:numId w:val="0"/>
        </w:numPr>
        <w:kinsoku/>
        <w:wordWrap/>
        <w:overflowPunct/>
        <w:topLinePunct w:val="0"/>
        <w:autoSpaceDE w:val="0"/>
        <w:autoSpaceDN w:val="0"/>
        <w:bidi w:val="0"/>
        <w:adjustRightInd w:val="0"/>
        <w:snapToGrid w:val="0"/>
        <w:spacing w:line="360" w:lineRule="auto"/>
        <w:ind w:left="480" w:leftChars="0" w:firstLine="0" w:firstLineChars="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.承包方</w:t>
      </w:r>
      <w:r>
        <w:rPr>
          <w:rFonts w:hint="eastAsia" w:ascii="宋体" w:hAnsi="宋体" w:eastAsia="宋体" w:cs="宋体"/>
          <w:color w:val="auto"/>
          <w:sz w:val="24"/>
          <w:szCs w:val="24"/>
          <w:highlight w:val="none"/>
          <w:lang w:val="en-US" w:eastAsia="zh-CN"/>
        </w:rPr>
        <w:t>式：</w:t>
      </w:r>
      <w:r>
        <w:rPr>
          <w:rFonts w:hint="eastAsia" w:ascii="宋体" w:hAnsi="宋体" w:eastAsia="宋体" w:cs="宋体"/>
          <w:color w:val="auto"/>
          <w:sz w:val="24"/>
          <w:szCs w:val="24"/>
          <w:highlight w:val="none"/>
        </w:rPr>
        <w:t>单价包干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ab/>
      </w:r>
    </w:p>
    <w:p>
      <w:pPr>
        <w:pStyle w:val="2"/>
        <w:rPr>
          <w:rFonts w:eastAsia="宋体" w:cs="宋体"/>
          <w:color w:val="auto"/>
          <w:szCs w:val="21"/>
          <w:highlight w:val="none"/>
        </w:rPr>
      </w:pPr>
    </w:p>
    <w:p>
      <w:pPr>
        <w:adjustRightInd w:val="0"/>
        <w:snapToGrid w:val="0"/>
        <w:spacing w:line="600" w:lineRule="exact"/>
        <w:ind w:firstLine="560" w:firstLineChars="200"/>
        <w:jc w:val="left"/>
        <w:rPr>
          <w:rFonts w:ascii="宋体" w:hAnsi="宋体" w:eastAsia="宋体" w:cs="宋体"/>
          <w:color w:val="auto"/>
          <w:sz w:val="28"/>
          <w:szCs w:val="28"/>
          <w:highlight w:val="none"/>
        </w:rPr>
      </w:pPr>
    </w:p>
    <w:p>
      <w:pPr>
        <w:pStyle w:val="2"/>
        <w:rPr>
          <w:rFonts w:eastAsia="宋体" w:cs="宋体"/>
          <w:color w:val="auto"/>
          <w:highlight w:val="none"/>
        </w:rPr>
      </w:pPr>
    </w:p>
    <w:p>
      <w:pPr>
        <w:pStyle w:val="2"/>
        <w:ind w:left="0" w:leftChars="0" w:firstLine="0" w:firstLineChars="0"/>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ind w:left="0" w:leftChars="0" w:firstLine="0" w:firstLineChars="0"/>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pStyle w:val="2"/>
        <w:rPr>
          <w:rFonts w:eastAsia="宋体" w:cs="宋体"/>
          <w:color w:val="auto"/>
          <w:highlight w:val="none"/>
        </w:rPr>
      </w:pPr>
    </w:p>
    <w:p>
      <w:pPr>
        <w:rPr>
          <w:rFonts w:ascii="宋体" w:hAnsi="宋体" w:eastAsia="宋体" w:cs="宋体"/>
          <w:color w:val="auto"/>
          <w:highlight w:val="none"/>
        </w:rPr>
      </w:pPr>
      <w:bookmarkStart w:id="71" w:name="_Toc537"/>
      <w:bookmarkStart w:id="72" w:name="_Toc1284"/>
      <w:bookmarkStart w:id="73" w:name="_Toc18538"/>
      <w:bookmarkStart w:id="74" w:name="_Toc25925"/>
      <w:bookmarkStart w:id="75" w:name="_Toc15570"/>
      <w:bookmarkStart w:id="76" w:name="_Toc23330"/>
      <w:bookmarkStart w:id="77" w:name="_Toc4680"/>
      <w:bookmarkStart w:id="78" w:name="_Toc29835"/>
      <w:bookmarkStart w:id="79" w:name="_Toc1496"/>
      <w:bookmarkStart w:id="80" w:name="_Toc12135"/>
      <w:bookmarkStart w:id="81" w:name="_Toc23353"/>
    </w:p>
    <w:p>
      <w:pPr>
        <w:pStyle w:val="4"/>
        <w:rPr>
          <w:rFonts w:hint="eastAsia" w:ascii="宋体" w:hAnsi="宋体" w:eastAsia="宋体" w:cs="宋体"/>
          <w:color w:val="auto"/>
          <w:highlight w:val="none"/>
        </w:rPr>
      </w:pPr>
    </w:p>
    <w:p>
      <w:pPr>
        <w:pStyle w:val="4"/>
        <w:rPr>
          <w:rFonts w:ascii="宋体" w:hAnsi="宋体" w:eastAsia="宋体" w:cs="宋体"/>
          <w:color w:val="auto"/>
          <w:highlight w:val="none"/>
        </w:rPr>
      </w:pPr>
      <w:r>
        <w:rPr>
          <w:rFonts w:hint="eastAsia" w:ascii="宋体" w:hAnsi="宋体" w:eastAsia="宋体" w:cs="宋体"/>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2185035</wp:posOffset>
                </wp:positionH>
                <wp:positionV relativeFrom="paragraph">
                  <wp:posOffset>477520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2.05pt;margin-top:37.6pt;height:0pt;width:75.5pt;z-index:251667456;mso-width-relative:page;mso-height-relative:page;" filled="f" stroked="t" coordsize="21600,21600" o:gfxdata="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KM71HdcAAAAJ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2221865</wp:posOffset>
                </wp:positionH>
                <wp:positionV relativeFrom="paragraph">
                  <wp:posOffset>36195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4.95pt;margin-top:2.85pt;height:0pt;width:75.5pt;z-index:251666432;mso-width-relative:page;mso-height-relative:page;" filled="f" stroked="t" coordsize="21600,21600" o:gfxdata="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5HZCHUAAAABwEAAA8AAAAAAAAAAQAgAAAA&#10;IgAAAGRycy9kb3ducmV2LnhtbFBLAQIUABQAAAAIAIdO4kDLK5P71gEAAJQDAAAOAAAAAAAAAAEA&#10;IAAAACMBAABkcnMvZTJvRG9jLnhtbFBLBQYAAAAABgAGAFkBAABr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第六章</w:t>
      </w:r>
      <w:bookmarkEnd w:id="71"/>
      <w:bookmarkEnd w:id="72"/>
      <w:bookmarkEnd w:id="73"/>
      <w:bookmarkEnd w:id="74"/>
      <w:bookmarkEnd w:id="75"/>
      <w:bookmarkEnd w:id="76"/>
      <w:bookmarkEnd w:id="77"/>
      <w:bookmarkEnd w:id="78"/>
      <w:bookmarkEnd w:id="79"/>
      <w:bookmarkEnd w:id="80"/>
      <w:bookmarkEnd w:id="81"/>
    </w:p>
    <w:p>
      <w:pPr>
        <w:pStyle w:val="40"/>
        <w:rPr>
          <w:rFonts w:ascii="宋体" w:hAnsi="宋体" w:eastAsia="宋体" w:cs="宋体"/>
          <w:color w:val="auto"/>
          <w:highlight w:val="none"/>
        </w:rPr>
      </w:pPr>
    </w:p>
    <w:p>
      <w:pPr>
        <w:pStyle w:val="4"/>
        <w:rPr>
          <w:rFonts w:ascii="宋体" w:hAnsi="宋体" w:eastAsia="宋体" w:cs="宋体"/>
          <w:color w:val="auto"/>
          <w:highlight w:val="none"/>
        </w:rPr>
      </w:pPr>
      <w:bookmarkStart w:id="82" w:name="_Toc12968"/>
      <w:bookmarkStart w:id="83" w:name="_Toc19088"/>
      <w:bookmarkStart w:id="84" w:name="_Toc12721"/>
      <w:bookmarkStart w:id="85" w:name="_Toc1375"/>
      <w:bookmarkStart w:id="86" w:name="_Toc22797"/>
      <w:bookmarkStart w:id="87" w:name="_Toc8183"/>
      <w:bookmarkStart w:id="88" w:name="_Toc13309"/>
      <w:bookmarkStart w:id="89" w:name="_Toc12980"/>
      <w:bookmarkStart w:id="90" w:name="_Toc19686"/>
      <w:bookmarkStart w:id="91" w:name="_Toc88209949"/>
      <w:bookmarkStart w:id="92" w:name="_Toc87616386"/>
      <w:bookmarkStart w:id="93" w:name="_Toc22501"/>
      <w:bookmarkStart w:id="94" w:name="_Toc323"/>
      <w:r>
        <w:rPr>
          <w:rFonts w:hint="eastAsia" w:ascii="宋体" w:hAnsi="宋体" w:eastAsia="宋体" w:cs="宋体"/>
          <w:color w:val="auto"/>
          <w:highlight w:val="none"/>
        </w:rPr>
        <w:t>合同</w:t>
      </w:r>
      <w:bookmarkEnd w:id="82"/>
      <w:bookmarkEnd w:id="83"/>
      <w:bookmarkEnd w:id="84"/>
      <w:bookmarkEnd w:id="85"/>
      <w:bookmarkEnd w:id="86"/>
      <w:bookmarkEnd w:id="87"/>
      <w:bookmarkEnd w:id="88"/>
      <w:bookmarkEnd w:id="89"/>
      <w:bookmarkEnd w:id="90"/>
      <w:bookmarkEnd w:id="91"/>
      <w:bookmarkEnd w:id="92"/>
      <w:bookmarkEnd w:id="93"/>
      <w:bookmarkEnd w:id="94"/>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pStyle w:val="2"/>
        <w:rPr>
          <w:rFonts w:ascii="宋体" w:hAnsi="宋体" w:eastAsia="宋体" w:cs="宋体"/>
          <w:color w:val="auto"/>
          <w:sz w:val="44"/>
          <w:szCs w:val="44"/>
          <w:highlight w:val="none"/>
        </w:rPr>
      </w:pPr>
    </w:p>
    <w:p>
      <w:pPr>
        <w:pStyle w:val="2"/>
        <w:rPr>
          <w:rFonts w:ascii="宋体" w:hAnsi="宋体" w:eastAsia="宋体" w:cs="宋体"/>
          <w:color w:val="auto"/>
          <w:sz w:val="44"/>
          <w:szCs w:val="44"/>
          <w:highlight w:val="none"/>
        </w:rPr>
      </w:pPr>
    </w:p>
    <w:p>
      <w:pPr>
        <w:adjustRightInd w:val="0"/>
        <w:snapToGrid w:val="0"/>
        <w:spacing w:before="190" w:beforeLines="50" w:after="190" w:afterLines="50" w:line="600" w:lineRule="exact"/>
        <w:jc w:val="center"/>
        <w:rPr>
          <w:rFonts w:ascii="宋体" w:hAnsi="宋体" w:eastAsia="宋体" w:cs="宋体"/>
          <w:color w:val="auto"/>
          <w:sz w:val="44"/>
          <w:szCs w:val="44"/>
          <w:highlight w:val="none"/>
        </w:rPr>
      </w:pPr>
    </w:p>
    <w:p>
      <w:pPr>
        <w:rPr>
          <w:rFonts w:ascii="宋体" w:hAnsi="宋体" w:eastAsia="宋体" w:cs="宋体"/>
          <w:color w:val="auto"/>
          <w:sz w:val="28"/>
          <w:szCs w:val="28"/>
          <w:highlight w:val="none"/>
        </w:rPr>
      </w:pPr>
    </w:p>
    <w:p>
      <w:pPr>
        <w:pStyle w:val="2"/>
        <w:ind w:firstLine="0"/>
        <w:rPr>
          <w:rFonts w:eastAsia="宋体" w:cs="宋体"/>
          <w:color w:val="auto"/>
          <w:sz w:val="28"/>
          <w:szCs w:val="28"/>
          <w:highlight w:val="none"/>
        </w:rPr>
      </w:pPr>
    </w:p>
    <w:p>
      <w:pPr>
        <w:autoSpaceDE w:val="0"/>
        <w:autoSpaceDN w:val="0"/>
        <w:adjustRightInd w:val="0"/>
        <w:spacing w:after="200"/>
        <w:jc w:val="center"/>
        <w:rPr>
          <w:rFonts w:ascii="宋体" w:hAnsi="宋体" w:eastAsia="宋体" w:cs="宋体"/>
          <w:b/>
          <w:color w:val="auto"/>
          <w:sz w:val="52"/>
          <w:szCs w:val="84"/>
          <w:highlight w:val="none"/>
        </w:rPr>
      </w:pPr>
      <w:r>
        <w:rPr>
          <w:rFonts w:hint="eastAsia" w:ascii="宋体" w:hAnsi="宋体" w:eastAsia="宋体" w:cs="宋体"/>
          <w:b/>
          <w:color w:val="auto"/>
          <w:sz w:val="28"/>
          <w:szCs w:val="28"/>
          <w:highlight w:val="none"/>
          <w:lang w:val="zh-CN"/>
        </w:rPr>
        <w:t xml:space="preserve">第四部分 </w:t>
      </w:r>
      <w:r>
        <w:rPr>
          <w:rFonts w:hint="eastAsia" w:ascii="宋体" w:hAnsi="宋体" w:eastAsia="宋体" w:cs="宋体"/>
          <w:b/>
          <w:color w:val="auto"/>
          <w:sz w:val="28"/>
          <w:szCs w:val="28"/>
          <w:highlight w:val="none"/>
        </w:rPr>
        <w:t xml:space="preserve"> 合同书格式</w:t>
      </w:r>
    </w:p>
    <w:p>
      <w:pPr>
        <w:rPr>
          <w:rFonts w:ascii="宋体" w:hAnsi="宋体" w:eastAsia="宋体" w:cs="宋体"/>
          <w:b/>
          <w:color w:val="auto"/>
          <w:sz w:val="44"/>
          <w:highlight w:val="none"/>
        </w:rPr>
      </w:pPr>
    </w:p>
    <w:p>
      <w:pPr>
        <w:pStyle w:val="2"/>
        <w:rPr>
          <w:rFonts w:eastAsia="宋体" w:cs="宋体"/>
          <w:color w:val="auto"/>
          <w:highlight w:val="none"/>
        </w:rPr>
      </w:pPr>
    </w:p>
    <w:p>
      <w:pPr>
        <w:jc w:val="center"/>
        <w:rPr>
          <w:rFonts w:hint="eastAsia" w:ascii="仿宋" w:hAnsi="仿宋" w:eastAsia="仿宋" w:cs="仿宋"/>
          <w:b/>
          <w:color w:val="auto"/>
          <w:sz w:val="52"/>
          <w:szCs w:val="84"/>
          <w:highlight w:val="none"/>
        </w:rPr>
      </w:pPr>
    </w:p>
    <w:p>
      <w:pPr>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设备采购合同</w:t>
      </w:r>
    </w:p>
    <w:p>
      <w:pPr>
        <w:jc w:val="center"/>
        <w:rPr>
          <w:rFonts w:hint="eastAsia" w:ascii="仿宋" w:hAnsi="仿宋" w:eastAsia="仿宋" w:cs="仿宋"/>
          <w:color w:val="auto"/>
          <w:sz w:val="30"/>
          <w:highlight w:val="none"/>
        </w:rPr>
      </w:pPr>
    </w:p>
    <w:p>
      <w:pPr>
        <w:rPr>
          <w:rFonts w:hint="eastAsia" w:ascii="仿宋" w:hAnsi="仿宋" w:eastAsia="仿宋" w:cs="仿宋"/>
          <w:color w:val="auto"/>
          <w:sz w:val="30"/>
          <w:highlight w:val="none"/>
        </w:rPr>
      </w:pPr>
      <w:r>
        <w:rPr>
          <w:rFonts w:hint="eastAsia" w:ascii="仿宋" w:hAnsi="仿宋" w:eastAsia="仿宋" w:cs="仿宋"/>
          <w:color w:val="auto"/>
          <w:sz w:val="30"/>
          <w:highlight w:val="none"/>
        </w:rPr>
        <w:t>项目名称：</w:t>
      </w:r>
    </w:p>
    <w:p>
      <w:pPr>
        <w:rPr>
          <w:rFonts w:hint="eastAsia" w:ascii="仿宋" w:hAnsi="仿宋" w:eastAsia="仿宋" w:cs="仿宋"/>
          <w:color w:val="auto"/>
          <w:sz w:val="30"/>
          <w:highlight w:val="none"/>
          <w:lang w:val="en-US" w:eastAsia="zh-CN"/>
        </w:rPr>
      </w:pPr>
      <w:r>
        <w:rPr>
          <w:rFonts w:hint="eastAsia" w:ascii="仿宋" w:hAnsi="仿宋" w:eastAsia="仿宋" w:cs="仿宋"/>
          <w:color w:val="auto"/>
          <w:sz w:val="30"/>
          <w:highlight w:val="none"/>
          <w:lang w:val="en-US" w:eastAsia="zh-CN"/>
        </w:rPr>
        <w:t>项目编号：</w:t>
      </w:r>
    </w:p>
    <w:p>
      <w:pPr>
        <w:rPr>
          <w:rFonts w:hint="eastAsia" w:ascii="仿宋" w:hAnsi="仿宋" w:eastAsia="仿宋" w:cs="仿宋"/>
          <w:color w:val="auto"/>
          <w:sz w:val="30"/>
          <w:highlight w:val="none"/>
          <w:lang w:val="en-US" w:eastAsia="zh-CN"/>
        </w:rPr>
      </w:pPr>
    </w:p>
    <w:p>
      <w:pPr>
        <w:rPr>
          <w:rFonts w:hint="eastAsia" w:ascii="仿宋" w:hAnsi="仿宋" w:eastAsia="仿宋" w:cs="仿宋"/>
          <w:color w:val="auto"/>
          <w:sz w:val="30"/>
          <w:highlight w:val="none"/>
          <w:lang w:val="en-US" w:eastAsia="zh-CN"/>
        </w:rPr>
      </w:pPr>
      <w:r>
        <w:rPr>
          <w:rFonts w:hint="eastAsia" w:ascii="仿宋" w:hAnsi="仿宋" w:eastAsia="仿宋" w:cs="仿宋"/>
          <w:color w:val="auto"/>
          <w:sz w:val="30"/>
          <w:highlight w:val="none"/>
        </w:rPr>
        <w:t>合同编号：</w:t>
      </w:r>
      <w:r>
        <w:rPr>
          <w:rFonts w:hint="eastAsia" w:ascii="仿宋" w:hAnsi="仿宋" w:eastAsia="仿宋" w:cs="仿宋"/>
          <w:color w:val="auto"/>
          <w:sz w:val="30"/>
          <w:highlight w:val="none"/>
          <w:lang w:val="en-US" w:eastAsia="zh-CN"/>
        </w:rPr>
        <w:t>穗净水设备合[          ]           号</w:t>
      </w:r>
    </w:p>
    <w:p>
      <w:pPr>
        <w:rPr>
          <w:rFonts w:hint="eastAsia" w:ascii="仿宋" w:hAnsi="仿宋" w:eastAsia="仿宋" w:cs="仿宋"/>
          <w:color w:val="auto"/>
          <w:sz w:val="30"/>
          <w:szCs w:val="30"/>
          <w:highlight w:val="none"/>
        </w:rPr>
      </w:pPr>
    </w:p>
    <w:p>
      <w:pPr>
        <w:rPr>
          <w:rFonts w:hint="eastAsia" w:ascii="仿宋" w:hAnsi="仿宋" w:eastAsia="仿宋" w:cs="仿宋"/>
          <w:color w:val="auto"/>
          <w:sz w:val="30"/>
          <w:highlight w:val="none"/>
          <w:u w:val="single"/>
        </w:rPr>
      </w:pPr>
      <w:r>
        <w:rPr>
          <w:rFonts w:hint="eastAsia" w:ascii="仿宋" w:hAnsi="仿宋" w:eastAsia="仿宋" w:cs="仿宋"/>
          <w:color w:val="auto"/>
          <w:sz w:val="30"/>
          <w:highlight w:val="none"/>
        </w:rPr>
        <w:t>甲方（买方）：</w:t>
      </w:r>
      <w:r>
        <w:rPr>
          <w:rFonts w:hint="eastAsia" w:ascii="仿宋" w:hAnsi="仿宋" w:eastAsia="仿宋" w:cs="仿宋"/>
          <w:color w:val="auto"/>
          <w:sz w:val="30"/>
          <w:highlight w:val="none"/>
          <w:lang w:val="en-US" w:eastAsia="zh-CN"/>
        </w:rPr>
        <w:t>广州城市水处理设备有限公司</w:t>
      </w:r>
    </w:p>
    <w:p>
      <w:pPr>
        <w:rPr>
          <w:rFonts w:hint="eastAsia" w:ascii="仿宋" w:hAnsi="仿宋" w:eastAsia="仿宋" w:cs="仿宋"/>
          <w:color w:val="auto"/>
          <w:sz w:val="30"/>
          <w:highlight w:val="none"/>
        </w:rPr>
      </w:pPr>
      <w:r>
        <w:rPr>
          <w:rFonts w:hint="eastAsia" w:ascii="仿宋" w:hAnsi="仿宋" w:eastAsia="仿宋" w:cs="仿宋"/>
          <w:color w:val="auto"/>
          <w:sz w:val="30"/>
          <w:highlight w:val="none"/>
        </w:rPr>
        <w:t>乙方（卖方）：</w:t>
      </w:r>
      <w:r>
        <w:rPr>
          <w:rFonts w:hint="eastAsia" w:ascii="仿宋" w:hAnsi="仿宋" w:eastAsia="仿宋" w:cs="仿宋"/>
          <w:b/>
          <w:bCs/>
          <w:color w:val="auto"/>
          <w:sz w:val="30"/>
          <w:highlight w:val="none"/>
          <w:u w:val="single"/>
        </w:rPr>
        <w:t xml:space="preserve"> </w:t>
      </w:r>
      <w:r>
        <w:rPr>
          <w:rFonts w:hint="eastAsia" w:ascii="仿宋" w:hAnsi="仿宋" w:eastAsia="仿宋" w:cs="仿宋"/>
          <w:b/>
          <w:bCs/>
          <w:color w:val="auto"/>
          <w:sz w:val="30"/>
          <w:highlight w:val="none"/>
          <w:u w:val="single"/>
          <w:lang w:val="en-US" w:eastAsia="zh-CN"/>
        </w:rPr>
        <w:t xml:space="preserve">              </w:t>
      </w:r>
      <w:r>
        <w:rPr>
          <w:rFonts w:hint="eastAsia" w:ascii="仿宋" w:hAnsi="仿宋" w:eastAsia="仿宋" w:cs="仿宋"/>
          <w:b/>
          <w:bCs/>
          <w:color w:val="auto"/>
          <w:sz w:val="30"/>
          <w:highlight w:val="none"/>
          <w:u w:val="single"/>
        </w:rPr>
        <w:t xml:space="preserve">                                         </w:t>
      </w:r>
      <w:r>
        <w:rPr>
          <w:rFonts w:hint="eastAsia" w:ascii="仿宋" w:hAnsi="仿宋" w:eastAsia="仿宋" w:cs="仿宋"/>
          <w:color w:val="auto"/>
          <w:sz w:val="30"/>
          <w:highlight w:val="none"/>
          <w:u w:val="single"/>
        </w:rPr>
        <w:t xml:space="preserve">                                        </w:t>
      </w:r>
      <w:r>
        <w:rPr>
          <w:rFonts w:hint="eastAsia" w:ascii="仿宋" w:hAnsi="仿宋" w:eastAsia="仿宋" w:cs="仿宋"/>
          <w:color w:val="auto"/>
          <w:sz w:val="30"/>
          <w:highlight w:val="none"/>
        </w:rPr>
        <w:t xml:space="preserve"> </w:t>
      </w:r>
    </w:p>
    <w:p>
      <w:pPr>
        <w:rPr>
          <w:rFonts w:hint="eastAsia" w:ascii="仿宋" w:hAnsi="仿宋" w:eastAsia="仿宋" w:cs="仿宋"/>
          <w:color w:val="auto"/>
          <w:sz w:val="30"/>
          <w:highlight w:val="none"/>
        </w:rPr>
      </w:pPr>
      <w:r>
        <w:rPr>
          <w:rFonts w:hint="eastAsia" w:ascii="仿宋" w:hAnsi="仿宋" w:eastAsia="仿宋" w:cs="仿宋"/>
          <w:color w:val="auto"/>
          <w:sz w:val="30"/>
          <w:highlight w:val="none"/>
        </w:rPr>
        <w:t>签订日期：           年       月     日</w:t>
      </w:r>
    </w:p>
    <w:p>
      <w:pPr>
        <w:rPr>
          <w:rFonts w:hint="eastAsia" w:ascii="仿宋" w:hAnsi="仿宋" w:eastAsia="仿宋" w:cs="仿宋"/>
          <w:color w:val="auto"/>
          <w:sz w:val="30"/>
          <w:highlight w:val="none"/>
        </w:rPr>
      </w:pPr>
      <w:r>
        <w:rPr>
          <w:rFonts w:hint="eastAsia" w:ascii="仿宋" w:hAnsi="仿宋" w:eastAsia="仿宋" w:cs="仿宋"/>
          <w:color w:val="auto"/>
          <w:sz w:val="30"/>
          <w:highlight w:val="none"/>
        </w:rPr>
        <w:t>签约地点：广州市</w:t>
      </w:r>
    </w:p>
    <w:p>
      <w:pPr>
        <w:pStyle w:val="55"/>
        <w:spacing w:line="500" w:lineRule="exact"/>
        <w:jc w:val="center"/>
        <w:rPr>
          <w:rFonts w:hint="eastAsia" w:ascii="仿宋" w:hAnsi="仿宋" w:eastAsia="仿宋" w:cs="仿宋"/>
          <w:b/>
          <w:bCs/>
          <w:sz w:val="36"/>
          <w:szCs w:val="36"/>
          <w:highlight w:val="none"/>
          <w:lang w:val="zh-CN" w:eastAsia="zh-CN"/>
        </w:rPr>
      </w:pPr>
    </w:p>
    <w:p>
      <w:pPr>
        <w:rPr>
          <w:rFonts w:hint="eastAsia" w:ascii="仿宋" w:hAnsi="仿宋" w:eastAsia="仿宋" w:cs="仿宋"/>
          <w:color w:val="auto"/>
          <w:highlight w:val="none"/>
        </w:rPr>
        <w:sectPr>
          <w:footerReference r:id="rId4" w:type="default"/>
          <w:headerReference r:id="rId3" w:type="even"/>
          <w:footerReference r:id="rId5" w:type="even"/>
          <w:pgSz w:w="11907" w:h="16840"/>
          <w:pgMar w:top="1701" w:right="1701" w:bottom="1701" w:left="1701" w:header="851" w:footer="992" w:gutter="0"/>
          <w:cols w:space="720" w:num="1"/>
          <w:docGrid w:type="linesAndChars" w:linePitch="381" w:charSpace="0"/>
        </w:sectPr>
      </w:pPr>
    </w:p>
    <w:p>
      <w:p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w:t>
      </w:r>
      <w:r>
        <w:rPr>
          <w:rFonts w:hint="eastAsia" w:ascii="仿宋" w:hAnsi="仿宋" w:eastAsia="仿宋" w:cs="仿宋"/>
          <w:color w:val="auto"/>
          <w:sz w:val="24"/>
          <w:szCs w:val="24"/>
          <w:highlight w:val="none"/>
          <w:lang w:val="en-US" w:eastAsia="zh-CN"/>
        </w:rPr>
        <w:t>民法典</w:t>
      </w:r>
      <w:r>
        <w:rPr>
          <w:rFonts w:hint="eastAsia" w:ascii="仿宋" w:hAnsi="仿宋" w:eastAsia="仿宋" w:cs="仿宋"/>
          <w:color w:val="auto"/>
          <w:sz w:val="24"/>
          <w:szCs w:val="24"/>
          <w:highlight w:val="none"/>
        </w:rPr>
        <w:t>》及其他有关法律、行政法规，</w:t>
      </w:r>
      <w:r>
        <w:rPr>
          <w:rFonts w:hint="eastAsia" w:ascii="仿宋" w:hAnsi="仿宋" w:eastAsia="仿宋" w:cs="仿宋"/>
          <w:color w:val="auto"/>
          <w:sz w:val="24"/>
          <w:szCs w:val="24"/>
          <w:highlight w:val="none"/>
          <w:u w:val="single"/>
          <w:lang w:val="en-US" w:eastAsia="zh-CN"/>
        </w:rPr>
        <w:t>广州城市水处理设备有限公司</w:t>
      </w:r>
      <w:r>
        <w:rPr>
          <w:rFonts w:hint="eastAsia" w:ascii="仿宋" w:hAnsi="仿宋" w:eastAsia="仿宋" w:cs="仿宋"/>
          <w:color w:val="auto"/>
          <w:sz w:val="24"/>
          <w:szCs w:val="24"/>
          <w:highlight w:val="none"/>
        </w:rPr>
        <w:t xml:space="preserve"> （以下简称“甲方”）与</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lang w:val="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（以下简称“乙方”）就</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lang w:val="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rPr>
        <w:t>采购和相应技术服务事宜，遵循平等、自愿、公平和诚实信用的原则，双方协商一致，订立本合同。</w:t>
      </w:r>
      <w:bookmarkStart w:id="95" w:name="_Toc474245210"/>
      <w:bookmarkStart w:id="96" w:name="_Toc520190026"/>
      <w:bookmarkStart w:id="97" w:name="_Toc518992986"/>
      <w:bookmarkStart w:id="98" w:name="_Toc183666513"/>
      <w:bookmarkStart w:id="99" w:name="_Toc1018"/>
    </w:p>
    <w:p>
      <w:pPr>
        <w:spacing w:line="360" w:lineRule="auto"/>
        <w:ind w:firstLine="54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第一条 组成合同的文件及优先顺序</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 xml:space="preserve">⑴ </w:t>
      </w:r>
      <w:r>
        <w:rPr>
          <w:rFonts w:hint="eastAsia" w:ascii="仿宋" w:hAnsi="仿宋" w:eastAsia="仿宋" w:cs="仿宋"/>
          <w:color w:val="auto"/>
          <w:sz w:val="24"/>
          <w:highlight w:val="none"/>
        </w:rPr>
        <w:t>在本合同实施过程双方签署的补充与修正文件</w:t>
      </w:r>
      <w:r>
        <w:rPr>
          <w:rFonts w:hint="eastAsia" w:ascii="仿宋" w:hAnsi="仿宋" w:eastAsia="仿宋" w:cs="仿宋"/>
          <w:bCs/>
          <w:color w:val="auto"/>
          <w:sz w:val="24"/>
          <w:highlight w:val="none"/>
        </w:rPr>
        <w:t>；</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⑵ 本合同书；</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⑶ 中标通知书/发包通知书/</w:t>
      </w:r>
      <w:r>
        <w:rPr>
          <w:rFonts w:hint="eastAsia" w:ascii="仿宋" w:hAnsi="仿宋" w:eastAsia="仿宋" w:cs="仿宋"/>
          <w:bCs/>
          <w:color w:val="auto"/>
          <w:sz w:val="24"/>
          <w:highlight w:val="none"/>
          <w:lang w:val="en-US" w:eastAsia="zh-CN"/>
        </w:rPr>
        <w:t>成交通知书/</w:t>
      </w:r>
      <w:r>
        <w:rPr>
          <w:rFonts w:hint="eastAsia" w:ascii="仿宋" w:hAnsi="仿宋" w:eastAsia="仿宋" w:cs="仿宋"/>
          <w:bCs/>
          <w:color w:val="auto"/>
          <w:sz w:val="24"/>
          <w:highlight w:val="none"/>
        </w:rPr>
        <w:t>委托函；</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⑷ 招标文件/询价文件；</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⑸ 投标文件/响应文件；</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⑹ 标准、规范及有关技术性文件；</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⑺ 图纸；</w:t>
      </w:r>
    </w:p>
    <w:p>
      <w:pPr>
        <w:keepNext w:val="0"/>
        <w:keepLines w:val="0"/>
        <w:pageBreakBefore w:val="0"/>
        <w:widowControl/>
        <w:kinsoku/>
        <w:wordWrap/>
        <w:overflowPunct/>
        <w:topLinePunct w:val="0"/>
        <w:autoSpaceDE/>
        <w:autoSpaceDN/>
        <w:bidi w:val="0"/>
        <w:adjustRightInd/>
        <w:snapToGrid/>
        <w:spacing w:line="320" w:lineRule="exact"/>
        <w:ind w:firstLine="482"/>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⑻ 工程量清单/</w:t>
      </w:r>
      <w:r>
        <w:rPr>
          <w:rFonts w:hint="eastAsia" w:ascii="仿宋" w:hAnsi="仿宋" w:eastAsia="仿宋" w:cs="仿宋"/>
          <w:color w:val="auto"/>
          <w:sz w:val="24"/>
          <w:highlight w:val="none"/>
        </w:rPr>
        <w:t>工程报价单或预算书；</w:t>
      </w:r>
    </w:p>
    <w:p>
      <w:pPr>
        <w:keepNext w:val="0"/>
        <w:keepLines w:val="0"/>
        <w:pageBreakBefore w:val="0"/>
        <w:widowControl/>
        <w:kinsoku/>
        <w:wordWrap/>
        <w:overflowPunct/>
        <w:topLinePunct w:val="0"/>
        <w:autoSpaceDE/>
        <w:autoSpaceDN/>
        <w:bidi w:val="0"/>
        <w:adjustRightInd/>
        <w:snapToGrid/>
        <w:spacing w:line="32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highlight w:val="none"/>
        </w:rPr>
        <w:t>⑼ 本合同其他附件；</w:t>
      </w:r>
    </w:p>
    <w:p>
      <w:pPr>
        <w:spacing w:line="360" w:lineRule="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rPr>
        <w:t xml:space="preserve"> 第二条 </w:t>
      </w:r>
      <w:bookmarkEnd w:id="95"/>
      <w:bookmarkEnd w:id="96"/>
      <w:bookmarkEnd w:id="97"/>
      <w:bookmarkEnd w:id="98"/>
      <w:bookmarkEnd w:id="99"/>
      <w:r>
        <w:rPr>
          <w:rFonts w:hint="eastAsia" w:ascii="仿宋" w:hAnsi="仿宋" w:eastAsia="仿宋" w:cs="仿宋"/>
          <w:b/>
          <w:color w:val="auto"/>
          <w:sz w:val="24"/>
          <w:szCs w:val="24"/>
          <w:highlight w:val="none"/>
        </w:rPr>
        <w:t>合同标的</w:t>
      </w:r>
    </w:p>
    <w:p>
      <w:pPr>
        <w:autoSpaceDE w:val="0"/>
        <w:autoSpaceDN w:val="0"/>
        <w:adjustRightInd w:val="0"/>
        <w:spacing w:line="360" w:lineRule="auto"/>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本合同所指设备为</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lang w:val="zh-CN"/>
        </w:rPr>
        <w:t>全新的原装产品，原产地为</w:t>
      </w:r>
      <w:r>
        <w:rPr>
          <w:rFonts w:hint="eastAsia" w:ascii="仿宋" w:hAnsi="仿宋" w:eastAsia="仿宋" w:cs="仿宋"/>
          <w:color w:val="auto"/>
          <w:kern w:val="0"/>
          <w:sz w:val="24"/>
          <w:szCs w:val="24"/>
          <w:highlight w:val="none"/>
          <w:u w:val="single"/>
          <w:lang w:val="zh-CN"/>
        </w:rPr>
        <w:t xml:space="preserve"> …</w:t>
      </w:r>
      <w:r>
        <w:rPr>
          <w:rFonts w:hint="eastAsia" w:ascii="仿宋" w:hAnsi="仿宋" w:eastAsia="仿宋" w:cs="仿宋"/>
          <w:color w:val="auto"/>
          <w:kern w:val="0"/>
          <w:sz w:val="24"/>
          <w:szCs w:val="24"/>
          <w:highlight w:val="none"/>
          <w:u w:val="single"/>
          <w:lang w:val="en-US" w:eastAsia="zh-CN"/>
        </w:rPr>
        <w:t xml:space="preserve">  </w:t>
      </w:r>
      <w:r>
        <w:rPr>
          <w:rFonts w:hint="eastAsia" w:ascii="仿宋" w:hAnsi="仿宋" w:eastAsia="仿宋" w:cs="仿宋"/>
          <w:color w:val="auto"/>
          <w:kern w:val="0"/>
          <w:sz w:val="24"/>
          <w:szCs w:val="24"/>
          <w:highlight w:val="none"/>
          <w:u w:val="none"/>
          <w:lang w:val="zh-CN"/>
        </w:rPr>
        <w:t>，</w:t>
      </w:r>
      <w:r>
        <w:rPr>
          <w:rFonts w:hint="eastAsia" w:ascii="仿宋" w:hAnsi="仿宋" w:eastAsia="仿宋" w:cs="仿宋"/>
          <w:color w:val="auto"/>
          <w:kern w:val="0"/>
          <w:sz w:val="24"/>
          <w:szCs w:val="24"/>
          <w:highlight w:val="none"/>
        </w:rPr>
        <w:t>其</w:t>
      </w:r>
      <w:r>
        <w:rPr>
          <w:rFonts w:hint="eastAsia" w:ascii="仿宋" w:hAnsi="仿宋" w:eastAsia="仿宋" w:cs="仿宋"/>
          <w:color w:val="auto"/>
          <w:kern w:val="0"/>
          <w:sz w:val="24"/>
          <w:szCs w:val="24"/>
          <w:highlight w:val="none"/>
          <w:lang w:val="zh-CN"/>
        </w:rPr>
        <w:t>名称、型号、规格、数量、金额详见下表：</w:t>
      </w:r>
    </w:p>
    <w:tbl>
      <w:tblPr>
        <w:tblStyle w:val="24"/>
        <w:tblW w:w="0" w:type="auto"/>
        <w:tblInd w:w="0" w:type="dxa"/>
        <w:tblLayout w:type="fixed"/>
        <w:tblCellMar>
          <w:top w:w="0" w:type="dxa"/>
          <w:left w:w="108" w:type="dxa"/>
          <w:bottom w:w="0" w:type="dxa"/>
          <w:right w:w="108" w:type="dxa"/>
        </w:tblCellMar>
      </w:tblPr>
      <w:tblGrid>
        <w:gridCol w:w="729"/>
        <w:gridCol w:w="975"/>
        <w:gridCol w:w="1290"/>
        <w:gridCol w:w="765"/>
        <w:gridCol w:w="750"/>
        <w:gridCol w:w="735"/>
        <w:gridCol w:w="990"/>
        <w:gridCol w:w="795"/>
        <w:gridCol w:w="1062"/>
        <w:gridCol w:w="940"/>
      </w:tblGrid>
      <w:tr>
        <w:tblPrEx>
          <w:tblCellMar>
            <w:top w:w="0" w:type="dxa"/>
            <w:left w:w="108" w:type="dxa"/>
            <w:bottom w:w="0" w:type="dxa"/>
            <w:right w:w="108" w:type="dxa"/>
          </w:tblCellMar>
        </w:tblPrEx>
        <w:trPr>
          <w:trHeight w:val="440" w:hRule="atLeast"/>
        </w:trPr>
        <w:tc>
          <w:tcPr>
            <w:tcW w:w="729"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序号</w:t>
            </w:r>
          </w:p>
        </w:tc>
        <w:tc>
          <w:tcPr>
            <w:tcW w:w="975"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名称</w:t>
            </w:r>
          </w:p>
        </w:tc>
        <w:tc>
          <w:tcPr>
            <w:tcW w:w="1290"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生产厂家及</w:t>
            </w:r>
            <w:r>
              <w:rPr>
                <w:rFonts w:hint="eastAsia" w:ascii="仿宋" w:hAnsi="仿宋" w:eastAsia="仿宋" w:cs="仿宋"/>
                <w:color w:val="auto"/>
                <w:kern w:val="0"/>
                <w:sz w:val="24"/>
                <w:highlight w:val="none"/>
                <w:lang w:val="en-US" w:eastAsia="zh-CN"/>
              </w:rPr>
              <w:t>型号</w:t>
            </w:r>
          </w:p>
        </w:tc>
        <w:tc>
          <w:tcPr>
            <w:tcW w:w="765"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单位</w:t>
            </w:r>
          </w:p>
        </w:tc>
        <w:tc>
          <w:tcPr>
            <w:tcW w:w="750"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数量</w:t>
            </w:r>
          </w:p>
        </w:tc>
        <w:tc>
          <w:tcPr>
            <w:tcW w:w="1725"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单价（元）</w:t>
            </w:r>
          </w:p>
        </w:tc>
        <w:tc>
          <w:tcPr>
            <w:tcW w:w="1857" w:type="dxa"/>
            <w:gridSpan w:val="2"/>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金额（元）</w:t>
            </w:r>
          </w:p>
        </w:tc>
        <w:tc>
          <w:tcPr>
            <w:tcW w:w="940" w:type="dxa"/>
            <w:vMerge w:val="restart"/>
            <w:tcBorders>
              <w:top w:val="single" w:color="000000" w:sz="2" w:space="0"/>
              <w:left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备注</w:t>
            </w:r>
          </w:p>
        </w:tc>
      </w:tr>
      <w:tr>
        <w:tblPrEx>
          <w:tblCellMar>
            <w:top w:w="0" w:type="dxa"/>
            <w:left w:w="108" w:type="dxa"/>
            <w:bottom w:w="0" w:type="dxa"/>
            <w:right w:w="108" w:type="dxa"/>
          </w:tblCellMar>
        </w:tblPrEx>
        <w:trPr>
          <w:trHeight w:val="425" w:hRule="atLeast"/>
        </w:trPr>
        <w:tc>
          <w:tcPr>
            <w:tcW w:w="729"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szCs w:val="24"/>
                <w:highlight w:val="none"/>
              </w:rPr>
            </w:pPr>
          </w:p>
        </w:tc>
        <w:tc>
          <w:tcPr>
            <w:tcW w:w="975"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szCs w:val="24"/>
                <w:highlight w:val="none"/>
              </w:rPr>
            </w:pPr>
          </w:p>
        </w:tc>
        <w:tc>
          <w:tcPr>
            <w:tcW w:w="1290"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szCs w:val="24"/>
                <w:highlight w:val="none"/>
              </w:rPr>
            </w:pPr>
          </w:p>
        </w:tc>
        <w:tc>
          <w:tcPr>
            <w:tcW w:w="765"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szCs w:val="24"/>
                <w:highlight w:val="none"/>
              </w:rPr>
            </w:pPr>
          </w:p>
        </w:tc>
        <w:tc>
          <w:tcPr>
            <w:tcW w:w="750"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sz w:val="24"/>
                <w:szCs w:val="24"/>
                <w:highlight w:val="none"/>
              </w:rPr>
            </w:pPr>
          </w:p>
        </w:tc>
        <w:tc>
          <w:tcPr>
            <w:tcW w:w="73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含税</w:t>
            </w:r>
          </w:p>
        </w:tc>
        <w:tc>
          <w:tcPr>
            <w:tcW w:w="9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不含税</w:t>
            </w:r>
          </w:p>
        </w:tc>
        <w:tc>
          <w:tcPr>
            <w:tcW w:w="79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含税</w:t>
            </w:r>
          </w:p>
        </w:tc>
        <w:tc>
          <w:tcPr>
            <w:tcW w:w="106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不含税</w:t>
            </w:r>
          </w:p>
        </w:tc>
        <w:tc>
          <w:tcPr>
            <w:tcW w:w="940" w:type="dxa"/>
            <w:vMerge w:val="continue"/>
            <w:tcBorders>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highlight w:val="none"/>
                <w:lang w:val="zh-CN"/>
              </w:rPr>
            </w:pPr>
          </w:p>
        </w:tc>
      </w:tr>
      <w:tr>
        <w:tblPrEx>
          <w:tblCellMar>
            <w:top w:w="0" w:type="dxa"/>
            <w:left w:w="108" w:type="dxa"/>
            <w:bottom w:w="0" w:type="dxa"/>
            <w:right w:w="108" w:type="dxa"/>
          </w:tblCellMar>
        </w:tblPrEx>
        <w:trPr>
          <w:trHeight w:val="314" w:hRule="atLeast"/>
        </w:trPr>
        <w:tc>
          <w:tcPr>
            <w:tcW w:w="7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highlight w:val="none"/>
                <w:lang w:val="zh-CN"/>
              </w:rPr>
            </w:pPr>
          </w:p>
        </w:tc>
        <w:tc>
          <w:tcPr>
            <w:tcW w:w="12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highlight w:val="none"/>
                <w:lang w:val="zh-CN"/>
              </w:rPr>
            </w:pP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highlight w:val="none"/>
                <w:lang w:val="zh-CN"/>
              </w:rPr>
            </w:pPr>
          </w:p>
        </w:tc>
        <w:tc>
          <w:tcPr>
            <w:tcW w:w="75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highlight w:val="none"/>
                <w:lang w:val="zh-CN"/>
              </w:rPr>
            </w:pPr>
          </w:p>
        </w:tc>
        <w:tc>
          <w:tcPr>
            <w:tcW w:w="73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highlight w:val="none"/>
                <w:lang w:val="zh-CN"/>
              </w:rPr>
            </w:pPr>
          </w:p>
        </w:tc>
        <w:tc>
          <w:tcPr>
            <w:tcW w:w="9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highlight w:val="none"/>
                <w:lang w:val="zh-CN"/>
              </w:rPr>
            </w:pPr>
          </w:p>
        </w:tc>
        <w:tc>
          <w:tcPr>
            <w:tcW w:w="79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highlight w:val="none"/>
                <w:lang w:val="zh-CN"/>
              </w:rPr>
            </w:pPr>
          </w:p>
        </w:tc>
        <w:tc>
          <w:tcPr>
            <w:tcW w:w="106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highlight w:val="none"/>
                <w:lang w:val="zh-CN"/>
              </w:rPr>
            </w:pPr>
          </w:p>
        </w:tc>
      </w:tr>
      <w:tr>
        <w:tblPrEx>
          <w:tblCellMar>
            <w:top w:w="0" w:type="dxa"/>
            <w:left w:w="108" w:type="dxa"/>
            <w:bottom w:w="0" w:type="dxa"/>
            <w:right w:w="108" w:type="dxa"/>
          </w:tblCellMar>
        </w:tblPrEx>
        <w:trPr>
          <w:trHeight w:val="347" w:hRule="atLeast"/>
        </w:trPr>
        <w:tc>
          <w:tcPr>
            <w:tcW w:w="729"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highlight w:val="none"/>
                <w:lang w:val="zh-CN"/>
              </w:rPr>
            </w:pPr>
          </w:p>
        </w:tc>
        <w:tc>
          <w:tcPr>
            <w:tcW w:w="97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highlight w:val="none"/>
                <w:lang w:val="zh-CN"/>
              </w:rPr>
            </w:pPr>
          </w:p>
        </w:tc>
        <w:tc>
          <w:tcPr>
            <w:tcW w:w="12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highlight w:val="none"/>
                <w:lang w:val="zh-CN"/>
              </w:rPr>
            </w:pPr>
          </w:p>
        </w:tc>
        <w:tc>
          <w:tcPr>
            <w:tcW w:w="76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highlight w:val="none"/>
                <w:lang w:val="zh-CN"/>
              </w:rPr>
            </w:pPr>
          </w:p>
        </w:tc>
        <w:tc>
          <w:tcPr>
            <w:tcW w:w="75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highlight w:val="none"/>
                <w:lang w:val="zh-CN"/>
              </w:rPr>
            </w:pPr>
          </w:p>
        </w:tc>
        <w:tc>
          <w:tcPr>
            <w:tcW w:w="73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highlight w:val="none"/>
                <w:lang w:val="zh-CN"/>
              </w:rPr>
            </w:pPr>
          </w:p>
        </w:tc>
        <w:tc>
          <w:tcPr>
            <w:tcW w:w="99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highlight w:val="none"/>
                <w:lang w:val="zh-CN"/>
              </w:rPr>
            </w:pPr>
          </w:p>
        </w:tc>
        <w:tc>
          <w:tcPr>
            <w:tcW w:w="795"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highlight w:val="none"/>
                <w:lang w:val="zh-CN"/>
              </w:rPr>
            </w:pPr>
          </w:p>
        </w:tc>
        <w:tc>
          <w:tcPr>
            <w:tcW w:w="106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highlight w:val="none"/>
                <w:lang w:val="zh-CN"/>
              </w:rPr>
            </w:pPr>
          </w:p>
        </w:tc>
        <w:tc>
          <w:tcPr>
            <w:tcW w:w="94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keepNext w:val="0"/>
              <w:keepLines w:val="0"/>
              <w:pageBreakBefore w:val="0"/>
              <w:widowControl w:val="0"/>
              <w:kinsoku/>
              <w:wordWrap/>
              <w:overflowPunct/>
              <w:topLinePunct w:val="0"/>
              <w:autoSpaceDE w:val="0"/>
              <w:autoSpaceDN w:val="0"/>
              <w:bidi w:val="0"/>
              <w:adjustRightInd w:val="0"/>
              <w:snapToGrid/>
              <w:spacing w:beforeLines="0" w:afterLines="0" w:line="280" w:lineRule="exact"/>
              <w:jc w:val="center"/>
              <w:textAlignment w:val="auto"/>
              <w:rPr>
                <w:rFonts w:hint="eastAsia" w:ascii="仿宋" w:hAnsi="仿宋" w:eastAsia="仿宋" w:cs="仿宋"/>
                <w:color w:val="auto"/>
                <w:kern w:val="0"/>
                <w:sz w:val="24"/>
                <w:szCs w:val="24"/>
                <w:highlight w:val="none"/>
                <w:lang w:val="zh-CN"/>
              </w:rPr>
            </w:pPr>
          </w:p>
        </w:tc>
      </w:tr>
      <w:tr>
        <w:tblPrEx>
          <w:tblCellMar>
            <w:top w:w="0" w:type="dxa"/>
            <w:left w:w="108" w:type="dxa"/>
            <w:bottom w:w="0" w:type="dxa"/>
            <w:right w:w="108" w:type="dxa"/>
          </w:tblCellMar>
        </w:tblPrEx>
        <w:trPr>
          <w:trHeight w:val="211" w:hRule="atLeast"/>
        </w:trPr>
        <w:tc>
          <w:tcPr>
            <w:tcW w:w="4509"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highlight w:val="none"/>
                <w:lang w:val="zh-CN"/>
              </w:rPr>
              <w:t>总价（元）</w:t>
            </w:r>
          </w:p>
        </w:tc>
        <w:tc>
          <w:tcPr>
            <w:tcW w:w="4522" w:type="dxa"/>
            <w:gridSpan w:val="5"/>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beforeLines="0" w:afterLines="0" w:line="460" w:lineRule="exact"/>
              <w:jc w:val="center"/>
              <w:rPr>
                <w:rFonts w:hint="eastAsia" w:ascii="仿宋" w:hAnsi="仿宋" w:eastAsia="仿宋" w:cs="仿宋"/>
                <w:color w:val="auto"/>
                <w:kern w:val="0"/>
                <w:sz w:val="24"/>
                <w:szCs w:val="24"/>
                <w:highlight w:val="none"/>
                <w:lang w:val="zh-CN"/>
              </w:rPr>
            </w:pPr>
            <w:r>
              <w:rPr>
                <w:rFonts w:hint="eastAsia" w:ascii="仿宋" w:hAnsi="仿宋" w:eastAsia="仿宋" w:cs="仿宋"/>
                <w:i w:val="0"/>
                <w:color w:val="000000"/>
                <w:sz w:val="24"/>
                <w:szCs w:val="24"/>
                <w:highlight w:val="none"/>
                <w:u w:val="none"/>
                <w:lang w:val="en-US" w:eastAsia="zh-CN"/>
              </w:rPr>
              <w:t xml:space="preserve">   元（含税13%）</w:t>
            </w:r>
          </w:p>
        </w:tc>
      </w:tr>
    </w:tbl>
    <w:p>
      <w:pPr>
        <w:spacing w:after="120" w:afterLines="50" w:line="360" w:lineRule="auto"/>
        <w:ind w:firstLine="480" w:firstLineChars="200"/>
        <w:rPr>
          <w:rFonts w:hint="eastAsia" w:ascii="仿宋" w:hAnsi="仿宋" w:eastAsia="仿宋" w:cs="仿宋"/>
          <w:color w:val="auto"/>
          <w:kern w:val="0"/>
          <w:sz w:val="24"/>
          <w:szCs w:val="24"/>
          <w:highlight w:val="none"/>
          <w:lang w:val="zh-CN"/>
        </w:rPr>
      </w:pPr>
      <w:bookmarkStart w:id="100" w:name="_Toc17140"/>
      <w:bookmarkStart w:id="101" w:name="_Toc518992987"/>
      <w:bookmarkStart w:id="102" w:name="_Toc474245211"/>
      <w:bookmarkStart w:id="103" w:name="_Toc520190027"/>
      <w:r>
        <w:rPr>
          <w:rFonts w:hint="eastAsia" w:ascii="仿宋" w:hAnsi="仿宋" w:eastAsia="仿宋" w:cs="仿宋"/>
          <w:color w:val="auto"/>
          <w:kern w:val="0"/>
          <w:sz w:val="24"/>
          <w:szCs w:val="24"/>
          <w:highlight w:val="none"/>
          <w:lang w:val="zh-CN"/>
        </w:rPr>
        <w:t>其他技术需求见附件（如需）。</w:t>
      </w:r>
      <w:bookmarkEnd w:id="100"/>
      <w:bookmarkStart w:id="104" w:name="_Toc107447235"/>
      <w:bookmarkStart w:id="105" w:name="_Toc26357"/>
      <w:bookmarkStart w:id="106" w:name="_Toc183666514"/>
      <w:bookmarkStart w:id="107" w:name="_Toc107446842"/>
    </w:p>
    <w:p>
      <w:pPr>
        <w:spacing w:after="120" w:afterLines="50" w:line="360" w:lineRule="auto"/>
        <w:ind w:firstLine="482" w:firstLineChars="200"/>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第三条 交货日期及地点</w:t>
      </w:r>
    </w:p>
    <w:p>
      <w:pPr>
        <w:spacing w:after="120" w:afterLines="5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交货日期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日前完成供货（如需有不同交货时间注明）,具体交货时间以甲方通知为准。</w:t>
      </w:r>
    </w:p>
    <w:p>
      <w:pPr>
        <w:spacing w:after="0"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3.2交货地点：</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,最终具体交货地点以甲方通知为准。</w:t>
      </w:r>
    </w:p>
    <w:p>
      <w:pPr>
        <w:spacing w:after="0"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3.3 交货方式：乙方在设备运至交货地</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eastAsia="zh-CN"/>
        </w:rPr>
        <w:t>…</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个工作日前通知甲方。</w:t>
      </w:r>
    </w:p>
    <w:p>
      <w:pPr>
        <w:spacing w:after="0"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3.4其他：</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w:t>
      </w:r>
    </w:p>
    <w:p>
      <w:pPr>
        <w:spacing w:after="0" w:line="360" w:lineRule="auto"/>
        <w:ind w:firstLine="482" w:firstLineChars="200"/>
        <w:rPr>
          <w:rFonts w:hint="eastAsia" w:ascii="仿宋" w:hAnsi="仿宋" w:eastAsia="仿宋" w:cs="仿宋"/>
          <w:color w:val="auto"/>
          <w:kern w:val="0"/>
          <w:sz w:val="24"/>
          <w:szCs w:val="24"/>
          <w:highlight w:val="none"/>
          <w:lang w:val="zh-CN"/>
        </w:rPr>
      </w:pPr>
      <w:r>
        <w:rPr>
          <w:rFonts w:hint="eastAsia" w:ascii="仿宋" w:hAnsi="仿宋" w:eastAsia="仿宋" w:cs="仿宋"/>
          <w:b/>
          <w:color w:val="auto"/>
          <w:sz w:val="24"/>
          <w:szCs w:val="24"/>
          <w:highlight w:val="none"/>
        </w:rPr>
        <w:t>第四条 合同价格</w:t>
      </w:r>
    </w:p>
    <w:p>
      <w:pPr>
        <w:autoSpaceDE w:val="0"/>
        <w:autoSpaceDN w:val="0"/>
        <w:adjustRightInd w:val="0"/>
        <w:spacing w:after="0" w:line="360" w:lineRule="auto"/>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t xml:space="preserve">4.1 </w:t>
      </w:r>
      <w:r>
        <w:rPr>
          <w:rFonts w:hint="eastAsia" w:ascii="仿宋" w:hAnsi="仿宋" w:eastAsia="仿宋" w:cs="仿宋"/>
          <w:color w:val="auto"/>
          <w:kern w:val="0"/>
          <w:sz w:val="24"/>
          <w:szCs w:val="24"/>
          <w:highlight w:val="none"/>
          <w:lang w:val="zh-CN"/>
        </w:rPr>
        <w:t>本合同</w:t>
      </w:r>
      <w:r>
        <w:rPr>
          <w:rFonts w:hint="eastAsia" w:ascii="仿宋" w:hAnsi="仿宋" w:eastAsia="仿宋" w:cs="仿宋"/>
          <w:color w:val="auto"/>
          <w:kern w:val="0"/>
          <w:sz w:val="24"/>
          <w:szCs w:val="24"/>
          <w:highlight w:val="none"/>
        </w:rPr>
        <w:t>暂定</w:t>
      </w:r>
      <w:r>
        <w:rPr>
          <w:rFonts w:hint="eastAsia" w:ascii="仿宋" w:hAnsi="仿宋" w:eastAsia="仿宋" w:cs="仿宋"/>
          <w:color w:val="auto"/>
          <w:kern w:val="0"/>
          <w:sz w:val="24"/>
          <w:szCs w:val="24"/>
          <w:highlight w:val="none"/>
          <w:lang w:val="zh-CN"/>
        </w:rPr>
        <w:t>总价为</w:t>
      </w:r>
      <w:r>
        <w:rPr>
          <w:rFonts w:hint="eastAsia" w:ascii="仿宋" w:hAnsi="仿宋" w:eastAsia="仿宋" w:cs="仿宋"/>
          <w:color w:val="auto"/>
          <w:kern w:val="0"/>
          <w:sz w:val="24"/>
          <w:szCs w:val="24"/>
          <w:highlight w:val="none"/>
          <w:u w:val="single"/>
          <w:lang w:val="zh-CN"/>
        </w:rPr>
        <w:t xml:space="preserve"> … </w:t>
      </w:r>
      <w:r>
        <w:rPr>
          <w:rFonts w:hint="eastAsia" w:ascii="仿宋" w:hAnsi="仿宋" w:eastAsia="仿宋" w:cs="仿宋"/>
          <w:color w:val="auto"/>
          <w:kern w:val="0"/>
          <w:sz w:val="24"/>
          <w:szCs w:val="24"/>
          <w:highlight w:val="none"/>
          <w:lang w:val="zh-CN"/>
        </w:rPr>
        <w:t>万元，（人民币）大写：</w:t>
      </w:r>
      <w:r>
        <w:rPr>
          <w:rFonts w:hint="eastAsia" w:ascii="仿宋" w:hAnsi="仿宋" w:eastAsia="仿宋" w:cs="仿宋"/>
          <w:color w:val="auto"/>
          <w:kern w:val="0"/>
          <w:sz w:val="24"/>
          <w:szCs w:val="24"/>
          <w:highlight w:val="none"/>
          <w:u w:val="single"/>
          <w:lang w:val="zh-CN"/>
        </w:rPr>
        <w:t xml:space="preserve"> … </w:t>
      </w:r>
      <w:r>
        <w:rPr>
          <w:rFonts w:hint="eastAsia" w:ascii="仿宋" w:hAnsi="仿宋" w:eastAsia="仿宋" w:cs="仿宋"/>
          <w:color w:val="auto"/>
          <w:kern w:val="0"/>
          <w:sz w:val="24"/>
          <w:szCs w:val="24"/>
          <w:highlight w:val="none"/>
          <w:lang w:val="zh-CN"/>
        </w:rPr>
        <w:t xml:space="preserve">。 </w:t>
      </w:r>
    </w:p>
    <w:p>
      <w:pPr>
        <w:autoSpaceDE w:val="0"/>
        <w:autoSpaceDN w:val="0"/>
        <w:adjustRightInd w:val="0"/>
        <w:spacing w:after="0" w:line="360" w:lineRule="auto"/>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zh-CN"/>
        </w:rPr>
        <w:t>.2</w:t>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val="zh-CN"/>
        </w:rPr>
        <w:t>设备价格包括</w:t>
      </w:r>
      <w:r>
        <w:rPr>
          <w:rFonts w:hint="eastAsia" w:ascii="仿宋" w:hAnsi="仿宋" w:eastAsia="仿宋" w:cs="仿宋"/>
          <w:color w:val="auto"/>
          <w:kern w:val="0"/>
          <w:sz w:val="24"/>
          <w:szCs w:val="24"/>
          <w:highlight w:val="none"/>
          <w:u w:val="single"/>
          <w:lang w:val="zh-CN"/>
        </w:rPr>
        <w:t>工艺设计、设备及随机附件的制造、包装、运输（设备运输过程中所需的相关手续</w:t>
      </w:r>
      <w:r>
        <w:rPr>
          <w:rFonts w:hint="eastAsia" w:ascii="仿宋" w:hAnsi="仿宋" w:eastAsia="仿宋" w:cs="仿宋"/>
          <w:color w:val="auto"/>
          <w:kern w:val="0"/>
          <w:sz w:val="24"/>
          <w:szCs w:val="24"/>
          <w:highlight w:val="none"/>
          <w:u w:val="single"/>
        </w:rPr>
        <w:t>及费用</w:t>
      </w:r>
      <w:r>
        <w:rPr>
          <w:rFonts w:hint="eastAsia" w:ascii="仿宋" w:hAnsi="仿宋" w:eastAsia="仿宋" w:cs="仿宋"/>
          <w:color w:val="auto"/>
          <w:kern w:val="0"/>
          <w:sz w:val="24"/>
          <w:szCs w:val="24"/>
          <w:highlight w:val="none"/>
          <w:u w:val="single"/>
          <w:lang w:val="zh-CN"/>
        </w:rPr>
        <w:t>）、装卸、安装调试</w:t>
      </w:r>
      <w:r>
        <w:rPr>
          <w:rFonts w:hint="eastAsia" w:ascii="仿宋" w:hAnsi="仿宋" w:eastAsia="仿宋" w:cs="仿宋"/>
          <w:color w:val="auto"/>
          <w:kern w:val="0"/>
          <w:sz w:val="24"/>
          <w:szCs w:val="24"/>
          <w:highlight w:val="none"/>
          <w:u w:val="single"/>
          <w:lang w:val="en-US" w:eastAsia="zh-CN"/>
        </w:rPr>
        <w:t>或者指导安装调试</w:t>
      </w:r>
      <w:r>
        <w:rPr>
          <w:rFonts w:hint="eastAsia" w:ascii="仿宋" w:hAnsi="仿宋" w:eastAsia="仿宋" w:cs="仿宋"/>
          <w:color w:val="auto"/>
          <w:kern w:val="0"/>
          <w:sz w:val="24"/>
          <w:szCs w:val="24"/>
          <w:highlight w:val="none"/>
          <w:u w:val="single"/>
          <w:lang w:val="zh-CN"/>
        </w:rPr>
        <w:t>、验收、培训（如需）、技术服务（包括技术资料、图纸的提供）、质保期保修、税费、保险费等全部费用。</w:t>
      </w:r>
    </w:p>
    <w:p>
      <w:pPr>
        <w:autoSpaceDE w:val="0"/>
        <w:autoSpaceDN w:val="0"/>
        <w:adjustRightIn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tabs>
          <w:tab w:val="left" w:pos="851"/>
        </w:tabs>
        <w:adjustRightInd w:val="0"/>
        <w:snapToGrid w:val="0"/>
        <w:spacing w:after="0"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val="zh-CN"/>
        </w:rPr>
        <w:t>.3</w:t>
      </w:r>
      <w:r>
        <w:rPr>
          <w:rFonts w:hint="eastAsia" w:ascii="仿宋" w:hAnsi="仿宋" w:eastAsia="仿宋" w:cs="仿宋"/>
          <w:color w:val="auto"/>
          <w:kern w:val="0"/>
          <w:sz w:val="24"/>
          <w:szCs w:val="24"/>
          <w:highlight w:val="none"/>
        </w:rPr>
        <w:t xml:space="preserve"> 本合同约定的价格为含税价价格</w:t>
      </w:r>
      <w:r>
        <w:rPr>
          <w:rFonts w:hint="eastAsia" w:ascii="仿宋" w:hAnsi="仿宋" w:eastAsia="仿宋" w:cs="仿宋"/>
          <w:color w:val="auto"/>
          <w:sz w:val="24"/>
          <w:szCs w:val="24"/>
          <w:highlight w:val="none"/>
        </w:rPr>
        <w:t>（税率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），合同履行期间国家税率调整或乙方开票的实际税率与前述税率不一致的，不含税价不变，价税合计按实际税率相应调整，以开具发票时间为准。</w:t>
      </w:r>
    </w:p>
    <w:p>
      <w:pPr>
        <w:autoSpaceDE w:val="0"/>
        <w:autoSpaceDN w:val="0"/>
        <w:adjustRightInd w:val="0"/>
        <w:spacing w:after="0" w:line="360" w:lineRule="auto"/>
        <w:ind w:firstLine="482" w:firstLineChars="200"/>
        <w:rPr>
          <w:rFonts w:hint="eastAsia" w:ascii="仿宋" w:hAnsi="仿宋" w:eastAsia="仿宋" w:cs="仿宋"/>
          <w:b/>
          <w:color w:val="auto"/>
          <w:sz w:val="24"/>
          <w:szCs w:val="24"/>
          <w:highlight w:val="none"/>
        </w:rPr>
      </w:pPr>
      <w:bookmarkStart w:id="108" w:name="_Toc520190029"/>
      <w:bookmarkStart w:id="109" w:name="_Toc474245213"/>
      <w:bookmarkStart w:id="110" w:name="_Toc518992989"/>
      <w:bookmarkStart w:id="111" w:name="_Toc107446843"/>
      <w:bookmarkStart w:id="112" w:name="_Toc107447236"/>
      <w:r>
        <w:rPr>
          <w:rFonts w:hint="eastAsia" w:ascii="仿宋" w:hAnsi="仿宋" w:eastAsia="仿宋" w:cs="仿宋"/>
          <w:b/>
          <w:color w:val="auto"/>
          <w:sz w:val="24"/>
          <w:szCs w:val="24"/>
          <w:highlight w:val="none"/>
        </w:rPr>
        <w:t>第五条 支付方式</w:t>
      </w:r>
      <w:bookmarkEnd w:id="108"/>
      <w:bookmarkEnd w:id="109"/>
      <w:bookmarkEnd w:id="110"/>
    </w:p>
    <w:bookmarkEnd w:id="111"/>
    <w:bookmarkEnd w:id="112"/>
    <w:p>
      <w:pPr>
        <w:tabs>
          <w:tab w:val="left" w:pos="851"/>
        </w:tabs>
        <w:adjustRightInd w:val="0"/>
        <w:snapToGrid w:val="0"/>
        <w:spacing w:after="0" w:line="360" w:lineRule="auto"/>
        <w:ind w:firstLine="480" w:firstLineChars="200"/>
        <w:rPr>
          <w:rFonts w:hint="eastAsia" w:ascii="仿宋" w:hAnsi="仿宋" w:eastAsia="仿宋" w:cs="仿宋"/>
          <w:color w:val="auto"/>
          <w:sz w:val="24"/>
          <w:szCs w:val="24"/>
          <w:highlight w:val="none"/>
        </w:rPr>
      </w:pPr>
      <w:bookmarkStart w:id="113" w:name="_Toc14703"/>
      <w:bookmarkStart w:id="114" w:name="_Toc183666516"/>
      <w:r>
        <w:rPr>
          <w:rFonts w:hint="eastAsia" w:ascii="仿宋" w:hAnsi="仿宋" w:eastAsia="仿宋" w:cs="仿宋"/>
          <w:color w:val="auto"/>
          <w:sz w:val="24"/>
          <w:szCs w:val="24"/>
          <w:highlight w:val="none"/>
        </w:rPr>
        <w:t>5.1</w:t>
      </w:r>
      <w:r>
        <w:rPr>
          <w:rFonts w:hint="eastAsia" w:ascii="仿宋" w:hAnsi="仿宋" w:eastAsia="仿宋" w:cs="仿宋"/>
          <w:bCs/>
          <w:color w:val="auto"/>
          <w:sz w:val="24"/>
          <w:szCs w:val="24"/>
          <w:highlight w:val="none"/>
        </w:rPr>
        <w:t>预付款的支付：</w:t>
      </w:r>
      <w:r>
        <w:rPr>
          <w:rFonts w:hint="eastAsia" w:ascii="仿宋" w:hAnsi="仿宋" w:eastAsia="仿宋" w:cs="仿宋"/>
          <w:color w:val="auto"/>
          <w:szCs w:val="21"/>
          <w:highlight w:val="none"/>
        </w:rPr>
        <w:sym w:font="Wingdings 2" w:char="0052"/>
      </w:r>
      <w:r>
        <w:rPr>
          <w:rFonts w:hint="eastAsia" w:ascii="仿宋" w:hAnsi="仿宋" w:eastAsia="仿宋" w:cs="仿宋"/>
          <w:bCs/>
          <w:color w:val="auto"/>
          <w:sz w:val="24"/>
          <w:szCs w:val="24"/>
          <w:highlight w:val="none"/>
        </w:rPr>
        <w:t xml:space="preserve">无；    </w:t>
      </w:r>
      <w:r>
        <w:rPr>
          <w:rFonts w:hint="eastAsia" w:ascii="仿宋" w:hAnsi="仿宋" w:eastAsia="仿宋" w:cs="仿宋"/>
          <w:color w:val="auto"/>
          <w:szCs w:val="21"/>
          <w:highlight w:val="none"/>
        </w:rPr>
        <w:t>□</w:t>
      </w:r>
      <w:r>
        <w:rPr>
          <w:rFonts w:hint="eastAsia" w:ascii="仿宋" w:hAnsi="仿宋" w:eastAsia="仿宋" w:cs="仿宋"/>
          <w:color w:val="auto"/>
          <w:szCs w:val="21"/>
          <w:highlight w:val="none"/>
          <w:lang w:val="en-US" w:eastAsia="zh-CN"/>
        </w:rPr>
        <w:t>有，</w:t>
      </w:r>
      <w:r>
        <w:rPr>
          <w:rFonts w:hint="eastAsia" w:ascii="仿宋" w:hAnsi="仿宋" w:eastAsia="仿宋" w:cs="仿宋"/>
          <w:bCs/>
          <w:color w:val="auto"/>
          <w:sz w:val="24"/>
          <w:szCs w:val="24"/>
          <w:highlight w:val="none"/>
        </w:rPr>
        <w:t>合同签订后，乙方开具等额的增值税专用发票及提交履约担保（如有）后</w:t>
      </w:r>
      <w:r>
        <w:rPr>
          <w:rFonts w:hint="eastAsia" w:ascii="仿宋" w:hAnsi="仿宋" w:eastAsia="仿宋" w:cs="仿宋"/>
          <w:bCs/>
          <w:color w:val="auto"/>
          <w:sz w:val="24"/>
          <w:szCs w:val="24"/>
          <w:highlight w:val="none"/>
          <w:u w:val="single"/>
        </w:rPr>
        <w:t>10</w:t>
      </w:r>
      <w:r>
        <w:rPr>
          <w:rFonts w:hint="eastAsia" w:ascii="仿宋" w:hAnsi="仿宋" w:eastAsia="仿宋" w:cs="仿宋"/>
          <w:bCs/>
          <w:color w:val="auto"/>
          <w:sz w:val="24"/>
          <w:szCs w:val="24"/>
          <w:highlight w:val="none"/>
        </w:rPr>
        <w:t xml:space="preserve">个工作日内，甲方支付合同暂定总价的 </w:t>
      </w:r>
      <w:r>
        <w:rPr>
          <w:rFonts w:hint="eastAsia" w:ascii="仿宋" w:hAnsi="仿宋" w:eastAsia="仿宋" w:cs="仿宋"/>
          <w:bCs/>
          <w:color w:val="auto"/>
          <w:sz w:val="24"/>
          <w:szCs w:val="24"/>
          <w:highlight w:val="none"/>
          <w:u w:val="single"/>
        </w:rPr>
        <w:t xml:space="preserve">  30%  </w:t>
      </w:r>
      <w:r>
        <w:rPr>
          <w:rFonts w:hint="eastAsia" w:ascii="仿宋" w:hAnsi="仿宋" w:eastAsia="仿宋" w:cs="仿宋"/>
          <w:color w:val="auto"/>
          <w:sz w:val="24"/>
          <w:szCs w:val="24"/>
          <w:highlight w:val="none"/>
        </w:rPr>
        <w:t>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元，（大写：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 ）  </w:t>
      </w:r>
      <w:r>
        <w:rPr>
          <w:rFonts w:hint="eastAsia" w:ascii="仿宋" w:hAnsi="仿宋" w:eastAsia="仿宋" w:cs="仿宋"/>
          <w:bCs/>
          <w:color w:val="auto"/>
          <w:sz w:val="24"/>
          <w:szCs w:val="24"/>
          <w:highlight w:val="none"/>
        </w:rPr>
        <w:t>作为预付款。</w:t>
      </w:r>
      <w:r>
        <w:rPr>
          <w:rFonts w:hint="eastAsia" w:ascii="仿宋" w:hAnsi="仿宋" w:eastAsia="仿宋" w:cs="仿宋"/>
          <w:color w:val="auto"/>
          <w:sz w:val="24"/>
          <w:szCs w:val="24"/>
          <w:highlight w:val="none"/>
        </w:rPr>
        <w:t>若合同解除或终止，乙方在</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个工作日内返还预付款（无息）。</w:t>
      </w:r>
      <w:r>
        <w:rPr>
          <w:rFonts w:hint="eastAsia" w:ascii="仿宋" w:hAnsi="仿宋" w:eastAsia="仿宋" w:cs="仿宋"/>
          <w:bCs/>
          <w:color w:val="auto"/>
          <w:kern w:val="0"/>
          <w:sz w:val="24"/>
          <w:szCs w:val="24"/>
          <w:highlight w:val="none"/>
        </w:rPr>
        <w:t>逾期未返还，每逾期一天，乙方应按合同暂定总价的</w:t>
      </w:r>
      <w:r>
        <w:rPr>
          <w:rFonts w:hint="eastAsia" w:ascii="仿宋" w:hAnsi="仿宋" w:eastAsia="仿宋" w:cs="仿宋"/>
          <w:bCs/>
          <w:color w:val="auto"/>
          <w:kern w:val="0"/>
          <w:sz w:val="24"/>
          <w:szCs w:val="24"/>
          <w:highlight w:val="none"/>
          <w:u w:val="single"/>
        </w:rPr>
        <w:t>万分之五/天</w:t>
      </w:r>
      <w:r>
        <w:rPr>
          <w:rFonts w:hint="eastAsia" w:ascii="仿宋" w:hAnsi="仿宋" w:eastAsia="仿宋" w:cs="仿宋"/>
          <w:bCs/>
          <w:color w:val="auto"/>
          <w:kern w:val="0"/>
          <w:sz w:val="24"/>
          <w:szCs w:val="24"/>
          <w:highlight w:val="none"/>
        </w:rPr>
        <w:t>支付违约金</w:t>
      </w:r>
      <w:r>
        <w:rPr>
          <w:rFonts w:hint="eastAsia" w:ascii="仿宋" w:hAnsi="仿宋" w:eastAsia="仿宋" w:cs="仿宋"/>
          <w:color w:val="auto"/>
          <w:sz w:val="24"/>
          <w:szCs w:val="24"/>
          <w:highlight w:val="none"/>
        </w:rPr>
        <w:t>。</w:t>
      </w:r>
    </w:p>
    <w:p>
      <w:pPr>
        <w:tabs>
          <w:tab w:val="left" w:pos="851"/>
        </w:tabs>
        <w:adjustRightInd w:val="0"/>
        <w:snapToGrid w:val="0"/>
        <w:spacing w:after="0"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5.2 支付方式：</w:t>
      </w:r>
    </w:p>
    <w:p>
      <w:pPr>
        <w:autoSpaceDE w:val="0"/>
        <w:autoSpaceDN w:val="0"/>
        <w:adjustRightInd w:val="0"/>
        <w:spacing w:after="0"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5.2.1设备到达现场，经开箱验收合格并全部调试完毕，乙方提交请款资料及等额增值税专用发票，经甲方结算审核后</w:t>
      </w:r>
      <w:r>
        <w:rPr>
          <w:rFonts w:hint="eastAsia" w:ascii="仿宋" w:hAnsi="仿宋" w:eastAsia="仿宋" w:cs="仿宋"/>
          <w:color w:val="auto"/>
          <w:sz w:val="24"/>
          <w:szCs w:val="24"/>
          <w:highlight w:val="none"/>
          <w:u w:val="single"/>
        </w:rPr>
        <w:t xml:space="preserve"> 15 </w:t>
      </w:r>
      <w:r>
        <w:rPr>
          <w:rFonts w:hint="eastAsia" w:ascii="仿宋" w:hAnsi="仿宋" w:eastAsia="仿宋" w:cs="仿宋"/>
          <w:color w:val="auto"/>
          <w:sz w:val="24"/>
          <w:szCs w:val="24"/>
          <w:highlight w:val="none"/>
        </w:rPr>
        <w:t>个工作日内，支付至合同结算价的95%（含预付款）（若审核价低于合同暂定总价，则以审核价作为合同结算价，否则以合同暂定总价为合同结算价），合同结算价的5%作为质保金留存。</w:t>
      </w:r>
    </w:p>
    <w:p>
      <w:pPr>
        <w:pStyle w:val="13"/>
        <w:spacing w:line="360" w:lineRule="auto"/>
        <w:ind w:firstLine="525" w:firstLineChars="250"/>
        <w:outlineLvl w:val="1"/>
        <w:rPr>
          <w:rFonts w:hint="eastAsia" w:ascii="仿宋" w:hAnsi="仿宋" w:eastAsia="仿宋" w:cs="仿宋"/>
          <w:szCs w:val="24"/>
          <w:highlight w:val="none"/>
        </w:rPr>
      </w:pPr>
      <w:r>
        <w:rPr>
          <w:rFonts w:hint="eastAsia" w:ascii="仿宋" w:hAnsi="仿宋" w:eastAsia="仿宋" w:cs="仿宋"/>
          <w:szCs w:val="24"/>
          <w:highlight w:val="none"/>
        </w:rPr>
        <w:t>5.2.2质保期按合同第九条规定执行，质保期满且乙方不存在违约情形，乙方提交请款资料及等额增值税专用发票，甲方审核无误后在</w:t>
      </w:r>
      <w:r>
        <w:rPr>
          <w:rFonts w:hint="eastAsia" w:ascii="仿宋" w:hAnsi="仿宋" w:eastAsia="仿宋" w:cs="仿宋"/>
          <w:szCs w:val="24"/>
          <w:highlight w:val="none"/>
          <w:u w:val="single"/>
        </w:rPr>
        <w:t xml:space="preserve"> 15 </w:t>
      </w:r>
      <w:r>
        <w:rPr>
          <w:rFonts w:hint="eastAsia" w:ascii="仿宋" w:hAnsi="仿宋" w:eastAsia="仿宋" w:cs="仿宋"/>
          <w:szCs w:val="24"/>
          <w:highlight w:val="none"/>
        </w:rPr>
        <w:t>个工作日内支付合同结算价的5％（质保金）给乙方(无息)。</w:t>
      </w:r>
    </w:p>
    <w:p>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5.2.3乙方收款账户：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收款账号：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5.2.4乙方在收款前需向甲方提交等额增值税专用发票，增值税专用发票信息：</w:t>
      </w:r>
    </w:p>
    <w:p>
      <w:pPr>
        <w:spacing w:line="360" w:lineRule="auto"/>
        <w:ind w:firstLine="1200" w:firstLine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tabs>
          <w:tab w:val="left" w:pos="851"/>
        </w:tabs>
        <w:adjustRightInd w:val="0"/>
        <w:snapToGrid w:val="0"/>
        <w:spacing w:line="360" w:lineRule="auto"/>
        <w:ind w:firstLine="480" w:firstLineChars="200"/>
        <w:outlineLvl w:val="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5.3付款方式：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网银支付；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 xml:space="preserve">支票；   </w:t>
      </w:r>
      <w:r>
        <w:rPr>
          <w:rFonts w:hint="eastAsia" w:ascii="仿宋" w:hAnsi="仿宋" w:eastAsia="仿宋" w:cs="仿宋"/>
          <w:color w:val="auto"/>
          <w:sz w:val="24"/>
          <w:szCs w:val="24"/>
          <w:highlight w:val="none"/>
        </w:rPr>
        <w:sym w:font="Wingdings" w:char="00A8"/>
      </w:r>
      <w:r>
        <w:rPr>
          <w:rFonts w:hint="eastAsia" w:ascii="仿宋" w:hAnsi="仿宋" w:eastAsia="仿宋" w:cs="仿宋"/>
          <w:color w:val="auto"/>
          <w:sz w:val="24"/>
          <w:szCs w:val="24"/>
          <w:highlight w:val="none"/>
        </w:rPr>
        <w:t>其他</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 xml:space="preserve">       </w:t>
      </w:r>
    </w:p>
    <w:p>
      <w:pPr>
        <w:autoSpaceDE w:val="0"/>
        <w:autoSpaceDN w:val="0"/>
        <w:adjustRightInd w:val="0"/>
        <w:spacing w:after="0" w:line="360" w:lineRule="auto"/>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第六条 履约担保</w:t>
      </w:r>
    </w:p>
    <w:p>
      <w:pPr>
        <w:spacing w:after="0" w:line="360" w:lineRule="auto"/>
        <w:ind w:firstLine="480" w:firstLineChars="200"/>
        <w:outlineLvl w:val="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6.1履约担保：</w:t>
      </w:r>
      <w:r>
        <w:rPr>
          <w:rFonts w:hint="eastAsia" w:ascii="仿宋" w:hAnsi="仿宋" w:eastAsia="仿宋" w:cs="仿宋"/>
          <w:color w:val="auto"/>
          <w:szCs w:val="21"/>
          <w:highlight w:val="none"/>
        </w:rPr>
        <w:sym w:font="Wingdings 2" w:char="0052"/>
      </w:r>
      <w:r>
        <w:rPr>
          <w:rFonts w:hint="eastAsia" w:ascii="仿宋" w:hAnsi="仿宋" w:eastAsia="仿宋" w:cs="仿宋"/>
          <w:bCs/>
          <w:color w:val="auto"/>
          <w:sz w:val="24"/>
          <w:szCs w:val="24"/>
          <w:highlight w:val="none"/>
        </w:rPr>
        <w:t xml:space="preserve">无；   </w:t>
      </w:r>
      <w:r>
        <w:rPr>
          <w:rFonts w:hint="eastAsia" w:ascii="仿宋" w:hAnsi="仿宋" w:eastAsia="仿宋" w:cs="仿宋"/>
          <w:color w:val="auto"/>
          <w:szCs w:val="21"/>
          <w:highlight w:val="none"/>
        </w:rPr>
        <w:t>□</w:t>
      </w: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val="en-US" w:eastAsia="zh-CN"/>
        </w:rPr>
        <w:t>有，</w:t>
      </w:r>
      <w:r>
        <w:rPr>
          <w:rFonts w:hint="eastAsia" w:ascii="仿宋" w:hAnsi="仿宋" w:eastAsia="仿宋" w:cs="仿宋"/>
          <w:color w:val="auto"/>
          <w:sz w:val="24"/>
          <w:szCs w:val="24"/>
          <w:highlight w:val="none"/>
        </w:rPr>
        <w:t>本合同签订后10日内</w:t>
      </w:r>
      <w:r>
        <w:rPr>
          <w:rFonts w:hint="eastAsia" w:ascii="仿宋" w:hAnsi="仿宋" w:eastAsia="仿宋" w:cs="仿宋"/>
          <w:color w:val="auto"/>
          <w:sz w:val="24"/>
          <w:szCs w:val="24"/>
          <w:highlight w:val="none"/>
          <w:u w:val="single"/>
        </w:rPr>
        <w:t>以合同暂定总价的10%作为履约保证金，</w:t>
      </w:r>
      <w:r>
        <w:rPr>
          <w:rFonts w:hint="eastAsia" w:ascii="仿宋" w:hAnsi="仿宋" w:eastAsia="仿宋" w:cs="仿宋"/>
          <w:color w:val="auto"/>
          <w:sz w:val="24"/>
          <w:szCs w:val="24"/>
          <w:highlight w:val="none"/>
        </w:rPr>
        <w:t>金额为：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（大写人民币：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  ）。</w:t>
      </w:r>
    </w:p>
    <w:p>
      <w:pPr>
        <w:pStyle w:val="21"/>
        <w:spacing w:before="0" w:beforeAutospacing="0" w:after="0" w:afterAutospacing="0" w:line="360" w:lineRule="auto"/>
        <w:ind w:firstLine="480"/>
        <w:rPr>
          <w:rFonts w:hint="eastAsia" w:ascii="仿宋" w:hAnsi="仿宋" w:eastAsia="仿宋" w:cs="仿宋"/>
          <w:highlight w:val="none"/>
        </w:rPr>
      </w:pPr>
      <w:r>
        <w:rPr>
          <w:rFonts w:hint="eastAsia" w:ascii="仿宋" w:hAnsi="仿宋" w:eastAsia="仿宋" w:cs="仿宋"/>
          <w:highlight w:val="none"/>
        </w:rPr>
        <w:t>6.2履约担保按以下任一种形式提供：</w:t>
      </w:r>
    </w:p>
    <w:p>
      <w:pPr>
        <w:pStyle w:val="21"/>
        <w:spacing w:before="0" w:beforeAutospacing="0" w:after="0" w:afterAutospacing="0" w:line="360" w:lineRule="auto"/>
        <w:ind w:firstLine="480"/>
        <w:rPr>
          <w:rFonts w:hint="eastAsia" w:ascii="仿宋" w:hAnsi="仿宋" w:eastAsia="仿宋" w:cs="仿宋"/>
          <w:highlight w:val="none"/>
        </w:rPr>
      </w:pPr>
      <w:r>
        <w:rPr>
          <w:rFonts w:hint="eastAsia" w:ascii="仿宋" w:hAnsi="仿宋" w:eastAsia="仿宋" w:cs="仿宋"/>
          <w:highlight w:val="none"/>
        </w:rPr>
        <w:t>1、符合甲方要求（详见附件6保函格式）的银行独立保函，</w:t>
      </w:r>
    </w:p>
    <w:p>
      <w:pPr>
        <w:pStyle w:val="21"/>
        <w:spacing w:before="0" w:beforeAutospacing="0" w:after="0" w:afterAutospacing="0" w:line="360" w:lineRule="auto"/>
        <w:ind w:firstLine="480"/>
        <w:rPr>
          <w:rFonts w:hint="eastAsia" w:ascii="仿宋" w:hAnsi="仿宋" w:eastAsia="仿宋" w:cs="仿宋"/>
          <w:highlight w:val="none"/>
        </w:rPr>
      </w:pPr>
      <w:r>
        <w:rPr>
          <w:rFonts w:hint="eastAsia" w:ascii="仿宋" w:hAnsi="仿宋" w:eastAsia="仿宋" w:cs="仿宋"/>
          <w:highlight w:val="none"/>
        </w:rPr>
        <w:t>2、现金转账至甲方以下指定账户：</w:t>
      </w:r>
    </w:p>
    <w:p>
      <w:pPr>
        <w:tabs>
          <w:tab w:val="left" w:pos="1995"/>
        </w:tabs>
        <w:spacing w:line="360" w:lineRule="auto"/>
        <w:ind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户名：广州</w:t>
      </w:r>
      <w:r>
        <w:rPr>
          <w:rFonts w:hint="eastAsia" w:ascii="仿宋" w:hAnsi="仿宋" w:eastAsia="仿宋" w:cs="仿宋"/>
          <w:bCs/>
          <w:color w:val="auto"/>
          <w:sz w:val="24"/>
          <w:szCs w:val="24"/>
          <w:highlight w:val="none"/>
          <w:lang w:val="en-US" w:eastAsia="zh-CN"/>
        </w:rPr>
        <w:t>城市水处理设备有限公司</w:t>
      </w:r>
    </w:p>
    <w:p>
      <w:pPr>
        <w:tabs>
          <w:tab w:val="left" w:pos="1995"/>
        </w:tabs>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账号：44050142031400001565 </w:t>
      </w:r>
    </w:p>
    <w:p>
      <w:pPr>
        <w:tabs>
          <w:tab w:val="left" w:pos="1995"/>
        </w:tabs>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开户行：中国建设银行股份有限公司广州珠江新城支行 </w:t>
      </w:r>
    </w:p>
    <w:p>
      <w:pPr>
        <w:spacing w:line="360" w:lineRule="auto"/>
        <w:ind w:firstLine="48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6.3履约担保的担保期限和返还</w:t>
      </w:r>
    </w:p>
    <w:p>
      <w:pPr>
        <w:spacing w:line="360" w:lineRule="auto"/>
        <w:ind w:firstLine="48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6.3.1</w:t>
      </w:r>
      <w:r>
        <w:rPr>
          <w:rFonts w:hint="eastAsia" w:ascii="仿宋" w:hAnsi="仿宋" w:eastAsia="仿宋" w:cs="仿宋"/>
          <w:sz w:val="24"/>
          <w:highlight w:val="none"/>
        </w:rPr>
        <w:t>履约银行保函（或现金履约保证金）的担保期限：从提供履约担保（或转账成功）之日起至合同履行完成。</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6.3.2</w:t>
      </w:r>
      <w:r>
        <w:rPr>
          <w:rFonts w:hint="eastAsia" w:ascii="仿宋" w:hAnsi="仿宋" w:eastAsia="仿宋" w:cs="仿宋"/>
          <w:sz w:val="24"/>
          <w:highlight w:val="none"/>
        </w:rPr>
        <w:t>履约银行保函在合同履行完成后，由乙方提出申请，甲方在28日内返还，不支付利息；</w:t>
      </w:r>
      <w:r>
        <w:rPr>
          <w:rFonts w:hint="eastAsia" w:ascii="仿宋" w:hAnsi="仿宋" w:eastAsia="仿宋" w:cs="仿宋"/>
          <w:color w:val="auto"/>
          <w:sz w:val="24"/>
          <w:szCs w:val="24"/>
          <w:highlight w:val="none"/>
        </w:rPr>
        <w:t xml:space="preserve"> </w:t>
      </w:r>
    </w:p>
    <w:p>
      <w:pPr>
        <w:spacing w:line="360" w:lineRule="auto"/>
        <w:ind w:firstLine="480" w:firstLineChars="200"/>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6.3.3延长担保期限。履约银行保函形式提交履约保证金的，在银行保函到期前，乙方应提前</w:t>
      </w:r>
      <w:r>
        <w:rPr>
          <w:rFonts w:hint="eastAsia" w:ascii="仿宋" w:hAnsi="仿宋" w:eastAsia="仿宋" w:cs="仿宋"/>
          <w:color w:val="auto"/>
          <w:sz w:val="24"/>
          <w:szCs w:val="24"/>
          <w:highlight w:val="none"/>
          <w:u w:val="single"/>
        </w:rPr>
        <w:t xml:space="preserve"> 7 </w:t>
      </w:r>
      <w:r>
        <w:rPr>
          <w:rFonts w:hint="eastAsia" w:ascii="仿宋" w:hAnsi="仿宋" w:eastAsia="仿宋" w:cs="仿宋"/>
          <w:color w:val="auto"/>
          <w:sz w:val="24"/>
          <w:szCs w:val="24"/>
          <w:highlight w:val="none"/>
        </w:rPr>
        <w:t>天向甲方提交新的保函以替换即将到期的保函。如乙方未及时提交的，甲方有权直接要求担保银行支付其担保的全部金额并解除合同。</w:t>
      </w:r>
    </w:p>
    <w:p>
      <w:pPr>
        <w:pStyle w:val="21"/>
        <w:spacing w:before="0" w:beforeAutospacing="0" w:after="0" w:afterAutospacing="0" w:line="360" w:lineRule="auto"/>
        <w:ind w:firstLine="525"/>
        <w:rPr>
          <w:rFonts w:hint="eastAsia" w:ascii="仿宋" w:hAnsi="仿宋" w:eastAsia="仿宋" w:cs="仿宋"/>
          <w:highlight w:val="none"/>
        </w:rPr>
      </w:pPr>
      <w:r>
        <w:rPr>
          <w:rFonts w:hint="eastAsia" w:ascii="仿宋" w:hAnsi="仿宋" w:eastAsia="仿宋" w:cs="仿宋"/>
          <w:highlight w:val="none"/>
        </w:rPr>
        <w:t>6.3.4现金履约保证金的退还：合同履行完成后，由乙方提出申请，甲方在28天内将剩余履约保证金（无息）返还。</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6.3.5甲方按合同约定提取履约担保金额后，乙方应在收到甲方通知后</w:t>
      </w:r>
      <w:r>
        <w:rPr>
          <w:rFonts w:hint="eastAsia" w:ascii="仿宋" w:hAnsi="仿宋" w:eastAsia="仿宋" w:cs="仿宋"/>
          <w:color w:val="auto"/>
          <w:sz w:val="24"/>
          <w:szCs w:val="24"/>
          <w:highlight w:val="none"/>
          <w:u w:val="single"/>
        </w:rPr>
        <w:t xml:space="preserve"> 7 </w:t>
      </w:r>
      <w:r>
        <w:rPr>
          <w:rFonts w:hint="eastAsia" w:ascii="仿宋" w:hAnsi="仿宋" w:eastAsia="仿宋" w:cs="仿宋"/>
          <w:color w:val="auto"/>
          <w:sz w:val="24"/>
          <w:szCs w:val="24"/>
          <w:highlight w:val="none"/>
        </w:rPr>
        <w:t>天内补足数额，逾期未补足，则甲方有权提取履约担保的全部余额并解除合同。</w:t>
      </w:r>
    </w:p>
    <w:bookmarkEnd w:id="113"/>
    <w:bookmarkEnd w:id="114"/>
    <w:p>
      <w:pPr>
        <w:spacing w:after="0"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bCs/>
          <w:color w:val="auto"/>
          <w:kern w:val="0"/>
          <w:sz w:val="24"/>
          <w:szCs w:val="24"/>
          <w:highlight w:val="none"/>
        </w:rPr>
        <w:t xml:space="preserve">第七条 </w:t>
      </w:r>
      <w:r>
        <w:rPr>
          <w:rFonts w:hint="eastAsia" w:ascii="仿宋" w:hAnsi="仿宋" w:eastAsia="仿宋" w:cs="仿宋"/>
          <w:b/>
          <w:color w:val="auto"/>
          <w:sz w:val="24"/>
          <w:szCs w:val="24"/>
          <w:highlight w:val="none"/>
        </w:rPr>
        <w:t>交货及检验要求</w:t>
      </w:r>
    </w:p>
    <w:p>
      <w:pPr>
        <w:autoSpaceDE w:val="0"/>
        <w:autoSpaceDN w:val="0"/>
        <w:adjustRightInd w:val="0"/>
        <w:spacing w:after="0"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7.1 交货要求：乙方应在交货时向甲方提供出厂合格证、产品质量证明文件、操作维修手册等（手册应包含设备情况、系统和主要部件常见故障、保养要求、紧急维修电话等内容）。</w:t>
      </w:r>
    </w:p>
    <w:p>
      <w:pPr>
        <w:spacing w:after="0"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7.2外观验收：设备运抵交货地点后，甲乙双方根据合同约定对合同设备的包装、外观与件数进行清点检查，并共同签署合同设备外观检查记录。</w:t>
      </w:r>
    </w:p>
    <w:p>
      <w:pPr>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7.3 开箱验收：开箱检验在合同设备交付地点进行，</w:t>
      </w:r>
      <w:r>
        <w:rPr>
          <w:rFonts w:hint="eastAsia" w:ascii="仿宋" w:hAnsi="仿宋" w:eastAsia="仿宋" w:cs="仿宋"/>
          <w:color w:val="auto"/>
          <w:sz w:val="24"/>
          <w:szCs w:val="24"/>
          <w:highlight w:val="none"/>
        </w:rPr>
        <w:t>包括但不限于对合同设备数量、规格、外观完好性进行检验。经验收合格后，甲方签发开箱检验合格证明。开箱验收合格前，设备的损坏风险由乙方承担。</w:t>
      </w:r>
    </w:p>
    <w:p>
      <w:pPr>
        <w:adjustRightInd w:val="0"/>
        <w:snapToGrid w:val="0"/>
        <w:spacing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7.4如双方对合同设备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7.5对设备外观检查与开箱检查发现的问题，如数量、规格、外表质量等与合同约定不符，设备或部件因包装、运输、装卸问题造成的任何损坏、丢失，装箱文件短缺等，乙方应在不影响甲方生产运营的前提下，在甲方规定期限内消除合同设备中存在的缺陷，用合格的新设备更换有缺陷的设备、退货或补发，并自行承担费用。甲方有权在设备缺陷消除或设备更换后，委托第三方检测机构进行检测，检测结果及费用承担按本合同第7.4条执行，交货时间不顺延。</w:t>
      </w:r>
    </w:p>
    <w:p>
      <w:pPr>
        <w:spacing w:after="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7.6 甲方有权对合同设备进行原厂正品验证，若合同设备无法获原厂验证，甲方有权退回设备，要求乙方在</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个工作日内退回已支付款项并按设备价格的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20</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%支付违约金。</w:t>
      </w:r>
    </w:p>
    <w:bookmarkEnd w:id="101"/>
    <w:bookmarkEnd w:id="102"/>
    <w:bookmarkEnd w:id="103"/>
    <w:bookmarkEnd w:id="104"/>
    <w:bookmarkEnd w:id="105"/>
    <w:bookmarkEnd w:id="106"/>
    <w:bookmarkEnd w:id="107"/>
    <w:p>
      <w:pPr>
        <w:spacing w:before="120" w:after="120" w:line="360" w:lineRule="auto"/>
        <w:ind w:firstLine="482" w:firstLineChars="200"/>
        <w:rPr>
          <w:rFonts w:hint="eastAsia" w:ascii="仿宋" w:hAnsi="仿宋" w:eastAsia="仿宋" w:cs="仿宋"/>
          <w:b/>
          <w:color w:val="auto"/>
          <w:sz w:val="24"/>
          <w:szCs w:val="24"/>
          <w:highlight w:val="none"/>
        </w:rPr>
      </w:pPr>
      <w:bookmarkStart w:id="115" w:name="_Toc520190030"/>
      <w:bookmarkStart w:id="116" w:name="_Toc518992990"/>
      <w:bookmarkStart w:id="117" w:name="_Toc474245215"/>
      <w:bookmarkStart w:id="118" w:name="_Toc183666534"/>
      <w:bookmarkStart w:id="119" w:name="_Toc257"/>
      <w:r>
        <w:rPr>
          <w:rFonts w:hint="eastAsia" w:ascii="仿宋" w:hAnsi="仿宋" w:eastAsia="仿宋" w:cs="仿宋"/>
          <w:b/>
          <w:color w:val="auto"/>
          <w:sz w:val="24"/>
          <w:szCs w:val="24"/>
          <w:highlight w:val="none"/>
        </w:rPr>
        <w:t>第八条 包装</w:t>
      </w:r>
      <w:bookmarkEnd w:id="115"/>
      <w:bookmarkEnd w:id="116"/>
      <w:bookmarkEnd w:id="117"/>
      <w:r>
        <w:rPr>
          <w:rFonts w:hint="eastAsia" w:ascii="仿宋" w:hAnsi="仿宋" w:eastAsia="仿宋" w:cs="仿宋"/>
          <w:b/>
          <w:color w:val="auto"/>
          <w:sz w:val="24"/>
          <w:szCs w:val="24"/>
          <w:highlight w:val="none"/>
        </w:rPr>
        <w:t>、标示及运输要求</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 包装</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8.1.1乙方根据设备的特点，按照有关国家、行业标准要求，对设备及其零配件进行适合长途运输、多次搬运与装卸、防震、防水、防潮、防霉、防锈、防腐蚀等的坚固可靠包装，确保设备能适应高温、雨淋、潮湿环境下的长途运输、多次装卸与现场存放。</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8.1.2超限设备的包装要求：</w:t>
      </w:r>
      <w:r>
        <w:rPr>
          <w:rFonts w:hint="eastAsia" w:ascii="仿宋" w:hAnsi="仿宋" w:eastAsia="仿宋" w:cs="仿宋"/>
          <w:bCs/>
          <w:color w:val="auto"/>
          <w:sz w:val="24"/>
          <w:szCs w:val="24"/>
          <w:highlight w:val="none"/>
          <w:u w:val="single"/>
        </w:rPr>
        <w:t xml:space="preserve">  /  </w:t>
      </w:r>
      <w:r>
        <w:rPr>
          <w:rFonts w:hint="eastAsia" w:ascii="仿宋" w:hAnsi="仿宋" w:eastAsia="仿宋" w:cs="仿宋"/>
          <w:bCs/>
          <w:color w:val="auto"/>
          <w:sz w:val="24"/>
          <w:szCs w:val="24"/>
          <w:highlight w:val="none"/>
        </w:rPr>
        <w:t>。</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8.2 </w:t>
      </w:r>
      <w:bookmarkStart w:id="120" w:name="_Toc107446851"/>
      <w:bookmarkStart w:id="121" w:name="_Toc107447244"/>
      <w:r>
        <w:rPr>
          <w:rFonts w:hint="eastAsia" w:ascii="仿宋" w:hAnsi="仿宋" w:eastAsia="仿宋" w:cs="仿宋"/>
          <w:bCs/>
          <w:color w:val="auto"/>
          <w:sz w:val="24"/>
          <w:szCs w:val="24"/>
          <w:highlight w:val="none"/>
        </w:rPr>
        <w:t>标志</w:t>
      </w:r>
    </w:p>
    <w:bookmarkEnd w:id="120"/>
    <w:bookmarkEnd w:id="121"/>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8.2.1乙方应按照国家标准对设备的外包装进行标志。</w:t>
      </w:r>
    </w:p>
    <w:p>
      <w:pPr>
        <w:adjustRightInd w:val="0"/>
        <w:snapToGrid w:val="0"/>
        <w:spacing w:after="0"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8.2.2根据合同设备的特点和运输、保管的不同要求，乙方应在包装箱上清楚地标注“小心轻放”、“此端朝上，请勿倒置”、“保持干燥”等字样和其他适当标记。对于超大超重件，乙方应在包装箱两侧标注“重心”和“起吊点”以便装卸和搬运。如设备中含有易燃易爆物品、腐蚀物品、放射性物质等危险品，则应在包装箱上标明危险品标志。</w:t>
      </w:r>
    </w:p>
    <w:p>
      <w:pPr>
        <w:adjustRightInd w:val="0"/>
        <w:snapToGrid w:val="0"/>
        <w:spacing w:after="0"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8.2.3  如由于包装不当或包装箱内部保护措施不符合要求而导致在装车或运输中发生设备或其任何部件的损坏或遗失，乙方应自费对缺损的设备、部件进行修理、更换或补供。</w:t>
      </w:r>
      <w:bookmarkStart w:id="122" w:name="_Toc9269"/>
      <w:bookmarkStart w:id="123" w:name="_Toc520190032"/>
      <w:bookmarkStart w:id="124" w:name="_Toc518992992"/>
      <w:bookmarkStart w:id="125" w:name="_Toc306350457"/>
      <w:bookmarkStart w:id="126" w:name="_Toc183666521"/>
      <w:bookmarkStart w:id="127" w:name="_Toc474245218"/>
    </w:p>
    <w:p>
      <w:pPr>
        <w:adjustRightInd w:val="0"/>
        <w:snapToGrid w:val="0"/>
        <w:spacing w:after="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8.3运输</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8.3.1乙方应自行选择适宜的运输工具及线路安排合同设备运输。</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8.3.2 除合同条款另有约定外，每件设备的备品备件应整套装运。</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8.3.3 除合同条款另有约定外，乙方应在合同设备预计启运7日前，将合同设备名称、数量、箱数、总毛重、每箱尺寸、装运合同设备总金额、运输方式、预计交付日期和合同设备在运输、装卸、保管中的注意事项等预通知甲方（如涉及易燃易爆物品、腐蚀物品、放射性物质等危险品，应告知危险品的品名、性质、在运输、装卸、保管方面的特殊要求、注意事项和意外情况的处理方法），并在合同设备启运后 24 小时之内正式通知甲方。</w:t>
      </w:r>
    </w:p>
    <w:bookmarkEnd w:id="122"/>
    <w:bookmarkEnd w:id="123"/>
    <w:bookmarkEnd w:id="124"/>
    <w:bookmarkEnd w:id="125"/>
    <w:bookmarkEnd w:id="126"/>
    <w:bookmarkEnd w:id="127"/>
    <w:p>
      <w:pPr>
        <w:adjustRightInd w:val="0"/>
        <w:snapToGrid w:val="0"/>
        <w:spacing w:before="120" w:beforeLines="50" w:after="120" w:afterLines="50" w:line="360" w:lineRule="auto"/>
        <w:ind w:firstLine="482" w:firstLineChars="200"/>
        <w:rPr>
          <w:rFonts w:hint="eastAsia" w:ascii="仿宋" w:hAnsi="仿宋" w:eastAsia="仿宋" w:cs="仿宋"/>
          <w:color w:val="auto"/>
          <w:sz w:val="24"/>
          <w:szCs w:val="24"/>
          <w:highlight w:val="none"/>
        </w:rPr>
      </w:pPr>
      <w:bookmarkStart w:id="128" w:name="_Toc183666522"/>
      <w:bookmarkStart w:id="129" w:name="_Toc18496"/>
      <w:bookmarkStart w:id="130" w:name="_Toc306350458"/>
      <w:r>
        <w:rPr>
          <w:rFonts w:hint="eastAsia" w:ascii="仿宋" w:hAnsi="仿宋" w:eastAsia="仿宋" w:cs="仿宋"/>
          <w:b/>
          <w:color w:val="auto"/>
          <w:sz w:val="24"/>
          <w:szCs w:val="24"/>
          <w:highlight w:val="none"/>
        </w:rPr>
        <w:t>第九条 技术服务</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9.1  乙方应按甲方需求，派遣技术熟练、称职的技术人员到现场为甲方提供设备调试运行等技术服务。</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9.2  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9.3  乙方技术人员应遵守甲方施工现场的各项规章制度和安全操作规程，并服从甲方的现场管理。</w:t>
      </w:r>
    </w:p>
    <w:p>
      <w:pPr>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  如果乙方技术人员提供的服务达不到合同和甲方要求的，甲方有权要求乙方撤换，因撤换而产生的费用应由乙方承担。在不影响技术服务并且征得甲方同意的条件下，乙方也可自负费用更换其技术人员。</w:t>
      </w:r>
    </w:p>
    <w:bookmarkEnd w:id="128"/>
    <w:bookmarkEnd w:id="129"/>
    <w:bookmarkEnd w:id="130"/>
    <w:p>
      <w:pPr>
        <w:autoSpaceDE w:val="0"/>
        <w:autoSpaceDN w:val="0"/>
        <w:adjustRightInd w:val="0"/>
        <w:spacing w:line="360" w:lineRule="auto"/>
        <w:ind w:firstLine="482" w:firstLineChars="200"/>
        <w:rPr>
          <w:rFonts w:hint="eastAsia" w:ascii="仿宋" w:hAnsi="仿宋" w:eastAsia="仿宋" w:cs="仿宋"/>
          <w:b/>
          <w:color w:val="auto"/>
          <w:sz w:val="24"/>
          <w:szCs w:val="24"/>
          <w:highlight w:val="none"/>
        </w:rPr>
      </w:pPr>
      <w:bookmarkStart w:id="131" w:name="_Toc518992994"/>
      <w:bookmarkStart w:id="132" w:name="_Toc520190034"/>
      <w:bookmarkStart w:id="133" w:name="_Toc474245220"/>
      <w:bookmarkStart w:id="134" w:name="_Toc306350459"/>
      <w:bookmarkStart w:id="135" w:name="_Toc183666523"/>
      <w:bookmarkStart w:id="136" w:name="_Toc4682"/>
      <w:r>
        <w:rPr>
          <w:rFonts w:hint="eastAsia" w:ascii="仿宋" w:hAnsi="仿宋" w:eastAsia="仿宋" w:cs="仿宋"/>
          <w:b/>
          <w:color w:val="auto"/>
          <w:sz w:val="24"/>
          <w:szCs w:val="24"/>
          <w:highlight w:val="none"/>
        </w:rPr>
        <w:t>第十条 质量保</w:t>
      </w:r>
      <w:bookmarkEnd w:id="131"/>
      <w:bookmarkEnd w:id="132"/>
      <w:bookmarkEnd w:id="133"/>
      <w:r>
        <w:rPr>
          <w:rFonts w:hint="eastAsia" w:ascii="仿宋" w:hAnsi="仿宋" w:eastAsia="仿宋" w:cs="仿宋"/>
          <w:b/>
          <w:color w:val="auto"/>
          <w:sz w:val="24"/>
          <w:szCs w:val="24"/>
          <w:highlight w:val="none"/>
        </w:rPr>
        <w:t>修</w:t>
      </w:r>
    </w:p>
    <w:p>
      <w:pPr>
        <w:tabs>
          <w:tab w:val="left" w:pos="851"/>
        </w:tabs>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10.1保修期：自</w:t>
      </w:r>
      <w:r>
        <w:rPr>
          <w:rFonts w:hint="eastAsia" w:ascii="仿宋" w:hAnsi="仿宋" w:eastAsia="仿宋" w:cs="仿宋"/>
          <w:color w:val="auto"/>
          <w:kern w:val="0"/>
          <w:sz w:val="24"/>
          <w:szCs w:val="24"/>
          <w:highlight w:val="none"/>
          <w:lang w:val="zh-CN"/>
        </w:rPr>
        <w:t>设备</w:t>
      </w:r>
      <w:r>
        <w:rPr>
          <w:rFonts w:hint="eastAsia" w:ascii="仿宋" w:hAnsi="仿宋" w:eastAsia="仿宋" w:cs="仿宋"/>
          <w:color w:val="auto"/>
          <w:kern w:val="0"/>
          <w:sz w:val="24"/>
          <w:szCs w:val="24"/>
          <w:highlight w:val="none"/>
        </w:rPr>
        <w:t>开箱</w:t>
      </w:r>
      <w:r>
        <w:rPr>
          <w:rFonts w:hint="eastAsia" w:ascii="仿宋" w:hAnsi="仿宋" w:eastAsia="仿宋" w:cs="仿宋"/>
          <w:color w:val="auto"/>
          <w:kern w:val="0"/>
          <w:sz w:val="24"/>
          <w:szCs w:val="24"/>
          <w:highlight w:val="none"/>
          <w:lang w:val="zh-CN"/>
        </w:rPr>
        <w:t>验收合格之日起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u w:val="single"/>
        </w:rPr>
        <w:t xml:space="preserve">  年</w:t>
      </w:r>
      <w:r>
        <w:rPr>
          <w:rFonts w:hint="eastAsia" w:ascii="仿宋" w:hAnsi="仿宋" w:eastAsia="仿宋" w:cs="仿宋"/>
          <w:color w:val="auto"/>
          <w:sz w:val="24"/>
          <w:szCs w:val="24"/>
          <w:highlight w:val="none"/>
        </w:rPr>
        <w:t xml:space="preserve">。保修期内乙方应免费对设备进行日常维护保养及质量缺陷修复。                                          </w:t>
      </w:r>
    </w:p>
    <w:p>
      <w:pPr>
        <w:tabs>
          <w:tab w:val="left" w:pos="851"/>
        </w:tabs>
        <w:adjustRightInd w:val="0"/>
        <w:snapToGrid w:val="0"/>
        <w:spacing w:line="360" w:lineRule="auto"/>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t>10.2</w:t>
      </w:r>
      <w:r>
        <w:rPr>
          <w:rFonts w:hint="eastAsia" w:ascii="仿宋" w:hAnsi="仿宋" w:eastAsia="仿宋" w:cs="仿宋"/>
          <w:color w:val="auto"/>
          <w:kern w:val="0"/>
          <w:sz w:val="24"/>
          <w:szCs w:val="24"/>
          <w:highlight w:val="none"/>
        </w:rPr>
        <w:t>保修</w:t>
      </w:r>
      <w:r>
        <w:rPr>
          <w:rFonts w:hint="eastAsia" w:ascii="仿宋" w:hAnsi="仿宋" w:eastAsia="仿宋" w:cs="仿宋"/>
          <w:color w:val="auto"/>
          <w:kern w:val="0"/>
          <w:sz w:val="24"/>
          <w:szCs w:val="24"/>
          <w:highlight w:val="none"/>
          <w:lang w:val="zh-CN"/>
        </w:rPr>
        <w:t>期内，乙方应对设备质量问题负责。如设备质量问题导致处理水量、出水水质达不到合同要求的，乙方需无条件免费更换设备并支付合</w:t>
      </w:r>
      <w:r>
        <w:rPr>
          <w:rFonts w:hint="eastAsia" w:ascii="仿宋" w:hAnsi="仿宋" w:eastAsia="仿宋" w:cs="仿宋"/>
          <w:color w:val="auto"/>
          <w:kern w:val="0"/>
          <w:sz w:val="24"/>
          <w:szCs w:val="24"/>
          <w:highlight w:val="none"/>
          <w:u w:val="single"/>
          <w:lang w:val="zh-CN"/>
        </w:rPr>
        <w:t>同暂定总价的10%作为</w:t>
      </w:r>
      <w:r>
        <w:rPr>
          <w:rFonts w:hint="eastAsia" w:ascii="仿宋" w:hAnsi="仿宋" w:eastAsia="仿宋" w:cs="仿宋"/>
          <w:color w:val="auto"/>
          <w:kern w:val="0"/>
          <w:sz w:val="24"/>
          <w:szCs w:val="24"/>
          <w:highlight w:val="none"/>
          <w:lang w:val="zh-CN"/>
        </w:rPr>
        <w:t>违约金，</w:t>
      </w:r>
      <w:r>
        <w:rPr>
          <w:rFonts w:hint="eastAsia" w:ascii="仿宋" w:hAnsi="仿宋" w:eastAsia="仿宋" w:cs="仿宋"/>
          <w:color w:val="auto"/>
          <w:kern w:val="0"/>
          <w:sz w:val="24"/>
          <w:szCs w:val="24"/>
          <w:highlight w:val="none"/>
        </w:rPr>
        <w:t>由此产生的</w:t>
      </w:r>
      <w:r>
        <w:rPr>
          <w:rFonts w:hint="eastAsia" w:ascii="仿宋" w:hAnsi="仿宋" w:eastAsia="仿宋" w:cs="仿宋"/>
          <w:color w:val="auto"/>
          <w:kern w:val="0"/>
          <w:sz w:val="24"/>
          <w:szCs w:val="24"/>
          <w:highlight w:val="none"/>
          <w:lang w:val="zh-CN"/>
        </w:rPr>
        <w:t>费用由乙方承担。对涉及运营费用，乙方应保证在</w:t>
      </w:r>
      <w:r>
        <w:rPr>
          <w:rFonts w:hint="eastAsia" w:ascii="仿宋" w:hAnsi="仿宋" w:eastAsia="仿宋" w:cs="仿宋"/>
          <w:color w:val="auto"/>
          <w:kern w:val="0"/>
          <w:sz w:val="24"/>
          <w:szCs w:val="24"/>
          <w:highlight w:val="none"/>
        </w:rPr>
        <w:t>开箱</w:t>
      </w:r>
      <w:r>
        <w:rPr>
          <w:rFonts w:hint="eastAsia" w:ascii="仿宋" w:hAnsi="仿宋" w:eastAsia="仿宋" w:cs="仿宋"/>
          <w:color w:val="auto"/>
          <w:kern w:val="0"/>
          <w:sz w:val="24"/>
          <w:szCs w:val="24"/>
          <w:highlight w:val="none"/>
          <w:lang w:val="zh-CN"/>
        </w:rPr>
        <w:t>验收</w:t>
      </w:r>
      <w:r>
        <w:rPr>
          <w:rFonts w:hint="eastAsia" w:ascii="仿宋" w:hAnsi="仿宋" w:eastAsia="仿宋" w:cs="仿宋"/>
          <w:color w:val="auto"/>
          <w:kern w:val="0"/>
          <w:sz w:val="24"/>
          <w:szCs w:val="24"/>
          <w:highlight w:val="none"/>
        </w:rPr>
        <w:t>合格</w:t>
      </w:r>
      <w:r>
        <w:rPr>
          <w:rFonts w:hint="eastAsia" w:ascii="仿宋" w:hAnsi="仿宋" w:eastAsia="仿宋" w:cs="仿宋"/>
          <w:color w:val="auto"/>
          <w:kern w:val="0"/>
          <w:sz w:val="24"/>
          <w:szCs w:val="24"/>
          <w:highlight w:val="none"/>
          <w:lang w:val="zh-CN"/>
        </w:rPr>
        <w:t>后三年内，</w:t>
      </w:r>
      <w:r>
        <w:rPr>
          <w:rFonts w:hint="eastAsia" w:ascii="仿宋" w:hAnsi="仿宋" w:eastAsia="仿宋" w:cs="仿宋"/>
          <w:color w:val="auto"/>
          <w:kern w:val="0"/>
          <w:sz w:val="24"/>
          <w:szCs w:val="24"/>
          <w:highlight w:val="none"/>
        </w:rPr>
        <w:t>设备</w:t>
      </w:r>
      <w:r>
        <w:rPr>
          <w:rFonts w:hint="eastAsia" w:ascii="仿宋" w:hAnsi="仿宋" w:eastAsia="仿宋" w:cs="仿宋"/>
          <w:color w:val="auto"/>
          <w:kern w:val="0"/>
          <w:sz w:val="24"/>
          <w:szCs w:val="24"/>
          <w:highlight w:val="none"/>
          <w:lang w:val="zh-CN"/>
        </w:rPr>
        <w:t>运行费用不高于投标文件/响应文件的承诺指标，</w:t>
      </w:r>
      <w:r>
        <w:rPr>
          <w:rFonts w:hint="eastAsia" w:ascii="仿宋" w:hAnsi="仿宋" w:eastAsia="仿宋" w:cs="仿宋"/>
          <w:color w:val="auto"/>
          <w:kern w:val="0"/>
          <w:sz w:val="24"/>
          <w:szCs w:val="24"/>
          <w:highlight w:val="none"/>
        </w:rPr>
        <w:t>否则，</w:t>
      </w:r>
      <w:r>
        <w:rPr>
          <w:rFonts w:hint="eastAsia" w:ascii="仿宋" w:hAnsi="仿宋" w:eastAsia="仿宋" w:cs="仿宋"/>
          <w:color w:val="auto"/>
          <w:kern w:val="0"/>
          <w:sz w:val="24"/>
          <w:szCs w:val="24"/>
          <w:highlight w:val="none"/>
          <w:lang w:val="zh-CN"/>
        </w:rPr>
        <w:t>乙方需无条件免费更换设备</w:t>
      </w:r>
      <w:r>
        <w:rPr>
          <w:rFonts w:hint="eastAsia" w:ascii="仿宋" w:hAnsi="仿宋" w:eastAsia="仿宋" w:cs="仿宋"/>
          <w:color w:val="auto"/>
          <w:kern w:val="0"/>
          <w:sz w:val="24"/>
          <w:szCs w:val="24"/>
          <w:highlight w:val="none"/>
        </w:rPr>
        <w:t>并支付违约金</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u w:val="single"/>
          <w:lang w:val="en-US" w:eastAsia="zh-CN"/>
        </w:rPr>
        <w:t>5000</w:t>
      </w:r>
      <w:r>
        <w:rPr>
          <w:rFonts w:hint="eastAsia" w:ascii="仿宋" w:hAnsi="仿宋" w:eastAsia="仿宋" w:cs="仿宋"/>
          <w:color w:val="auto"/>
          <w:kern w:val="0"/>
          <w:sz w:val="24"/>
          <w:szCs w:val="24"/>
          <w:highlight w:val="none"/>
        </w:rPr>
        <w:t>元</w:t>
      </w:r>
      <w:r>
        <w:rPr>
          <w:rFonts w:hint="eastAsia" w:ascii="仿宋" w:hAnsi="仿宋" w:eastAsia="仿宋" w:cs="仿宋"/>
          <w:color w:val="auto"/>
          <w:kern w:val="0"/>
          <w:sz w:val="24"/>
          <w:szCs w:val="24"/>
          <w:highlight w:val="none"/>
          <w:lang w:val="zh-CN"/>
        </w:rPr>
        <w:t>（如有）。</w:t>
      </w:r>
    </w:p>
    <w:p>
      <w:pPr>
        <w:tabs>
          <w:tab w:val="left" w:pos="851"/>
        </w:tabs>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10.3 保修期间由于设备本身原因产生的故障仍属质保范围，对更换或维修过的零部件从更换或维修完成并验收合格之日起，质量保修期重新计算。</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10.4 质量保修期间，如合同设备出现故障，乙方应在接到甲方通知后</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24</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小时内通过电话、网络等提供远程技术指导，如甲方需要乙方到场的，乙方应在收到甲方通知后</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48</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小时内派专业技术人员到场负责解决及维修故障。</w:t>
      </w:r>
      <w:bookmarkEnd w:id="134"/>
      <w:bookmarkEnd w:id="135"/>
      <w:bookmarkEnd w:id="136"/>
      <w:bookmarkStart w:id="137" w:name="_Toc306350464"/>
      <w:bookmarkStart w:id="138" w:name="_Toc518992997"/>
      <w:bookmarkStart w:id="139" w:name="_Toc107447250"/>
      <w:bookmarkStart w:id="140" w:name="_Toc474245223"/>
      <w:bookmarkStart w:id="141" w:name="_Toc183666528"/>
      <w:bookmarkStart w:id="142" w:name="_Toc520190037"/>
      <w:bookmarkStart w:id="143" w:name="_Toc27734"/>
      <w:bookmarkStart w:id="144" w:name="_Toc107446857"/>
      <w:r>
        <w:rPr>
          <w:rFonts w:hint="eastAsia" w:ascii="仿宋" w:hAnsi="仿宋" w:eastAsia="仿宋" w:cs="仿宋"/>
          <w:bCs/>
          <w:color w:val="auto"/>
          <w:sz w:val="24"/>
          <w:szCs w:val="24"/>
          <w:highlight w:val="none"/>
        </w:rPr>
        <w:t>如果乙方不按时到场维修或到场后不能修复的，甲方有权委托他人予以维修，乙方承担由此发生的费用并支付</w:t>
      </w:r>
      <w:r>
        <w:rPr>
          <w:rFonts w:hint="eastAsia" w:ascii="仿宋" w:hAnsi="仿宋" w:eastAsia="仿宋" w:cs="仿宋"/>
          <w:bCs/>
          <w:color w:val="auto"/>
          <w:sz w:val="24"/>
          <w:szCs w:val="24"/>
          <w:highlight w:val="none"/>
          <w:u w:val="single"/>
        </w:rPr>
        <w:t>合同暂定总价10%/次</w:t>
      </w:r>
      <w:r>
        <w:rPr>
          <w:rFonts w:hint="eastAsia" w:ascii="仿宋" w:hAnsi="仿宋" w:eastAsia="仿宋" w:cs="仿宋"/>
          <w:bCs/>
          <w:color w:val="auto"/>
          <w:sz w:val="24"/>
          <w:szCs w:val="24"/>
          <w:highlight w:val="none"/>
        </w:rPr>
        <w:t>作为违约金。</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第十一条 违约责任</w:t>
      </w:r>
      <w:bookmarkEnd w:id="137"/>
      <w:bookmarkEnd w:id="138"/>
      <w:bookmarkEnd w:id="139"/>
      <w:bookmarkEnd w:id="140"/>
      <w:bookmarkEnd w:id="141"/>
      <w:bookmarkEnd w:id="142"/>
      <w:bookmarkEnd w:id="143"/>
      <w:bookmarkEnd w:id="144"/>
    </w:p>
    <w:p>
      <w:pPr>
        <w:spacing w:line="360" w:lineRule="auto"/>
        <w:ind w:firstLine="482"/>
        <w:rPr>
          <w:rFonts w:hint="eastAsia" w:ascii="仿宋" w:hAnsi="仿宋" w:eastAsia="仿宋" w:cs="仿宋"/>
          <w:bCs/>
          <w:color w:val="auto"/>
          <w:sz w:val="24"/>
          <w:szCs w:val="24"/>
          <w:highlight w:val="none"/>
        </w:rPr>
      </w:pPr>
      <w:bookmarkStart w:id="145" w:name="_Toc5166"/>
      <w:bookmarkStart w:id="146" w:name="_Toc183666529"/>
      <w:bookmarkStart w:id="147" w:name="_Toc306350465"/>
      <w:r>
        <w:rPr>
          <w:rFonts w:hint="eastAsia" w:ascii="仿宋" w:hAnsi="仿宋" w:eastAsia="仿宋" w:cs="仿宋"/>
          <w:bCs/>
          <w:color w:val="auto"/>
          <w:sz w:val="24"/>
          <w:szCs w:val="24"/>
          <w:highlight w:val="none"/>
        </w:rPr>
        <w:t>11.1 延期交货的违约责任</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11.1.1 乙方应按照本合同约定的时间交货。如乙方因客观情况导致无法按时交货，乙方应在交货期前</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7</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日，以书面形式将原因及预计拖延的时间通知甲方。经甲方同意后，交货期顺延。</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11.1.2乙方未能在合同规定期限内交货并交付完整技术资料的，每逾期一天，甲方有权按迟</w:t>
      </w:r>
      <w:r>
        <w:rPr>
          <w:rFonts w:hint="eastAsia" w:ascii="仿宋" w:hAnsi="仿宋" w:eastAsia="仿宋" w:cs="仿宋"/>
          <w:bCs/>
          <w:color w:val="auto"/>
          <w:sz w:val="24"/>
          <w:szCs w:val="24"/>
          <w:highlight w:val="none"/>
          <w:u w:val="single"/>
        </w:rPr>
        <w:t>交货设备价格的1%/天</w:t>
      </w:r>
      <w:r>
        <w:rPr>
          <w:rFonts w:hint="eastAsia" w:ascii="仿宋" w:hAnsi="仿宋" w:eastAsia="仿宋" w:cs="仿宋"/>
          <w:bCs/>
          <w:color w:val="auto"/>
          <w:sz w:val="24"/>
          <w:szCs w:val="24"/>
          <w:highlight w:val="none"/>
        </w:rPr>
        <w:t>要求乙方支付违约金。逾期超过</w:t>
      </w:r>
      <w:r>
        <w:rPr>
          <w:rFonts w:hint="eastAsia" w:ascii="仿宋" w:hAnsi="仿宋" w:eastAsia="仿宋" w:cs="仿宋"/>
          <w:bCs/>
          <w:color w:val="auto"/>
          <w:sz w:val="24"/>
          <w:szCs w:val="24"/>
          <w:highlight w:val="none"/>
          <w:u w:val="single"/>
        </w:rPr>
        <w:t xml:space="preserve"> 15 </w:t>
      </w:r>
      <w:r>
        <w:rPr>
          <w:rFonts w:hint="eastAsia" w:ascii="仿宋" w:hAnsi="仿宋" w:eastAsia="仿宋" w:cs="仿宋"/>
          <w:bCs/>
          <w:color w:val="auto"/>
          <w:sz w:val="24"/>
          <w:szCs w:val="24"/>
          <w:highlight w:val="none"/>
        </w:rPr>
        <w:t>天，甲方有权解除合同，要求乙方支付迟延违约金并在3天内退回预付款及利息（如有），且扣除乙方履约担保全部金额（如有）。如由于乙方逾期交货对甲方生产造成影响，甲方有权要求乙方赔偿损失。</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 质量问题的违约责任</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11.2.1 自乙方交货后至质量保修期满的期间内，甲方经检查发现或合同设备经安装、调试、试车或运行显示，合同设备或其任何部件存在质量问题，达不到本合同技术要求。甲方有权要求乙方采取下列一种或多种方式予以解决：</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（1）乙方承担费用，用合格的新设备更换有缺陷的设备或修补缺陷部分；</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（2）退还设备，同时将甲方已经支付的合同价款全额退还甲方，并承担甲方因履行本合同而支出的一切费用，包括但不限于利息、银行手续费、仓储费、卸货费以及因退回设备所需的其他费用。</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（3）按不合格设备价格的</w:t>
      </w:r>
      <w:r>
        <w:rPr>
          <w:rFonts w:hint="eastAsia" w:ascii="仿宋" w:hAnsi="仿宋" w:eastAsia="仿宋" w:cs="仿宋"/>
          <w:bCs/>
          <w:color w:val="auto"/>
          <w:sz w:val="24"/>
          <w:szCs w:val="24"/>
          <w:highlight w:val="none"/>
          <w:u w:val="single"/>
        </w:rPr>
        <w:t>50</w:t>
      </w:r>
      <w:r>
        <w:rPr>
          <w:rFonts w:hint="eastAsia" w:ascii="仿宋" w:hAnsi="仿宋" w:eastAsia="仿宋" w:cs="仿宋"/>
          <w:bCs/>
          <w:color w:val="auto"/>
          <w:sz w:val="24"/>
          <w:szCs w:val="24"/>
          <w:highlight w:val="none"/>
        </w:rPr>
        <w:t>%支付违约金。</w:t>
      </w:r>
    </w:p>
    <w:p>
      <w:pPr>
        <w:numPr>
          <w:ilvl w:val="0"/>
          <w:numId w:val="0"/>
        </w:num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（4）赔偿甲方因设备质量问题导致的一切损失。</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11.2.2 如果乙方提供的技术资料有错误，或者由于乙方技术人员原因造成设备安装、调试不成功和（或）造成合同设备损坏的情况，乙方应在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24</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小时内采取修理、更换、退货等补救措施并负担因此发生的费用，同时需向甲方支付</w:t>
      </w:r>
      <w:r>
        <w:rPr>
          <w:rFonts w:hint="eastAsia" w:ascii="仿宋" w:hAnsi="仿宋" w:eastAsia="仿宋" w:cs="仿宋"/>
          <w:bCs/>
          <w:color w:val="auto"/>
          <w:sz w:val="24"/>
          <w:szCs w:val="24"/>
          <w:highlight w:val="none"/>
          <w:u w:val="single"/>
        </w:rPr>
        <w:t xml:space="preserve">不合格设备价格的 50 </w:t>
      </w:r>
      <w:r>
        <w:rPr>
          <w:rFonts w:hint="eastAsia" w:ascii="仿宋" w:hAnsi="仿宋" w:eastAsia="仿宋" w:cs="仿宋"/>
          <w:bCs/>
          <w:color w:val="auto"/>
          <w:sz w:val="24"/>
          <w:szCs w:val="24"/>
          <w:highlight w:val="none"/>
        </w:rPr>
        <w:t>%作为违约金。</w:t>
      </w:r>
    </w:p>
    <w:p>
      <w:pPr>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11.2.3 在开箱检验、或使用过程中发现乙方提交的合同设备为贴牌、假冒、伪劣、翻新产品，或生产组成合同设备的原材料、配件是贴牌、假冒、伪劣货物时，乙方应在甲方通知之日自行收回设备，甲方不负保管责任，设备毁损灭失风险自甲方通知之时起由乙方承担，乙方将已支付款项（含预付款）退还甲方，并按</w:t>
      </w:r>
      <w:r>
        <w:rPr>
          <w:rFonts w:hint="eastAsia" w:ascii="仿宋" w:hAnsi="仿宋" w:eastAsia="仿宋" w:cs="仿宋"/>
          <w:bCs/>
          <w:color w:val="auto"/>
          <w:sz w:val="24"/>
          <w:szCs w:val="24"/>
          <w:highlight w:val="none"/>
          <w:u w:val="single"/>
        </w:rPr>
        <w:t>合同暂定总价的 100 %</w:t>
      </w:r>
      <w:r>
        <w:rPr>
          <w:rFonts w:hint="eastAsia" w:ascii="仿宋" w:hAnsi="仿宋" w:eastAsia="仿宋" w:cs="仿宋"/>
          <w:bCs/>
          <w:color w:val="auto"/>
          <w:sz w:val="24"/>
          <w:szCs w:val="24"/>
          <w:highlight w:val="none"/>
        </w:rPr>
        <w:t>支付违约金。</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11.2.4 在合同设备设计使用寿命期内，如果乙方发现合同设备由于设计、制造、标识等原因存在足以危及人身、财产安全的缺陷，应及时通知甲方并采取修正或者补充标识、修理、更换等措施消除缺陷，因设备缺陷造成的一切损害，乙方应承担全部赔偿责任。</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11.3 如乙方未按合同六条约定递交履约保证金，甲方有权解除合同并要求乙方支付</w:t>
      </w:r>
      <w:r>
        <w:rPr>
          <w:rFonts w:hint="eastAsia" w:ascii="仿宋" w:hAnsi="仿宋" w:eastAsia="仿宋" w:cs="仿宋"/>
          <w:bCs/>
          <w:color w:val="auto"/>
          <w:sz w:val="24"/>
          <w:szCs w:val="24"/>
          <w:highlight w:val="none"/>
          <w:u w:val="single"/>
        </w:rPr>
        <w:t>合同暂定总价的20%</w:t>
      </w:r>
      <w:r>
        <w:rPr>
          <w:rFonts w:hint="eastAsia" w:ascii="仿宋" w:hAnsi="仿宋" w:eastAsia="仿宋" w:cs="仿宋"/>
          <w:bCs/>
          <w:color w:val="auto"/>
          <w:sz w:val="24"/>
          <w:szCs w:val="24"/>
          <w:highlight w:val="none"/>
        </w:rPr>
        <w:t xml:space="preserve">作为违约金。 </w:t>
      </w:r>
    </w:p>
    <w:p>
      <w:pPr>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11.4 如双方对质量责任认定有争议，</w:t>
      </w:r>
      <w:r>
        <w:rPr>
          <w:rFonts w:hint="eastAsia" w:ascii="仿宋" w:hAnsi="仿宋" w:eastAsia="仿宋" w:cs="仿宋"/>
          <w:color w:val="auto"/>
          <w:sz w:val="24"/>
          <w:szCs w:val="24"/>
          <w:highlight w:val="none"/>
        </w:rPr>
        <w:t>由甲方委托具备相关资质的第三方质检机构出具质检报告。因第三方质检机构产生的费用先由乙方支付，如果检验结果为不合格，则该费用由乙方承担，如果检验结果为合格，则该费用由甲方承担。</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11.5乙方不履行合同义务、或履行合同义务不符合合同约定、或违反国家、省、市行业标准的，甲方有权要求乙方限期整改。乙方逾期未完成整改的，每项每超过1日支付违约金人民币1万元，超过</w:t>
      </w:r>
      <w:r>
        <w:rPr>
          <w:rFonts w:hint="eastAsia" w:ascii="仿宋" w:hAnsi="仿宋" w:eastAsia="仿宋" w:cs="仿宋"/>
          <w:bCs/>
          <w:color w:val="auto"/>
          <w:sz w:val="24"/>
          <w:szCs w:val="24"/>
          <w:highlight w:val="none"/>
          <w:u w:val="single"/>
        </w:rPr>
        <w:t>_</w:t>
      </w:r>
      <w:r>
        <w:rPr>
          <w:rFonts w:hint="eastAsia" w:ascii="仿宋" w:hAnsi="仿宋" w:eastAsia="仿宋" w:cs="仿宋"/>
          <w:bCs/>
          <w:color w:val="auto"/>
          <w:sz w:val="24"/>
          <w:szCs w:val="24"/>
          <w:highlight w:val="none"/>
          <w:u w:val="single"/>
          <w:lang w:val="en-US" w:eastAsia="zh-CN"/>
        </w:rPr>
        <w:t>30</w:t>
      </w:r>
      <w:r>
        <w:rPr>
          <w:rFonts w:hint="eastAsia" w:ascii="仿宋" w:hAnsi="仿宋" w:eastAsia="仿宋" w:cs="仿宋"/>
          <w:bCs/>
          <w:color w:val="auto"/>
          <w:sz w:val="24"/>
          <w:szCs w:val="24"/>
          <w:highlight w:val="none"/>
          <w:u w:val="single"/>
        </w:rPr>
        <w:t xml:space="preserve"> _</w:t>
      </w:r>
      <w:r>
        <w:rPr>
          <w:rFonts w:hint="eastAsia" w:ascii="仿宋" w:hAnsi="仿宋" w:eastAsia="仿宋" w:cs="仿宋"/>
          <w:bCs/>
          <w:color w:val="auto"/>
          <w:sz w:val="24"/>
          <w:szCs w:val="24"/>
          <w:highlight w:val="none"/>
        </w:rPr>
        <w:t>日，甲方有权解除合同并要求乙方支付</w:t>
      </w:r>
      <w:r>
        <w:rPr>
          <w:rFonts w:hint="eastAsia" w:ascii="仿宋" w:hAnsi="仿宋" w:eastAsia="仿宋" w:cs="仿宋"/>
          <w:bCs/>
          <w:color w:val="auto"/>
          <w:sz w:val="24"/>
          <w:szCs w:val="24"/>
          <w:highlight w:val="none"/>
          <w:u w:val="single"/>
        </w:rPr>
        <w:t>合同暂定总价的20%</w:t>
      </w:r>
      <w:r>
        <w:rPr>
          <w:rFonts w:hint="eastAsia" w:ascii="仿宋" w:hAnsi="仿宋" w:eastAsia="仿宋" w:cs="仿宋"/>
          <w:bCs/>
          <w:color w:val="auto"/>
          <w:sz w:val="24"/>
          <w:szCs w:val="24"/>
          <w:highlight w:val="none"/>
        </w:rPr>
        <w:t>作为违约金（</w:t>
      </w:r>
      <w:r>
        <w:rPr>
          <w:rFonts w:hint="eastAsia" w:ascii="仿宋" w:hAnsi="仿宋" w:eastAsia="仿宋" w:cs="仿宋"/>
          <w:color w:val="auto"/>
          <w:sz w:val="24"/>
          <w:highlight w:val="none"/>
        </w:rPr>
        <w:t>如合同另行约定违约责任，从其约定</w:t>
      </w:r>
      <w:r>
        <w:rPr>
          <w:rFonts w:hint="eastAsia" w:ascii="仿宋" w:hAnsi="仿宋" w:eastAsia="仿宋" w:cs="仿宋"/>
          <w:bCs/>
          <w:color w:val="auto"/>
          <w:sz w:val="24"/>
          <w:szCs w:val="24"/>
          <w:highlight w:val="none"/>
        </w:rPr>
        <w:t xml:space="preserve">）。 </w:t>
      </w:r>
    </w:p>
    <w:p>
      <w:pPr>
        <w:spacing w:line="360" w:lineRule="auto"/>
        <w:ind w:firstLine="482"/>
        <w:rPr>
          <w:rFonts w:hint="eastAsia" w:ascii="仿宋" w:hAnsi="仿宋" w:eastAsia="仿宋" w:cs="仿宋"/>
          <w:sz w:val="24"/>
          <w:szCs w:val="24"/>
          <w:highlight w:val="none"/>
        </w:rPr>
      </w:pPr>
      <w:r>
        <w:rPr>
          <w:rFonts w:hint="eastAsia" w:ascii="仿宋" w:hAnsi="仿宋" w:eastAsia="仿宋" w:cs="仿宋"/>
          <w:bCs/>
          <w:color w:val="auto"/>
          <w:sz w:val="24"/>
          <w:szCs w:val="24"/>
          <w:highlight w:val="none"/>
          <w:lang w:val="en-US" w:eastAsia="zh-CN"/>
        </w:rPr>
        <w:t>11.6在合同有效期内，若乙方发生不诚信行为情形的，乙方自愿接受甲方按《广州市净水有限公司经营建设项目参建企业不诚信行为管理办法》处理，具体处理标准详见附件3。</w:t>
      </w:r>
    </w:p>
    <w:p>
      <w:pPr>
        <w:spacing w:line="360" w:lineRule="auto"/>
        <w:ind w:firstLine="482" w:firstLineChars="200"/>
        <w:rPr>
          <w:rFonts w:hint="eastAsia" w:ascii="仿宋" w:hAnsi="仿宋" w:eastAsia="仿宋" w:cs="仿宋"/>
          <w:b/>
          <w:color w:val="auto"/>
          <w:sz w:val="24"/>
          <w:szCs w:val="24"/>
          <w:highlight w:val="none"/>
        </w:rPr>
      </w:pPr>
      <w:bookmarkStart w:id="148" w:name="_Toc107446861"/>
      <w:bookmarkStart w:id="149" w:name="_Toc107447253"/>
      <w:bookmarkStart w:id="150" w:name="_Toc107446860"/>
      <w:bookmarkStart w:id="151" w:name="_Toc520190038"/>
      <w:bookmarkStart w:id="152" w:name="_Toc518992998"/>
      <w:bookmarkStart w:id="153" w:name="_Toc474245224"/>
      <w:bookmarkStart w:id="154" w:name="_Toc107447254"/>
      <w:bookmarkStart w:id="155" w:name="_Toc118086592"/>
      <w:r>
        <w:rPr>
          <w:rFonts w:hint="eastAsia" w:ascii="仿宋" w:hAnsi="仿宋" w:eastAsia="仿宋" w:cs="仿宋"/>
          <w:b/>
          <w:color w:val="auto"/>
          <w:sz w:val="24"/>
          <w:szCs w:val="24"/>
          <w:highlight w:val="none"/>
        </w:rPr>
        <w:t>第十二条 变更或解除</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12.1 甲方解除合同</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如乙方存在下述情况之一，甲方有权向乙方发出书面通知，全部或部分解除本合同：</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12.1.1 乙方未能在本合同约定或甲方另行指定的期限内提供部分或全部设备或提供技术服务，并经甲方催告后仍未提供； </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12.1.2乙方交付的设备存在严重的质量问题，导致本合同目的不能实现；</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12.1.3 乙方存在违反合同义务的其他情形，经甲方催告后仍未作出补救或完成整改；</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12.1.4 乙方投标时提交的资料不真实，或任何时候发现乙方有违反投标时的承诺和（或）声明的情况；</w:t>
      </w:r>
    </w:p>
    <w:p>
      <w:pPr>
        <w:spacing w:line="360" w:lineRule="auto"/>
        <w:ind w:firstLine="482"/>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12.2 乙方解除合同</w:t>
      </w:r>
    </w:p>
    <w:p>
      <w:pPr>
        <w:spacing w:line="360" w:lineRule="auto"/>
        <w:ind w:firstLine="482"/>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如甲方无正当理由未能按本合同约定期限向乙方支付合同款，并经乙方催告后超过</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val="en-US" w:eastAsia="zh-CN"/>
        </w:rPr>
        <w:t>60</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 xml:space="preserve"> 天仍未支付，乙方有权以书面通知解除本合同。</w:t>
      </w:r>
    </w:p>
    <w:p>
      <w:pPr>
        <w:spacing w:line="360" w:lineRule="auto"/>
        <w:ind w:firstLine="48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12.3甲乙双方经协商一致后解除合同。</w:t>
      </w:r>
    </w:p>
    <w:p>
      <w:pPr>
        <w:spacing w:line="480" w:lineRule="exact"/>
        <w:ind w:firstLine="482" w:firstLineChars="200"/>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第十三条 不可抗力</w:t>
      </w:r>
    </w:p>
    <w:p>
      <w:pPr>
        <w:widowControl w:val="0"/>
        <w:numPr>
          <w:ilvl w:val="0"/>
          <w:numId w:val="0"/>
        </w:numPr>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（1）地震、火山爆发、滑坡、暴雨（橙色预警及以上）、台风（黄色预警及以上）、海啸、龙卷风、大面积流行病(如：非典型性肺炎等)或瘟疫；</w:t>
      </w:r>
    </w:p>
    <w:p>
      <w:pPr>
        <w:widowControl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（2）战争行为、入侵、武装冲突或外敌行为、封锁、暴乱、恐怖行为或军事演习；</w:t>
      </w:r>
    </w:p>
    <w:p>
      <w:pPr>
        <w:widowControl w:val="0"/>
        <w:spacing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第十四条 争议解决方式：</w:t>
      </w:r>
    </w:p>
    <w:p>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因本合同引起的或与本合同有关的任何争议，甲乙双方应友好协商解决，如协商不成，任何一方均可依法向</w:t>
      </w:r>
      <w:r>
        <w:rPr>
          <w:rFonts w:hint="eastAsia" w:ascii="仿宋" w:hAnsi="仿宋" w:eastAsia="仿宋" w:cs="仿宋"/>
          <w:color w:val="auto"/>
          <w:sz w:val="24"/>
          <w:szCs w:val="24"/>
          <w:highlight w:val="none"/>
          <w:u w:val="single"/>
        </w:rPr>
        <w:t>甲方所在地人民法院</w:t>
      </w:r>
      <w:r>
        <w:rPr>
          <w:rFonts w:hint="eastAsia" w:ascii="仿宋" w:hAnsi="仿宋" w:eastAsia="仿宋" w:cs="仿宋"/>
          <w:color w:val="auto"/>
          <w:sz w:val="24"/>
          <w:szCs w:val="24"/>
          <w:highlight w:val="none"/>
        </w:rPr>
        <w:t>提起诉讼。</w:t>
      </w:r>
    </w:p>
    <w:p>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在甲方同意的情况下，除有争端之外的合同其它部分在争端解决前应继续执行。</w:t>
      </w:r>
    </w:p>
    <w:p>
      <w:pPr>
        <w:spacing w:line="360" w:lineRule="auto"/>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第十五条 其他：</w:t>
      </w:r>
    </w:p>
    <w:p>
      <w:pPr>
        <w:spacing w:line="360" w:lineRule="auto"/>
        <w:ind w:firstLine="595" w:firstLineChars="248"/>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t>15.1</w:t>
      </w:r>
      <w:r>
        <w:rPr>
          <w:rFonts w:hint="eastAsia" w:ascii="仿宋" w:hAnsi="仿宋" w:eastAsia="仿宋" w:cs="仿宋"/>
          <w:color w:val="auto"/>
          <w:sz w:val="24"/>
          <w:szCs w:val="24"/>
          <w:highlight w:val="none"/>
        </w:rPr>
        <w:t>本合同未尽事宜，可由甲乙双方另行签订补充协议。补充协议与本合同具有同等法律效力。</w:t>
      </w:r>
    </w:p>
    <w:p>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15.2本合同自甲乙双方法定代表人或授权代理人签字并加盖公章之日起生效。</w:t>
      </w:r>
    </w:p>
    <w:p>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15.3本合同一式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份，甲方执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份，乙方执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份。均具有同等法律效力。</w:t>
      </w:r>
    </w:p>
    <w:p>
      <w:pPr>
        <w:spacing w:line="360" w:lineRule="auto"/>
        <w:ind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15.4补充条款：</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bookmarkEnd w:id="118"/>
    <w:bookmarkEnd w:id="119"/>
    <w:bookmarkEnd w:id="145"/>
    <w:bookmarkEnd w:id="146"/>
    <w:bookmarkEnd w:id="147"/>
    <w:bookmarkEnd w:id="148"/>
    <w:bookmarkEnd w:id="149"/>
    <w:bookmarkEnd w:id="150"/>
    <w:bookmarkEnd w:id="151"/>
    <w:bookmarkEnd w:id="152"/>
    <w:bookmarkEnd w:id="153"/>
    <w:bookmarkEnd w:id="154"/>
    <w:bookmarkEnd w:id="155"/>
    <w:p>
      <w:pPr>
        <w:pStyle w:val="2"/>
        <w:ind w:left="0" w:leftChars="0" w:firstLine="0" w:firstLineChars="0"/>
        <w:rPr>
          <w:rFonts w:hint="eastAsia" w:ascii="仿宋" w:hAnsi="仿宋" w:eastAsia="仿宋" w:cs="仿宋"/>
          <w:color w:val="auto"/>
          <w:sz w:val="24"/>
          <w:szCs w:val="24"/>
          <w:highlight w:val="none"/>
        </w:rPr>
      </w:pPr>
    </w:p>
    <w:p>
      <w:pPr>
        <w:pStyle w:val="2"/>
        <w:rPr>
          <w:rFonts w:hint="eastAsia" w:ascii="仿宋" w:hAnsi="仿宋" w:eastAsia="仿宋" w:cs="仿宋"/>
          <w:color w:val="auto"/>
          <w:sz w:val="24"/>
          <w:szCs w:val="24"/>
          <w:highlight w:val="none"/>
        </w:rPr>
      </w:pP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附件：1.发包通知书</w:t>
      </w:r>
    </w:p>
    <w:p>
      <w:pPr>
        <w:spacing w:line="360" w:lineRule="auto"/>
        <w:ind w:leftChars="300" w:firstLine="480"/>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2.物品采购安全协议书</w:t>
      </w:r>
    </w:p>
    <w:p>
      <w:pPr>
        <w:spacing w:line="360" w:lineRule="auto"/>
        <w:ind w:leftChars="30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.廉洁协议</w:t>
      </w:r>
    </w:p>
    <w:p>
      <w:pPr>
        <w:spacing w:line="360" w:lineRule="auto"/>
        <w:ind w:leftChars="30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不诚信行为的情形及相应被暂停参与投标活动的处理标准</w:t>
      </w:r>
    </w:p>
    <w:p>
      <w:pPr>
        <w:spacing w:line="360" w:lineRule="auto"/>
        <w:ind w:leftChars="300" w:firstLine="48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val="zh-CN"/>
        </w:rPr>
        <w:t>.技术需求（如需）</w:t>
      </w:r>
    </w:p>
    <w:p>
      <w:pPr>
        <w:spacing w:line="360" w:lineRule="auto"/>
        <w:ind w:leftChars="300" w:firstLine="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.授权委托证明（如需）</w:t>
      </w:r>
    </w:p>
    <w:p>
      <w:pPr>
        <w:spacing w:line="360" w:lineRule="auto"/>
        <w:ind w:leftChars="300" w:firstLine="48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.履约保函（模板）</w:t>
      </w:r>
    </w:p>
    <w:tbl>
      <w:tblPr>
        <w:tblStyle w:val="24"/>
        <w:tblpPr w:leftFromText="180" w:rightFromText="180" w:vertAnchor="text" w:horzAnchor="page" w:tblpX="1795" w:tblpY="66"/>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甲方</w:t>
            </w:r>
            <w:r>
              <w:rPr>
                <w:rFonts w:hint="eastAsia" w:ascii="仿宋" w:hAnsi="仿宋" w:eastAsia="仿宋" w:cs="仿宋"/>
                <w:color w:val="auto"/>
                <w:sz w:val="24"/>
                <w:szCs w:val="24"/>
                <w:highlight w:val="none"/>
              </w:rPr>
              <w:t>：（章）</w:t>
            </w:r>
            <w:r>
              <w:rPr>
                <w:rFonts w:hint="eastAsia" w:ascii="仿宋" w:hAnsi="仿宋" w:eastAsia="仿宋" w:cs="仿宋"/>
                <w:color w:val="auto"/>
                <w:sz w:val="24"/>
                <w:szCs w:val="24"/>
                <w:highlight w:val="none"/>
                <w:lang w:val="en-US" w:eastAsia="zh-CN"/>
              </w:rPr>
              <w:t>广州城市水处理设备有限公司</w:t>
            </w:r>
          </w:p>
        </w:tc>
        <w:tc>
          <w:tcPr>
            <w:tcW w:w="4696"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乙方</w:t>
            </w:r>
            <w:r>
              <w:rPr>
                <w:rFonts w:hint="eastAsia" w:ascii="仿宋" w:hAnsi="仿宋" w:eastAsia="仿宋" w:cs="仿宋"/>
                <w:color w:val="auto"/>
                <w:sz w:val="24"/>
                <w:szCs w:val="24"/>
                <w:highlight w:val="none"/>
              </w:rPr>
              <w:t>：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法定代表人或授权代理人：</w:t>
            </w:r>
          </w:p>
        </w:tc>
        <w:tc>
          <w:tcPr>
            <w:tcW w:w="4696"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经办人：</w:t>
            </w:r>
          </w:p>
        </w:tc>
        <w:tc>
          <w:tcPr>
            <w:tcW w:w="4696"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4696"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c>
          <w:tcPr>
            <w:tcW w:w="4696" w:type="dxa"/>
            <w:tcBorders>
              <w:top w:val="nil"/>
              <w:left w:val="nil"/>
              <w:bottom w:val="nil"/>
              <w:right w:val="nil"/>
            </w:tcBorders>
            <w:noWrap w:val="0"/>
            <w:vAlign w:val="top"/>
          </w:tcPr>
          <w:p>
            <w:pPr>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ind w:left="240" w:hanging="240" w:hangingChars="10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签订日期：                                                     </w:t>
            </w:r>
          </w:p>
        </w:tc>
        <w:tc>
          <w:tcPr>
            <w:tcW w:w="4696" w:type="dxa"/>
            <w:tcBorders>
              <w:top w:val="nil"/>
              <w:left w:val="nil"/>
              <w:bottom w:val="nil"/>
              <w:right w:val="nil"/>
            </w:tcBorders>
            <w:noWrap w:val="0"/>
            <w:vAlign w:val="top"/>
          </w:tcPr>
          <w:p>
            <w:pPr>
              <w:adjustRightInd w:val="0"/>
              <w:snapToGrid w:val="0"/>
              <w:spacing w:line="360" w:lineRule="auto"/>
              <w:ind w:left="4181" w:hanging="4180" w:hangingChars="174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签订日期:</w:t>
            </w:r>
          </w:p>
        </w:tc>
      </w:tr>
    </w:tbl>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附件1：发包通知书</w:t>
      </w: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附件2：</w:t>
      </w:r>
      <w:r>
        <w:rPr>
          <w:rFonts w:hint="eastAsia" w:ascii="宋体" w:hAnsi="宋体" w:eastAsia="宋体" w:cs="宋体"/>
          <w:b/>
          <w:bCs/>
          <w:color w:val="auto"/>
          <w:szCs w:val="21"/>
          <w:highlight w:val="none"/>
          <w:lang w:val="en-US" w:eastAsia="zh-CN"/>
        </w:rPr>
        <w:t>物品采购</w:t>
      </w:r>
      <w:r>
        <w:rPr>
          <w:rFonts w:hint="eastAsia" w:ascii="宋体" w:hAnsi="宋体" w:eastAsia="宋体" w:cs="宋体"/>
          <w:b/>
          <w:bCs/>
          <w:color w:val="auto"/>
          <w:szCs w:val="21"/>
          <w:highlight w:val="none"/>
        </w:rPr>
        <w:t>安全协议书</w:t>
      </w:r>
    </w:p>
    <w:p>
      <w:pPr>
        <w:spacing w:line="560" w:lineRule="exact"/>
        <w:jc w:val="center"/>
        <w:rPr>
          <w:rFonts w:ascii="宋体" w:hAnsi="宋体" w:eastAsia="宋体" w:cs="宋体"/>
          <w:bCs/>
          <w:color w:val="auto"/>
          <w:kern w:val="0"/>
          <w:sz w:val="44"/>
          <w:szCs w:val="44"/>
          <w:highlight w:val="none"/>
        </w:rPr>
      </w:pPr>
      <w:r>
        <w:rPr>
          <w:rFonts w:hint="eastAsia" w:ascii="宋体" w:hAnsi="宋体" w:eastAsia="宋体" w:cs="宋体"/>
          <w:bCs/>
          <w:color w:val="auto"/>
          <w:kern w:val="0"/>
          <w:sz w:val="44"/>
          <w:szCs w:val="44"/>
          <w:highlight w:val="none"/>
        </w:rPr>
        <w:t>物品采购安全协议书</w:t>
      </w:r>
    </w:p>
    <w:p>
      <w:pPr>
        <w:spacing w:line="560" w:lineRule="exact"/>
        <w:rPr>
          <w:rFonts w:ascii="宋体" w:hAnsi="宋体" w:eastAsia="宋体" w:cs="宋体"/>
          <w:color w:val="auto"/>
          <w:kern w:val="0"/>
          <w:sz w:val="24"/>
          <w:highlight w:val="none"/>
        </w:rPr>
      </w:pPr>
    </w:p>
    <w:p>
      <w:pPr>
        <w:spacing w:line="560" w:lineRule="exac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甲方：广州城市水处理设备有限公司</w:t>
      </w:r>
    </w:p>
    <w:p>
      <w:pPr>
        <w:spacing w:line="560" w:lineRule="exac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乙方： </w:t>
      </w:r>
    </w:p>
    <w:p>
      <w:pPr>
        <w:spacing w:line="560" w:lineRule="exact"/>
        <w:rPr>
          <w:rFonts w:ascii="宋体" w:hAnsi="宋体" w:eastAsia="宋体" w:cs="宋体"/>
          <w:color w:val="auto"/>
          <w:kern w:val="0"/>
          <w:sz w:val="24"/>
          <w:highlight w:val="none"/>
        </w:rPr>
      </w:pP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为加强物品采购过程安全管理，根据《中华人民共和国安全生产法》、《生产安全事故报告和调查处理条例》等国家及地方有关安全生产法律法规，甲乙双方就物品采购的安全事宜，</w:t>
      </w:r>
      <w:r>
        <w:rPr>
          <w:rFonts w:hint="eastAsia" w:ascii="宋体" w:hAnsi="宋体" w:eastAsia="宋体" w:cs="宋体"/>
          <w:color w:val="auto"/>
          <w:sz w:val="24"/>
          <w:highlight w:val="none"/>
        </w:rPr>
        <w:t>经双方友好协商，达成如下协议</w:t>
      </w:r>
      <w:r>
        <w:rPr>
          <w:rFonts w:hint="eastAsia" w:ascii="宋体" w:hAnsi="宋体" w:eastAsia="宋体" w:cs="宋体"/>
          <w:color w:val="auto"/>
          <w:kern w:val="0"/>
          <w:sz w:val="24"/>
          <w:highlight w:val="none"/>
        </w:rPr>
        <w:t>。</w:t>
      </w:r>
    </w:p>
    <w:p>
      <w:pPr>
        <w:adjustRightInd w:val="0"/>
        <w:snapToGrid w:val="0"/>
        <w:spacing w:line="56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一、本协议与主合同的关系</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本协议作为</w:t>
      </w:r>
      <w:r>
        <w:rPr>
          <w:rFonts w:hint="eastAsia" w:ascii="宋体" w:hAnsi="宋体" w:eastAsia="宋体" w:cs="宋体"/>
          <w:color w:val="auto"/>
          <w:sz w:val="24"/>
          <w:highlight w:val="none"/>
          <w:u w:val="single"/>
        </w:rPr>
        <w:t xml:space="preserve">（合同名称）+（合同编号）   </w:t>
      </w:r>
      <w:r>
        <w:rPr>
          <w:rFonts w:hint="eastAsia" w:ascii="宋体" w:hAnsi="宋体" w:eastAsia="宋体" w:cs="宋体"/>
          <w:color w:val="auto"/>
          <w:sz w:val="24"/>
          <w:highlight w:val="none"/>
        </w:rPr>
        <w:t>的组成部分，与主合同具有同等法律效力。</w:t>
      </w:r>
    </w:p>
    <w:p>
      <w:pPr>
        <w:spacing w:line="560" w:lineRule="exact"/>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二、甲方权责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（一）甲方进行物品采购时，应贯彻落实国家、地方有关安全管理的法律法规和规章制度。</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（五）告知乙方在甲方应当遵守的安全管理要求。</w:t>
      </w:r>
    </w:p>
    <w:p>
      <w:pPr>
        <w:spacing w:line="560" w:lineRule="exact"/>
        <w:ind w:firstLine="482" w:firstLineChars="200"/>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三、乙方权责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（五）乙方须加强物品运输车辆的安全管理，用于运输物品的车辆必须车况良好、外观整洁、证照齐全，严格执行车辆安全检验制度，确保车辆性能符合安全技术标准。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（六）人员管理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乙方聘请其他单位运输的，乙方应对运输单位的安全管理负责。</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2000</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元/次。</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（七）发生事故时，乙方须立即报警处理，乙方在力所能及范围内采取补救措施，并在30分钟内将情况报告甲方。</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（十）乙方委托的第三方运输单位或个人，违反本协议的，全部责任均由乙方承担。</w:t>
      </w:r>
    </w:p>
    <w:p>
      <w:pPr>
        <w:pStyle w:val="40"/>
        <w:spacing w:line="560" w:lineRule="exact"/>
        <w:ind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四、补充条款：</w:t>
      </w:r>
      <w:r>
        <w:rPr>
          <w:rFonts w:hint="eastAsia" w:ascii="宋体" w:hAnsi="宋体" w:eastAsia="宋体" w:cs="宋体"/>
          <w:color w:val="auto"/>
          <w:sz w:val="24"/>
          <w:highlight w:val="none"/>
          <w:u w:val="single"/>
        </w:rPr>
        <w:t xml:space="preserve">        /         </w:t>
      </w:r>
      <w:r>
        <w:rPr>
          <w:rFonts w:hint="eastAsia" w:ascii="宋体" w:hAnsi="宋体" w:eastAsia="宋体" w:cs="宋体"/>
          <w:color w:val="auto"/>
          <w:sz w:val="24"/>
          <w:highlight w:val="none"/>
        </w:rPr>
        <w:t>。</w:t>
      </w:r>
    </w:p>
    <w:p>
      <w:pPr>
        <w:adjustRightInd w:val="0"/>
        <w:snapToGrid w:val="0"/>
        <w:spacing w:line="560" w:lineRule="exact"/>
        <w:ind w:firstLine="482" w:firstLineChars="200"/>
        <w:rPr>
          <w:rFonts w:ascii="宋体" w:hAnsi="宋体" w:eastAsia="宋体" w:cs="宋体"/>
          <w:b/>
          <w:color w:val="auto"/>
          <w:sz w:val="24"/>
          <w:highlight w:val="none"/>
        </w:rPr>
      </w:pPr>
      <w:r>
        <w:rPr>
          <w:rFonts w:hint="eastAsia" w:ascii="宋体" w:hAnsi="宋体" w:eastAsia="宋体" w:cs="宋体"/>
          <w:b/>
          <w:color w:val="auto"/>
          <w:sz w:val="24"/>
          <w:highlight w:val="none"/>
        </w:rPr>
        <w:t>五、附则</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（二）本协议与主合同同时签订、同时终止、同时生效，具有相同的法律效力，自甲方、乙方双方签字、盖章生效，甲方、乙方双方执持数量与主合同一致。</w:t>
      </w:r>
    </w:p>
    <w:tbl>
      <w:tblPr>
        <w:tblStyle w:val="24"/>
        <w:tblW w:w="0" w:type="auto"/>
        <w:tblInd w:w="0" w:type="dxa"/>
        <w:tblLayout w:type="autofit"/>
        <w:tblCellMar>
          <w:top w:w="0" w:type="dxa"/>
          <w:left w:w="108" w:type="dxa"/>
          <w:bottom w:w="0" w:type="dxa"/>
          <w:right w:w="108" w:type="dxa"/>
        </w:tblCellMar>
      </w:tblPr>
      <w:tblGrid>
        <w:gridCol w:w="4473"/>
        <w:gridCol w:w="4474"/>
      </w:tblGrid>
      <w:tr>
        <w:tblPrEx>
          <w:tblCellMar>
            <w:top w:w="0" w:type="dxa"/>
            <w:left w:w="108" w:type="dxa"/>
            <w:bottom w:w="0" w:type="dxa"/>
            <w:right w:w="108" w:type="dxa"/>
          </w:tblCellMar>
        </w:tblPrEx>
        <w:tc>
          <w:tcPr>
            <w:tcW w:w="4473" w:type="dxa"/>
          </w:tcPr>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甲方：</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签约代表：</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p>
            <w:pPr>
              <w:adjustRightInd w:val="0"/>
              <w:snapToGrid w:val="0"/>
              <w:spacing w:line="560" w:lineRule="exact"/>
              <w:ind w:firstLine="240" w:firstLineChars="100"/>
              <w:jc w:val="right"/>
              <w:rPr>
                <w:rFonts w:ascii="宋体" w:hAnsi="宋体" w:eastAsia="宋体" w:cs="宋体"/>
                <w:color w:val="auto"/>
                <w:sz w:val="24"/>
                <w:highlight w:val="none"/>
              </w:rPr>
            </w:pPr>
            <w:r>
              <w:rPr>
                <w:rFonts w:hint="eastAsia" w:ascii="宋体" w:hAnsi="宋体" w:eastAsia="宋体" w:cs="宋体"/>
                <w:color w:val="auto"/>
                <w:sz w:val="24"/>
                <w:highlight w:val="none"/>
              </w:rPr>
              <w:t>年    月    日</w:t>
            </w:r>
          </w:p>
        </w:tc>
        <w:tc>
          <w:tcPr>
            <w:tcW w:w="4474" w:type="dxa"/>
          </w:tcPr>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乙方：</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签约代表：</w:t>
            </w:r>
          </w:p>
          <w:p>
            <w:pPr>
              <w:adjustRightInd w:val="0"/>
              <w:snapToGrid w:val="0"/>
              <w:spacing w:line="560" w:lineRule="exact"/>
              <w:rPr>
                <w:rFonts w:ascii="宋体" w:hAnsi="宋体" w:eastAsia="宋体" w:cs="宋体"/>
                <w:color w:val="auto"/>
                <w:sz w:val="24"/>
                <w:highlight w:val="none"/>
              </w:rPr>
            </w:pPr>
            <w:r>
              <w:rPr>
                <w:rFonts w:hint="eastAsia" w:ascii="宋体" w:hAnsi="宋体" w:eastAsia="宋体" w:cs="宋体"/>
                <w:color w:val="auto"/>
                <w:sz w:val="24"/>
                <w:highlight w:val="none"/>
              </w:rPr>
              <w:t>联系电话：</w:t>
            </w:r>
          </w:p>
          <w:p>
            <w:pPr>
              <w:adjustRightInd w:val="0"/>
              <w:snapToGrid w:val="0"/>
              <w:spacing w:line="560" w:lineRule="exact"/>
              <w:jc w:val="right"/>
              <w:rPr>
                <w:rFonts w:ascii="宋体" w:hAnsi="宋体" w:eastAsia="宋体" w:cs="宋体"/>
                <w:color w:val="auto"/>
                <w:sz w:val="24"/>
                <w:highlight w:val="none"/>
              </w:rPr>
            </w:pPr>
            <w:r>
              <w:rPr>
                <w:rFonts w:hint="eastAsia" w:ascii="宋体" w:hAnsi="宋体" w:eastAsia="宋体" w:cs="宋体"/>
                <w:color w:val="auto"/>
                <w:sz w:val="24"/>
                <w:highlight w:val="none"/>
              </w:rPr>
              <w:t>年    月    日</w:t>
            </w:r>
          </w:p>
        </w:tc>
      </w:tr>
    </w:tbl>
    <w:p>
      <w:pPr>
        <w:spacing w:line="360" w:lineRule="auto"/>
        <w:rPr>
          <w:rFonts w:ascii="宋体" w:hAnsi="宋体" w:eastAsia="宋体" w:cs="宋体"/>
          <w:b/>
          <w:bCs/>
          <w:color w:val="auto"/>
          <w:szCs w:val="21"/>
          <w:highlight w:val="none"/>
        </w:rPr>
      </w:pPr>
    </w:p>
    <w:p>
      <w:pPr>
        <w:rPr>
          <w:rFonts w:ascii="宋体" w:hAnsi="宋体" w:eastAsia="宋体" w:cs="宋体"/>
          <w:b/>
          <w:bCs/>
          <w:color w:val="auto"/>
          <w:szCs w:val="21"/>
          <w:highlight w:val="none"/>
        </w:rPr>
      </w:pPr>
      <w:r>
        <w:rPr>
          <w:rFonts w:hint="eastAsia" w:ascii="宋体" w:hAnsi="宋体" w:eastAsia="宋体" w:cs="宋体"/>
          <w:b/>
          <w:bCs/>
          <w:color w:val="auto"/>
          <w:szCs w:val="21"/>
          <w:highlight w:val="none"/>
        </w:rPr>
        <w:br w:type="page"/>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附件3：廉洁协议</w:t>
      </w:r>
    </w:p>
    <w:p>
      <w:pPr>
        <w:spacing w:line="520" w:lineRule="exact"/>
        <w:ind w:firstLine="3120" w:firstLineChars="13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廉洁协议</w:t>
      </w:r>
    </w:p>
    <w:p>
      <w:pPr>
        <w:spacing w:line="520" w:lineRule="exact"/>
        <w:ind w:firstLine="540" w:firstLineChars="225"/>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bCs/>
          <w:color w:val="auto"/>
          <w:sz w:val="24"/>
          <w:szCs w:val="24"/>
          <w:highlight w:val="none"/>
          <w:u w:val="single"/>
        </w:rPr>
        <w:t>广州城市水处理设备有限公司</w:t>
      </w:r>
      <w:r>
        <w:rPr>
          <w:rFonts w:hint="eastAsia" w:ascii="宋体" w:hAnsi="宋体" w:eastAsia="宋体" w:cs="宋体"/>
          <w:bCs/>
          <w:color w:val="auto"/>
          <w:sz w:val="24"/>
          <w:szCs w:val="24"/>
          <w:highlight w:val="none"/>
        </w:rPr>
        <w:t>(以下称甲方)与</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(以下称乙方)，特此订立本协议共同遵照执行。</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第一条 甲乙双方的权利和义务</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（一）甲乙双方严格遵守国家关于市场准入、项目招标投标、市场经营活动等有关法律、法规相关政策及廉政建设的各项规定。</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（二）严格执行</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合同（以下简称：主合同），自觉履行合同约定的相关义务。</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（三）在业务活动中坚持公开、公正、诚信、透明的原则，不得损害国家、集体利益。</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（四）建立健全廉洁从业制度，开展廉洁教育，公布举报电话，监督并认真查处不廉洁及违法违纪行为。</w:t>
      </w:r>
    </w:p>
    <w:p>
      <w:pPr>
        <w:spacing w:line="520" w:lineRule="exact"/>
        <w:ind w:firstLine="360" w:firstLineChars="15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（五）发现对方在业务活动中有不廉洁行为，应及时提醒对方纠正。情节严重的，应向其有关监督部门检举。</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第二条甲方的义务</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（一）甲方及其工作人员不得索要或接受乙方的礼金、有价证券和贵重物品，不得在乙方报销任何应由甲方或个人支付的费用等。</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（三）甲方及其工作人员不得要求或者接受乙方为其住房装修、婚丧嫁娶活动、配偶子女工作安排以及出国出境、旅游等提供方便等。</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（四）甲方工作人员不得在乙方或与乙方有股权关联的企业兼职，不得向乙方介绍家属或者亲友从事与甲方业务有关的经济活动。</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（六）甲方工作人员不得利用职务之便收受乙方以回扣、手续费、加班费、咨询费、劳务费、协调费、辛苦费等各种名义给予或赠送的钱物。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（七）甲方工作人员不得接受乙方给予或赠送的干股或红利。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(八）不得存在其他违反廉洁规定的行为。</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第三条乙方的义务</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（一）乙方不得以任何理由向甲方及其工作人员行贿或馈赠礼金、有价证券、贵重礼品。</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（二)乙方不得以任何名义为甲方及其工作人员报销应由甲方单位或个人支付的任何费用。</w:t>
      </w:r>
    </w:p>
    <w:p>
      <w:pPr>
        <w:spacing w:line="520" w:lineRule="exact"/>
        <w:ind w:left="25" w:leftChars="12"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（三）乙方不得以任何理由安排甲方工作人员参加可能影响相关业务公开、公正、公平性的宴请及娱乐活动。</w:t>
      </w:r>
    </w:p>
    <w:p>
      <w:pPr>
        <w:pStyle w:val="14"/>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（四）乙方不得为甲方单位和个人购置或提供通讯工具和高档办公用品等物品，也不得为甲方提供与工作无关的房屋、汽车等。</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（五）乙方不得擅自与甲方工作人员就主合同中的质量、数量、价格、工程量、验收等条款进行私下商谈或者达成默契。</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（六）乙方不得以回扣、手续费、加班费、咨询费、劳务费、协调费、辛苦费等各种名义向甲方工作人员给予或赠送钱物。</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（七）乙方不得向甲方工作人员提供干股或红利。</w:t>
      </w:r>
    </w:p>
    <w:p>
      <w:pPr>
        <w:spacing w:line="520" w:lineRule="exact"/>
        <w:ind w:left="15" w:leftChars="7"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(八）不得存在其他违反廉洁规定的行为。</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第四条违约责任</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甲方举报投诉联系部门：广州市净水有限公司</w:t>
      </w:r>
      <w:r>
        <w:rPr>
          <w:rFonts w:hint="eastAsia" w:ascii="宋体" w:hAnsi="宋体" w:eastAsia="宋体" w:cs="宋体"/>
          <w:bCs/>
          <w:color w:val="auto"/>
          <w:sz w:val="24"/>
          <w:szCs w:val="24"/>
          <w:highlight w:val="none"/>
          <w:u w:val="single"/>
        </w:rPr>
        <w:t>纪检室</w:t>
      </w:r>
      <w:r>
        <w:rPr>
          <w:rFonts w:hint="eastAsia" w:ascii="宋体" w:hAnsi="宋体" w:eastAsia="宋体" w:cs="宋体"/>
          <w:bCs/>
          <w:color w:val="auto"/>
          <w:sz w:val="24"/>
          <w:szCs w:val="24"/>
          <w:highlight w:val="none"/>
        </w:rPr>
        <w:t>，联系电话：</w:t>
      </w:r>
      <w:r>
        <w:rPr>
          <w:rFonts w:hint="eastAsia" w:ascii="宋体" w:hAnsi="宋体" w:eastAsia="宋体" w:cs="宋体"/>
          <w:bCs/>
          <w:color w:val="auto"/>
          <w:sz w:val="24"/>
          <w:szCs w:val="24"/>
          <w:highlight w:val="none"/>
          <w:u w:val="single"/>
        </w:rPr>
        <w:t xml:space="preserve"> 020-38890265 </w:t>
      </w:r>
      <w:r>
        <w:rPr>
          <w:rFonts w:hint="eastAsia" w:ascii="宋体" w:hAnsi="宋体" w:eastAsia="宋体" w:cs="宋体"/>
          <w:bCs/>
          <w:color w:val="auto"/>
          <w:sz w:val="24"/>
          <w:szCs w:val="24"/>
          <w:highlight w:val="none"/>
        </w:rPr>
        <w:t>。</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1、扣除主合同的全部履约保证金；</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2、解除主合同；</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3、追究乙方其他违约责任；</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4、根据甲方的有关规章制度，在一定时间内暂停乙方参与甲方及下属单位所有项目的交易资格；</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5、根据甲方的有关规章制度，将乙方清退出甲方相关企业库；</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6、根据甲方上级单位、行政主管部门的意见、决定执行；</w:t>
      </w:r>
    </w:p>
    <w:p>
      <w:pPr>
        <w:pStyle w:val="21"/>
        <w:spacing w:line="520" w:lineRule="exact"/>
        <w:rPr>
          <w:rFonts w:eastAsia="宋体" w:cs="宋体"/>
          <w:bCs/>
          <w:color w:val="auto"/>
          <w:szCs w:val="24"/>
          <w:highlight w:val="none"/>
        </w:rPr>
      </w:pPr>
      <w:r>
        <w:rPr>
          <w:rFonts w:hint="eastAsia" w:eastAsia="宋体" w:cs="宋体"/>
          <w:bCs/>
          <w:color w:val="auto"/>
          <w:szCs w:val="24"/>
          <w:highlight w:val="none"/>
        </w:rPr>
        <w:t>7、按规定向有关行政监督部门、乙方业务管理部门进行投诉、报告。</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乙方无条件接受甲方的处理决定并承担给甲方造成的损失，全额返还通过不正当手段获取的非法所得，并承担相应的法律责任。</w:t>
      </w:r>
    </w:p>
    <w:p>
      <w:pPr>
        <w:spacing w:line="520" w:lineRule="exact"/>
        <w:ind w:firstLine="480" w:firstLineChars="200"/>
        <w:rPr>
          <w:rFonts w:ascii="宋体" w:hAnsi="宋体" w:eastAsia="宋体" w:cs="宋体"/>
          <w:bCs/>
          <w:color w:val="auto"/>
          <w:kern w:val="0"/>
          <w:sz w:val="24"/>
          <w:szCs w:val="24"/>
          <w:highlight w:val="none"/>
        </w:rPr>
      </w:pPr>
      <w:r>
        <w:rPr>
          <w:rFonts w:hint="eastAsia" w:ascii="宋体" w:hAnsi="宋体" w:eastAsia="宋体" w:cs="宋体"/>
          <w:bCs/>
          <w:color w:val="auto"/>
          <w:sz w:val="24"/>
          <w:szCs w:val="24"/>
          <w:highlight w:val="none"/>
        </w:rPr>
        <w:t xml:space="preserve">第五条 </w:t>
      </w:r>
      <w:r>
        <w:rPr>
          <w:rFonts w:hint="eastAsia" w:ascii="宋体" w:hAnsi="宋体" w:eastAsia="宋体" w:cs="宋体"/>
          <w:bCs/>
          <w:color w:val="auto"/>
          <w:kern w:val="0"/>
          <w:sz w:val="24"/>
          <w:szCs w:val="24"/>
          <w:highlight w:val="none"/>
        </w:rPr>
        <w:t xml:space="preserve">本协议执行情况，接受有管辖权的纪检、监察部门的监督，双方应予以配合检查调查。 </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第六条本协议作为</w:t>
      </w:r>
      <w:r>
        <w:rPr>
          <w:rFonts w:hint="eastAsia" w:ascii="宋体" w:hAnsi="宋体" w:eastAsia="宋体" w:cs="宋体"/>
          <w:bCs/>
          <w:color w:val="auto"/>
          <w:sz w:val="24"/>
          <w:szCs w:val="24"/>
          <w:highlight w:val="none"/>
          <w:u w:val="single"/>
        </w:rPr>
        <w:t>（合同名称）+（合同编号）</w:t>
      </w:r>
      <w:r>
        <w:rPr>
          <w:rFonts w:hint="eastAsia" w:ascii="宋体" w:hAnsi="宋体" w:eastAsia="宋体" w:cs="宋体"/>
          <w:bCs/>
          <w:color w:val="auto"/>
          <w:sz w:val="24"/>
          <w:szCs w:val="24"/>
          <w:highlight w:val="none"/>
        </w:rPr>
        <w:t>合同的附件，并具有同等的法律效力，本协议自双方签字盖章之日起生效，与主合同同时终止。</w:t>
      </w:r>
    </w:p>
    <w:p>
      <w:pPr>
        <w:spacing w:line="520" w:lineRule="exact"/>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第七条本协议一式</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份，甲方</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份，乙方</w:t>
      </w:r>
      <w:r>
        <w:rPr>
          <w:rFonts w:hint="eastAsia"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rPr>
        <w:t>份。</w:t>
      </w:r>
    </w:p>
    <w:p>
      <w:pPr>
        <w:spacing w:line="520" w:lineRule="exact"/>
        <w:ind w:firstLine="480" w:firstLineChars="200"/>
        <w:rPr>
          <w:rFonts w:ascii="宋体" w:hAnsi="宋体" w:eastAsia="宋体" w:cs="宋体"/>
          <w:bCs/>
          <w:color w:val="auto"/>
          <w:sz w:val="24"/>
          <w:szCs w:val="24"/>
          <w:highlight w:val="none"/>
        </w:rPr>
      </w:pPr>
    </w:p>
    <w:p>
      <w:pPr>
        <w:spacing w:line="520" w:lineRule="exact"/>
        <w:rPr>
          <w:rFonts w:hint="eastAsia" w:ascii="宋体" w:hAnsi="宋体" w:eastAsia="宋体" w:cs="宋体"/>
          <w:bCs/>
          <w:color w:val="auto"/>
          <w:sz w:val="24"/>
          <w:szCs w:val="24"/>
          <w:highlight w:val="none"/>
          <w:lang w:eastAsia="zh-CN"/>
        </w:rPr>
      </w:pPr>
    </w:p>
    <w:p>
      <w:pPr>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甲方（盖章）：                     乙方（盖章）：</w:t>
      </w:r>
    </w:p>
    <w:p>
      <w:pPr>
        <w:pStyle w:val="37"/>
        <w:tabs>
          <w:tab w:val="left" w:pos="5100"/>
        </w:tabs>
        <w:spacing w:line="520" w:lineRule="exact"/>
        <w:ind w:left="7200" w:firstLine="0" w:firstLineChars="0"/>
        <w:jc w:val="left"/>
        <w:rPr>
          <w:rFonts w:ascii="宋体" w:hAnsi="宋体" w:eastAsia="宋体" w:cs="宋体"/>
          <w:bCs/>
          <w:color w:val="auto"/>
          <w:sz w:val="24"/>
          <w:szCs w:val="24"/>
          <w:highlight w:val="none"/>
        </w:rPr>
      </w:pPr>
    </w:p>
    <w:p>
      <w:pPr>
        <w:tabs>
          <w:tab w:val="left" w:pos="5100"/>
        </w:tabs>
        <w:spacing w:line="520" w:lineRule="exact"/>
        <w:ind w:left="7200" w:hanging="7200" w:hangingChars="30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签约代表：                         签约代表：</w:t>
      </w:r>
    </w:p>
    <w:p>
      <w:pPr>
        <w:tabs>
          <w:tab w:val="left" w:pos="4170"/>
        </w:tabs>
        <w:spacing w:line="520" w:lineRule="exac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日期:    年  月  日</w:t>
      </w:r>
      <w:r>
        <w:rPr>
          <w:rFonts w:hint="eastAsia" w:ascii="宋体" w:hAnsi="宋体" w:eastAsia="宋体" w:cs="宋体"/>
          <w:bCs/>
          <w:color w:val="auto"/>
          <w:sz w:val="24"/>
          <w:szCs w:val="24"/>
          <w:highlight w:val="none"/>
        </w:rPr>
        <w:tab/>
      </w:r>
      <w:r>
        <w:rPr>
          <w:rFonts w:hint="eastAsia" w:ascii="宋体" w:hAnsi="宋体" w:eastAsia="宋体" w:cs="宋体"/>
          <w:bCs/>
          <w:color w:val="auto"/>
          <w:sz w:val="24"/>
          <w:szCs w:val="24"/>
          <w:highlight w:val="none"/>
        </w:rPr>
        <w:t xml:space="preserve">     日期：  年  月  日</w:t>
      </w:r>
    </w:p>
    <w:p>
      <w:pPr>
        <w:tabs>
          <w:tab w:val="left" w:pos="4170"/>
        </w:tabs>
        <w:spacing w:line="360" w:lineRule="auto"/>
        <w:rPr>
          <w:rFonts w:ascii="宋体" w:hAnsi="宋体" w:eastAsia="宋体" w:cs="宋体"/>
          <w:color w:val="auto"/>
          <w:sz w:val="24"/>
          <w:szCs w:val="24"/>
          <w:highlight w:val="none"/>
        </w:rPr>
      </w:pPr>
    </w:p>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w:t>
      </w:r>
    </w:p>
    <w:p>
      <w:pPr>
        <w:adjustRightInd w:val="0"/>
        <w:snapToGrid w:val="0"/>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不诚信行为的情形及相应被暂停参与投标活动的处理标准</w:t>
      </w:r>
    </w:p>
    <w:tbl>
      <w:tblPr>
        <w:tblStyle w:val="24"/>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处理</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发生重伤或死亡1～2人的，暂停投标1年至2年（含）。</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发生重伤或死亡3～9人的，暂停投标2年以上至4年。</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（三）根据《广州城市水处理设备有限公司工程项目承包单位考评细则》安全管理未达标且符合限制投标处罚标准的。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（二）根据《广州城市水处理设备有限公司工程项目承包单位考评细则》质量管理未达标且符合限制投标处罚标准的。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其他不诚信</w:t>
            </w:r>
          </w:p>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hAnsi="宋体" w:eastAsia="宋体" w:cs="宋体"/>
                <w:color w:val="auto"/>
                <w:szCs w:val="24"/>
                <w:highlight w:val="none"/>
              </w:rPr>
            </w:pPr>
            <w:r>
              <w:rPr>
                <w:rFonts w:hint="eastAsia" w:ascii="宋体" w:hAnsi="宋体" w:eastAsia="宋体" w:cs="宋体"/>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宋体" w:hAnsi="宋体" w:eastAsia="宋体" w:cs="宋体"/>
                <w:color w:val="auto"/>
                <w:szCs w:val="24"/>
                <w:highlight w:val="none"/>
              </w:rPr>
            </w:pPr>
            <w:r>
              <w:rPr>
                <w:rFonts w:hint="eastAsia" w:ascii="宋体" w:hAnsi="宋体" w:eastAsia="宋体" w:cs="宋体"/>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宋体" w:hAnsi="宋体" w:eastAsia="宋体" w:cs="宋体"/>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宋体" w:hAnsi="宋体" w:eastAsia="宋体" w:cs="宋体"/>
                <w:color w:val="auto"/>
                <w:szCs w:val="24"/>
                <w:highlight w:val="none"/>
              </w:rPr>
            </w:pPr>
            <w:r>
              <w:rPr>
                <w:rFonts w:hint="eastAsia" w:ascii="宋体" w:hAnsi="宋体" w:eastAsia="宋体" w:cs="宋体"/>
                <w:color w:val="auto"/>
                <w:szCs w:val="24"/>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r>
              <w:rPr>
                <w:rFonts w:hint="eastAsia" w:ascii="宋体" w:hAnsi="宋体" w:eastAsia="宋体" w:cs="宋体"/>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宋体" w:hAnsi="宋体" w:eastAsia="宋体" w:cs="宋体"/>
                <w:color w:val="auto"/>
                <w:szCs w:val="24"/>
                <w:highlight w:val="none"/>
              </w:rPr>
            </w:pPr>
          </w:p>
        </w:tc>
      </w:tr>
    </w:tbl>
    <w:p>
      <w:pPr>
        <w:contextualSpacing/>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备注：本处理标准出自《广州市净水有限公司经营建设项目参建企业不诚信行为管理办法》。</w:t>
      </w:r>
    </w:p>
    <w:p>
      <w:pPr>
        <w:widowControl/>
        <w:jc w:val="left"/>
        <w:rPr>
          <w:rFonts w:ascii="宋体" w:hAnsi="宋体" w:eastAsia="宋体" w:cs="宋体"/>
          <w:color w:val="auto"/>
          <w:szCs w:val="21"/>
          <w:highlight w:val="none"/>
        </w:rPr>
      </w:pPr>
    </w:p>
    <w:p>
      <w:pPr>
        <w:widowControl/>
        <w:jc w:val="left"/>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pStyle w:val="2"/>
        <w:rPr>
          <w:rFonts w:ascii="宋体" w:hAnsi="宋体" w:eastAsia="宋体" w:cs="宋体"/>
          <w:color w:val="auto"/>
          <w:szCs w:val="21"/>
          <w:highlight w:val="none"/>
        </w:rPr>
      </w:pP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b/>
          <w:bCs/>
          <w:color w:val="auto"/>
          <w:szCs w:val="21"/>
          <w:highlight w:val="none"/>
          <w:lang w:val="en-US" w:eastAsia="zh-CN"/>
        </w:rPr>
      </w:pPr>
      <w:r>
        <w:rPr>
          <w:rFonts w:hint="eastAsia" w:ascii="宋体" w:hAnsi="宋体" w:eastAsia="宋体" w:cs="宋体"/>
          <w:b/>
          <w:bCs/>
          <w:color w:val="auto"/>
          <w:sz w:val="24"/>
          <w:szCs w:val="24"/>
          <w:highlight w:val="none"/>
        </w:rPr>
        <w:t>附件</w:t>
      </w:r>
      <w:r>
        <w:rPr>
          <w:rFonts w:hint="eastAsia" w:ascii="宋体" w:hAnsi="宋体" w:eastAsia="宋体" w:cs="宋体"/>
          <w:b/>
          <w:bCs/>
          <w:color w:val="auto"/>
          <w:sz w:val="24"/>
          <w:szCs w:val="24"/>
          <w:highlight w:val="none"/>
          <w:lang w:val="en-US" w:eastAsia="zh-CN"/>
        </w:rPr>
        <w:t xml:space="preserve">7  </w:t>
      </w:r>
      <w:r>
        <w:rPr>
          <w:rFonts w:hint="eastAsia" w:ascii="仿宋" w:hAnsi="仿宋" w:eastAsia="仿宋" w:cs="仿宋"/>
          <w:b/>
          <w:bCs/>
          <w:color w:val="auto"/>
          <w:szCs w:val="21"/>
          <w:highlight w:val="none"/>
          <w:lang w:val="en-US" w:eastAsia="zh-CN"/>
        </w:rPr>
        <w:t xml:space="preserve">                            </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b/>
          <w:bCs/>
          <w:color w:val="auto"/>
          <w:szCs w:val="21"/>
          <w:highlight w:val="none"/>
          <w:lang w:val="en-US" w:eastAsia="zh-CN"/>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履约保函模板</w:t>
      </w:r>
    </w:p>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 w:hAnsi="仿宋" w:eastAsia="仿宋" w:cs="仿宋"/>
          <w:sz w:val="24"/>
          <w:szCs w:val="24"/>
          <w:highlight w:val="none"/>
          <w:u w:val="single"/>
          <w:lang w:eastAsia="zh-CN"/>
        </w:rPr>
      </w:pPr>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rPr>
        <w:t xml:space="preserve">               （受益人）</w:t>
      </w:r>
    </w:p>
    <w:p>
      <w:pPr>
        <w:pStyle w:val="2"/>
        <w:rPr>
          <w:rFonts w:hint="eastAsia"/>
          <w:highlight w:val="none"/>
          <w:lang w:eastAsia="zh-CN"/>
        </w:rPr>
      </w:pPr>
    </w:p>
    <w:p>
      <w:pPr>
        <w:keepNext w:val="0"/>
        <w:keepLines w:val="0"/>
        <w:pageBreakBefore w:val="0"/>
        <w:widowControl/>
        <w:kinsoku/>
        <w:wordWrap/>
        <w:overflowPunct/>
        <w:topLinePunct w:val="0"/>
        <w:autoSpaceDE/>
        <w:autoSpaceDN/>
        <w:bidi w:val="0"/>
        <w:adjustRightInd/>
        <w:snapToGrid/>
        <w:spacing w:line="280" w:lineRule="exact"/>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鉴于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（以下简称“委托人”）与贵方于</w:t>
      </w:r>
      <w:r>
        <w:rPr>
          <w:rFonts w:hint="eastAsia" w:ascii="仿宋" w:hAnsi="仿宋" w:eastAsia="仿宋" w:cs="仿宋"/>
          <w:sz w:val="24"/>
          <w:szCs w:val="24"/>
          <w:highlight w:val="none"/>
          <w:u w:val="single"/>
        </w:rPr>
        <w:t xml:space="preserve">   年  月  日</w:t>
      </w:r>
      <w:r>
        <w:rPr>
          <w:rFonts w:hint="eastAsia" w:ascii="仿宋" w:hAnsi="仿宋" w:eastAsia="仿宋" w:cs="仿宋"/>
          <w:sz w:val="24"/>
          <w:szCs w:val="24"/>
          <w:highlight w:val="none"/>
        </w:rPr>
        <w:t>签订了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一、我行保证在收到贵单位于保函有效期内送达的依本保函约定的索赔申请后，在个</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工作日内无条件和不可改变地向贵单位支付最高金额不超过人民币元</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（大写：</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）的履约保证金，并放弃向你方提出任何异议和追索的权利。</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二、贵单位的索赔申请应符合下述条件：</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（一）贵单位法定代表人或其授权代表签字并加盖单位公章；</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（二）在保函有效期内送达我行；</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（三）明确的索赔金额（不得超过本保函第一条所列之限额）。</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三、本保函自签发之日起生效，有效期至</w:t>
      </w:r>
      <w:r>
        <w:rPr>
          <w:rFonts w:hint="eastAsia" w:ascii="仿宋" w:hAnsi="仿宋" w:eastAsia="仿宋" w:cs="仿宋"/>
          <w:sz w:val="24"/>
          <w:szCs w:val="24"/>
          <w:highlight w:val="none"/>
          <w:u w:val="single"/>
        </w:rPr>
        <w:t xml:space="preserve">  年  月  日</w:t>
      </w:r>
      <w:r>
        <w:rPr>
          <w:rFonts w:hint="eastAsia" w:ascii="仿宋" w:hAnsi="仿宋" w:eastAsia="仿宋" w:cs="仿宋"/>
          <w:sz w:val="24"/>
          <w:szCs w:val="24"/>
          <w:highlight w:val="none"/>
        </w:rPr>
        <w:t>。本保函于下述任一事项发生之时立即失效，我行在本保函项下的保证义务即刻解除：</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（一）本保函有效期限届满；</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（二）我行保证的义务履行完毕。</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五、我行向你方支付索赔金额后，本保函担保金额即按贵方通知的索赔金额予以递减。</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六、保函失效后请将保函退回我行注销，无论正本最终退回与否，不影响本保函依上述约定自动失效。</w:t>
      </w:r>
    </w:p>
    <w:p>
      <w:pPr>
        <w:keepNext w:val="0"/>
        <w:keepLines w:val="0"/>
        <w:pageBreakBefore w:val="0"/>
        <w:widowControl/>
        <w:kinsoku/>
        <w:wordWrap/>
        <w:overflowPunct/>
        <w:topLinePunct w:val="0"/>
        <w:autoSpaceDE/>
        <w:autoSpaceDN/>
        <w:bidi w:val="0"/>
        <w:adjustRightInd/>
        <w:snapToGrid/>
        <w:spacing w:line="280" w:lineRule="exact"/>
        <w:ind w:firstLine="42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落款</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保函说明：</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保函不得有下列或类似含义的表述：</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1.银行承担的为连带责任保证、一般保证。</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2.未经银行书面同意，受益人与申请人修改合同或其项下附件时，银行的保证义务解除。</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3.合同撤销或无效的，保函失效。</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4.申请人对受益人的抗辩，银行有权向受益人主张。</w:t>
      </w:r>
    </w:p>
    <w:p>
      <w:pPr>
        <w:keepNext w:val="0"/>
        <w:keepLines w:val="0"/>
        <w:pageBreakBefore w:val="0"/>
        <w:widowControl/>
        <w:kinsoku/>
        <w:wordWrap/>
        <w:overflowPunct/>
        <w:topLinePunct w:val="0"/>
        <w:autoSpaceDE/>
        <w:autoSpaceDN/>
        <w:bidi w:val="0"/>
        <w:adjustRightInd/>
        <w:snapToGrid/>
        <w:spacing w:line="280" w:lineRule="exact"/>
        <w:ind w:firstLine="645"/>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5.受益人请求付款的请款单据包含法院裁判文书、仲裁裁决、第三方单位出具的鉴定书等申请人违约的证明材料。</w:t>
      </w:r>
    </w:p>
    <w:p>
      <w:pPr>
        <w:pStyle w:val="2"/>
        <w:rPr>
          <w:rFonts w:ascii="宋体" w:hAnsi="宋体" w:eastAsia="宋体" w:cs="宋体"/>
          <w:color w:val="auto"/>
          <w:szCs w:val="21"/>
          <w:highlight w:val="none"/>
        </w:rPr>
      </w:pPr>
    </w:p>
    <w:p>
      <w:pPr>
        <w:rPr>
          <w:rFonts w:ascii="宋体" w:hAnsi="宋体" w:eastAsia="宋体" w:cs="宋体"/>
          <w:b/>
          <w:bCs/>
          <w:color w:val="auto"/>
          <w:sz w:val="24"/>
          <w:szCs w:val="24"/>
          <w:highlight w:val="none"/>
        </w:rPr>
      </w:pPr>
    </w:p>
    <w:p>
      <w:pPr>
        <w:pStyle w:val="2"/>
        <w:rPr>
          <w:rFonts w:eastAsia="宋体" w:cs="宋体"/>
          <w:b/>
          <w:bCs/>
          <w:color w:val="auto"/>
          <w:highlight w:val="none"/>
        </w:rPr>
      </w:pPr>
    </w:p>
    <w:p>
      <w:pPr>
        <w:pStyle w:val="2"/>
        <w:rPr>
          <w:rFonts w:eastAsia="宋体" w:cs="宋体"/>
          <w:b/>
          <w:bCs/>
          <w:color w:val="auto"/>
          <w:highlight w:val="none"/>
        </w:rPr>
      </w:pPr>
    </w:p>
    <w:p>
      <w:pPr>
        <w:rPr>
          <w:rFonts w:ascii="宋体" w:hAnsi="宋体" w:eastAsia="宋体" w:cs="宋体"/>
          <w:color w:val="auto"/>
          <w:sz w:val="28"/>
          <w:szCs w:val="28"/>
          <w:highlight w:val="none"/>
        </w:rPr>
      </w:pPr>
    </w:p>
    <w:p>
      <w:pPr>
        <w:pStyle w:val="2"/>
        <w:ind w:firstLine="0"/>
        <w:rPr>
          <w:rFonts w:eastAsia="宋体" w:cs="宋体"/>
          <w:color w:val="auto"/>
          <w:sz w:val="28"/>
          <w:szCs w:val="28"/>
          <w:highlight w:val="none"/>
        </w:rPr>
      </w:pPr>
    </w:p>
    <w:p>
      <w:pPr>
        <w:pStyle w:val="4"/>
        <w:rPr>
          <w:rFonts w:ascii="宋体" w:hAnsi="宋体" w:eastAsia="宋体" w:cs="宋体"/>
          <w:color w:val="auto"/>
          <w:highlight w:val="none"/>
        </w:rPr>
      </w:pPr>
      <w:bookmarkStart w:id="156" w:name="_Toc28358"/>
      <w:bookmarkStart w:id="157" w:name="_Toc3723"/>
      <w:bookmarkStart w:id="158" w:name="_Toc5129"/>
      <w:bookmarkStart w:id="159" w:name="_Toc8147"/>
      <w:bookmarkStart w:id="160" w:name="_Toc12169"/>
      <w:bookmarkStart w:id="161" w:name="_Toc30824"/>
      <w:bookmarkStart w:id="162" w:name="_Toc1563"/>
      <w:bookmarkStart w:id="163" w:name="_Toc6230"/>
      <w:bookmarkStart w:id="164" w:name="_Toc21847"/>
      <w:bookmarkStart w:id="165" w:name="_Toc23515"/>
      <w:bookmarkStart w:id="166" w:name="_Toc16552"/>
      <w:r>
        <w:rPr>
          <w:rFonts w:hint="eastAsia" w:ascii="宋体" w:hAnsi="宋体" w:eastAsia="宋体" w:cs="宋体"/>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ascii="宋体" w:hAnsi="宋体" w:eastAsia="宋体" w:cs="宋体"/>
          <w:color w:val="auto"/>
          <w:highlight w:val="none"/>
        </w:rPr>
        <w:t>第七章</w:t>
      </w:r>
      <w:bookmarkEnd w:id="156"/>
      <w:bookmarkEnd w:id="157"/>
      <w:bookmarkEnd w:id="158"/>
      <w:bookmarkEnd w:id="159"/>
      <w:bookmarkEnd w:id="160"/>
      <w:bookmarkEnd w:id="161"/>
      <w:bookmarkEnd w:id="162"/>
      <w:bookmarkEnd w:id="163"/>
      <w:bookmarkEnd w:id="164"/>
      <w:bookmarkEnd w:id="165"/>
      <w:bookmarkEnd w:id="166"/>
    </w:p>
    <w:p>
      <w:pPr>
        <w:pStyle w:val="40"/>
        <w:rPr>
          <w:rFonts w:ascii="宋体" w:hAnsi="宋体" w:eastAsia="宋体" w:cs="宋体"/>
          <w:color w:val="auto"/>
          <w:highlight w:val="none"/>
        </w:rPr>
      </w:pPr>
    </w:p>
    <w:p>
      <w:pPr>
        <w:pStyle w:val="4"/>
        <w:rPr>
          <w:rFonts w:ascii="宋体" w:hAnsi="宋体" w:eastAsia="宋体" w:cs="宋体"/>
          <w:color w:val="auto"/>
          <w:highlight w:val="none"/>
        </w:rPr>
      </w:pPr>
      <w:bookmarkStart w:id="167" w:name="_Toc12769"/>
      <w:bookmarkStart w:id="168" w:name="_Toc22764"/>
      <w:bookmarkStart w:id="169" w:name="_Toc24490"/>
      <w:bookmarkStart w:id="170" w:name="_Toc10840"/>
      <w:bookmarkStart w:id="171" w:name="_Toc5342"/>
      <w:bookmarkStart w:id="172" w:name="_Toc31564"/>
      <w:bookmarkStart w:id="173" w:name="_Toc88209951"/>
      <w:bookmarkStart w:id="174" w:name="_Toc17119"/>
      <w:bookmarkStart w:id="175" w:name="_Toc12610"/>
      <w:bookmarkStart w:id="176" w:name="_Toc87616388"/>
      <w:bookmarkStart w:id="177" w:name="_Toc21675"/>
      <w:bookmarkStart w:id="178" w:name="_Toc24815"/>
      <w:bookmarkStart w:id="179" w:name="_Toc30157"/>
      <w:r>
        <w:rPr>
          <w:rFonts w:hint="eastAsia" w:ascii="宋体" w:hAnsi="宋体" w:eastAsia="宋体" w:cs="宋体"/>
          <w:color w:val="auto"/>
          <w:highlight w:val="none"/>
        </w:rPr>
        <w:t>响应文件格式要求</w:t>
      </w:r>
      <w:bookmarkEnd w:id="167"/>
      <w:bookmarkEnd w:id="168"/>
      <w:bookmarkEnd w:id="169"/>
      <w:bookmarkEnd w:id="170"/>
      <w:bookmarkEnd w:id="171"/>
      <w:bookmarkEnd w:id="172"/>
      <w:bookmarkEnd w:id="173"/>
      <w:bookmarkEnd w:id="174"/>
      <w:bookmarkEnd w:id="175"/>
      <w:bookmarkEnd w:id="176"/>
      <w:bookmarkEnd w:id="177"/>
      <w:bookmarkEnd w:id="178"/>
      <w:bookmarkEnd w:id="179"/>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jc w:val="center"/>
        <w:rPr>
          <w:rFonts w:hint="eastAsia" w:ascii="宋体" w:hAnsi="宋体" w:eastAsia="宋体" w:cs="宋体"/>
          <w:b w:val="0"/>
          <w:bCs w:val="0"/>
          <w:color w:val="auto"/>
          <w:sz w:val="44"/>
          <w:szCs w:val="44"/>
          <w:highlight w:val="none"/>
          <w:u w:val="single"/>
          <w:lang w:val="en-US" w:eastAsia="zh-CN"/>
        </w:rPr>
      </w:pPr>
      <w:r>
        <w:rPr>
          <w:rFonts w:hint="eastAsia" w:ascii="宋体" w:hAnsi="宋体" w:eastAsia="宋体" w:cs="宋体"/>
          <w:b w:val="0"/>
          <w:bCs w:val="0"/>
          <w:color w:val="auto"/>
          <w:sz w:val="44"/>
          <w:szCs w:val="44"/>
          <w:highlight w:val="none"/>
          <w:u w:val="single"/>
          <w:lang w:val="en-US" w:eastAsia="zh-CN"/>
        </w:rPr>
        <w:t>广州城市水处理设备有限公司2023年柔性加热器及轴承加热器采购项目</w:t>
      </w:r>
    </w:p>
    <w:p>
      <w:pPr>
        <w:adjustRightInd w:val="0"/>
        <w:snapToGrid w:val="0"/>
        <w:spacing w:before="156" w:beforeLines="50" w:after="156" w:afterLines="50" w:line="600" w:lineRule="exact"/>
        <w:jc w:val="center"/>
        <w:rPr>
          <w:rFonts w:ascii="宋体" w:hAnsi="宋体" w:eastAsia="宋体" w:cs="宋体"/>
          <w:color w:val="auto"/>
          <w:sz w:val="30"/>
          <w:szCs w:val="30"/>
          <w:highlight w:val="none"/>
        </w:rPr>
      </w:pPr>
    </w:p>
    <w:p>
      <w:pPr>
        <w:adjustRightInd w:val="0"/>
        <w:snapToGrid w:val="0"/>
        <w:spacing w:before="156" w:beforeLines="50" w:after="156" w:afterLines="50" w:line="600" w:lineRule="exact"/>
        <w:jc w:val="center"/>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（项目编号：   ）</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jc w:val="center"/>
        <w:rPr>
          <w:rFonts w:ascii="宋体" w:hAnsi="宋体" w:eastAsia="宋体" w:cs="宋体"/>
          <w:color w:val="auto"/>
          <w:sz w:val="48"/>
          <w:szCs w:val="48"/>
          <w:highlight w:val="none"/>
        </w:rPr>
      </w:pPr>
    </w:p>
    <w:p>
      <w:pPr>
        <w:adjustRightInd w:val="0"/>
        <w:snapToGrid w:val="0"/>
        <w:spacing w:line="600" w:lineRule="exact"/>
        <w:ind w:left="1" w:firstLine="709" w:firstLineChars="197"/>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rPr>
        <w:t>供应商：</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（单位公章）</w:t>
      </w:r>
    </w:p>
    <w:p>
      <w:pPr>
        <w:adjustRightInd w:val="0"/>
        <w:snapToGrid w:val="0"/>
        <w:spacing w:line="600" w:lineRule="exact"/>
        <w:ind w:left="1" w:right="560" w:firstLine="709" w:firstLineChars="197"/>
        <w:jc w:val="center"/>
        <w:rPr>
          <w:rFonts w:ascii="宋体" w:hAnsi="宋体" w:eastAsia="宋体" w:cs="宋体"/>
          <w:color w:val="auto"/>
          <w:sz w:val="36"/>
          <w:szCs w:val="36"/>
          <w:highlight w:val="none"/>
        </w:rPr>
      </w:pP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年</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月</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rPr>
        <w:t>日</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rPr>
          <w:rFonts w:ascii="宋体" w:hAnsi="宋体" w:eastAsia="宋体" w:cs="宋体"/>
          <w:color w:val="auto"/>
          <w:sz w:val="30"/>
          <w:szCs w:val="30"/>
          <w:highlight w:val="none"/>
        </w:rPr>
      </w:pPr>
    </w:p>
    <w:p>
      <w:pPr>
        <w:pStyle w:val="2"/>
        <w:rPr>
          <w:rFonts w:eastAsia="宋体" w:cs="宋体"/>
          <w:color w:val="auto"/>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rPr>
        <w:t>目  录</w:t>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line="600" w:lineRule="exact"/>
        <w:jc w:val="center"/>
        <w:rPr>
          <w:rFonts w:ascii="宋体" w:hAnsi="宋体" w:eastAsia="宋体" w:cs="宋体"/>
          <w:color w:val="auto"/>
          <w:sz w:val="44"/>
          <w:szCs w:val="44"/>
          <w:highlight w:val="none"/>
        </w:rPr>
      </w:pPr>
    </w:p>
    <w:p>
      <w:pPr>
        <w:spacing w:line="600" w:lineRule="exact"/>
        <w:rPr>
          <w:rFonts w:ascii="宋体" w:hAnsi="宋体" w:eastAsia="宋体" w:cs="宋体"/>
          <w:color w:val="auto"/>
          <w:sz w:val="28"/>
          <w:szCs w:val="28"/>
          <w:highlight w:val="none"/>
        </w:rPr>
      </w:pPr>
      <w:bookmarkStart w:id="180" w:name="_Toc87616389"/>
      <w:bookmarkStart w:id="181" w:name="_Toc88209952"/>
      <w:r>
        <w:rPr>
          <w:rFonts w:hint="eastAsia" w:ascii="宋体" w:hAnsi="宋体" w:eastAsia="宋体" w:cs="宋体"/>
          <w:color w:val="auto"/>
          <w:sz w:val="28"/>
          <w:szCs w:val="28"/>
          <w:highlight w:val="none"/>
        </w:rPr>
        <w:t>1.响应函</w:t>
      </w:r>
      <w:bookmarkEnd w:id="180"/>
      <w:bookmarkEnd w:id="181"/>
    </w:p>
    <w:p>
      <w:pPr>
        <w:spacing w:line="600" w:lineRule="exact"/>
        <w:rPr>
          <w:rFonts w:ascii="宋体" w:hAnsi="宋体" w:eastAsia="宋体" w:cs="宋体"/>
          <w:color w:val="auto"/>
          <w:sz w:val="28"/>
          <w:szCs w:val="28"/>
          <w:highlight w:val="none"/>
        </w:rPr>
      </w:pPr>
      <w:bookmarkStart w:id="182" w:name="_Toc87616390"/>
      <w:bookmarkStart w:id="183" w:name="_Toc88209953"/>
      <w:r>
        <w:rPr>
          <w:rFonts w:hint="eastAsia" w:ascii="宋体" w:hAnsi="宋体" w:eastAsia="宋体" w:cs="宋体"/>
          <w:color w:val="auto"/>
          <w:sz w:val="28"/>
          <w:szCs w:val="28"/>
          <w:highlight w:val="none"/>
        </w:rPr>
        <w:t>2.法定代表人证明或授权委托书</w:t>
      </w:r>
      <w:bookmarkEnd w:id="182"/>
      <w:bookmarkEnd w:id="183"/>
      <w:bookmarkStart w:id="184" w:name="_Toc88209956"/>
      <w:bookmarkStart w:id="185" w:name="_Toc87616393"/>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3.资格审查资料</w:t>
      </w:r>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4.拟投入本项目的项目负责人情况表</w:t>
      </w:r>
    </w:p>
    <w:p>
      <w:pPr>
        <w:spacing w:line="600" w:lineRule="exact"/>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5.报价表</w:t>
      </w:r>
      <w:r>
        <w:rPr>
          <w:rFonts w:hint="eastAsia" w:ascii="宋体" w:hAnsi="宋体" w:eastAsia="宋体" w:cs="宋体"/>
          <w:color w:val="auto"/>
          <w:sz w:val="28"/>
          <w:szCs w:val="28"/>
          <w:highlight w:val="none"/>
        </w:rPr>
        <w:cr/>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val="en-US" w:eastAsia="zh-CN"/>
        </w:rPr>
        <w:t>响应承诺书</w:t>
      </w:r>
    </w:p>
    <w:p>
      <w:pPr>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其他资料</w:t>
      </w:r>
      <w:bookmarkEnd w:id="184"/>
      <w:bookmarkEnd w:id="185"/>
      <w:r>
        <w:rPr>
          <w:rFonts w:hint="eastAsia" w:ascii="宋体" w:hAnsi="宋体" w:eastAsia="宋体" w:cs="宋体"/>
          <w:color w:val="auto"/>
          <w:sz w:val="28"/>
          <w:szCs w:val="28"/>
          <w:highlight w:val="none"/>
        </w:rPr>
        <w:cr/>
      </w: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adjustRightInd w:val="0"/>
        <w:snapToGrid w:val="0"/>
        <w:spacing w:before="156" w:beforeLines="50" w:after="156" w:afterLines="50" w:line="600" w:lineRule="exact"/>
        <w:jc w:val="center"/>
        <w:rPr>
          <w:rFonts w:ascii="宋体" w:hAnsi="宋体" w:eastAsia="宋体" w:cs="宋体"/>
          <w:color w:val="auto"/>
          <w:sz w:val="44"/>
          <w:szCs w:val="44"/>
          <w:highlight w:val="none"/>
        </w:rPr>
      </w:pPr>
    </w:p>
    <w:p>
      <w:pPr>
        <w:pStyle w:val="2"/>
        <w:rPr>
          <w:rFonts w:eastAsia="宋体" w:cs="宋体"/>
          <w:color w:val="auto"/>
          <w:highlight w:val="none"/>
        </w:rPr>
      </w:pPr>
    </w:p>
    <w:p>
      <w:pPr>
        <w:adjustRightInd w:val="0"/>
        <w:snapToGrid w:val="0"/>
        <w:spacing w:before="156" w:beforeLines="50" w:after="156" w:afterLines="50" w:line="600" w:lineRule="exact"/>
        <w:rPr>
          <w:rFonts w:ascii="宋体" w:hAnsi="宋体" w:eastAsia="宋体" w:cs="宋体"/>
          <w:color w:val="auto"/>
          <w:sz w:val="44"/>
          <w:szCs w:val="44"/>
          <w:highlight w:val="none"/>
        </w:rPr>
      </w:pPr>
    </w:p>
    <w:p>
      <w:pPr>
        <w:pStyle w:val="6"/>
        <w:rPr>
          <w:rFonts w:ascii="宋体" w:hAnsi="宋体" w:cs="宋体"/>
          <w:color w:val="auto"/>
          <w:sz w:val="28"/>
          <w:szCs w:val="28"/>
          <w:highlight w:val="none"/>
        </w:rPr>
      </w:pPr>
      <w:bookmarkStart w:id="186" w:name="_Toc28619645"/>
      <w:bookmarkStart w:id="187" w:name="_Toc88209957"/>
      <w:bookmarkStart w:id="188" w:name="_Toc12665"/>
      <w:bookmarkStart w:id="189" w:name="_Toc87616394"/>
      <w:bookmarkStart w:id="190" w:name="_Toc6313"/>
      <w:r>
        <w:rPr>
          <w:rFonts w:hint="eastAsia" w:ascii="宋体" w:hAnsi="宋体" w:cs="宋体"/>
          <w:color w:val="auto"/>
          <w:sz w:val="28"/>
          <w:szCs w:val="28"/>
          <w:highlight w:val="none"/>
        </w:rPr>
        <w:t>1.响应函</w:t>
      </w:r>
      <w:bookmarkEnd w:id="186"/>
      <w:bookmarkEnd w:id="187"/>
      <w:bookmarkEnd w:id="188"/>
      <w:bookmarkEnd w:id="189"/>
      <w:bookmarkEnd w:id="190"/>
    </w:p>
    <w:p>
      <w:pPr>
        <w:spacing w:line="360" w:lineRule="auto"/>
        <w:rPr>
          <w:rFonts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1.1响应函</w:t>
      </w:r>
      <w:r>
        <w:rPr>
          <w:rFonts w:hint="eastAsia" w:ascii="宋体" w:hAnsi="宋体" w:eastAsia="宋体" w:cs="宋体"/>
          <w:color w:val="auto"/>
          <w:sz w:val="28"/>
          <w:szCs w:val="28"/>
          <w:highlight w:val="none"/>
          <w:u w:val="single"/>
        </w:rPr>
        <w:t>至（采购人名称）：</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1.我方已仔细研究了</w:t>
      </w:r>
      <w:r>
        <w:rPr>
          <w:rFonts w:hint="eastAsia" w:ascii="宋体" w:hAnsi="宋体" w:eastAsia="宋体" w:cs="宋体"/>
          <w:color w:val="auto"/>
          <w:sz w:val="28"/>
          <w:szCs w:val="28"/>
          <w:highlight w:val="none"/>
          <w:u w:val="single"/>
        </w:rPr>
        <w:t xml:space="preserve">（项目名称、项目编号、标段/标包号）   </w:t>
      </w:r>
      <w:r>
        <w:rPr>
          <w:rFonts w:hint="eastAsia" w:ascii="宋体" w:hAnsi="宋体" w:eastAsia="宋体" w:cs="宋体"/>
          <w:color w:val="auto"/>
          <w:sz w:val="28"/>
          <w:szCs w:val="28"/>
          <w:highlight w:val="none"/>
        </w:rPr>
        <w:t>采购文件的全部内容，愿意以含税价人民币（大写）</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u w:val="single"/>
        </w:rPr>
        <w:tab/>
      </w:r>
      <w:r>
        <w:rPr>
          <w:rFonts w:hint="eastAsia" w:ascii="宋体" w:hAnsi="宋体" w:eastAsia="宋体" w:cs="宋体"/>
          <w:color w:val="auto"/>
          <w:sz w:val="28"/>
          <w:szCs w:val="28"/>
          <w:highlight w:val="none"/>
        </w:rPr>
        <w:t>）的报价（其中，不含税价为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；增值税为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）完成/提供本项目□工程 □货物□服务并按合同约定履行义务。</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2.我方响应文件包括下列内容：</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（1）响应函</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（2）法定代表人证明或授权委托书</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（3）资格审查资料</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（4）拟投入本项目的项目负责人情况表</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（5）报价表</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（6）其他资料</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响应文件的上述组成部分如有不一致的内容，以响应函为准。</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4.我方承诺在采购文件有效期内不撤销响应文件。</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5.如我方成交，我方承诺：</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（1）在收到成交通知书后，在成交通知书规定的期限内与你方签订合同；</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（2）在签订合同时不向你方提出附加条件；</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（3）按照采购文件要求提交履约保证金；</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（4）在合同约定的期限内完成合同规定的全部义务。</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6.我方在此声明，所递交的响应文件及有关资料内容完整、真实和准确，且不存在采购公告中供应商不得存在的情形。</w:t>
      </w:r>
    </w:p>
    <w:p>
      <w:pPr>
        <w:spacing w:line="360" w:lineRule="auto"/>
        <w:ind w:firstLine="560" w:firstLineChars="20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w:t>
      </w:r>
      <w:r>
        <w:rPr>
          <w:rFonts w:hint="eastAsia" w:ascii="宋体" w:hAnsi="宋体" w:eastAsia="宋体" w:cs="宋体"/>
          <w:color w:val="auto"/>
          <w:sz w:val="28"/>
          <w:szCs w:val="28"/>
          <w:highlight w:val="none"/>
          <w:u w:val="single"/>
        </w:rPr>
        <w:t xml:space="preserve">       （其他补充说明）</w:t>
      </w:r>
      <w:r>
        <w:rPr>
          <w:rFonts w:hint="eastAsia" w:ascii="宋体" w:hAnsi="宋体" w:eastAsia="宋体" w:cs="宋体"/>
          <w:color w:val="auto"/>
          <w:sz w:val="28"/>
          <w:szCs w:val="28"/>
          <w:highlight w:val="none"/>
        </w:rPr>
        <w:t>。</w:t>
      </w:r>
    </w:p>
    <w:p>
      <w:pPr>
        <w:adjustRightInd w:val="0"/>
        <w:snapToGrid w:val="0"/>
        <w:spacing w:line="600" w:lineRule="exact"/>
        <w:ind w:left="1" w:firstLine="551" w:firstLineChars="197"/>
        <w:jc w:val="left"/>
        <w:rPr>
          <w:rFonts w:ascii="宋体" w:hAnsi="宋体" w:eastAsia="宋体" w:cs="宋体"/>
          <w:color w:val="auto"/>
          <w:sz w:val="28"/>
          <w:szCs w:val="28"/>
          <w:highlight w:val="none"/>
        </w:rPr>
      </w:pPr>
    </w:p>
    <w:p>
      <w:pPr>
        <w:adjustRightInd w:val="0"/>
        <w:snapToGrid w:val="0"/>
        <w:spacing w:line="600" w:lineRule="exact"/>
        <w:ind w:left="1" w:firstLine="551" w:firstLineChars="197"/>
        <w:jc w:val="left"/>
        <w:rPr>
          <w:rFonts w:ascii="宋体" w:hAnsi="宋体" w:eastAsia="宋体" w:cs="宋体"/>
          <w:color w:val="auto"/>
          <w:sz w:val="28"/>
          <w:szCs w:val="28"/>
          <w:highlight w:val="none"/>
        </w:rPr>
      </w:pPr>
    </w:p>
    <w:p>
      <w:pPr>
        <w:adjustRightInd w:val="0"/>
        <w:snapToGrid w:val="0"/>
        <w:spacing w:line="600" w:lineRule="exact"/>
        <w:ind w:left="1" w:firstLine="551" w:firstLineChars="197"/>
        <w:jc w:val="righ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（单位公章）</w:t>
      </w:r>
    </w:p>
    <w:p>
      <w:pPr>
        <w:adjustRightInd w:val="0"/>
        <w:snapToGrid w:val="0"/>
        <w:spacing w:line="600" w:lineRule="exact"/>
        <w:ind w:left="1" w:firstLine="551" w:firstLineChars="197"/>
        <w:jc w:val="righ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（签字或盖章）</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地址：</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电子邮箱：</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r>
        <w:rPr>
          <w:rFonts w:hint="eastAsia" w:ascii="宋体" w:hAnsi="宋体" w:eastAsia="宋体" w:cs="宋体"/>
          <w:color w:val="auto"/>
          <w:sz w:val="28"/>
          <w:szCs w:val="28"/>
          <w:highlight w:val="none"/>
          <w:u w:val="single"/>
        </w:rPr>
        <w:t xml:space="preserve">                              </w:t>
      </w:r>
    </w:p>
    <w:p>
      <w:pPr>
        <w:adjustRightInd w:val="0"/>
        <w:snapToGrid w:val="0"/>
        <w:spacing w:line="600" w:lineRule="exact"/>
        <w:ind w:left="1" w:firstLine="3771" w:firstLineChars="1347"/>
        <w:jc w:val="lef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r>
        <w:rPr>
          <w:rFonts w:hint="eastAsia" w:ascii="宋体" w:hAnsi="宋体" w:eastAsia="宋体" w:cs="宋体"/>
          <w:color w:val="auto"/>
          <w:sz w:val="28"/>
          <w:szCs w:val="28"/>
          <w:highlight w:val="none"/>
          <w:u w:val="single"/>
        </w:rPr>
        <w:t xml:space="preserve">                              </w:t>
      </w:r>
    </w:p>
    <w:p>
      <w:pPr>
        <w:spacing w:line="600" w:lineRule="exact"/>
        <w:ind w:left="1" w:firstLine="551" w:firstLineChars="197"/>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bookmarkStart w:id="191" w:name="_Toc88209958"/>
      <w:bookmarkStart w:id="192" w:name="_Toc87616395"/>
      <w:bookmarkStart w:id="193" w:name="_Toc29833"/>
      <w:bookmarkStart w:id="194" w:name="_Toc22527"/>
    </w:p>
    <w:p>
      <w:pPr>
        <w:pStyle w:val="2"/>
        <w:rPr>
          <w:rFonts w:hint="eastAsia" w:ascii="宋体" w:hAnsi="宋体" w:eastAsia="宋体" w:cs="宋体"/>
          <w:color w:val="auto"/>
          <w:sz w:val="28"/>
          <w:szCs w:val="28"/>
          <w:highlight w:val="none"/>
        </w:rPr>
      </w:pPr>
    </w:p>
    <w:p>
      <w:pPr>
        <w:pStyle w:val="6"/>
        <w:spacing w:before="0"/>
        <w:rPr>
          <w:rFonts w:hint="eastAsia" w:ascii="宋体" w:hAnsi="宋体" w:cs="宋体"/>
          <w:color w:val="auto"/>
          <w:sz w:val="28"/>
          <w:szCs w:val="28"/>
          <w:highlight w:val="none"/>
        </w:rPr>
      </w:pPr>
    </w:p>
    <w:p>
      <w:pPr>
        <w:rPr>
          <w:rFonts w:hint="eastAsia"/>
          <w:highlight w:val="none"/>
        </w:rPr>
      </w:pPr>
    </w:p>
    <w:p>
      <w:pPr>
        <w:pStyle w:val="6"/>
        <w:spacing w:before="0"/>
        <w:rPr>
          <w:rFonts w:ascii="宋体" w:hAnsi="宋体" w:cs="宋体"/>
          <w:color w:val="auto"/>
          <w:sz w:val="28"/>
          <w:szCs w:val="28"/>
          <w:highlight w:val="none"/>
        </w:rPr>
      </w:pPr>
      <w:r>
        <w:rPr>
          <w:rFonts w:hint="eastAsia" w:ascii="宋体" w:hAnsi="宋体" w:cs="宋体"/>
          <w:color w:val="auto"/>
          <w:sz w:val="28"/>
          <w:szCs w:val="28"/>
          <w:highlight w:val="none"/>
        </w:rPr>
        <w:t>2.法定代表人证明或授权委托书</w:t>
      </w:r>
      <w:bookmarkEnd w:id="191"/>
      <w:bookmarkEnd w:id="192"/>
      <w:bookmarkEnd w:id="193"/>
      <w:bookmarkEnd w:id="194"/>
    </w:p>
    <w:p>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2.1法定代表人证明格式</w:t>
      </w:r>
    </w:p>
    <w:p>
      <w:pPr>
        <w:widowControl/>
        <w:adjustRightInd w:val="0"/>
        <w:snapToGrid w:val="0"/>
        <w:spacing w:before="156" w:beforeLines="50" w:after="156" w:afterLines="50" w:line="6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法定代表人证明书</w:t>
      </w:r>
    </w:p>
    <w:p>
      <w:pPr>
        <w:pStyle w:val="42"/>
        <w:snapToGrid w:val="0"/>
        <w:spacing w:after="0" w:line="600" w:lineRule="exact"/>
        <w:jc w:val="both"/>
        <w:rPr>
          <w:rFonts w:hAnsi="宋体"/>
          <w:color w:val="auto"/>
          <w:sz w:val="21"/>
          <w:szCs w:val="21"/>
          <w:highlight w:val="none"/>
          <w:u w:val="single"/>
        </w:rPr>
      </w:pPr>
      <w:r>
        <w:rPr>
          <w:rFonts w:hint="eastAsia" w:hAnsi="宋体"/>
          <w:color w:val="auto"/>
          <w:sz w:val="21"/>
          <w:szCs w:val="21"/>
          <w:highlight w:val="none"/>
        </w:rPr>
        <w:t xml:space="preserve">     供应商名称：</w:t>
      </w:r>
      <w:r>
        <w:rPr>
          <w:rFonts w:hint="eastAsia" w:hAnsi="宋体"/>
          <w:color w:val="auto"/>
          <w:sz w:val="21"/>
          <w:szCs w:val="21"/>
          <w:highlight w:val="none"/>
          <w:u w:val="single"/>
        </w:rPr>
        <w:t xml:space="preserve">                          </w:t>
      </w:r>
    </w:p>
    <w:p>
      <w:pPr>
        <w:pStyle w:val="32"/>
        <w:snapToGrid w:val="0"/>
        <w:spacing w:line="600" w:lineRule="exact"/>
        <w:rPr>
          <w:rFonts w:hAnsi="宋体"/>
          <w:color w:val="auto"/>
          <w:sz w:val="21"/>
          <w:szCs w:val="21"/>
          <w:highlight w:val="none"/>
          <w:u w:val="single"/>
        </w:rPr>
      </w:pPr>
      <w:r>
        <w:rPr>
          <w:rFonts w:hint="eastAsia" w:hAnsi="宋体"/>
          <w:color w:val="auto"/>
          <w:sz w:val="21"/>
          <w:szCs w:val="21"/>
          <w:highlight w:val="none"/>
        </w:rPr>
        <w:t xml:space="preserve">     单位性质：</w:t>
      </w:r>
      <w:r>
        <w:rPr>
          <w:rFonts w:hint="eastAsia" w:hAnsi="宋体"/>
          <w:color w:val="auto"/>
          <w:sz w:val="21"/>
          <w:szCs w:val="21"/>
          <w:highlight w:val="none"/>
          <w:u w:val="single"/>
        </w:rPr>
        <w:t xml:space="preserve">                            </w:t>
      </w:r>
    </w:p>
    <w:p>
      <w:pPr>
        <w:pStyle w:val="41"/>
        <w:snapToGrid w:val="0"/>
        <w:spacing w:after="0" w:line="600" w:lineRule="exact"/>
        <w:ind w:firstLine="525" w:firstLineChars="250"/>
        <w:rPr>
          <w:rFonts w:hAnsi="宋体"/>
          <w:color w:val="auto"/>
          <w:sz w:val="21"/>
          <w:szCs w:val="21"/>
          <w:highlight w:val="none"/>
          <w:u w:val="single"/>
        </w:rPr>
      </w:pPr>
      <w:r>
        <w:rPr>
          <w:rFonts w:hint="eastAsia" w:hAnsi="宋体"/>
          <w:color w:val="auto"/>
          <w:sz w:val="21"/>
          <w:szCs w:val="21"/>
          <w:highlight w:val="none"/>
        </w:rPr>
        <w:t>地    址：</w:t>
      </w:r>
      <w:r>
        <w:rPr>
          <w:rFonts w:hint="eastAsia" w:hAnsi="宋体"/>
          <w:color w:val="auto"/>
          <w:sz w:val="21"/>
          <w:szCs w:val="21"/>
          <w:highlight w:val="none"/>
          <w:u w:val="singl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成立时间：</w:t>
      </w:r>
      <w:r>
        <w:rPr>
          <w:rFonts w:hint="eastAsia" w:hAnsi="宋体"/>
          <w:color w:val="auto"/>
          <w:sz w:val="21"/>
          <w:szCs w:val="21"/>
          <w:highlight w:val="none"/>
          <w:u w:val="single"/>
        </w:rPr>
        <w:t xml:space="preserve">        </w:t>
      </w:r>
      <w:r>
        <w:rPr>
          <w:rFonts w:hint="eastAsia" w:hAnsi="宋体"/>
          <w:color w:val="auto"/>
          <w:sz w:val="21"/>
          <w:szCs w:val="21"/>
          <w:highlight w:val="none"/>
        </w:rPr>
        <w:t>年</w:t>
      </w:r>
      <w:r>
        <w:rPr>
          <w:rFonts w:hint="eastAsia" w:hAnsi="宋体"/>
          <w:color w:val="auto"/>
          <w:sz w:val="21"/>
          <w:szCs w:val="21"/>
          <w:highlight w:val="none"/>
          <w:u w:val="single"/>
        </w:rPr>
        <w:t xml:space="preserve">       </w:t>
      </w:r>
      <w:r>
        <w:rPr>
          <w:rFonts w:hint="eastAsia" w:hAnsi="宋体"/>
          <w:color w:val="auto"/>
          <w:sz w:val="21"/>
          <w:szCs w:val="21"/>
          <w:highlight w:val="none"/>
        </w:rPr>
        <w:t>月</w:t>
      </w:r>
      <w:r>
        <w:rPr>
          <w:rFonts w:hint="eastAsia" w:hAnsi="宋体"/>
          <w:color w:val="auto"/>
          <w:sz w:val="21"/>
          <w:szCs w:val="21"/>
          <w:highlight w:val="none"/>
          <w:u w:val="single"/>
        </w:rPr>
        <w:t xml:space="preserve">       </w:t>
      </w:r>
      <w:r>
        <w:rPr>
          <w:rFonts w:hint="eastAsia" w:hAnsi="宋体"/>
          <w:color w:val="auto"/>
          <w:sz w:val="21"/>
          <w:szCs w:val="21"/>
          <w:highlight w:val="none"/>
        </w:rPr>
        <w:t>日</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经营期限：</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姓名：</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性别：</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年龄：</w:t>
      </w:r>
      <w:r>
        <w:rPr>
          <w:rFonts w:hint="eastAsia" w:hAnsi="宋体"/>
          <w:color w:val="auto"/>
          <w:sz w:val="21"/>
          <w:szCs w:val="21"/>
          <w:highlight w:val="none"/>
          <w:u w:val="single"/>
        </w:rPr>
        <w:t xml:space="preserve">    </w:t>
      </w:r>
      <w:r>
        <w:rPr>
          <w:rFonts w:hint="eastAsia" w:hAnsi="宋体"/>
          <w:color w:val="auto"/>
          <w:sz w:val="21"/>
          <w:szCs w:val="21"/>
          <w:highlight w:val="none"/>
        </w:rPr>
        <w:t xml:space="preserve"> 身份证号码：</w:t>
      </w:r>
      <w:r>
        <w:rPr>
          <w:rFonts w:hint="eastAsia" w:hAnsi="宋体"/>
          <w:color w:val="auto"/>
          <w:sz w:val="21"/>
          <w:szCs w:val="21"/>
          <w:highlight w:val="none"/>
          <w:u w:val="single"/>
        </w:rPr>
        <w:t xml:space="preserve">          </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职务：</w:t>
      </w:r>
      <w:r>
        <w:rPr>
          <w:rFonts w:hint="eastAsia" w:hAnsi="宋体"/>
          <w:color w:val="auto"/>
          <w:sz w:val="21"/>
          <w:szCs w:val="21"/>
          <w:highlight w:val="none"/>
          <w:u w:val="single"/>
        </w:rPr>
        <w:t xml:space="preserve">         </w:t>
      </w:r>
      <w:r>
        <w:rPr>
          <w:rFonts w:hint="eastAsia" w:hAnsi="宋体"/>
          <w:color w:val="auto"/>
          <w:sz w:val="21"/>
          <w:szCs w:val="21"/>
          <w:highlight w:val="none"/>
        </w:rPr>
        <w:t>系</w:t>
      </w:r>
      <w:r>
        <w:rPr>
          <w:rFonts w:hint="eastAsia" w:hAnsi="宋体"/>
          <w:color w:val="auto"/>
          <w:sz w:val="21"/>
          <w:szCs w:val="21"/>
          <w:highlight w:val="none"/>
          <w:u w:val="single"/>
        </w:rPr>
        <w:t xml:space="preserve">     (供应商名称)       </w:t>
      </w:r>
      <w:r>
        <w:rPr>
          <w:rFonts w:hint="eastAsia" w:hAnsi="宋体"/>
          <w:color w:val="auto"/>
          <w:sz w:val="21"/>
          <w:szCs w:val="21"/>
          <w:highlight w:val="none"/>
        </w:rPr>
        <w:t xml:space="preserve"> 的法定代表人。</w:t>
      </w:r>
    </w:p>
    <w:p>
      <w:pPr>
        <w:pStyle w:val="32"/>
        <w:snapToGrid w:val="0"/>
        <w:spacing w:line="600" w:lineRule="exact"/>
        <w:ind w:firstLine="539" w:firstLineChars="257"/>
        <w:rPr>
          <w:rFonts w:hAnsi="宋体"/>
          <w:color w:val="auto"/>
          <w:sz w:val="21"/>
          <w:szCs w:val="21"/>
          <w:highlight w:val="none"/>
        </w:rPr>
      </w:pPr>
      <w:r>
        <w:rPr>
          <w:rFonts w:hint="eastAsia" w:hAnsi="宋体"/>
          <w:color w:val="auto"/>
          <w:sz w:val="21"/>
          <w:szCs w:val="21"/>
          <w:highlight w:val="none"/>
        </w:rPr>
        <w:t>特此证明。</w:t>
      </w:r>
    </w:p>
    <w:p>
      <w:pPr>
        <w:adjustRightInd w:val="0"/>
        <w:snapToGrid w:val="0"/>
        <w:spacing w:line="600" w:lineRule="exact"/>
        <w:ind w:firstLine="491" w:firstLineChars="234"/>
        <w:rPr>
          <w:rFonts w:ascii="宋体" w:hAnsi="宋体" w:eastAsia="宋体" w:cs="宋体"/>
          <w:color w:val="auto"/>
          <w:szCs w:val="21"/>
          <w:highlight w:val="none"/>
        </w:rPr>
      </w:pPr>
      <w:r>
        <w:rPr>
          <w:rFonts w:hint="eastAsia" w:ascii="宋体" w:hAnsi="宋体" w:eastAsia="宋体" w:cs="宋体"/>
          <w:color w:val="auto"/>
          <w:szCs w:val="21"/>
          <w:highlight w:val="none"/>
        </w:rPr>
        <w:t>附：法定代表人身份证(正反两面)复印件</w:t>
      </w:r>
    </w:p>
    <w:p>
      <w:pPr>
        <w:pStyle w:val="32"/>
        <w:snapToGrid w:val="0"/>
        <w:spacing w:line="600" w:lineRule="exact"/>
        <w:ind w:firstLine="2564" w:firstLineChars="1221"/>
        <w:rPr>
          <w:rFonts w:hAnsi="宋体"/>
          <w:color w:val="auto"/>
          <w:sz w:val="21"/>
          <w:szCs w:val="21"/>
          <w:highlight w:val="none"/>
        </w:rPr>
      </w:pPr>
    </w:p>
    <w:p>
      <w:pPr>
        <w:pStyle w:val="32"/>
        <w:snapToGrid w:val="0"/>
        <w:spacing w:line="600" w:lineRule="exact"/>
        <w:ind w:firstLine="2564" w:firstLineChars="1221"/>
        <w:rPr>
          <w:rFonts w:hAnsi="宋体"/>
          <w:color w:val="auto"/>
          <w:sz w:val="21"/>
          <w:szCs w:val="21"/>
          <w:highlight w:val="none"/>
        </w:rPr>
      </w:pPr>
      <w:r>
        <w:rPr>
          <w:rFonts w:hint="eastAsia" w:hAnsi="宋体"/>
          <w:color w:val="auto"/>
          <w:sz w:val="21"/>
          <w:szCs w:val="21"/>
          <w:highlight w:val="none"/>
        </w:rPr>
        <w:t>供应商：</w:t>
      </w:r>
      <w:r>
        <w:rPr>
          <w:rFonts w:hint="eastAsia" w:hAnsi="宋体"/>
          <w:color w:val="auto"/>
          <w:sz w:val="21"/>
          <w:szCs w:val="21"/>
          <w:highlight w:val="none"/>
          <w:u w:val="single"/>
        </w:rPr>
        <w:t xml:space="preserve">       (盖单位章)      </w:t>
      </w:r>
    </w:p>
    <w:p>
      <w:pPr>
        <w:widowControl/>
        <w:adjustRightInd w:val="0"/>
        <w:snapToGrid w:val="0"/>
        <w:spacing w:line="600" w:lineRule="exact"/>
        <w:jc w:val="right"/>
        <w:rPr>
          <w:rFonts w:ascii="宋体" w:hAnsi="宋体" w:eastAsia="宋体" w:cs="宋体"/>
          <w:color w:val="auto"/>
          <w:szCs w:val="21"/>
          <w:highlight w:val="none"/>
        </w:rPr>
      </w:pPr>
      <w:r>
        <w:rPr>
          <w:rFonts w:hint="eastAsia" w:ascii="宋体" w:hAnsi="宋体" w:eastAsia="宋体" w:cs="宋体"/>
          <w:color w:val="auto"/>
          <w:szCs w:val="21"/>
          <w:highlight w:val="none"/>
        </w:rPr>
        <w:t>日  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widowControl/>
        <w:adjustRightInd w:val="0"/>
        <w:snapToGrid w:val="0"/>
        <w:spacing w:line="600" w:lineRule="exact"/>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5130800" cy="1287780"/>
                <wp:effectExtent l="4445" t="4445" r="8255" b="22225"/>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1308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404pt;mso-wrap-distance-bottom:0pt;mso-wrap-distance-left:9pt;mso-wrap-distance-right:9pt;mso-wrap-distance-top:0pt;z-index:251670528;mso-width-relative:page;mso-height-relative:page;" fillcolor="#FFFFFF" filled="t" stroked="t" coordsize="21600,21600" o:gfxdata="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YiyBHtgAAAAJAQAADwAAAAAAAAABACAAAAAiAAAAZHJzL2Rvd25yZXYueG1sUEsB&#10;AhQAFAAAAAgAh07iQMMzVDEuAgAASAQAAA4AAAAAAAAAAQAgAAAAJwEAAGRycy9lMm9Eb2MueG1s&#10;UEsFBgAAAAAGAAYAWQEAAMc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宋体" w:hAnsi="宋体" w:eastAsia="宋体" w:cs="宋体"/>
          <w:color w:val="auto"/>
          <w:kern w:val="0"/>
          <w:szCs w:val="21"/>
          <w:highlight w:val="none"/>
        </w:rPr>
      </w:pPr>
    </w:p>
    <w:p>
      <w:pPr>
        <w:widowControl/>
        <w:adjustRightInd w:val="0"/>
        <w:snapToGrid w:val="0"/>
        <w:spacing w:line="600" w:lineRule="exact"/>
        <w:jc w:val="left"/>
        <w:rPr>
          <w:rFonts w:ascii="宋体" w:hAnsi="宋体" w:eastAsia="宋体" w:cs="宋体"/>
          <w:color w:val="auto"/>
          <w:kern w:val="0"/>
          <w:szCs w:val="21"/>
          <w:highlight w:val="none"/>
        </w:rPr>
      </w:pPr>
    </w:p>
    <w:p>
      <w:pPr>
        <w:widowControl/>
        <w:adjustRightInd w:val="0"/>
        <w:snapToGrid w:val="0"/>
        <w:spacing w:line="600" w:lineRule="exact"/>
        <w:jc w:val="left"/>
        <w:rPr>
          <w:rFonts w:ascii="宋体" w:hAnsi="宋体" w:eastAsia="宋体" w:cs="宋体"/>
          <w:color w:val="auto"/>
          <w:kern w:val="0"/>
          <w:szCs w:val="21"/>
          <w:highlight w:val="none"/>
        </w:rPr>
      </w:pPr>
    </w:p>
    <w:p>
      <w:pPr>
        <w:adjustRightInd w:val="0"/>
        <w:snapToGrid w:val="0"/>
        <w:spacing w:line="600" w:lineRule="exact"/>
        <w:ind w:firstLine="480"/>
        <w:rPr>
          <w:rFonts w:ascii="宋体" w:hAnsi="宋体" w:eastAsia="宋体" w:cs="宋体"/>
          <w:color w:val="auto"/>
          <w:szCs w:val="21"/>
          <w:highlight w:val="none"/>
        </w:rPr>
      </w:pPr>
      <w:r>
        <w:rPr>
          <w:rFonts w:hint="eastAsia" w:ascii="宋体" w:hAnsi="宋体" w:eastAsia="宋体" w:cs="宋体"/>
          <w:color w:val="auto"/>
          <w:kern w:val="0"/>
          <w:szCs w:val="21"/>
          <w:highlight w:val="none"/>
        </w:rPr>
        <w:t>注：法定代表人证明书亦可采用工商行政管理局统一制订的格式。</w:t>
      </w:r>
    </w:p>
    <w:p>
      <w:pPr>
        <w:spacing w:line="360" w:lineRule="auto"/>
        <w:rPr>
          <w:rFonts w:ascii="宋体" w:hAnsi="宋体" w:eastAsia="宋体" w:cs="宋体"/>
          <w:color w:val="auto"/>
          <w:highlight w:val="none"/>
        </w:rPr>
      </w:pPr>
      <w:r>
        <w:rPr>
          <w:rFonts w:hint="eastAsia" w:ascii="宋体" w:hAnsi="宋体" w:eastAsia="宋体" w:cs="宋体"/>
          <w:color w:val="auto"/>
          <w:kern w:val="0"/>
          <w:sz w:val="28"/>
          <w:szCs w:val="28"/>
          <w:highlight w:val="none"/>
        </w:rPr>
        <w:br w:type="page"/>
      </w:r>
      <w:r>
        <w:rPr>
          <w:rFonts w:hint="eastAsia" w:ascii="宋体" w:hAnsi="宋体" w:eastAsia="宋体" w:cs="宋体"/>
          <w:color w:val="auto"/>
          <w:sz w:val="28"/>
          <w:szCs w:val="28"/>
          <w:highlight w:val="none"/>
        </w:rPr>
        <w:t>2.2法人授权委托书</w:t>
      </w:r>
    </w:p>
    <w:p>
      <w:pPr>
        <w:adjustRightInd w:val="0"/>
        <w:snapToGrid w:val="0"/>
        <w:spacing w:before="156" w:beforeLines="50" w:after="156" w:afterLines="50" w:line="600" w:lineRule="exact"/>
        <w:jc w:val="center"/>
        <w:rPr>
          <w:rFonts w:ascii="宋体" w:hAnsi="宋体" w:eastAsia="宋体" w:cs="宋体"/>
          <w:color w:val="auto"/>
          <w:kern w:val="0"/>
          <w:sz w:val="44"/>
          <w:szCs w:val="44"/>
          <w:highlight w:val="none"/>
        </w:rPr>
      </w:pPr>
      <w:r>
        <w:rPr>
          <w:rFonts w:hint="eastAsia" w:ascii="宋体" w:hAnsi="宋体" w:eastAsia="宋体" w:cs="宋体"/>
          <w:color w:val="auto"/>
          <w:kern w:val="0"/>
          <w:sz w:val="44"/>
          <w:szCs w:val="44"/>
          <w:highlight w:val="none"/>
        </w:rPr>
        <w:t>法定代表人授权委托书</w:t>
      </w:r>
    </w:p>
    <w:p>
      <w:pPr>
        <w:adjustRightInd w:val="0"/>
        <w:snapToGrid w:val="0"/>
        <w:spacing w:line="600" w:lineRule="exact"/>
        <w:ind w:firstLine="600" w:firstLineChars="2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本人</w:t>
      </w:r>
      <w:r>
        <w:rPr>
          <w:rFonts w:hint="eastAsia" w:ascii="宋体" w:hAnsi="宋体" w:eastAsia="宋体" w:cs="宋体"/>
          <w:color w:val="auto"/>
          <w:sz w:val="30"/>
          <w:szCs w:val="30"/>
          <w:highlight w:val="none"/>
          <w:u w:val="single"/>
        </w:rPr>
        <w:t xml:space="preserve">   (姓名)    </w:t>
      </w:r>
      <w:r>
        <w:rPr>
          <w:rFonts w:hint="eastAsia" w:ascii="宋体" w:hAnsi="宋体" w:eastAsia="宋体" w:cs="宋体"/>
          <w:color w:val="auto"/>
          <w:sz w:val="30"/>
          <w:szCs w:val="30"/>
          <w:highlight w:val="none"/>
        </w:rPr>
        <w:t>系</w:t>
      </w:r>
      <w:r>
        <w:rPr>
          <w:rFonts w:hint="eastAsia" w:ascii="宋体" w:hAnsi="宋体" w:eastAsia="宋体" w:cs="宋体"/>
          <w:color w:val="auto"/>
          <w:sz w:val="30"/>
          <w:szCs w:val="30"/>
          <w:highlight w:val="none"/>
          <w:u w:val="single"/>
        </w:rPr>
        <w:t xml:space="preserve">        (供应商名称)          </w:t>
      </w:r>
      <w:r>
        <w:rPr>
          <w:rFonts w:hint="eastAsia" w:ascii="宋体" w:hAnsi="宋体" w:eastAsia="宋体" w:cs="宋体"/>
          <w:color w:val="auto"/>
          <w:sz w:val="30"/>
          <w:szCs w:val="30"/>
          <w:highlight w:val="none"/>
        </w:rPr>
        <w:t>的法定代表人，现授权</w:t>
      </w:r>
      <w:r>
        <w:rPr>
          <w:rFonts w:hint="eastAsia" w:ascii="宋体" w:hAnsi="宋体" w:eastAsia="宋体" w:cs="宋体"/>
          <w:color w:val="auto"/>
          <w:sz w:val="30"/>
          <w:szCs w:val="30"/>
          <w:highlight w:val="none"/>
          <w:u w:val="single"/>
        </w:rPr>
        <w:t xml:space="preserve">   (姓名)   </w:t>
      </w:r>
      <w:r>
        <w:rPr>
          <w:rFonts w:hint="eastAsia" w:ascii="宋体" w:hAnsi="宋体" w:eastAsia="宋体" w:cs="宋体"/>
          <w:color w:val="auto"/>
          <w:sz w:val="30"/>
          <w:szCs w:val="30"/>
          <w:highlight w:val="none"/>
        </w:rPr>
        <w:t>为我方代理人。代理人根据授权，以我方名义签署、澄清、说明、提交、撤回、修改</w:t>
      </w:r>
      <w:r>
        <w:rPr>
          <w:rFonts w:hint="eastAsia" w:ascii="宋体" w:hAnsi="宋体" w:eastAsia="宋体" w:cs="宋体"/>
          <w:color w:val="auto"/>
          <w:sz w:val="30"/>
          <w:szCs w:val="30"/>
          <w:highlight w:val="none"/>
          <w:u w:val="single"/>
        </w:rPr>
        <w:t xml:space="preserve"> （项目名称、项目编号、标段/标包号）  </w:t>
      </w:r>
      <w:r>
        <w:rPr>
          <w:rFonts w:hint="eastAsia" w:ascii="宋体" w:hAnsi="宋体" w:eastAsia="宋体" w:cs="宋体"/>
          <w:color w:val="auto"/>
          <w:sz w:val="30"/>
          <w:szCs w:val="30"/>
          <w:highlight w:val="none"/>
        </w:rPr>
        <w:t>的响应文件、签订合同和处理有关事宜，其法律后果由我方承担。</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委托期限：</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代理人无转委托权。</w:t>
      </w:r>
    </w:p>
    <w:p>
      <w:pPr>
        <w:adjustRightInd w:val="0"/>
        <w:snapToGrid w:val="0"/>
        <w:spacing w:line="600" w:lineRule="exact"/>
        <w:ind w:firstLine="59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附：1.委托代理人身份证(正反两面)复印件</w:t>
      </w:r>
    </w:p>
    <w:p>
      <w:pPr>
        <w:pStyle w:val="40"/>
        <w:ind w:firstLine="1200" w:firstLineChars="400"/>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32"/>
        <w:snapToGrid w:val="0"/>
        <w:spacing w:line="600" w:lineRule="exact"/>
        <w:ind w:firstLine="3618" w:firstLineChars="1005"/>
        <w:rPr>
          <w:rFonts w:hAnsi="宋体"/>
          <w:color w:val="auto"/>
          <w:sz w:val="30"/>
          <w:szCs w:val="30"/>
          <w:highlight w:val="none"/>
        </w:rPr>
      </w:pPr>
      <w:r>
        <w:rPr>
          <w:rFonts w:hint="eastAsia" w:hAnsi="宋体"/>
          <w:color w:val="auto"/>
          <w:spacing w:val="30"/>
          <w:sz w:val="30"/>
          <w:szCs w:val="30"/>
          <w:highlight w:val="none"/>
        </w:rPr>
        <w:t>供应商</w:t>
      </w:r>
      <w:r>
        <w:rPr>
          <w:rFonts w:hint="eastAsia" w:hAnsi="宋体"/>
          <w:color w:val="auto"/>
          <w:sz w:val="30"/>
          <w:szCs w:val="30"/>
          <w:highlight w:val="none"/>
        </w:rPr>
        <w:t>：</w:t>
      </w:r>
      <w:r>
        <w:rPr>
          <w:rFonts w:hint="eastAsia" w:hAnsi="宋体"/>
          <w:color w:val="auto"/>
          <w:sz w:val="30"/>
          <w:szCs w:val="30"/>
          <w:highlight w:val="none"/>
          <w:u w:val="single"/>
        </w:rPr>
        <w:t xml:space="preserve">      (单位公章)         </w:t>
      </w:r>
    </w:p>
    <w:p>
      <w:pPr>
        <w:pStyle w:val="32"/>
        <w:snapToGrid w:val="0"/>
        <w:spacing w:line="600" w:lineRule="exact"/>
        <w:ind w:firstLine="3600" w:firstLineChars="1200"/>
        <w:rPr>
          <w:rFonts w:hAnsi="宋体"/>
          <w:color w:val="auto"/>
          <w:sz w:val="30"/>
          <w:szCs w:val="30"/>
          <w:highlight w:val="none"/>
        </w:rPr>
      </w:pPr>
      <w:r>
        <w:rPr>
          <w:rFonts w:hint="eastAsia" w:hAnsi="宋体"/>
          <w:color w:val="auto"/>
          <w:sz w:val="30"/>
          <w:szCs w:val="30"/>
          <w:highlight w:val="none"/>
        </w:rPr>
        <w:t>法定代表人：</w:t>
      </w:r>
      <w:r>
        <w:rPr>
          <w:rFonts w:hint="eastAsia" w:hAnsi="宋体"/>
          <w:color w:val="auto"/>
          <w:sz w:val="30"/>
          <w:szCs w:val="30"/>
          <w:highlight w:val="none"/>
          <w:u w:val="single"/>
        </w:rPr>
        <w:t xml:space="preserve">       (签字)            </w:t>
      </w:r>
    </w:p>
    <w:p>
      <w:pPr>
        <w:pStyle w:val="32"/>
        <w:snapToGrid w:val="0"/>
        <w:spacing w:line="600" w:lineRule="exact"/>
        <w:ind w:firstLine="3600" w:firstLineChars="1200"/>
        <w:rPr>
          <w:rFonts w:hAnsi="宋体"/>
          <w:color w:val="auto"/>
          <w:sz w:val="30"/>
          <w:szCs w:val="30"/>
          <w:highlight w:val="none"/>
        </w:rPr>
      </w:pPr>
      <w:r>
        <w:rPr>
          <w:rFonts w:hint="eastAsia" w:hAnsi="宋体"/>
          <w:color w:val="auto"/>
          <w:sz w:val="30"/>
          <w:szCs w:val="30"/>
          <w:highlight w:val="none"/>
        </w:rPr>
        <w:t>委托代理人：</w:t>
      </w:r>
      <w:r>
        <w:rPr>
          <w:rFonts w:hint="eastAsia" w:hAnsi="宋体"/>
          <w:color w:val="auto"/>
          <w:sz w:val="30"/>
          <w:szCs w:val="30"/>
          <w:highlight w:val="none"/>
          <w:u w:val="single"/>
        </w:rPr>
        <w:t xml:space="preserve">       (签字)            </w:t>
      </w:r>
    </w:p>
    <w:p>
      <w:pPr>
        <w:widowControl/>
        <w:adjustRightInd w:val="0"/>
        <w:snapToGrid w:val="0"/>
        <w:spacing w:line="600" w:lineRule="exact"/>
        <w:rPr>
          <w:rFonts w:ascii="宋体" w:hAnsi="宋体" w:eastAsia="宋体" w:cs="宋体"/>
          <w:color w:val="auto"/>
          <w:sz w:val="30"/>
          <w:szCs w:val="30"/>
          <w:highlight w:val="none"/>
        </w:rPr>
      </w:pPr>
      <w:r>
        <w:rPr>
          <w:rFonts w:hint="eastAsia" w:ascii="宋体" w:hAnsi="宋体" w:eastAsia="宋体" w:cs="宋体"/>
          <w:color w:val="auto"/>
          <w:sz w:val="30"/>
          <w:szCs w:val="30"/>
          <w:highlight w:val="none"/>
        </w:rPr>
        <w:t xml:space="preserve">                        日    期：</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年</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月</w:t>
      </w:r>
      <w:r>
        <w:rPr>
          <w:rFonts w:hint="eastAsia" w:ascii="宋体" w:hAnsi="宋体" w:eastAsia="宋体" w:cs="宋体"/>
          <w:color w:val="auto"/>
          <w:sz w:val="30"/>
          <w:szCs w:val="30"/>
          <w:highlight w:val="none"/>
          <w:u w:val="single"/>
        </w:rPr>
        <w:t xml:space="preserve">     </w:t>
      </w:r>
      <w:r>
        <w:rPr>
          <w:rFonts w:hint="eastAsia" w:ascii="宋体" w:hAnsi="宋体" w:eastAsia="宋体" w:cs="宋体"/>
          <w:color w:val="auto"/>
          <w:sz w:val="30"/>
          <w:szCs w:val="30"/>
          <w:highlight w:val="none"/>
        </w:rPr>
        <w:t>日</w:t>
      </w:r>
    </w:p>
    <w:p>
      <w:pPr>
        <w:pStyle w:val="2"/>
        <w:rPr>
          <w:rFonts w:eastAsia="宋体" w:cs="宋体"/>
          <w:color w:val="auto"/>
          <w:sz w:val="30"/>
          <w:szCs w:val="30"/>
          <w:highlight w:val="none"/>
        </w:rPr>
      </w:pPr>
    </w:p>
    <w:p>
      <w:pPr>
        <w:pStyle w:val="2"/>
        <w:rPr>
          <w:rFonts w:eastAsia="宋体" w:cs="宋体"/>
          <w:color w:val="auto"/>
          <w:sz w:val="30"/>
          <w:szCs w:val="30"/>
          <w:highlight w:val="none"/>
        </w:rPr>
      </w:pPr>
    </w:p>
    <w:p>
      <w:pPr>
        <w:pStyle w:val="2"/>
        <w:rPr>
          <w:rFonts w:eastAsia="宋体" w:cs="宋体"/>
          <w:color w:val="auto"/>
          <w:sz w:val="30"/>
          <w:szCs w:val="30"/>
          <w:highlight w:val="none"/>
        </w:rPr>
      </w:pPr>
    </w:p>
    <w:p>
      <w:pPr>
        <w:pStyle w:val="2"/>
        <w:rPr>
          <w:rFonts w:eastAsia="宋体" w:cs="宋体"/>
          <w:color w:val="auto"/>
          <w:sz w:val="30"/>
          <w:szCs w:val="30"/>
          <w:highlight w:val="none"/>
        </w:rPr>
      </w:pPr>
    </w:p>
    <w:p>
      <w:pPr>
        <w:pStyle w:val="7"/>
        <w:spacing w:after="0" w:line="600" w:lineRule="exact"/>
        <w:rPr>
          <w:rFonts w:ascii="宋体" w:hAnsi="宋体" w:eastAsia="宋体" w:cs="宋体"/>
          <w:color w:val="auto"/>
          <w:highlight w:val="none"/>
        </w:rPr>
      </w:pPr>
      <w:r>
        <w:rPr>
          <w:rFonts w:hint="eastAsia" w:ascii="宋体" w:hAnsi="宋体" w:eastAsia="宋体" w:cs="宋体"/>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260985</wp:posOffset>
                </wp:positionH>
                <wp:positionV relativeFrom="paragraph">
                  <wp:posOffset>200025</wp:posOffset>
                </wp:positionV>
                <wp:extent cx="5200015" cy="1624965"/>
                <wp:effectExtent l="4445" t="4445" r="15240" b="88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200015" cy="1624965"/>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0.55pt;margin-top:15.75pt;height:127.95pt;width:409.45pt;mso-wrap-distance-bottom:0pt;mso-wrap-distance-left:9pt;mso-wrap-distance-right:9pt;mso-wrap-distance-top:0pt;z-index:251671552;mso-width-relative:page;mso-height-relative:page;" fillcolor="#FFFFFF" filled="t" stroked="t" coordsize="21600,21600" o:gfxdata="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yX7GNkAAAAJAQAADwAAAAAAAAABACAAAAAiAAAAZHJzL2Rvd25yZXYueG1sUEsB&#10;AhQAFAAAAAgAh07iQPx/u4wtAgAASQQAAA4AAAAAAAAAAQAgAAAAKAEAAGRycy9lMm9Eb2MueG1s&#10;UEsFBgAAAAAGAAYAWQEAAMc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宋体" w:hAnsi="宋体" w:eastAsia="宋体" w:cs="宋体"/>
          <w:color w:val="auto"/>
          <w:highlight w:val="none"/>
        </w:rPr>
      </w:pPr>
    </w:p>
    <w:p>
      <w:pPr>
        <w:adjustRightInd w:val="0"/>
        <w:snapToGrid w:val="0"/>
        <w:spacing w:line="600" w:lineRule="exact"/>
        <w:ind w:firstLine="48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宋体"/>
                <w:color w:val="auto"/>
                <w:sz w:val="24"/>
                <w:szCs w:val="24"/>
                <w:highlight w:val="none"/>
              </w:rPr>
            </w:pPr>
          </w:p>
          <w:p>
            <w:pPr>
              <w:spacing w:line="360" w:lineRule="auto"/>
              <w:jc w:val="center"/>
              <w:rPr>
                <w:rFonts w:ascii="宋体" w:hAnsi="宋体" w:eastAsia="宋体" w:cs="宋体"/>
                <w:color w:val="auto"/>
                <w:sz w:val="24"/>
                <w:szCs w:val="24"/>
                <w:highlight w:val="none"/>
              </w:rPr>
            </w:pPr>
          </w:p>
          <w:p>
            <w:pPr>
              <w:spacing w:line="360"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授权代理人在本单位近三个月社保记录，（以加盖社会保险基金管理中心印章的《缴费历史明细表》或《社会保险参保人员证明》为准，加盖单位公章</w:t>
            </w:r>
          </w:p>
          <w:p>
            <w:pPr>
              <w:spacing w:line="360" w:lineRule="auto"/>
              <w:jc w:val="center"/>
              <w:rPr>
                <w:rFonts w:ascii="宋体" w:hAnsi="宋体" w:eastAsia="宋体" w:cs="宋体"/>
                <w:color w:val="auto"/>
                <w:sz w:val="24"/>
                <w:szCs w:val="24"/>
                <w:highlight w:val="none"/>
              </w:rPr>
            </w:pPr>
          </w:p>
          <w:p>
            <w:pPr>
              <w:spacing w:line="360" w:lineRule="auto"/>
              <w:jc w:val="left"/>
              <w:rPr>
                <w:rFonts w:ascii="宋体" w:hAnsi="宋体" w:eastAsia="宋体" w:cs="宋体"/>
                <w:color w:val="auto"/>
                <w:sz w:val="24"/>
                <w:szCs w:val="24"/>
                <w:highlight w:val="none"/>
              </w:rPr>
            </w:pPr>
          </w:p>
          <w:p>
            <w:pPr>
              <w:spacing w:line="360" w:lineRule="auto"/>
              <w:jc w:val="left"/>
              <w:rPr>
                <w:rFonts w:ascii="宋体" w:hAnsi="宋体" w:eastAsia="宋体" w:cs="宋体"/>
                <w:color w:val="auto"/>
                <w:sz w:val="24"/>
                <w:szCs w:val="24"/>
                <w:highlight w:val="none"/>
              </w:rPr>
            </w:pPr>
          </w:p>
        </w:tc>
      </w:tr>
    </w:tbl>
    <w:p>
      <w:pPr>
        <w:spacing w:line="440" w:lineRule="exact"/>
        <w:ind w:firstLine="859" w:firstLineChars="307"/>
        <w:rPr>
          <w:rFonts w:ascii="宋体" w:hAnsi="宋体" w:eastAsia="宋体" w:cs="宋体"/>
          <w:color w:val="auto"/>
          <w:sz w:val="28"/>
          <w:szCs w:val="28"/>
          <w:highlight w:val="none"/>
        </w:rPr>
      </w:pPr>
    </w:p>
    <w:p>
      <w:pPr>
        <w:spacing w:line="480" w:lineRule="exact"/>
        <w:ind w:firstLine="843" w:firstLineChars="300"/>
        <w:rPr>
          <w:rFonts w:ascii="宋体" w:hAnsi="宋体" w:eastAsia="宋体" w:cs="宋体"/>
          <w:b/>
          <w:color w:val="auto"/>
          <w:sz w:val="28"/>
          <w:szCs w:val="28"/>
          <w:highlight w:val="none"/>
        </w:rPr>
      </w:pPr>
    </w:p>
    <w:p>
      <w:pPr>
        <w:pStyle w:val="2"/>
        <w:rPr>
          <w:rFonts w:eastAsia="宋体" w:cs="宋体"/>
          <w:color w:val="auto"/>
          <w:highlight w:val="none"/>
        </w:rPr>
      </w:pPr>
    </w:p>
    <w:p>
      <w:pPr>
        <w:pStyle w:val="2"/>
        <w:rPr>
          <w:rFonts w:eastAsia="宋体" w:cs="宋体"/>
          <w:color w:val="auto"/>
          <w:highlight w:val="none"/>
        </w:rPr>
      </w:pPr>
    </w:p>
    <w:p>
      <w:pPr>
        <w:pStyle w:val="6"/>
        <w:rPr>
          <w:rFonts w:ascii="宋体" w:hAnsi="宋体" w:cs="宋体"/>
          <w:color w:val="auto"/>
          <w:sz w:val="28"/>
          <w:szCs w:val="28"/>
          <w:highlight w:val="none"/>
        </w:rPr>
      </w:pPr>
      <w:r>
        <w:rPr>
          <w:rFonts w:hint="eastAsia" w:ascii="宋体" w:hAnsi="宋体" w:cs="宋体"/>
          <w:color w:val="auto"/>
          <w:sz w:val="28"/>
          <w:szCs w:val="28"/>
          <w:highlight w:val="none"/>
        </w:rPr>
        <w:t xml:space="preserve"> </w:t>
      </w:r>
      <w:bookmarkStart w:id="195" w:name="_Toc8086"/>
      <w:bookmarkStart w:id="196" w:name="_Toc19830"/>
      <w:bookmarkStart w:id="197" w:name="_Toc87616400"/>
      <w:bookmarkStart w:id="198" w:name="_Toc88209963"/>
      <w:r>
        <w:rPr>
          <w:rFonts w:hint="eastAsia" w:ascii="宋体" w:hAnsi="宋体" w:cs="宋体"/>
          <w:color w:val="auto"/>
          <w:sz w:val="28"/>
          <w:szCs w:val="28"/>
          <w:highlight w:val="none"/>
        </w:rPr>
        <w:t>3.资格审查资料</w:t>
      </w:r>
      <w:bookmarkEnd w:id="195"/>
      <w:bookmarkEnd w:id="196"/>
      <w:bookmarkEnd w:id="197"/>
      <w:bookmarkEnd w:id="198"/>
    </w:p>
    <w:p>
      <w:pPr>
        <w:spacing w:line="360" w:lineRule="auto"/>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注册地址</w:t>
            </w:r>
          </w:p>
        </w:tc>
        <w:tc>
          <w:tcPr>
            <w:tcW w:w="3118" w:type="dxa"/>
            <w:gridSpan w:val="3"/>
          </w:tcPr>
          <w:p>
            <w:pPr>
              <w:adjustRightInd w:val="0"/>
              <w:snapToGrid w:val="0"/>
              <w:spacing w:line="600" w:lineRule="exact"/>
              <w:rPr>
                <w:rFonts w:ascii="宋体" w:hAnsi="宋体" w:eastAsia="宋体" w:cs="宋体"/>
                <w:color w:val="auto"/>
                <w:sz w:val="28"/>
                <w:szCs w:val="28"/>
                <w:highlight w:val="none"/>
              </w:rPr>
            </w:pPr>
          </w:p>
        </w:tc>
        <w:tc>
          <w:tcPr>
            <w:tcW w:w="1570"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邮政编码</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联系方式</w:t>
            </w:r>
          </w:p>
        </w:tc>
        <w:tc>
          <w:tcPr>
            <w:tcW w:w="1134" w:type="dxa"/>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联系人</w:t>
            </w:r>
          </w:p>
        </w:tc>
        <w:tc>
          <w:tcPr>
            <w:tcW w:w="1984" w:type="dxa"/>
            <w:gridSpan w:val="2"/>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570" w:type="dxa"/>
            <w:gridSpan w:val="3"/>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134" w:type="dxa"/>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传真</w:t>
            </w:r>
          </w:p>
        </w:tc>
        <w:tc>
          <w:tcPr>
            <w:tcW w:w="1984" w:type="dxa"/>
            <w:gridSpan w:val="2"/>
            <w:vAlign w:val="center"/>
          </w:tcPr>
          <w:p>
            <w:pPr>
              <w:adjustRightInd w:val="0"/>
              <w:snapToGrid w:val="0"/>
              <w:spacing w:line="600" w:lineRule="exact"/>
              <w:jc w:val="center"/>
              <w:rPr>
                <w:rFonts w:ascii="宋体" w:hAnsi="宋体" w:eastAsia="宋体" w:cs="宋体"/>
                <w:color w:val="auto"/>
                <w:sz w:val="28"/>
                <w:szCs w:val="28"/>
                <w:highlight w:val="none"/>
              </w:rPr>
            </w:pPr>
          </w:p>
        </w:tc>
        <w:tc>
          <w:tcPr>
            <w:tcW w:w="1570" w:type="dxa"/>
            <w:gridSpan w:val="3"/>
            <w:vAlign w:val="center"/>
          </w:tcPr>
          <w:p>
            <w:pPr>
              <w:adjustRightInd w:val="0"/>
              <w:snapToGrid w:val="0"/>
              <w:spacing w:line="600" w:lineRule="exact"/>
              <w:jc w:val="center"/>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网址</w:t>
            </w:r>
          </w:p>
        </w:tc>
        <w:tc>
          <w:tcPr>
            <w:tcW w:w="2590" w:type="dxa"/>
            <w:gridSpan w:val="3"/>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组织结构</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tc>
        <w:tc>
          <w:tcPr>
            <w:tcW w:w="1134"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966" w:type="dxa"/>
          </w:tcPr>
          <w:p>
            <w:pPr>
              <w:adjustRightInd w:val="0"/>
              <w:snapToGrid w:val="0"/>
              <w:spacing w:line="600" w:lineRule="exact"/>
              <w:rPr>
                <w:rFonts w:ascii="宋体" w:hAnsi="宋体" w:eastAsia="宋体" w:cs="宋体"/>
                <w:color w:val="auto"/>
                <w:sz w:val="28"/>
                <w:szCs w:val="28"/>
                <w:highlight w:val="none"/>
              </w:rPr>
            </w:pPr>
          </w:p>
        </w:tc>
        <w:tc>
          <w:tcPr>
            <w:tcW w:w="1443"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技术职称</w:t>
            </w:r>
          </w:p>
        </w:tc>
        <w:tc>
          <w:tcPr>
            <w:tcW w:w="1145" w:type="dxa"/>
          </w:tcPr>
          <w:p>
            <w:pPr>
              <w:adjustRightInd w:val="0"/>
              <w:snapToGrid w:val="0"/>
              <w:spacing w:line="600" w:lineRule="exact"/>
              <w:rPr>
                <w:rFonts w:ascii="宋体" w:hAnsi="宋体" w:eastAsia="宋体" w:cs="宋体"/>
                <w:color w:val="auto"/>
                <w:sz w:val="28"/>
                <w:szCs w:val="28"/>
                <w:highlight w:val="none"/>
              </w:rPr>
            </w:pPr>
          </w:p>
        </w:tc>
        <w:tc>
          <w:tcPr>
            <w:tcW w:w="1295" w:type="dxa"/>
            <w:gridSpan w:val="2"/>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1295" w:type="dxa"/>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技术负责人</w:t>
            </w:r>
          </w:p>
        </w:tc>
        <w:tc>
          <w:tcPr>
            <w:tcW w:w="1134"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姓名</w:t>
            </w:r>
          </w:p>
        </w:tc>
        <w:tc>
          <w:tcPr>
            <w:tcW w:w="966" w:type="dxa"/>
          </w:tcPr>
          <w:p>
            <w:pPr>
              <w:adjustRightInd w:val="0"/>
              <w:snapToGrid w:val="0"/>
              <w:spacing w:line="600" w:lineRule="exact"/>
              <w:rPr>
                <w:rFonts w:ascii="宋体" w:hAnsi="宋体" w:eastAsia="宋体" w:cs="宋体"/>
                <w:color w:val="auto"/>
                <w:sz w:val="28"/>
                <w:szCs w:val="28"/>
                <w:highlight w:val="none"/>
              </w:rPr>
            </w:pPr>
          </w:p>
        </w:tc>
        <w:tc>
          <w:tcPr>
            <w:tcW w:w="1443"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技术职称</w:t>
            </w:r>
          </w:p>
        </w:tc>
        <w:tc>
          <w:tcPr>
            <w:tcW w:w="1145" w:type="dxa"/>
          </w:tcPr>
          <w:p>
            <w:pPr>
              <w:adjustRightInd w:val="0"/>
              <w:snapToGrid w:val="0"/>
              <w:spacing w:line="600" w:lineRule="exact"/>
              <w:rPr>
                <w:rFonts w:ascii="宋体" w:hAnsi="宋体" w:eastAsia="宋体" w:cs="宋体"/>
                <w:color w:val="auto"/>
                <w:sz w:val="28"/>
                <w:szCs w:val="28"/>
                <w:highlight w:val="none"/>
              </w:rPr>
            </w:pPr>
          </w:p>
        </w:tc>
        <w:tc>
          <w:tcPr>
            <w:tcW w:w="1295" w:type="dxa"/>
            <w:gridSpan w:val="2"/>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电话</w:t>
            </w:r>
          </w:p>
        </w:tc>
        <w:tc>
          <w:tcPr>
            <w:tcW w:w="1295" w:type="dxa"/>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成立时间</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5178" w:type="dxa"/>
            <w:gridSpan w:val="7"/>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企业资质等级</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restart"/>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其中</w:t>
            </w: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项目负责人</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营业执照号</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□高级职称人员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注册资金</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□中级职称人员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□初级职称人员</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账户</w:t>
            </w:r>
          </w:p>
        </w:tc>
        <w:tc>
          <w:tcPr>
            <w:tcW w:w="2100" w:type="dxa"/>
            <w:gridSpan w:val="2"/>
          </w:tcPr>
          <w:p>
            <w:pPr>
              <w:adjustRightInd w:val="0"/>
              <w:snapToGrid w:val="0"/>
              <w:spacing w:line="600" w:lineRule="exact"/>
              <w:rPr>
                <w:rFonts w:ascii="宋体" w:hAnsi="宋体" w:eastAsia="宋体" w:cs="宋体"/>
                <w:color w:val="auto"/>
                <w:sz w:val="28"/>
                <w:szCs w:val="28"/>
                <w:highlight w:val="none"/>
              </w:rPr>
            </w:pPr>
          </w:p>
        </w:tc>
        <w:tc>
          <w:tcPr>
            <w:tcW w:w="1160" w:type="dxa"/>
            <w:gridSpan w:val="2"/>
            <w:vMerge w:val="continue"/>
          </w:tcPr>
          <w:p>
            <w:pPr>
              <w:adjustRightInd w:val="0"/>
              <w:snapToGrid w:val="0"/>
              <w:spacing w:line="600" w:lineRule="exact"/>
              <w:rPr>
                <w:rFonts w:ascii="宋体" w:hAnsi="宋体" w:eastAsia="宋体" w:cs="宋体"/>
                <w:color w:val="auto"/>
                <w:sz w:val="28"/>
                <w:szCs w:val="28"/>
                <w:highlight w:val="none"/>
              </w:rPr>
            </w:pPr>
          </w:p>
        </w:tc>
        <w:tc>
          <w:tcPr>
            <w:tcW w:w="2268" w:type="dxa"/>
            <w:gridSpan w:val="3"/>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□技工</w:t>
            </w:r>
          </w:p>
        </w:tc>
        <w:tc>
          <w:tcPr>
            <w:tcW w:w="1750" w:type="dxa"/>
            <w:gridSpan w:val="2"/>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经营范围</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备注</w:t>
            </w:r>
          </w:p>
        </w:tc>
        <w:tc>
          <w:tcPr>
            <w:tcW w:w="7278" w:type="dxa"/>
            <w:gridSpan w:val="9"/>
          </w:tcPr>
          <w:p>
            <w:pPr>
              <w:adjustRightInd w:val="0"/>
              <w:snapToGrid w:val="0"/>
              <w:spacing w:line="600" w:lineRule="exact"/>
              <w:rPr>
                <w:rFonts w:ascii="宋体" w:hAnsi="宋体" w:eastAsia="宋体" w:cs="宋体"/>
                <w:color w:val="auto"/>
                <w:sz w:val="28"/>
                <w:szCs w:val="28"/>
                <w:highlight w:val="none"/>
              </w:rPr>
            </w:pPr>
          </w:p>
        </w:tc>
      </w:tr>
    </w:tbl>
    <w:p>
      <w:pPr>
        <w:adjustRightInd w:val="0"/>
        <w:snapToGrid w:val="0"/>
        <w:ind w:firstLine="573"/>
        <w:rPr>
          <w:rFonts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注：供应商应按供应商须知的要求提供主体资格证明材料及相关资质证明材料。</w:t>
      </w:r>
      <w:r>
        <w:rPr>
          <w:rFonts w:hint="eastAsia" w:ascii="宋体" w:hAnsi="宋体" w:eastAsia="宋体" w:cs="宋体"/>
          <w:b/>
          <w:bCs/>
          <w:color w:val="auto"/>
          <w:sz w:val="28"/>
          <w:szCs w:val="28"/>
          <w:highlight w:val="none"/>
        </w:rPr>
        <w:t>（相关证明文件附后）</w:t>
      </w:r>
    </w:p>
    <w:p>
      <w:pPr>
        <w:adjustRightInd w:val="0"/>
        <w:snapToGrid w:val="0"/>
        <w:spacing w:line="360" w:lineRule="auto"/>
        <w:jc w:val="left"/>
        <w:rPr>
          <w:rFonts w:ascii="宋体" w:hAnsi="宋体" w:eastAsia="宋体" w:cs="宋体"/>
          <w:b/>
          <w:bCs/>
          <w:color w:val="auto"/>
          <w:sz w:val="28"/>
          <w:szCs w:val="28"/>
          <w:highlight w:val="none"/>
        </w:rPr>
      </w:pPr>
      <w:bookmarkStart w:id="199" w:name="_Hlk59025866"/>
    </w:p>
    <w:p>
      <w:pPr>
        <w:adjustRightInd w:val="0"/>
        <w:snapToGrid w:val="0"/>
        <w:spacing w:line="360" w:lineRule="auto"/>
        <w:jc w:val="left"/>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3.2不得存在情形承诺函</w:t>
      </w:r>
    </w:p>
    <w:bookmarkEnd w:id="199"/>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广州城市水处理设备有限公司</w:t>
      </w:r>
    </w:p>
    <w:p>
      <w:pPr>
        <w:adjustRightInd w:val="0"/>
        <w:snapToGrid w:val="0"/>
        <w:spacing w:line="360" w:lineRule="auto"/>
        <w:ind w:firstLine="480" w:firstLineChars="200"/>
        <w:rPr>
          <w:rFonts w:ascii="宋体" w:hAnsi="宋体" w:eastAsia="宋体" w:cs="宋体"/>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lang w:val="en-GB" w:eastAsia="zh-CN"/>
        </w:rPr>
        <w:t>广州城市水处理设备有限公司2023年柔性加热器及轴承加热器</w:t>
      </w:r>
      <w:r>
        <w:rPr>
          <w:rFonts w:hint="eastAsia" w:ascii="宋体" w:hAnsi="宋体" w:eastAsia="宋体" w:cs="宋体"/>
          <w:color w:val="auto"/>
          <w:sz w:val="24"/>
          <w:szCs w:val="24"/>
          <w:highlight w:val="none"/>
          <w:lang w:val="en-GB"/>
        </w:rPr>
        <w:t>采购</w:t>
      </w:r>
      <w:r>
        <w:rPr>
          <w:rFonts w:hint="eastAsia" w:ascii="宋体" w:hAnsi="宋体" w:eastAsia="宋体" w:cs="宋体"/>
          <w:color w:val="auto"/>
          <w:sz w:val="24"/>
          <w:szCs w:val="24"/>
          <w:highlight w:val="none"/>
          <w:lang w:val="en-GB" w:eastAsia="zh-CN"/>
        </w:rPr>
        <w:t>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采购期间，未被列入下列情形之一：</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（1）与本项目其他供应商的单位负责人为同一人。</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（2）与本项目其他供应商存在控股关系。</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（3）与本项目其他供应商存在管理关系。</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（9）被“信用广州”网站纳入失信被执行人名单（失信黑名单）。</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（11）其他违法违纪行为，经审查认为不宜被邀请参加采购活动的。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eastAsia="宋体" w:cs="宋体"/>
          <w:color w:val="auto"/>
          <w:highlight w:val="none"/>
        </w:rPr>
      </w:pPr>
      <w:r>
        <w:rPr>
          <w:rFonts w:hint="eastAsia" w:ascii="宋体" w:hAnsi="宋体" w:eastAsia="宋体" w:cs="宋体"/>
          <w:color w:val="auto"/>
          <w:sz w:val="24"/>
          <w:szCs w:val="24"/>
          <w:highlight w:val="none"/>
          <w:lang w:val="en-GB"/>
        </w:rPr>
        <w:t>年  月  日</w:t>
      </w:r>
    </w:p>
    <w:p>
      <w:pPr>
        <w:jc w:val="left"/>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4.拟投入本项目的项目负责人情况表</w:t>
      </w:r>
    </w:p>
    <w:p>
      <w:pPr>
        <w:pStyle w:val="2"/>
        <w:rPr>
          <w:rFonts w:eastAsia="宋体" w:cs="宋体"/>
          <w:color w:val="auto"/>
          <w:sz w:val="28"/>
          <w:szCs w:val="28"/>
          <w:highlight w:val="none"/>
        </w:rPr>
      </w:pPr>
    </w:p>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姓名</w:t>
            </w:r>
          </w:p>
        </w:tc>
        <w:tc>
          <w:tcPr>
            <w:tcW w:w="1497" w:type="dxa"/>
            <w:gridSpan w:val="2"/>
          </w:tcPr>
          <w:p>
            <w:pPr>
              <w:jc w:val="center"/>
              <w:rPr>
                <w:rFonts w:ascii="宋体" w:hAnsi="宋体" w:eastAsia="宋体" w:cs="宋体"/>
                <w:b/>
                <w:color w:val="auto"/>
                <w:sz w:val="28"/>
                <w:szCs w:val="28"/>
                <w:highlight w:val="none"/>
              </w:rPr>
            </w:pPr>
          </w:p>
        </w:tc>
        <w:tc>
          <w:tcPr>
            <w:tcW w:w="161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出生年月</w:t>
            </w:r>
          </w:p>
        </w:tc>
        <w:tc>
          <w:tcPr>
            <w:tcW w:w="1337" w:type="dxa"/>
            <w:gridSpan w:val="2"/>
          </w:tcPr>
          <w:p>
            <w:pPr>
              <w:jc w:val="center"/>
              <w:rPr>
                <w:rFonts w:ascii="宋体" w:hAnsi="宋体" w:eastAsia="宋体" w:cs="宋体"/>
                <w:b/>
                <w:color w:val="auto"/>
                <w:sz w:val="28"/>
                <w:szCs w:val="28"/>
                <w:highlight w:val="none"/>
              </w:rPr>
            </w:pPr>
          </w:p>
        </w:tc>
        <w:tc>
          <w:tcPr>
            <w:tcW w:w="2198"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学历</w:t>
            </w:r>
          </w:p>
        </w:tc>
        <w:tc>
          <w:tcPr>
            <w:tcW w:w="1119" w:type="dxa"/>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职称</w:t>
            </w:r>
          </w:p>
        </w:tc>
        <w:tc>
          <w:tcPr>
            <w:tcW w:w="1497" w:type="dxa"/>
            <w:gridSpan w:val="2"/>
          </w:tcPr>
          <w:p>
            <w:pPr>
              <w:spacing w:line="360" w:lineRule="exact"/>
              <w:jc w:val="center"/>
              <w:rPr>
                <w:rFonts w:ascii="宋体" w:hAnsi="宋体" w:eastAsia="宋体" w:cs="宋体"/>
                <w:b/>
                <w:color w:val="auto"/>
                <w:sz w:val="28"/>
                <w:szCs w:val="28"/>
                <w:highlight w:val="none"/>
              </w:rPr>
            </w:pPr>
          </w:p>
        </w:tc>
        <w:tc>
          <w:tcPr>
            <w:tcW w:w="1613"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职务</w:t>
            </w:r>
          </w:p>
        </w:tc>
        <w:tc>
          <w:tcPr>
            <w:tcW w:w="1337" w:type="dxa"/>
            <w:gridSpan w:val="2"/>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从事本工作时间</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毕业院校</w:t>
            </w:r>
          </w:p>
        </w:tc>
        <w:tc>
          <w:tcPr>
            <w:tcW w:w="1497" w:type="dxa"/>
            <w:gridSpan w:val="2"/>
          </w:tcPr>
          <w:p>
            <w:pPr>
              <w:spacing w:line="360" w:lineRule="exact"/>
              <w:jc w:val="center"/>
              <w:rPr>
                <w:rFonts w:ascii="宋体" w:hAnsi="宋体" w:eastAsia="宋体" w:cs="宋体"/>
                <w:b/>
                <w:color w:val="auto"/>
                <w:sz w:val="28"/>
                <w:szCs w:val="28"/>
                <w:highlight w:val="none"/>
              </w:rPr>
            </w:pPr>
          </w:p>
        </w:tc>
        <w:tc>
          <w:tcPr>
            <w:tcW w:w="1613"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毕业时间</w:t>
            </w:r>
          </w:p>
        </w:tc>
        <w:tc>
          <w:tcPr>
            <w:tcW w:w="1337" w:type="dxa"/>
            <w:gridSpan w:val="2"/>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专业</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注册证书等级</w:t>
            </w:r>
          </w:p>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和专业</w:t>
            </w:r>
          </w:p>
        </w:tc>
        <w:tc>
          <w:tcPr>
            <w:tcW w:w="2950" w:type="dxa"/>
            <w:gridSpan w:val="4"/>
          </w:tcPr>
          <w:p>
            <w:pPr>
              <w:spacing w:line="360" w:lineRule="exact"/>
              <w:jc w:val="center"/>
              <w:rPr>
                <w:rFonts w:ascii="宋体" w:hAnsi="宋体" w:eastAsia="宋体" w:cs="宋体"/>
                <w:b/>
                <w:color w:val="auto"/>
                <w:sz w:val="28"/>
                <w:szCs w:val="28"/>
                <w:highlight w:val="none"/>
              </w:rPr>
            </w:pPr>
          </w:p>
        </w:tc>
        <w:tc>
          <w:tcPr>
            <w:tcW w:w="2198" w:type="dxa"/>
            <w:gridSpan w:val="2"/>
          </w:tcPr>
          <w:p>
            <w:pPr>
              <w:spacing w:line="360" w:lineRule="exact"/>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证书编号</w:t>
            </w:r>
          </w:p>
        </w:tc>
        <w:tc>
          <w:tcPr>
            <w:tcW w:w="1119" w:type="dxa"/>
          </w:tcPr>
          <w:p>
            <w:pPr>
              <w:spacing w:line="360" w:lineRule="exact"/>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职称证专业</w:t>
            </w:r>
          </w:p>
        </w:tc>
        <w:tc>
          <w:tcPr>
            <w:tcW w:w="2950" w:type="dxa"/>
            <w:gridSpan w:val="4"/>
          </w:tcPr>
          <w:p>
            <w:pPr>
              <w:jc w:val="center"/>
              <w:rPr>
                <w:rFonts w:ascii="宋体" w:hAnsi="宋体" w:eastAsia="宋体" w:cs="宋体"/>
                <w:b/>
                <w:color w:val="auto"/>
                <w:sz w:val="28"/>
                <w:szCs w:val="28"/>
                <w:highlight w:val="none"/>
              </w:rPr>
            </w:pPr>
          </w:p>
        </w:tc>
        <w:tc>
          <w:tcPr>
            <w:tcW w:w="2198"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证书编号</w:t>
            </w:r>
          </w:p>
        </w:tc>
        <w:tc>
          <w:tcPr>
            <w:tcW w:w="1119" w:type="dxa"/>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25" w:type="dxa"/>
            <w:gridSpan w:val="10"/>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项目名称</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合同金额</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开、竣工时间</w:t>
            </w:r>
          </w:p>
        </w:tc>
        <w:tc>
          <w:tcPr>
            <w:tcW w:w="199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担任职务</w:t>
            </w:r>
          </w:p>
        </w:tc>
        <w:tc>
          <w:tcPr>
            <w:tcW w:w="1453" w:type="dxa"/>
            <w:gridSpan w:val="2"/>
          </w:tcPr>
          <w:p>
            <w:pPr>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993" w:type="dxa"/>
            <w:gridSpan w:val="2"/>
          </w:tcPr>
          <w:p>
            <w:pPr>
              <w:jc w:val="center"/>
              <w:rPr>
                <w:rFonts w:ascii="宋体" w:hAnsi="宋体" w:eastAsia="宋体" w:cs="宋体"/>
                <w:b/>
                <w:color w:val="auto"/>
                <w:sz w:val="28"/>
                <w:szCs w:val="28"/>
                <w:highlight w:val="none"/>
              </w:rPr>
            </w:pPr>
          </w:p>
        </w:tc>
        <w:tc>
          <w:tcPr>
            <w:tcW w:w="1453" w:type="dxa"/>
            <w:gridSpan w:val="2"/>
          </w:tcPr>
          <w:p>
            <w:pPr>
              <w:jc w:val="center"/>
              <w:rPr>
                <w:rFonts w:ascii="宋体" w:hAnsi="宋体" w:eastAsia="宋体" w:cs="宋体"/>
                <w:b/>
                <w:color w:val="auto"/>
                <w:sz w:val="28"/>
                <w:szCs w:val="28"/>
                <w:highlight w:val="none"/>
              </w:rPr>
            </w:pPr>
          </w:p>
        </w:tc>
      </w:tr>
    </w:tbl>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2"/>
        <w:rPr>
          <w:rFonts w:eastAsia="宋体" w:cs="宋体"/>
          <w:color w:val="auto"/>
          <w:sz w:val="28"/>
          <w:szCs w:val="28"/>
          <w:highlight w:val="none"/>
        </w:rPr>
      </w:pPr>
    </w:p>
    <w:p>
      <w:pPr>
        <w:pStyle w:val="6"/>
        <w:rPr>
          <w:rFonts w:ascii="宋体" w:hAnsi="宋体" w:cs="宋体"/>
          <w:color w:val="auto"/>
          <w:sz w:val="28"/>
          <w:szCs w:val="28"/>
          <w:highlight w:val="none"/>
        </w:rPr>
      </w:pPr>
      <w:bookmarkStart w:id="200" w:name="_Toc19423"/>
      <w:bookmarkStart w:id="201" w:name="_Toc32430"/>
      <w:r>
        <w:rPr>
          <w:rFonts w:hint="eastAsia" w:ascii="宋体" w:hAnsi="宋体" w:cs="宋体"/>
          <w:color w:val="auto"/>
          <w:sz w:val="28"/>
          <w:szCs w:val="28"/>
          <w:highlight w:val="none"/>
        </w:rPr>
        <w:t>5.报价表</w:t>
      </w:r>
      <w:bookmarkEnd w:id="200"/>
      <w:bookmarkEnd w:id="201"/>
    </w:p>
    <w:tbl>
      <w:tblPr>
        <w:tblStyle w:val="24"/>
        <w:tblW w:w="9149" w:type="dxa"/>
        <w:jc w:val="center"/>
        <w:tblLayout w:type="fixed"/>
        <w:tblCellMar>
          <w:top w:w="0" w:type="dxa"/>
          <w:left w:w="108" w:type="dxa"/>
          <w:bottom w:w="0" w:type="dxa"/>
          <w:right w:w="108" w:type="dxa"/>
        </w:tblCellMar>
      </w:tblPr>
      <w:tblGrid>
        <w:gridCol w:w="548"/>
        <w:gridCol w:w="1572"/>
        <w:gridCol w:w="888"/>
        <w:gridCol w:w="536"/>
        <w:gridCol w:w="678"/>
        <w:gridCol w:w="799"/>
        <w:gridCol w:w="1065"/>
        <w:gridCol w:w="840"/>
        <w:gridCol w:w="946"/>
        <w:gridCol w:w="1277"/>
      </w:tblGrid>
      <w:tr>
        <w:tblPrEx>
          <w:tblCellMar>
            <w:top w:w="0" w:type="dxa"/>
            <w:left w:w="108" w:type="dxa"/>
            <w:bottom w:w="0" w:type="dxa"/>
            <w:right w:w="108" w:type="dxa"/>
          </w:tblCellMar>
        </w:tblPrEx>
        <w:trPr>
          <w:trHeight w:val="23" w:hRule="atLeast"/>
          <w:jc w:val="center"/>
        </w:trPr>
        <w:tc>
          <w:tcPr>
            <w:tcW w:w="54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序号</w:t>
            </w:r>
          </w:p>
        </w:tc>
        <w:tc>
          <w:tcPr>
            <w:tcW w:w="1572"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名称</w:t>
            </w:r>
          </w:p>
        </w:tc>
        <w:tc>
          <w:tcPr>
            <w:tcW w:w="88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生产厂家及</w:t>
            </w:r>
            <w:r>
              <w:rPr>
                <w:rFonts w:hint="eastAsia" w:ascii="宋体" w:hAnsi="宋体" w:eastAsia="宋体" w:cs="宋体"/>
                <w:color w:val="auto"/>
                <w:kern w:val="0"/>
                <w:sz w:val="24"/>
                <w:highlight w:val="none"/>
              </w:rPr>
              <w:t>型号</w:t>
            </w:r>
          </w:p>
        </w:tc>
        <w:tc>
          <w:tcPr>
            <w:tcW w:w="536"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单位</w:t>
            </w:r>
          </w:p>
        </w:tc>
        <w:tc>
          <w:tcPr>
            <w:tcW w:w="678"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数量</w:t>
            </w:r>
          </w:p>
        </w:tc>
        <w:tc>
          <w:tcPr>
            <w:tcW w:w="1864"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单价（元）</w:t>
            </w:r>
          </w:p>
        </w:tc>
        <w:tc>
          <w:tcPr>
            <w:tcW w:w="1786"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金额（元）</w:t>
            </w:r>
          </w:p>
        </w:tc>
        <w:tc>
          <w:tcPr>
            <w:tcW w:w="1277" w:type="dxa"/>
            <w:vMerge w:val="restart"/>
            <w:tcBorders>
              <w:top w:val="single" w:color="000000" w:sz="2" w:space="0"/>
              <w:left w:val="single" w:color="000000" w:sz="2" w:space="0"/>
              <w:bottom w:val="nil"/>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备注</w:t>
            </w:r>
          </w:p>
        </w:tc>
      </w:tr>
      <w:tr>
        <w:tblPrEx>
          <w:tblCellMar>
            <w:top w:w="0" w:type="dxa"/>
            <w:left w:w="108" w:type="dxa"/>
            <w:bottom w:w="0" w:type="dxa"/>
            <w:right w:w="108" w:type="dxa"/>
          </w:tblCellMar>
        </w:tblPrEx>
        <w:trPr>
          <w:trHeight w:val="23" w:hRule="atLeast"/>
          <w:jc w:val="center"/>
        </w:trPr>
        <w:tc>
          <w:tcPr>
            <w:tcW w:w="54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1572"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88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536"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678"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sz w:val="24"/>
                <w:highlight w:val="none"/>
              </w:rPr>
            </w:pP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含税</w:t>
            </w: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不含税</w:t>
            </w: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含税</w:t>
            </w: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不含税</w:t>
            </w:r>
          </w:p>
        </w:tc>
        <w:tc>
          <w:tcPr>
            <w:tcW w:w="1277" w:type="dxa"/>
            <w:vMerge w:val="continue"/>
            <w:tcBorders>
              <w:top w:val="nil"/>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r>
      <w:tr>
        <w:tblPrEx>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highlight w:val="none"/>
                <w:lang w:val="zh-CN"/>
              </w:rPr>
            </w:pPr>
          </w:p>
        </w:tc>
        <w:tc>
          <w:tcPr>
            <w:tcW w:w="1572"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highlight w:val="none"/>
              </w:rPr>
            </w:pPr>
          </w:p>
        </w:tc>
        <w:tc>
          <w:tcPr>
            <w:tcW w:w="88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highlight w:val="none"/>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szCs w:val="22"/>
                <w:highlight w:val="none"/>
                <w:lang w:val="en-US" w:eastAsia="zh-CN" w:bidi="ar-SA"/>
              </w:rPr>
            </w:pPr>
          </w:p>
        </w:tc>
        <w:tc>
          <w:tcPr>
            <w:tcW w:w="67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highlight w:val="none"/>
              </w:rPr>
            </w:pP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27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szCs w:val="22"/>
                <w:highlight w:val="none"/>
                <w:lang w:val="en-US" w:eastAsia="zh-CN" w:bidi="ar-SA"/>
              </w:rPr>
            </w:pPr>
          </w:p>
        </w:tc>
      </w:tr>
      <w:tr>
        <w:tblPrEx>
          <w:tblCellMar>
            <w:top w:w="0" w:type="dxa"/>
            <w:left w:w="108" w:type="dxa"/>
            <w:bottom w:w="0" w:type="dxa"/>
            <w:right w:w="108" w:type="dxa"/>
          </w:tblCellMar>
        </w:tblPrEx>
        <w:trPr>
          <w:trHeight w:val="23" w:hRule="atLeast"/>
          <w:jc w:val="center"/>
        </w:trPr>
        <w:tc>
          <w:tcPr>
            <w:tcW w:w="54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widowControl/>
              <w:spacing w:line="560" w:lineRule="exact"/>
              <w:jc w:val="center"/>
              <w:textAlignment w:val="center"/>
              <w:rPr>
                <w:rFonts w:ascii="宋体" w:hAnsi="宋体" w:eastAsia="宋体" w:cs="宋体"/>
                <w:color w:val="auto"/>
                <w:kern w:val="0"/>
                <w:sz w:val="24"/>
                <w:highlight w:val="none"/>
                <w:lang w:val="zh-CN"/>
              </w:rPr>
            </w:pPr>
          </w:p>
        </w:tc>
        <w:tc>
          <w:tcPr>
            <w:tcW w:w="1572"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highlight w:val="none"/>
                <w:lang w:val="zh-CN"/>
              </w:rPr>
            </w:pPr>
          </w:p>
        </w:tc>
        <w:tc>
          <w:tcPr>
            <w:tcW w:w="888"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highlight w:val="none"/>
              </w:rPr>
            </w:pPr>
          </w:p>
        </w:tc>
        <w:tc>
          <w:tcPr>
            <w:tcW w:w="53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szCs w:val="22"/>
                <w:highlight w:val="none"/>
                <w:lang w:val="zh-CN" w:eastAsia="zh-CN" w:bidi="ar-SA"/>
              </w:rPr>
            </w:pPr>
          </w:p>
        </w:tc>
        <w:tc>
          <w:tcPr>
            <w:tcW w:w="678"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highlight w:val="none"/>
              </w:rPr>
            </w:pPr>
          </w:p>
        </w:tc>
        <w:tc>
          <w:tcPr>
            <w:tcW w:w="799"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065"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840"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946"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p>
        </w:tc>
        <w:tc>
          <w:tcPr>
            <w:tcW w:w="1277" w:type="dxa"/>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tabs>
                <w:tab w:val="left" w:pos="270"/>
                <w:tab w:val="left" w:pos="4324"/>
                <w:tab w:val="left" w:pos="5062"/>
                <w:tab w:val="left" w:pos="5800"/>
                <w:tab w:val="left" w:pos="6645"/>
                <w:tab w:val="left" w:pos="8382"/>
              </w:tabs>
              <w:adjustRightInd w:val="0"/>
              <w:snapToGrid w:val="0"/>
              <w:spacing w:line="360" w:lineRule="auto"/>
              <w:rPr>
                <w:rFonts w:ascii="宋体" w:hAnsi="宋体" w:eastAsia="宋体" w:cs="宋体"/>
                <w:color w:val="auto"/>
                <w:kern w:val="0"/>
                <w:sz w:val="24"/>
                <w:szCs w:val="22"/>
                <w:highlight w:val="none"/>
                <w:lang w:val="zh-CN" w:eastAsia="zh-CN" w:bidi="ar-SA"/>
              </w:rPr>
            </w:pPr>
          </w:p>
        </w:tc>
      </w:tr>
      <w:tr>
        <w:tblPrEx>
          <w:tblCellMar>
            <w:top w:w="0" w:type="dxa"/>
            <w:left w:w="108" w:type="dxa"/>
            <w:bottom w:w="0" w:type="dxa"/>
            <w:right w:w="108" w:type="dxa"/>
          </w:tblCellMar>
        </w:tblPrEx>
        <w:trPr>
          <w:trHeight w:val="23" w:hRule="atLeast"/>
          <w:jc w:val="center"/>
        </w:trPr>
        <w:tc>
          <w:tcPr>
            <w:tcW w:w="4222"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总价（元）</w:t>
            </w:r>
          </w:p>
        </w:tc>
        <w:tc>
          <w:tcPr>
            <w:tcW w:w="4927" w:type="dxa"/>
            <w:gridSpan w:val="5"/>
            <w:tcBorders>
              <w:top w:val="single" w:color="000000" w:sz="2" w:space="0"/>
              <w:left w:val="single" w:color="000000" w:sz="2" w:space="0"/>
              <w:bottom w:val="single" w:color="000000" w:sz="2" w:space="0"/>
              <w:right w:val="single" w:color="000000" w:sz="2" w:space="0"/>
              <w:tl2br w:val="nil"/>
              <w:tr2bl w:val="nil"/>
            </w:tcBorders>
            <w:shd w:val="clear" w:color="000000" w:fill="FFFFFF"/>
            <w:vAlign w:val="center"/>
          </w:tcPr>
          <w:p>
            <w:pPr>
              <w:autoSpaceDE w:val="0"/>
              <w:autoSpaceDN w:val="0"/>
              <w:adjustRightInd w:val="0"/>
              <w:spacing w:line="460" w:lineRule="exact"/>
              <w:jc w:val="center"/>
              <w:rPr>
                <w:rFonts w:ascii="宋体" w:hAnsi="宋体" w:eastAsia="宋体" w:cs="宋体"/>
                <w:color w:val="auto"/>
                <w:kern w:val="0"/>
                <w:sz w:val="24"/>
                <w:highlight w:val="none"/>
                <w:lang w:val="zh-CN"/>
              </w:rPr>
            </w:pPr>
            <w:r>
              <w:rPr>
                <w:rFonts w:hint="eastAsia" w:ascii="宋体" w:hAnsi="宋体" w:eastAsia="宋体" w:cs="宋体"/>
                <w:color w:val="auto"/>
                <w:sz w:val="24"/>
                <w:szCs w:val="24"/>
                <w:highlight w:val="none"/>
              </w:rPr>
              <w:t xml:space="preserve">   元（含税13%）</w:t>
            </w:r>
          </w:p>
        </w:tc>
      </w:tr>
    </w:tbl>
    <w:p>
      <w:pPr>
        <w:rPr>
          <w:rFonts w:ascii="宋体" w:hAnsi="宋体" w:eastAsia="宋体" w:cs="宋体"/>
          <w:color w:val="auto"/>
          <w:highlight w:val="none"/>
        </w:rPr>
      </w:pPr>
    </w:p>
    <w:p>
      <w:pPr>
        <w:pStyle w:val="50"/>
        <w:rPr>
          <w:rFonts w:hint="eastAsia" w:ascii="宋体" w:hAnsi="宋体" w:cs="宋体"/>
          <w:color w:val="auto"/>
          <w:highlight w:val="none"/>
        </w:rPr>
      </w:pPr>
      <w:bookmarkStart w:id="202" w:name="_Toc16386"/>
      <w:bookmarkStart w:id="203" w:name="_Toc87616402"/>
      <w:bookmarkStart w:id="204" w:name="_Toc6058"/>
      <w:bookmarkStart w:id="205" w:name="_Toc88209965"/>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50"/>
        <w:rPr>
          <w:rFonts w:hint="eastAsia" w:ascii="宋体" w:hAnsi="宋体" w:cs="宋体"/>
          <w:color w:val="auto"/>
          <w:highlight w:val="none"/>
        </w:rPr>
      </w:pPr>
    </w:p>
    <w:p>
      <w:pPr>
        <w:pStyle w:val="6"/>
        <w:rPr>
          <w:rFonts w:hint="eastAsia" w:ascii="宋体" w:hAnsi="宋体" w:eastAsia="宋体" w:cs="宋体"/>
          <w:b/>
          <w:color w:val="auto"/>
          <w:sz w:val="28"/>
          <w:szCs w:val="28"/>
          <w:highlight w:val="none"/>
          <w:lang w:val="en-US" w:eastAsia="zh-CN"/>
        </w:rPr>
      </w:pPr>
      <w:r>
        <w:rPr>
          <w:rFonts w:hint="eastAsia" w:ascii="宋体" w:hAnsi="宋体" w:eastAsia="宋体" w:cs="宋体"/>
          <w:color w:val="auto"/>
          <w:sz w:val="28"/>
          <w:szCs w:val="28"/>
          <w:highlight w:val="none"/>
        </w:rPr>
        <w:t>6.</w:t>
      </w:r>
    </w:p>
    <w:p>
      <w:pPr>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lang w:val="en-US" w:eastAsia="zh-CN"/>
        </w:rPr>
        <w:t xml:space="preserve">  响应承诺书 </w:t>
      </w:r>
    </w:p>
    <w:p>
      <w:pPr>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广州城市水处理设备有限公司：</w:t>
      </w:r>
    </w:p>
    <w:p>
      <w:pPr>
        <w:ind w:firstLine="840" w:firstLineChars="3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eastAsia="zh-CN"/>
        </w:rPr>
        <w:t>我方完全理解询价文件中所有要求均为实质性响应条款，如有任何一条负偏离或者不满足将导致询价无效。由于我方提供资料不实或与需求书中所有条款不符而造成的责任和后果由我方承担。我方承诺</w:t>
      </w:r>
      <w:r>
        <w:rPr>
          <w:rFonts w:hint="eastAsia" w:ascii="仿宋" w:hAnsi="仿宋" w:eastAsia="仿宋" w:cs="仿宋"/>
          <w:color w:val="auto"/>
          <w:sz w:val="28"/>
          <w:szCs w:val="28"/>
          <w:highlight w:val="none"/>
          <w:u w:val="none"/>
        </w:rPr>
        <w:t>所提供报价</w:t>
      </w:r>
      <w:r>
        <w:rPr>
          <w:rFonts w:hint="eastAsia" w:ascii="仿宋" w:hAnsi="仿宋" w:eastAsia="仿宋" w:cs="仿宋"/>
          <w:color w:val="auto"/>
          <w:sz w:val="28"/>
          <w:szCs w:val="28"/>
          <w:highlight w:val="none"/>
          <w:u w:val="none"/>
          <w:lang w:eastAsia="zh-CN"/>
        </w:rPr>
        <w:t>备品</w:t>
      </w:r>
      <w:r>
        <w:rPr>
          <w:rFonts w:hint="eastAsia" w:ascii="仿宋" w:hAnsi="仿宋" w:eastAsia="仿宋" w:cs="仿宋"/>
          <w:color w:val="auto"/>
          <w:sz w:val="28"/>
          <w:szCs w:val="28"/>
          <w:highlight w:val="none"/>
          <w:u w:val="none"/>
          <w:lang w:val="en-US" w:eastAsia="zh-CN"/>
        </w:rPr>
        <w:t>备件</w:t>
      </w:r>
      <w:r>
        <w:rPr>
          <w:rFonts w:hint="eastAsia" w:ascii="仿宋" w:hAnsi="仿宋" w:eastAsia="仿宋" w:cs="仿宋"/>
          <w:color w:val="auto"/>
          <w:sz w:val="28"/>
          <w:szCs w:val="28"/>
          <w:highlight w:val="none"/>
          <w:u w:val="none"/>
        </w:rPr>
        <w:t>均为</w:t>
      </w:r>
      <w:r>
        <w:rPr>
          <w:rFonts w:hint="eastAsia" w:ascii="仿宋_GB2312" w:hAnsi="宋体" w:eastAsia="仿宋_GB2312" w:cs="宋体"/>
          <w:color w:val="auto"/>
          <w:kern w:val="0"/>
          <w:sz w:val="28"/>
          <w:szCs w:val="28"/>
          <w:highlight w:val="none"/>
          <w:lang w:val="en-US" w:eastAsia="zh-CN"/>
        </w:rPr>
        <w:t>符合询价文件的</w:t>
      </w:r>
      <w:r>
        <w:rPr>
          <w:rFonts w:hint="eastAsia" w:ascii="仿宋" w:hAnsi="仿宋" w:eastAsia="仿宋" w:cs="仿宋"/>
          <w:color w:val="auto"/>
          <w:sz w:val="28"/>
          <w:szCs w:val="28"/>
          <w:highlight w:val="none"/>
          <w:u w:val="none"/>
          <w:lang w:val="en-US" w:eastAsia="zh-CN"/>
        </w:rPr>
        <w:t>全新</w:t>
      </w:r>
      <w:r>
        <w:rPr>
          <w:rFonts w:hint="eastAsia" w:ascii="仿宋" w:hAnsi="仿宋" w:eastAsia="仿宋" w:cs="仿宋"/>
          <w:color w:val="auto"/>
          <w:sz w:val="28"/>
          <w:szCs w:val="28"/>
          <w:highlight w:val="none"/>
          <w:u w:val="none"/>
        </w:rPr>
        <w:t>原装产品</w:t>
      </w:r>
      <w:r>
        <w:rPr>
          <w:rFonts w:hint="eastAsia" w:ascii="仿宋" w:hAnsi="仿宋" w:eastAsia="仿宋" w:cs="仿宋"/>
          <w:color w:val="auto"/>
          <w:sz w:val="28"/>
          <w:szCs w:val="28"/>
          <w:highlight w:val="none"/>
          <w:u w:val="none"/>
          <w:lang w:eastAsia="zh-CN"/>
        </w:rPr>
        <w:t>，货物在质保期(为自供货验收合格之日起1年内）如有质量问题或未能适配原有设备时，</w:t>
      </w:r>
      <w:r>
        <w:rPr>
          <w:rFonts w:hint="eastAsia" w:ascii="仿宋" w:hAnsi="仿宋" w:eastAsia="仿宋" w:cs="仿宋"/>
          <w:color w:val="auto"/>
          <w:sz w:val="28"/>
          <w:szCs w:val="28"/>
          <w:highlight w:val="none"/>
          <w:u w:val="none"/>
          <w:lang w:val="en-US" w:eastAsia="zh-CN"/>
        </w:rPr>
        <w:t>1</w:t>
      </w:r>
      <w:r>
        <w:rPr>
          <w:rFonts w:hint="eastAsia" w:ascii="仿宋" w:hAnsi="仿宋" w:eastAsia="仿宋" w:cs="仿宋"/>
          <w:color w:val="auto"/>
          <w:sz w:val="28"/>
          <w:szCs w:val="28"/>
          <w:highlight w:val="none"/>
          <w:u w:val="none"/>
          <w:lang w:eastAsia="zh-CN"/>
        </w:rPr>
        <w:t>小时内派技术人员到现场免费进行维修。</w:t>
      </w:r>
      <w:r>
        <w:rPr>
          <w:rFonts w:hint="eastAsia" w:ascii="仿宋" w:hAnsi="仿宋" w:eastAsia="仿宋" w:cs="仿宋"/>
          <w:color w:val="auto"/>
          <w:sz w:val="28"/>
          <w:szCs w:val="28"/>
          <w:highlight w:val="none"/>
          <w:u w:val="none"/>
          <w:lang w:val="en-US" w:eastAsia="zh-CN"/>
        </w:rPr>
        <w:t xml:space="preserve">                     </w:t>
      </w:r>
    </w:p>
    <w:p>
      <w:pPr>
        <w:ind w:firstLine="840" w:firstLineChars="3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 xml:space="preserve">                                       </w:t>
      </w:r>
      <w:r>
        <w:rPr>
          <w:rFonts w:hint="eastAsia" w:ascii="仿宋" w:hAnsi="仿宋" w:eastAsia="仿宋" w:cs="仿宋"/>
          <w:color w:val="auto"/>
          <w:sz w:val="28"/>
          <w:szCs w:val="28"/>
          <w:highlight w:val="none"/>
          <w:u w:val="single"/>
          <w:lang w:val="en-US" w:eastAsia="zh-CN"/>
        </w:rPr>
        <w:t xml:space="preserve"> （报价单位）</w:t>
      </w:r>
      <w:r>
        <w:rPr>
          <w:rFonts w:hint="eastAsia" w:ascii="仿宋" w:hAnsi="仿宋" w:eastAsia="仿宋" w:cs="仿宋"/>
          <w:color w:val="auto"/>
          <w:sz w:val="28"/>
          <w:szCs w:val="28"/>
          <w:highlight w:val="none"/>
          <w:u w:val="none"/>
          <w:lang w:val="en-US" w:eastAsia="zh-CN"/>
        </w:rPr>
        <w:t>盖章</w:t>
      </w:r>
    </w:p>
    <w:p>
      <w:pPr>
        <w:ind w:firstLine="840" w:firstLineChars="300"/>
        <w:rPr>
          <w:rFonts w:hint="eastAsia" w:ascii="仿宋" w:hAnsi="仿宋" w:eastAsia="仿宋" w:cs="仿宋"/>
          <w:color w:val="auto"/>
          <w:sz w:val="28"/>
          <w:szCs w:val="28"/>
          <w:highlight w:val="none"/>
          <w:u w:val="none"/>
          <w:lang w:val="en-US" w:eastAsia="zh-CN"/>
        </w:rPr>
      </w:pPr>
      <w:r>
        <w:rPr>
          <w:rFonts w:hint="eastAsia" w:ascii="仿宋" w:hAnsi="仿宋" w:eastAsia="仿宋" w:cs="仿宋"/>
          <w:color w:val="auto"/>
          <w:sz w:val="28"/>
          <w:szCs w:val="28"/>
          <w:highlight w:val="none"/>
          <w:u w:val="none"/>
          <w:lang w:val="en-US" w:eastAsia="zh-CN"/>
        </w:rPr>
        <w:t xml:space="preserve">                                               年  月  日</w:t>
      </w: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p>
      <w:pPr>
        <w:pStyle w:val="2"/>
        <w:rPr>
          <w:rFonts w:hint="eastAsia" w:ascii="仿宋" w:hAnsi="仿宋" w:eastAsia="仿宋" w:cs="仿宋"/>
          <w:color w:val="auto"/>
          <w:sz w:val="28"/>
          <w:szCs w:val="28"/>
          <w:highlight w:val="none"/>
          <w:u w:val="none"/>
          <w:lang w:val="en-US" w:eastAsia="zh-CN"/>
        </w:rPr>
      </w:pPr>
    </w:p>
    <w:bookmarkEnd w:id="202"/>
    <w:bookmarkEnd w:id="203"/>
    <w:bookmarkEnd w:id="204"/>
    <w:bookmarkEnd w:id="205"/>
    <w:p>
      <w:pPr>
        <w:adjustRightInd w:val="0"/>
        <w:snapToGrid w:val="0"/>
        <w:spacing w:line="360" w:lineRule="auto"/>
        <w:ind w:firstLine="562" w:firstLineChars="200"/>
        <w:jc w:val="left"/>
        <w:rPr>
          <w:rFonts w:hint="eastAsia" w:ascii="宋体" w:hAnsi="宋体" w:eastAsia="宋体" w:cs="宋体"/>
          <w:sz w:val="28"/>
          <w:szCs w:val="28"/>
          <w:highlight w:val="none"/>
          <w:lang w:eastAsia="zh-CN"/>
        </w:rPr>
      </w:pPr>
      <w:r>
        <w:rPr>
          <w:rFonts w:hint="eastAsia" w:ascii="宋体" w:hAnsi="宋体" w:eastAsia="宋体" w:cs="宋体"/>
          <w:b/>
          <w:bCs/>
          <w:sz w:val="28"/>
          <w:szCs w:val="28"/>
          <w:highlight w:val="none"/>
          <w:lang w:val="en-US" w:eastAsia="zh-CN"/>
        </w:rPr>
        <w:t>7.参数响应</w:t>
      </w:r>
      <w:r>
        <w:rPr>
          <w:rFonts w:hint="eastAsia" w:ascii="宋体" w:hAnsi="宋体" w:eastAsia="宋体" w:cs="宋体"/>
          <w:b/>
          <w:bCs/>
          <w:sz w:val="28"/>
          <w:szCs w:val="28"/>
          <w:highlight w:val="none"/>
        </w:rPr>
        <w:t>承诺</w:t>
      </w:r>
      <w:r>
        <w:rPr>
          <w:rFonts w:hint="eastAsia" w:ascii="宋体" w:hAnsi="宋体" w:eastAsia="宋体" w:cs="宋体"/>
          <w:b/>
          <w:bCs/>
          <w:sz w:val="28"/>
          <w:szCs w:val="28"/>
          <w:highlight w:val="none"/>
          <w:lang w:val="en-US" w:eastAsia="zh-CN"/>
        </w:rPr>
        <w:t>书</w:t>
      </w:r>
    </w:p>
    <w:p>
      <w:pPr>
        <w:adjustRightInd w:val="0"/>
        <w:snapToGrid w:val="0"/>
        <w:spacing w:line="360" w:lineRule="auto"/>
        <w:ind w:firstLine="562" w:firstLineChars="20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参数响应</w:t>
      </w:r>
      <w:r>
        <w:rPr>
          <w:rFonts w:hint="eastAsia" w:ascii="宋体" w:hAnsi="宋体" w:eastAsia="宋体" w:cs="宋体"/>
          <w:b/>
          <w:bCs/>
          <w:sz w:val="28"/>
          <w:szCs w:val="28"/>
          <w:highlight w:val="none"/>
        </w:rPr>
        <w:t>承诺</w:t>
      </w:r>
      <w:r>
        <w:rPr>
          <w:rFonts w:hint="eastAsia" w:ascii="宋体" w:hAnsi="宋体" w:eastAsia="宋体" w:cs="宋体"/>
          <w:b/>
          <w:bCs/>
          <w:sz w:val="28"/>
          <w:szCs w:val="28"/>
          <w:highlight w:val="none"/>
          <w:lang w:val="en-US" w:eastAsia="zh-CN"/>
        </w:rPr>
        <w:t>书</w:t>
      </w:r>
    </w:p>
    <w:p>
      <w:pPr>
        <w:adjustRightInd w:val="0"/>
        <w:snapToGrid w:val="0"/>
        <w:spacing w:line="360" w:lineRule="auto"/>
        <w:rPr>
          <w:rFonts w:ascii="宋体" w:hAnsi="宋体" w:eastAsia="宋体" w:cs="宋体"/>
          <w:sz w:val="24"/>
          <w:szCs w:val="24"/>
          <w:highlight w:val="none"/>
          <w:lang w:val="en-GB"/>
        </w:rPr>
      </w:pPr>
    </w:p>
    <w:p>
      <w:pPr>
        <w:adjustRightInd w:val="0"/>
        <w:snapToGrid w:val="0"/>
        <w:spacing w:line="360" w:lineRule="auto"/>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致：</w:t>
      </w:r>
      <w:r>
        <w:rPr>
          <w:rFonts w:hint="eastAsia" w:ascii="宋体" w:hAnsi="宋体" w:eastAsia="宋体" w:cs="宋体"/>
          <w:b/>
          <w:bCs/>
          <w:sz w:val="24"/>
          <w:szCs w:val="24"/>
          <w:highlight w:val="none"/>
          <w:shd w:val="clear" w:color="auto" w:fill="FFFFFF"/>
        </w:rPr>
        <w:t>广州城市水处理设备有限公司</w:t>
      </w:r>
    </w:p>
    <w:p>
      <w:pPr>
        <w:adjustRightInd w:val="0"/>
        <w:snapToGrid w:val="0"/>
        <w:spacing w:line="360" w:lineRule="auto"/>
        <w:ind w:firstLine="480" w:firstLineChars="200"/>
        <w:rPr>
          <w:rFonts w:hint="eastAsia" w:ascii="宋体" w:hAnsi="宋体" w:eastAsia="宋体" w:cs="宋体"/>
          <w:sz w:val="24"/>
          <w:szCs w:val="24"/>
          <w:highlight w:val="none"/>
          <w:u w:val="none"/>
          <w:lang w:val="zh-CN"/>
        </w:rPr>
      </w:pPr>
      <w:r>
        <w:rPr>
          <w:rFonts w:hint="eastAsia" w:ascii="宋体" w:hAnsi="宋体" w:eastAsia="宋体" w:cs="宋体"/>
          <w:sz w:val="24"/>
          <w:szCs w:val="24"/>
          <w:highlight w:val="none"/>
          <w:lang w:val="en-GB"/>
        </w:rPr>
        <w:t>我方郑重承诺，</w:t>
      </w:r>
      <w:r>
        <w:rPr>
          <w:rFonts w:hint="eastAsia" w:ascii="宋体" w:hAnsi="宋体" w:eastAsia="宋体" w:cs="宋体"/>
          <w:sz w:val="24"/>
          <w:szCs w:val="24"/>
          <w:highlight w:val="none"/>
          <w:lang w:val="en-US" w:eastAsia="zh-CN"/>
        </w:rPr>
        <w:t>在广州城市水处理设备有限公司2023年柔性加热器及轴承加热器采购</w:t>
      </w:r>
      <w:r>
        <w:rPr>
          <w:rFonts w:hint="eastAsia" w:ascii="宋体" w:hAnsi="宋体" w:eastAsia="宋体" w:cs="宋体"/>
          <w:sz w:val="24"/>
          <w:szCs w:val="24"/>
          <w:highlight w:val="none"/>
          <w:lang w:val="en-GB" w:eastAsia="zh-CN"/>
        </w:rPr>
        <w:t>项目</w:t>
      </w:r>
      <w:r>
        <w:rPr>
          <w:rFonts w:hint="eastAsia" w:ascii="宋体" w:hAnsi="宋体" w:eastAsia="宋体" w:cs="宋体"/>
          <w:sz w:val="24"/>
          <w:szCs w:val="24"/>
          <w:highlight w:val="none"/>
          <w:u w:val="single"/>
          <w:lang w:val="en-GB"/>
        </w:rPr>
        <w:t>（项目编号： ******）</w:t>
      </w:r>
      <w:r>
        <w:rPr>
          <w:rFonts w:hint="eastAsia" w:ascii="宋体" w:hAnsi="宋体" w:eastAsia="宋体" w:cs="宋体"/>
          <w:sz w:val="24"/>
          <w:szCs w:val="24"/>
          <w:highlight w:val="none"/>
          <w:u w:val="single"/>
          <w:lang w:val="en-US" w:eastAsia="zh-CN"/>
        </w:rPr>
        <w:t>中我方所提供设备的参数完全满足以下内容</w:t>
      </w:r>
      <w:r>
        <w:rPr>
          <w:rFonts w:hint="eastAsia" w:ascii="宋体" w:hAnsi="宋体" w:eastAsia="宋体" w:cs="宋体"/>
          <w:sz w:val="24"/>
          <w:szCs w:val="24"/>
          <w:highlight w:val="none"/>
          <w:u w:val="none"/>
          <w:lang w:val="zh-CN"/>
        </w:rPr>
        <w:t>：</w:t>
      </w:r>
    </w:p>
    <w:p>
      <w:pPr>
        <w:adjustRightInd w:val="0"/>
        <w:snapToGrid w:val="0"/>
        <w:spacing w:line="360" w:lineRule="auto"/>
        <w:ind w:firstLine="964" w:firstLineChars="400"/>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7.1柔性加热器（12kW）：</w:t>
      </w:r>
    </w:p>
    <w:p>
      <w:pPr>
        <w:adjustRightInd w:val="0"/>
        <w:snapToGrid w:val="0"/>
        <w:spacing w:line="360" w:lineRule="auto"/>
        <w:ind w:firstLine="1200" w:firstLineChars="5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7.1.1使用需求：</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（1）工件类型：轴承内圈、联轴器；</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（2）加热作用：加热后，拆卸。</w:t>
      </w:r>
    </w:p>
    <w:p>
      <w:pPr>
        <w:adjustRightInd w:val="0"/>
        <w:snapToGrid w:val="0"/>
        <w:spacing w:line="360" w:lineRule="auto"/>
        <w:ind w:firstLine="1200" w:firstLineChars="5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7.1.2工件信息：</w:t>
      </w:r>
    </w:p>
    <w:tbl>
      <w:tblPr>
        <w:tblStyle w:val="25"/>
        <w:tblW w:w="9405"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1320"/>
        <w:gridCol w:w="1305"/>
        <w:gridCol w:w="1260"/>
        <w:gridCol w:w="1320"/>
        <w:gridCol w:w="1395"/>
        <w:gridCol w:w="1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adjustRightInd w:val="0"/>
              <w:snapToGrid w:val="0"/>
              <w:spacing w:line="360" w:lineRule="auto"/>
              <w:jc w:val="center"/>
              <w:rPr>
                <w:rFonts w:hint="default"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工件类型</w:t>
            </w:r>
          </w:p>
        </w:tc>
        <w:tc>
          <w:tcPr>
            <w:tcW w:w="1320" w:type="dxa"/>
          </w:tcPr>
          <w:p>
            <w:pPr>
              <w:adjustRightInd w:val="0"/>
              <w:snapToGrid w:val="0"/>
              <w:spacing w:line="360" w:lineRule="auto"/>
              <w:jc w:val="center"/>
              <w:rPr>
                <w:rFonts w:hint="default"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最小外径</w:t>
            </w:r>
          </w:p>
        </w:tc>
        <w:tc>
          <w:tcPr>
            <w:tcW w:w="1305" w:type="dxa"/>
          </w:tcPr>
          <w:p>
            <w:pPr>
              <w:adjustRightInd w:val="0"/>
              <w:snapToGrid w:val="0"/>
              <w:spacing w:line="360" w:lineRule="auto"/>
              <w:jc w:val="center"/>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最大外径</w:t>
            </w:r>
          </w:p>
        </w:tc>
        <w:tc>
          <w:tcPr>
            <w:tcW w:w="1260" w:type="dxa"/>
          </w:tcPr>
          <w:p>
            <w:pPr>
              <w:adjustRightInd w:val="0"/>
              <w:snapToGrid w:val="0"/>
              <w:spacing w:line="360" w:lineRule="auto"/>
              <w:jc w:val="center"/>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最小宽度</w:t>
            </w:r>
          </w:p>
        </w:tc>
        <w:tc>
          <w:tcPr>
            <w:tcW w:w="1320" w:type="dxa"/>
          </w:tcPr>
          <w:p>
            <w:pPr>
              <w:adjustRightInd w:val="0"/>
              <w:snapToGrid w:val="0"/>
              <w:spacing w:line="360" w:lineRule="auto"/>
              <w:jc w:val="center"/>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最大宽度</w:t>
            </w:r>
          </w:p>
        </w:tc>
        <w:tc>
          <w:tcPr>
            <w:tcW w:w="1395" w:type="dxa"/>
          </w:tcPr>
          <w:p>
            <w:pPr>
              <w:adjustRightInd w:val="0"/>
              <w:snapToGrid w:val="0"/>
              <w:spacing w:line="360" w:lineRule="auto"/>
              <w:jc w:val="center"/>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最小壁厚</w:t>
            </w:r>
          </w:p>
        </w:tc>
        <w:tc>
          <w:tcPr>
            <w:tcW w:w="1530" w:type="dxa"/>
          </w:tcPr>
          <w:p>
            <w:pPr>
              <w:adjustRightInd w:val="0"/>
              <w:snapToGrid w:val="0"/>
              <w:spacing w:line="360" w:lineRule="auto"/>
              <w:jc w:val="center"/>
              <w:rPr>
                <w:rFonts w:hint="eastAsia" w:ascii="仿宋" w:hAnsi="仿宋" w:eastAsia="仿宋" w:cs="仿宋"/>
                <w:b/>
                <w:bCs/>
                <w:kern w:val="0"/>
                <w:sz w:val="24"/>
                <w:szCs w:val="24"/>
                <w:highlight w:val="none"/>
                <w:lang w:val="en-US" w:eastAsia="zh-CN"/>
              </w:rPr>
            </w:pPr>
            <w:r>
              <w:rPr>
                <w:rFonts w:hint="eastAsia" w:ascii="仿宋" w:hAnsi="仿宋" w:eastAsia="仿宋" w:cs="仿宋"/>
                <w:b/>
                <w:bCs/>
                <w:kern w:val="0"/>
                <w:sz w:val="24"/>
                <w:szCs w:val="24"/>
                <w:highlight w:val="none"/>
                <w:lang w:val="en-US" w:eastAsia="zh-CN"/>
              </w:rPr>
              <w:t>最大壁厚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轴承内圈</w:t>
            </w:r>
          </w:p>
        </w:tc>
        <w:tc>
          <w:tcPr>
            <w:tcW w:w="1320"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55</w:t>
            </w:r>
          </w:p>
        </w:tc>
        <w:tc>
          <w:tcPr>
            <w:tcW w:w="1305"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100</w:t>
            </w:r>
          </w:p>
        </w:tc>
        <w:tc>
          <w:tcPr>
            <w:tcW w:w="1260"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25</w:t>
            </w:r>
          </w:p>
        </w:tc>
        <w:tc>
          <w:tcPr>
            <w:tcW w:w="1320"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50</w:t>
            </w:r>
          </w:p>
        </w:tc>
        <w:tc>
          <w:tcPr>
            <w:tcW w:w="1395"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w:t>
            </w:r>
          </w:p>
        </w:tc>
        <w:tc>
          <w:tcPr>
            <w:tcW w:w="1530"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联轴器</w:t>
            </w:r>
          </w:p>
        </w:tc>
        <w:tc>
          <w:tcPr>
            <w:tcW w:w="1320"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65</w:t>
            </w:r>
          </w:p>
        </w:tc>
        <w:tc>
          <w:tcPr>
            <w:tcW w:w="1305"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100</w:t>
            </w:r>
          </w:p>
        </w:tc>
        <w:tc>
          <w:tcPr>
            <w:tcW w:w="1260"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w:t>
            </w:r>
          </w:p>
        </w:tc>
        <w:tc>
          <w:tcPr>
            <w:tcW w:w="1320"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90</w:t>
            </w:r>
          </w:p>
        </w:tc>
        <w:tc>
          <w:tcPr>
            <w:tcW w:w="1395"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w:t>
            </w:r>
          </w:p>
        </w:tc>
        <w:tc>
          <w:tcPr>
            <w:tcW w:w="1530" w:type="dxa"/>
          </w:tcPr>
          <w:p>
            <w:pPr>
              <w:adjustRightInd w:val="0"/>
              <w:snapToGrid w:val="0"/>
              <w:spacing w:line="360" w:lineRule="auto"/>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w:t>
            </w:r>
          </w:p>
        </w:tc>
      </w:tr>
    </w:tbl>
    <w:p>
      <w:pPr>
        <w:adjustRightInd w:val="0"/>
        <w:snapToGrid w:val="0"/>
        <w:spacing w:line="360" w:lineRule="auto"/>
        <w:ind w:firstLine="1200" w:firstLineChars="500"/>
        <w:rPr>
          <w:rFonts w:hint="eastAsia" w:ascii="宋体" w:hAnsi="宋体" w:eastAsia="宋体" w:cs="宋体"/>
          <w:kern w:val="0"/>
          <w:sz w:val="24"/>
          <w:szCs w:val="24"/>
          <w:highlight w:val="none"/>
          <w:lang w:val="en-US" w:eastAsia="zh-CN"/>
        </w:rPr>
      </w:pPr>
    </w:p>
    <w:p>
      <w:pPr>
        <w:adjustRightInd w:val="0"/>
        <w:snapToGrid w:val="0"/>
        <w:spacing w:line="360" w:lineRule="auto"/>
        <w:ind w:firstLine="1200" w:firstLineChars="5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7.1.3技术参数：</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（1）采购的加热器为中频加热器，采用IGBT 和全空冷式感应加热。</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（2）参数配置表：</w:t>
      </w:r>
    </w:p>
    <w:p>
      <w:pPr>
        <w:pStyle w:val="2"/>
        <w:rPr>
          <w:rFonts w:hint="eastAsia"/>
          <w:highlight w:val="none"/>
          <w:lang w:val="en-US" w:eastAsia="zh-CN"/>
        </w:rPr>
      </w:pPr>
    </w:p>
    <w:tbl>
      <w:tblPr>
        <w:tblStyle w:val="25"/>
        <w:tblW w:w="9420" w:type="dxa"/>
        <w:tblInd w:w="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1"/>
        <w:gridCol w:w="2823"/>
        <w:gridCol w:w="36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项目</w:t>
            </w:r>
          </w:p>
        </w:tc>
        <w:tc>
          <w:tcPr>
            <w:tcW w:w="2823"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指标</w:t>
            </w:r>
          </w:p>
        </w:tc>
        <w:tc>
          <w:tcPr>
            <w:tcW w:w="3616"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功率</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12kW</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电流</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20A</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加热温度</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0-240摄氏度</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输出功率可调节范围</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10-100%</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输出频率可调节范围</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10kHz-35kHz</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输出频率跟踪</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自动</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闭环控制精度</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效率</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≧95%</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包括输出隔离变压器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功率因数</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≧0.85</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输入电压</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380VAC 三相</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输入电压允许波动范围</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+20%, -30%</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0-100%负载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输入频率允许波动范围</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0-100%负载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过载能力</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1.10 倍额定，1 分钟</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柜体防护等级</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IP20</w:t>
            </w:r>
          </w:p>
        </w:tc>
        <w:tc>
          <w:tcPr>
            <w:tcW w:w="361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bl>
    <w:p>
      <w:pPr>
        <w:adjustRightInd w:val="0"/>
        <w:snapToGrid w:val="0"/>
        <w:spacing w:line="360" w:lineRule="auto"/>
        <w:rPr>
          <w:rFonts w:hint="eastAsia" w:ascii="宋体" w:hAnsi="宋体" w:eastAsia="宋体" w:cs="宋体"/>
          <w:kern w:val="0"/>
          <w:sz w:val="24"/>
          <w:szCs w:val="24"/>
          <w:highlight w:val="none"/>
          <w:lang w:val="en-US" w:eastAsia="zh-CN"/>
        </w:rPr>
      </w:pPr>
    </w:p>
    <w:p>
      <w:pPr>
        <w:adjustRightInd w:val="0"/>
        <w:snapToGrid w:val="0"/>
        <w:spacing w:line="360" w:lineRule="auto"/>
        <w:ind w:firstLine="964" w:firstLineChars="400"/>
        <w:rPr>
          <w:rFonts w:hint="eastAsia" w:ascii="宋体" w:hAnsi="宋体" w:eastAsia="宋体" w:cs="宋体"/>
          <w:kern w:val="0"/>
          <w:sz w:val="24"/>
          <w:szCs w:val="24"/>
          <w:highlight w:val="none"/>
          <w:lang w:val="en-US" w:eastAsia="zh-CN"/>
        </w:rPr>
      </w:pPr>
      <w:r>
        <w:rPr>
          <w:rFonts w:hint="eastAsia" w:ascii="宋体" w:hAnsi="宋体" w:eastAsia="宋体" w:cs="宋体"/>
          <w:b/>
          <w:bCs/>
          <w:kern w:val="0"/>
          <w:sz w:val="24"/>
          <w:szCs w:val="24"/>
          <w:highlight w:val="none"/>
          <w:lang w:val="en-US" w:eastAsia="zh-CN"/>
        </w:rPr>
        <w:t>7.2柔性加热器（5kW）：</w:t>
      </w:r>
    </w:p>
    <w:p>
      <w:pPr>
        <w:adjustRightInd w:val="0"/>
        <w:snapToGrid w:val="0"/>
        <w:spacing w:line="360" w:lineRule="auto"/>
        <w:ind w:firstLine="1200" w:firstLineChars="5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7.2.1使用需求：</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工件类型：轴承内圈。</w:t>
      </w:r>
    </w:p>
    <w:p>
      <w:pPr>
        <w:adjustRightInd w:val="0"/>
        <w:snapToGrid w:val="0"/>
        <w:spacing w:line="360" w:lineRule="auto"/>
        <w:ind w:firstLine="1200" w:firstLineChars="5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7.2.2工件信息：</w:t>
      </w:r>
    </w:p>
    <w:tbl>
      <w:tblPr>
        <w:tblStyle w:val="25"/>
        <w:tblW w:w="9405"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040"/>
        <w:gridCol w:w="2460"/>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轴承内圈</w:t>
            </w:r>
          </w:p>
        </w:tc>
        <w:tc>
          <w:tcPr>
            <w:tcW w:w="2040"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轴承内圈宽度</w:t>
            </w:r>
          </w:p>
        </w:tc>
        <w:tc>
          <w:tcPr>
            <w:tcW w:w="2460"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轴承内圈外径</w:t>
            </w:r>
          </w:p>
        </w:tc>
        <w:tc>
          <w:tcPr>
            <w:tcW w:w="2430"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轴承内圈重量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≧20mm</w:t>
            </w:r>
          </w:p>
        </w:tc>
        <w:tc>
          <w:tcPr>
            <w:tcW w:w="2040"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≧20mm</w:t>
            </w:r>
          </w:p>
        </w:tc>
        <w:tc>
          <w:tcPr>
            <w:tcW w:w="2460"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≦150mm</w:t>
            </w:r>
          </w:p>
        </w:tc>
        <w:tc>
          <w:tcPr>
            <w:tcW w:w="2430"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≦3KG</w:t>
            </w:r>
          </w:p>
        </w:tc>
      </w:tr>
    </w:tbl>
    <w:p>
      <w:pPr>
        <w:adjustRightInd w:val="0"/>
        <w:snapToGrid w:val="0"/>
        <w:spacing w:line="360" w:lineRule="auto"/>
        <w:rPr>
          <w:rFonts w:hint="eastAsia" w:ascii="宋体" w:hAnsi="宋体" w:eastAsia="宋体" w:cs="宋体"/>
          <w:kern w:val="0"/>
          <w:sz w:val="24"/>
          <w:szCs w:val="24"/>
          <w:highlight w:val="none"/>
          <w:lang w:val="en-US" w:eastAsia="zh-CN"/>
        </w:rPr>
      </w:pPr>
    </w:p>
    <w:p>
      <w:pPr>
        <w:adjustRightInd w:val="0"/>
        <w:snapToGrid w:val="0"/>
        <w:spacing w:line="360" w:lineRule="auto"/>
        <w:ind w:firstLine="1200" w:firstLineChars="5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7.2.3技术参数：</w:t>
      </w:r>
    </w:p>
    <w:tbl>
      <w:tblPr>
        <w:tblStyle w:val="25"/>
        <w:tblW w:w="94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66"/>
        <w:gridCol w:w="2823"/>
        <w:gridCol w:w="3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项目</w:t>
            </w:r>
          </w:p>
        </w:tc>
        <w:tc>
          <w:tcPr>
            <w:tcW w:w="2823"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指标</w:t>
            </w:r>
          </w:p>
        </w:tc>
        <w:tc>
          <w:tcPr>
            <w:tcW w:w="3631" w:type="dxa"/>
          </w:tcPr>
          <w:p>
            <w:pPr>
              <w:adjustRightInd w:val="0"/>
              <w:snapToGrid w:val="0"/>
              <w:spacing w:line="360" w:lineRule="auto"/>
              <w:jc w:val="center"/>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输出功率可调范围</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1-5kW</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输出频率可调节范围</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10kHz-35kHz</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输出频率跟踪</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自动</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闭环控制精度</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效率</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≧95%</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包括输出隔离变压器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功率因数</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≧0.85</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输入电压</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220VAC 单相</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输入电压允许波动范围</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+20%, -30%</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0-100%负载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输入频率允许波动范围</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0-100%负载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过载能力</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1.10 倍额定，1 分钟</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66"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柜体防护等级</w:t>
            </w:r>
          </w:p>
        </w:tc>
        <w:tc>
          <w:tcPr>
            <w:tcW w:w="2823"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IP20</w:t>
            </w:r>
          </w:p>
        </w:tc>
        <w:tc>
          <w:tcPr>
            <w:tcW w:w="3631" w:type="dxa"/>
          </w:tcPr>
          <w:p>
            <w:pPr>
              <w:adjustRightInd w:val="0"/>
              <w:snapToGrid w:val="0"/>
              <w:spacing w:line="360" w:lineRule="auto"/>
              <w:jc w:val="center"/>
              <w:rPr>
                <w:rFonts w:hint="eastAsia" w:ascii="宋体" w:hAnsi="宋体" w:eastAsia="宋体" w:cs="宋体"/>
                <w:kern w:val="0"/>
                <w:sz w:val="24"/>
                <w:szCs w:val="24"/>
                <w:highlight w:val="none"/>
                <w:lang w:val="en-US" w:eastAsia="zh-CN"/>
              </w:rPr>
            </w:pPr>
          </w:p>
        </w:tc>
      </w:tr>
    </w:tbl>
    <w:p>
      <w:pPr>
        <w:adjustRightInd w:val="0"/>
        <w:snapToGrid w:val="0"/>
        <w:spacing w:line="360" w:lineRule="auto"/>
        <w:ind w:firstLine="964" w:firstLineChars="400"/>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7.3柔性加热器设备要求:</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（1）系统的IGBT 逆变以及输出隔离变压器均采用空冷结构；</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（2）设备需采用DSP 中央处理器；</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（3）系统采用ZCS 电路实现高频低损耗IGBT 逆变，在DSP 的控制下，能快速精准地跟踪负载的变化，及时调整逆变频率和相位；</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（4）高频跟踪逆变的稳定性较强，具备有短路保护和欠压保护功能；</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（5）具备谐振频率自动准确跟踪功能，保证系统始终工作在最佳工作点附近；</w:t>
      </w:r>
    </w:p>
    <w:p>
      <w:pPr>
        <w:adjustRightInd w:val="0"/>
        <w:snapToGrid w:val="0"/>
        <w:spacing w:line="360" w:lineRule="auto"/>
        <w:ind w:firstLine="480" w:firstLineChars="200"/>
        <w:rPr>
          <w:rFonts w:hint="eastAsia" w:ascii="宋体" w:hAnsi="宋体" w:eastAsia="宋体" w:cs="宋体"/>
          <w:kern w:val="0"/>
          <w:sz w:val="24"/>
          <w:szCs w:val="24"/>
          <w:highlight w:val="none"/>
          <w:lang w:val="zh-CN" w:eastAsia="zh-CN"/>
        </w:rPr>
      </w:pPr>
      <w:r>
        <w:rPr>
          <w:rFonts w:hint="eastAsia" w:ascii="宋体" w:hAnsi="宋体" w:eastAsia="宋体" w:cs="宋体"/>
          <w:kern w:val="0"/>
          <w:sz w:val="24"/>
          <w:szCs w:val="24"/>
          <w:highlight w:val="none"/>
          <w:lang w:val="en-US" w:eastAsia="zh-CN"/>
        </w:rPr>
        <w:t>（6）内置PID 程序，适合温度闭环运行，能实现升温及降温速度控制。内置绝缘电阻在线监测功能，可在运行时实时测量输出回路的绝缘电阻（包括感应器/感应电缆、延长电缆/），可显示绝缘电阻值（例如8.2MΩ），可设置绝缘电阻报警/保护值，可在复杂的现场环境下提供高安全保障；</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（7）装置具有短路、过载、过压、过温保护和限制功能，具有变压器状态检测。其中过流和过压均具有硬件和软件双重保护；</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（8）具有本地控制、有线控制、PC机控制，三种启停和操控方法，同时具有多个输入输出状态接口，满足PLC、电脑等远程控制或集中控制的需要；</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（9）具有阻抗自动切换功能：可实现居里点前、后阻抗自动切换，以保持电源始终以高功率输出。借助此功能，可以选择较小功率的电源实现过居里温度点加热；</w:t>
      </w:r>
    </w:p>
    <w:p>
      <w:pPr>
        <w:adjustRightInd w:val="0"/>
        <w:snapToGrid w:val="0"/>
        <w:spacing w:line="360" w:lineRule="auto"/>
        <w:ind w:firstLine="361" w:firstLineChars="100"/>
        <w:rPr>
          <w:rFonts w:hint="eastAsia" w:ascii="宋体" w:hAnsi="宋体" w:eastAsia="宋体" w:cs="宋体"/>
          <w:kern w:val="0"/>
          <w:sz w:val="24"/>
          <w:szCs w:val="24"/>
          <w:highlight w:val="none"/>
          <w:lang w:val="en-US" w:eastAsia="zh-CN"/>
        </w:rPr>
      </w:pPr>
      <w:r>
        <w:rPr>
          <w:rFonts w:hint="eastAsia" w:ascii="宋体" w:hAnsi="宋体" w:eastAsia="宋体" w:cs="宋体"/>
          <w:b/>
          <w:bCs/>
          <w:kern w:val="0"/>
          <w:sz w:val="36"/>
          <w:szCs w:val="36"/>
          <w:highlight w:val="none"/>
          <w:lang w:val="en-US" w:eastAsia="zh-CN"/>
        </w:rPr>
        <w:t>*</w:t>
      </w:r>
      <w:r>
        <w:rPr>
          <w:rFonts w:hint="eastAsia" w:ascii="宋体" w:hAnsi="宋体" w:eastAsia="宋体" w:cs="宋体"/>
          <w:kern w:val="0"/>
          <w:sz w:val="24"/>
          <w:szCs w:val="24"/>
          <w:highlight w:val="none"/>
          <w:lang w:val="en-US" w:eastAsia="zh-CN"/>
        </w:rPr>
        <w:t>（10）加热器经过加热、消磁工序后，残磁值应满足JB/T 6641-2017滚动轴承 残磁及其评定方法的标准要求；（须提供第三方单位的产品CMA检验报告复印件，并加盖报价单位公章）</w:t>
      </w:r>
    </w:p>
    <w:p>
      <w:pPr>
        <w:adjustRightInd w:val="0"/>
        <w:snapToGrid w:val="0"/>
        <w:spacing w:line="360" w:lineRule="auto"/>
        <w:ind w:firstLine="964" w:firstLineChars="400"/>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7.4轴承加热器（轴承内孔径范围：20-120mm）</w:t>
      </w:r>
    </w:p>
    <w:p>
      <w:pPr>
        <w:adjustRightInd w:val="0"/>
        <w:snapToGrid w:val="0"/>
        <w:spacing w:line="360" w:lineRule="auto"/>
        <w:ind w:firstLine="1200" w:firstLineChars="5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7.4.1基本参数：</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rPr>
                <w:rFonts w:hAnsi="仿宋_GB2312" w:cs="仿宋_GB2312"/>
                <w:bCs/>
                <w:highlight w:val="none"/>
              </w:rPr>
            </w:pPr>
            <w:r>
              <w:rPr>
                <w:rFonts w:hint="eastAsia" w:cs="MicrosoftYaHei" w:hAnsiTheme="minorHAnsi"/>
                <w:kern w:val="0"/>
                <w:highlight w:val="none"/>
              </w:rPr>
              <w:t>电压/频率</w:t>
            </w:r>
          </w:p>
        </w:tc>
        <w:tc>
          <w:tcPr>
            <w:tcW w:w="2841" w:type="dxa"/>
            <w:vAlign w:val="center"/>
          </w:tcPr>
          <w:p>
            <w:pPr>
              <w:rPr>
                <w:rFonts w:hAnsi="仿宋_GB2312" w:cs="仿宋_GB2312"/>
                <w:bCs/>
                <w:highlight w:val="none"/>
              </w:rPr>
            </w:pPr>
            <w:r>
              <w:rPr>
                <w:rFonts w:hint="eastAsia" w:cs="MicrosoftYaHei" w:hAnsiTheme="minorHAnsi"/>
                <w:kern w:val="0"/>
                <w:highlight w:val="none"/>
              </w:rPr>
              <w:t>220V/50-60HZ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rPr>
                <w:rFonts w:hAnsi="仿宋_GB2312" w:cs="仿宋_GB2312"/>
                <w:bCs/>
                <w:highlight w:val="none"/>
              </w:rPr>
            </w:pPr>
            <w:r>
              <w:rPr>
                <w:rFonts w:hint="eastAsia" w:cs="MicrosoftYaHei" w:hAnsiTheme="minorHAnsi"/>
                <w:kern w:val="0"/>
                <w:highlight w:val="none"/>
              </w:rPr>
              <w:t>功率</w:t>
            </w:r>
          </w:p>
        </w:tc>
        <w:tc>
          <w:tcPr>
            <w:tcW w:w="2841" w:type="dxa"/>
            <w:vAlign w:val="center"/>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3.6KVA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rPr>
                <w:rFonts w:hAnsi="仿宋_GB2312" w:cs="仿宋_GB2312"/>
                <w:bCs/>
                <w:highlight w:val="none"/>
              </w:rPr>
            </w:pPr>
            <w:r>
              <w:rPr>
                <w:rFonts w:hint="eastAsia" w:cs="MicrosoftYaHei" w:hAnsiTheme="minorHAnsi"/>
                <w:kern w:val="0"/>
                <w:highlight w:val="none"/>
              </w:rPr>
              <w:t>加热轴承内径范围</w:t>
            </w:r>
          </w:p>
        </w:tc>
        <w:tc>
          <w:tcPr>
            <w:tcW w:w="2841" w:type="dxa"/>
            <w:vAlign w:val="center"/>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20-120mm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rPr>
                <w:rFonts w:hAnsi="仿宋_GB2312" w:cs="仿宋_GB2312"/>
                <w:bCs/>
                <w:highlight w:val="none"/>
              </w:rPr>
            </w:pPr>
            <w:r>
              <w:rPr>
                <w:rFonts w:hint="eastAsia" w:cs="MicrosoftYaHei" w:hAnsiTheme="minorHAnsi"/>
                <w:kern w:val="0"/>
                <w:highlight w:val="none"/>
              </w:rPr>
              <w:t>加热轴承最大外径</w:t>
            </w:r>
          </w:p>
        </w:tc>
        <w:tc>
          <w:tcPr>
            <w:tcW w:w="2841" w:type="dxa"/>
            <w:vAlign w:val="center"/>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480mm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rPr>
                <w:rFonts w:hAnsi="仿宋_GB2312" w:cs="仿宋_GB2312"/>
                <w:bCs/>
                <w:highlight w:val="none"/>
              </w:rPr>
            </w:pPr>
            <w:r>
              <w:rPr>
                <w:rFonts w:hint="eastAsia" w:cs="MicrosoftYaHei" w:hAnsiTheme="minorHAnsi"/>
                <w:kern w:val="0"/>
                <w:highlight w:val="none"/>
              </w:rPr>
              <w:t>加热轴承最大宽度（悬挂/水平）</w:t>
            </w:r>
          </w:p>
        </w:tc>
        <w:tc>
          <w:tcPr>
            <w:tcW w:w="2841" w:type="dxa"/>
            <w:vAlign w:val="center"/>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115mm/175mm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rPr>
                <w:rFonts w:hAnsi="仿宋_GB2312" w:cs="仿宋_GB2312"/>
                <w:bCs/>
                <w:highlight w:val="none"/>
              </w:rPr>
            </w:pPr>
            <w:r>
              <w:rPr>
                <w:rFonts w:hint="eastAsia" w:cs="MicrosoftYaHei" w:hAnsiTheme="minorHAnsi"/>
                <w:kern w:val="0"/>
                <w:highlight w:val="none"/>
              </w:rPr>
              <w:t>加热轴承最大重量</w:t>
            </w:r>
          </w:p>
        </w:tc>
        <w:tc>
          <w:tcPr>
            <w:tcW w:w="2841" w:type="dxa"/>
            <w:vAlign w:val="center"/>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50KG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rPr>
                <w:rFonts w:hAnsi="仿宋_GB2312" w:cs="仿宋_GB2312"/>
                <w:bCs/>
                <w:highlight w:val="none"/>
              </w:rPr>
            </w:pPr>
            <w:r>
              <w:rPr>
                <w:rFonts w:hint="eastAsia" w:cs="MicrosoftYaHei" w:hAnsiTheme="minorHAnsi"/>
                <w:kern w:val="0"/>
                <w:highlight w:val="none"/>
              </w:rPr>
              <w:t>加热最高温度</w:t>
            </w:r>
          </w:p>
        </w:tc>
        <w:tc>
          <w:tcPr>
            <w:tcW w:w="2841" w:type="dxa"/>
            <w:vAlign w:val="center"/>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rPr>
                <w:rFonts w:hAnsi="仿宋_GB2312" w:cs="仿宋_GB2312"/>
                <w:bCs/>
                <w:highlight w:val="none"/>
              </w:rPr>
            </w:pPr>
            <w:r>
              <w:rPr>
                <w:rFonts w:hint="eastAsia" w:cs="MicrosoftYaHei-Bold" w:hAnsiTheme="minorHAnsi"/>
                <w:kern w:val="0"/>
                <w:highlight w:val="none"/>
              </w:rPr>
              <w:t>水平</w:t>
            </w:r>
            <w:r>
              <w:rPr>
                <w:rFonts w:hint="eastAsia" w:cs="MicrosoftYaHei" w:hAnsiTheme="minorHAnsi"/>
                <w:kern w:val="0"/>
                <w:highlight w:val="none"/>
              </w:rPr>
              <w:t>加热35KG 的轴承到110℃</w:t>
            </w:r>
          </w:p>
        </w:tc>
        <w:tc>
          <w:tcPr>
            <w:tcW w:w="2841" w:type="dxa"/>
            <w:vAlign w:val="center"/>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10 分钟（根据实际工况环境可能有所差异）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Align w:val="center"/>
          </w:tcPr>
          <w:p>
            <w:pPr>
              <w:rPr>
                <w:rFonts w:hAnsi="仿宋_GB2312" w:cs="仿宋_GB2312"/>
                <w:bCs/>
                <w:highlight w:val="none"/>
              </w:rPr>
            </w:pPr>
            <w:r>
              <w:rPr>
                <w:rFonts w:hint="eastAsia" w:cs="MicrosoftYaHei" w:hAnsiTheme="minorHAnsi"/>
                <w:kern w:val="0"/>
                <w:highlight w:val="none"/>
              </w:rPr>
              <w:t>加热器净重</w:t>
            </w:r>
          </w:p>
        </w:tc>
        <w:tc>
          <w:tcPr>
            <w:tcW w:w="2841" w:type="dxa"/>
            <w:vAlign w:val="center"/>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35KG</w:t>
            </w:r>
          </w:p>
        </w:tc>
      </w:tr>
    </w:tbl>
    <w:p>
      <w:pPr>
        <w:pStyle w:val="2"/>
        <w:rPr>
          <w:rFonts w:hint="default"/>
          <w:highlight w:val="none"/>
          <w:lang w:val="en-US" w:eastAsia="zh-CN"/>
        </w:rPr>
      </w:pPr>
    </w:p>
    <w:p>
      <w:pPr>
        <w:adjustRightInd w:val="0"/>
        <w:snapToGrid w:val="0"/>
        <w:spacing w:line="360" w:lineRule="auto"/>
        <w:ind w:firstLine="1200" w:firstLineChars="5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7.4.2设备标准、要求：</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1.使用武钢军工标准35W270高矽硅钢片</w:t>
      </w:r>
    </w:p>
    <w:p>
      <w:pPr>
        <w:adjustRightInd w:val="0"/>
        <w:snapToGrid w:val="0"/>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2.采用T2紫铜线圈，耐温-10℃-400℃绝缘双玻璃丝包线工艺</w:t>
      </w:r>
    </w:p>
    <w:p>
      <w:pPr>
        <w:adjustRightInd w:val="0"/>
        <w:snapToGrid w:val="0"/>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3.设备电气元件使用品牌：施耐德或其他同等品牌</w:t>
      </w:r>
    </w:p>
    <w:p>
      <w:pPr>
        <w:adjustRightInd w:val="0"/>
        <w:snapToGrid w:val="0"/>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4.定制耐温-50℃-300℃环氧棒铂热电阻</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5.全封闭式的绝缘线圈；</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6.缠绕多层无碱纤维带，选用F级环氧树脂绝缘漆；</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7.工作噪音≤65分贝；</w:t>
      </w:r>
    </w:p>
    <w:p>
      <w:pPr>
        <w:adjustRightInd w:val="0"/>
        <w:snapToGrid w:val="0"/>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8.加热模式下可切换查看加热时间和实时温度。</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9.双重控制：时间（0-9999秒）与温度（0-300℃）双重控制，数显。</w:t>
      </w:r>
    </w:p>
    <w:p>
      <w:pPr>
        <w:adjustRightInd w:val="0"/>
        <w:snapToGrid w:val="0"/>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10.设备的生产厂家具有ISO9001、CE、EMC及FCC认证。(报价时需提供以上的质量认证复印件并加盖报价单位公章）</w:t>
      </w:r>
    </w:p>
    <w:p>
      <w:pPr>
        <w:pStyle w:val="2"/>
        <w:rPr>
          <w:rFonts w:hint="eastAsia"/>
          <w:highlight w:val="none"/>
          <w:lang w:val="en-US" w:eastAsia="zh-CN"/>
        </w:rPr>
      </w:pPr>
    </w:p>
    <w:p>
      <w:pPr>
        <w:adjustRightInd w:val="0"/>
        <w:snapToGrid w:val="0"/>
        <w:spacing w:line="360" w:lineRule="auto"/>
        <w:ind w:firstLine="723" w:firstLineChars="200"/>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36"/>
          <w:szCs w:val="36"/>
          <w:highlight w:val="none"/>
          <w:lang w:val="en-US" w:eastAsia="zh-CN"/>
        </w:rPr>
        <w:t>*</w:t>
      </w:r>
      <w:r>
        <w:rPr>
          <w:rFonts w:hint="eastAsia" w:ascii="宋体" w:hAnsi="宋体" w:eastAsia="宋体" w:cs="宋体"/>
          <w:b/>
          <w:bCs/>
          <w:kern w:val="0"/>
          <w:sz w:val="24"/>
          <w:szCs w:val="24"/>
          <w:highlight w:val="none"/>
          <w:lang w:val="en-US" w:eastAsia="zh-CN"/>
        </w:rPr>
        <w:t>7.5轴承加热器（轴承内孔径范围：20-400mm）</w:t>
      </w:r>
    </w:p>
    <w:p>
      <w:pPr>
        <w:ind w:left="420"/>
        <w:rPr>
          <w:rFonts w:hint="eastAsia" w:hAnsi="仿宋_GB2312" w:cs="仿宋_GB2312"/>
          <w:bCs/>
          <w:highlight w:val="none"/>
        </w:rPr>
      </w:pPr>
      <w:r>
        <w:rPr>
          <w:rFonts w:hint="eastAsia" w:hAnsi="仿宋_GB2312" w:cs="仿宋_GB2312"/>
          <w:bCs/>
          <w:highlight w:val="none"/>
          <w:lang w:val="en-US" w:eastAsia="zh-CN"/>
        </w:rPr>
        <w:t>（一）</w:t>
      </w:r>
      <w:r>
        <w:rPr>
          <w:rFonts w:hint="eastAsia" w:hAnsi="仿宋_GB2312" w:cs="仿宋_GB2312"/>
          <w:bCs/>
          <w:highlight w:val="none"/>
        </w:rPr>
        <w:t xml:space="preserve">轴承最大重量：120kg，最大孔径：20-400mm            </w:t>
      </w:r>
    </w:p>
    <w:p>
      <w:pPr>
        <w:ind w:left="420"/>
        <w:rPr>
          <w:rFonts w:hAnsi="仿宋_GB2312" w:cs="仿宋_GB2312"/>
          <w:bCs/>
          <w:highlight w:val="none"/>
        </w:rPr>
      </w:pPr>
      <w:r>
        <w:rPr>
          <w:rFonts w:hint="eastAsia" w:hAnsi="仿宋_GB2312" w:cs="仿宋_GB2312"/>
          <w:bCs/>
          <w:highlight w:val="none"/>
        </w:rPr>
        <w:t>（二）</w:t>
      </w:r>
      <w:r>
        <w:rPr>
          <w:rFonts w:hAnsi="仿宋_GB2312" w:cs="仿宋_GB2312"/>
          <w:bCs/>
          <w:highlight w:val="none"/>
        </w:rPr>
        <w:t xml:space="preserve">温控模式：范围：0-250摄氏度，磁吸传感器K型，精度±2摄氏度                                        </w:t>
      </w:r>
      <w:r>
        <w:rPr>
          <w:rFonts w:hint="eastAsia" w:hAnsi="仿宋_GB2312" w:cs="仿宋_GB2312"/>
          <w:bCs/>
          <w:highlight w:val="none"/>
        </w:rPr>
        <w:t>（三）</w:t>
      </w:r>
      <w:r>
        <w:rPr>
          <w:rFonts w:hAnsi="仿宋_GB2312" w:cs="仿宋_GB2312"/>
          <w:bCs/>
          <w:highlight w:val="none"/>
        </w:rPr>
        <w:t xml:space="preserve">时间控制范围：0-60分钟                            </w:t>
      </w:r>
    </w:p>
    <w:p>
      <w:pPr>
        <w:ind w:left="420"/>
        <w:rPr>
          <w:rFonts w:hAnsi="仿宋_GB2312" w:cs="仿宋_GB2312"/>
          <w:bCs/>
          <w:highlight w:val="none"/>
        </w:rPr>
      </w:pPr>
      <w:r>
        <w:rPr>
          <w:rFonts w:hint="eastAsia" w:hAnsi="仿宋_GB2312" w:cs="仿宋_GB2312"/>
          <w:bCs/>
          <w:highlight w:val="none"/>
        </w:rPr>
        <w:t>（四）</w:t>
      </w:r>
      <w:r>
        <w:rPr>
          <w:rFonts w:hAnsi="仿宋_GB2312" w:cs="仿宋_GB2312"/>
          <w:bCs/>
          <w:highlight w:val="none"/>
        </w:rPr>
        <w:t xml:space="preserve">功率选择50-100%                                  </w:t>
      </w:r>
    </w:p>
    <w:p>
      <w:pPr>
        <w:ind w:left="420"/>
        <w:rPr>
          <w:rFonts w:hAnsi="仿宋_GB2312" w:cs="仿宋_GB2312"/>
          <w:bCs/>
          <w:highlight w:val="none"/>
        </w:rPr>
      </w:pPr>
      <w:r>
        <w:rPr>
          <w:rFonts w:hint="eastAsia" w:hAnsi="仿宋_GB2312" w:cs="仿宋_GB2312"/>
          <w:bCs/>
          <w:highlight w:val="none"/>
        </w:rPr>
        <w:t>（五）</w:t>
      </w:r>
      <w:r>
        <w:rPr>
          <w:rFonts w:hAnsi="仿宋_GB2312" w:cs="仿宋_GB2312"/>
          <w:bCs/>
          <w:highlight w:val="none"/>
        </w:rPr>
        <w:t xml:space="preserve">最大磁通量1.7T，工作面积155×205，线圈直径110     </w:t>
      </w:r>
    </w:p>
    <w:p>
      <w:pPr>
        <w:ind w:left="420"/>
        <w:rPr>
          <w:rFonts w:hAnsi="仿宋_GB2312" w:cs="仿宋_GB2312"/>
          <w:bCs/>
          <w:highlight w:val="none"/>
        </w:rPr>
      </w:pPr>
      <w:r>
        <w:rPr>
          <w:rFonts w:hint="eastAsia" w:hAnsi="仿宋_GB2312" w:cs="仿宋_GB2312"/>
          <w:bCs/>
          <w:highlight w:val="none"/>
        </w:rPr>
        <w:t>（六）</w:t>
      </w:r>
      <w:r>
        <w:rPr>
          <w:rFonts w:hAnsi="仿宋_GB2312" w:cs="仿宋_GB2312"/>
          <w:bCs/>
          <w:highlight w:val="none"/>
        </w:rPr>
        <w:t xml:space="preserve">标准磁轭数量：3，标准磁轭：56*56*296，用于加热内径80mm及以上轴承；28*28*296，用于加热内径40mm及以上轴承；14*14*296，用于加热内径20mm及以上轴承           </w:t>
      </w:r>
    </w:p>
    <w:p>
      <w:pPr>
        <w:ind w:left="420"/>
        <w:rPr>
          <w:rFonts w:hAnsi="仿宋_GB2312" w:cs="仿宋_GB2312"/>
          <w:bCs/>
          <w:highlight w:val="none"/>
        </w:rPr>
      </w:pPr>
      <w:r>
        <w:rPr>
          <w:rFonts w:hint="eastAsia" w:hAnsi="仿宋_GB2312" w:cs="仿宋_GB2312"/>
          <w:bCs/>
          <w:highlight w:val="none"/>
        </w:rPr>
        <w:t>（七）</w:t>
      </w:r>
      <w:r>
        <w:rPr>
          <w:rFonts w:hAnsi="仿宋_GB2312" w:cs="仿宋_GB2312"/>
          <w:bCs/>
          <w:highlight w:val="none"/>
        </w:rPr>
        <w:t>铁芯横截面：56*56</w:t>
      </w:r>
    </w:p>
    <w:p>
      <w:pPr>
        <w:ind w:left="420"/>
        <w:rPr>
          <w:rFonts w:hAnsi="仿宋_GB2312" w:cs="仿宋_GB2312"/>
          <w:bCs/>
          <w:highlight w:val="none"/>
        </w:rPr>
      </w:pPr>
      <w:r>
        <w:rPr>
          <w:rFonts w:hint="eastAsia" w:hAnsi="仿宋_GB2312" w:cs="仿宋_GB2312"/>
          <w:bCs/>
          <w:highlight w:val="none"/>
        </w:rPr>
        <w:t>（八）其他要求：</w:t>
      </w:r>
    </w:p>
    <w:p>
      <w:pPr>
        <w:ind w:left="420"/>
        <w:rPr>
          <w:rFonts w:hAnsi="仿宋_GB2312" w:cs="仿宋_GB2312"/>
          <w:bCs/>
          <w:highlight w:val="none"/>
        </w:rPr>
      </w:pPr>
      <w:r>
        <w:rPr>
          <w:rFonts w:hint="eastAsia" w:hAnsi="仿宋_GB2312" w:cs="仿宋_GB2312"/>
          <w:bCs/>
          <w:highlight w:val="none"/>
        </w:rPr>
        <w:t>1、</w:t>
      </w:r>
      <w:r>
        <w:rPr>
          <w:rFonts w:hAnsi="仿宋_GB2312" w:cs="仿宋_GB2312"/>
          <w:bCs/>
          <w:highlight w:val="none"/>
        </w:rPr>
        <w:t xml:space="preserve">按照SKF标准退磁可加热密封轴承，可加热预润滑轴承  </w:t>
      </w:r>
    </w:p>
    <w:p>
      <w:pPr>
        <w:ind w:left="420"/>
        <w:rPr>
          <w:rFonts w:hAnsi="仿宋_GB2312" w:cs="仿宋_GB2312"/>
          <w:bCs/>
          <w:highlight w:val="none"/>
        </w:rPr>
      </w:pPr>
      <w:r>
        <w:rPr>
          <w:rFonts w:hint="eastAsia" w:hAnsi="仿宋_GB2312" w:cs="仿宋_GB2312"/>
          <w:bCs/>
          <w:highlight w:val="none"/>
        </w:rPr>
        <w:t>2、</w:t>
      </w:r>
      <w:r>
        <w:rPr>
          <w:rFonts w:hAnsi="仿宋_GB2312" w:cs="仿宋_GB2312"/>
          <w:bCs/>
          <w:highlight w:val="none"/>
        </w:rPr>
        <w:t>过热保护，错误代码报警</w:t>
      </w:r>
    </w:p>
    <w:p>
      <w:pPr>
        <w:ind w:left="420"/>
        <w:rPr>
          <w:rFonts w:hint="default" w:hAnsi="仿宋_GB2312" w:cs="仿宋_GB2312"/>
          <w:bCs/>
          <w:highlight w:val="none"/>
          <w:lang w:val="en-US" w:eastAsia="zh-CN"/>
        </w:rPr>
      </w:pPr>
      <w:r>
        <w:rPr>
          <w:rFonts w:hint="eastAsia" w:hAnsi="仿宋_GB2312" w:cs="仿宋_GB2312"/>
          <w:bCs/>
          <w:highlight w:val="none"/>
          <w:lang w:eastAsia="zh-CN"/>
        </w:rPr>
        <w:t>（</w:t>
      </w:r>
      <w:r>
        <w:rPr>
          <w:rFonts w:hint="eastAsia" w:hAnsi="仿宋_GB2312" w:cs="仿宋_GB2312"/>
          <w:bCs/>
          <w:highlight w:val="none"/>
          <w:lang w:val="en-US" w:eastAsia="zh-CN"/>
        </w:rPr>
        <w:t>九）产品遵循以下标准生产:（报价时需提供生产厂家书写的符合以下标准的声明，复印件或原件）</w:t>
      </w:r>
    </w:p>
    <w:p>
      <w:pPr>
        <w:pStyle w:val="2"/>
        <w:rPr>
          <w:rFonts w:ascii="宋体" w:hAnsi="宋体" w:eastAsia="宋体" w:cs="宋体"/>
          <w:sz w:val="24"/>
          <w:szCs w:val="24"/>
        </w:rPr>
      </w:pPr>
      <w:r>
        <w:rPr>
          <w:rFonts w:ascii="宋体" w:hAnsi="宋体" w:eastAsia="宋体" w:cs="宋体"/>
          <w:sz w:val="24"/>
          <w:szCs w:val="24"/>
        </w:rPr>
        <w:t xml:space="preserve">EN61000-6-3:2007 /A1:2011 </w:t>
      </w:r>
    </w:p>
    <w:p>
      <w:pPr>
        <w:pStyle w:val="2"/>
        <w:rPr>
          <w:rFonts w:ascii="宋体" w:hAnsi="宋体" w:eastAsia="宋体" w:cs="宋体"/>
          <w:sz w:val="24"/>
          <w:szCs w:val="24"/>
        </w:rPr>
      </w:pPr>
      <w:r>
        <w:rPr>
          <w:rFonts w:ascii="宋体" w:hAnsi="宋体" w:eastAsia="宋体" w:cs="宋体"/>
          <w:sz w:val="24"/>
          <w:szCs w:val="24"/>
        </w:rPr>
        <w:t xml:space="preserve">EN61000-6-2:2005 </w:t>
      </w:r>
    </w:p>
    <w:p>
      <w:pPr>
        <w:pStyle w:val="2"/>
        <w:rPr>
          <w:rFonts w:ascii="宋体" w:hAnsi="宋体" w:eastAsia="宋体" w:cs="宋体"/>
          <w:sz w:val="24"/>
          <w:szCs w:val="24"/>
        </w:rPr>
      </w:pPr>
      <w:r>
        <w:rPr>
          <w:rFonts w:ascii="宋体" w:hAnsi="宋体" w:eastAsia="宋体" w:cs="宋体"/>
          <w:sz w:val="24"/>
          <w:szCs w:val="24"/>
        </w:rPr>
        <w:t xml:space="preserve">EN61000-4-2 </w:t>
      </w:r>
    </w:p>
    <w:p>
      <w:pPr>
        <w:pStyle w:val="2"/>
        <w:rPr>
          <w:rFonts w:ascii="宋体" w:hAnsi="宋体" w:eastAsia="宋体" w:cs="宋体"/>
          <w:sz w:val="24"/>
          <w:szCs w:val="24"/>
        </w:rPr>
      </w:pPr>
      <w:r>
        <w:rPr>
          <w:rFonts w:ascii="宋体" w:hAnsi="宋体" w:eastAsia="宋体" w:cs="宋体"/>
          <w:sz w:val="24"/>
          <w:szCs w:val="24"/>
        </w:rPr>
        <w:t xml:space="preserve">EN61000-4-3 </w:t>
      </w:r>
    </w:p>
    <w:p>
      <w:pPr>
        <w:pStyle w:val="2"/>
        <w:rPr>
          <w:rFonts w:ascii="宋体" w:hAnsi="宋体" w:eastAsia="宋体" w:cs="宋体"/>
          <w:sz w:val="24"/>
          <w:szCs w:val="24"/>
        </w:rPr>
      </w:pPr>
      <w:r>
        <w:rPr>
          <w:rFonts w:ascii="宋体" w:hAnsi="宋体" w:eastAsia="宋体" w:cs="宋体"/>
          <w:sz w:val="24"/>
          <w:szCs w:val="24"/>
        </w:rPr>
        <w:t xml:space="preserve">EN61000-4-4 </w:t>
      </w:r>
    </w:p>
    <w:p>
      <w:pPr>
        <w:pStyle w:val="2"/>
        <w:rPr>
          <w:rFonts w:ascii="宋体" w:hAnsi="宋体" w:eastAsia="宋体" w:cs="宋体"/>
          <w:sz w:val="24"/>
          <w:szCs w:val="24"/>
        </w:rPr>
      </w:pPr>
      <w:r>
        <w:rPr>
          <w:rFonts w:ascii="宋体" w:hAnsi="宋体" w:eastAsia="宋体" w:cs="宋体"/>
          <w:sz w:val="24"/>
          <w:szCs w:val="24"/>
        </w:rPr>
        <w:t xml:space="preserve">EN61000-4-5 </w:t>
      </w:r>
    </w:p>
    <w:p>
      <w:pPr>
        <w:pStyle w:val="2"/>
        <w:rPr>
          <w:rFonts w:ascii="宋体" w:hAnsi="宋体" w:eastAsia="宋体" w:cs="宋体"/>
          <w:sz w:val="24"/>
          <w:szCs w:val="24"/>
        </w:rPr>
      </w:pPr>
      <w:r>
        <w:rPr>
          <w:rFonts w:ascii="宋体" w:hAnsi="宋体" w:eastAsia="宋体" w:cs="宋体"/>
          <w:sz w:val="24"/>
          <w:szCs w:val="24"/>
        </w:rPr>
        <w:t xml:space="preserve">EN61000-4-6 </w:t>
      </w:r>
    </w:p>
    <w:p>
      <w:pPr>
        <w:pStyle w:val="2"/>
        <w:rPr>
          <w:rFonts w:ascii="宋体" w:hAnsi="宋体" w:eastAsia="宋体" w:cs="宋体"/>
          <w:sz w:val="24"/>
          <w:szCs w:val="24"/>
        </w:rPr>
      </w:pPr>
      <w:r>
        <w:rPr>
          <w:rFonts w:ascii="宋体" w:hAnsi="宋体" w:eastAsia="宋体" w:cs="宋体"/>
          <w:sz w:val="24"/>
          <w:szCs w:val="24"/>
        </w:rPr>
        <w:t xml:space="preserve">EN61000-4-8 </w:t>
      </w:r>
    </w:p>
    <w:p>
      <w:pPr>
        <w:pStyle w:val="2"/>
        <w:rPr>
          <w:rFonts w:hint="default"/>
          <w:lang w:val="en-US" w:eastAsia="zh-CN"/>
        </w:rPr>
      </w:pPr>
      <w:r>
        <w:rPr>
          <w:rFonts w:ascii="宋体" w:hAnsi="宋体" w:eastAsia="宋体" w:cs="宋体"/>
          <w:sz w:val="24"/>
          <w:szCs w:val="24"/>
        </w:rPr>
        <w:t>EN61000-4-11</w:t>
      </w:r>
    </w:p>
    <w:p>
      <w:pPr>
        <w:adjustRightInd w:val="0"/>
        <w:snapToGrid w:val="0"/>
        <w:spacing w:line="360" w:lineRule="auto"/>
        <w:ind w:firstLine="964" w:firstLineChars="400"/>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7.6轴承加热器（轴承内孔径范围：40-500mm）</w:t>
      </w:r>
    </w:p>
    <w:p>
      <w:pPr>
        <w:adjustRightInd w:val="0"/>
        <w:snapToGrid w:val="0"/>
        <w:spacing w:line="360" w:lineRule="auto"/>
        <w:ind w:firstLine="1200" w:firstLineChars="5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7.6.1基本参数：</w:t>
      </w:r>
    </w:p>
    <w:tbl>
      <w:tblPr>
        <w:tblStyle w:val="25"/>
        <w:tblW w:w="0" w:type="auto"/>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功率</w:t>
            </w:r>
          </w:p>
        </w:tc>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12KVA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电压/频率</w:t>
            </w:r>
          </w:p>
        </w:tc>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380V/50HZ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电流</w:t>
            </w:r>
          </w:p>
        </w:tc>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60A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磁极面积（mm）</w:t>
            </w:r>
          </w:p>
        </w:tc>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100x100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磁极高度（mm）</w:t>
            </w:r>
          </w:p>
        </w:tc>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加热工件最小内径（mm）</w:t>
            </w:r>
          </w:p>
        </w:tc>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加热工件最大外径（mm）</w:t>
            </w:r>
          </w:p>
        </w:tc>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加热工件最大宽度（mm）</w:t>
            </w:r>
          </w:p>
        </w:tc>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加热工件最大重量（KG）</w:t>
            </w:r>
          </w:p>
        </w:tc>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温度控制</w:t>
            </w:r>
          </w:p>
        </w:tc>
        <w:tc>
          <w:tcPr>
            <w:tcW w:w="4261" w:type="dxa"/>
          </w:tcPr>
          <w:p>
            <w:pPr>
              <w:autoSpaceDE w:val="0"/>
              <w:autoSpaceDN w:val="0"/>
              <w:adjustRightInd w:val="0"/>
              <w:jc w:val="left"/>
              <w:rPr>
                <w:rFonts w:hint="eastAsia" w:cs="MicrosoftYaHei" w:hAnsiTheme="minorHAnsi"/>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最高温度</w:t>
            </w:r>
          </w:p>
        </w:tc>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磁性温控探头</w:t>
            </w:r>
          </w:p>
        </w:tc>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PT100型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时间控制</w:t>
            </w:r>
          </w:p>
        </w:tc>
        <w:tc>
          <w:tcPr>
            <w:tcW w:w="4261" w:type="dxa"/>
          </w:tcPr>
          <w:p>
            <w:pPr>
              <w:autoSpaceDE w:val="0"/>
              <w:autoSpaceDN w:val="0"/>
              <w:adjustRightInd w:val="0"/>
              <w:jc w:val="left"/>
              <w:rPr>
                <w:rFonts w:hint="eastAsia" w:cs="MicrosoftYaHei" w:hAnsiTheme="minorHAnsi"/>
                <w:kern w:val="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最大时间范围</w:t>
            </w:r>
          </w:p>
        </w:tc>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0-99.9分钟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退磁标准自动退磁</w:t>
            </w:r>
          </w:p>
        </w:tc>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&lt;2A/CM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轭铁配置（mm）</w:t>
            </w:r>
          </w:p>
        </w:tc>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28x28x430；40x40x530</w:t>
            </w:r>
          </w:p>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60x60x530；82x82x530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pPr>
              <w:autoSpaceDE w:val="0"/>
              <w:autoSpaceDN w:val="0"/>
              <w:adjustRightInd w:val="0"/>
              <w:jc w:val="left"/>
              <w:rPr>
                <w:rFonts w:hint="eastAsia" w:cs="MicrosoftYaHei" w:hAnsiTheme="minorHAnsi"/>
                <w:kern w:val="0"/>
                <w:highlight w:val="none"/>
              </w:rPr>
            </w:pPr>
            <w:r>
              <w:rPr>
                <w:rFonts w:hint="eastAsia" w:cs="MicrosoftYaHei" w:hAnsiTheme="minorHAnsi"/>
                <w:kern w:val="0"/>
                <w:highlight w:val="none"/>
              </w:rPr>
              <w:t>设备外观</w:t>
            </w:r>
          </w:p>
        </w:tc>
        <w:tc>
          <w:tcPr>
            <w:tcW w:w="4261" w:type="dxa"/>
          </w:tcPr>
          <w:p>
            <w:pPr>
              <w:rPr>
                <w:rFonts w:hint="eastAsia" w:hAnsi="仿宋_GB2312" w:cs="仿宋_GB2312"/>
                <w:bCs/>
                <w:highlight w:val="none"/>
              </w:rPr>
            </w:pPr>
            <w:r>
              <w:rPr>
                <w:rFonts w:hint="eastAsia" w:cs="MicrosoftYaHei" w:hAnsiTheme="minorHAnsi"/>
                <w:kern w:val="0"/>
                <w:highlight w:val="none"/>
              </w:rPr>
              <w:t>手推车一体式</w:t>
            </w:r>
          </w:p>
        </w:tc>
      </w:tr>
    </w:tbl>
    <w:p>
      <w:pPr>
        <w:pStyle w:val="2"/>
        <w:rPr>
          <w:rFonts w:hint="default"/>
          <w:highlight w:val="none"/>
          <w:lang w:val="en-US" w:eastAsia="zh-CN"/>
        </w:rPr>
      </w:pPr>
    </w:p>
    <w:p>
      <w:pPr>
        <w:adjustRightInd w:val="0"/>
        <w:snapToGrid w:val="0"/>
        <w:spacing w:line="360" w:lineRule="auto"/>
        <w:ind w:firstLine="1200" w:firstLineChars="5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7.6.2设备标准、要求：</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1.使用武钢军工标准35W270高矽硅钢片</w:t>
      </w:r>
    </w:p>
    <w:p>
      <w:pPr>
        <w:adjustRightInd w:val="0"/>
        <w:snapToGrid w:val="0"/>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2.T2紫铜线圈，耐温-10℃-400℃绝缘双玻璃丝包线工艺</w:t>
      </w:r>
    </w:p>
    <w:p>
      <w:pPr>
        <w:adjustRightInd w:val="0"/>
        <w:snapToGrid w:val="0"/>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3.设备电气元件使用品牌：施耐德或其他同等品牌</w:t>
      </w:r>
    </w:p>
    <w:p>
      <w:pPr>
        <w:adjustRightInd w:val="0"/>
        <w:snapToGrid w:val="0"/>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4.定制耐温-50℃-300℃环氧棒铂热电阻</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5.全封闭式的绝缘线圈；</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6.缠绕多层无碱纤维带，选用F级环氧树脂绝缘漆；</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7.工作噪音≤65分贝；</w:t>
      </w:r>
    </w:p>
    <w:p>
      <w:pPr>
        <w:adjustRightInd w:val="0"/>
        <w:snapToGrid w:val="0"/>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8.加热模式下可切换查看加热时间和实时温度。</w:t>
      </w:r>
    </w:p>
    <w:p>
      <w:pPr>
        <w:adjustRightInd w:val="0"/>
        <w:snapToGrid w:val="0"/>
        <w:spacing w:line="360" w:lineRule="auto"/>
        <w:ind w:firstLine="480" w:firstLineChars="200"/>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9.双重控制：时间（0-9999秒）与温度（0-300℃）双重控制，数显。</w:t>
      </w:r>
    </w:p>
    <w:p>
      <w:pPr>
        <w:adjustRightInd w:val="0"/>
        <w:snapToGrid w:val="0"/>
        <w:spacing w:line="360" w:lineRule="auto"/>
        <w:ind w:firstLine="480" w:firstLineChars="200"/>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10.设备的生产厂家具有ISO9001、CE、EMC及FCC认证。(报价时需提供以上的质量认证复印件并加盖报价单位公章）</w:t>
      </w:r>
    </w:p>
    <w:p>
      <w:pPr>
        <w:adjustRightInd w:val="0"/>
        <w:snapToGrid w:val="0"/>
        <w:spacing w:line="360" w:lineRule="auto"/>
        <w:jc w:val="right"/>
        <w:rPr>
          <w:rFonts w:hint="eastAsia" w:ascii="宋体" w:hAnsi="宋体" w:eastAsia="宋体" w:cs="宋体"/>
          <w:sz w:val="24"/>
          <w:szCs w:val="24"/>
          <w:highlight w:val="none"/>
          <w:lang w:val="en-GB"/>
        </w:rPr>
      </w:pPr>
    </w:p>
    <w:p>
      <w:pPr>
        <w:pStyle w:val="37"/>
        <w:numPr>
          <w:ilvl w:val="0"/>
          <w:numId w:val="0"/>
        </w:numPr>
        <w:adjustRightInd w:val="0"/>
        <w:snapToGrid w:val="0"/>
        <w:spacing w:line="360" w:lineRule="auto"/>
        <w:ind w:left="480" w:leftChars="0"/>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上述</w:t>
      </w:r>
      <w:r>
        <w:rPr>
          <w:rFonts w:hint="eastAsia" w:ascii="宋体" w:hAnsi="宋体" w:eastAsia="宋体" w:cs="宋体"/>
          <w:b/>
          <w:bCs/>
          <w:kern w:val="0"/>
          <w:sz w:val="36"/>
          <w:szCs w:val="36"/>
          <w:highlight w:val="none"/>
          <w:lang w:val="en-US" w:eastAsia="zh-CN"/>
        </w:rPr>
        <w:t>*</w:t>
      </w:r>
      <w:r>
        <w:rPr>
          <w:rFonts w:hint="eastAsia" w:ascii="宋体" w:hAnsi="宋体" w:eastAsia="宋体" w:cs="宋体"/>
          <w:color w:val="auto"/>
          <w:sz w:val="24"/>
          <w:szCs w:val="24"/>
          <w:highlight w:val="none"/>
          <w:lang w:val="en-US" w:eastAsia="zh-CN"/>
        </w:rPr>
        <w:t>号部分必须完全满足文件要求，不接受技术偏差。</w:t>
      </w:r>
    </w:p>
    <w:p>
      <w:pPr>
        <w:pStyle w:val="2"/>
        <w:rPr>
          <w:rFonts w:hint="eastAsia"/>
          <w:lang w:val="en-GB"/>
        </w:rPr>
      </w:pPr>
    </w:p>
    <w:p>
      <w:pPr>
        <w:pStyle w:val="2"/>
        <w:rPr>
          <w:rFonts w:hint="eastAsia"/>
          <w:highlight w:val="none"/>
          <w:lang w:val="en-GB"/>
        </w:rPr>
      </w:pPr>
    </w:p>
    <w:p>
      <w:pPr>
        <w:adjustRightInd w:val="0"/>
        <w:snapToGrid w:val="0"/>
        <w:spacing w:line="360" w:lineRule="auto"/>
        <w:jc w:val="right"/>
        <w:rPr>
          <w:rFonts w:ascii="宋体" w:hAnsi="宋体" w:eastAsia="宋体" w:cs="宋体"/>
          <w:sz w:val="24"/>
          <w:szCs w:val="24"/>
          <w:highlight w:val="none"/>
          <w:lang w:val="en-GB"/>
        </w:rPr>
      </w:pPr>
      <w:r>
        <w:rPr>
          <w:rFonts w:hint="eastAsia" w:ascii="宋体" w:hAnsi="宋体" w:eastAsia="宋体" w:cs="宋体"/>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sz w:val="24"/>
          <w:szCs w:val="24"/>
          <w:highlight w:val="none"/>
          <w:lang w:val="en-GB"/>
        </w:rPr>
      </w:pPr>
      <w:r>
        <w:rPr>
          <w:rFonts w:hint="eastAsia" w:ascii="宋体" w:hAnsi="宋体" w:eastAsia="宋体" w:cs="宋体"/>
          <w:sz w:val="24"/>
          <w:szCs w:val="24"/>
          <w:highlight w:val="none"/>
          <w:lang w:val="en-GB"/>
        </w:rPr>
        <w:t>年  月  日</w:t>
      </w:r>
    </w:p>
    <w:p>
      <w:pPr>
        <w:rPr>
          <w:rFonts w:hint="eastAsia" w:ascii="宋体" w:hAnsi="宋体" w:cs="宋体"/>
          <w:color w:val="auto"/>
          <w:sz w:val="28"/>
          <w:szCs w:val="28"/>
          <w:highlight w:val="none"/>
          <w:lang w:val="en-US" w:eastAsia="zh-CN"/>
        </w:rPr>
      </w:pPr>
    </w:p>
    <w:p>
      <w:pPr>
        <w:pStyle w:val="2"/>
        <w:ind w:left="0" w:leftChars="0" w:firstLine="0" w:firstLineChars="0"/>
        <w:rPr>
          <w:rFonts w:hint="eastAsia" w:ascii="宋体" w:hAnsi="宋体" w:cs="宋体"/>
          <w:color w:val="auto"/>
          <w:sz w:val="28"/>
          <w:szCs w:val="28"/>
          <w:highlight w:val="none"/>
          <w:lang w:val="en-US" w:eastAsia="zh-CN"/>
        </w:rPr>
      </w:pPr>
    </w:p>
    <w:p>
      <w:pPr>
        <w:pStyle w:val="6"/>
        <w:numPr>
          <w:ilvl w:val="0"/>
          <w:numId w:val="0"/>
        </w:numPr>
        <w:ind w:leftChars="0"/>
        <w:rPr>
          <w:rFonts w:hint="eastAsia"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8.</w:t>
      </w:r>
      <w:r>
        <w:rPr>
          <w:rFonts w:hint="eastAsia" w:ascii="宋体" w:hAnsi="宋体" w:cs="宋体"/>
          <w:b/>
          <w:bCs/>
          <w:color w:val="auto"/>
          <w:sz w:val="28"/>
          <w:szCs w:val="28"/>
          <w:highlight w:val="none"/>
        </w:rPr>
        <w:t>其他资料</w:t>
      </w:r>
    </w:p>
    <w:p>
      <w:pPr>
        <w:numPr>
          <w:ilvl w:val="0"/>
          <w:numId w:val="0"/>
        </w:numPr>
        <w:ind w:leftChars="0"/>
        <w:rPr>
          <w:rFonts w:hint="default" w:eastAsiaTheme="minorEastAsia"/>
          <w:highlight w:val="none"/>
          <w:lang w:val="en-US" w:eastAsia="zh-CN"/>
        </w:rPr>
      </w:pPr>
    </w:p>
    <w:p>
      <w:pPr>
        <w:adjustRightInd w:val="0"/>
        <w:snapToGrid w:val="0"/>
        <w:spacing w:line="600" w:lineRule="exact"/>
        <w:ind w:firstLine="570"/>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供应商须提交的其他资料。</w:t>
      </w:r>
    </w:p>
    <w:p>
      <w:pPr>
        <w:rPr>
          <w:rFonts w:ascii="宋体" w:hAnsi="宋体" w:eastAsia="宋体" w:cs="宋体"/>
          <w:color w:val="auto"/>
          <w:highlight w:val="none"/>
        </w:rPr>
      </w:pPr>
    </w:p>
    <w:sectPr>
      <w:headerReference r:id="rId7" w:type="first"/>
      <w:footerReference r:id="rId9" w:type="first"/>
      <w:headerReference r:id="rId6" w:type="default"/>
      <w:footerReference r:id="rId8" w:type="default"/>
      <w:pgSz w:w="11906" w:h="16838"/>
      <w:pgMar w:top="2098" w:right="1474" w:bottom="1985"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MicrosoftYaHei">
    <w:altName w:val="微软雅黑"/>
    <w:panose1 w:val="00000000000000000000"/>
    <w:charset w:val="86"/>
    <w:family w:val="auto"/>
    <w:pitch w:val="default"/>
    <w:sig w:usb0="00000000" w:usb1="00000000" w:usb2="00000010" w:usb3="00000000" w:csb0="00040000" w:csb1="00000000"/>
  </w:font>
  <w:font w:name="MicrosoftYaHei-Bold">
    <w:altName w:val="微软雅黑"/>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left="2250" w:hanging="1200"/>
      <w:jc w:val="center"/>
    </w:pPr>
    <w:r>
      <w:fldChar w:fldCharType="begin"/>
    </w:r>
    <w:r>
      <w:instrText xml:space="preserve">PAGE   \* MERGEFORMAT</w:instrText>
    </w:r>
    <w:r>
      <w:fldChar w:fldCharType="separate"/>
    </w:r>
    <w:r>
      <w:rPr>
        <w:lang w:val="zh-CN"/>
      </w:rPr>
      <w:t>2</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8"/>
      </w:rPr>
    </w:pPr>
    <w:r>
      <w:fldChar w:fldCharType="begin"/>
    </w:r>
    <w:r>
      <w:rPr>
        <w:rStyle w:val="28"/>
      </w:rPr>
      <w:instrText xml:space="preserve">PAGE  </w:instrText>
    </w:r>
    <w:r>
      <w:fldChar w:fldCharType="separate"/>
    </w:r>
    <w:r>
      <w:rPr>
        <w:rStyle w:val="28"/>
      </w:rPr>
      <w:t>24</w: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wps:txbx>
                    <wps:bodyPr wrap="none" lIns="0" tIns="0" rIns="0" bIns="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WgSpKcBAABAAwAADgAAAGRycy9lMm9Eb2MueG1srVJLbhsxDN0XyB0E&#10;7WNNXCBwBx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KloEqSnAQAAQAMAAA4AAAAA&#10;AAAAAQAgAAAAHgEAAGRycy9lMm9Eb2MueG1sUEsFBgAAAAAGAAYAWQEAADcFA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26</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M6pebnPAAAABQEAAA8AAAAAAAAAAQAg&#10;AAAAIgAAAGRycy9kb3ducmV2LnhtbFBLAQIUABQAAAAIAIdO4kDlzdbWpQEAAEADAAAOAAAAAAAA&#10;AAEAIAAAAB4BAABkcnMvZTJvRG9jLnhtbFBLBQYAAAAABgAGAFkBAAA1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546076B9"/>
    <w:multiLevelType w:val="singleLevel"/>
    <w:tmpl w:val="546076B9"/>
    <w:lvl w:ilvl="0" w:tentative="0">
      <w:start w:val="2"/>
      <w:numFmt w:val="chineseCounting"/>
      <w:suff w:val="nothing"/>
      <w:lvlText w:val="%1、"/>
      <w:lvlJc w:val="left"/>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0593D22"/>
    <w:multiLevelType w:val="singleLevel"/>
    <w:tmpl w:val="60593D22"/>
    <w:lvl w:ilvl="0" w:tentative="0">
      <w:start w:val="1"/>
      <w:numFmt w:val="decimal"/>
      <w:lvlText w:val="%1."/>
      <w:lvlJc w:val="left"/>
      <w:pPr>
        <w:tabs>
          <w:tab w:val="left" w:pos="312"/>
        </w:tabs>
      </w:pPr>
    </w:lvl>
  </w:abstractNum>
  <w:abstractNum w:abstractNumId="5">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5"/>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72A27"/>
    <w:rsid w:val="001105F0"/>
    <w:rsid w:val="001454DF"/>
    <w:rsid w:val="0015240F"/>
    <w:rsid w:val="003D60BA"/>
    <w:rsid w:val="003D7B19"/>
    <w:rsid w:val="00411689"/>
    <w:rsid w:val="005451DB"/>
    <w:rsid w:val="005C294D"/>
    <w:rsid w:val="005D618A"/>
    <w:rsid w:val="00676702"/>
    <w:rsid w:val="00695F2C"/>
    <w:rsid w:val="006C7716"/>
    <w:rsid w:val="006E129A"/>
    <w:rsid w:val="00725B94"/>
    <w:rsid w:val="0074046A"/>
    <w:rsid w:val="0086736A"/>
    <w:rsid w:val="00905439"/>
    <w:rsid w:val="00911ECD"/>
    <w:rsid w:val="009443C0"/>
    <w:rsid w:val="00A042E0"/>
    <w:rsid w:val="00B26BB1"/>
    <w:rsid w:val="00B26E21"/>
    <w:rsid w:val="00BA6ED1"/>
    <w:rsid w:val="00C01C90"/>
    <w:rsid w:val="00C57C0B"/>
    <w:rsid w:val="00DB333C"/>
    <w:rsid w:val="00E14805"/>
    <w:rsid w:val="00F06962"/>
    <w:rsid w:val="00F83B64"/>
    <w:rsid w:val="00F87625"/>
    <w:rsid w:val="011F2AD1"/>
    <w:rsid w:val="01707627"/>
    <w:rsid w:val="02090C75"/>
    <w:rsid w:val="023B5A20"/>
    <w:rsid w:val="02A23A3C"/>
    <w:rsid w:val="030517DA"/>
    <w:rsid w:val="03AC246A"/>
    <w:rsid w:val="03B23056"/>
    <w:rsid w:val="03DC3EBA"/>
    <w:rsid w:val="03F9794D"/>
    <w:rsid w:val="046A2461"/>
    <w:rsid w:val="04814D63"/>
    <w:rsid w:val="04A1710E"/>
    <w:rsid w:val="04B549F9"/>
    <w:rsid w:val="05F75805"/>
    <w:rsid w:val="06C64829"/>
    <w:rsid w:val="0701130C"/>
    <w:rsid w:val="077D16D2"/>
    <w:rsid w:val="07B33180"/>
    <w:rsid w:val="08675FC8"/>
    <w:rsid w:val="09B713FD"/>
    <w:rsid w:val="09C761A9"/>
    <w:rsid w:val="09EF6ACC"/>
    <w:rsid w:val="0A315056"/>
    <w:rsid w:val="0AFB45AD"/>
    <w:rsid w:val="0B351E9B"/>
    <w:rsid w:val="0B4C50D3"/>
    <w:rsid w:val="0B675A67"/>
    <w:rsid w:val="0B806B92"/>
    <w:rsid w:val="0B827E94"/>
    <w:rsid w:val="0BD070E1"/>
    <w:rsid w:val="0C247926"/>
    <w:rsid w:val="0C9734BE"/>
    <w:rsid w:val="0CA145F2"/>
    <w:rsid w:val="0CA500F0"/>
    <w:rsid w:val="0CD43E9E"/>
    <w:rsid w:val="0D687CBC"/>
    <w:rsid w:val="0D794204"/>
    <w:rsid w:val="0D992968"/>
    <w:rsid w:val="0DF76096"/>
    <w:rsid w:val="0E2125D1"/>
    <w:rsid w:val="0E214211"/>
    <w:rsid w:val="0E5F2769"/>
    <w:rsid w:val="0F271F8C"/>
    <w:rsid w:val="0F412C60"/>
    <w:rsid w:val="0F4D75A3"/>
    <w:rsid w:val="0F5B2DCA"/>
    <w:rsid w:val="0FED051E"/>
    <w:rsid w:val="0FEE4C29"/>
    <w:rsid w:val="0FF01BD7"/>
    <w:rsid w:val="10046082"/>
    <w:rsid w:val="10202B84"/>
    <w:rsid w:val="10655177"/>
    <w:rsid w:val="10980825"/>
    <w:rsid w:val="10E60296"/>
    <w:rsid w:val="112B101A"/>
    <w:rsid w:val="119B53FC"/>
    <w:rsid w:val="12424CDC"/>
    <w:rsid w:val="125630CA"/>
    <w:rsid w:val="126E16B0"/>
    <w:rsid w:val="129A2738"/>
    <w:rsid w:val="12B56BF1"/>
    <w:rsid w:val="12CB1A89"/>
    <w:rsid w:val="131840FB"/>
    <w:rsid w:val="13467417"/>
    <w:rsid w:val="136E76CF"/>
    <w:rsid w:val="15BB0CD9"/>
    <w:rsid w:val="15BC6B3C"/>
    <w:rsid w:val="1694429A"/>
    <w:rsid w:val="171A20B7"/>
    <w:rsid w:val="175F2179"/>
    <w:rsid w:val="17635326"/>
    <w:rsid w:val="176B68E7"/>
    <w:rsid w:val="180E72FD"/>
    <w:rsid w:val="18236EFD"/>
    <w:rsid w:val="18492775"/>
    <w:rsid w:val="187E49A9"/>
    <w:rsid w:val="188C4BDC"/>
    <w:rsid w:val="189D5B1F"/>
    <w:rsid w:val="18A34CD0"/>
    <w:rsid w:val="190E6287"/>
    <w:rsid w:val="191F55BA"/>
    <w:rsid w:val="19AE0AF0"/>
    <w:rsid w:val="19B64DBC"/>
    <w:rsid w:val="1A373ACF"/>
    <w:rsid w:val="1A895341"/>
    <w:rsid w:val="1AF000F5"/>
    <w:rsid w:val="1B0D071F"/>
    <w:rsid w:val="1B4568CE"/>
    <w:rsid w:val="1B9015B7"/>
    <w:rsid w:val="1C266065"/>
    <w:rsid w:val="1D5A79EE"/>
    <w:rsid w:val="1DE32193"/>
    <w:rsid w:val="1E0E2CD0"/>
    <w:rsid w:val="1E831280"/>
    <w:rsid w:val="1EAD6564"/>
    <w:rsid w:val="1EBC4704"/>
    <w:rsid w:val="1F172EB5"/>
    <w:rsid w:val="1F94592D"/>
    <w:rsid w:val="1FB860DE"/>
    <w:rsid w:val="1FC70142"/>
    <w:rsid w:val="1FF15315"/>
    <w:rsid w:val="20230F6D"/>
    <w:rsid w:val="203C5A02"/>
    <w:rsid w:val="206375BB"/>
    <w:rsid w:val="209D4C94"/>
    <w:rsid w:val="20E84705"/>
    <w:rsid w:val="216507F0"/>
    <w:rsid w:val="218400BA"/>
    <w:rsid w:val="21AB1E2F"/>
    <w:rsid w:val="21D40498"/>
    <w:rsid w:val="221C1DEB"/>
    <w:rsid w:val="226A51D5"/>
    <w:rsid w:val="22767047"/>
    <w:rsid w:val="22D67C64"/>
    <w:rsid w:val="22E5714B"/>
    <w:rsid w:val="231A37B3"/>
    <w:rsid w:val="235B0074"/>
    <w:rsid w:val="23A05588"/>
    <w:rsid w:val="25291CB2"/>
    <w:rsid w:val="25431AEB"/>
    <w:rsid w:val="254B4ED2"/>
    <w:rsid w:val="25BF43FD"/>
    <w:rsid w:val="25DB5ECA"/>
    <w:rsid w:val="25F86BCD"/>
    <w:rsid w:val="2605748B"/>
    <w:rsid w:val="269E416A"/>
    <w:rsid w:val="272100D3"/>
    <w:rsid w:val="272C72FC"/>
    <w:rsid w:val="27E3394D"/>
    <w:rsid w:val="27EB149D"/>
    <w:rsid w:val="27FD3E52"/>
    <w:rsid w:val="280A0B3E"/>
    <w:rsid w:val="284E6173"/>
    <w:rsid w:val="28694EF6"/>
    <w:rsid w:val="28D23308"/>
    <w:rsid w:val="28E11370"/>
    <w:rsid w:val="29314199"/>
    <w:rsid w:val="294A756A"/>
    <w:rsid w:val="29D5322D"/>
    <w:rsid w:val="2A025DD9"/>
    <w:rsid w:val="2A314286"/>
    <w:rsid w:val="2A7C2231"/>
    <w:rsid w:val="2ABB753D"/>
    <w:rsid w:val="2B7A49FA"/>
    <w:rsid w:val="2BA34105"/>
    <w:rsid w:val="2C615D26"/>
    <w:rsid w:val="2C6D6F7E"/>
    <w:rsid w:val="2CB679ED"/>
    <w:rsid w:val="2D173C07"/>
    <w:rsid w:val="2D424A86"/>
    <w:rsid w:val="2E7B52DB"/>
    <w:rsid w:val="2F324CFE"/>
    <w:rsid w:val="2F865C5B"/>
    <w:rsid w:val="2F997D3D"/>
    <w:rsid w:val="2FBA09F1"/>
    <w:rsid w:val="2FEF2ACF"/>
    <w:rsid w:val="30540211"/>
    <w:rsid w:val="30682355"/>
    <w:rsid w:val="31000D25"/>
    <w:rsid w:val="312D7741"/>
    <w:rsid w:val="316F137F"/>
    <w:rsid w:val="31836839"/>
    <w:rsid w:val="31DF525F"/>
    <w:rsid w:val="32324C2E"/>
    <w:rsid w:val="327171DF"/>
    <w:rsid w:val="328D2734"/>
    <w:rsid w:val="333B456F"/>
    <w:rsid w:val="337310AB"/>
    <w:rsid w:val="33DB5E1D"/>
    <w:rsid w:val="341E3434"/>
    <w:rsid w:val="35BA717D"/>
    <w:rsid w:val="35BD3FD9"/>
    <w:rsid w:val="360B7EBA"/>
    <w:rsid w:val="369C32FD"/>
    <w:rsid w:val="36BF3894"/>
    <w:rsid w:val="37426DEA"/>
    <w:rsid w:val="37666E72"/>
    <w:rsid w:val="38167A04"/>
    <w:rsid w:val="38417D0A"/>
    <w:rsid w:val="394B167A"/>
    <w:rsid w:val="3A4E4336"/>
    <w:rsid w:val="3A6007FE"/>
    <w:rsid w:val="3AF7373B"/>
    <w:rsid w:val="3B5B3596"/>
    <w:rsid w:val="3B7C2CE4"/>
    <w:rsid w:val="3C0B5355"/>
    <w:rsid w:val="3CD4176B"/>
    <w:rsid w:val="3D1F44D9"/>
    <w:rsid w:val="3D243CC8"/>
    <w:rsid w:val="3D5C38CD"/>
    <w:rsid w:val="3DC25546"/>
    <w:rsid w:val="3E4458CF"/>
    <w:rsid w:val="3E5070F1"/>
    <w:rsid w:val="3F2E1C8E"/>
    <w:rsid w:val="3F6C3589"/>
    <w:rsid w:val="3F850180"/>
    <w:rsid w:val="3F9004D6"/>
    <w:rsid w:val="3FA165E5"/>
    <w:rsid w:val="3FDC54EA"/>
    <w:rsid w:val="3FE9198D"/>
    <w:rsid w:val="400E4D5E"/>
    <w:rsid w:val="40BD0514"/>
    <w:rsid w:val="40E1138C"/>
    <w:rsid w:val="413814BA"/>
    <w:rsid w:val="41872511"/>
    <w:rsid w:val="42466655"/>
    <w:rsid w:val="42C82F57"/>
    <w:rsid w:val="437C5575"/>
    <w:rsid w:val="43BE79AE"/>
    <w:rsid w:val="43C76AF7"/>
    <w:rsid w:val="446828F0"/>
    <w:rsid w:val="44F451ED"/>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974458"/>
    <w:rsid w:val="48CA4868"/>
    <w:rsid w:val="48F005D3"/>
    <w:rsid w:val="498F4AF1"/>
    <w:rsid w:val="49C05787"/>
    <w:rsid w:val="49CF518D"/>
    <w:rsid w:val="4A4022B5"/>
    <w:rsid w:val="4ADA1F63"/>
    <w:rsid w:val="4AE23D89"/>
    <w:rsid w:val="4AE62E06"/>
    <w:rsid w:val="4B2038D0"/>
    <w:rsid w:val="4B296E7D"/>
    <w:rsid w:val="4B877F28"/>
    <w:rsid w:val="4B8A32E1"/>
    <w:rsid w:val="4B8B15F1"/>
    <w:rsid w:val="4BD633E7"/>
    <w:rsid w:val="4BE86295"/>
    <w:rsid w:val="4C1155A4"/>
    <w:rsid w:val="4CA9307F"/>
    <w:rsid w:val="4D916BA6"/>
    <w:rsid w:val="4DC44169"/>
    <w:rsid w:val="4E0A7953"/>
    <w:rsid w:val="4E5334F9"/>
    <w:rsid w:val="4EF0709E"/>
    <w:rsid w:val="4FC50929"/>
    <w:rsid w:val="4FC633F2"/>
    <w:rsid w:val="51123936"/>
    <w:rsid w:val="513C6A7B"/>
    <w:rsid w:val="51490B85"/>
    <w:rsid w:val="51571C6D"/>
    <w:rsid w:val="51810FD7"/>
    <w:rsid w:val="51D93431"/>
    <w:rsid w:val="5310246F"/>
    <w:rsid w:val="5311339A"/>
    <w:rsid w:val="5333545B"/>
    <w:rsid w:val="53672943"/>
    <w:rsid w:val="5450213C"/>
    <w:rsid w:val="546A70A7"/>
    <w:rsid w:val="54D24048"/>
    <w:rsid w:val="54D64CD5"/>
    <w:rsid w:val="55041DAF"/>
    <w:rsid w:val="55887D69"/>
    <w:rsid w:val="55A0637F"/>
    <w:rsid w:val="5619370A"/>
    <w:rsid w:val="561A0928"/>
    <w:rsid w:val="56423872"/>
    <w:rsid w:val="56B279F0"/>
    <w:rsid w:val="56FD4E6B"/>
    <w:rsid w:val="577E5506"/>
    <w:rsid w:val="579D710E"/>
    <w:rsid w:val="581F22F6"/>
    <w:rsid w:val="584B3B34"/>
    <w:rsid w:val="586E1E17"/>
    <w:rsid w:val="58862C35"/>
    <w:rsid w:val="58C14957"/>
    <w:rsid w:val="593C6736"/>
    <w:rsid w:val="5AE16006"/>
    <w:rsid w:val="5AE53471"/>
    <w:rsid w:val="5AE83A50"/>
    <w:rsid w:val="5AEC372E"/>
    <w:rsid w:val="5BAB2917"/>
    <w:rsid w:val="5BFC33FA"/>
    <w:rsid w:val="5C3107A4"/>
    <w:rsid w:val="5C3B1B93"/>
    <w:rsid w:val="5C9220DF"/>
    <w:rsid w:val="5D0B7BCF"/>
    <w:rsid w:val="5D0F6C92"/>
    <w:rsid w:val="5D4A15F3"/>
    <w:rsid w:val="5D69542A"/>
    <w:rsid w:val="5D9E304E"/>
    <w:rsid w:val="5E0930EF"/>
    <w:rsid w:val="5E3D4D53"/>
    <w:rsid w:val="5E4717E6"/>
    <w:rsid w:val="5E55774C"/>
    <w:rsid w:val="5EBF0EC5"/>
    <w:rsid w:val="5F4012B0"/>
    <w:rsid w:val="5F6146B0"/>
    <w:rsid w:val="5FB82AAB"/>
    <w:rsid w:val="60052937"/>
    <w:rsid w:val="60104DDC"/>
    <w:rsid w:val="60314024"/>
    <w:rsid w:val="60471154"/>
    <w:rsid w:val="605C0804"/>
    <w:rsid w:val="6189617B"/>
    <w:rsid w:val="61B06DAC"/>
    <w:rsid w:val="61B52BB6"/>
    <w:rsid w:val="61B749C2"/>
    <w:rsid w:val="62280D20"/>
    <w:rsid w:val="62886BDC"/>
    <w:rsid w:val="62CA2457"/>
    <w:rsid w:val="62DA78F2"/>
    <w:rsid w:val="62E141F4"/>
    <w:rsid w:val="638135AD"/>
    <w:rsid w:val="638240A1"/>
    <w:rsid w:val="638F5526"/>
    <w:rsid w:val="63A5257B"/>
    <w:rsid w:val="63BD3DCC"/>
    <w:rsid w:val="63C61741"/>
    <w:rsid w:val="64560967"/>
    <w:rsid w:val="65017D92"/>
    <w:rsid w:val="652D7F7A"/>
    <w:rsid w:val="655C18E0"/>
    <w:rsid w:val="656B1D10"/>
    <w:rsid w:val="65E57690"/>
    <w:rsid w:val="66022B28"/>
    <w:rsid w:val="6650444A"/>
    <w:rsid w:val="66581E87"/>
    <w:rsid w:val="66FA11D5"/>
    <w:rsid w:val="674302C7"/>
    <w:rsid w:val="680A5986"/>
    <w:rsid w:val="680D5F4B"/>
    <w:rsid w:val="68113F51"/>
    <w:rsid w:val="68E94770"/>
    <w:rsid w:val="68F949C9"/>
    <w:rsid w:val="695A4290"/>
    <w:rsid w:val="6A334932"/>
    <w:rsid w:val="6A3353FF"/>
    <w:rsid w:val="6A5D63E6"/>
    <w:rsid w:val="6A5F24D1"/>
    <w:rsid w:val="6A7F74A1"/>
    <w:rsid w:val="6AE347EB"/>
    <w:rsid w:val="6B434AF0"/>
    <w:rsid w:val="6B57675A"/>
    <w:rsid w:val="6BC85759"/>
    <w:rsid w:val="6BDD7B4D"/>
    <w:rsid w:val="6C3E44D5"/>
    <w:rsid w:val="6D0722AD"/>
    <w:rsid w:val="6E093B5F"/>
    <w:rsid w:val="6E424D6C"/>
    <w:rsid w:val="6EBC0B3A"/>
    <w:rsid w:val="6EF51C7D"/>
    <w:rsid w:val="6F001501"/>
    <w:rsid w:val="6F2C1F62"/>
    <w:rsid w:val="6F8363E5"/>
    <w:rsid w:val="6FC746F5"/>
    <w:rsid w:val="70317AC6"/>
    <w:rsid w:val="70420A59"/>
    <w:rsid w:val="704240C4"/>
    <w:rsid w:val="70863262"/>
    <w:rsid w:val="709E58F8"/>
    <w:rsid w:val="70A76ED3"/>
    <w:rsid w:val="71425B77"/>
    <w:rsid w:val="71860B17"/>
    <w:rsid w:val="71F17C97"/>
    <w:rsid w:val="71FD1B37"/>
    <w:rsid w:val="723B27CC"/>
    <w:rsid w:val="72687227"/>
    <w:rsid w:val="72A03FD9"/>
    <w:rsid w:val="72C9634E"/>
    <w:rsid w:val="73406CFF"/>
    <w:rsid w:val="7383028C"/>
    <w:rsid w:val="73A25E44"/>
    <w:rsid w:val="741F68CF"/>
    <w:rsid w:val="743E016B"/>
    <w:rsid w:val="74C87442"/>
    <w:rsid w:val="75252DF3"/>
    <w:rsid w:val="75621536"/>
    <w:rsid w:val="759E7EEA"/>
    <w:rsid w:val="75BF3154"/>
    <w:rsid w:val="76251AD3"/>
    <w:rsid w:val="764A07CF"/>
    <w:rsid w:val="764F6B3D"/>
    <w:rsid w:val="768908E3"/>
    <w:rsid w:val="76CD2B7B"/>
    <w:rsid w:val="76D80645"/>
    <w:rsid w:val="76E03371"/>
    <w:rsid w:val="780E5898"/>
    <w:rsid w:val="782642CC"/>
    <w:rsid w:val="783B1D3D"/>
    <w:rsid w:val="7894095E"/>
    <w:rsid w:val="78D90FF3"/>
    <w:rsid w:val="79000679"/>
    <w:rsid w:val="790777B5"/>
    <w:rsid w:val="79A416F0"/>
    <w:rsid w:val="79B03EB6"/>
    <w:rsid w:val="7A020F98"/>
    <w:rsid w:val="7AF37579"/>
    <w:rsid w:val="7AF87F64"/>
    <w:rsid w:val="7B1C0C84"/>
    <w:rsid w:val="7B5A62DF"/>
    <w:rsid w:val="7B7A04A8"/>
    <w:rsid w:val="7C0C3F6D"/>
    <w:rsid w:val="7C22163C"/>
    <w:rsid w:val="7C595075"/>
    <w:rsid w:val="7C6B07B2"/>
    <w:rsid w:val="7C8C4401"/>
    <w:rsid w:val="7D133243"/>
    <w:rsid w:val="7E394207"/>
    <w:rsid w:val="7E4007A2"/>
    <w:rsid w:val="7E791CAD"/>
    <w:rsid w:val="7E9B1E1D"/>
    <w:rsid w:val="7EA50DFB"/>
    <w:rsid w:val="7EC86878"/>
    <w:rsid w:val="7EFD69B4"/>
    <w:rsid w:val="7F16390D"/>
    <w:rsid w:val="7F713A6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5"/>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link w:val="53"/>
    <w:semiHidden/>
    <w:unhideWhenUsed/>
    <w:qFormat/>
    <w:uiPriority w:val="99"/>
    <w:pPr>
      <w:jc w:val="left"/>
    </w:pPr>
  </w:style>
  <w:style w:type="paragraph" w:styleId="9">
    <w:name w:val="Body Text 3"/>
    <w:basedOn w:val="1"/>
    <w:link w:val="44"/>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
    <w:qFormat/>
    <w:uiPriority w:val="0"/>
    <w:rPr>
      <w:rFonts w:ascii="宋体" w:hAnsi="Courier New"/>
      <w:szCs w:val="21"/>
    </w:rPr>
  </w:style>
  <w:style w:type="paragraph" w:styleId="14">
    <w:name w:val="Body Text Indent 2"/>
    <w:basedOn w:val="1"/>
    <w:qFormat/>
    <w:uiPriority w:val="0"/>
    <w:pPr>
      <w:adjustRightInd w:val="0"/>
      <w:spacing w:after="120" w:line="480" w:lineRule="auto"/>
      <w:ind w:left="420"/>
      <w:textAlignment w:val="baseline"/>
    </w:pPr>
    <w:rPr>
      <w:rFonts w:ascii="Times New Roman" w:hAnsi="Times New Roman" w:cs="Times New Roman"/>
      <w:kern w:val="0"/>
      <w:szCs w:val="20"/>
    </w:rPr>
  </w:style>
  <w:style w:type="paragraph" w:styleId="15">
    <w:name w:val="Balloon Text"/>
    <w:basedOn w:val="1"/>
    <w:link w:val="39"/>
    <w:semiHidden/>
    <w:unhideWhenUsed/>
    <w:qFormat/>
    <w:uiPriority w:val="99"/>
    <w:rPr>
      <w:sz w:val="18"/>
      <w:szCs w:val="18"/>
    </w:rPr>
  </w:style>
  <w:style w:type="paragraph" w:styleId="16">
    <w:name w:val="footer"/>
    <w:basedOn w:val="1"/>
    <w:link w:val="34"/>
    <w:unhideWhenUsed/>
    <w:qFormat/>
    <w:uiPriority w:val="99"/>
    <w:pPr>
      <w:tabs>
        <w:tab w:val="center" w:pos="4153"/>
        <w:tab w:val="right" w:pos="8306"/>
      </w:tabs>
      <w:snapToGrid w:val="0"/>
      <w:jc w:val="left"/>
    </w:pPr>
    <w:rPr>
      <w:sz w:val="18"/>
      <w:szCs w:val="18"/>
    </w:rPr>
  </w:style>
  <w:style w:type="paragraph" w:styleId="17">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List"/>
    <w:basedOn w:val="1"/>
    <w:next w:val="1"/>
    <w:qFormat/>
    <w:uiPriority w:val="0"/>
    <w:pPr>
      <w:snapToGrid w:val="0"/>
    </w:pPr>
    <w:rPr>
      <w:szCs w:val="24"/>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2">
    <w:name w:val="annotation subject"/>
    <w:basedOn w:val="8"/>
    <w:next w:val="8"/>
    <w:link w:val="54"/>
    <w:semiHidden/>
    <w:unhideWhenUsed/>
    <w:qFormat/>
    <w:uiPriority w:val="99"/>
    <w:rPr>
      <w:b/>
      <w:bCs/>
    </w:rPr>
  </w:style>
  <w:style w:type="paragraph" w:styleId="23">
    <w:name w:val="Body Text First Indent"/>
    <w:basedOn w:val="10"/>
    <w:unhideWhenUsed/>
    <w:qFormat/>
    <w:uiPriority w:val="99"/>
    <w:pPr>
      <w:widowControl w:val="0"/>
      <w:spacing w:after="120" w:line="240" w:lineRule="auto"/>
      <w:ind w:firstLine="420"/>
    </w:pPr>
    <w:rPr>
      <w:kern w:val="2"/>
      <w:sz w:val="21"/>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qFormat/>
    <w:uiPriority w:val="22"/>
    <w:rPr>
      <w:rFonts w:eastAsia="宋体"/>
      <w:b/>
      <w:bCs/>
      <w:kern w:val="2"/>
      <w:sz w:val="24"/>
      <w:szCs w:val="24"/>
      <w:lang w:val="en-US" w:eastAsia="zh-CN" w:bidi="ar-SA"/>
    </w:rPr>
  </w:style>
  <w:style w:type="character" w:styleId="28">
    <w:name w:val="page number"/>
    <w:basedOn w:val="26"/>
    <w:unhideWhenUsed/>
    <w:qFormat/>
    <w:uiPriority w:val="99"/>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basedOn w:val="26"/>
    <w:semiHidden/>
    <w:unhideWhenUsed/>
    <w:qFormat/>
    <w:uiPriority w:val="99"/>
    <w:rPr>
      <w:sz w:val="21"/>
      <w:szCs w:val="21"/>
    </w:rPr>
  </w:style>
  <w:style w:type="character" w:customStyle="1" w:styleId="31">
    <w:name w:val="标题 2 Char"/>
    <w:basedOn w:val="26"/>
    <w:link w:val="5"/>
    <w:qFormat/>
    <w:uiPriority w:val="9"/>
    <w:rPr>
      <w:rFonts w:eastAsia="方正小标宋简体" w:asciiTheme="majorHAnsi" w:hAnsiTheme="majorHAnsi" w:cstheme="majorBidi"/>
      <w:bCs/>
      <w:sz w:val="36"/>
      <w:szCs w:val="32"/>
    </w:rPr>
  </w:style>
  <w:style w:type="paragraph" w:customStyle="1" w:styleId="32">
    <w:name w:val="Default"/>
    <w:next w:val="19"/>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3">
    <w:name w:val="页眉 Char"/>
    <w:basedOn w:val="26"/>
    <w:link w:val="17"/>
    <w:qFormat/>
    <w:uiPriority w:val="99"/>
    <w:rPr>
      <w:sz w:val="18"/>
      <w:szCs w:val="18"/>
    </w:rPr>
  </w:style>
  <w:style w:type="character" w:customStyle="1" w:styleId="34">
    <w:name w:val="页脚 Char"/>
    <w:basedOn w:val="26"/>
    <w:link w:val="16"/>
    <w:qFormat/>
    <w:uiPriority w:val="99"/>
    <w:rPr>
      <w:sz w:val="18"/>
      <w:szCs w:val="18"/>
    </w:rPr>
  </w:style>
  <w:style w:type="character" w:customStyle="1" w:styleId="35">
    <w:name w:val="标题 1 Char"/>
    <w:basedOn w:val="26"/>
    <w:link w:val="4"/>
    <w:qFormat/>
    <w:uiPriority w:val="9"/>
    <w:rPr>
      <w:rFonts w:eastAsia="方正小标宋简体"/>
      <w:bCs/>
      <w:kern w:val="44"/>
      <w:sz w:val="44"/>
      <w:szCs w:val="44"/>
    </w:rPr>
  </w:style>
  <w:style w:type="character" w:customStyle="1" w:styleId="36">
    <w:name w:val="标题 3 Char"/>
    <w:basedOn w:val="26"/>
    <w:link w:val="6"/>
    <w:qFormat/>
    <w:uiPriority w:val="9"/>
    <w:rPr>
      <w:rFonts w:ascii="Calibri" w:hAnsi="Calibri" w:eastAsia="宋体" w:cs="Times New Roman"/>
      <w:b/>
      <w:bCs/>
      <w:sz w:val="32"/>
      <w:szCs w:val="32"/>
    </w:rPr>
  </w:style>
  <w:style w:type="paragraph" w:styleId="37">
    <w:name w:val="List Paragraph"/>
    <w:basedOn w:val="1"/>
    <w:link w:val="45"/>
    <w:qFormat/>
    <w:uiPriority w:val="34"/>
    <w:pPr>
      <w:ind w:firstLine="420" w:firstLineChars="200"/>
    </w:pPr>
  </w:style>
  <w:style w:type="paragraph" w:customStyle="1" w:styleId="38">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Char"/>
    <w:basedOn w:val="26"/>
    <w:link w:val="15"/>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32"/>
    <w:next w:val="32"/>
    <w:qFormat/>
    <w:uiPriority w:val="0"/>
    <w:pPr>
      <w:spacing w:after="373"/>
    </w:pPr>
    <w:rPr>
      <w:color w:val="auto"/>
    </w:rPr>
  </w:style>
  <w:style w:type="paragraph" w:customStyle="1" w:styleId="42">
    <w:name w:val="CM91"/>
    <w:basedOn w:val="32"/>
    <w:next w:val="32"/>
    <w:qFormat/>
    <w:uiPriority w:val="0"/>
    <w:pPr>
      <w:spacing w:after="160"/>
    </w:pPr>
    <w:rPr>
      <w:color w:val="auto"/>
    </w:rPr>
  </w:style>
  <w:style w:type="character" w:customStyle="1" w:styleId="43">
    <w:name w:val="正文文本 3 Char"/>
    <w:qFormat/>
    <w:uiPriority w:val="99"/>
    <w:rPr>
      <w:sz w:val="16"/>
      <w:szCs w:val="16"/>
    </w:rPr>
  </w:style>
  <w:style w:type="character" w:customStyle="1" w:styleId="44">
    <w:name w:val="正文文本 3 Char1"/>
    <w:basedOn w:val="26"/>
    <w:link w:val="9"/>
    <w:semiHidden/>
    <w:qFormat/>
    <w:uiPriority w:val="99"/>
    <w:rPr>
      <w:sz w:val="16"/>
      <w:szCs w:val="16"/>
    </w:rPr>
  </w:style>
  <w:style w:type="character" w:customStyle="1" w:styleId="45">
    <w:name w:val="列出段落 Char"/>
    <w:link w:val="37"/>
    <w:qFormat/>
    <w:uiPriority w:val="34"/>
  </w:style>
  <w:style w:type="paragraph" w:customStyle="1" w:styleId="46">
    <w:name w:val="1"/>
    <w:basedOn w:val="1"/>
    <w:next w:val="13"/>
    <w:qFormat/>
    <w:uiPriority w:val="99"/>
    <w:rPr>
      <w:rFonts w:ascii="宋体" w:hAnsi="Courier New"/>
    </w:rPr>
  </w:style>
  <w:style w:type="paragraph" w:customStyle="1" w:styleId="47">
    <w:name w:val="WPSOffice手动目录 1"/>
    <w:qFormat/>
    <w:uiPriority w:val="0"/>
    <w:rPr>
      <w:rFonts w:asciiTheme="minorHAnsi" w:hAnsiTheme="minorHAnsi" w:eastAsiaTheme="minorEastAsia" w:cstheme="minorBidi"/>
      <w:lang w:val="en-US" w:eastAsia="zh-CN" w:bidi="ar-SA"/>
    </w:rPr>
  </w:style>
  <w:style w:type="paragraph" w:customStyle="1" w:styleId="48">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9">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1">
    <w:name w:val="普通正文"/>
    <w:basedOn w:val="1"/>
    <w:qFormat/>
    <w:uiPriority w:val="99"/>
    <w:pPr>
      <w:spacing w:line="360" w:lineRule="auto"/>
      <w:ind w:left="34" w:firstLine="480" w:firstLineChars="200"/>
    </w:pPr>
    <w:rPr>
      <w:sz w:val="24"/>
    </w:rPr>
  </w:style>
  <w:style w:type="paragraph" w:customStyle="1" w:styleId="52">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3">
    <w:name w:val="批注文字 Char"/>
    <w:basedOn w:val="26"/>
    <w:link w:val="8"/>
    <w:semiHidden/>
    <w:qFormat/>
    <w:uiPriority w:val="99"/>
    <w:rPr>
      <w:rFonts w:asciiTheme="minorHAnsi" w:hAnsiTheme="minorHAnsi" w:eastAsiaTheme="minorEastAsia" w:cstheme="minorBidi"/>
      <w:kern w:val="2"/>
      <w:sz w:val="21"/>
      <w:szCs w:val="22"/>
    </w:rPr>
  </w:style>
  <w:style w:type="character" w:customStyle="1" w:styleId="54">
    <w:name w:val="批注主题 Char"/>
    <w:basedOn w:val="53"/>
    <w:link w:val="22"/>
    <w:semiHidden/>
    <w:qFormat/>
    <w:uiPriority w:val="99"/>
    <w:rPr>
      <w:rFonts w:asciiTheme="minorHAnsi" w:hAnsiTheme="minorHAnsi" w:eastAsiaTheme="minorEastAsia" w:cstheme="minorBidi"/>
      <w:b/>
      <w:bCs/>
      <w:kern w:val="2"/>
      <w:sz w:val="21"/>
      <w:szCs w:val="22"/>
    </w:rPr>
  </w:style>
  <w:style w:type="paragraph" w:customStyle="1" w:styleId="55">
    <w:name w:val="_Style 4"/>
    <w:basedOn w:val="4"/>
    <w:next w:val="1"/>
    <w:qFormat/>
    <w:uiPriority w:val="0"/>
    <w:pPr>
      <w:keepNext w:val="0"/>
      <w:keepLines w:val="0"/>
      <w:widowControl w:val="0"/>
      <w:spacing w:after="0" w:line="576" w:lineRule="auto"/>
      <w:ind w:left="0" w:right="0" w:firstLine="0"/>
      <w:jc w:val="left"/>
      <w:outlineLvl w:val="9"/>
    </w:pPr>
    <w:rPr>
      <w:rFonts w:ascii="Calibri" w:hAnsi="Calibri" w:cs="Times New Roman"/>
      <w:color w:val="auto"/>
      <w:kern w:val="0"/>
      <w:sz w:val="44"/>
      <w:szCs w:val="4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3B83B1-2EFF-400F-8E51-B8167A75CFD1}">
  <ds:schemaRefs/>
</ds:datastoreItem>
</file>

<file path=docProps/app.xml><?xml version="1.0" encoding="utf-8"?>
<Properties xmlns="http://schemas.openxmlformats.org/officeDocument/2006/extended-properties" xmlns:vt="http://schemas.openxmlformats.org/officeDocument/2006/docPropsVTypes">
  <Template>Normal</Template>
  <Pages>55</Pages>
  <Words>17734</Words>
  <Characters>18360</Characters>
  <Lines>155</Lines>
  <Paragraphs>43</Paragraphs>
  <TotalTime>30</TotalTime>
  <ScaleCrop>false</ScaleCrop>
  <LinksUpToDate>false</LinksUpToDate>
  <CharactersWithSpaces>20269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2022-06-21T08:56:00Z</dcterms:created>
  <dc:creator>陈义春</dc:creator>
  <cp:lastModifiedBy>蔡浩荣</cp:lastModifiedBy>
  <cp:lastPrinted>2023-04-21T08:33:00Z</cp:lastPrinted>
  <dcterms:modified xsi:type="dcterms:W3CDTF">2023-05-04T01:50:18Z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0E983056FE804A62B32C3A6AB567F568</vt:lpwstr>
  </property>
</Properties>
</file>