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61" w:name="_GoBack"/>
      <w:bookmarkEnd w:id="161"/>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VPN认证系统建设项目</w:t>
      </w:r>
    </w:p>
    <w:p>
      <w:pPr>
        <w:pStyle w:val="2"/>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二三年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1191" w:right="1474" w:bottom="1191" w:left="1588" w:header="851" w:footer="992" w:gutter="0"/>
          <w:pgNumType w:start="0"/>
          <w:cols w:space="0" w:num="1"/>
          <w:titlePg/>
          <w:docGrid w:type="lines" w:linePitch="312" w:charSpace="0"/>
        </w:sectPr>
      </w:pPr>
    </w:p>
    <w:p>
      <w:pPr>
        <w:pStyle w:val="2"/>
        <w:rPr>
          <w:color w:val="auto"/>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color w:val="auto"/>
          <w:highlight w:val="none"/>
        </w:rPr>
      </w:pPr>
      <w:bookmarkStart w:id="0" w:name="_Toc26148"/>
      <w:bookmarkStart w:id="1" w:name="_Toc18145"/>
    </w:p>
    <w:p>
      <w:pPr>
        <w:rPr>
          <w:color w:val="auto"/>
          <w:highlight w:val="none"/>
        </w:rPr>
      </w:pPr>
    </w:p>
    <w:p>
      <w:pPr>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highlight w:val="none"/>
        </w:rPr>
      </w:pPr>
      <w:bookmarkStart w:id="4" w:name="_Toc4275"/>
      <w:bookmarkStart w:id="5" w:name="_Toc7519"/>
      <w:bookmarkStart w:id="6" w:name="_Toc17801"/>
      <w:bookmarkStart w:id="7" w:name="_Toc31938"/>
      <w:bookmarkStart w:id="8" w:name="_Toc19609"/>
      <w:bookmarkStart w:id="9" w:name="_Toc11322"/>
      <w:bookmarkStart w:id="10" w:name="_Toc1669"/>
    </w:p>
    <w:p>
      <w:pPr>
        <w:rPr>
          <w:color w:val="auto"/>
          <w:highlight w:val="none"/>
        </w:rPr>
      </w:pPr>
    </w:p>
    <w:p>
      <w:pPr>
        <w:widowControl/>
        <w:jc w:val="left"/>
        <w:rPr>
          <w:color w:val="auto"/>
          <w:highlight w:val="none"/>
        </w:rPr>
      </w:pPr>
      <w:r>
        <w:rPr>
          <w:color w:val="auto"/>
          <w:highlight w:val="none"/>
        </w:rPr>
        <w:br w:type="page"/>
      </w: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2356485</wp:posOffset>
                </wp:positionH>
                <wp:positionV relativeFrom="paragraph">
                  <wp:posOffset>258445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5pt;margin-top:20.35pt;height:0pt;width:75.5pt;z-index:251673600;mso-width-relative:page;mso-height-relative:page;" filled="f" stroked="t" coordsize="21600,21600" o:gfxdata="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TTqO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Theme="minorEastAsia" w:hAnsiTheme="minorEastAsia"/>
          <w:color w:val="auto"/>
          <w:sz w:val="24"/>
          <w:szCs w:val="24"/>
          <w:highlight w:val="none"/>
        </w:rPr>
      </w:pPr>
      <w:r>
        <w:rPr>
          <w:rFonts w:asciiTheme="minorEastAsia" w:hAnsiTheme="minorEastAsia"/>
          <w:color w:val="auto"/>
          <w:sz w:val="24"/>
          <w:szCs w:val="24"/>
          <w:highlight w:val="none"/>
        </w:rPr>
        <w:br w:type="page"/>
      </w: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广州市净水有限公司VPN认证系统建设项目</w:t>
      </w:r>
      <w:r>
        <w:rPr>
          <w:rFonts w:hint="eastAsia" w:ascii="仿宋_GB2312" w:eastAsia="仿宋_GB2312"/>
          <w:color w:val="auto"/>
          <w:sz w:val="28"/>
          <w:szCs w:val="28"/>
          <w:highlight w:val="none"/>
        </w:rPr>
        <w:t xml:space="preserve">已具备采购条件，现邀请合格单位参加本□施工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邀请采购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广州市净水有限公司VPN认证系统建设项目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XJ-20230425-1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500000.00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购置服务器</w:t>
      </w:r>
      <w:r>
        <w:rPr>
          <w:rFonts w:hint="eastAsia" w:ascii="仿宋_GB2312" w:eastAsia="仿宋_GB2312"/>
          <w:color w:val="auto"/>
          <w:sz w:val="28"/>
          <w:szCs w:val="28"/>
          <w:highlight w:val="none"/>
          <w:u w:val="single"/>
          <w:lang w:val="en-US" w:eastAsia="zh-CN"/>
        </w:rPr>
        <w:t>系统软件</w:t>
      </w:r>
      <w:r>
        <w:rPr>
          <w:rFonts w:hint="eastAsia" w:ascii="仿宋_GB2312" w:eastAsia="仿宋_GB2312"/>
          <w:color w:val="auto"/>
          <w:sz w:val="28"/>
          <w:szCs w:val="28"/>
          <w:highlight w:val="none"/>
          <w:u w:val="single"/>
        </w:rPr>
        <w:t>、购置专用管理软件</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账户管理、域审计、防火墙管理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、购置网络安全应用防护设备、相关系统开发</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第3方系统对接</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具体详见采购需求。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90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广州市净水有限公司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55" w:rightChars="2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CMMI</w:t>
      </w:r>
      <w:r>
        <w:rPr>
          <w:rFonts w:hint="eastAsia" w:ascii="仿宋_GB2312" w:eastAsia="仿宋_GB2312"/>
          <w:color w:val="auto"/>
          <w:sz w:val="28"/>
          <w:szCs w:val="28"/>
          <w:highlight w:val="none"/>
          <w:u w:val="single"/>
        </w:rPr>
        <w:t>软件能力成熟度集成模型</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级或以上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2020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类似VPN系统建设</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信息系统项目管理师高级证书  </w:t>
      </w:r>
      <w:r>
        <w:rPr>
          <w:rFonts w:hint="eastAsia" w:ascii="仿宋_GB2312" w:eastAsia="仿宋_GB2312"/>
          <w:color w:val="auto"/>
          <w:sz w:val="28"/>
          <w:szCs w:val="28"/>
          <w:highlight w:val="none"/>
        </w:rPr>
        <w:t>资格条件，须提供在本单位近六个月社保记录，（以加盖社会保险基金管理中心印章的《缴费历史明细表》或《社会保险参保人员证明》为准，加盖单位公章。</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出具成交通知书后</w:t>
      </w:r>
      <w:r>
        <w:rPr>
          <w:rFonts w:hint="eastAsia" w:ascii="仿宋_GB2312" w:eastAsia="仿宋_GB2312"/>
          <w:color w:val="auto"/>
          <w:sz w:val="28"/>
          <w:szCs w:val="28"/>
          <w:highlight w:val="none"/>
          <w:u w:val="single"/>
        </w:rPr>
        <w:t>于5日内，报价单位须提供项目所涉及的账号自助服务系统、域控安全审计系统及应用防护设备原厂函以及原厂售后服务承诺函原件（加盖原厂公章）。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ind w:firstLine="0"/>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踏勘现场联系人：</w:t>
      </w:r>
    </w:p>
    <w:p>
      <w:pPr>
        <w:pStyle w:val="2"/>
        <w:ind w:firstLine="0"/>
        <w:rPr>
          <w:rFonts w:ascii="仿宋_GB2312" w:eastAsia="仿宋_GB2312" w:hAnsiTheme="minorHAnsi"/>
          <w:color w:val="auto"/>
          <w:sz w:val="28"/>
          <w:szCs w:val="28"/>
          <w:highlight w:val="none"/>
        </w:rPr>
      </w:pPr>
      <w:r>
        <w:rPr>
          <w:rFonts w:hint="eastAsia" w:ascii="仿宋_GB2312" w:eastAsia="仿宋_GB2312" w:hAnsiTheme="minorHAnsi" w:cstheme="minorBidi"/>
          <w:color w:val="auto"/>
          <w:kern w:val="2"/>
          <w:sz w:val="28"/>
          <w:szCs w:val="28"/>
          <w:highlight w:val="none"/>
        </w:rPr>
        <w:t>踏勘现场联系人联系方式：</w:t>
      </w:r>
    </w:p>
    <w:p>
      <w:pPr>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踏勘（答疑）集合时间：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分。                     </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 xml:space="preserve">踏勘集中地点：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 xml:space="preserve"> 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6.3递交地址：广州市天河区临江大道501号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7"/>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020-</w:t>
            </w:r>
            <w:r>
              <w:rPr>
                <w:rFonts w:hint="eastAsia" w:ascii="仿宋_GB2312" w:eastAsia="仿宋_GB2312"/>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ascii="仿宋_GB2312" w:eastAsia="仿宋_GB2312" w:hAnsiTheme="majorEastAsia"/>
          <w:color w:val="auto"/>
          <w:sz w:val="28"/>
          <w:szCs w:val="28"/>
          <w:highlight w:val="none"/>
        </w:rPr>
      </w:pPr>
    </w:p>
    <w:p>
      <w:pPr>
        <w:widowControl/>
        <w:jc w:val="left"/>
        <w:rPr>
          <w:rFonts w:asciiTheme="minorEastAsia" w:hAnsiTheme="minorEastAsia"/>
          <w:color w:val="auto"/>
          <w:sz w:val="24"/>
          <w:szCs w:val="24"/>
          <w:highlight w:val="none"/>
        </w:rPr>
      </w:pPr>
      <w:r>
        <w:rPr>
          <w:rFonts w:asciiTheme="minorEastAsia" w:hAnsiTheme="minorEastAsia"/>
          <w:color w:val="auto"/>
          <w:sz w:val="24"/>
          <w:szCs w:val="24"/>
          <w:highlight w:val="none"/>
        </w:rPr>
        <w:br w:type="page"/>
      </w: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rPr>
          <w:color w:val="auto"/>
          <w:highlight w:val="none"/>
        </w:rPr>
      </w:pPr>
      <w:bookmarkStart w:id="13" w:name="_Toc10891"/>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highlight w:val="none"/>
        </w:rPr>
      </w:pPr>
      <w:bookmarkStart w:id="14" w:name="_Toc19295"/>
      <w:bookmarkStart w:id="15" w:name="_Toc2331"/>
      <w:bookmarkStart w:id="16" w:name="_Toc9448"/>
      <w:bookmarkStart w:id="17" w:name="_Toc7340"/>
      <w:bookmarkStart w:id="18" w:name="_Toc32588"/>
      <w:bookmarkStart w:id="19" w:name="_Toc2324"/>
      <w:bookmarkStart w:id="20" w:name="_Toc25603"/>
      <w:bookmarkStart w:id="21" w:name="_Toc16705"/>
      <w:bookmarkStart w:id="22" w:name="_Toc16557"/>
      <w:bookmarkStart w:id="23" w:name="_Toc23749"/>
    </w:p>
    <w:p>
      <w:pPr>
        <w:pStyle w:val="4"/>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2348230</wp:posOffset>
                </wp:positionH>
                <wp:positionV relativeFrom="paragraph">
                  <wp:posOffset>219075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17.25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6028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rPr>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widowControl/>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508"/>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阶段</w:t>
            </w:r>
          </w:p>
        </w:tc>
        <w:tc>
          <w:tcPr>
            <w:tcW w:w="936" w:type="dxa"/>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条款</w:t>
            </w:r>
          </w:p>
        </w:tc>
        <w:tc>
          <w:tcPr>
            <w:tcW w:w="1508" w:type="dxa"/>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项目</w:t>
            </w:r>
          </w:p>
        </w:tc>
        <w:tc>
          <w:tcPr>
            <w:tcW w:w="5670" w:type="dxa"/>
            <w:tcBorders>
              <w:right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准备</w:t>
            </w:r>
          </w:p>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及其</w:t>
            </w:r>
          </w:p>
          <w:p>
            <w:pPr>
              <w:jc w:val="center"/>
              <w:rPr>
                <w:rFonts w:ascii="仿宋_GB2312" w:eastAsia="仿宋_GB2312"/>
                <w:color w:val="auto"/>
                <w:sz w:val="28"/>
                <w:szCs w:val="28"/>
                <w:highlight w:val="none"/>
              </w:rPr>
            </w:pPr>
            <w:r>
              <w:rPr>
                <w:rFonts w:ascii="仿宋_GB2312" w:eastAsia="仿宋_GB2312"/>
                <w:color w:val="auto"/>
                <w:sz w:val="28"/>
                <w:szCs w:val="28"/>
                <w:highlight w:val="none"/>
              </w:rPr>
              <w:t>响应</w:t>
            </w: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采购文件组成</w:t>
            </w:r>
          </w:p>
        </w:tc>
        <w:tc>
          <w:tcPr>
            <w:tcW w:w="5670" w:type="dxa"/>
            <w:tcBorders>
              <w:right w:val="single" w:color="auto" w:sz="4" w:space="0"/>
            </w:tcBorders>
            <w:vAlign w:val="center"/>
          </w:tcPr>
          <w:p>
            <w:pPr>
              <w:adjustRightInd w:val="0"/>
              <w:snapToGrid w:val="0"/>
              <w:jc w:val="left"/>
              <w:rPr>
                <w:rFonts w:ascii="仿宋_GB2312" w:eastAsia="仿宋_GB2312"/>
                <w:color w:val="auto"/>
                <w:sz w:val="28"/>
                <w:szCs w:val="28"/>
                <w:highlight w:val="none"/>
              </w:rPr>
            </w:pPr>
            <w:r>
              <w:rPr>
                <w:rFonts w:hint="eastAsia" w:ascii="仿宋_GB2312" w:eastAsia="仿宋_GB2312" w:hAnsiTheme="minorEastAsia"/>
                <w:color w:val="auto"/>
                <w:sz w:val="28"/>
                <w:szCs w:val="28"/>
                <w:highlight w:val="none"/>
              </w:rPr>
              <w:t>（1）采购公告（采购邀请书）</w:t>
            </w:r>
          </w:p>
          <w:p>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（2）供应商须知</w:t>
            </w:r>
          </w:p>
          <w:p>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（3）采购方式</w:t>
            </w:r>
          </w:p>
          <w:p>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4</w:t>
            </w:r>
            <w:r>
              <w:rPr>
                <w:rFonts w:hint="eastAsia" w:ascii="仿宋_GB2312" w:eastAsia="仿宋_GB2312"/>
                <w:color w:val="auto"/>
                <w:sz w:val="28"/>
                <w:szCs w:val="28"/>
                <w:highlight w:val="none"/>
              </w:rPr>
              <w:t>）评审办法</w:t>
            </w:r>
          </w:p>
          <w:p>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（5）采购需求</w:t>
            </w:r>
          </w:p>
          <w:p>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（6）合同草案</w:t>
            </w:r>
          </w:p>
          <w:p>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（7）响应文件</w:t>
            </w:r>
          </w:p>
          <w:p>
            <w:pPr>
              <w:adjustRightInd w:val="0"/>
              <w:snapToGrid w:val="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single" w:color="auto" w:sz="4" w:space="0"/>
            </w:tcBorders>
            <w:vAlign w:val="center"/>
          </w:tcPr>
          <w:p>
            <w:pPr>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2.2</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采购文件的澄清和修改</w:t>
            </w:r>
          </w:p>
        </w:tc>
        <w:tc>
          <w:tcPr>
            <w:tcW w:w="5670" w:type="dxa"/>
            <w:tcBorders>
              <w:right w:val="single" w:color="auto" w:sz="4" w:space="0"/>
            </w:tcBorders>
            <w:vAlign w:val="center"/>
          </w:tcPr>
          <w:p>
            <w:pPr>
              <w:adjustRightInd w:val="0"/>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1.2.1供应商对采购文件有疑问的，应当</w:t>
            </w:r>
            <w:r>
              <w:rPr>
                <w:rFonts w:ascii="仿宋_GB2312" w:eastAsia="仿宋_GB2312"/>
                <w:color w:val="auto"/>
                <w:sz w:val="28"/>
                <w:szCs w:val="28"/>
                <w:highlight w:val="none"/>
              </w:rPr>
              <w:t>在提交</w:t>
            </w:r>
            <w:r>
              <w:rPr>
                <w:rFonts w:hint="eastAsia" w:ascii="仿宋_GB2312" w:eastAsia="仿宋_GB2312"/>
                <w:color w:val="auto"/>
                <w:sz w:val="28"/>
                <w:szCs w:val="28"/>
                <w:highlight w:val="none"/>
              </w:rPr>
              <w:t>响应文件截止之日</w:t>
            </w:r>
            <w:r>
              <w:rPr>
                <w:rFonts w:hint="eastAsia" w:ascii="仿宋_GB2312" w:eastAsia="仿宋_GB2312"/>
                <w:color w:val="auto"/>
                <w:sz w:val="28"/>
                <w:szCs w:val="28"/>
                <w:highlight w:val="none"/>
                <w:u w:val="single"/>
              </w:rPr>
              <w:t>2</w:t>
            </w:r>
            <w:r>
              <w:rPr>
                <w:rFonts w:ascii="仿宋_GB2312" w:eastAsia="仿宋_GB2312"/>
                <w:color w:val="auto"/>
                <w:sz w:val="28"/>
                <w:szCs w:val="28"/>
                <w:highlight w:val="none"/>
              </w:rPr>
              <w:t>个工作日前</w:t>
            </w:r>
            <w:r>
              <w:rPr>
                <w:rFonts w:hint="eastAsia" w:ascii="仿宋_GB2312" w:eastAsia="仿宋_GB2312"/>
                <w:color w:val="auto"/>
                <w:sz w:val="28"/>
                <w:szCs w:val="28"/>
                <w:highlight w:val="none"/>
              </w:rPr>
              <w:t>，以书面形式提出。</w:t>
            </w:r>
          </w:p>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single" w:color="auto" w:sz="4" w:space="0"/>
            </w:tcBorders>
            <w:vAlign w:val="center"/>
          </w:tcPr>
          <w:p>
            <w:pPr>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2.3</w:t>
            </w:r>
          </w:p>
          <w:p>
            <w:pPr>
              <w:adjustRightInd w:val="0"/>
              <w:snapToGrid w:val="0"/>
              <w:jc w:val="center"/>
              <w:rPr>
                <w:color w:val="auto"/>
                <w:sz w:val="28"/>
                <w:szCs w:val="28"/>
                <w:highlight w:val="none"/>
              </w:rPr>
            </w:pPr>
          </w:p>
        </w:tc>
        <w:tc>
          <w:tcPr>
            <w:tcW w:w="1508" w:type="dxa"/>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踏勘现场</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single" w:color="auto" w:sz="4" w:space="0"/>
            </w:tcBorders>
            <w:vAlign w:val="center"/>
          </w:tcPr>
          <w:p>
            <w:pPr>
              <w:jc w:val="center"/>
              <w:rPr>
                <w:rFonts w:ascii="Calibri" w:hAnsi="Calibri" w:eastAsia="宋体" w:cs="Times New Roman"/>
                <w:b/>
                <w:bCs/>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2.4</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w:t>
            </w:r>
          </w:p>
        </w:tc>
        <w:tc>
          <w:tcPr>
            <w:tcW w:w="5670" w:type="dxa"/>
            <w:tcBorders>
              <w:right w:val="single" w:color="auto" w:sz="4" w:space="0"/>
            </w:tcBorders>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本项目</w:t>
            </w:r>
            <w:r>
              <w:rPr>
                <w:rFonts w:hint="eastAsia" w:ascii="仿宋_GB2312" w:eastAsia="仿宋_GB2312"/>
                <w:color w:val="auto"/>
                <w:sz w:val="28"/>
                <w:szCs w:val="28"/>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25" w:type="dxa"/>
            <w:vMerge w:val="continue"/>
            <w:tcBorders>
              <w:left w:val="single" w:color="auto" w:sz="4" w:space="0"/>
              <w:bottom w:val="single" w:color="auto" w:sz="4" w:space="0"/>
            </w:tcBorders>
            <w:vAlign w:val="center"/>
          </w:tcPr>
          <w:p>
            <w:pPr>
              <w:jc w:val="center"/>
              <w:rPr>
                <w:color w:val="auto"/>
                <w:sz w:val="28"/>
                <w:szCs w:val="28"/>
                <w:highlight w:val="none"/>
              </w:rPr>
            </w:pPr>
          </w:p>
        </w:tc>
        <w:tc>
          <w:tcPr>
            <w:tcW w:w="936" w:type="dxa"/>
            <w:tcBorders>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2.5</w:t>
            </w:r>
          </w:p>
        </w:tc>
        <w:tc>
          <w:tcPr>
            <w:tcW w:w="1508" w:type="dxa"/>
            <w:tcBorders>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响应截止时间</w:t>
            </w:r>
          </w:p>
        </w:tc>
        <w:tc>
          <w:tcPr>
            <w:tcW w:w="5670" w:type="dxa"/>
            <w:tcBorders>
              <w:bottom w:val="single" w:color="auto" w:sz="4" w:space="0"/>
              <w:right w:val="single" w:color="auto" w:sz="4" w:space="0"/>
            </w:tcBorders>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准备</w:t>
            </w:r>
          </w:p>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及其</w:t>
            </w:r>
          </w:p>
          <w:p>
            <w:pPr>
              <w:jc w:val="center"/>
              <w:rPr>
                <w:color w:val="auto"/>
                <w:sz w:val="28"/>
                <w:szCs w:val="28"/>
                <w:highlight w:val="none"/>
              </w:rPr>
            </w:pPr>
            <w:r>
              <w:rPr>
                <w:rFonts w:ascii="仿宋_GB2312" w:eastAsia="仿宋_GB2312"/>
                <w:color w:val="auto"/>
                <w:sz w:val="28"/>
                <w:szCs w:val="28"/>
                <w:highlight w:val="none"/>
              </w:rPr>
              <w:t>响应</w:t>
            </w: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2.6</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最高限价及低价说明</w:t>
            </w:r>
          </w:p>
        </w:tc>
        <w:tc>
          <w:tcPr>
            <w:tcW w:w="5670" w:type="dxa"/>
            <w:tcBorders>
              <w:right w:val="single" w:color="auto" w:sz="4" w:space="0"/>
            </w:tcBorders>
            <w:vAlign w:val="center"/>
          </w:tcPr>
          <w:p>
            <w:pPr>
              <w:adjustRightInd w:val="0"/>
              <w:snapToGrid w:val="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single" w:color="auto" w:sz="4" w:space="0"/>
            </w:tcBorders>
            <w:vAlign w:val="center"/>
          </w:tcPr>
          <w:p>
            <w:pPr>
              <w:jc w:val="center"/>
              <w:rPr>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2.7</w:t>
            </w:r>
          </w:p>
          <w:p>
            <w:pPr>
              <w:adjustRightInd w:val="0"/>
              <w:snapToGrid w:val="0"/>
              <w:jc w:val="center"/>
              <w:rPr>
                <w:rFonts w:ascii="仿宋_GB2312" w:eastAsia="仿宋_GB2312"/>
                <w:color w:val="auto"/>
                <w:sz w:val="28"/>
                <w:szCs w:val="28"/>
                <w:highlight w:val="none"/>
              </w:rPr>
            </w:pP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响应文件有效期</w:t>
            </w:r>
          </w:p>
        </w:tc>
        <w:tc>
          <w:tcPr>
            <w:tcW w:w="5670" w:type="dxa"/>
            <w:tcBorders>
              <w:right w:val="single" w:color="auto" w:sz="4" w:space="0"/>
            </w:tcBorders>
            <w:vAlign w:val="center"/>
          </w:tcPr>
          <w:p>
            <w:pPr>
              <w:adjustRightInd w:val="0"/>
              <w:snapToGrid w:val="0"/>
              <w:ind w:firstLine="560" w:firstLineChars="200"/>
              <w:rPr>
                <w:rFonts w:ascii="仿宋_GB2312" w:eastAsia="仿宋_GB2312" w:hAnsiTheme="minorEastAsia"/>
                <w:color w:val="auto"/>
                <w:sz w:val="28"/>
                <w:szCs w:val="28"/>
                <w:highlight w:val="none"/>
                <w:u w:val="single"/>
              </w:rPr>
            </w:pPr>
            <w:r>
              <w:rPr>
                <w:rFonts w:hint="eastAsia" w:ascii="仿宋_GB2312" w:eastAsia="仿宋_GB2312" w:hAnsiTheme="minorEastAsia"/>
                <w:color w:val="auto"/>
                <w:sz w:val="28"/>
                <w:szCs w:val="28"/>
                <w:highlight w:val="none"/>
                <w:u w:val="single"/>
              </w:rPr>
              <w:t>90个</w:t>
            </w:r>
            <w:r>
              <w:rPr>
                <w:rFonts w:hint="eastAsia" w:ascii="仿宋_GB2312" w:eastAsia="仿宋_GB2312" w:hAnsiTheme="minorEastAsia"/>
                <w:color w:val="auto"/>
                <w:sz w:val="28"/>
                <w:szCs w:val="28"/>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准备</w:t>
            </w:r>
          </w:p>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及其</w:t>
            </w:r>
          </w:p>
          <w:p>
            <w:pPr>
              <w:adjustRightInd w:val="0"/>
              <w:snapToGrid w:val="0"/>
              <w:jc w:val="center"/>
              <w:rPr>
                <w:color w:val="auto"/>
                <w:sz w:val="28"/>
                <w:szCs w:val="28"/>
                <w:highlight w:val="none"/>
              </w:rPr>
            </w:pPr>
            <w:r>
              <w:rPr>
                <w:rFonts w:ascii="仿宋_GB2312" w:eastAsia="仿宋_GB2312"/>
                <w:color w:val="auto"/>
                <w:sz w:val="28"/>
                <w:szCs w:val="28"/>
                <w:highlight w:val="none"/>
              </w:rPr>
              <w:t>响应</w:t>
            </w: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2.8</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响应文件份数</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纸质文件正本1份，副本 </w:t>
            </w:r>
            <w:r>
              <w:rPr>
                <w:rFonts w:hint="eastAsia" w:ascii="仿宋_GB2312" w:eastAsia="仿宋_GB2312" w:hAnsiTheme="minorEastAsia"/>
                <w:color w:val="auto"/>
                <w:sz w:val="28"/>
                <w:szCs w:val="28"/>
                <w:highlight w:val="none"/>
                <w:u w:val="single"/>
              </w:rPr>
              <w:t>1</w:t>
            </w:r>
            <w:r>
              <w:rPr>
                <w:rFonts w:hint="eastAsia" w:ascii="仿宋_GB2312" w:eastAsia="仿宋_GB2312" w:hAnsiTheme="minorEastAsia"/>
                <w:color w:val="auto"/>
                <w:sz w:val="28"/>
                <w:szCs w:val="28"/>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2.9</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响应文件的密封和标记</w:t>
            </w:r>
          </w:p>
        </w:tc>
        <w:tc>
          <w:tcPr>
            <w:tcW w:w="5670" w:type="dxa"/>
            <w:tcBorders>
              <w:right w:val="single" w:color="auto" w:sz="4" w:space="0"/>
            </w:tcBorders>
            <w:vAlign w:val="center"/>
          </w:tcPr>
          <w:p>
            <w:pPr>
              <w:adjustRightInd w:val="0"/>
              <w:snapToGrid w:val="0"/>
              <w:ind w:firstLine="46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2.10</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响应文件提交</w:t>
            </w:r>
          </w:p>
        </w:tc>
        <w:tc>
          <w:tcPr>
            <w:tcW w:w="5670" w:type="dxa"/>
            <w:tcBorders>
              <w:right w:val="single" w:color="auto" w:sz="4" w:space="0"/>
            </w:tcBorders>
            <w:vAlign w:val="center"/>
          </w:tcPr>
          <w:p>
            <w:pPr>
              <w:adjustRightInd w:val="0"/>
              <w:snapToGrid w:val="0"/>
              <w:ind w:left="560" w:hanging="560" w:hangingChars="20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文件开启及评审</w:t>
            </w: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2.11</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响应文件开启会议</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举行</w:t>
            </w:r>
          </w:p>
          <w:p>
            <w:pPr>
              <w:adjustRightInd w:val="0"/>
              <w:snapToGrid w:val="0"/>
              <w:ind w:firstLine="46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会议时间：同响应截止时间</w:t>
            </w:r>
          </w:p>
          <w:p>
            <w:pPr>
              <w:adjustRightInd w:val="0"/>
              <w:snapToGrid w:val="0"/>
              <w:ind w:firstLine="46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2.12</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开启文件前的密封检查</w:t>
            </w:r>
          </w:p>
        </w:tc>
        <w:tc>
          <w:tcPr>
            <w:tcW w:w="5670" w:type="dxa"/>
            <w:tcBorders>
              <w:right w:val="single" w:color="auto" w:sz="4" w:space="0"/>
            </w:tcBorders>
            <w:vAlign w:val="center"/>
          </w:tcPr>
          <w:p>
            <w:pPr>
              <w:adjustRightInd w:val="0"/>
              <w:snapToGrid w:val="0"/>
              <w:ind w:firstLine="465"/>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2.13</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评审小组</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评审小组构成：</w:t>
            </w:r>
            <w:r>
              <w:rPr>
                <w:rFonts w:hint="eastAsia" w:ascii="仿宋_GB2312" w:eastAsia="仿宋_GB2312" w:hAnsiTheme="minorEastAsia"/>
                <w:color w:val="auto"/>
                <w:sz w:val="28"/>
                <w:szCs w:val="28"/>
                <w:highlight w:val="none"/>
                <w:u w:val="single"/>
              </w:rPr>
              <w:t>3</w:t>
            </w:r>
            <w:r>
              <w:rPr>
                <w:rFonts w:hint="eastAsia" w:ascii="仿宋_GB2312" w:eastAsia="仿宋_GB2312" w:hAnsiTheme="minorEastAsia"/>
                <w:color w:val="auto"/>
                <w:sz w:val="28"/>
                <w:szCs w:val="28"/>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2.14</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评审办法</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2.15</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成交候选人</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在</w:t>
            </w:r>
            <w:r>
              <w:rPr>
                <w:rFonts w:hint="eastAsia" w:ascii="仿宋_GB2312" w:eastAsia="仿宋_GB2312" w:hAnsiTheme="minorEastAsia"/>
                <w:color w:val="auto"/>
                <w:sz w:val="28"/>
                <w:szCs w:val="28"/>
                <w:highlight w:val="none"/>
                <w:u w:val="single"/>
              </w:rPr>
              <w:t>广州市净水有限公司门户网站</w:t>
            </w:r>
            <w:r>
              <w:rPr>
                <w:rFonts w:hint="eastAsia" w:ascii="仿宋_GB2312" w:eastAsia="仿宋_GB2312" w:hAnsiTheme="minorEastAsia"/>
                <w:color w:val="auto"/>
                <w:sz w:val="28"/>
                <w:szCs w:val="28"/>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确定成交人</w:t>
            </w: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2.16</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成交办法</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2.17</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签订合同</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8"/>
                <w:szCs w:val="28"/>
                <w:highlight w:val="none"/>
              </w:rPr>
            </w:pP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2.18</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履约担保</w:t>
            </w:r>
          </w:p>
        </w:tc>
        <w:tc>
          <w:tcPr>
            <w:tcW w:w="5670" w:type="dxa"/>
            <w:tcBorders>
              <w:right w:val="single" w:color="auto" w:sz="4" w:space="0"/>
            </w:tcBorders>
            <w:vAlign w:val="center"/>
          </w:tcPr>
          <w:p>
            <w:pPr>
              <w:adjustRightInd w:val="0"/>
              <w:snapToGrid w:val="0"/>
              <w:ind w:firstLine="560" w:firstLineChars="20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其他</w:t>
            </w:r>
          </w:p>
        </w:tc>
        <w:tc>
          <w:tcPr>
            <w:tcW w:w="936"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2.19</w:t>
            </w:r>
          </w:p>
        </w:tc>
        <w:tc>
          <w:tcPr>
            <w:tcW w:w="1508" w:type="dxa"/>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需要补充的其他内容</w:t>
            </w:r>
          </w:p>
        </w:tc>
        <w:tc>
          <w:tcPr>
            <w:tcW w:w="5670" w:type="dxa"/>
            <w:tcBorders>
              <w:right w:val="single" w:color="auto" w:sz="4" w:space="0"/>
            </w:tcBorders>
            <w:vAlign w:val="center"/>
          </w:tcPr>
          <w:p>
            <w:pPr>
              <w:adjustRightInd w:val="0"/>
              <w:snapToGrid w:val="0"/>
              <w:rPr>
                <w:rFonts w:ascii="仿宋_GB2312" w:eastAsia="仿宋_GB2312" w:hAnsiTheme="minorEastAsia"/>
                <w:color w:val="auto"/>
                <w:sz w:val="28"/>
                <w:szCs w:val="28"/>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  </w:t>
      </w:r>
      <w:r>
        <w:rPr>
          <w:rFonts w:hint="eastAsia" w:ascii="仿宋_GB2312" w:eastAsia="仿宋_GB2312"/>
          <w:color w:val="auto"/>
          <w:sz w:val="28"/>
          <w:szCs w:val="28"/>
          <w:highlight w:val="none"/>
        </w:rPr>
        <w:t xml:space="preserve">   附件5：关于**项目异议书</w:t>
      </w: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9"/>
        <w:rPr>
          <w:rFonts w:asciiTheme="majorEastAsia" w:hAnsiTheme="majorEastAsia" w:eastAsiaTheme="majorEastAsia"/>
          <w:b/>
          <w:color w:val="auto"/>
          <w:sz w:val="28"/>
          <w:szCs w:val="28"/>
          <w:highlight w:val="none"/>
        </w:rPr>
      </w:pPr>
    </w:p>
    <w:p>
      <w:pPr>
        <w:pStyle w:val="10"/>
        <w:rPr>
          <w:rFonts w:asciiTheme="majorEastAsia" w:hAnsiTheme="majorEastAsia" w:eastAsiaTheme="majorEastAsia"/>
          <w:b/>
          <w:color w:val="auto"/>
          <w:sz w:val="28"/>
          <w:szCs w:val="28"/>
          <w:highlight w:val="none"/>
        </w:rPr>
      </w:pPr>
    </w:p>
    <w:p>
      <w:pPr>
        <w:pStyle w:val="10"/>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附件5 </w:t>
      </w:r>
    </w:p>
    <w:p>
      <w:pPr>
        <w:rPr>
          <w:rFonts w:ascii="宋体" w:hAnsi="宋体" w:cs="宋体"/>
          <w:b/>
          <w:bCs/>
          <w:color w:val="auto"/>
          <w:sz w:val="44"/>
          <w:szCs w:val="44"/>
          <w:highlight w:val="none"/>
        </w:rPr>
      </w:pPr>
    </w:p>
    <w:p>
      <w:pPr>
        <w:jc w:val="center"/>
        <w:rPr>
          <w:rFonts w:ascii="仿宋_GB2312" w:hAnsi="宋体" w:eastAsia="仿宋_GB2312" w:cs="宋体"/>
          <w:b/>
          <w:bCs/>
          <w:color w:val="auto"/>
          <w:sz w:val="44"/>
          <w:szCs w:val="44"/>
          <w:highlight w:val="none"/>
        </w:rPr>
      </w:pPr>
      <w:r>
        <w:rPr>
          <w:rFonts w:hint="eastAsia" w:ascii="仿宋_GB2312" w:hAnsi="宋体" w:eastAsia="仿宋_GB2312" w:cs="宋体"/>
          <w:b/>
          <w:bCs/>
          <w:color w:val="auto"/>
          <w:sz w:val="44"/>
          <w:szCs w:val="44"/>
          <w:highlight w:val="none"/>
        </w:rPr>
        <w:t>关于**项目异议书</w:t>
      </w:r>
    </w:p>
    <w:p>
      <w:pPr>
        <w:widowControl/>
        <w:spacing w:line="408" w:lineRule="auto"/>
        <w:jc w:val="center"/>
        <w:rPr>
          <w:rFonts w:ascii="仿宋_GB2312" w:hAnsi="宋体" w:eastAsia="仿宋_GB2312" w:cs="仿宋_GB2312"/>
          <w:color w:val="auto"/>
          <w:kern w:val="0"/>
          <w:sz w:val="24"/>
          <w:highlight w:val="none"/>
        </w:rPr>
      </w:pPr>
      <w:r>
        <w:rPr>
          <w:rFonts w:hint="eastAsia" w:ascii="仿宋_GB2312" w:hAnsi="宋体" w:eastAsia="仿宋_GB2312" w:cs="仿宋_GB2312"/>
          <w:color w:val="auto"/>
          <w:kern w:val="0"/>
          <w:sz w:val="24"/>
          <w:highlight w:val="none"/>
        </w:rPr>
        <w:t>(参考格式)</w:t>
      </w:r>
    </w:p>
    <w:p>
      <w:pPr>
        <w:rPr>
          <w:rFonts w:ascii="仿宋_GB2312" w:eastAsia="仿宋_GB2312"/>
          <w:color w:val="auto"/>
          <w:kern w:val="0"/>
          <w:sz w:val="28"/>
          <w:szCs w:val="28"/>
          <w:highlight w:val="none"/>
        </w:rPr>
      </w:pPr>
      <w:r>
        <w:rPr>
          <w:rFonts w:hint="eastAsia" w:ascii="仿宋_GB2312" w:eastAsia="仿宋_GB2312"/>
          <w:color w:val="auto"/>
          <w:kern w:val="0"/>
          <w:sz w:val="28"/>
          <w:szCs w:val="28"/>
          <w:highlight w:val="none"/>
        </w:rPr>
        <w:t>项目名称：</w:t>
      </w: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bCs/>
          <w:color w:val="auto"/>
          <w:kern w:val="0"/>
          <w:sz w:val="28"/>
          <w:szCs w:val="28"/>
          <w:highlight w:val="none"/>
        </w:rPr>
        <w:t>异议人：</w:t>
      </w: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color w:val="auto"/>
          <w:kern w:val="0"/>
          <w:sz w:val="28"/>
          <w:szCs w:val="28"/>
          <w:highlight w:val="none"/>
        </w:rPr>
        <w:t>住所地：    邮编：</w:t>
      </w: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color w:val="auto"/>
          <w:kern w:val="0"/>
          <w:sz w:val="28"/>
          <w:szCs w:val="28"/>
          <w:highlight w:val="none"/>
        </w:rPr>
        <w:t>法定代表人：      联系电话：</w:t>
      </w: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color w:val="auto"/>
          <w:kern w:val="0"/>
          <w:sz w:val="28"/>
          <w:szCs w:val="28"/>
          <w:highlight w:val="none"/>
        </w:rPr>
        <w:t>异议人授权代表：    性别：</w:t>
      </w: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color w:val="auto"/>
          <w:kern w:val="0"/>
          <w:sz w:val="28"/>
          <w:szCs w:val="28"/>
          <w:highlight w:val="none"/>
        </w:rPr>
        <w:t>住址：             联系电话：</w:t>
      </w: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bCs/>
          <w:color w:val="auto"/>
          <w:kern w:val="0"/>
          <w:sz w:val="28"/>
          <w:szCs w:val="28"/>
          <w:highlight w:val="none"/>
        </w:rPr>
        <w:t>提起异议事项的基本事实：</w:t>
      </w:r>
    </w:p>
    <w:p>
      <w:pPr>
        <w:widowControl/>
        <w:jc w:val="left"/>
        <w:rPr>
          <w:rFonts w:ascii="仿宋_GB2312" w:hAnsi="宋体" w:eastAsia="仿宋_GB2312" w:cs="宋体"/>
          <w:color w:val="auto"/>
          <w:kern w:val="0"/>
          <w:sz w:val="28"/>
          <w:szCs w:val="28"/>
          <w:highlight w:val="none"/>
        </w:rPr>
      </w:pP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bCs/>
          <w:color w:val="auto"/>
          <w:kern w:val="0"/>
          <w:sz w:val="28"/>
          <w:szCs w:val="28"/>
          <w:highlight w:val="none"/>
        </w:rPr>
        <w:t>相关请求及主张：</w:t>
      </w:r>
    </w:p>
    <w:p>
      <w:pPr>
        <w:widowControl/>
        <w:jc w:val="left"/>
        <w:rPr>
          <w:rFonts w:ascii="仿宋_GB2312" w:hAnsi="宋体" w:eastAsia="仿宋_GB2312" w:cs="仿宋_GB2312"/>
          <w:color w:val="auto"/>
          <w:kern w:val="0"/>
          <w:sz w:val="28"/>
          <w:szCs w:val="28"/>
          <w:highlight w:val="none"/>
          <w:u w:val="single"/>
        </w:rPr>
      </w:pP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bCs/>
          <w:color w:val="auto"/>
          <w:kern w:val="0"/>
          <w:sz w:val="28"/>
          <w:szCs w:val="28"/>
          <w:highlight w:val="none"/>
        </w:rPr>
        <w:t>有效线索和相关证明材料：</w:t>
      </w:r>
    </w:p>
    <w:p>
      <w:pPr>
        <w:widowControl/>
        <w:jc w:val="left"/>
        <w:rPr>
          <w:rFonts w:ascii="仿宋_GB2312" w:hAnsi="宋体" w:eastAsia="仿宋_GB2312" w:cs="仿宋_GB2312"/>
          <w:color w:val="auto"/>
          <w:kern w:val="0"/>
          <w:sz w:val="28"/>
          <w:szCs w:val="28"/>
          <w:highlight w:val="none"/>
          <w:u w:val="single"/>
        </w:rPr>
      </w:pP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bCs/>
          <w:color w:val="auto"/>
          <w:kern w:val="0"/>
          <w:sz w:val="28"/>
          <w:szCs w:val="28"/>
          <w:highlight w:val="none"/>
        </w:rPr>
        <w:t>异议提起人与项目有利害关系的证明材料（见说明）：</w:t>
      </w: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color w:val="auto"/>
          <w:kern w:val="0"/>
          <w:sz w:val="28"/>
          <w:szCs w:val="28"/>
          <w:highlight w:val="none"/>
        </w:rPr>
        <w:t xml:space="preserve">  此致</w:t>
      </w:r>
    </w:p>
    <w:p>
      <w:pPr>
        <w:widowControl/>
        <w:jc w:val="left"/>
        <w:rPr>
          <w:rFonts w:ascii="仿宋_GB2312" w:hAnsi="宋体" w:eastAsia="仿宋_GB2312" w:cs="宋体"/>
          <w:color w:val="auto"/>
          <w:kern w:val="0"/>
          <w:sz w:val="28"/>
          <w:szCs w:val="28"/>
          <w:highlight w:val="none"/>
        </w:rPr>
      </w:pPr>
      <w:r>
        <w:rPr>
          <w:rFonts w:hint="eastAsia" w:ascii="仿宋_GB2312" w:hAnsi="宋体" w:eastAsia="仿宋_GB2312"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ascii="仿宋_GB2312" w:hAnsi="宋体" w:eastAsia="仿宋_GB2312" w:cs="宋体"/>
          <w:color w:val="auto"/>
          <w:kern w:val="0"/>
          <w:sz w:val="28"/>
          <w:szCs w:val="28"/>
          <w:highlight w:val="none"/>
        </w:rPr>
      </w:pPr>
      <w:r>
        <w:rPr>
          <w:rFonts w:hint="eastAsia" w:ascii="仿宋_GB2312" w:hAnsi="宋体" w:eastAsia="仿宋_GB2312" w:cs="仿宋_GB2312"/>
          <w:color w:val="auto"/>
          <w:kern w:val="0"/>
          <w:sz w:val="28"/>
          <w:szCs w:val="28"/>
          <w:highlight w:val="none"/>
        </w:rPr>
        <w:t>异议人（公章）：</w:t>
      </w:r>
    </w:p>
    <w:p>
      <w:pPr>
        <w:widowControl/>
        <w:ind w:left="99" w:leftChars="47" w:firstLine="1960" w:firstLineChars="700"/>
        <w:jc w:val="left"/>
        <w:rPr>
          <w:rFonts w:ascii="仿宋_GB2312" w:hAnsi="宋体" w:eastAsia="仿宋_GB2312" w:cs="仿宋_GB2312"/>
          <w:color w:val="auto"/>
          <w:kern w:val="0"/>
          <w:sz w:val="28"/>
          <w:szCs w:val="28"/>
          <w:highlight w:val="none"/>
        </w:rPr>
      </w:pPr>
    </w:p>
    <w:p>
      <w:pPr>
        <w:widowControl/>
        <w:ind w:left="99" w:leftChars="47" w:firstLine="1960" w:firstLineChars="700"/>
        <w:jc w:val="left"/>
        <w:rPr>
          <w:rFonts w:ascii="仿宋_GB2312" w:hAnsi="宋体" w:eastAsia="仿宋_GB2312" w:cs="仿宋_GB2312"/>
          <w:color w:val="auto"/>
          <w:kern w:val="0"/>
          <w:sz w:val="28"/>
          <w:szCs w:val="28"/>
          <w:highlight w:val="none"/>
          <w:u w:val="single"/>
        </w:rPr>
      </w:pPr>
      <w:r>
        <w:rPr>
          <w:rFonts w:hint="eastAsia" w:ascii="仿宋_GB2312" w:hAnsi="宋体" w:eastAsia="仿宋_GB2312" w:cs="仿宋_GB2312"/>
          <w:color w:val="auto"/>
          <w:kern w:val="0"/>
          <w:sz w:val="28"/>
          <w:szCs w:val="28"/>
          <w:highlight w:val="none"/>
        </w:rPr>
        <w:t>法定代表人或授权代表（签字）</w:t>
      </w:r>
    </w:p>
    <w:p>
      <w:pPr>
        <w:widowControl/>
        <w:ind w:left="99" w:leftChars="47" w:firstLine="1960" w:firstLineChars="700"/>
        <w:jc w:val="left"/>
        <w:rPr>
          <w:rFonts w:ascii="仿宋_GB2312" w:hAnsi="宋体" w:eastAsia="仿宋_GB2312" w:cs="仿宋_GB2312"/>
          <w:color w:val="auto"/>
          <w:kern w:val="0"/>
          <w:sz w:val="28"/>
          <w:szCs w:val="28"/>
          <w:highlight w:val="none"/>
          <w:u w:val="single"/>
        </w:rPr>
      </w:pPr>
    </w:p>
    <w:p>
      <w:pPr>
        <w:widowControl/>
        <w:ind w:firstLine="560" w:firstLineChars="200"/>
        <w:jc w:val="center"/>
        <w:rPr>
          <w:rFonts w:ascii="仿宋_GB2312" w:hAnsi="宋体" w:eastAsia="仿宋_GB2312" w:cs="宋体"/>
          <w:color w:val="auto"/>
          <w:kern w:val="0"/>
          <w:sz w:val="28"/>
          <w:szCs w:val="28"/>
          <w:highlight w:val="none"/>
        </w:rPr>
      </w:pPr>
      <w:r>
        <w:rPr>
          <w:rFonts w:hint="eastAsia" w:ascii="仿宋_GB2312" w:hAnsi="宋体" w:eastAsia="仿宋_GB2312" w:cs="仿宋_GB2312"/>
          <w:color w:val="auto"/>
          <w:kern w:val="0"/>
          <w:sz w:val="28"/>
          <w:szCs w:val="28"/>
          <w:highlight w:val="none"/>
        </w:rPr>
        <w:t xml:space="preserve">                                     年    月   日</w:t>
      </w:r>
    </w:p>
    <w:p>
      <w:pPr>
        <w:widowControl/>
        <w:jc w:val="left"/>
        <w:rPr>
          <w:rFonts w:ascii="仿宋_GB2312" w:hAnsi="宋体" w:eastAsia="仿宋_GB2312" w:cs="仿宋_GB2312"/>
          <w:bCs/>
          <w:color w:val="auto"/>
          <w:kern w:val="0"/>
          <w:sz w:val="24"/>
          <w:highlight w:val="none"/>
        </w:rPr>
      </w:pPr>
    </w:p>
    <w:p>
      <w:pPr>
        <w:rPr>
          <w:rFonts w:ascii="仿宋_GB2312" w:hAnsi="仿宋" w:eastAsia="仿宋_GB2312"/>
          <w:color w:val="auto"/>
          <w:sz w:val="24"/>
          <w:highlight w:val="none"/>
        </w:rPr>
      </w:pPr>
      <w:r>
        <w:rPr>
          <w:rFonts w:hint="eastAsia" w:ascii="仿宋_GB2312" w:hAnsi="仿宋" w:eastAsia="仿宋_GB2312"/>
          <w:color w:val="auto"/>
          <w:sz w:val="24"/>
          <w:highlight w:val="none"/>
        </w:rPr>
        <w:t>说明：</w:t>
      </w:r>
    </w:p>
    <w:p>
      <w:pPr>
        <w:spacing w:line="276" w:lineRule="auto"/>
        <w:rPr>
          <w:rFonts w:asciiTheme="majorEastAsia" w:hAnsiTheme="majorEastAsia" w:eastAsiaTheme="majorEastAsia"/>
          <w:color w:val="auto"/>
          <w:sz w:val="24"/>
          <w:highlight w:val="none"/>
        </w:rPr>
      </w:pPr>
    </w:p>
    <w:p>
      <w:pPr>
        <w:spacing w:line="276" w:lineRule="auto"/>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spacing w:line="276" w:lineRule="auto"/>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spacing w:line="276" w:lineRule="auto"/>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3.为证明与异议项目有利害关系，投标人以外的其他异议提起人应当提供相应证明材料：</w:t>
      </w:r>
    </w:p>
    <w:p>
      <w:pPr>
        <w:spacing w:line="276" w:lineRule="auto"/>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（1）属潜在投标人的，提交符合法定有关资格要求的证明文件；</w:t>
      </w:r>
    </w:p>
    <w:p>
      <w:pPr>
        <w:spacing w:line="276" w:lineRule="auto"/>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（2）属特定分包人或者供应商的，提交证明其与该项目投标人绑定投标的附条件生效协议以及能证明其能履行该协议项下的合同义务的能力的证明文件。</w:t>
      </w:r>
      <w:r>
        <w:rPr>
          <w:rFonts w:hint="eastAsia" w:asciiTheme="majorEastAsia" w:hAnsiTheme="majorEastAsia" w:eastAsiaTheme="majorEastAsia"/>
          <w:color w:val="auto"/>
          <w:szCs w:val="21"/>
          <w:highlight w:val="none"/>
        </w:rPr>
        <w:tab/>
      </w:r>
    </w:p>
    <w:p>
      <w:pPr>
        <w:spacing w:line="276" w:lineRule="auto"/>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（3）可证明与异议项目有利害关系的其他证明文件。</w:t>
      </w:r>
    </w:p>
    <w:p>
      <w:pPr>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ind w:firstLine="3520" w:firstLineChars="800"/>
        <w:jc w:val="both"/>
        <w:rPr>
          <w:color w:val="auto"/>
          <w:highlight w:val="none"/>
        </w:rPr>
      </w:pPr>
      <w:bookmarkStart w:id="26" w:name="_Toc21455"/>
      <w:bookmarkStart w:id="27" w:name="_Toc2867"/>
      <w:r>
        <w:rPr>
          <w:rFonts w:hint="eastAsia"/>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2219325</wp:posOffset>
                </wp:positionH>
                <wp:positionV relativeFrom="paragraph">
                  <wp:posOffset>233045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75pt;margin-top:18.35pt;height:0pt;width:75.5pt;z-index:251663360;mso-width-relative:page;mso-height-relative:page;" filled="f" stroked="t" coordsize="21600,21600" o:gfxdata="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SViE2AAAAAkBAAAPAAAAAAAAAAEAIAAAACIAAABkcnMvZG93bnJldi54bWxQSwECFAAU&#10;AAAACACHTuJAFyDFufEBAADiAwAADgAAAAAAAAABACAAAAAnAQAAZHJzL2Uyb0RvYy54bWxQSwUG&#10;AAAAAAYABgBZAQAAigUAAAAA&#10;">
                <v:fill on="f" focussize="0,0"/>
                <v:stroke color="#000000" joinstyle="round"/>
                <v:imagedata o:title=""/>
                <o:lock v:ext="edit" aspectratio="f"/>
              </v:shape>
            </w:pict>
          </mc:Fallback>
        </mc:AlternateContent>
      </w:r>
      <w:r>
        <w:rPr>
          <w:rFonts w:hint="eastAsia"/>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2234565</wp:posOffset>
                </wp:positionH>
                <wp:positionV relativeFrom="paragraph">
                  <wp:posOffset>706120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5.95pt;margin-top:55.6pt;height:0pt;width:75.5pt;z-index:251664384;mso-width-relative:page;mso-height-relative:page;" filled="f" stroked="t" coordsize="21600,21600" o:gfxdata="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BvWJ9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第三章</w:t>
      </w:r>
      <w:bookmarkEnd w:id="26"/>
      <w:bookmarkEnd w:id="27"/>
    </w:p>
    <w:p>
      <w:pPr>
        <w:pStyle w:val="36"/>
        <w:rPr>
          <w:color w:val="auto"/>
          <w:highlight w:val="none"/>
        </w:rPr>
      </w:pPr>
    </w:p>
    <w:p>
      <w:pPr>
        <w:pStyle w:val="4"/>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526"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371"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526"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371" w:type="dxa"/>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526"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371" w:type="dxa"/>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26"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371"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526"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371"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26"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371" w:type="dxa"/>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526"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371" w:type="dxa"/>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w:t>
            </w:r>
            <w:r>
              <w:rPr>
                <w:rFonts w:ascii="仿宋_GB2312" w:eastAsia="仿宋_GB2312" w:hAnsiTheme="minorEastAsia"/>
                <w:color w:val="auto"/>
                <w:sz w:val="24"/>
                <w:szCs w:val="24"/>
                <w:highlight w:val="none"/>
              </w:rPr>
              <w:t>0</w:t>
            </w:r>
            <w:r>
              <w:rPr>
                <w:rFonts w:hint="eastAsia" w:ascii="仿宋_GB2312" w:eastAsia="仿宋_GB2312" w:hAnsiTheme="minorEastAsia"/>
                <w:color w:val="auto"/>
                <w:sz w:val="24"/>
                <w:szCs w:val="24"/>
                <w:highlight w:val="none"/>
              </w:rPr>
              <w:t>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widowControl/>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34" w:name="_Toc19050"/>
      <w:bookmarkStart w:id="35" w:name="_Toc20594"/>
      <w:bookmarkStart w:id="36" w:name="_Toc19759"/>
      <w:bookmarkStart w:id="37" w:name="_Toc14870"/>
      <w:bookmarkStart w:id="38" w:name="_Toc23581"/>
      <w:bookmarkStart w:id="39" w:name="_Toc4952"/>
      <w:bookmarkStart w:id="40" w:name="_Toc10930"/>
      <w:bookmarkStart w:id="41" w:name="_Toc7437"/>
      <w:bookmarkStart w:id="42" w:name="_Toc14552"/>
      <w:bookmarkStart w:id="43" w:name="_Toc7118"/>
      <w:bookmarkStart w:id="44" w:name="_Toc3156"/>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8209941"/>
      <w:bookmarkStart w:id="46" w:name="_Toc29345"/>
      <w:bookmarkStart w:id="47" w:name="_Toc32607"/>
      <w:bookmarkStart w:id="48" w:name="_Toc6308"/>
      <w:bookmarkStart w:id="49" w:name="_Toc21079"/>
      <w:bookmarkStart w:id="50" w:name="_Toc7831"/>
      <w:bookmarkStart w:id="51" w:name="_Toc22212"/>
      <w:bookmarkStart w:id="52" w:name="_Toc87616378"/>
      <w:bookmarkStart w:id="53" w:name="_Toc12177"/>
      <w:bookmarkStart w:id="54" w:name="_Toc29484"/>
      <w:bookmarkStart w:id="55" w:name="_Toc13898"/>
      <w:bookmarkStart w:id="56" w:name="_Toc21840"/>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widowControl/>
        <w:jc w:val="left"/>
        <w:rPr>
          <w:rFonts w:eastAsia="方正小标宋简体"/>
          <w:bCs/>
          <w:color w:val="auto"/>
          <w:kern w:val="44"/>
          <w:sz w:val="44"/>
          <w:szCs w:val="44"/>
          <w:highlight w:val="none"/>
        </w:rPr>
      </w:pPr>
      <w:r>
        <w:rPr>
          <w:color w:val="auto"/>
          <w:highlight w:val="none"/>
        </w:rPr>
        <w:br w:type="page"/>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2348230</wp:posOffset>
                </wp:positionH>
                <wp:positionV relativeFrom="paragraph">
                  <wp:posOffset>234950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8.5pt;height:0pt;width:75.5pt;z-index:25166131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6233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第五章</w:t>
      </w:r>
    </w:p>
    <w:p>
      <w:pPr>
        <w:rPr>
          <w:color w:val="auto"/>
          <w:highlight w:val="none"/>
        </w:rPr>
      </w:pPr>
    </w:p>
    <w:p>
      <w:pPr>
        <w:pStyle w:val="4"/>
        <w:rPr>
          <w:color w:val="auto"/>
          <w:highlight w:val="none"/>
        </w:rPr>
      </w:pPr>
      <w:r>
        <w:rPr>
          <w:rFonts w:hint="eastAsia"/>
          <w:color w:val="auto"/>
          <w:highlight w:val="none"/>
        </w:rPr>
        <w:t>采购需求</w:t>
      </w:r>
    </w:p>
    <w:p>
      <w:pPr>
        <w:rPr>
          <w:color w:val="auto"/>
          <w:highlight w:val="none"/>
        </w:rPr>
      </w:pPr>
    </w:p>
    <w:bookmarkEnd w:id="60"/>
    <w:p>
      <w:pPr>
        <w:ind w:firstLine="560" w:firstLineChars="200"/>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2"/>
        <w:rPr>
          <w:rFonts w:hint="eastAsia" w:ascii="仿宋_GB2312" w:eastAsia="仿宋_GB2312" w:cs="Times New Roman" w:hAnsiTheme="minorEastAsia"/>
          <w:color w:val="auto"/>
          <w:kern w:val="0"/>
          <w:sz w:val="28"/>
          <w:highlight w:val="none"/>
          <w:lang w:val="en-US" w:eastAsia="zh-CN"/>
        </w:rPr>
      </w:pPr>
      <w:r>
        <w:rPr>
          <w:rFonts w:hint="eastAsia" w:ascii="仿宋_GB2312" w:eastAsia="仿宋_GB2312" w:cs="Times New Roman" w:hAnsiTheme="minorEastAsia"/>
          <w:color w:val="auto"/>
          <w:kern w:val="0"/>
          <w:sz w:val="28"/>
          <w:highlight w:val="none"/>
          <w:lang w:val="en-US" w:eastAsia="zh-CN"/>
        </w:rPr>
        <w:t xml:space="preserve">报价单位须对本项目为单位的服务进行整体响应，任何只对其中一部分内容进行的响应都被视为无效响应。 </w:t>
      </w:r>
    </w:p>
    <w:p>
      <w:pPr>
        <w:pStyle w:val="22"/>
        <w:jc w:val="left"/>
        <w:rPr>
          <w:rFonts w:hint="eastAsia" w:ascii="仿宋_GB2312" w:eastAsia="仿宋_GB2312" w:cs="Times New Roman" w:hAnsiTheme="minorEastAsia"/>
          <w:color w:val="auto"/>
          <w:kern w:val="0"/>
          <w:sz w:val="28"/>
          <w:highlight w:val="none"/>
        </w:rPr>
      </w:pPr>
      <w:r>
        <w:rPr>
          <w:rFonts w:hint="eastAsia" w:ascii="仿宋_GB2312" w:eastAsia="仿宋_GB2312" w:cs="Times New Roman" w:hAnsiTheme="minorEastAsia"/>
          <w:color w:val="auto"/>
          <w:kern w:val="0"/>
          <w:sz w:val="28"/>
          <w:highlight w:val="none"/>
          <w:lang w:val="en-US" w:eastAsia="zh-CN"/>
        </w:rPr>
        <w:t>询价文件中所有要求均为实质性响应条款，供应商如有任何一条负偏离则导致响应文件无效。</w:t>
      </w:r>
    </w:p>
    <w:p>
      <w:pPr>
        <w:pStyle w:val="5"/>
        <w:jc w:val="left"/>
        <w:rPr>
          <w:color w:val="auto"/>
          <w:highlight w:val="none"/>
        </w:rPr>
      </w:pPr>
      <w:r>
        <w:rPr>
          <w:rFonts w:hint="eastAsia"/>
          <w:color w:val="auto"/>
          <w:highlight w:val="none"/>
        </w:rPr>
        <w:t>一．需求目标</w:t>
      </w:r>
    </w:p>
    <w:p>
      <w:pPr>
        <w:pStyle w:val="2"/>
        <w:rPr>
          <w:rFonts w:ascii="仿宋_GB2312" w:eastAsia="仿宋_GB2312" w:hAnsiTheme="minorEastAsia"/>
          <w:color w:val="auto"/>
          <w:sz w:val="28"/>
          <w:highlight w:val="none"/>
        </w:rPr>
      </w:pPr>
      <w:r>
        <w:rPr>
          <w:rFonts w:hint="eastAsia" w:ascii="仿宋_GB2312" w:eastAsia="仿宋_GB2312" w:hAnsiTheme="minorEastAsia"/>
          <w:color w:val="auto"/>
          <w:sz w:val="28"/>
          <w:highlight w:val="none"/>
        </w:rPr>
        <w:t>通过本项目为广州市净水有限公司VPN认证系统建设，促使公司VPN认证系统需要加快完善的步伐，从而保障公司网络信息与数据安全，方便公司员工使用不同业务应用系统，提升第三方远程运维的安全管控能力，提高应用使用体验，提高访问的安全性。主要达成的目标如下：</w:t>
      </w:r>
    </w:p>
    <w:p>
      <w:pPr>
        <w:pStyle w:val="2"/>
        <w:numPr>
          <w:ilvl w:val="0"/>
          <w:numId w:val="4"/>
        </w:numPr>
        <w:ind w:left="780" w:leftChars="0" w:hanging="360" w:firstLineChars="0"/>
        <w:rPr>
          <w:rFonts w:ascii="仿宋_GB2312" w:eastAsia="仿宋_GB2312" w:hAnsiTheme="minorEastAsia"/>
          <w:color w:val="auto"/>
          <w:sz w:val="28"/>
          <w:highlight w:val="none"/>
        </w:rPr>
      </w:pPr>
      <w:r>
        <w:rPr>
          <w:rFonts w:hint="eastAsia" w:ascii="仿宋_GB2312" w:eastAsia="仿宋_GB2312" w:hAnsiTheme="minorEastAsia"/>
          <w:color w:val="auto"/>
          <w:sz w:val="28"/>
          <w:highlight w:val="none"/>
        </w:rPr>
        <w:t>规范用户登陆：用户使用域控服务的个人账号密码登录VPN，即可实现移动办公的需求，登录后能够访问所有授权的网络、应用系统，使办公更高效；域控认证服务可扩展到所有业务系统、IT管理系统、无线认证和网络准入等系统，建立用户登录管理规范，简化系统用户登录复杂度，提升用户体验和满意度。</w:t>
      </w:r>
    </w:p>
    <w:p>
      <w:pPr>
        <w:pStyle w:val="33"/>
        <w:numPr>
          <w:ilvl w:val="0"/>
          <w:numId w:val="4"/>
        </w:numPr>
        <w:spacing w:line="360" w:lineRule="auto"/>
        <w:ind w:left="780" w:leftChars="0" w:hanging="360" w:firstLineChars="0"/>
        <w:rPr>
          <w:rFonts w:ascii="仿宋_GB2312" w:eastAsia="仿宋_GB2312" w:cs="Times New Roman" w:hAnsiTheme="minorEastAsia"/>
          <w:color w:val="auto"/>
          <w:kern w:val="0"/>
          <w:sz w:val="28"/>
          <w:szCs w:val="24"/>
          <w:highlight w:val="none"/>
        </w:rPr>
      </w:pPr>
      <w:r>
        <w:rPr>
          <w:rFonts w:hint="eastAsia" w:ascii="仿宋_GB2312" w:eastAsia="仿宋_GB2312" w:cs="Times New Roman" w:hAnsiTheme="minorEastAsia"/>
          <w:color w:val="auto"/>
          <w:kern w:val="0"/>
          <w:sz w:val="28"/>
          <w:szCs w:val="24"/>
          <w:highlight w:val="none"/>
        </w:rPr>
        <w:t>强化网络安全：使用账号安全策略，全网用户身份信息、授权信息、认证信息等操作更加规范化、标准化，结合身份认证溯源功能，使得认证过程可查可溯；通过策略分析对多台防火墙策略配置进行分析检测，提前发现风险隐患，可输出分析报表。通过引入先进的应用防护系统，有效阻止信息非法篡改，提高整体IT架构的风险防范能力。</w:t>
      </w:r>
    </w:p>
    <w:p>
      <w:pPr>
        <w:pStyle w:val="33"/>
        <w:numPr>
          <w:ilvl w:val="0"/>
          <w:numId w:val="4"/>
        </w:numPr>
        <w:spacing w:line="360" w:lineRule="auto"/>
        <w:ind w:left="780" w:leftChars="0" w:hanging="360" w:firstLineChars="0"/>
        <w:rPr>
          <w:rFonts w:ascii="仿宋_GB2312" w:eastAsia="仿宋_GB2312" w:cs="Times New Roman" w:hAnsiTheme="minorEastAsia"/>
          <w:color w:val="auto"/>
          <w:kern w:val="0"/>
          <w:sz w:val="28"/>
          <w:szCs w:val="24"/>
          <w:highlight w:val="none"/>
        </w:rPr>
      </w:pPr>
      <w:r>
        <w:rPr>
          <w:rFonts w:hint="eastAsia" w:ascii="仿宋_GB2312" w:eastAsia="仿宋_GB2312" w:cs="Times New Roman" w:hAnsiTheme="minorEastAsia"/>
          <w:color w:val="auto"/>
          <w:kern w:val="0"/>
          <w:sz w:val="28"/>
          <w:szCs w:val="24"/>
          <w:highlight w:val="none"/>
        </w:rPr>
        <w:t>保障远程办公服务：远程办公方式已成为常态，利用防火墙VPN技术搭建冗余远程办公环境，通过用户账号安全策略分析，有效保障远程办公服务的安全性和可用性；VPN技术采用加密方式进行数据传输，数据交互均进行安全加密，有效阻止非法进入、被监听、分析等问题。</w:t>
      </w:r>
    </w:p>
    <w:p>
      <w:pPr>
        <w:pStyle w:val="33"/>
        <w:numPr>
          <w:ilvl w:val="0"/>
          <w:numId w:val="4"/>
        </w:numPr>
        <w:spacing w:line="360" w:lineRule="auto"/>
        <w:ind w:left="780" w:leftChars="0" w:hanging="360" w:firstLineChars="0"/>
        <w:rPr>
          <w:rFonts w:ascii="仿宋_GB2312" w:eastAsia="仿宋_GB2312" w:cs="Times New Roman" w:hAnsiTheme="minorEastAsia"/>
          <w:color w:val="auto"/>
          <w:kern w:val="0"/>
          <w:sz w:val="28"/>
          <w:szCs w:val="24"/>
          <w:highlight w:val="none"/>
        </w:rPr>
      </w:pPr>
      <w:r>
        <w:rPr>
          <w:rFonts w:hint="eastAsia" w:ascii="仿宋_GB2312" w:eastAsia="仿宋_GB2312" w:cs="Times New Roman" w:hAnsiTheme="minorEastAsia"/>
          <w:color w:val="auto"/>
          <w:kern w:val="0"/>
          <w:sz w:val="28"/>
          <w:szCs w:val="24"/>
          <w:highlight w:val="none"/>
          <w:lang w:val="en-US" w:eastAsia="zh-CN"/>
        </w:rPr>
        <w:t>第三方系统对接：以</w:t>
      </w:r>
      <w:r>
        <w:rPr>
          <w:rFonts w:hint="eastAsia" w:ascii="仿宋_GB2312" w:eastAsia="仿宋_GB2312" w:hAnsiTheme="minorEastAsia"/>
          <w:color w:val="auto"/>
          <w:sz w:val="28"/>
          <w:highlight w:val="none"/>
        </w:rPr>
        <w:t>VPN认证系统建设</w:t>
      </w:r>
      <w:r>
        <w:rPr>
          <w:rFonts w:hint="eastAsia" w:ascii="仿宋_GB2312" w:eastAsia="仿宋_GB2312" w:hAnsiTheme="minorEastAsia"/>
          <w:color w:val="auto"/>
          <w:sz w:val="28"/>
          <w:highlight w:val="none"/>
          <w:lang w:val="en-US" w:eastAsia="zh-CN"/>
        </w:rPr>
        <w:t>为基础，对接其他业务系统，使</w:t>
      </w:r>
      <w:r>
        <w:rPr>
          <w:rFonts w:hint="eastAsia" w:ascii="仿宋_GB2312" w:eastAsia="仿宋_GB2312" w:hAnsiTheme="minorEastAsia"/>
          <w:color w:val="auto"/>
          <w:sz w:val="28"/>
          <w:highlight w:val="none"/>
        </w:rPr>
        <w:t>认证系统可扩展到所有业务系统，建立用户</w:t>
      </w:r>
      <w:r>
        <w:rPr>
          <w:rFonts w:hint="eastAsia" w:ascii="仿宋_GB2312" w:eastAsia="仿宋_GB2312" w:hAnsiTheme="minorEastAsia"/>
          <w:color w:val="auto"/>
          <w:sz w:val="28"/>
          <w:highlight w:val="none"/>
          <w:lang w:val="en-US" w:eastAsia="zh-CN"/>
        </w:rPr>
        <w:t>认证标准</w:t>
      </w:r>
      <w:r>
        <w:rPr>
          <w:rFonts w:hint="eastAsia" w:ascii="仿宋_GB2312" w:eastAsia="仿宋_GB2312" w:hAnsiTheme="minorEastAsia"/>
          <w:color w:val="auto"/>
          <w:sz w:val="28"/>
          <w:highlight w:val="none"/>
        </w:rPr>
        <w:t>，</w:t>
      </w:r>
      <w:r>
        <w:rPr>
          <w:rFonts w:hint="eastAsia" w:ascii="仿宋_GB2312" w:eastAsia="仿宋_GB2312" w:hAnsiTheme="minorEastAsia"/>
          <w:color w:val="auto"/>
          <w:sz w:val="28"/>
          <w:highlight w:val="none"/>
          <w:lang w:val="en-US" w:eastAsia="zh-CN"/>
        </w:rPr>
        <w:t>优化</w:t>
      </w:r>
      <w:r>
        <w:rPr>
          <w:rFonts w:hint="eastAsia" w:ascii="仿宋_GB2312" w:eastAsia="仿宋_GB2312" w:hAnsiTheme="minorEastAsia"/>
          <w:color w:val="auto"/>
          <w:sz w:val="28"/>
          <w:highlight w:val="none"/>
        </w:rPr>
        <w:t>系统</w:t>
      </w:r>
      <w:r>
        <w:rPr>
          <w:rFonts w:hint="eastAsia" w:ascii="仿宋_GB2312" w:eastAsia="仿宋_GB2312" w:hAnsiTheme="minorEastAsia"/>
          <w:color w:val="auto"/>
          <w:sz w:val="28"/>
          <w:highlight w:val="none"/>
          <w:lang w:val="en-US" w:eastAsia="zh-CN"/>
        </w:rPr>
        <w:t>认证过程</w:t>
      </w:r>
      <w:r>
        <w:rPr>
          <w:rFonts w:hint="eastAsia" w:ascii="仿宋_GB2312" w:eastAsia="仿宋_GB2312" w:hAnsiTheme="minorEastAsia"/>
          <w:color w:val="auto"/>
          <w:sz w:val="28"/>
          <w:highlight w:val="none"/>
        </w:rPr>
        <w:t>，提升</w:t>
      </w:r>
      <w:r>
        <w:rPr>
          <w:rFonts w:hint="eastAsia" w:ascii="仿宋_GB2312" w:eastAsia="仿宋_GB2312" w:hAnsiTheme="minorEastAsia"/>
          <w:color w:val="auto"/>
          <w:sz w:val="28"/>
          <w:highlight w:val="none"/>
          <w:lang w:val="en-US" w:eastAsia="zh-CN"/>
        </w:rPr>
        <w:t>认证系统的扩充能力以及兼容性</w:t>
      </w:r>
      <w:r>
        <w:rPr>
          <w:rFonts w:hint="eastAsia" w:ascii="仿宋_GB2312" w:eastAsia="仿宋_GB2312" w:hAnsiTheme="minorEastAsia"/>
          <w:color w:val="auto"/>
          <w:sz w:val="28"/>
          <w:highlight w:val="none"/>
        </w:rPr>
        <w:t>。</w:t>
      </w:r>
    </w:p>
    <w:p>
      <w:pPr>
        <w:pStyle w:val="5"/>
        <w:jc w:val="left"/>
        <w:rPr>
          <w:color w:val="auto"/>
          <w:highlight w:val="none"/>
        </w:rPr>
      </w:pPr>
      <w:r>
        <w:rPr>
          <w:rFonts w:hint="eastAsia"/>
          <w:color w:val="auto"/>
          <w:highlight w:val="none"/>
        </w:rPr>
        <w:t>二．技术服务要求</w:t>
      </w:r>
    </w:p>
    <w:p>
      <w:pPr>
        <w:pStyle w:val="5"/>
        <w:jc w:val="left"/>
        <w:rPr>
          <w:color w:val="auto"/>
          <w:highlight w:val="none"/>
        </w:rPr>
      </w:pPr>
      <w:r>
        <w:rPr>
          <w:rFonts w:hint="eastAsia"/>
          <w:color w:val="auto"/>
          <w:highlight w:val="none"/>
        </w:rPr>
        <w:t>（一）技术要求</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本项目采用基于Windows Server域技术对现有架构进行高可用改造，实现身份统一认证高可用，开发一套人事系统组织架构同步应用，通过接口主动更新到域控服务器，中间库组织架构通过API接口被其他系统调用，员工通过自助服务平台进行日常账户自助服务，对域控进行实时安全监控和审计，主动进行账号风险预警，保护账号安全违规，使用防火墙集中管控平台对山石防火墙进行集中管控，统一策略下发以及管理、用户登录认证管理，提升系统安全性，通过应用防护系统，对整套系统应用进行安全防护。</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本项目拟采购的软硬件如下（</w:t>
      </w:r>
      <w:r>
        <w:rPr>
          <w:rFonts w:hint="eastAsia" w:ascii="仿宋_GB2312" w:eastAsia="仿宋_GB2312" w:hAnsiTheme="minorEastAsia"/>
          <w:color w:val="auto"/>
          <w:sz w:val="28"/>
          <w:szCs w:val="28"/>
          <w:highlight w:val="none"/>
          <w:lang w:val="en-US" w:eastAsia="zh-CN"/>
        </w:rPr>
        <w:t>需满足或优于</w:t>
      </w:r>
      <w:r>
        <w:rPr>
          <w:rFonts w:hint="eastAsia" w:ascii="仿宋_GB2312" w:eastAsia="仿宋_GB2312" w:hAnsiTheme="minorEastAsia"/>
          <w:color w:val="auto"/>
          <w:sz w:val="28"/>
          <w:szCs w:val="28"/>
          <w:highlight w:val="none"/>
        </w:rPr>
        <w:t>以下指标参数）：</w:t>
      </w:r>
    </w:p>
    <w:tbl>
      <w:tblPr>
        <w:tblStyle w:val="23"/>
        <w:tblW w:w="8866" w:type="dxa"/>
        <w:jc w:val="center"/>
        <w:tblLayout w:type="fixed"/>
        <w:tblCellMar>
          <w:top w:w="0" w:type="dxa"/>
          <w:left w:w="108" w:type="dxa"/>
          <w:bottom w:w="0" w:type="dxa"/>
          <w:right w:w="108" w:type="dxa"/>
        </w:tblCellMar>
      </w:tblPr>
      <w:tblGrid>
        <w:gridCol w:w="828"/>
        <w:gridCol w:w="1489"/>
        <w:gridCol w:w="5122"/>
        <w:gridCol w:w="709"/>
        <w:gridCol w:w="718"/>
      </w:tblGrid>
      <w:tr>
        <w:tblPrEx>
          <w:tblCellMar>
            <w:top w:w="0" w:type="dxa"/>
            <w:left w:w="108" w:type="dxa"/>
            <w:bottom w:w="0" w:type="dxa"/>
            <w:right w:w="108" w:type="dxa"/>
          </w:tblCellMar>
        </w:tblPrEx>
        <w:trPr>
          <w:trHeight w:val="418"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序号</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产品名称</w:t>
            </w:r>
          </w:p>
        </w:tc>
        <w:tc>
          <w:tcPr>
            <w:tcW w:w="5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技术参数要求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单位</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数量</w:t>
            </w:r>
          </w:p>
        </w:tc>
      </w:tr>
      <w:tr>
        <w:tblPrEx>
          <w:tblCellMar>
            <w:top w:w="0" w:type="dxa"/>
            <w:left w:w="108" w:type="dxa"/>
            <w:bottom w:w="0" w:type="dxa"/>
            <w:right w:w="108" w:type="dxa"/>
          </w:tblCellMar>
        </w:tblPrEx>
        <w:trPr>
          <w:trHeight w:val="985" w:hRule="atLeast"/>
          <w:jc w:val="center"/>
        </w:trPr>
        <w:tc>
          <w:tcPr>
            <w:tcW w:w="828" w:type="dxa"/>
            <w:tcBorders>
              <w:top w:val="nil"/>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1</w:t>
            </w:r>
          </w:p>
        </w:tc>
        <w:tc>
          <w:tcPr>
            <w:tcW w:w="1489" w:type="dxa"/>
            <w:tcBorders>
              <w:top w:val="nil"/>
              <w:left w:val="nil"/>
              <w:bottom w:val="single" w:color="auto" w:sz="4" w:space="0"/>
              <w:right w:val="single" w:color="auto" w:sz="4" w:space="0"/>
            </w:tcBorders>
            <w:shd w:val="clear" w:color="auto" w:fill="auto"/>
            <w:noWrap/>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集中认证平台</w:t>
            </w:r>
          </w:p>
        </w:tc>
        <w:tc>
          <w:tcPr>
            <w:tcW w:w="5122" w:type="dxa"/>
            <w:tcBorders>
              <w:top w:val="nil"/>
              <w:left w:val="nil"/>
              <w:bottom w:val="single" w:color="auto" w:sz="4" w:space="0"/>
              <w:right w:val="single" w:color="auto" w:sz="4" w:space="0"/>
            </w:tcBorders>
            <w:shd w:val="clear" w:color="auto" w:fill="auto"/>
            <w:vAlign w:val="center"/>
          </w:tcPr>
          <w:p>
            <w:pPr>
              <w:pStyle w:val="33"/>
              <w:widowControl/>
              <w:numPr>
                <w:ilvl w:val="0"/>
                <w:numId w:val="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Windows Server 服务器操作系统2022中文版，供货商时提供正版授权证明。</w:t>
            </w:r>
          </w:p>
          <w:p>
            <w:pPr>
              <w:pStyle w:val="33"/>
              <w:widowControl/>
              <w:numPr>
                <w:ilvl w:val="0"/>
                <w:numId w:val="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基于微软域控认证方案，对现有域控架构进行高可用改造，保证域控服务的稳定性。</w:t>
            </w:r>
          </w:p>
          <w:p>
            <w:pPr>
              <w:pStyle w:val="33"/>
              <w:widowControl/>
              <w:numPr>
                <w:ilvl w:val="0"/>
                <w:numId w:val="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搭建一套符合国际标准规范的冗余域控环境，实现内外部应用系统统一标准的LDAP同步认证能力，规范全网人员组织架构信息。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ascii="仿宋_GB2312" w:hAnsi="仿宋" w:eastAsia="仿宋_GB2312"/>
                <w:color w:val="auto"/>
                <w:sz w:val="24"/>
                <w:szCs w:val="24"/>
                <w:highlight w:val="none"/>
              </w:rPr>
              <w:t>2</w:t>
            </w:r>
          </w:p>
        </w:tc>
      </w:tr>
      <w:tr>
        <w:tblPrEx>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bookmarkStart w:id="61" w:name="_Hlk91152959"/>
            <w:r>
              <w:rPr>
                <w:rFonts w:hint="eastAsia" w:ascii="仿宋_GB2312" w:hAnsi="仿宋" w:eastAsia="仿宋_GB2312"/>
                <w:color w:val="auto"/>
                <w:sz w:val="24"/>
                <w:szCs w:val="24"/>
                <w:highlight w:val="none"/>
              </w:rPr>
              <w:t>2</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账号自助服务系统</w:t>
            </w:r>
          </w:p>
        </w:tc>
        <w:tc>
          <w:tcPr>
            <w:tcW w:w="51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完全基于B/S架构（监视及管理），中文界面，风格友好，操作简便。</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 xml:space="preserve">系统均采用JAVA架构开发，支持在安装于64位或32位Windows平台上 </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软件必须拥有自带合法授权数据库，无须用户额外购买和另行独立安装数据库。</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产品成熟可靠，访问和操作如下所有功能，所有功能和配置通过前台管理界面进行配置和操作，无须进入后台更改代码。</w:t>
            </w:r>
          </w:p>
          <w:p>
            <w:pPr>
              <w:pStyle w:val="33"/>
              <w:widowControl/>
              <w:numPr>
                <w:ilvl w:val="0"/>
                <w:numId w:val="6"/>
              </w:numPr>
              <w:spacing w:line="0" w:lineRule="atLeast"/>
              <w:ind w:firstLineChars="0"/>
              <w:jc w:val="left"/>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产品支持手机客户端，提供iOS和Android系统APP</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仿宋_GB2312" w:eastAsia="仿宋_GB2312" w:cs="仿宋_GB2312"/>
                <w:color w:val="auto"/>
                <w:sz w:val="24"/>
                <w:szCs w:val="24"/>
                <w:highlight w:val="none"/>
                <w:lang w:val="en-US" w:eastAsia="zh-CN"/>
              </w:rPr>
              <w:t>不少于4</w:t>
            </w:r>
            <w:r>
              <w:rPr>
                <w:rFonts w:hint="eastAsia" w:ascii="仿宋_GB2312" w:hAnsi="仿宋_GB2312" w:eastAsia="仿宋_GB2312" w:cs="仿宋_GB2312"/>
                <w:color w:val="auto"/>
                <w:kern w:val="0"/>
                <w:sz w:val="24"/>
                <w:szCs w:val="24"/>
                <w:highlight w:val="none"/>
              </w:rPr>
              <w:t>000</w:t>
            </w:r>
            <w:r>
              <w:rPr>
                <w:rFonts w:hint="eastAsia" w:ascii="仿宋_GB2312" w:hAnsi="华文仿宋" w:eastAsia="仿宋_GB2312" w:cs="Times New Roman"/>
                <w:color w:val="auto"/>
                <w:kern w:val="0"/>
                <w:sz w:val="24"/>
                <w:szCs w:val="24"/>
                <w:highlight w:val="none"/>
              </w:rPr>
              <w:t>个域账号自助服务永久使用授权，含1年原厂商标准技术支持服务。</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系统支持基于多种验证方式的身份验证，包括：安全密保问题，邮箱验证码，短信，Google 身份验证器，微软Authenticator，Duo Security，RSA serure ID，RADIUS身份验证，推送通知，指纹身份验证，基于二维码的身份验证，SAML身份验证，AD安全问题。</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可以设置允许进行自助服务器的账户，不允许的账户不能实现自助账户解锁和重置密码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支持设置密保问题的数量和回答密保问题的字符数。</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系统能够实现加强域密码策略，强制用户必须设置足够强度的密码。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系统能够实现不允许用户使用带有指定内容的密码，如：abc,qwer,aaa。</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提供的密码到期通知功能，可以指定提前通知的时间，定制通知的内容，从而确保要过期的用户被通知到。</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提供GINA功能，允许用户在计算机登录页面直接重置密码或解锁账户。</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支持搜索ＡＤ中的员工信息，以便用户查找需要的信息。</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系统能够实现用户密码即将过期或账户过期时，邮件或短信通知用户。</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支持用户自行维护自己的个人信息、联系信息以及组织/企业内用的有用信息，如：职务/职称、位置、所属部门等。</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系统支持域用户密码过期时自动重置该用户的密码。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系统支持自动解锁域中已锁定的账户。</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系统支持排除休眠用户、禁用用户、服务账户使用平台重置密码。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提供多种报表，可从不同视角对AD的用户进行统计。用户报表：被锁用户报表、密码即将过期的用户报表、密码过期的用户报表。用户登记报表：已登记用户报表、未注册的用户报表、被许可的用户报表、安全保密问题报表。审计报表：重置密码的审计报表、解锁的审计报表、自我更新审计报表、密码修改审计报表、通知发送报表、身份验证失败报表、用户尝试的审计报表。</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产品要求为拥有底层核心技术支持的同一品牌的产品，非OEM其他厂商的组合产品。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要求产品为产品原厂商提供合法使用软件，产品原厂商提供原厂产品介质，以及官方使用授权文件。</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产品厂商要求有多年的本产品技术积累，具有本企业注册地经济和信息化委员会颁发的软件企业证书,提供原厂商盖章的认证证书。</w:t>
            </w:r>
          </w:p>
          <w:p>
            <w:pPr>
              <w:pStyle w:val="33"/>
              <w:widowControl/>
              <w:numPr>
                <w:ilvl w:val="0"/>
                <w:numId w:val="6"/>
              </w:numPr>
              <w:spacing w:line="0" w:lineRule="atLeast"/>
              <w:ind w:firstLineChars="0"/>
              <w:rPr>
                <w:rFonts w:ascii="仿宋_GB2312" w:eastAsia="仿宋_GB2312"/>
                <w:color w:val="auto"/>
                <w:highlight w:val="none"/>
              </w:rPr>
            </w:pPr>
            <w:r>
              <w:rPr>
                <w:rFonts w:hint="eastAsia" w:ascii="仿宋_GB2312" w:hAnsi="华文仿宋" w:eastAsia="仿宋_GB2312" w:cs="Times New Roman"/>
                <w:color w:val="auto"/>
                <w:kern w:val="0"/>
                <w:sz w:val="24"/>
                <w:szCs w:val="24"/>
                <w:highlight w:val="none"/>
              </w:rPr>
              <w:t>★要求投标产品厂商通过ISO 9001产品质量认证体系，提供原厂商盖章的认证证书。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r>
        <w:tblPrEx>
          <w:tblCellMar>
            <w:top w:w="0" w:type="dxa"/>
            <w:left w:w="108" w:type="dxa"/>
            <w:bottom w:w="0" w:type="dxa"/>
            <w:right w:w="108" w:type="dxa"/>
          </w:tblCellMar>
        </w:tblPrEx>
        <w:trPr>
          <w:trHeight w:val="1408"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域控安全审计平台</w:t>
            </w:r>
          </w:p>
        </w:tc>
        <w:tc>
          <w:tcPr>
            <w:tcW w:w="51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★完全基于B/S架构（监视及管理），中文界面，风格友好，操作简便。</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 xml:space="preserve">系统均采用JAVA架构开发，支持在安装于64位或32位Windows平台上 </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软件必须拥有自带合法授权数据库，无须用户额外购买和另行独立安装数据库。</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产品成熟可靠，访问和操作如下所有功能，所有功能和配置通过前台管理界面进行配置和操作，无须进入后台更改代码。</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★产品支持手机客户端，提供iOS和Android系统APP</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2台域控服务器审计，含1年原厂商标准技术支持服务。</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宋体" w:hAnsi="宋体" w:cs="宋体"/>
                <w:color w:val="auto"/>
                <w:kern w:val="0"/>
                <w:szCs w:val="21"/>
                <w:highlight w:val="none"/>
              </w:rPr>
              <w:t>★</w:t>
            </w:r>
            <w:r>
              <w:rPr>
                <w:rFonts w:hint="eastAsia" w:ascii="仿宋_GB2312" w:hAnsi="华文仿宋" w:eastAsia="仿宋_GB2312" w:cs="Times New Roman"/>
                <w:color w:val="auto"/>
                <w:kern w:val="0"/>
                <w:sz w:val="24"/>
                <w:szCs w:val="24"/>
                <w:highlight w:val="none"/>
              </w:rPr>
              <w:t>需支持对域用户的登录行为进行审计，审计内容包括但不限于：登录失败、基于用户的登录失败、由于密码错误导致失败、由于用户名错误导致失败、基于天数的登录错误、基于DC的登录活动、基于IP地址的登录活动、域控制器的登录活动、最近的用户登录活动、用户的最后登录。</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宋体" w:hAnsi="宋体" w:cs="宋体"/>
                <w:color w:val="auto"/>
                <w:kern w:val="0"/>
                <w:szCs w:val="21"/>
                <w:highlight w:val="none"/>
              </w:rPr>
              <w:t>★</w:t>
            </w:r>
            <w:r>
              <w:rPr>
                <w:rFonts w:hint="eastAsia" w:ascii="仿宋_GB2312" w:hAnsi="华文仿宋" w:eastAsia="仿宋_GB2312" w:cs="Times New Roman"/>
                <w:color w:val="auto"/>
                <w:kern w:val="0"/>
                <w:sz w:val="24"/>
                <w:szCs w:val="24"/>
                <w:highlight w:val="none"/>
              </w:rPr>
              <w:t>需支持对活动目录的账户管理进行审计，审计内容包括但不限于：所有的AD变更、所有的AD变更-用户、域控制器上的所有AD变更、所有用户活动、用户活动、用户管理、组管理、计算机管理、OU（组织单元）管理、GPO管理。</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★针对用户管理的审计，审计内容包括但不限于：用户账户的创建、删除、移动、启用、禁用、锁定、解锁、密码更改、密码设置、扩展属性变更、用户属性的新旧值。</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对于组的管理行为审计，审计内容包括但不限于：安全组/通信组的创建、删除、最近移动的组、重命名的组、最近更改的组、安全组/通信组中最近添加的成员、最近移除的成员、扩展属性变更、组属性的新旧值。</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★针对计算机的管理审计，审计内容包括但不限于：计算机的创建、更改、删除、移动、启用、禁用，扩展属性变更、计算机属性的新旧值。</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★针对GPO（组策略对象）的审计，应包括GPO的创建、更改、删除，以及GPO链接的变更行为的审计。</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★针对OU（组织单元）的审计，应包括OU的创建、更改、删除、移动、重命名、扩展属性的变更、组织单位的历史。</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针对域策略变更更审计，应包含域策略的变更、域DNS对象的变更、域级别权限的变更审计。</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★基于配置自定义报表，允许用户根据审计需要，创建特定的报表。支持定期生成报表，并将报表发送给特定的邮箱。</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★支持导出报表为PDF、HTML、XLS、CSV等格式文件。</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★支持指定天数之前的审计数据将被归档，并从数据库中清除，并且可以自定义归档审计数据位置。</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★能够定制告警规则，包括告警的重要度、分类、告警消息内容、基于阈值告警、工作时间告警、过滤器。系统能够在匹配到告警规则时，自动触发告警动作（告警动作包括：邮件通知、短信通知、执行脚本）。</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★以上产品要求为拥有底层核心技术支持的同一品牌的产品，非OEM其他厂商的组合产品。</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要求产品为产品原厂商提供合法使用软件，产品原厂商提供原厂产品介质，以及官方使用授权文件。</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★产品厂商要求有多年的本产品技术积累，具有本企业注册地经济和信息化委员会颁发的软件企业证书,提供原厂商盖章的认证证书。</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★要求投标产品厂商通过ISO 9001产品质量认证体系，提供原厂商盖章的认证证书。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r>
        <w:tblPrEx>
          <w:tblCellMar>
            <w:top w:w="0" w:type="dxa"/>
            <w:left w:w="108" w:type="dxa"/>
            <w:bottom w:w="0" w:type="dxa"/>
            <w:right w:w="108" w:type="dxa"/>
          </w:tblCellMar>
        </w:tblPrEx>
        <w:trPr>
          <w:trHeight w:val="98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w:t>
            </w:r>
          </w:p>
        </w:tc>
        <w:tc>
          <w:tcPr>
            <w:tcW w:w="1489" w:type="dxa"/>
            <w:tcBorders>
              <w:top w:val="single" w:color="auto" w:sz="4" w:space="0"/>
              <w:left w:val="nil"/>
              <w:bottom w:val="single" w:color="auto" w:sz="4" w:space="0"/>
              <w:right w:val="single" w:color="auto" w:sz="4" w:space="0"/>
            </w:tcBorders>
            <w:shd w:val="clear" w:color="auto" w:fill="auto"/>
            <w:noWrap/>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软件定制开发</w:t>
            </w:r>
          </w:p>
        </w:tc>
        <w:tc>
          <w:tcPr>
            <w:tcW w:w="5122" w:type="dxa"/>
            <w:tcBorders>
              <w:top w:val="single" w:color="auto" w:sz="4" w:space="0"/>
              <w:left w:val="nil"/>
              <w:bottom w:val="single" w:color="auto" w:sz="4" w:space="0"/>
              <w:right w:val="single" w:color="auto" w:sz="4" w:space="0"/>
            </w:tcBorders>
            <w:shd w:val="clear" w:color="auto" w:fill="auto"/>
            <w:vAlign w:val="center"/>
          </w:tcPr>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开发一套基于人事系统的组织架构及用户同步软件，人事系统组织架构定时同步到域控平台。</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员工信息同步：可以通过定时任务、消息队列等方式，从HR系统读取员工信息，并根据规则将员工信息同步到AD域中。同步员工信息时需要考虑数据一致性和安全性。</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组织架构同步：可以通过类似的方式，从HR系统读取组织架构信息，并将组织架构信息同步到AD域中。同步组织架构信息时需要考虑组织架构变动的情况，及时更新组织架构信息。</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组织架构变更通知：在组织架构发生变更时，通过消息或邮件等方式通知相关人员或系统。</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员工信息变更通知：在员工信息发生变更时，通过消息或邮件等方式通知相关人员或系统。</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安全审计：记录系统中的数据操作和访问记录，便于安全审计和故障排查。</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ascii="仿宋_GB2312" w:hAnsi="仿宋" w:eastAsia="仿宋_GB2312"/>
                <w:color w:val="auto"/>
                <w:sz w:val="24"/>
                <w:szCs w:val="24"/>
                <w:highlight w:val="none"/>
              </w:rPr>
              <w:t>开放API,可以支持管理业务系统授权令牌.业务系统可以通过OAuth2授权申请一个访问令牌,经过安全认证后再访问相应数据资源.</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如员工信息,组织架构信息等.</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ascii="仿宋_GB2312" w:hAnsi="仿宋" w:eastAsia="仿宋_GB2312"/>
                <w:color w:val="auto"/>
                <w:sz w:val="24"/>
                <w:szCs w:val="24"/>
                <w:highlight w:val="none"/>
              </w:rPr>
              <w:t>监控API调用情况,</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可支持自动屏蔽API异常调用,</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保证系统稳定性.</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ascii="仿宋_GB2312" w:hAnsi="仿宋" w:eastAsia="仿宋_GB2312"/>
                <w:color w:val="auto"/>
                <w:sz w:val="24"/>
                <w:szCs w:val="24"/>
                <w:highlight w:val="none"/>
              </w:rPr>
              <w:t>白名单,黑名单功能.</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允许或屏蔽指定ip/域名调用API访问敏感数据.</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ascii="仿宋_GB2312" w:hAnsi="仿宋" w:eastAsia="仿宋_GB2312"/>
                <w:color w:val="auto"/>
                <w:sz w:val="24"/>
                <w:szCs w:val="24"/>
                <w:highlight w:val="none"/>
              </w:rPr>
              <w:t>提供web管理后台,</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可管理配置业务系统授权码,设置API调用频次,</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查看导出API调用记录及调用异常情况.</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高可用: 分布式部署,系统要支持高可用特性。</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数据备份和恢复：定期进行数据备份，并提供数据恢复功能，避免数据丢失和故障。</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数据库安全：系统中的敏感数据需要存储在安全的数据库中，并采用加密、访问控制等方式保障数据安全。</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访问安全：系统中的服务和API需要对用户进行身份验证和授权，避免未授权的用户访问敏感信息。</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传输安全：系统中的数据传输需要采用安全的传输协议，例如HTTPS协议，保障数据在传输过程中的安全性</w:t>
            </w:r>
          </w:p>
          <w:p>
            <w:pPr>
              <w:pStyle w:val="33"/>
              <w:widowControl/>
              <w:numPr>
                <w:ilvl w:val="0"/>
                <w:numId w:val="8"/>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兼容性：可对接第三方系统，满足其他系统对认证信息的要求</w:t>
            </w:r>
            <w:r>
              <w:rPr>
                <w:rFonts w:hint="eastAsia" w:ascii="仿宋_GB2312" w:hAnsi="仿宋" w:eastAsia="仿宋_GB2312"/>
                <w:color w:val="auto"/>
                <w:sz w:val="24"/>
                <w:szCs w:val="24"/>
                <w:highlight w:val="none"/>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r>
        <w:tblPrEx>
          <w:tblCellMar>
            <w:top w:w="0" w:type="dxa"/>
            <w:left w:w="108" w:type="dxa"/>
            <w:bottom w:w="0" w:type="dxa"/>
            <w:right w:w="108" w:type="dxa"/>
          </w:tblCellMar>
        </w:tblPrEx>
        <w:trPr>
          <w:trHeight w:val="98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w:t>
            </w:r>
          </w:p>
        </w:tc>
        <w:tc>
          <w:tcPr>
            <w:tcW w:w="1489" w:type="dxa"/>
            <w:tcBorders>
              <w:top w:val="single" w:color="auto" w:sz="4" w:space="0"/>
              <w:left w:val="nil"/>
              <w:bottom w:val="single" w:color="auto" w:sz="4" w:space="0"/>
              <w:right w:val="single" w:color="auto" w:sz="4" w:space="0"/>
            </w:tcBorders>
            <w:shd w:val="clear" w:color="auto" w:fill="auto"/>
            <w:noWrap/>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防火墙集中管理平台</w:t>
            </w:r>
          </w:p>
        </w:tc>
        <w:tc>
          <w:tcPr>
            <w:tcW w:w="5122" w:type="dxa"/>
            <w:tcBorders>
              <w:top w:val="single" w:color="auto" w:sz="4" w:space="0"/>
              <w:left w:val="nil"/>
              <w:bottom w:val="single" w:color="auto" w:sz="4" w:space="0"/>
              <w:right w:val="single" w:color="auto" w:sz="4" w:space="0"/>
            </w:tcBorders>
            <w:shd w:val="clear" w:color="auto" w:fill="auto"/>
            <w:vAlign w:val="center"/>
          </w:tcPr>
          <w:p>
            <w:pPr>
              <w:pStyle w:val="33"/>
              <w:widowControl/>
              <w:numPr>
                <w:ilvl w:val="0"/>
                <w:numId w:val="9"/>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支持对山石网科防火墙设备进行集中管理。</w:t>
            </w:r>
          </w:p>
          <w:p>
            <w:pPr>
              <w:pStyle w:val="33"/>
              <w:widowControl/>
              <w:numPr>
                <w:ilvl w:val="0"/>
                <w:numId w:val="9"/>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支持虚拟化Vmware Workstation/EXSI或KVM环境部署，支持管理设备数量≥2</w:t>
            </w:r>
            <w:r>
              <w:rPr>
                <w:rFonts w:ascii="仿宋_GB2312" w:hAnsi="仿宋" w:eastAsia="仿宋_GB2312"/>
                <w:color w:val="auto"/>
                <w:sz w:val="24"/>
                <w:szCs w:val="24"/>
                <w:highlight w:val="none"/>
              </w:rPr>
              <w:t>5</w:t>
            </w:r>
            <w:r>
              <w:rPr>
                <w:rFonts w:hint="eastAsia" w:ascii="仿宋_GB2312" w:hAnsi="仿宋" w:eastAsia="仿宋_GB2312"/>
                <w:color w:val="auto"/>
                <w:sz w:val="24"/>
                <w:szCs w:val="24"/>
                <w:highlight w:val="none"/>
              </w:rPr>
              <w:t>个。</w:t>
            </w:r>
          </w:p>
          <w:p>
            <w:pPr>
              <w:pStyle w:val="33"/>
              <w:widowControl/>
              <w:numPr>
                <w:ilvl w:val="0"/>
                <w:numId w:val="9"/>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支持设备主机名称、设备序列号、版本、管理IP、设备运行时间、接口状态、新建连接及会话等相关信息显示。</w:t>
            </w:r>
          </w:p>
          <w:p>
            <w:pPr>
              <w:pStyle w:val="33"/>
              <w:widowControl/>
              <w:numPr>
                <w:ilvl w:val="0"/>
                <w:numId w:val="9"/>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支持曲线图显示设备的接口状态、CPU利用率、内存使用率、会话数、总流量、应用流量以及用户流量等信息。</w:t>
            </w:r>
          </w:p>
          <w:p>
            <w:pPr>
              <w:pStyle w:val="33"/>
              <w:widowControl/>
              <w:numPr>
                <w:ilvl w:val="0"/>
                <w:numId w:val="9"/>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支持实时的流量监控，并在客户端通过饼状图或者柱状图直观显示。</w:t>
            </w:r>
          </w:p>
          <w:p>
            <w:pPr>
              <w:pStyle w:val="33"/>
              <w:widowControl/>
              <w:numPr>
                <w:ilvl w:val="0"/>
                <w:numId w:val="9"/>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支持基于攻击次数、病毒数阈值、特征事件、关键字、日志级别等多种告警条件定义，通过邮件和短信方式外发告警信息。</w:t>
            </w:r>
          </w:p>
          <w:p>
            <w:pPr>
              <w:pStyle w:val="33"/>
              <w:widowControl/>
              <w:numPr>
                <w:ilvl w:val="0"/>
                <w:numId w:val="9"/>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提供直观、丰富的统计报表，通过对设备信息、网络访问和用户行为进行综合分析，为用户呈现全方位、多角度的统计数据和图表。</w:t>
            </w:r>
          </w:p>
          <w:p>
            <w:pPr>
              <w:pStyle w:val="33"/>
              <w:widowControl/>
              <w:numPr>
                <w:ilvl w:val="0"/>
                <w:numId w:val="9"/>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安全管理中心平台可接收设备发送的多种日志信息，经过系统处理后，用户可进行多维度、多条件的浏览，日志根据颜色区分级别。</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r>
        <w:tblPrEx>
          <w:tblCellMar>
            <w:top w:w="0" w:type="dxa"/>
            <w:left w:w="108" w:type="dxa"/>
            <w:bottom w:w="0" w:type="dxa"/>
            <w:right w:w="108" w:type="dxa"/>
          </w:tblCellMar>
        </w:tblPrEx>
        <w:trPr>
          <w:trHeight w:val="416"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w:t>
            </w:r>
          </w:p>
        </w:tc>
        <w:tc>
          <w:tcPr>
            <w:tcW w:w="1489" w:type="dxa"/>
            <w:tcBorders>
              <w:top w:val="single" w:color="auto" w:sz="4" w:space="0"/>
              <w:left w:val="nil"/>
              <w:bottom w:val="single" w:color="auto" w:sz="4" w:space="0"/>
              <w:right w:val="single" w:color="auto" w:sz="4" w:space="0"/>
            </w:tcBorders>
            <w:shd w:val="clear" w:color="auto" w:fill="auto"/>
            <w:noWrap/>
            <w:vAlign w:val="center"/>
          </w:tcPr>
          <w:p>
            <w:pPr>
              <w:spacing w:line="0" w:lineRule="atLeast"/>
              <w:jc w:val="center"/>
              <w:rPr>
                <w:rFonts w:hint="eastAsia" w:ascii="仿宋_GB2312" w:hAnsi="华文仿宋" w:eastAsia="仿宋_GB2312" w:cs="Times New Roman"/>
                <w:color w:val="auto"/>
                <w:kern w:val="0"/>
                <w:sz w:val="24"/>
                <w:szCs w:val="24"/>
                <w:highlight w:val="none"/>
                <w:lang w:eastAsia="zh-CN"/>
              </w:rPr>
            </w:pPr>
            <w:r>
              <w:rPr>
                <w:rFonts w:hint="eastAsia" w:ascii="仿宋_GB2312" w:hAnsi="华文仿宋" w:eastAsia="仿宋_GB2312" w:cs="Times New Roman"/>
                <w:color w:val="auto"/>
                <w:kern w:val="0"/>
                <w:sz w:val="24"/>
                <w:szCs w:val="24"/>
                <w:highlight w:val="none"/>
              </w:rPr>
              <w:t>应用防护</w:t>
            </w:r>
            <w:r>
              <w:rPr>
                <w:rFonts w:hint="eastAsia" w:ascii="仿宋_GB2312" w:hAnsi="华文仿宋" w:eastAsia="仿宋_GB2312" w:cs="Times New Roman"/>
                <w:color w:val="auto"/>
                <w:kern w:val="0"/>
                <w:sz w:val="24"/>
                <w:szCs w:val="24"/>
                <w:highlight w:val="none"/>
                <w:lang w:val="en-US" w:eastAsia="zh-CN"/>
              </w:rPr>
              <w:t>系统</w:t>
            </w:r>
          </w:p>
        </w:tc>
        <w:tc>
          <w:tcPr>
            <w:tcW w:w="5122" w:type="dxa"/>
            <w:tcBorders>
              <w:top w:val="single" w:color="auto" w:sz="4" w:space="0"/>
              <w:left w:val="nil"/>
              <w:bottom w:val="single" w:color="auto" w:sz="4" w:space="0"/>
              <w:right w:val="single" w:color="auto" w:sz="4" w:space="0"/>
            </w:tcBorders>
            <w:shd w:val="clear" w:color="auto" w:fill="auto"/>
            <w:vAlign w:val="center"/>
          </w:tcPr>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2U设备,含交流冗余电源模块,2*USB接口,1*RJ45串口,1*GE管理口,128G SSD，2T SATA(2T 企业级硬盘)，千兆电口* 4（2路ByPass）+千兆光口*4（2路ByPass）。</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网络层吞吐量≧16Gbps，应用层吞吐量≧4.2Gbps，QPS≧17,000，CPS≧15,000。</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部署模式：支持旁路镜像、透明代理、透明桥、路由代理和反向代理部署，支持HA模式，支持配置信息同步、透明代理支持主/主模式。</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具备http协议深层解码能力，解码方式包括：URL解码、JSON解码、Base64解码、16进制转换、斜杠反转义、XML解析、PHP反序列化解析、UTF-7解码。</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支持SQL注入攻击检测，通过解析http协议中payload内容，识别符合sql语句的词法、语法特征，评估威胁等级并阻断，提供使用语义分析技术检测SQL注入攻击能力。</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具有独立防护能力的具有自主知识产权的智能语义分析检测引擎（需提供由国家知识产权局颁发的专利证书及其摘要页，专利需要证明所述的网络检测方法可以根据目标语言进行词法分析、语法分析和语义分析，根据所述分析结果，确定目标请求数据的风险级别）。</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具备0day漏洞防护能力，检测攻击行为特征进行，实现告警和拦截无需升级特征库即可防御。（提供至少4个实际防护案例说明）</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支持CC攻击防护，通过限制IP和Session实现对异常访问行为的限制，并内置Session系统。</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支持CSRF和SSRF检测，通过分析Payload代码特征，告警并阻断相关请求。</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支持访问IP溯源，能够从Socket、X-Forwarded-For和任意Http头中获取访问源IP；其中X-Forwarded-For支持倒数第n层代理进行获取，n为可灵活自定义的数字。</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攻击检测模块中包含机器人检测，至少支持5种爬虫检测类型，且须包含字节跳动、yandex、无头谷歌浏览器，支持信息泄露检测，检测内容须包括测试文件、备份文件、代码仓库和服务器敏感文件，可通过response检测信息泄露。</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支持BOT防护，能够对友好及恶意程序进行甄别分类，并采取针对性的流量管理策略。</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《计算机信息系统安全专用产品销售许可证》（增强级），提供证书复印件证明。</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bookmarkEnd w:id="61"/>
    </w:tbl>
    <w:p>
      <w:pPr>
        <w:rPr>
          <w:rFonts w:ascii="仿宋_GB2312" w:eastAsia="仿宋_GB2312" w:cs="Times New Roman" w:hAnsiTheme="minorEastAsia"/>
          <w:color w:val="auto"/>
          <w:kern w:val="0"/>
          <w:sz w:val="28"/>
          <w:szCs w:val="24"/>
          <w:highlight w:val="none"/>
        </w:rPr>
      </w:pPr>
      <w:r>
        <w:rPr>
          <w:rFonts w:hint="eastAsia" w:ascii="仿宋_GB2312" w:eastAsia="仿宋_GB2312" w:cs="Times New Roman" w:hAnsiTheme="minorEastAsia"/>
          <w:color w:val="auto"/>
          <w:kern w:val="0"/>
          <w:sz w:val="28"/>
          <w:szCs w:val="24"/>
          <w:highlight w:val="none"/>
        </w:rPr>
        <w:t>项目交付中所需线材等辅助性材料、施工的其他费用包含在报价中。</w:t>
      </w:r>
    </w:p>
    <w:p>
      <w:pPr>
        <w:pStyle w:val="9"/>
        <w:ind w:firstLine="560" w:firstLineChars="200"/>
        <w:rPr>
          <w:rFonts w:ascii="仿宋_GB2312" w:eastAsia="仿宋_GB2312" w:cs="Times New Roman" w:hAnsiTheme="minorEastAsia"/>
          <w:color w:val="auto"/>
          <w:kern w:val="0"/>
          <w:sz w:val="28"/>
          <w:szCs w:val="24"/>
          <w:highlight w:val="none"/>
          <w:u w:val="single"/>
        </w:rPr>
      </w:pPr>
      <w:r>
        <w:rPr>
          <w:rFonts w:hint="eastAsia" w:ascii="仿宋_GB2312" w:eastAsia="仿宋_GB2312" w:cs="Times New Roman" w:hAnsiTheme="minorEastAsia"/>
          <w:color w:val="auto"/>
          <w:kern w:val="0"/>
          <w:sz w:val="28"/>
          <w:szCs w:val="24"/>
          <w:highlight w:val="none"/>
          <w:u w:val="single"/>
        </w:rPr>
        <w:t>为证明技术响应的真实性，报价单位递交响应文件时须提供本项目账号自助服务系统、域控安全审计系统及应用防护设备技术指标要求中带“</w:t>
      </w:r>
      <w:r>
        <w:rPr>
          <w:rFonts w:hint="eastAsia" w:ascii="宋体" w:hAnsi="宋体"/>
          <w:color w:val="auto"/>
          <w:sz w:val="24"/>
          <w:szCs w:val="24"/>
          <w:highlight w:val="none"/>
          <w:u w:val="single"/>
        </w:rPr>
        <w:t>★</w:t>
      </w:r>
      <w:r>
        <w:rPr>
          <w:rFonts w:hint="eastAsia" w:ascii="仿宋_GB2312" w:eastAsia="仿宋_GB2312" w:cs="Times New Roman" w:hAnsiTheme="minorEastAsia"/>
          <w:color w:val="auto"/>
          <w:kern w:val="0"/>
          <w:sz w:val="28"/>
          <w:szCs w:val="24"/>
          <w:highlight w:val="none"/>
          <w:u w:val="single"/>
        </w:rPr>
        <w:t>”项的技术参数证明材料（真实截图证明及相关证明材料，加盖原厂公章），未提供或证明材料无法完整证明或不清晰的，视为无效响应。</w:t>
      </w:r>
    </w:p>
    <w:p>
      <w:pPr>
        <w:pStyle w:val="5"/>
        <w:jc w:val="left"/>
        <w:rPr>
          <w:color w:val="auto"/>
          <w:highlight w:val="none"/>
        </w:rPr>
      </w:pPr>
      <w:r>
        <w:rPr>
          <w:rFonts w:hint="eastAsia"/>
          <w:color w:val="auto"/>
          <w:highlight w:val="none"/>
        </w:rPr>
        <w:t>（二）服务要求</w:t>
      </w:r>
    </w:p>
    <w:p>
      <w:pPr>
        <w:pStyle w:val="2"/>
        <w:rPr>
          <w:rFonts w:ascii="仿宋_GB2312" w:eastAsia="仿宋_GB2312" w:hAnsiTheme="minorEastAsia"/>
          <w:color w:val="auto"/>
          <w:sz w:val="28"/>
          <w:highlight w:val="none"/>
        </w:rPr>
      </w:pPr>
      <w:r>
        <w:rPr>
          <w:rFonts w:hint="eastAsia" w:ascii="仿宋_GB2312" w:eastAsia="仿宋_GB2312" w:hAnsiTheme="minorEastAsia"/>
          <w:color w:val="auto"/>
          <w:sz w:val="28"/>
          <w:highlight w:val="none"/>
        </w:rPr>
        <w:t>项目必须提供的具体服务内容如下：</w:t>
      </w:r>
    </w:p>
    <w:p>
      <w:pPr>
        <w:pStyle w:val="2"/>
        <w:ind w:firstLine="0"/>
        <w:rPr>
          <w:rFonts w:ascii="仿宋_GB2312" w:eastAsia="仿宋_GB2312" w:hAnsiTheme="minorEastAsia"/>
          <w:b/>
          <w:color w:val="auto"/>
          <w:sz w:val="28"/>
          <w:highlight w:val="none"/>
        </w:rPr>
      </w:pPr>
      <w:r>
        <w:rPr>
          <w:rFonts w:hint="eastAsia" w:ascii="仿宋_GB2312" w:eastAsia="仿宋_GB2312" w:hAnsiTheme="minorEastAsia"/>
          <w:b/>
          <w:color w:val="auto"/>
          <w:sz w:val="28"/>
          <w:highlight w:val="none"/>
        </w:rPr>
        <w:t>质保期服务内容</w:t>
      </w:r>
    </w:p>
    <w:p>
      <w:pPr>
        <w:pStyle w:val="2"/>
        <w:numPr>
          <w:ilvl w:val="0"/>
          <w:numId w:val="11"/>
        </w:numPr>
        <w:ind w:left="567" w:hanging="283"/>
        <w:rPr>
          <w:rFonts w:ascii="仿宋_GB2312" w:eastAsia="仿宋_GB2312" w:hAnsiTheme="minorEastAsia"/>
          <w:color w:val="auto"/>
          <w:sz w:val="28"/>
          <w:highlight w:val="none"/>
        </w:rPr>
      </w:pPr>
      <w:r>
        <w:rPr>
          <w:rFonts w:hint="eastAsia" w:ascii="仿宋_GB2312" w:eastAsia="仿宋_GB2312" w:hAnsiTheme="minorEastAsia"/>
          <w:color w:val="auto"/>
          <w:sz w:val="28"/>
          <w:highlight w:val="none"/>
        </w:rPr>
        <w:t>承包人明确承诺：本项目提供的免费系统升级服务、硬件维护服务、服务支持不低于1年。</w:t>
      </w:r>
    </w:p>
    <w:p>
      <w:pPr>
        <w:pStyle w:val="2"/>
        <w:numPr>
          <w:ilvl w:val="0"/>
          <w:numId w:val="11"/>
        </w:numPr>
        <w:ind w:left="567" w:hanging="283"/>
        <w:rPr>
          <w:rFonts w:ascii="仿宋_GB2312" w:eastAsia="仿宋_GB2312" w:hAnsiTheme="minorEastAsia"/>
          <w:color w:val="auto"/>
          <w:sz w:val="28"/>
          <w:highlight w:val="none"/>
        </w:rPr>
      </w:pPr>
      <w:r>
        <w:rPr>
          <w:rFonts w:hint="eastAsia" w:ascii="仿宋_GB2312" w:eastAsia="仿宋_GB2312" w:hAnsiTheme="minorEastAsia"/>
          <w:color w:val="auto"/>
          <w:sz w:val="28"/>
          <w:highlight w:val="none"/>
        </w:rPr>
        <w:t>承包人响应产品属于国家规定“三包”范围的，其产品质量保证期不得低于“三包”规定。</w:t>
      </w:r>
    </w:p>
    <w:p>
      <w:pPr>
        <w:pStyle w:val="2"/>
        <w:numPr>
          <w:ilvl w:val="0"/>
          <w:numId w:val="11"/>
        </w:numPr>
        <w:ind w:left="567" w:hanging="283"/>
        <w:rPr>
          <w:rFonts w:ascii="仿宋_GB2312" w:eastAsia="仿宋_GB2312" w:hAnsiTheme="minorEastAsia"/>
          <w:color w:val="auto"/>
          <w:sz w:val="28"/>
          <w:highlight w:val="none"/>
        </w:rPr>
      </w:pPr>
      <w:r>
        <w:rPr>
          <w:rFonts w:hint="eastAsia" w:ascii="仿宋_GB2312" w:eastAsia="仿宋_GB2312" w:hAnsiTheme="minorEastAsia"/>
          <w:color w:val="auto"/>
          <w:sz w:val="28"/>
          <w:highlight w:val="none"/>
        </w:rPr>
        <w:t>承包人的质量保证期承诺优于国家“三包”规定的，按承包人实际承诺执行。</w:t>
      </w:r>
    </w:p>
    <w:p>
      <w:pPr>
        <w:pStyle w:val="2"/>
        <w:numPr>
          <w:ilvl w:val="0"/>
          <w:numId w:val="11"/>
        </w:numPr>
        <w:ind w:left="567" w:hanging="283"/>
        <w:rPr>
          <w:rFonts w:ascii="仿宋_GB2312" w:eastAsia="仿宋_GB2312" w:hAnsiTheme="minorEastAsia"/>
          <w:color w:val="auto"/>
          <w:sz w:val="28"/>
          <w:highlight w:val="none"/>
        </w:rPr>
      </w:pPr>
      <w:r>
        <w:rPr>
          <w:rFonts w:hint="eastAsia" w:ascii="仿宋_GB2312" w:eastAsia="仿宋_GB2312" w:hAnsiTheme="minorEastAsia"/>
          <w:color w:val="auto"/>
          <w:sz w:val="28"/>
          <w:highlight w:val="none"/>
        </w:rPr>
        <w:t>承包人投标产品由原厂负责标准售后服务的，应当在响应文件中予以明确说明。</w:t>
      </w:r>
    </w:p>
    <w:p>
      <w:pPr>
        <w:pStyle w:val="2"/>
        <w:ind w:firstLine="0"/>
        <w:rPr>
          <w:rFonts w:ascii="仿宋_GB2312" w:eastAsia="仿宋_GB2312" w:hAnsiTheme="minorEastAsia"/>
          <w:b/>
          <w:color w:val="auto"/>
          <w:sz w:val="28"/>
          <w:highlight w:val="none"/>
        </w:rPr>
      </w:pPr>
      <w:r>
        <w:rPr>
          <w:rFonts w:hint="eastAsia" w:ascii="仿宋_GB2312" w:eastAsia="仿宋_GB2312" w:hAnsiTheme="minorEastAsia"/>
          <w:b/>
          <w:color w:val="auto"/>
          <w:sz w:val="28"/>
          <w:highlight w:val="none"/>
        </w:rPr>
        <w:t>售后服务内容</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1.承包人在质量保证期内应当为提供以下技术支持和服务:</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A、电话咨询</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承包人应当为采购人提供其单位以及原厂的技术援助电话，解答在使用中遇到的问题，及时提出解决问题的建议。</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B、现场响应</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遇到使用及技术问题，电话咨询不能解决的，承包人应在1小时内到达现场进行处理，确保产品正常工作﹔无法在2小时内解决的，应在2小时内提供备用产品，使采购人能够正常使用。</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C、技术升级</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在质保期内，如果承包人的销售的产品发现漏洞或能够技术升级，承包人应及时通知采购人，如采购人有相应要求，承包人应对采购人购买的产品进行升级服务。</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2.质保期外服务要求</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A、质量保证期过后，承包人应同样提供免费电话咨询服务，并应承诺提供产品上门维护服务。</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B、质量保证期过后，采购人需要继续由承包人提供售后服务的，该承包人应以优惠价格提供售后服务。</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D、应急技术支持</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1.针对重大安全事件，即态势感知平台检测到的安全事件，导致全网瘫痪，严重影响基本业务正常开展，应急工程师在10分钟内响应，在1小时内到达指定现场。</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2.针对较大安全事件，即态势感知平台检测到的安全事件，导致部分业务系统被攻击或发生僵木蠕事件，影响部分系统基本业务正常开展，应急工程师在20分钟内响应，在2小时内到达指定现场。</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3.针对一般安全事件，即态势感知平台检测到的安全事件，不影响正常业务办公，但是会有较大风险会导致业务或网络中断，应急工程师在30分钟内响应，在4小时内到达指定现场。</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E、运维服务支持</w:t>
      </w:r>
    </w:p>
    <w:p>
      <w:pPr>
        <w:pStyle w:val="2"/>
        <w:ind w:firstLine="560" w:firstLineChars="20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定期对安全组件上的安全策略进行统一管理，确保安全组件上的安全策略始终处于最优水平，针对威胁能起到最好的防护效果，根据安全事件分析的结果以及处置方式，按需对安全组件上的安全策略进行优化，全面提升网络安全管理与防护水平。</w:t>
      </w:r>
    </w:p>
    <w:p>
      <w:pPr>
        <w:pStyle w:val="5"/>
        <w:jc w:val="left"/>
        <w:rPr>
          <w:color w:val="auto"/>
          <w:highlight w:val="none"/>
        </w:rPr>
      </w:pPr>
      <w:r>
        <w:rPr>
          <w:rFonts w:hint="eastAsia"/>
          <w:color w:val="auto"/>
          <w:highlight w:val="none"/>
        </w:rPr>
        <w:t>三．培训要求</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承包单位应根据项目实施的计划、进度和需要与采购人的合理要求，及时安排相关人员进行培训。</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培训目标为使受训者能够独立、熟练地完成操作，实现本项目所有设备的基本操作。具体如下：</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由承包单位组织正式培训，采用准备好的注释、讲义、讨论会、视听演示以及在现场进行实际操作示范，培训人员应做好操作、管理、维护的充分准备，承包单位应提交培训计划给采购人以获批准。</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培训范围：设备以及系统的维护操作</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培训地点：广州市净水有限公司</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培训时间：在项目施工完成后进行培训</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培训内容：</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根据用户常维护需求提供相关的知识进行培训及答疑，次数不少于1次。</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若用户对设备日常维护管理及使用仍存在疑问，在运行和维护期间乙方必须持续提供咨询服务。</w:t>
      </w:r>
    </w:p>
    <w:p>
      <w:pPr>
        <w:pStyle w:val="5"/>
        <w:jc w:val="left"/>
        <w:rPr>
          <w:color w:val="auto"/>
          <w:highlight w:val="none"/>
        </w:rPr>
      </w:pPr>
      <w:r>
        <w:rPr>
          <w:rFonts w:hint="eastAsia"/>
          <w:color w:val="auto"/>
          <w:highlight w:val="none"/>
        </w:rPr>
        <w:t>四．商务要求</w:t>
      </w:r>
    </w:p>
    <w:p>
      <w:pPr>
        <w:rPr>
          <w:rFonts w:ascii="仿宋_GB2312" w:eastAsia="仿宋_GB2312"/>
          <w:color w:val="auto"/>
          <w:sz w:val="28"/>
          <w:szCs w:val="28"/>
          <w:highlight w:val="none"/>
        </w:rPr>
      </w:pPr>
      <w:r>
        <w:rPr>
          <w:rFonts w:hint="eastAsia" w:ascii="仿宋_GB2312" w:eastAsia="仿宋_GB2312"/>
          <w:color w:val="auto"/>
          <w:sz w:val="28"/>
          <w:szCs w:val="28"/>
          <w:highlight w:val="none"/>
        </w:rPr>
        <w:t>1.交货期限：合同生效后</w:t>
      </w:r>
      <w:r>
        <w:rPr>
          <w:rFonts w:ascii="仿宋_GB2312" w:eastAsia="仿宋_GB2312"/>
          <w:color w:val="auto"/>
          <w:sz w:val="28"/>
          <w:szCs w:val="28"/>
          <w:highlight w:val="none"/>
        </w:rPr>
        <w:t>8</w:t>
      </w:r>
      <w:r>
        <w:rPr>
          <w:rFonts w:hint="eastAsia" w:ascii="仿宋_GB2312" w:eastAsia="仿宋_GB2312"/>
          <w:color w:val="auto"/>
          <w:sz w:val="28"/>
          <w:szCs w:val="28"/>
          <w:highlight w:val="none"/>
        </w:rPr>
        <w:t>个天内。项目建设周期：</w:t>
      </w:r>
      <w:r>
        <w:rPr>
          <w:rFonts w:ascii="仿宋_GB2312" w:eastAsia="仿宋_GB2312"/>
          <w:color w:val="auto"/>
          <w:sz w:val="28"/>
          <w:szCs w:val="28"/>
          <w:highlight w:val="none"/>
        </w:rPr>
        <w:t>90</w:t>
      </w:r>
      <w:r>
        <w:rPr>
          <w:rFonts w:hint="eastAsia" w:ascii="仿宋_GB2312" w:eastAsia="仿宋_GB2312"/>
          <w:color w:val="auto"/>
          <w:sz w:val="28"/>
          <w:szCs w:val="28"/>
          <w:highlight w:val="none"/>
        </w:rPr>
        <w:t>天。</w:t>
      </w:r>
    </w:p>
    <w:p>
      <w:pP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.总包及分包规定：本项目不接受分包。</w:t>
      </w:r>
    </w:p>
    <w:p>
      <w:pP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.付款方式：采用网银支付形式。</w:t>
      </w:r>
    </w:p>
    <w:p>
      <w:pP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.承包方式：包工、包料、包设备安装、包开发、包调试、</w:t>
      </w:r>
      <w:r>
        <w:rPr>
          <w:rFonts w:hint="eastAsia" w:ascii="仿宋_GB2312" w:eastAsia="仿宋_GB2312"/>
          <w:color w:val="auto"/>
          <w:sz w:val="28"/>
          <w:szCs w:val="28"/>
          <w:highlight w:val="none"/>
          <w:lang w:val="en-US" w:eastAsia="zh-CN"/>
        </w:rPr>
        <w:t>包与其他系统对接、</w:t>
      </w:r>
      <w:r>
        <w:rPr>
          <w:rFonts w:hint="eastAsia" w:ascii="仿宋_GB2312" w:eastAsia="仿宋_GB2312"/>
          <w:color w:val="auto"/>
          <w:sz w:val="28"/>
          <w:szCs w:val="28"/>
          <w:highlight w:val="none"/>
        </w:rPr>
        <w:t>包培训、包运维（1年）、包验收的总价包干方式。</w:t>
      </w:r>
    </w:p>
    <w:p>
      <w:pP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.项目结算：以合同为准。</w:t>
      </w: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2" w:name="_Toc15570"/>
      <w:bookmarkStart w:id="63" w:name="_Toc4680"/>
      <w:bookmarkStart w:id="64" w:name="_Toc1496"/>
      <w:bookmarkStart w:id="65" w:name="_Toc25925"/>
      <w:bookmarkStart w:id="66" w:name="_Toc23330"/>
      <w:bookmarkStart w:id="67" w:name="_Toc537"/>
      <w:bookmarkStart w:id="68" w:name="_Toc29835"/>
      <w:bookmarkStart w:id="69" w:name="_Toc1284"/>
      <w:bookmarkStart w:id="70" w:name="_Toc23353"/>
      <w:bookmarkStart w:id="71" w:name="_Toc12135"/>
      <w:bookmarkStart w:id="72" w:name="_Toc18538"/>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default"/>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2338070</wp:posOffset>
                </wp:positionH>
                <wp:positionV relativeFrom="paragraph">
                  <wp:posOffset>735965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4.1pt;margin-top:57.95pt;height:0pt;width:75.5pt;z-index:25166848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2341245</wp:posOffset>
                </wp:positionH>
                <wp:positionV relativeFrom="paragraph">
                  <wp:posOffset>207010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35pt;margin-top:16.3pt;height:0pt;width:75.5pt;z-index:25166745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4"/>
        <w:rPr>
          <w:color w:val="auto"/>
          <w:highlight w:val="none"/>
        </w:rPr>
      </w:pPr>
      <w:bookmarkStart w:id="73" w:name="_Toc323"/>
      <w:bookmarkStart w:id="74" w:name="_Toc12980"/>
      <w:bookmarkStart w:id="75" w:name="_Toc12721"/>
      <w:bookmarkStart w:id="76" w:name="_Toc19686"/>
      <w:bookmarkStart w:id="77" w:name="_Toc87616386"/>
      <w:bookmarkStart w:id="78" w:name="_Toc19088"/>
      <w:bookmarkStart w:id="79" w:name="_Toc1375"/>
      <w:bookmarkStart w:id="80" w:name="_Toc13309"/>
      <w:bookmarkStart w:id="81" w:name="_Toc22501"/>
      <w:bookmarkStart w:id="82" w:name="_Toc88209949"/>
      <w:bookmarkStart w:id="83" w:name="_Toc8183"/>
      <w:bookmarkStart w:id="84" w:name="_Toc22797"/>
      <w:bookmarkStart w:id="85" w:name="_Toc12968"/>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color w:val="auto"/>
          <w:highlight w:val="none"/>
          <w:lang w:eastAsia="zh-CN"/>
        </w:rPr>
      </w:pPr>
    </w:p>
    <w:p>
      <w:pPr>
        <w:pStyle w:val="2"/>
        <w:rPr>
          <w:rFonts w:hint="eastAsia"/>
          <w:color w:val="auto"/>
          <w:highlight w:val="none"/>
          <w:lang w:eastAsia="zh-CN"/>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utoSpaceDE w:val="0"/>
        <w:autoSpaceDN w:val="0"/>
        <w:adjustRightInd w:val="0"/>
        <w:snapToGrid w:val="0"/>
        <w:spacing w:line="300" w:lineRule="auto"/>
        <w:ind w:right="32"/>
        <w:jc w:val="right"/>
        <w:rPr>
          <w:rFonts w:hint="eastAsia" w:ascii="宋体" w:hAnsi="宋体" w:eastAsia="宋体" w:cs="宋体"/>
          <w:b/>
          <w:color w:val="auto"/>
          <w:szCs w:val="21"/>
          <w:highlight w:val="none"/>
        </w:rPr>
      </w:pPr>
    </w:p>
    <w:p>
      <w:pPr>
        <w:autoSpaceDE w:val="0"/>
        <w:autoSpaceDN w:val="0"/>
        <w:adjustRightInd w:val="0"/>
        <w:snapToGrid w:val="0"/>
        <w:spacing w:line="300" w:lineRule="auto"/>
        <w:ind w:right="32"/>
        <w:jc w:val="right"/>
        <w:rPr>
          <w:rFonts w:ascii="宋体" w:hAnsi="宋体" w:eastAsia="宋体" w:cs="宋体"/>
          <w:color w:val="auto"/>
          <w:szCs w:val="21"/>
          <w:highlight w:val="none"/>
        </w:rPr>
      </w:pPr>
      <w:r>
        <w:rPr>
          <w:rFonts w:hint="eastAsia" w:ascii="宋体" w:hAnsi="宋体" w:eastAsia="宋体" w:cs="宋体"/>
          <w:b/>
          <w:color w:val="auto"/>
          <w:szCs w:val="21"/>
          <w:highlight w:val="none"/>
        </w:rPr>
        <w:t>2021年</w:t>
      </w:r>
      <w:r>
        <w:rPr>
          <w:rFonts w:hint="eastAsia" w:ascii="宋体" w:hAnsi="宋体" w:cs="宋体"/>
          <w:b/>
          <w:color w:val="auto"/>
          <w:szCs w:val="21"/>
          <w:highlight w:val="none"/>
        </w:rPr>
        <w:t>8</w:t>
      </w:r>
      <w:r>
        <w:rPr>
          <w:rFonts w:hint="eastAsia" w:ascii="宋体" w:hAnsi="宋体" w:eastAsia="宋体" w:cs="宋体"/>
          <w:b/>
          <w:color w:val="auto"/>
          <w:szCs w:val="21"/>
          <w:highlight w:val="none"/>
        </w:rPr>
        <w:t>月版</w:t>
      </w:r>
    </w:p>
    <w:p>
      <w:pPr>
        <w:spacing w:line="400" w:lineRule="atLeast"/>
        <w:jc w:val="center"/>
        <w:rPr>
          <w:rFonts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p>
    <w:p>
      <w:pPr>
        <w:spacing w:line="400" w:lineRule="atLeast"/>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广州市净水有限公司VPN认证</w:t>
      </w:r>
    </w:p>
    <w:p>
      <w:pPr>
        <w:spacing w:line="400" w:lineRule="atLeast"/>
        <w:jc w:val="center"/>
        <w:rPr>
          <w:rFonts w:asciiTheme="majorHAnsi" w:hAnsiTheme="majorHAnsi" w:eastAsiaTheme="majorEastAsia"/>
          <w:b/>
          <w:bCs/>
          <w:color w:val="auto"/>
          <w:sz w:val="48"/>
          <w:szCs w:val="48"/>
          <w:highlight w:val="none"/>
        </w:rPr>
      </w:pPr>
      <w:r>
        <w:rPr>
          <w:rFonts w:hint="eastAsia" w:ascii="宋体" w:hAnsi="宋体" w:cs="宋体"/>
          <w:b/>
          <w:bCs/>
          <w:color w:val="auto"/>
          <w:sz w:val="48"/>
          <w:szCs w:val="48"/>
          <w:highlight w:val="none"/>
        </w:rPr>
        <w:t>系统建设项目</w:t>
      </w:r>
      <w:r>
        <w:rPr>
          <w:rFonts w:hint="eastAsia" w:ascii="宋体" w:hAnsi="宋体" w:cs="宋体"/>
          <w:b/>
          <w:bCs/>
          <w:color w:val="auto"/>
          <w:sz w:val="48"/>
          <w:szCs w:val="48"/>
          <w:highlight w:val="none"/>
        </w:rPr>
        <w:t>合同</w:t>
      </w:r>
    </w:p>
    <w:p>
      <w:pPr>
        <w:spacing w:line="400" w:lineRule="atLeast"/>
        <w:jc w:val="center"/>
        <w:rPr>
          <w:rFonts w:ascii="宋体" w:hAnsi="宋体" w:eastAsia="宋体"/>
          <w:b/>
          <w:color w:val="auto"/>
          <w:sz w:val="28"/>
          <w:highlight w:val="none"/>
        </w:rPr>
      </w:pPr>
      <w:r>
        <w:rPr>
          <w:rFonts w:hint="eastAsia" w:ascii="宋体" w:hAnsi="宋体"/>
          <w:bCs/>
          <w:color w:val="auto"/>
          <w:sz w:val="28"/>
          <w:highlight w:val="none"/>
        </w:rPr>
        <w:t xml:space="preserve"> </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rPr>
        <w:t>广州市净水有限公司VPN认证系统建设项目</w:t>
      </w:r>
    </w:p>
    <w:p>
      <w:pPr>
        <w:spacing w:line="400" w:lineRule="atLeast"/>
        <w:rPr>
          <w:rFonts w:hint="eastAsia" w:ascii="宋体" w:hAnsi="宋体" w:cs="宋体" w:eastAsiaTheme="minorEastAsia"/>
          <w:b/>
          <w:color w:val="auto"/>
          <w:sz w:val="30"/>
          <w:szCs w:val="30"/>
          <w:highlight w:val="none"/>
          <w:lang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w:t>
      </w: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乙方： </w:t>
      </w:r>
    </w:p>
    <w:p>
      <w:pPr>
        <w:rPr>
          <w:rFonts w:ascii="仿宋_GB2312" w:eastAsia="仿宋_GB2312"/>
          <w:bCs/>
          <w:color w:val="auto"/>
          <w:sz w:val="28"/>
          <w:szCs w:val="28"/>
          <w:highlight w:val="none"/>
        </w:rPr>
      </w:pPr>
    </w:p>
    <w:p>
      <w:pPr>
        <w:rPr>
          <w:rFonts w:ascii="仿宋_GB2312" w:eastAsia="仿宋_GB2312"/>
          <w:bCs/>
          <w:color w:val="auto"/>
          <w:sz w:val="28"/>
          <w:szCs w:val="28"/>
          <w:highlight w:val="none"/>
        </w:rPr>
      </w:pPr>
    </w:p>
    <w:p>
      <w:pPr>
        <w:pStyle w:val="2"/>
        <w:rPr>
          <w:color w:val="auto"/>
          <w:highlight w:val="none"/>
        </w:rPr>
      </w:pPr>
    </w:p>
    <w:p>
      <w:pPr>
        <w:pStyle w:val="2"/>
        <w:rPr>
          <w:color w:val="auto"/>
          <w:highlight w:val="none"/>
        </w:rPr>
      </w:pPr>
    </w:p>
    <w:p>
      <w:pPr>
        <w:rPr>
          <w:rFonts w:ascii="仿宋_GB2312" w:eastAsia="仿宋_GB2312"/>
          <w:bCs/>
          <w:color w:val="auto"/>
          <w:sz w:val="28"/>
          <w:szCs w:val="28"/>
          <w:highlight w:val="none"/>
        </w:rPr>
      </w:pPr>
    </w:p>
    <w:p>
      <w:pPr>
        <w:rPr>
          <w:rFonts w:ascii="仿宋_GB2312" w:eastAsia="仿宋_GB2312"/>
          <w:bCs/>
          <w:color w:val="auto"/>
          <w:sz w:val="28"/>
          <w:szCs w:val="28"/>
          <w:highlight w:val="none"/>
        </w:rPr>
      </w:pPr>
    </w:p>
    <w:p>
      <w:pPr>
        <w:spacing w:before="93" w:beforeLines="30" w:line="48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（以下简称“乙方”）依照</w:t>
      </w:r>
      <w:r>
        <w:rPr>
          <w:rFonts w:hint="eastAsia" w:ascii="宋体" w:hAnsi="宋体" w:cs="宋体"/>
          <w:color w:val="auto"/>
          <w:sz w:val="24"/>
          <w:szCs w:val="24"/>
          <w:highlight w:val="none"/>
          <w:shd w:val="clear" w:color="auto" w:fill="FFFFFF"/>
        </w:rPr>
        <w:t>《中华人民共和国网络安全法》及相关</w:t>
      </w:r>
      <w:r>
        <w:rPr>
          <w:rFonts w:hint="eastAsia" w:ascii="宋体" w:hAnsi="宋体" w:cs="宋体"/>
          <w:color w:val="auto"/>
          <w:sz w:val="24"/>
          <w:szCs w:val="24"/>
          <w:highlight w:val="none"/>
        </w:rPr>
        <w:t>法律法规，就</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一、组成合同的文件及优先顺序</w:t>
      </w:r>
    </w:p>
    <w:p>
      <w:pPr>
        <w:spacing w:line="480" w:lineRule="exact"/>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⑴ </w:t>
      </w:r>
      <w:r>
        <w:rPr>
          <w:rFonts w:hint="eastAsia" w:ascii="宋体" w:hAnsi="宋体" w:cs="宋体"/>
          <w:color w:val="auto"/>
          <w:sz w:val="24"/>
          <w:szCs w:val="24"/>
          <w:highlight w:val="none"/>
        </w:rPr>
        <w:t>在本合同实施过程双方签署的补充与修正文件</w:t>
      </w:r>
      <w:r>
        <w:rPr>
          <w:rFonts w:hint="eastAsia" w:ascii="宋体" w:hAnsi="宋体" w:cs="宋体"/>
          <w:bCs/>
          <w:color w:val="auto"/>
          <w:sz w:val="24"/>
          <w:szCs w:val="24"/>
          <w:highlight w:val="none"/>
        </w:rPr>
        <w:t>；</w:t>
      </w:r>
    </w:p>
    <w:p>
      <w:pPr>
        <w:spacing w:line="480" w:lineRule="exact"/>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⑵ 本合同书；</w:t>
      </w:r>
    </w:p>
    <w:p>
      <w:pPr>
        <w:spacing w:line="480" w:lineRule="exact"/>
        <w:ind w:firstLine="482"/>
        <w:rPr>
          <w:rFonts w:asciiTheme="minorEastAsia" w:hAnsiTheme="minorEastAsia" w:cstheme="minorEastAsia"/>
          <w:bCs/>
          <w:color w:val="auto"/>
          <w:sz w:val="24"/>
          <w:szCs w:val="24"/>
          <w:highlight w:val="none"/>
        </w:rPr>
      </w:pPr>
      <w:r>
        <w:rPr>
          <w:rFonts w:hint="eastAsia" w:ascii="宋体" w:hAnsi="宋体" w:cs="宋体"/>
          <w:bCs/>
          <w:color w:val="auto"/>
          <w:sz w:val="24"/>
          <w:szCs w:val="24"/>
          <w:highlight w:val="none"/>
        </w:rPr>
        <w:t xml:space="preserve">⑶ </w:t>
      </w:r>
      <w:r>
        <w:rPr>
          <w:rFonts w:hint="eastAsia" w:asciiTheme="minorEastAsia" w:hAnsiTheme="minorEastAsia" w:cstheme="minorEastAsia"/>
          <w:bCs/>
          <w:color w:val="auto"/>
          <w:sz w:val="24"/>
          <w:szCs w:val="24"/>
          <w:highlight w:val="none"/>
        </w:rPr>
        <w:t>中标通知书/发包通知书/成交通知书/委托函；</w:t>
      </w:r>
    </w:p>
    <w:p>
      <w:pPr>
        <w:spacing w:line="480" w:lineRule="exact"/>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⑷ 招标文件/询价文件；</w:t>
      </w:r>
    </w:p>
    <w:p>
      <w:pPr>
        <w:spacing w:line="480" w:lineRule="exact"/>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⑸ 投标文件/响应文件；</w:t>
      </w:r>
    </w:p>
    <w:p>
      <w:pPr>
        <w:spacing w:line="480" w:lineRule="exact"/>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⑹ 标准、规范及有关技术性文件；</w:t>
      </w:r>
    </w:p>
    <w:p>
      <w:pPr>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⑺ 技术需求书</w:t>
      </w:r>
    </w:p>
    <w:p>
      <w:pPr>
        <w:spacing w:line="480" w:lineRule="exact"/>
        <w:ind w:firstLine="360" w:firstLineChars="150"/>
        <w:rPr>
          <w:rFonts w:ascii="宋体" w:hAnsi="宋体" w:cs="宋体"/>
          <w:bCs/>
          <w:color w:val="auto"/>
          <w:sz w:val="24"/>
          <w:szCs w:val="24"/>
          <w:highlight w:val="none"/>
        </w:rPr>
      </w:pPr>
      <w:r>
        <w:rPr>
          <w:rFonts w:hint="eastAsia" w:ascii="宋体" w:hAnsi="宋体" w:cs="宋体"/>
          <w:bCs/>
          <w:color w:val="auto"/>
          <w:sz w:val="24"/>
          <w:szCs w:val="24"/>
          <w:highlight w:val="none"/>
        </w:rPr>
        <w:t>（8） 本合同其他附件；</w:t>
      </w:r>
    </w:p>
    <w:p>
      <w:pPr>
        <w:spacing w:line="480" w:lineRule="exact"/>
        <w:rPr>
          <w:rFonts w:ascii="宋体" w:hAnsi="宋体" w:cs="宋体"/>
          <w:b/>
          <w:color w:val="auto"/>
          <w:sz w:val="24"/>
          <w:szCs w:val="24"/>
          <w:highlight w:val="none"/>
        </w:rPr>
      </w:pPr>
      <w:r>
        <w:rPr>
          <w:rFonts w:hint="eastAsia" w:ascii="宋体" w:hAnsi="宋体" w:cs="宋体"/>
          <w:color w:val="auto"/>
          <w:sz w:val="24"/>
          <w:szCs w:val="24"/>
          <w:highlight w:val="none"/>
        </w:rPr>
        <w:t>　　</w:t>
      </w:r>
      <w:r>
        <w:rPr>
          <w:rFonts w:hint="eastAsia" w:ascii="宋体" w:hAnsi="宋体" w:cs="宋体"/>
          <w:b/>
          <w:color w:val="auto"/>
          <w:sz w:val="24"/>
          <w:szCs w:val="24"/>
          <w:highlight w:val="none"/>
        </w:rPr>
        <w:t>二、服务内容及建设目标：</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2.1服务内容：</w:t>
      </w:r>
      <w:r>
        <w:rPr>
          <w:rFonts w:hint="eastAsia" w:ascii="宋体" w:hAnsi="宋体" w:cs="宋体"/>
          <w:color w:val="auto"/>
          <w:sz w:val="24"/>
          <w:szCs w:val="24"/>
          <w:highlight w:val="none"/>
          <w:u w:val="single"/>
        </w:rPr>
        <w:t xml:space="preserve"> （详见技术需求书）   </w:t>
      </w:r>
    </w:p>
    <w:p>
      <w:pPr>
        <w:spacing w:line="480" w:lineRule="exact"/>
        <w:ind w:firstLine="480"/>
        <w:rPr>
          <w:rFonts w:ascii="宋体" w:hAnsi="宋体" w:cs="宋体"/>
          <w:color w:val="auto"/>
          <w:sz w:val="24"/>
          <w:szCs w:val="24"/>
          <w:highlight w:val="none"/>
          <w:u w:val="single"/>
        </w:rPr>
      </w:pPr>
      <w:r>
        <w:rPr>
          <w:rFonts w:hint="eastAsia" w:ascii="宋体" w:hAnsi="宋体" w:cs="宋体"/>
          <w:color w:val="auto"/>
          <w:sz w:val="24"/>
          <w:szCs w:val="24"/>
          <w:highlight w:val="none"/>
        </w:rPr>
        <w:t>2.2建设目标：</w:t>
      </w:r>
      <w:r>
        <w:rPr>
          <w:rFonts w:hint="eastAsia" w:ascii="宋体" w:hAnsi="宋体" w:cs="宋体"/>
          <w:color w:val="auto"/>
          <w:sz w:val="24"/>
          <w:szCs w:val="24"/>
          <w:highlight w:val="none"/>
          <w:u w:val="single"/>
        </w:rPr>
        <w:t xml:space="preserve">  （详见技术需求书）  </w:t>
      </w:r>
    </w:p>
    <w:p>
      <w:pPr>
        <w:spacing w:line="4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 项目</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明细：</w:t>
      </w:r>
    </w:p>
    <w:tbl>
      <w:tblPr>
        <w:tblStyle w:val="23"/>
        <w:tblW w:w="9578" w:type="dxa"/>
        <w:jc w:val="center"/>
        <w:tblLayout w:type="fixed"/>
        <w:tblCellMar>
          <w:top w:w="0" w:type="dxa"/>
          <w:left w:w="0" w:type="dxa"/>
          <w:bottom w:w="0" w:type="dxa"/>
          <w:right w:w="0" w:type="dxa"/>
        </w:tblCellMar>
      </w:tblPr>
      <w:tblGrid>
        <w:gridCol w:w="542"/>
        <w:gridCol w:w="1449"/>
        <w:gridCol w:w="2150"/>
        <w:gridCol w:w="672"/>
        <w:gridCol w:w="688"/>
        <w:gridCol w:w="837"/>
        <w:gridCol w:w="863"/>
        <w:gridCol w:w="1100"/>
        <w:gridCol w:w="1277"/>
      </w:tblGrid>
      <w:tr>
        <w:tblPrEx>
          <w:tblCellMar>
            <w:top w:w="0" w:type="dxa"/>
            <w:left w:w="0" w:type="dxa"/>
            <w:bottom w:w="0" w:type="dxa"/>
            <w:right w:w="0" w:type="dxa"/>
          </w:tblCellMar>
        </w:tblPrEx>
        <w:trPr>
          <w:trHeight w:val="532" w:hRule="atLeast"/>
          <w:jc w:val="center"/>
        </w:trPr>
        <w:tc>
          <w:tcPr>
            <w:tcW w:w="542" w:type="dxa"/>
            <w:tcBorders>
              <w:top w:val="single" w:color="8497B0" w:sz="4" w:space="0"/>
              <w:left w:val="single" w:color="8497B0" w:sz="4" w:space="0"/>
              <w:bottom w:val="single" w:color="auto" w:sz="4" w:space="0"/>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449" w:type="dxa"/>
            <w:tcBorders>
              <w:top w:val="single" w:color="8497B0" w:sz="4" w:space="0"/>
              <w:left w:val="single" w:color="8497B0" w:sz="4" w:space="0"/>
              <w:bottom w:val="nil"/>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软件名称</w:t>
            </w:r>
          </w:p>
        </w:tc>
        <w:tc>
          <w:tcPr>
            <w:tcW w:w="2150" w:type="dxa"/>
            <w:tcBorders>
              <w:top w:val="single" w:color="8497B0" w:sz="4" w:space="0"/>
              <w:left w:val="single" w:color="8497B0" w:sz="4" w:space="0"/>
              <w:bottom w:val="single" w:color="auto" w:sz="4" w:space="0"/>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72" w:type="dxa"/>
            <w:tcBorders>
              <w:top w:val="single" w:color="8497B0" w:sz="4" w:space="0"/>
              <w:left w:val="single" w:color="8497B0" w:sz="4" w:space="0"/>
              <w:bottom w:val="single" w:color="auto" w:sz="4" w:space="0"/>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数量</w:t>
            </w:r>
          </w:p>
        </w:tc>
        <w:tc>
          <w:tcPr>
            <w:tcW w:w="688" w:type="dxa"/>
            <w:tcBorders>
              <w:top w:val="single" w:color="8497B0" w:sz="4" w:space="0"/>
              <w:left w:val="single" w:color="8497B0" w:sz="4" w:space="0"/>
              <w:bottom w:val="nil"/>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单位</w:t>
            </w:r>
          </w:p>
        </w:tc>
        <w:tc>
          <w:tcPr>
            <w:tcW w:w="837" w:type="dxa"/>
            <w:tcBorders>
              <w:top w:val="single" w:color="8497B0" w:sz="4" w:space="0"/>
              <w:left w:val="single" w:color="8497B0" w:sz="4" w:space="0"/>
              <w:bottom w:val="nil"/>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单价</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18"/>
                <w:szCs w:val="18"/>
                <w:highlight w:val="none"/>
                <w:lang w:bidi="ar"/>
              </w:rPr>
              <w:t>（含税）</w:t>
            </w:r>
          </w:p>
        </w:tc>
        <w:tc>
          <w:tcPr>
            <w:tcW w:w="863" w:type="dxa"/>
            <w:tcBorders>
              <w:top w:val="single" w:color="8497B0" w:sz="4" w:space="0"/>
              <w:left w:val="single" w:color="auto" w:sz="4" w:space="0"/>
              <w:bottom w:val="nil"/>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单价</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18"/>
                <w:szCs w:val="18"/>
                <w:highlight w:val="none"/>
                <w:lang w:bidi="ar"/>
              </w:rPr>
              <w:t>（不含税）</w:t>
            </w:r>
          </w:p>
        </w:tc>
        <w:tc>
          <w:tcPr>
            <w:tcW w:w="1100" w:type="dxa"/>
            <w:tcBorders>
              <w:top w:val="single" w:color="8497B0" w:sz="4" w:space="0"/>
              <w:left w:val="single" w:color="auto" w:sz="4" w:space="0"/>
              <w:bottom w:val="nil"/>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总价</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18"/>
                <w:szCs w:val="18"/>
                <w:highlight w:val="none"/>
                <w:lang w:bidi="ar"/>
              </w:rPr>
              <w:t>（含税）</w:t>
            </w:r>
          </w:p>
        </w:tc>
        <w:tc>
          <w:tcPr>
            <w:tcW w:w="1277" w:type="dxa"/>
            <w:tcBorders>
              <w:top w:val="single" w:color="8497B0" w:sz="4" w:space="0"/>
              <w:left w:val="single" w:color="8497B0" w:sz="4" w:space="0"/>
              <w:bottom w:val="nil"/>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总价</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18"/>
                <w:szCs w:val="18"/>
                <w:highlight w:val="none"/>
                <w:lang w:bidi="ar"/>
              </w:rPr>
              <w:t>（不含税）</w:t>
            </w:r>
          </w:p>
        </w:tc>
      </w:tr>
      <w:tr>
        <w:tblPrEx>
          <w:tblCellMar>
            <w:top w:w="0" w:type="dxa"/>
            <w:left w:w="0" w:type="dxa"/>
            <w:bottom w:w="0" w:type="dxa"/>
            <w:right w:w="0" w:type="dxa"/>
          </w:tblCellMar>
        </w:tblPrEx>
        <w:trPr>
          <w:trHeight w:val="1184"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widowControl/>
              <w:jc w:val="center"/>
              <w:textAlignment w:val="center"/>
              <w:rPr>
                <w:rFonts w:ascii="宋体" w:hAnsi="宋体" w:eastAsia="宋体" w:cs="宋体"/>
                <w:color w:val="auto"/>
                <w:sz w:val="24"/>
                <w:szCs w:val="24"/>
                <w:highlight w:val="none"/>
              </w:rPr>
            </w:pP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集中认证平台</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107"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cs="仿宋_GB2312" w:hAnsiTheme="minorEastAsia"/>
                <w:color w:val="auto"/>
                <w:sz w:val="24"/>
                <w:szCs w:val="24"/>
                <w:highlight w:val="none"/>
              </w:rPr>
              <w:t>账号自助服务系统</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39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仿宋_GB2312" w:hAnsiTheme="minorEastAsia"/>
                <w:color w:val="auto"/>
                <w:sz w:val="24"/>
                <w:szCs w:val="24"/>
                <w:highlight w:val="none"/>
              </w:rPr>
            </w:pPr>
            <w:r>
              <w:rPr>
                <w:rFonts w:hint="eastAsia" w:cs="仿宋_GB2312" w:hAnsiTheme="minorEastAsia"/>
                <w:color w:val="auto"/>
                <w:sz w:val="24"/>
                <w:szCs w:val="24"/>
                <w:highlight w:val="none"/>
              </w:rPr>
              <w:t>域控安全审计平台</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39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仿宋_GB2312" w:hAnsiTheme="minorEastAsia"/>
                <w:color w:val="auto"/>
                <w:sz w:val="24"/>
                <w:szCs w:val="24"/>
                <w:highlight w:val="none"/>
              </w:rPr>
            </w:pPr>
            <w:r>
              <w:rPr>
                <w:rFonts w:hint="eastAsia" w:cs="仿宋_GB2312" w:hAnsiTheme="minorEastAsia"/>
                <w:color w:val="auto"/>
                <w:sz w:val="24"/>
                <w:szCs w:val="24"/>
                <w:highlight w:val="none"/>
              </w:rPr>
              <w:t>软件定制开发</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537"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仿宋_GB2312" w:hAnsiTheme="minorEastAsia"/>
                <w:color w:val="auto"/>
                <w:sz w:val="24"/>
                <w:szCs w:val="24"/>
                <w:highlight w:val="none"/>
              </w:rPr>
            </w:pPr>
            <w:r>
              <w:rPr>
                <w:rFonts w:hint="eastAsia" w:cs="仿宋_GB2312" w:hAnsiTheme="minorEastAsia"/>
                <w:color w:val="auto"/>
                <w:sz w:val="24"/>
                <w:szCs w:val="24"/>
                <w:highlight w:val="none"/>
              </w:rPr>
              <w:t>防火墙集中管理平台</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532"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cs="仿宋_GB2312" w:hAnsiTheme="minorEastAsia" w:eastAsiaTheme="minorEastAsia"/>
                <w:color w:val="auto"/>
                <w:sz w:val="24"/>
                <w:szCs w:val="24"/>
                <w:highlight w:val="none"/>
                <w:lang w:eastAsia="zh-CN"/>
              </w:rPr>
            </w:pPr>
            <w:r>
              <w:rPr>
                <w:rFonts w:hint="eastAsia" w:cs="仿宋_GB2312" w:hAnsiTheme="minorEastAsia"/>
                <w:color w:val="auto"/>
                <w:sz w:val="24"/>
                <w:szCs w:val="24"/>
                <w:highlight w:val="none"/>
              </w:rPr>
              <w:t>应用防护</w:t>
            </w:r>
            <w:r>
              <w:rPr>
                <w:rFonts w:hint="eastAsia" w:cs="仿宋_GB2312" w:hAnsiTheme="minorEastAsia"/>
                <w:color w:val="auto"/>
                <w:sz w:val="24"/>
                <w:szCs w:val="24"/>
                <w:highlight w:val="none"/>
                <w:lang w:val="en-US" w:eastAsia="zh-CN"/>
              </w:rPr>
              <w:t>系统</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451" w:hRule="atLeast"/>
          <w:jc w:val="center"/>
        </w:trPr>
        <w:tc>
          <w:tcPr>
            <w:tcW w:w="7201"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合计</w:t>
            </w: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bl>
    <w:p>
      <w:pPr>
        <w:pStyle w:val="2"/>
        <w:rPr>
          <w:color w:val="auto"/>
          <w:highlight w:val="none"/>
        </w:rPr>
      </w:pPr>
    </w:p>
    <w:p>
      <w:pPr>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三、建设周期及承包方式：</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3.1建设周期：</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90</w:t>
      </w:r>
      <w:r>
        <w:rPr>
          <w:rFonts w:hint="eastAsia" w:ascii="宋体" w:hAnsi="宋体" w:cs="宋体"/>
          <w:color w:val="auto"/>
          <w:sz w:val="24"/>
          <w:szCs w:val="24"/>
          <w:highlight w:val="none"/>
          <w:u w:val="single"/>
        </w:rPr>
        <w:t>天。</w:t>
      </w:r>
    </w:p>
    <w:p>
      <w:pPr>
        <w:spacing w:line="480" w:lineRule="exact"/>
        <w:ind w:left="424" w:leftChars="202"/>
        <w:rPr>
          <w:rFonts w:ascii="宋体" w:hAnsi="宋体" w:cs="宋体"/>
          <w:color w:val="auto"/>
          <w:sz w:val="24"/>
          <w:szCs w:val="24"/>
          <w:highlight w:val="none"/>
        </w:rPr>
      </w:pPr>
      <w:r>
        <w:rPr>
          <w:rFonts w:ascii="宋体" w:hAnsi="宋体" w:cs="宋体"/>
          <w:color w:val="auto"/>
          <w:sz w:val="24"/>
          <w:szCs w:val="24"/>
          <w:highlight w:val="none"/>
        </w:rPr>
        <w:t>3.2</w:t>
      </w:r>
      <w:r>
        <w:rPr>
          <w:rFonts w:hint="eastAsia" w:ascii="宋体" w:hAnsi="宋体" w:cs="宋体"/>
          <w:color w:val="auto"/>
          <w:sz w:val="24"/>
          <w:szCs w:val="24"/>
          <w:highlight w:val="none"/>
        </w:rPr>
        <w:t>进度要求：合同签订后8天内完成物料到货，</w:t>
      </w:r>
      <w:r>
        <w:rPr>
          <w:rFonts w:ascii="宋体" w:hAnsi="宋体" w:cs="宋体"/>
          <w:color w:val="auto"/>
          <w:sz w:val="24"/>
          <w:szCs w:val="24"/>
          <w:highlight w:val="none"/>
        </w:rPr>
        <w:t>2</w:t>
      </w:r>
      <w:r>
        <w:rPr>
          <w:rFonts w:hint="eastAsia" w:ascii="宋体" w:hAnsi="宋体" w:cs="宋体"/>
          <w:color w:val="auto"/>
          <w:sz w:val="24"/>
          <w:szCs w:val="24"/>
          <w:highlight w:val="none"/>
        </w:rPr>
        <w:t>0天内完成软件、开发、系统、设备部署上线进入试运行，整体完工后须进行60天无障试运行，如试运行期间发生系统故障或由本项目引起其他系统故障，须重新计算试运行时间。（建设、运行等各时间节点）。</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3.3承包方式按以下（2）执行。</w:t>
      </w:r>
    </w:p>
    <w:p>
      <w:pPr>
        <w:spacing w:line="48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（1）按实际工作量结算，合同价包括且不限于：</w:t>
      </w:r>
      <w:r>
        <w:rPr>
          <w:rFonts w:hint="eastAsia" w:ascii="宋体" w:hAnsi="宋体" w:cs="宋体"/>
          <w:color w:val="auto"/>
          <w:sz w:val="24"/>
          <w:szCs w:val="24"/>
          <w:highlight w:val="none"/>
          <w:u w:val="single"/>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（2）本合同为总价包干形式，合同价包括但不限于：</w:t>
      </w:r>
      <w:r>
        <w:rPr>
          <w:rFonts w:hint="eastAsia" w:ascii="宋体" w:hAnsi="宋体" w:cs="宋体"/>
          <w:color w:val="auto"/>
          <w:sz w:val="24"/>
          <w:szCs w:val="24"/>
          <w:highlight w:val="none"/>
          <w:u w:val="single"/>
        </w:rPr>
        <w:t>系统建设、软件开发、安装实施、维修维护、</w:t>
      </w:r>
      <w:r>
        <w:rPr>
          <w:rFonts w:hint="eastAsia" w:ascii="宋体" w:hAnsi="宋体" w:cs="宋体"/>
          <w:color w:val="auto"/>
          <w:sz w:val="24"/>
          <w:szCs w:val="24"/>
          <w:highlight w:val="none"/>
          <w:u w:val="single"/>
          <w:lang w:val="en-US" w:eastAsia="zh-CN"/>
        </w:rPr>
        <w:t>与其他系统对接调试</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培训、税费、售后服务、运维服务、人工费及因项目产生的一切可预见及不可预见的相关费用。</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3.4合同服务期内，如甲方增加服务内容，甲乙双方对新增工作、完成时间及相关费用等协商一致后签订补充协议。</w:t>
      </w:r>
    </w:p>
    <w:p>
      <w:pPr>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四、合同价款</w:t>
      </w:r>
    </w:p>
    <w:p>
      <w:pPr>
        <w:spacing w:line="480" w:lineRule="exact"/>
        <w:ind w:firstLine="480" w:firstLineChars="200"/>
        <w:rPr>
          <w:rFonts w:ascii="宋体" w:hAnsi="宋体" w:cs="宋体"/>
          <w:bCs/>
          <w:color w:val="auto"/>
          <w:sz w:val="24"/>
          <w:szCs w:val="24"/>
          <w:highlight w:val="none"/>
          <w:bdr w:val="single" w:color="auto" w:sz="4" w:space="0"/>
        </w:rPr>
      </w:pPr>
      <w:r>
        <w:rPr>
          <w:rFonts w:hint="eastAsia" w:ascii="宋体" w:hAnsi="宋体" w:cs="宋体"/>
          <w:color w:val="auto"/>
          <w:sz w:val="24"/>
          <w:szCs w:val="24"/>
          <w:highlight w:val="none"/>
        </w:rPr>
        <w:t>4.1合同价款按以下</w:t>
      </w:r>
      <w:r>
        <w:rPr>
          <w:rFonts w:hint="eastAsia" w:ascii="宋体" w:hAnsi="宋体" w:cs="宋体"/>
          <w:bCs/>
          <w:color w:val="auto"/>
          <w:sz w:val="24"/>
          <w:szCs w:val="24"/>
          <w:highlight w:val="none"/>
          <w:u w:val="single"/>
        </w:rPr>
        <w:t>（2）</w:t>
      </w:r>
      <w:r>
        <w:rPr>
          <w:rFonts w:hint="eastAsia" w:ascii="宋体" w:hAnsi="宋体" w:cs="宋体"/>
          <w:color w:val="auto"/>
          <w:sz w:val="24"/>
          <w:szCs w:val="24"/>
          <w:highlight w:val="none"/>
        </w:rPr>
        <w:t>执行。</w:t>
      </w:r>
    </w:p>
    <w:p>
      <w:pPr>
        <w:spacing w:line="480" w:lineRule="exact"/>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合同暂定总价为：</w:t>
      </w:r>
      <w:r>
        <w:rPr>
          <w:rFonts w:hint="eastAsia" w:ascii="宋体" w:hAnsi="宋体" w:cs="宋体"/>
          <w:b/>
          <w:color w:val="auto"/>
          <w:sz w:val="24"/>
          <w:szCs w:val="24"/>
          <w:highlight w:val="none"/>
          <w:u w:val="single"/>
        </w:rPr>
        <w:t>人民币… 元</w:t>
      </w:r>
      <w:r>
        <w:rPr>
          <w:rFonts w:hint="eastAsia" w:ascii="宋体" w:hAnsi="宋体" w:cs="宋体"/>
          <w:color w:val="auto"/>
          <w:sz w:val="24"/>
          <w:szCs w:val="24"/>
          <w:highlight w:val="none"/>
        </w:rPr>
        <w:t>（大写:</w:t>
      </w:r>
      <w:r>
        <w:rPr>
          <w:rFonts w:hint="eastAsia" w:ascii="宋体" w:hAnsi="宋体" w:cs="宋体"/>
          <w:b/>
          <w:color w:val="auto"/>
          <w:sz w:val="24"/>
          <w:szCs w:val="24"/>
          <w:highlight w:val="none"/>
          <w:u w:val="single"/>
        </w:rPr>
        <w:t xml:space="preserve"> …  </w:t>
      </w:r>
      <w:r>
        <w:rPr>
          <w:rFonts w:hint="eastAsia" w:ascii="宋体" w:hAnsi="宋体" w:cs="宋体"/>
          <w:color w:val="auto"/>
          <w:sz w:val="24"/>
          <w:szCs w:val="24"/>
          <w:highlight w:val="none"/>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合同以总价包干形式，合同暂定总价为：</w:t>
      </w:r>
      <w:r>
        <w:rPr>
          <w:rFonts w:hint="eastAsia" w:ascii="宋体" w:hAnsi="宋体" w:cs="宋体"/>
          <w:b/>
          <w:color w:val="auto"/>
          <w:sz w:val="24"/>
          <w:szCs w:val="24"/>
          <w:highlight w:val="none"/>
          <w:u w:val="single"/>
        </w:rPr>
        <w:t>人民币 … 元</w:t>
      </w:r>
      <w:r>
        <w:rPr>
          <w:rFonts w:hint="eastAsia" w:ascii="宋体" w:hAnsi="宋体" w:cs="宋体"/>
          <w:color w:val="auto"/>
          <w:sz w:val="24"/>
          <w:szCs w:val="24"/>
          <w:highlight w:val="none"/>
        </w:rPr>
        <w:t>（大写:</w:t>
      </w:r>
      <w:r>
        <w:rPr>
          <w:rFonts w:hint="eastAsia" w:ascii="宋体" w:hAnsi="宋体" w:cs="宋体"/>
          <w:b/>
          <w:color w:val="auto"/>
          <w:sz w:val="24"/>
          <w:szCs w:val="24"/>
          <w:highlight w:val="none"/>
          <w:u w:val="single"/>
        </w:rPr>
        <w:t xml:space="preserve">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zh-CN"/>
        </w:rPr>
        <w:t>4.2</w:t>
      </w:r>
      <w:r>
        <w:rPr>
          <w:rFonts w:hint="eastAsia" w:ascii="宋体" w:hAnsi="宋体" w:cs="宋体"/>
          <w:color w:val="auto"/>
          <w:kern w:val="0"/>
          <w:sz w:val="24"/>
          <w:szCs w:val="24"/>
          <w:highlight w:val="none"/>
        </w:rPr>
        <w:t>本合同约定的价格已含税价价格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20" w:firstLineChars="200"/>
        <w:jc w:val="left"/>
        <w:rPr>
          <w:rFonts w:hint="eastAsia" w:ascii="宋体" w:hAnsi="宋体" w:eastAsia="宋体" w:cs="宋体"/>
          <w:bCs/>
          <w:color w:val="auto"/>
          <w:sz w:val="28"/>
          <w:szCs w:val="28"/>
          <w:highlight w:val="none"/>
          <w:lang w:val="en-US" w:eastAsia="zh-CN"/>
        </w:rPr>
      </w:pPr>
      <w:r>
        <w:rPr>
          <w:rFonts w:hint="eastAsia" w:hAnsi="宋体" w:eastAsia="宋体"/>
          <w:color w:val="auto"/>
          <w:highlight w:val="none"/>
        </w:rPr>
        <w:t>4.3</w:t>
      </w:r>
      <w:r>
        <w:rPr>
          <w:rFonts w:hint="eastAsia" w:ascii="宋体" w:hAnsi="宋体" w:cs="宋体" w:eastAsiaTheme="minorEastAsia"/>
          <w:bCs w:val="0"/>
          <w:color w:val="auto"/>
          <w:kern w:val="0"/>
          <w:sz w:val="24"/>
          <w:szCs w:val="24"/>
          <w:highlight w:val="none"/>
          <w:lang w:val="en-US" w:eastAsia="zh-CN"/>
        </w:rPr>
        <w:t>因非乙方原因引起工程量报价清单中工程量发生增减，且单个子目工程量变化幅度在</w:t>
      </w:r>
      <w:r>
        <w:rPr>
          <w:rFonts w:hint="eastAsia" w:ascii="宋体" w:hAnsi="宋体" w:cs="宋体"/>
          <w:bCs w:val="0"/>
          <w:color w:val="auto"/>
          <w:kern w:val="0"/>
          <w:sz w:val="24"/>
          <w:szCs w:val="24"/>
          <w:highlight w:val="none"/>
          <w:lang w:val="en-US" w:eastAsia="zh-CN"/>
        </w:rPr>
        <w:t>25%</w:t>
      </w:r>
      <w:r>
        <w:rPr>
          <w:rFonts w:hint="eastAsia" w:ascii="宋体" w:hAnsi="宋体" w:cs="宋体" w:eastAsiaTheme="minorEastAsia"/>
          <w:bCs w:val="0"/>
          <w:color w:val="auto"/>
          <w:kern w:val="0"/>
          <w:sz w:val="24"/>
          <w:szCs w:val="24"/>
          <w:highlight w:val="none"/>
          <w:lang w:val="en-US" w:eastAsia="zh-CN"/>
        </w:rPr>
        <w:t>以内（含）时，按工程量报价清单中列明的子目单价结算。否则，按新增单价执行。</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4.4合同中没有适用于变更工程项目的单价的，按新增单价执行。</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新增单价计价原则：</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2.项目计价材料、设备价格的控制：按以下顺序作为降序优先级依次采用工程开工报告中开工日期当月的下列价格：</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（1）《广州地区建设工程常用材料税前综合价格》（下称综合价格）。</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（2）《广州地区建设工程材料（设备）厂商价格信息》（下称厂商价格）下浮10-20%。</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（3）综合价格、厂商价格中缺项的，采用由北京瑞恒达建筑咨询有限公司提供服务的“慧讯网”中查到的相应材料、设备价格的工程价。</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（4）通过市场询价双方协商确定。</w:t>
      </w:r>
    </w:p>
    <w:p>
      <w:pPr>
        <w:pStyle w:val="46"/>
        <w:spacing w:line="480" w:lineRule="exact"/>
        <w:ind w:firstLine="480" w:firstLineChars="200"/>
        <w:rPr>
          <w:rFonts w:hAnsi="宋体" w:eastAsia="宋体"/>
          <w:color w:val="auto"/>
          <w:highlight w:val="none"/>
        </w:rPr>
      </w:pPr>
      <w:r>
        <w:rPr>
          <w:rFonts w:hint="eastAsia" w:hAnsi="宋体" w:eastAsia="宋体"/>
          <w:color w:val="auto"/>
          <w:highlight w:val="none"/>
        </w:rPr>
        <w:t xml:space="preserve">  3.按1、2组价后下浮5%计取。</w:t>
      </w:r>
    </w:p>
    <w:p>
      <w:pPr>
        <w:spacing w:line="480" w:lineRule="exact"/>
        <w:ind w:firstLine="490" w:firstLineChars="200"/>
        <w:rPr>
          <w:rFonts w:ascii="宋体" w:hAnsi="宋体" w:cs="宋体"/>
          <w:b/>
          <w:color w:val="auto"/>
          <w:spacing w:val="2"/>
          <w:kern w:val="36"/>
          <w:position w:val="2"/>
          <w:sz w:val="24"/>
          <w:szCs w:val="24"/>
          <w:highlight w:val="none"/>
        </w:rPr>
      </w:pPr>
      <w:r>
        <w:rPr>
          <w:rFonts w:hint="eastAsia" w:ascii="宋体" w:hAnsi="宋体" w:cs="宋体"/>
          <w:b/>
          <w:color w:val="auto"/>
          <w:spacing w:val="2"/>
          <w:kern w:val="36"/>
          <w:position w:val="2"/>
          <w:sz w:val="24"/>
          <w:szCs w:val="24"/>
          <w:highlight w:val="none"/>
        </w:rPr>
        <w:t>五、支付方式及履约担保：</w:t>
      </w:r>
    </w:p>
    <w:p>
      <w:pPr>
        <w:spacing w:line="480" w:lineRule="exact"/>
        <w:ind w:firstLine="488" w:firstLineChars="200"/>
        <w:rPr>
          <w:rFonts w:ascii="宋体" w:hAnsi="宋体" w:cs="宋体"/>
          <w:color w:val="auto"/>
          <w:sz w:val="24"/>
          <w:szCs w:val="24"/>
          <w:highlight w:val="none"/>
        </w:rPr>
      </w:pPr>
      <w:r>
        <w:rPr>
          <w:rFonts w:hint="eastAsia" w:ascii="宋体" w:hAnsi="宋体" w:cs="宋体"/>
          <w:bCs/>
          <w:color w:val="auto"/>
          <w:spacing w:val="2"/>
          <w:kern w:val="36"/>
          <w:position w:val="2"/>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 xml:space="preserve">无；     </w:t>
      </w:r>
      <w:r>
        <w:rPr>
          <w:rFonts w:hint="eastAsia" w:ascii="宋体" w:hAnsi="宋体" w:cs="宋体"/>
          <w:bCs/>
          <w:color w:val="auto"/>
          <w:sz w:val="24"/>
          <w:szCs w:val="24"/>
          <w:highlight w:val="none"/>
        </w:rPr>
        <w:sym w:font="Wingdings" w:char="F0A8"/>
      </w:r>
      <w:r>
        <w:rPr>
          <w:rFonts w:hint="eastAsia" w:ascii="宋体" w:hAnsi="宋体" w:cs="宋体"/>
          <w:bCs/>
          <w:color w:val="auto"/>
          <w:sz w:val="24"/>
          <w:szCs w:val="24"/>
          <w:highlight w:val="none"/>
        </w:rPr>
        <w:t>有，合同签订后乙方开具等额的增值税专用发票及提交履约担保（如有）后</w:t>
      </w:r>
      <w:r>
        <w:rPr>
          <w:rFonts w:hint="eastAsia"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个工作日内，甲方支付合同</w:t>
      </w:r>
      <w:r>
        <w:rPr>
          <w:rFonts w:hint="eastAsia" w:ascii="宋体" w:hAnsi="宋体" w:cs="宋体"/>
          <w:color w:val="auto"/>
          <w:sz w:val="24"/>
          <w:szCs w:val="24"/>
          <w:highlight w:val="none"/>
        </w:rPr>
        <w:t>暂定总价</w:t>
      </w:r>
      <w:r>
        <w:rPr>
          <w:rFonts w:hint="eastAsia" w:ascii="宋体" w:hAnsi="宋体" w:cs="宋体"/>
          <w:bCs/>
          <w:color w:val="auto"/>
          <w:sz w:val="24"/>
          <w:szCs w:val="24"/>
          <w:highlight w:val="none"/>
        </w:rPr>
        <w:t>的</w:t>
      </w:r>
      <w:r>
        <w:rPr>
          <w:rFonts w:hint="eastAsia" w:ascii="宋体" w:hAnsi="宋体" w:cs="宋体"/>
          <w:bCs/>
          <w:color w:val="auto"/>
          <w:sz w:val="24"/>
          <w:szCs w:val="24"/>
          <w:highlight w:val="none"/>
          <w:u w:val="single"/>
        </w:rPr>
        <w:t xml:space="preserve">  （不得超过30%）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 xml:space="preserve">   … 元，（大写：…）。</w:t>
      </w:r>
      <w:r>
        <w:rPr>
          <w:rFonts w:hint="eastAsia" w:ascii="宋体" w:hAnsi="宋体" w:cs="宋体"/>
          <w:color w:val="auto"/>
          <w:sz w:val="24"/>
          <w:szCs w:val="24"/>
          <w:highlight w:val="none"/>
        </w:rPr>
        <w:t xml:space="preserve"> </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5.2乙方完成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产品</w:t>
      </w:r>
      <w:r>
        <w:rPr>
          <w:rFonts w:hint="eastAsia" w:ascii="宋体" w:hAnsi="宋体" w:cs="宋体"/>
          <w:color w:val="auto"/>
          <w:sz w:val="24"/>
          <w:szCs w:val="24"/>
          <w:highlight w:val="none"/>
          <w:u w:val="single"/>
        </w:rPr>
        <w:t>到货</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由乙方</w:t>
      </w:r>
      <w:r>
        <w:rPr>
          <w:rFonts w:hint="eastAsia" w:ascii="宋体" w:hAnsi="宋体" w:cs="宋体"/>
          <w:color w:val="auto"/>
          <w:sz w:val="24"/>
          <w:szCs w:val="24"/>
          <w:highlight w:val="none"/>
          <w:u w:val="single"/>
        </w:rPr>
        <w:t>提交项目</w:t>
      </w:r>
      <w:r>
        <w:rPr>
          <w:rFonts w:hint="eastAsia" w:ascii="宋体" w:hAnsi="宋体" w:cs="宋体"/>
          <w:color w:val="auto"/>
          <w:sz w:val="24"/>
          <w:szCs w:val="24"/>
          <w:highlight w:val="none"/>
          <w:u w:val="single"/>
          <w:lang w:val="en-US" w:eastAsia="zh-CN"/>
        </w:rPr>
        <w:t>实施计划后</w:t>
      </w:r>
      <w:r>
        <w:rPr>
          <w:rFonts w:hint="eastAsia" w:ascii="宋体" w:hAnsi="宋体" w:cs="宋体"/>
          <w:color w:val="auto"/>
          <w:sz w:val="24"/>
          <w:szCs w:val="24"/>
          <w:highlight w:val="none"/>
          <w:u w:val="single"/>
        </w:rPr>
        <w:t xml:space="preserve">15 </w:t>
      </w:r>
      <w:r>
        <w:rPr>
          <w:rFonts w:hint="eastAsia" w:ascii="宋体" w:hAnsi="宋体" w:cs="宋体"/>
          <w:color w:val="auto"/>
          <w:sz w:val="24"/>
          <w:szCs w:val="24"/>
          <w:highlight w:val="none"/>
        </w:rPr>
        <w:t>个工作日内，甲方支付至合同暂定总价的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0%即 …元，（大写：…）。</w:t>
      </w:r>
    </w:p>
    <w:p>
      <w:pPr>
        <w:pStyle w:val="2"/>
        <w:spacing w:line="360" w:lineRule="auto"/>
        <w:rPr>
          <w:rFonts w:hint="eastAsia" w:eastAsia="宋体" w:cs="宋体"/>
          <w:color w:val="auto"/>
          <w:highlight w:val="none"/>
        </w:rPr>
      </w:pPr>
      <w:r>
        <w:rPr>
          <w:rFonts w:hint="eastAsia" w:eastAsia="宋体" w:cs="宋体"/>
          <w:color w:val="auto"/>
          <w:highlight w:val="none"/>
          <w:lang w:val="en-US" w:eastAsia="zh-CN"/>
        </w:rPr>
        <w:t>5.3项目整体实施</w:t>
      </w:r>
      <w:r>
        <w:rPr>
          <w:rFonts w:hint="eastAsia" w:eastAsia="宋体" w:cs="宋体"/>
          <w:color w:val="auto"/>
          <w:highlight w:val="none"/>
        </w:rPr>
        <w:t>完毕，乙方</w:t>
      </w:r>
      <w:r>
        <w:rPr>
          <w:rFonts w:hint="eastAsia" w:cs="宋体" w:eastAsiaTheme="minorEastAsia"/>
          <w:color w:val="auto"/>
          <w:kern w:val="2"/>
          <w:highlight w:val="none"/>
        </w:rPr>
        <w:t>提交项目完工报告并经甲方审核后 15 个工作日内，支付至合同暂定价的</w:t>
      </w:r>
      <w:r>
        <w:rPr>
          <w:rFonts w:hint="eastAsia" w:cs="宋体" w:eastAsiaTheme="minorEastAsia"/>
          <w:b/>
          <w:bCs/>
          <w:color w:val="auto"/>
          <w:kern w:val="2"/>
          <w:highlight w:val="none"/>
          <w:lang w:val="en-US" w:eastAsia="zh-CN"/>
        </w:rPr>
        <w:t>2</w:t>
      </w:r>
      <w:r>
        <w:rPr>
          <w:rFonts w:hint="eastAsia" w:cs="宋体" w:eastAsiaTheme="minorEastAsia"/>
          <w:b/>
          <w:bCs/>
          <w:color w:val="auto"/>
          <w:kern w:val="2"/>
          <w:highlight w:val="none"/>
        </w:rPr>
        <w:t>0%</w:t>
      </w:r>
      <w:r>
        <w:rPr>
          <w:rFonts w:hint="eastAsia" w:cs="宋体" w:eastAsiaTheme="minorEastAsia"/>
          <w:color w:val="auto"/>
          <w:kern w:val="2"/>
          <w:highlight w:val="none"/>
        </w:rPr>
        <w:t xml:space="preserve">即 </w:t>
      </w:r>
      <w:r>
        <w:rPr>
          <w:rFonts w:cs="宋体" w:eastAsiaTheme="minorEastAsia"/>
          <w:color w:val="auto"/>
          <w:kern w:val="2"/>
          <w:highlight w:val="none"/>
        </w:rPr>
        <w:t xml:space="preserve">¥ </w:t>
      </w:r>
      <w:r>
        <w:rPr>
          <w:rFonts w:hint="eastAsia" w:cs="宋体" w:eastAsiaTheme="minorEastAsia"/>
          <w:color w:val="auto"/>
          <w:kern w:val="2"/>
          <w:highlight w:val="none"/>
          <w:u w:val="single"/>
          <w:lang w:val="en-US" w:eastAsia="zh-CN"/>
        </w:rPr>
        <w:t xml:space="preserve">       </w:t>
      </w:r>
      <w:r>
        <w:rPr>
          <w:rFonts w:hint="eastAsia" w:cs="宋体" w:eastAsiaTheme="minorEastAsia"/>
          <w:color w:val="auto"/>
          <w:kern w:val="2"/>
          <w:highlight w:val="none"/>
        </w:rPr>
        <w:t>元（大写人民币：</w:t>
      </w:r>
      <w:r>
        <w:rPr>
          <w:rFonts w:hint="eastAsia" w:cs="宋体" w:eastAsiaTheme="minorEastAsia"/>
          <w:color w:val="auto"/>
          <w:kern w:val="2"/>
          <w:highlight w:val="none"/>
          <w:u w:val="single"/>
          <w:lang w:val="en-US" w:eastAsia="zh-CN"/>
        </w:rPr>
        <w:t xml:space="preserve">            </w:t>
      </w:r>
      <w:r>
        <w:rPr>
          <w:rFonts w:hint="eastAsia" w:cs="宋体" w:eastAsiaTheme="minorEastAsia"/>
          <w:color w:val="auto"/>
          <w:kern w:val="2"/>
          <w:highlight w:val="none"/>
        </w:rPr>
        <w:t>）。</w:t>
      </w:r>
    </w:p>
    <w:p>
      <w:pPr>
        <w:spacing w:line="48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5.</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w:t>
      </w:r>
      <w:r>
        <w:rPr>
          <w:rFonts w:hint="eastAsia" w:ascii="宋体" w:hAnsi="宋体" w:cs="宋体"/>
          <w:color w:val="auto"/>
          <w:kern w:val="0"/>
          <w:sz w:val="24"/>
          <w:szCs w:val="24"/>
          <w:highlight w:val="none"/>
        </w:rPr>
        <w:t>方完成系统建设且</w:t>
      </w:r>
      <w:r>
        <w:rPr>
          <w:rFonts w:hint="eastAsia" w:ascii="宋体" w:hAnsi="宋体" w:cs="宋体"/>
          <w:color w:val="auto"/>
          <w:kern w:val="0"/>
          <w:sz w:val="24"/>
          <w:szCs w:val="24"/>
          <w:highlight w:val="none"/>
          <w:u w:val="single"/>
        </w:rPr>
        <w:t>通过</w:t>
      </w:r>
      <w:r>
        <w:rPr>
          <w:rFonts w:ascii="宋体" w:hAnsi="宋体" w:cs="宋体"/>
          <w:color w:val="auto"/>
          <w:sz w:val="24"/>
          <w:szCs w:val="24"/>
          <w:highlight w:val="none"/>
          <w:u w:val="single"/>
        </w:rPr>
        <w:t>6</w:t>
      </w:r>
      <w:r>
        <w:rPr>
          <w:rFonts w:hint="eastAsia" w:ascii="宋体" w:hAnsi="宋体" w:cs="宋体"/>
          <w:color w:val="auto"/>
          <w:sz w:val="24"/>
          <w:szCs w:val="24"/>
          <w:highlight w:val="none"/>
          <w:u w:val="single"/>
        </w:rPr>
        <w:t>0天无障试运行，经甲方</w:t>
      </w:r>
      <w:r>
        <w:rPr>
          <w:rFonts w:hint="eastAsia" w:ascii="宋体" w:hAnsi="宋体" w:cs="宋体"/>
          <w:color w:val="auto"/>
          <w:kern w:val="0"/>
          <w:sz w:val="24"/>
          <w:szCs w:val="24"/>
          <w:highlight w:val="none"/>
        </w:rPr>
        <w:t xml:space="preserve">验收合格后 </w:t>
      </w:r>
      <w:r>
        <w:rPr>
          <w:rFonts w:hint="eastAsia" w:ascii="宋体" w:hAnsi="宋体" w:cs="宋体"/>
          <w:color w:val="auto"/>
          <w:kern w:val="0"/>
          <w:sz w:val="24"/>
          <w:szCs w:val="24"/>
          <w:highlight w:val="none"/>
          <w:u w:val="single"/>
        </w:rPr>
        <w:t>15</w:t>
      </w:r>
      <w:r>
        <w:rPr>
          <w:rFonts w:hint="eastAsia" w:ascii="宋体" w:hAnsi="宋体" w:cs="宋体"/>
          <w:color w:val="auto"/>
          <w:kern w:val="0"/>
          <w:sz w:val="24"/>
          <w:szCs w:val="24"/>
          <w:highlight w:val="none"/>
        </w:rPr>
        <w:t>日内，乙方提交工作总结报告，</w:t>
      </w:r>
      <w:r>
        <w:rPr>
          <w:rFonts w:hint="eastAsia" w:ascii="宋体" w:hAnsi="宋体" w:cs="宋体"/>
          <w:color w:val="auto"/>
          <w:sz w:val="24"/>
          <w:szCs w:val="24"/>
          <w:highlight w:val="none"/>
        </w:rPr>
        <w:t>经</w:t>
      </w:r>
      <w:r>
        <w:rPr>
          <w:rFonts w:hint="eastAsia" w:ascii="宋体" w:hAnsi="宋体" w:cs="宋体"/>
          <w:color w:val="auto"/>
          <w:sz w:val="24"/>
          <w:szCs w:val="24"/>
          <w:highlight w:val="none"/>
          <w:u w:val="single"/>
        </w:rPr>
        <w:t>甲方或甲方委托有资质第三方机构结算审核</w:t>
      </w:r>
      <w:r>
        <w:rPr>
          <w:rFonts w:hint="eastAsia" w:ascii="宋体" w:hAnsi="宋体" w:cs="宋体"/>
          <w:color w:val="auto"/>
          <w:sz w:val="24"/>
          <w:szCs w:val="24"/>
          <w:highlight w:val="none"/>
        </w:rPr>
        <w:t>后，由乙方提交申请支付资料</w:t>
      </w:r>
      <w:r>
        <w:rPr>
          <w:rFonts w:hint="eastAsia" w:ascii="宋体" w:hAnsi="宋体" w:cs="宋体"/>
          <w:color w:val="auto"/>
          <w:sz w:val="24"/>
          <w:szCs w:val="24"/>
          <w:highlight w:val="none"/>
          <w:u w:val="single"/>
        </w:rPr>
        <w:t xml:space="preserve"> 30 </w:t>
      </w:r>
      <w:r>
        <w:rPr>
          <w:rFonts w:hint="eastAsia" w:ascii="宋体" w:hAnsi="宋体" w:cs="宋体"/>
          <w:color w:val="auto"/>
          <w:sz w:val="24"/>
          <w:szCs w:val="24"/>
          <w:highlight w:val="none"/>
        </w:rPr>
        <w:t>个工作日内，甲方支付至合同结算价的</w:t>
      </w:r>
      <w:r>
        <w:rPr>
          <w:rFonts w:hint="eastAsia" w:ascii="宋体" w:hAnsi="宋体" w:cs="宋体"/>
          <w:color w:val="auto"/>
          <w:sz w:val="24"/>
          <w:szCs w:val="24"/>
          <w:highlight w:val="none"/>
          <w:u w:val="single"/>
        </w:rPr>
        <w:t>95%。</w:t>
      </w:r>
    </w:p>
    <w:p>
      <w:pPr>
        <w:spacing w:line="48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按合同约定完成</w:t>
      </w:r>
      <w:r>
        <w:rPr>
          <w:rFonts w:hint="eastAsia" w:ascii="宋体" w:hAnsi="宋体" w:cs="宋体"/>
          <w:color w:val="auto"/>
          <w:sz w:val="24"/>
          <w:szCs w:val="24"/>
          <w:highlight w:val="none"/>
          <w:u w:val="single"/>
        </w:rPr>
        <w:t>运维服务/售后服务/质量保修期</w:t>
      </w:r>
      <w:r>
        <w:rPr>
          <w:rFonts w:hint="eastAsia" w:ascii="宋体" w:hAnsi="宋体" w:cs="宋体"/>
          <w:color w:val="auto"/>
          <w:sz w:val="24"/>
          <w:szCs w:val="24"/>
          <w:highlight w:val="none"/>
        </w:rPr>
        <w:t>满后且乙方不存在违约情形，由乙方提交申请支付资料</w:t>
      </w:r>
      <w:r>
        <w:rPr>
          <w:rFonts w:hint="eastAsia"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个工作日内，甲方支付合同结算价的5％给乙方（无息）。</w:t>
      </w:r>
    </w:p>
    <w:p>
      <w:pPr>
        <w:spacing w:line="48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如乙方应向甲方支付违约金、赔偿款或者其他款项，应当在接到甲方通知后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日内付清，甲方有权直接从应付款项中抵扣。</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乙方收款账户：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480" w:lineRule="exact"/>
        <w:ind w:firstLine="840" w:firstLineChars="35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480" w:lineRule="exact"/>
        <w:ind w:firstLine="840" w:firstLineChars="35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乙方在收款前需提交等额增值税专用发票给甲方。</w:t>
      </w:r>
    </w:p>
    <w:p>
      <w:pPr>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增值税专用发票信息：</w:t>
      </w:r>
      <w:r>
        <w:rPr>
          <w:rFonts w:hint="eastAsia" w:ascii="宋体" w:hAnsi="宋体" w:cs="宋体"/>
          <w:color w:val="auto"/>
          <w:sz w:val="24"/>
          <w:szCs w:val="24"/>
          <w:highlight w:val="none"/>
          <w:u w:val="single"/>
        </w:rPr>
        <w:t xml:space="preserve">  名称：广州市净水有限公司；税号：</w:t>
      </w:r>
      <w:r>
        <w:rPr>
          <w:rFonts w:ascii="宋体" w:hAnsi="宋体" w:cs="宋体"/>
          <w:color w:val="auto"/>
          <w:sz w:val="24"/>
          <w:szCs w:val="24"/>
          <w:highlight w:val="none"/>
          <w:u w:val="single"/>
        </w:rPr>
        <w:t xml:space="preserve"> 91440101755584729Q </w:t>
      </w:r>
      <w:r>
        <w:rPr>
          <w:rFonts w:hint="eastAsia" w:ascii="宋体" w:hAnsi="宋体" w:cs="宋体"/>
          <w:color w:val="auto"/>
          <w:sz w:val="24"/>
          <w:szCs w:val="24"/>
          <w:highlight w:val="none"/>
          <w:u w:val="single"/>
        </w:rPr>
        <w:t>； 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广州市天河区临江大道501号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rPr>
        <w:t>开户行：建设银行珠江新城支行；账户：4400 1420 3140 5017 0338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履约担保：</w:t>
      </w: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无；     □有，乙方于本合同签订后</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日内按照合同暂定总价的</w:t>
      </w:r>
      <w:r>
        <w:rPr>
          <w:rFonts w:hint="eastAsia" w:ascii="宋体" w:hAnsi="宋体" w:cs="宋体"/>
          <w:color w:val="auto"/>
          <w:sz w:val="24"/>
          <w:szCs w:val="24"/>
          <w:highlight w:val="none"/>
          <w:u w:val="single"/>
        </w:rPr>
        <w:t>10%提交履约保证金</w:t>
      </w:r>
      <w:r>
        <w:rPr>
          <w:rFonts w:hint="eastAsia" w:ascii="宋体" w:hAnsi="宋体" w:cs="宋体"/>
          <w:color w:val="auto"/>
          <w:sz w:val="24"/>
          <w:szCs w:val="24"/>
          <w:highlight w:val="none"/>
        </w:rPr>
        <w:t>，金额：</w:t>
      </w:r>
      <w:r>
        <w:rPr>
          <w:rFonts w:hint="eastAsia" w:ascii="宋体" w:hAnsi="宋体" w:cs="宋体"/>
          <w:color w:val="auto"/>
          <w:sz w:val="24"/>
          <w:szCs w:val="24"/>
          <w:highlight w:val="none"/>
          <w:u w:val="single"/>
        </w:rPr>
        <w:t>…（大写人民币：…）</w:t>
      </w:r>
      <w:r>
        <w:rPr>
          <w:rFonts w:hint="eastAsia" w:ascii="宋体" w:hAnsi="宋体" w:cs="宋体"/>
          <w:color w:val="auto"/>
          <w:sz w:val="24"/>
          <w:szCs w:val="24"/>
          <w:highlight w:val="none"/>
        </w:rPr>
        <w:t>，未按时提供的，甲方有权解除合同并要求乙方支付合同暂定总价</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rPr>
        <w:t>作为违约金。</w:t>
      </w:r>
    </w:p>
    <w:p>
      <w:pPr>
        <w:pStyle w:val="21"/>
        <w:spacing w:before="156" w:beforeAutospacing="0" w:after="156" w:afterAutospacing="0" w:line="480" w:lineRule="exact"/>
        <w:ind w:firstLine="480" w:firstLineChars="200"/>
        <w:rPr>
          <w:rFonts w:cs="宋体"/>
          <w:color w:val="auto"/>
          <w:highlight w:val="none"/>
        </w:rPr>
      </w:pPr>
      <w:r>
        <w:rPr>
          <w:rFonts w:hint="eastAsia" w:cs="宋体"/>
          <w:color w:val="auto"/>
          <w:highlight w:val="none"/>
        </w:rPr>
        <w:t>5.</w:t>
      </w:r>
      <w:r>
        <w:rPr>
          <w:rFonts w:hint="eastAsia" w:cs="宋体"/>
          <w:color w:val="auto"/>
          <w:highlight w:val="none"/>
          <w:lang w:val="en-US" w:eastAsia="zh-CN"/>
        </w:rPr>
        <w:t>9</w:t>
      </w:r>
      <w:r>
        <w:rPr>
          <w:rFonts w:hint="eastAsia" w:cs="宋体"/>
          <w:color w:val="auto"/>
          <w:highlight w:val="none"/>
        </w:rPr>
        <w:t>.1履约担保按以下任一种形式提供：</w:t>
      </w:r>
    </w:p>
    <w:p>
      <w:pPr>
        <w:pStyle w:val="21"/>
        <w:spacing w:before="156" w:beforeAutospacing="0" w:after="156" w:afterAutospacing="0" w:line="480" w:lineRule="exact"/>
        <w:ind w:firstLine="480"/>
        <w:rPr>
          <w:rFonts w:cs="宋体"/>
          <w:color w:val="auto"/>
          <w:highlight w:val="none"/>
        </w:rPr>
      </w:pPr>
      <w:r>
        <w:rPr>
          <w:rFonts w:hint="eastAsia" w:cs="宋体"/>
          <w:color w:val="auto"/>
          <w:highlight w:val="none"/>
        </w:rPr>
        <w:t>（1）符合甲方要求（详见附件8保函格式）的银行独立保函，</w:t>
      </w:r>
    </w:p>
    <w:p>
      <w:pPr>
        <w:pStyle w:val="21"/>
        <w:spacing w:before="156" w:beforeAutospacing="0" w:after="156" w:afterAutospacing="0" w:line="480" w:lineRule="exact"/>
        <w:ind w:firstLine="480"/>
        <w:rPr>
          <w:rFonts w:cs="宋体"/>
          <w:color w:val="auto"/>
          <w:highlight w:val="none"/>
        </w:rPr>
      </w:pPr>
      <w:r>
        <w:rPr>
          <w:rFonts w:hint="eastAsia" w:cs="宋体"/>
          <w:color w:val="auto"/>
          <w:highlight w:val="none"/>
        </w:rPr>
        <w:t>（2）现金转账至甲方以下指定账户：</w:t>
      </w:r>
    </w:p>
    <w:p>
      <w:pPr>
        <w:tabs>
          <w:tab w:val="left" w:pos="1995"/>
        </w:tabs>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账号：82010154900000342</w:t>
      </w:r>
    </w:p>
    <w:p>
      <w:pPr>
        <w:tabs>
          <w:tab w:val="left" w:pos="1995"/>
        </w:tabs>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pStyle w:val="21"/>
        <w:spacing w:before="156" w:beforeAutospacing="0" w:after="156" w:afterAutospacing="0" w:line="480" w:lineRule="exact"/>
        <w:ind w:firstLine="480" w:firstLineChars="200"/>
        <w:rPr>
          <w:color w:val="auto"/>
          <w:highlight w:val="none"/>
        </w:rPr>
      </w:pPr>
      <w:r>
        <w:rPr>
          <w:rFonts w:hint="eastAsia" w:cs="宋体"/>
          <w:color w:val="auto"/>
          <w:highlight w:val="none"/>
        </w:rPr>
        <w:t>5.</w:t>
      </w:r>
      <w:r>
        <w:rPr>
          <w:rFonts w:hint="eastAsia" w:cs="宋体"/>
          <w:color w:val="auto"/>
          <w:highlight w:val="none"/>
          <w:lang w:val="en-US" w:eastAsia="zh-CN"/>
        </w:rPr>
        <w:t>9</w:t>
      </w:r>
      <w:r>
        <w:rPr>
          <w:rFonts w:hint="eastAsia" w:cs="宋体"/>
          <w:color w:val="auto"/>
          <w:highlight w:val="none"/>
        </w:rPr>
        <w:t>.2履约担保的担保期限和返还</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⑵ 履约银行保函在合同履行完成后，由乙方提出申请，甲方在28日内返还，不支付利息： </w:t>
      </w:r>
    </w:p>
    <w:p>
      <w:pPr>
        <w:pStyle w:val="21"/>
        <w:spacing w:before="156" w:beforeAutospacing="0" w:after="156" w:afterAutospacing="0" w:line="480" w:lineRule="exact"/>
        <w:ind w:left="199" w:leftChars="95" w:firstLine="360" w:firstLineChars="150"/>
        <w:rPr>
          <w:rFonts w:cs="宋体"/>
          <w:color w:val="auto"/>
          <w:highlight w:val="none"/>
        </w:rPr>
      </w:pPr>
      <w:r>
        <w:rPr>
          <w:rFonts w:hint="eastAsia" w:cs="宋体"/>
          <w:color w:val="auto"/>
          <w:highlight w:val="none"/>
        </w:rPr>
        <w:t>⑶ 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21"/>
        <w:spacing w:before="156" w:beforeAutospacing="0" w:after="156" w:afterAutospacing="0" w:line="480" w:lineRule="exact"/>
        <w:ind w:left="199" w:leftChars="95" w:firstLine="360" w:firstLineChars="150"/>
        <w:rPr>
          <w:rFonts w:cs="宋体"/>
          <w:color w:val="auto"/>
          <w:highlight w:val="none"/>
          <w:u w:val="single"/>
        </w:rPr>
      </w:pPr>
      <w:r>
        <w:rPr>
          <w:rFonts w:hint="eastAsia" w:cs="宋体"/>
          <w:color w:val="auto"/>
          <w:highlight w:val="none"/>
        </w:rPr>
        <w:t>（4）现金履约保证金的退还：合同履行完成后，由乙方提出申请，甲方在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.3甲方按本合同规定提取履约担保金额后，乙方应在收到甲方通知后</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rPr>
        <w:t>日内补足数额，逾期未补足的，则甲方有权提取履约担保的全部余额并解除合同。</w:t>
      </w:r>
    </w:p>
    <w:p>
      <w:pPr>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 xml:space="preserve">付款方式： </w:t>
      </w: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 xml:space="preserve">网银支付；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支票；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其他： … </w:t>
      </w:r>
    </w:p>
    <w:p>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结算价超过合同暂定总价时，暂停合同的工程款支付程序，签订补充协议后支付。</w:t>
      </w:r>
    </w:p>
    <w:p>
      <w:pPr>
        <w:spacing w:line="480" w:lineRule="exact"/>
        <w:ind w:firstLine="492"/>
        <w:rPr>
          <w:rFonts w:ascii="宋体" w:hAnsi="宋体" w:cs="宋体"/>
          <w:b/>
          <w:color w:val="auto"/>
          <w:sz w:val="24"/>
          <w:szCs w:val="24"/>
          <w:highlight w:val="none"/>
        </w:rPr>
      </w:pPr>
      <w:r>
        <w:rPr>
          <w:rFonts w:hint="eastAsia" w:ascii="宋体" w:hAnsi="宋体" w:cs="宋体"/>
          <w:b/>
          <w:color w:val="auto"/>
          <w:sz w:val="24"/>
          <w:szCs w:val="24"/>
          <w:highlight w:val="none"/>
        </w:rPr>
        <w:t>六、验收标准及双方责任：</w:t>
      </w:r>
    </w:p>
    <w:p>
      <w:pPr>
        <w:tabs>
          <w:tab w:val="left" w:pos="2670"/>
        </w:tabs>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6.1.质量及验收标准及项目相关过程资料及成果、培训、实施、维修、维护：见《技术需求书》。</w:t>
      </w:r>
    </w:p>
    <w:p>
      <w:pPr>
        <w:spacing w:line="48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6.2项目验收合格后，乙方提供 </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u w:val="single"/>
        </w:rPr>
        <w:t>运维服务/售后服务/质量保修</w:t>
      </w:r>
      <w:r>
        <w:rPr>
          <w:rFonts w:hint="eastAsia" w:ascii="宋体" w:hAnsi="宋体" w:cs="宋体"/>
          <w:color w:val="auto"/>
          <w:sz w:val="24"/>
          <w:szCs w:val="24"/>
          <w:highlight w:val="none"/>
        </w:rPr>
        <w:t>，服务内容如下：</w:t>
      </w:r>
      <w:r>
        <w:rPr>
          <w:rFonts w:hint="eastAsia" w:ascii="宋体" w:hAnsi="宋体" w:cs="宋体"/>
          <w:color w:val="auto"/>
          <w:sz w:val="24"/>
          <w:szCs w:val="24"/>
          <w:highlight w:val="none"/>
          <w:u w:val="single"/>
        </w:rPr>
        <w:t xml:space="preserve"> 1.项目所属建设的系统（含操作系统）安全及系统漏洞、程序错误修复</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协助对接其他系统</w:t>
      </w:r>
      <w:r>
        <w:rPr>
          <w:rFonts w:hint="eastAsia" w:ascii="宋体" w:hAnsi="宋体" w:cs="宋体"/>
          <w:color w:val="auto"/>
          <w:sz w:val="24"/>
          <w:szCs w:val="24"/>
          <w:highlight w:val="none"/>
          <w:u w:val="single"/>
        </w:rPr>
        <w:t>；2.如系统发现故障时，乙方在收到通知 2小时内提供维护，并排除故障。如现场无法解决的，应同步出具应急方案，并配合甲方启动应急方案，确保甲方信息系统正常运行。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6.3项目系统软件升级：</w:t>
      </w:r>
      <w:r>
        <w:rPr>
          <w:rFonts w:hint="eastAsia" w:ascii="宋体" w:hAnsi="宋体" w:cs="宋体"/>
          <w:color w:val="auto"/>
          <w:sz w:val="24"/>
          <w:szCs w:val="24"/>
          <w:highlight w:val="none"/>
          <w:u w:val="single"/>
        </w:rPr>
        <w:t>乙方应无偿提供升级版本和相应的支持服务。系统软件升级后，乙方应提供软件的培训服务</w:t>
      </w:r>
      <w:r>
        <w:rPr>
          <w:rFonts w:hint="eastAsia" w:ascii="宋体" w:hAnsi="宋体" w:cs="宋体"/>
          <w:color w:val="auto"/>
          <w:sz w:val="24"/>
          <w:szCs w:val="24"/>
          <w:highlight w:val="none"/>
        </w:rPr>
        <w:t>。</w:t>
      </w:r>
    </w:p>
    <w:p>
      <w:pPr>
        <w:pStyle w:val="49"/>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6.4乙方不得传播公司内部网络、服务器、应用系统等有关的资料。</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6.5乙方履行合同时，应严格遵守国家法律法规和甲方相关的各项规章</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制度，服从甲方管理指挥。乙方不按规范作业或者乙方原因造成的</w:t>
      </w:r>
      <w:r>
        <w:rPr>
          <w:rFonts w:hint="eastAsia" w:ascii="宋体" w:hAnsi="宋体" w:eastAsia="宋体"/>
          <w:color w:val="auto"/>
          <w:sz w:val="24"/>
          <w:szCs w:val="24"/>
          <w:highlight w:val="none"/>
        </w:rPr>
        <w:t>财产损失、</w:t>
      </w:r>
      <w:r>
        <w:rPr>
          <w:rFonts w:hint="eastAsia" w:ascii="宋体" w:hAnsi="宋体" w:cs="宋体"/>
          <w:color w:val="auto"/>
          <w:sz w:val="24"/>
          <w:szCs w:val="24"/>
          <w:highlight w:val="none"/>
        </w:rPr>
        <w:t>人员伤亡，由乙方自行承担责任。</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6.8乙方严禁擅自安装、拆卸、调整、挪动任何设备。 </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eastAsia="宋体" w:cs="宋体"/>
          <w:color w:val="auto"/>
          <w:sz w:val="24"/>
          <w:szCs w:val="24"/>
          <w:highlight w:val="none"/>
          <w:u w:val="single"/>
        </w:rPr>
      </w:pPr>
      <w:r>
        <w:rPr>
          <w:rFonts w:hint="eastAsia" w:ascii="宋体" w:hAnsi="宋体" w:cs="宋体"/>
          <w:color w:val="auto"/>
          <w:sz w:val="24"/>
          <w:szCs w:val="24"/>
          <w:highlight w:val="none"/>
        </w:rPr>
        <w:t>6.10驻场服务：</w:t>
      </w:r>
      <w:r>
        <w:rPr>
          <w:rFonts w:hint="eastAsia" w:ascii="宋体" w:hAnsi="宋体" w:cs="宋体"/>
          <w:color w:val="auto"/>
          <w:sz w:val="24"/>
          <w:szCs w:val="24"/>
          <w:highlight w:val="none"/>
          <w:u w:val="single"/>
        </w:rPr>
        <w:t xml:space="preserve"> /  </w:t>
      </w:r>
    </w:p>
    <w:p>
      <w:pPr>
        <w:adjustRightInd w:val="0"/>
        <w:spacing w:line="480" w:lineRule="exact"/>
        <w:ind w:firstLine="56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6.11乙方应及时做好软件、数据备份，防止数据丢失。</w:t>
      </w:r>
    </w:p>
    <w:p>
      <w:pPr>
        <w:adjustRightInd w:val="0"/>
        <w:spacing w:line="480" w:lineRule="exact"/>
        <w:ind w:firstLine="56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6.12乙方应按甲方要求提供专项培训。</w:t>
      </w:r>
    </w:p>
    <w:p>
      <w:pPr>
        <w:spacing w:line="480" w:lineRule="exact"/>
        <w:ind w:firstLine="241" w:firstLineChars="1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七、知识产权</w:t>
      </w:r>
    </w:p>
    <w:p>
      <w:pPr>
        <w:widowControl/>
        <w:spacing w:line="480" w:lineRule="exact"/>
        <w:ind w:firstLine="424" w:firstLineChars="177"/>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auto"/>
          <w:kern w:val="0"/>
          <w:sz w:val="24"/>
          <w:szCs w:val="24"/>
          <w:highlight w:val="none"/>
        </w:rPr>
      </w:pPr>
      <w:r>
        <w:rPr>
          <w:rFonts w:hint="eastAsia" w:ascii="宋体" w:hAnsi="宋体" w:cs="宋体"/>
          <w:color w:val="auto"/>
          <w:kern w:val="0"/>
          <w:sz w:val="24"/>
          <w:szCs w:val="24"/>
          <w:highlight w:val="none"/>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auto"/>
          <w:kern w:val="0"/>
          <w:sz w:val="24"/>
          <w:szCs w:val="24"/>
          <w:highlight w:val="none"/>
        </w:rPr>
      </w:pPr>
      <w:r>
        <w:rPr>
          <w:rFonts w:hint="eastAsia" w:ascii="宋体" w:hAnsi="宋体" w:cs="宋体"/>
          <w:color w:val="auto"/>
          <w:kern w:val="0"/>
          <w:sz w:val="24"/>
          <w:szCs w:val="24"/>
          <w:highlight w:val="none"/>
        </w:rPr>
        <w:t>7.3未经甲方书面许可或授权，乙方不得使用甲方的商标、商号和标志（合称“标识”）。</w:t>
      </w:r>
    </w:p>
    <w:p>
      <w:pPr>
        <w:spacing w:line="480" w:lineRule="exact"/>
        <w:ind w:firstLine="424" w:firstLineChars="177"/>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rPr>
        <w:t>　　八、权利与义务 ：</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除本合同其他条款约定的权利、义务外，双方约定如下：</w:t>
      </w:r>
    </w:p>
    <w:p>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rPr>
        <w:t>　　8.1甲方的权利与义务：</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8.1.1有权督促乙方按期开展工作。</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8.1.2有权根据需要调整工作内容和工作计划。</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8.1.4如乙方团队人员不符合合同工作，甲方有权要求更换，乙方在收到更换通知的3日内完成人员更换。</w:t>
      </w:r>
    </w:p>
    <w:p>
      <w:pPr>
        <w:spacing w:line="48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8.1.5合同生效后，由于不可抗力或客观原因导致合同提前终止的，甲方按实际完成工作量支付相关费用，不承担任何责任。</w:t>
      </w:r>
    </w:p>
    <w:p>
      <w:pPr>
        <w:spacing w:line="480" w:lineRule="exact"/>
        <w:rPr>
          <w:rFonts w:ascii="宋体" w:hAnsi="宋体" w:cs="宋体"/>
          <w:bCs/>
          <w:color w:val="auto"/>
          <w:kern w:val="0"/>
          <w:sz w:val="24"/>
          <w:szCs w:val="24"/>
          <w:highlight w:val="none"/>
        </w:rPr>
      </w:pPr>
      <w:r>
        <w:rPr>
          <w:rFonts w:hint="eastAsia" w:ascii="宋体" w:hAnsi="宋体" w:cs="宋体"/>
          <w:color w:val="auto"/>
          <w:sz w:val="24"/>
          <w:szCs w:val="24"/>
          <w:highlight w:val="none"/>
        </w:rPr>
        <w:t>　　8.1.6</w:t>
      </w:r>
      <w:r>
        <w:rPr>
          <w:rFonts w:hint="eastAsia" w:ascii="宋体" w:hAnsi="宋体" w:cs="宋体"/>
          <w:bCs/>
          <w:color w:val="auto"/>
          <w:kern w:val="0"/>
          <w:sz w:val="24"/>
          <w:szCs w:val="24"/>
          <w:highlight w:val="none"/>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8.1.7甲方向乙方提供本项目工作所必需的资料及文件等。</w:t>
      </w:r>
    </w:p>
    <w:p>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rPr>
        <w:t>　　8.2乙方的权利与义务：</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8.2.1 有权要求甲方提供项目所必需的前期资料。</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8.2.2发现甲方提供的上述资料或工作条件不符合合同约定时，须在接到上述资料或开始工作的</w:t>
      </w:r>
      <w:r>
        <w:rPr>
          <w:rFonts w:hint="eastAsia" w:ascii="宋体" w:hAnsi="宋体" w:cs="宋体"/>
          <w:color w:val="auto"/>
          <w:sz w:val="24"/>
          <w:szCs w:val="24"/>
          <w:highlight w:val="none"/>
          <w:u w:val="single"/>
        </w:rPr>
        <w:t>　3　</w:t>
      </w:r>
      <w:r>
        <w:rPr>
          <w:rFonts w:hint="eastAsia" w:ascii="宋体" w:hAnsi="宋体" w:cs="宋体"/>
          <w:color w:val="auto"/>
          <w:sz w:val="24"/>
          <w:szCs w:val="24"/>
          <w:highlight w:val="none"/>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rPr>
        <w:t>8.2.3</w:t>
      </w:r>
      <w:r>
        <w:rPr>
          <w:rFonts w:hint="eastAsia" w:ascii="宋体" w:hAnsi="宋体" w:cs="宋体"/>
          <w:bCs/>
          <w:color w:val="auto"/>
          <w:kern w:val="0"/>
          <w:sz w:val="24"/>
          <w:szCs w:val="24"/>
          <w:highlight w:val="none"/>
        </w:rPr>
        <w:t>乙方在合同签订后</w:t>
      </w:r>
      <w:r>
        <w:rPr>
          <w:rFonts w:hint="eastAsia" w:ascii="宋体" w:hAnsi="宋体" w:cs="宋体"/>
          <w:bCs/>
          <w:color w:val="auto"/>
          <w:kern w:val="0"/>
          <w:sz w:val="24"/>
          <w:szCs w:val="24"/>
          <w:highlight w:val="none"/>
          <w:u w:val="single"/>
        </w:rPr>
        <w:t>3日</w:t>
      </w:r>
      <w:r>
        <w:rPr>
          <w:rFonts w:hint="eastAsia" w:ascii="宋体" w:hAnsi="宋体" w:cs="宋体"/>
          <w:bCs/>
          <w:color w:val="auto"/>
          <w:kern w:val="0"/>
          <w:sz w:val="24"/>
          <w:szCs w:val="24"/>
          <w:highlight w:val="none"/>
        </w:rPr>
        <w:t>内书面向甲方提交项目计划书、组织人员架构表，负责合同实施期间的联络人员名单及联系方式。项目计划书</w:t>
      </w:r>
      <w:r>
        <w:rPr>
          <w:rFonts w:hint="eastAsia" w:ascii="宋体" w:hAnsi="宋体" w:cs="宋体"/>
          <w:bCs/>
          <w:color w:val="auto"/>
          <w:kern w:val="0"/>
          <w:sz w:val="24"/>
          <w:szCs w:val="24"/>
          <w:highlight w:val="none"/>
          <w:u w:val="single"/>
        </w:rPr>
        <w:t>（计划书需包含以下方案：建设方案、故障回退、故障处置）</w:t>
      </w:r>
      <w:r>
        <w:rPr>
          <w:rFonts w:hint="eastAsia" w:ascii="宋体" w:hAnsi="宋体" w:cs="宋体"/>
          <w:bCs/>
          <w:color w:val="auto"/>
          <w:kern w:val="0"/>
          <w:sz w:val="24"/>
          <w:szCs w:val="24"/>
          <w:highlight w:val="none"/>
        </w:rPr>
        <w:t>经甲方同意后实施。</w:t>
      </w:r>
    </w:p>
    <w:p>
      <w:pPr>
        <w:spacing w:line="480" w:lineRule="exact"/>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rPr>
        <w:t>8.2.4</w:t>
      </w:r>
      <w:r>
        <w:rPr>
          <w:rFonts w:hint="eastAsia" w:ascii="宋体" w:hAnsi="宋体" w:cs="宋体"/>
          <w:bCs/>
          <w:color w:val="auto"/>
          <w:kern w:val="0"/>
          <w:sz w:val="24"/>
          <w:szCs w:val="24"/>
          <w:highlight w:val="none"/>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rPr>
        <w:t>82.5</w:t>
      </w:r>
      <w:r>
        <w:rPr>
          <w:rFonts w:hint="eastAsia" w:ascii="宋体" w:hAnsi="宋体" w:cs="宋体"/>
          <w:bCs/>
          <w:color w:val="auto"/>
          <w:kern w:val="0"/>
          <w:sz w:val="24"/>
          <w:szCs w:val="24"/>
          <w:highlight w:val="none"/>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auto"/>
          <w:kern w:val="0"/>
          <w:sz w:val="24"/>
          <w:szCs w:val="24"/>
          <w:highlight w:val="none"/>
          <w:u w:val="single"/>
        </w:rPr>
        <w:t>每人次扣合同暂定总价5%</w:t>
      </w:r>
      <w:r>
        <w:rPr>
          <w:rFonts w:hint="eastAsia" w:ascii="宋体" w:hAnsi="宋体" w:cs="宋体"/>
          <w:bCs/>
          <w:color w:val="auto"/>
          <w:kern w:val="0"/>
          <w:sz w:val="24"/>
          <w:szCs w:val="24"/>
          <w:highlight w:val="none"/>
        </w:rPr>
        <w:t>作为违约金。</w:t>
      </w:r>
    </w:p>
    <w:p>
      <w:pPr>
        <w:spacing w:line="480" w:lineRule="exact"/>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rPr>
        <w:t>8.2.6</w:t>
      </w:r>
      <w:r>
        <w:rPr>
          <w:rFonts w:hint="eastAsia" w:ascii="宋体" w:hAnsi="宋体" w:cs="宋体"/>
          <w:bCs/>
          <w:color w:val="auto"/>
          <w:kern w:val="0"/>
          <w:sz w:val="24"/>
          <w:szCs w:val="24"/>
          <w:highlight w:val="none"/>
        </w:rPr>
        <w:t xml:space="preserve">乙方为完成系统开发及服务事项而向甲方收取的重要证件、文件、资料时，应向甲方开具规范的收件清单，并妥善保管；项目验收合格后，乙方应在  …日内将上述证件、文件、资料退还甲方。 </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8.2.7</w:t>
      </w:r>
      <w:r>
        <w:rPr>
          <w:rFonts w:hint="eastAsia" w:ascii="宋体" w:hAnsi="宋体" w:cs="宋体"/>
          <w:bCs/>
          <w:color w:val="auto"/>
          <w:kern w:val="0"/>
          <w:sz w:val="24"/>
          <w:szCs w:val="24"/>
          <w:highlight w:val="none"/>
        </w:rPr>
        <w:t>乙方对项目中涉及的甲方商业秘密应予以保护，禁止向任何第三方公开，否则应向甲方承担相应赔偿责任。</w:t>
      </w:r>
    </w:p>
    <w:p>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rPr>
        <w:t>　九、违约责任</w:t>
      </w:r>
    </w:p>
    <w:p>
      <w:pPr>
        <w:spacing w:line="480" w:lineRule="exact"/>
        <w:ind w:firstLine="560"/>
        <w:rPr>
          <w:rFonts w:ascii="宋体" w:hAnsi="宋体" w:cs="宋体"/>
          <w:bCs/>
          <w:color w:val="auto"/>
          <w:sz w:val="24"/>
          <w:szCs w:val="24"/>
          <w:highlight w:val="none"/>
        </w:rPr>
      </w:pPr>
      <w:r>
        <w:rPr>
          <w:rFonts w:hint="eastAsia" w:ascii="宋体" w:hAnsi="宋体" w:cs="宋体"/>
          <w:color w:val="auto"/>
          <w:sz w:val="24"/>
          <w:szCs w:val="24"/>
          <w:highlight w:val="none"/>
        </w:rPr>
        <w:t>9.1</w:t>
      </w:r>
      <w:r>
        <w:rPr>
          <w:rFonts w:hint="eastAsia" w:ascii="宋体" w:hAnsi="宋体" w:cs="宋体"/>
          <w:bCs/>
          <w:color w:val="auto"/>
          <w:sz w:val="24"/>
          <w:szCs w:val="24"/>
          <w:highlight w:val="none"/>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auto"/>
          <w:sz w:val="24"/>
          <w:szCs w:val="24"/>
          <w:highlight w:val="none"/>
          <w:u w:val="single"/>
        </w:rPr>
        <w:t>1万元</w:t>
      </w:r>
      <w:r>
        <w:rPr>
          <w:rFonts w:hint="eastAsia" w:ascii="宋体" w:hAnsi="宋体" w:cs="宋体"/>
          <w:bCs/>
          <w:color w:val="auto"/>
          <w:sz w:val="24"/>
          <w:szCs w:val="24"/>
          <w:highlight w:val="none"/>
        </w:rPr>
        <w:t>，超过</w:t>
      </w:r>
      <w:r>
        <w:rPr>
          <w:rFonts w:hint="eastAsia" w:ascii="宋体" w:hAnsi="宋体" w:cs="宋体"/>
          <w:bCs/>
          <w:color w:val="auto"/>
          <w:sz w:val="24"/>
          <w:szCs w:val="24"/>
          <w:highlight w:val="none"/>
          <w:u w:val="single"/>
        </w:rPr>
        <w:t>10</w:t>
      </w:r>
      <w:r>
        <w:rPr>
          <w:rFonts w:hint="eastAsia"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合同暂定总价的</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0%</w:t>
      </w:r>
      <w:r>
        <w:rPr>
          <w:rFonts w:hint="eastAsia" w:ascii="宋体" w:hAnsi="宋体" w:cs="宋体"/>
          <w:bCs/>
          <w:color w:val="auto"/>
          <w:sz w:val="24"/>
          <w:szCs w:val="24"/>
          <w:highlight w:val="none"/>
        </w:rPr>
        <w:t>作为违约金，由此造成的责任及损失由乙方承担。（</w:t>
      </w:r>
      <w:r>
        <w:rPr>
          <w:rFonts w:hint="eastAsia" w:ascii="宋体" w:hAnsi="宋体" w:cs="宋体"/>
          <w:color w:val="auto"/>
          <w:sz w:val="24"/>
          <w:szCs w:val="24"/>
          <w:highlight w:val="none"/>
        </w:rPr>
        <w:t>如合同另行约定违约责任，从其约定</w:t>
      </w:r>
      <w:r>
        <w:rPr>
          <w:rFonts w:hint="eastAsia" w:ascii="宋体" w:hAnsi="宋体" w:cs="宋体"/>
          <w:bCs/>
          <w:color w:val="auto"/>
          <w:sz w:val="24"/>
          <w:szCs w:val="24"/>
          <w:highlight w:val="none"/>
        </w:rPr>
        <w:t>）。</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9.3乙方未能及时处理故障，每延误故障处理1日，甲方有权要求乙方支付</w:t>
      </w:r>
      <w:r>
        <w:rPr>
          <w:rFonts w:hint="eastAsia" w:ascii="宋体" w:hAnsi="宋体" w:cs="宋体"/>
          <w:color w:val="auto"/>
          <w:sz w:val="24"/>
          <w:szCs w:val="24"/>
          <w:highlight w:val="none"/>
          <w:u w:val="single"/>
        </w:rPr>
        <w:t>合同暂定总价的 10 ‰/日</w:t>
      </w:r>
      <w:r>
        <w:rPr>
          <w:rFonts w:hint="eastAsia" w:ascii="宋体" w:hAnsi="宋体" w:cs="宋体"/>
          <w:color w:val="auto"/>
          <w:sz w:val="24"/>
          <w:szCs w:val="24"/>
          <w:highlight w:val="none"/>
        </w:rPr>
        <w:t>作为违约金。</w:t>
      </w:r>
    </w:p>
    <w:p>
      <w:pPr>
        <w:topLinePunct/>
        <w:spacing w:line="480" w:lineRule="exact"/>
        <w:ind w:firstLine="480"/>
        <w:rPr>
          <w:rFonts w:ascii="宋体" w:hAnsi="宋体" w:cs="宋体"/>
          <w:bCs/>
          <w:color w:val="auto"/>
          <w:sz w:val="24"/>
          <w:szCs w:val="24"/>
          <w:highlight w:val="none"/>
        </w:rPr>
      </w:pPr>
      <w:r>
        <w:rPr>
          <w:rFonts w:hint="eastAsia" w:ascii="宋体" w:hAnsi="宋体" w:cs="宋体"/>
          <w:color w:val="auto"/>
          <w:sz w:val="24"/>
          <w:szCs w:val="24"/>
          <w:highlight w:val="none"/>
        </w:rPr>
        <w:t>9.4乙方无法按合同进度要求完成工作，逾期交付工作成果，</w:t>
      </w:r>
      <w:r>
        <w:rPr>
          <w:rFonts w:hint="eastAsia" w:ascii="宋体" w:hAnsi="宋体" w:cs="宋体"/>
          <w:bCs/>
          <w:color w:val="auto"/>
          <w:sz w:val="24"/>
          <w:szCs w:val="24"/>
          <w:highlight w:val="none"/>
        </w:rPr>
        <w:t>每超过1日支付违约金</w:t>
      </w:r>
      <w:r>
        <w:rPr>
          <w:rFonts w:hint="eastAsia" w:ascii="宋体" w:hAnsi="宋体" w:cs="宋体"/>
          <w:bCs/>
          <w:color w:val="auto"/>
          <w:sz w:val="24"/>
          <w:szCs w:val="24"/>
          <w:highlight w:val="none"/>
          <w:u w:val="single"/>
        </w:rPr>
        <w:t>合同暂定总价的</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rPr>
        <w:t>%</w:t>
      </w:r>
      <w:r>
        <w:rPr>
          <w:rFonts w:hint="eastAsia" w:ascii="宋体" w:hAnsi="宋体" w:cs="宋体"/>
          <w:bCs/>
          <w:color w:val="auto"/>
          <w:sz w:val="24"/>
          <w:szCs w:val="24"/>
          <w:highlight w:val="none"/>
        </w:rPr>
        <w:t>，超过</w:t>
      </w:r>
      <w:r>
        <w:rPr>
          <w:rFonts w:hint="eastAsia" w:ascii="宋体" w:hAnsi="宋体" w:cs="宋体"/>
          <w:bCs/>
          <w:color w:val="auto"/>
          <w:sz w:val="24"/>
          <w:szCs w:val="24"/>
          <w:highlight w:val="none"/>
          <w:u w:val="single"/>
        </w:rPr>
        <w:t>10</w:t>
      </w:r>
      <w:r>
        <w:rPr>
          <w:rFonts w:hint="eastAsia"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合同暂定总价的</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0%</w:t>
      </w:r>
      <w:r>
        <w:rPr>
          <w:rFonts w:hint="eastAsia" w:ascii="宋体" w:hAnsi="宋体" w:cs="宋体"/>
          <w:bCs/>
          <w:color w:val="auto"/>
          <w:sz w:val="24"/>
          <w:szCs w:val="24"/>
          <w:highlight w:val="none"/>
        </w:rPr>
        <w:t>作为违约金。</w:t>
      </w:r>
    </w:p>
    <w:p>
      <w:pPr>
        <w:topLinePunct/>
        <w:spacing w:line="480" w:lineRule="exact"/>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9.5乙方违反本合同保密协议的，甲方有权解除合同，乙方应返还已收的合同款项，并赔偿由此给甲方造成的损失。</w:t>
      </w:r>
    </w:p>
    <w:p>
      <w:pPr>
        <w:spacing w:before="156" w:beforeLines="50" w:after="156" w:afterLines="50" w:line="480" w:lineRule="exact"/>
        <w:ind w:firstLine="482" w:firstLineChars="200"/>
        <w:jc w:val="left"/>
        <w:rPr>
          <w:rFonts w:ascii="宋体" w:hAnsi="宋体" w:cs="宋体"/>
          <w:color w:val="auto"/>
          <w:sz w:val="24"/>
          <w:szCs w:val="24"/>
          <w:highlight w:val="none"/>
        </w:rPr>
      </w:pPr>
      <w:bookmarkStart w:id="86" w:name="_Toc107447255"/>
      <w:bookmarkStart w:id="87" w:name="_Toc107446862"/>
      <w:bookmarkStart w:id="88" w:name="_Toc19692"/>
      <w:bookmarkStart w:id="89" w:name="_Toc518993000"/>
      <w:bookmarkStart w:id="90" w:name="_Toc183666531"/>
      <w:bookmarkStart w:id="91" w:name="_Toc520190040"/>
      <w:bookmarkStart w:id="92" w:name="_Toc474245226"/>
      <w:bookmarkStart w:id="93" w:name="_Toc306350467"/>
      <w:r>
        <w:rPr>
          <w:rFonts w:hint="eastAsia" w:ascii="宋体" w:hAnsi="宋体" w:cs="宋体"/>
          <w:b/>
          <w:bCs/>
          <w:color w:val="auto"/>
          <w:sz w:val="24"/>
          <w:szCs w:val="24"/>
          <w:highlight w:val="none"/>
        </w:rPr>
        <w:t>十、不可抗力</w:t>
      </w:r>
      <w:bookmarkEnd w:id="86"/>
      <w:bookmarkEnd w:id="87"/>
      <w:bookmarkEnd w:id="88"/>
      <w:bookmarkEnd w:id="89"/>
      <w:bookmarkEnd w:id="90"/>
      <w:bookmarkEnd w:id="91"/>
      <w:bookmarkEnd w:id="92"/>
      <w:bookmarkEnd w:id="93"/>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bookmarkStart w:id="94" w:name="_Toc183666532"/>
      <w:bookmarkStart w:id="95" w:name="_Toc12010"/>
      <w:bookmarkStart w:id="96" w:name="_Toc306350468"/>
      <w:r>
        <w:rPr>
          <w:rFonts w:hint="eastAsia" w:ascii="宋体" w:hAnsi="宋体" w:cs="宋体"/>
          <w:bCs/>
          <w:color w:val="auto"/>
          <w:sz w:val="24"/>
          <w:szCs w:val="24"/>
          <w:highlight w:val="none"/>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auto"/>
          <w:sz w:val="24"/>
          <w:szCs w:val="24"/>
          <w:highlight w:val="none"/>
        </w:rPr>
      </w:pPr>
      <w:r>
        <w:rPr>
          <w:rFonts w:hint="eastAsia" w:ascii="宋体" w:hAnsi="宋体" w:cs="宋体"/>
          <w:bCs/>
          <w:color w:val="auto"/>
          <w:sz w:val="24"/>
          <w:szCs w:val="24"/>
          <w:highlight w:val="none"/>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7" w:name="_Toc518993001"/>
      <w:bookmarkStart w:id="98" w:name="_Toc107447257"/>
      <w:bookmarkStart w:id="99" w:name="_Toc520190041"/>
      <w:bookmarkStart w:id="100" w:name="_Toc118172294"/>
      <w:bookmarkStart w:id="101" w:name="_Toc107446864"/>
      <w:bookmarkStart w:id="102" w:name="_Toc474245227"/>
    </w:p>
    <w:p>
      <w:pPr>
        <w:spacing w:before="156" w:beforeLines="50" w:after="156" w:afterLines="50" w:line="480" w:lineRule="exact"/>
        <w:ind w:firstLine="48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十一、争议解决</w:t>
      </w:r>
      <w:bookmarkEnd w:id="94"/>
      <w:bookmarkEnd w:id="95"/>
      <w:bookmarkEnd w:id="96"/>
      <w:bookmarkEnd w:id="97"/>
      <w:bookmarkEnd w:id="98"/>
      <w:bookmarkEnd w:id="99"/>
      <w:bookmarkEnd w:id="100"/>
      <w:bookmarkEnd w:id="101"/>
      <w:bookmarkEnd w:id="102"/>
    </w:p>
    <w:p>
      <w:pPr>
        <w:spacing w:line="480" w:lineRule="exact"/>
        <w:ind w:firstLine="482"/>
        <w:rPr>
          <w:rFonts w:ascii="宋体" w:hAnsi="宋体" w:cs="宋体"/>
          <w:bCs/>
          <w:color w:val="auto"/>
          <w:sz w:val="24"/>
          <w:szCs w:val="24"/>
          <w:highlight w:val="none"/>
        </w:rPr>
      </w:pPr>
      <w:bookmarkStart w:id="103" w:name="_Toc306350469"/>
      <w:bookmarkStart w:id="104" w:name="_Toc183666533"/>
      <w:r>
        <w:rPr>
          <w:rFonts w:hint="eastAsia" w:ascii="宋体" w:hAnsi="宋体" w:cs="宋体"/>
          <w:bCs/>
          <w:color w:val="auto"/>
          <w:sz w:val="24"/>
          <w:szCs w:val="24"/>
          <w:highlight w:val="none"/>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auto"/>
          <w:sz w:val="24"/>
          <w:szCs w:val="24"/>
          <w:highlight w:val="none"/>
        </w:rPr>
      </w:pPr>
      <w:r>
        <w:rPr>
          <w:rFonts w:hint="eastAsia" w:ascii="宋体" w:hAnsi="宋体" w:cs="宋体"/>
          <w:bCs/>
          <w:color w:val="auto"/>
          <w:sz w:val="24"/>
          <w:szCs w:val="24"/>
          <w:highlight w:val="none"/>
        </w:rPr>
        <w:t>11.2</w:t>
      </w:r>
      <w:r>
        <w:rPr>
          <w:rFonts w:hint="eastAsia" w:ascii="宋体" w:hAnsi="宋体" w:cs="宋体"/>
          <w:color w:val="auto"/>
          <w:sz w:val="24"/>
          <w:szCs w:val="24"/>
          <w:highlight w:val="none"/>
        </w:rPr>
        <w:t>在甲方同意的情况下，除有争端之外的合同其它部分在争端解决前应继续执行。</w:t>
      </w:r>
      <w:bookmarkEnd w:id="103"/>
      <w:bookmarkEnd w:id="104"/>
      <w:bookmarkStart w:id="105" w:name="_Toc520190043"/>
      <w:bookmarkStart w:id="106" w:name="_Toc474245229"/>
      <w:bookmarkStart w:id="107" w:name="_Toc518993003"/>
    </w:p>
    <w:p>
      <w:pPr>
        <w:spacing w:line="480" w:lineRule="exact"/>
        <w:ind w:firstLine="482"/>
        <w:jc w:val="left"/>
        <w:rPr>
          <w:rFonts w:ascii="宋体" w:hAnsi="宋体" w:cs="宋体"/>
          <w:b/>
          <w:bCs/>
          <w:color w:val="auto"/>
          <w:sz w:val="24"/>
          <w:szCs w:val="24"/>
          <w:highlight w:val="none"/>
        </w:rPr>
      </w:pPr>
      <w:bookmarkStart w:id="108" w:name="_Toc107447264"/>
      <w:bookmarkStart w:id="109" w:name="_Toc107446871"/>
      <w:r>
        <w:rPr>
          <w:rFonts w:hint="eastAsia" w:ascii="宋体" w:hAnsi="宋体" w:cs="宋体"/>
          <w:b/>
          <w:bCs/>
          <w:color w:val="auto"/>
          <w:sz w:val="24"/>
          <w:szCs w:val="24"/>
          <w:highlight w:val="none"/>
        </w:rPr>
        <w:t>十二、合同生效及其他</w:t>
      </w:r>
      <w:bookmarkEnd w:id="105"/>
      <w:bookmarkEnd w:id="106"/>
      <w:bookmarkEnd w:id="107"/>
      <w:bookmarkEnd w:id="108"/>
      <w:bookmarkEnd w:id="109"/>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12.1本合同经双方法定代表人或授权代表签字并加盖双方公章后生效.</w:t>
      </w:r>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12.2本合同正文一式</w:t>
      </w:r>
      <w:r>
        <w:rPr>
          <w:rFonts w:hint="eastAsia" w:ascii="宋体" w:hAnsi="宋体" w:cs="宋体"/>
          <w:color w:val="auto"/>
          <w:sz w:val="24"/>
          <w:szCs w:val="24"/>
          <w:highlight w:val="none"/>
          <w:u w:val="single"/>
        </w:rPr>
        <w:t xml:space="preserve">  肆 </w:t>
      </w:r>
      <w:r>
        <w:rPr>
          <w:rFonts w:hint="eastAsia" w:ascii="宋体" w:hAnsi="宋体" w:cs="宋体"/>
          <w:color w:val="auto"/>
          <w:sz w:val="24"/>
          <w:szCs w:val="24"/>
          <w:highlight w:val="none"/>
        </w:rPr>
        <w:t xml:space="preserve"> 份，其中：甲方</w:t>
      </w:r>
      <w:r>
        <w:rPr>
          <w:rFonts w:hint="eastAsia" w:ascii="宋体" w:hAnsi="宋体" w:cs="宋体"/>
          <w:color w:val="auto"/>
          <w:sz w:val="24"/>
          <w:szCs w:val="24"/>
          <w:highlight w:val="none"/>
          <w:u w:val="single"/>
        </w:rPr>
        <w:t xml:space="preserve">    叁  </w:t>
      </w:r>
      <w:r>
        <w:rPr>
          <w:rFonts w:hint="eastAsia" w:ascii="宋体" w:hAnsi="宋体" w:cs="宋体"/>
          <w:color w:val="auto"/>
          <w:sz w:val="24"/>
          <w:szCs w:val="24"/>
          <w:highlight w:val="none"/>
        </w:rPr>
        <w:t>份，乙方</w:t>
      </w:r>
      <w:r>
        <w:rPr>
          <w:rFonts w:hint="eastAsia" w:ascii="宋体" w:hAnsi="宋体" w:cs="宋体"/>
          <w:color w:val="auto"/>
          <w:sz w:val="24"/>
          <w:szCs w:val="24"/>
          <w:highlight w:val="none"/>
          <w:u w:val="single"/>
        </w:rPr>
        <w:t xml:space="preserve">  壹  </w:t>
      </w:r>
      <w:r>
        <w:rPr>
          <w:rFonts w:hint="eastAsia" w:ascii="宋体" w:hAnsi="宋体" w:cs="宋体"/>
          <w:color w:val="auto"/>
          <w:sz w:val="24"/>
          <w:szCs w:val="24"/>
          <w:highlight w:val="none"/>
        </w:rPr>
        <w:t>份。</w:t>
      </w:r>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12.3补充条款</w:t>
      </w:r>
      <w:r>
        <w:rPr>
          <w:rFonts w:hint="eastAsia" w:ascii="宋体" w:hAnsi="宋体" w:cs="宋体"/>
          <w:color w:val="auto"/>
          <w:sz w:val="24"/>
          <w:szCs w:val="24"/>
          <w:highlight w:val="none"/>
          <w:u w:val="single"/>
        </w:rPr>
        <w:t xml:space="preserve">：/ </w:t>
      </w:r>
    </w:p>
    <w:p>
      <w:pPr>
        <w:spacing w:line="48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附件： 1. </w:t>
      </w:r>
      <w:r>
        <w:rPr>
          <w:rFonts w:hint="eastAsia" w:ascii="宋体" w:hAnsi="宋体" w:eastAsia="宋体" w:cs="宋体"/>
          <w:bCs/>
          <w:color w:val="auto"/>
          <w:sz w:val="24"/>
          <w:szCs w:val="24"/>
          <w:highlight w:val="none"/>
        </w:rPr>
        <w:t>中标通知书/发包通知书/成交通知书/委托函；</w:t>
      </w:r>
      <w:r>
        <w:rPr>
          <w:rFonts w:hint="eastAsia" w:ascii="宋体" w:hAnsi="宋体" w:eastAsia="宋体" w:cs="宋体"/>
          <w:color w:val="auto"/>
          <w:sz w:val="24"/>
          <w:szCs w:val="24"/>
          <w:highlight w:val="none"/>
        </w:rPr>
        <w:t>（如有）</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2. 廉洁协议</w:t>
      </w: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3. 保密协议</w:t>
      </w:r>
    </w:p>
    <w:p>
      <w:pPr>
        <w:spacing w:line="48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4. 安全管理协议书（具体以安全办通知为准）</w:t>
      </w:r>
    </w:p>
    <w:p>
      <w:pPr>
        <w:spacing w:line="48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5. 服务内容/技术需求</w:t>
      </w:r>
    </w:p>
    <w:p>
      <w:pPr>
        <w:spacing w:line="48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6. 项目投入人员架构表</w:t>
      </w:r>
    </w:p>
    <w:p>
      <w:pPr>
        <w:spacing w:line="48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8.履约保函（模板）（如需）</w:t>
      </w:r>
    </w:p>
    <w:p>
      <w:pPr>
        <w:spacing w:line="48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9. 授权委托证明（如需）</w:t>
      </w:r>
    </w:p>
    <w:p>
      <w:pPr>
        <w:pStyle w:val="46"/>
        <w:ind w:firstLine="1440" w:firstLineChars="600"/>
        <w:rPr>
          <w:color w:val="auto"/>
          <w:highlight w:val="none"/>
        </w:rPr>
      </w:pPr>
    </w:p>
    <w:p>
      <w:pPr>
        <w:spacing w:line="480" w:lineRule="exact"/>
        <w:rPr>
          <w:rFonts w:ascii="宋体" w:hAnsi="宋体" w:cs="宋体"/>
          <w:color w:val="auto"/>
          <w:sz w:val="24"/>
          <w:szCs w:val="24"/>
          <w:highlight w:val="none"/>
        </w:rPr>
      </w:pPr>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                         法定代表人或</w:t>
      </w:r>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480" w:lineRule="exact"/>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480" w:lineRule="exact"/>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签署日期：    年    月    日         签署日期：    年    月    日  </w:t>
      </w:r>
    </w:p>
    <w:p>
      <w:pPr>
        <w:spacing w:line="480" w:lineRule="exact"/>
        <w:rPr>
          <w:rFonts w:ascii="仿宋_GB2312" w:eastAsia="仿宋_GB2312"/>
          <w:color w:val="auto"/>
          <w:w w:val="90"/>
          <w:kern w:val="10"/>
          <w:sz w:val="24"/>
          <w:highlight w:val="none"/>
        </w:rPr>
      </w:pPr>
      <w:r>
        <w:rPr>
          <w:rFonts w:hint="eastAsia" w:ascii="仿宋_GB2312" w:eastAsia="仿宋_GB2312"/>
          <w:color w:val="auto"/>
          <w:w w:val="90"/>
          <w:kern w:val="10"/>
          <w:sz w:val="24"/>
          <w:highlight w:val="none"/>
        </w:rPr>
        <w:t xml:space="preserve">                                      </w:t>
      </w:r>
    </w:p>
    <w:p>
      <w:pPr>
        <w:widowControl/>
        <w:jc w:val="left"/>
        <w:rPr>
          <w:rFonts w:ascii="宋体" w:hAnsi="宋体" w:cs="宋体"/>
          <w:color w:val="auto"/>
          <w:szCs w:val="21"/>
          <w:highlight w:val="none"/>
        </w:rPr>
      </w:pPr>
    </w:p>
    <w:p>
      <w:pPr>
        <w:pStyle w:val="9"/>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hint="eastAsia" w:ascii="宋体" w:hAnsi="宋体" w:cs="宋体"/>
          <w:color w:val="auto"/>
          <w:szCs w:val="21"/>
          <w:highlight w:val="none"/>
        </w:rPr>
      </w:pPr>
      <w:r>
        <w:rPr>
          <w:rFonts w:hint="eastAsia" w:ascii="宋体" w:hAnsi="宋体" w:cs="宋体"/>
          <w:color w:val="auto"/>
          <w:sz w:val="21"/>
          <w:szCs w:val="21"/>
          <w:highlight w:val="none"/>
        </w:rPr>
        <w:t xml:space="preserve">附件： 1. </w:t>
      </w:r>
      <w:r>
        <w:rPr>
          <w:rFonts w:hint="eastAsia" w:ascii="宋体" w:hAnsi="宋体" w:cs="宋体" w:eastAsiaTheme="minorEastAsia"/>
          <w:bCs w:val="0"/>
          <w:color w:val="auto"/>
          <w:sz w:val="21"/>
          <w:szCs w:val="21"/>
          <w:highlight w:val="none"/>
        </w:rPr>
        <w:t>发包通知书/</w:t>
      </w:r>
    </w:p>
    <w:p>
      <w:pPr>
        <w:widowControl/>
        <w:jc w:val="left"/>
        <w:rPr>
          <w:rFonts w:ascii="宋体" w:hAnsi="宋体" w:cs="宋体"/>
          <w:color w:val="auto"/>
          <w:szCs w:val="21"/>
          <w:highlight w:val="none"/>
        </w:rPr>
      </w:pPr>
      <w:r>
        <w:rPr>
          <w:rFonts w:hint="eastAsia" w:ascii="宋体" w:hAnsi="宋体" w:cs="宋体"/>
          <w:color w:val="auto"/>
          <w:szCs w:val="21"/>
          <w:highlight w:val="none"/>
        </w:rPr>
        <w:t>附件2</w:t>
      </w:r>
    </w:p>
    <w:p>
      <w:pPr>
        <w:spacing w:line="520" w:lineRule="exact"/>
        <w:jc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广州市净水有限公司VPN认证系统建设项目</w:t>
      </w:r>
      <w:r>
        <w:rPr>
          <w:rFonts w:hint="eastAsia" w:ascii="仿宋_GB2312" w:hAnsi="仿宋_GB2312" w:eastAsia="仿宋_GB2312" w:cs="仿宋_GB2312"/>
          <w:bCs/>
          <w:color w:val="auto"/>
          <w:sz w:val="28"/>
          <w:szCs w:val="28"/>
          <w:highlight w:val="none"/>
          <w:u w:val="single"/>
        </w:rPr>
        <w:t xml:space="preserve">合同  </w:t>
      </w:r>
      <w:r>
        <w:rPr>
          <w:rFonts w:hint="eastAsia" w:ascii="仿宋_GB2312" w:hAnsi="仿宋_GB2312" w:eastAsia="仿宋_GB2312" w:cs="仿宋_GB2312"/>
          <w:bCs/>
          <w:color w:val="auto"/>
          <w:sz w:val="28"/>
          <w:szCs w:val="28"/>
          <w:highlight w:val="none"/>
        </w:rPr>
        <w:t>（以下简称：主合同），自觉履行合同约定的相关义务。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5"/>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1"/>
        <w:widowControl/>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1"/>
        <w:widowControl/>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1"/>
        <w:widowControl/>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1"/>
        <w:widowControl/>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1"/>
        <w:widowControl/>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1"/>
        <w:widowControl/>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1"/>
        <w:widowControl/>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eastAsia="仿宋_GB2312"/>
          <w:color w:val="auto"/>
          <w:sz w:val="28"/>
          <w:szCs w:val="28"/>
          <w:highlight w:val="none"/>
          <w:u w:val="single"/>
        </w:rPr>
        <w:t>广州市净水有限公司VPN认证系统建设项目</w:t>
      </w:r>
      <w:r>
        <w:rPr>
          <w:rFonts w:hint="eastAsia" w:ascii="仿宋_GB2312" w:hAnsi="仿宋_GB2312" w:eastAsia="仿宋_GB2312" w:cs="仿宋_GB2312"/>
          <w:bCs/>
          <w:color w:val="auto"/>
          <w:sz w:val="28"/>
          <w:szCs w:val="28"/>
          <w:highlight w:val="none"/>
          <w:u w:val="single"/>
        </w:rPr>
        <w:t>合同</w:t>
      </w:r>
      <w:r>
        <w:rPr>
          <w:rFonts w:hint="eastAsia" w:ascii="仿宋_GB2312" w:hAnsi="仿宋_GB2312" w:eastAsia="仿宋_GB2312" w:cs="仿宋_GB2312"/>
          <w:bCs/>
          <w:color w:val="auto"/>
          <w:sz w:val="28"/>
          <w:szCs w:val="28"/>
          <w:highlight w:val="none"/>
        </w:rPr>
        <w:t>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4</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3</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1</w:t>
      </w:r>
      <w:r>
        <w:rPr>
          <w:rFonts w:hint="eastAsia" w:ascii="仿宋_GB2312" w:hAnsi="仿宋_GB2312" w:eastAsia="仿宋_GB2312" w:cs="仿宋_GB2312"/>
          <w:bCs/>
          <w:color w:val="auto"/>
          <w:sz w:val="28"/>
          <w:szCs w:val="28"/>
          <w:highlight w:val="none"/>
        </w:rPr>
        <w:t>份。</w:t>
      </w:r>
    </w:p>
    <w:p>
      <w:pPr>
        <w:spacing w:line="520" w:lineRule="exact"/>
        <w:ind w:firstLine="560" w:firstLineChars="200"/>
        <w:rPr>
          <w:rFonts w:ascii="仿宋_GB2312" w:hAnsi="仿宋_GB2312" w:eastAsia="仿宋_GB2312" w:cs="仿宋_GB2312"/>
          <w:bCs/>
          <w:color w:val="auto"/>
          <w:sz w:val="28"/>
          <w:szCs w:val="28"/>
          <w:highlight w:val="none"/>
        </w:rPr>
      </w:pPr>
    </w:p>
    <w:p>
      <w:pPr>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br w:type="textWrapping"/>
      </w:r>
      <w:r>
        <w:rPr>
          <w:rFonts w:hint="eastAsia" w:ascii="仿宋_GB2312" w:hAnsi="仿宋_GB2312" w:eastAsia="仿宋_GB2312" w:cs="仿宋_GB2312"/>
          <w:bCs/>
          <w:color w:val="auto"/>
          <w:sz w:val="28"/>
          <w:szCs w:val="28"/>
          <w:highlight w:val="none"/>
        </w:rPr>
        <w:t>甲方（盖章）：                     乙方（盖章）：</w:t>
      </w:r>
    </w:p>
    <w:p>
      <w:pPr>
        <w:pStyle w:val="33"/>
        <w:tabs>
          <w:tab w:val="left" w:pos="5100"/>
        </w:tabs>
        <w:spacing w:line="52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2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pStyle w:val="9"/>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pStyle w:val="10"/>
        <w:rPr>
          <w:rFonts w:ascii="宋体" w:hAnsi="宋体" w:cs="宋体"/>
          <w:color w:val="auto"/>
          <w:szCs w:val="21"/>
          <w:highlight w:val="none"/>
        </w:rPr>
      </w:pPr>
    </w:p>
    <w:p>
      <w:pPr>
        <w:spacing w:line="540" w:lineRule="exact"/>
        <w:rPr>
          <w:rFonts w:ascii="宋体" w:hAnsi="宋体" w:cs="宋体"/>
          <w:color w:val="auto"/>
          <w:szCs w:val="21"/>
          <w:highlight w:val="none"/>
        </w:rPr>
      </w:pPr>
      <w:r>
        <w:rPr>
          <w:rFonts w:hint="eastAsia" w:ascii="宋体" w:hAnsi="宋体" w:cs="宋体"/>
          <w:color w:val="auto"/>
          <w:szCs w:val="21"/>
          <w:highlight w:val="none"/>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rPr>
        <w:t xml:space="preserve">   VPN认证系统建设  </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3"/>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管，不得遗失、转借、复印。</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rPr>
        <w:t>广州市净水有限公司VPN认证系统建设项目</w:t>
      </w:r>
      <w:r>
        <w:rPr>
          <w:rFonts w:hint="eastAsia" w:ascii="宋体" w:hAnsi="宋体"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4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560" w:lineRule="exact"/>
        <w:ind w:firstLine="105" w:firstLineChars="50"/>
        <w:rPr>
          <w:rFonts w:ascii="宋体" w:hAnsi="宋体" w:cs="宋体"/>
          <w:color w:val="auto"/>
          <w:szCs w:val="21"/>
          <w:highlight w:val="none"/>
        </w:rPr>
      </w:pPr>
    </w:p>
    <w:p>
      <w:pPr>
        <w:spacing w:line="560" w:lineRule="exact"/>
        <w:rPr>
          <w:rFonts w:ascii="宋体" w:hAnsi="宋体" w:cs="宋体"/>
          <w:color w:val="auto"/>
          <w:szCs w:val="21"/>
          <w:highlight w:val="none"/>
        </w:rPr>
      </w:pPr>
    </w:p>
    <w:p>
      <w:pPr>
        <w:pStyle w:val="9"/>
        <w:rPr>
          <w:rFonts w:ascii="宋体" w:hAnsi="宋体" w:cs="宋体"/>
          <w:color w:val="auto"/>
          <w:szCs w:val="21"/>
          <w:highlight w:val="none"/>
        </w:rPr>
      </w:pPr>
    </w:p>
    <w:p>
      <w:pPr>
        <w:spacing w:line="560" w:lineRule="exact"/>
        <w:rPr>
          <w:rFonts w:ascii="宋体" w:hAnsi="宋体" w:cs="宋体"/>
          <w:b/>
          <w:color w:val="auto"/>
          <w:szCs w:val="21"/>
          <w:highlight w:val="none"/>
        </w:rPr>
      </w:pPr>
      <w:r>
        <w:rPr>
          <w:rFonts w:hint="eastAsia" w:ascii="宋体" w:hAnsi="宋体" w:cs="宋体"/>
          <w:color w:val="auto"/>
          <w:szCs w:val="21"/>
          <w:highlight w:val="none"/>
        </w:rPr>
        <w:t>附件4</w:t>
      </w:r>
      <w:r>
        <w:rPr>
          <w:rFonts w:hint="eastAsia" w:ascii="宋体" w:hAnsi="宋体" w:cs="宋体"/>
          <w:b/>
          <w:color w:val="auto"/>
          <w:szCs w:val="21"/>
          <w:highlight w:val="none"/>
        </w:rPr>
        <w:t>安全管理协议书</w:t>
      </w:r>
    </w:p>
    <w:p>
      <w:pPr>
        <w:spacing w:line="440" w:lineRule="exact"/>
        <w:jc w:val="center"/>
        <w:rPr>
          <w:rFonts w:ascii="宋体" w:hAnsi="宋体" w:cs="宋体"/>
          <w:b/>
          <w:bCs/>
          <w:color w:val="auto"/>
          <w:szCs w:val="21"/>
          <w:highlight w:val="none"/>
        </w:rPr>
      </w:pPr>
    </w:p>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安全管理协议书</w:t>
      </w:r>
    </w:p>
    <w:p>
      <w:pPr>
        <w:pStyle w:val="2"/>
        <w:rPr>
          <w:color w:val="auto"/>
          <w:highlight w:val="none"/>
        </w:rPr>
      </w:pP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广州市净水有限公司</w:t>
      </w:r>
    </w:p>
    <w:p>
      <w:pPr>
        <w:adjustRightInd w:val="0"/>
        <w:snapToGrid w:val="0"/>
        <w:spacing w:line="440" w:lineRule="exact"/>
        <w:ind w:firstLine="420" w:firstLineChars="200"/>
        <w:jc w:val="left"/>
        <w:rPr>
          <w:rStyle w:val="26"/>
          <w:rFonts w:ascii="宋体" w:hAnsi="宋体" w:cs="宋体"/>
          <w:b w:val="0"/>
          <w:color w:val="auto"/>
          <w:sz w:val="21"/>
          <w:szCs w:val="21"/>
          <w:highlight w:val="none"/>
          <w:u w:val="single"/>
        </w:rPr>
      </w:pPr>
      <w:r>
        <w:rPr>
          <w:rFonts w:hint="eastAsia" w:ascii="宋体" w:hAnsi="宋体" w:cs="宋体"/>
          <w:color w:val="auto"/>
          <w:szCs w:val="21"/>
          <w:highlight w:val="none"/>
        </w:rPr>
        <w:t>承包人</w:t>
      </w:r>
      <w:bookmarkStart w:id="110" w:name="_Toc21391"/>
      <w:r>
        <w:rPr>
          <w:rFonts w:hint="eastAsia" w:ascii="宋体" w:hAnsi="宋体" w:cs="宋体"/>
          <w:color w:val="auto"/>
          <w:szCs w:val="21"/>
          <w:highlight w:val="none"/>
        </w:rPr>
        <w:t xml:space="preserve">: </w:t>
      </w:r>
    </w:p>
    <w:bookmarkEnd w:id="110"/>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auto"/>
          <w:sz w:val="24"/>
          <w:szCs w:val="24"/>
          <w:highlight w:val="none"/>
        </w:rPr>
        <w:t>工作场所职业卫生管理规定</w:t>
      </w:r>
      <w:r>
        <w:rPr>
          <w:rFonts w:hint="eastAsia" w:ascii="宋体" w:hAnsi="宋体" w:cs="宋体"/>
          <w:color w:val="auto"/>
          <w:szCs w:val="21"/>
          <w:highlight w:val="none"/>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一、本协议与主合同的关系</w:t>
      </w:r>
    </w:p>
    <w:p>
      <w:pPr>
        <w:adjustRightInd w:val="0"/>
        <w:snapToGrid w:val="0"/>
        <w:spacing w:line="440" w:lineRule="exact"/>
        <w:ind w:left="105"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本协议作为</w:t>
      </w:r>
      <w:r>
        <w:rPr>
          <w:rFonts w:hint="eastAsia" w:ascii="宋体" w:hAnsi="宋体" w:cs="宋体"/>
          <w:color w:val="auto"/>
          <w:szCs w:val="21"/>
          <w:highlight w:val="none"/>
          <w:u w:val="single"/>
        </w:rPr>
        <w:t xml:space="preserve"> </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u w:val="single"/>
        </w:rPr>
        <w:t>广州市净水有限公司VPN认证系统建设项目</w:t>
      </w:r>
      <w:r>
        <w:rPr>
          <w:rFonts w:hint="eastAsia" w:cs="仿宋_GB2312" w:asciiTheme="minorEastAsia" w:hAnsiTheme="minorEastAsia"/>
          <w:bCs/>
          <w:color w:val="auto"/>
          <w:szCs w:val="21"/>
          <w:highlight w:val="none"/>
          <w:u w:val="single"/>
        </w:rPr>
        <w:t>合同</w:t>
      </w:r>
      <w:r>
        <w:rPr>
          <w:rFonts w:hint="eastAsia" w:cs="宋体" w:asciiTheme="minorEastAsia" w:hAnsiTheme="minorEastAsia"/>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的组成部分，与主合同具有同等法律。</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二、发包人、承包人双方的责任、权利和义务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（一）发包人的责任、权利和义务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2.审查承包人安全资质以及承包内容所要求具备的资质条件。</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（二）承包人的责任、权利和义务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三、协议内容                                                </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2.承包人须严格按照发包人制定的《标准化手册》的要求落实各项安全生产管理工作。</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四、事故责任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2.承包人人员在非承包区域遭受意外伤害的，承包人负全部责任。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7.本协议未尽事宜，依据有关法规。规章处理，法规、规章没有明确规定的，经双方协商处理解决。</w:t>
      </w:r>
    </w:p>
    <w:p>
      <w:pPr>
        <w:pStyle w:val="36"/>
        <w:spacing w:line="440" w:lineRule="exact"/>
        <w:rPr>
          <w:rFonts w:ascii="宋体" w:hAnsi="宋体" w:cs="宋体"/>
          <w:color w:val="auto"/>
          <w:szCs w:val="21"/>
          <w:highlight w:val="none"/>
        </w:rPr>
      </w:pPr>
      <w:r>
        <w:rPr>
          <w:rFonts w:hint="eastAsia" w:ascii="宋体" w:hAnsi="宋体" w:cs="宋体"/>
          <w:b/>
          <w:color w:val="auto"/>
          <w:szCs w:val="21"/>
          <w:highlight w:val="none"/>
        </w:rPr>
        <w:t>五、补充条款：</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六、附则</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本协议与主合同同时签订、同时终止、同时生效，具有相同的法律效力，自发包人、承包人双方签字、盖章生效，发包人、承包人双方各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adjustRightInd w:val="0"/>
        <w:snapToGrid w:val="0"/>
        <w:spacing w:line="440" w:lineRule="exact"/>
        <w:rPr>
          <w:rFonts w:ascii="宋体" w:hAnsi="宋体" w:cs="宋体"/>
          <w:color w:val="auto"/>
          <w:szCs w:val="21"/>
          <w:highlight w:val="none"/>
        </w:rPr>
      </w:pPr>
    </w:p>
    <w:p>
      <w:pPr>
        <w:adjustRightInd w:val="0"/>
        <w:snapToGrid w:val="0"/>
        <w:spacing w:line="440" w:lineRule="exact"/>
        <w:ind w:left="1165" w:leftChars="5" w:hanging="1155" w:hangingChars="550"/>
        <w:rPr>
          <w:rFonts w:ascii="宋体" w:hAnsi="宋体" w:cs="宋体"/>
          <w:color w:val="auto"/>
          <w:szCs w:val="21"/>
          <w:highlight w:val="none"/>
        </w:rPr>
      </w:pPr>
      <w:r>
        <w:rPr>
          <w:rFonts w:hint="eastAsia" w:ascii="宋体" w:hAnsi="宋体" w:cs="宋体"/>
          <w:color w:val="auto"/>
          <w:szCs w:val="21"/>
          <w:highlight w:val="none"/>
        </w:rPr>
        <w:t xml:space="preserve">   发包人代表 （章）：                             承包人代表（章）：                                                           　　              　　　　　　　</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年 　月　  日　　　　　                 年   月  　日</w:t>
      </w: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10"/>
        <w:rPr>
          <w:color w:val="auto"/>
          <w:highlight w:val="none"/>
        </w:rPr>
      </w:pP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附件5： 服务内容/技术需求</w:t>
      </w:r>
    </w:p>
    <w:p>
      <w:pPr>
        <w:pStyle w:val="5"/>
        <w:jc w:val="left"/>
        <w:rPr>
          <w:color w:val="auto"/>
          <w:highlight w:val="none"/>
        </w:rPr>
      </w:pPr>
      <w:r>
        <w:rPr>
          <w:rFonts w:hint="eastAsia"/>
          <w:color w:val="auto"/>
          <w:highlight w:val="none"/>
        </w:rPr>
        <w:t>（一）技术要求</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本项目采用基于Windows Server域技术对现有架构进行高可用改造，实现身份统一认证高可用，开发一套人事系统组织架构同步应用，通过接口主动更新到域控服务器，中间库组织架构通过API接口被其他系统调用，员工通过自助服务平台进行日常账户自助服务，对域控进行实时安全监控和审计，主动进行账号风险预警，保护账号安全违规，使用防火墙集中管控平台对山石防火墙进行集中管控，统一策略下发以及管理、用户登录认证管理，提升系统安全性，通过应用防护系统，对整套系统应用进行安全防护。</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本项目拟采购的软硬件</w:t>
      </w:r>
      <w:r>
        <w:rPr>
          <w:rFonts w:hint="eastAsia" w:ascii="仿宋_GB2312" w:eastAsia="仿宋_GB2312" w:hAnsiTheme="minorEastAsia"/>
          <w:color w:val="auto"/>
          <w:sz w:val="28"/>
          <w:szCs w:val="28"/>
          <w:highlight w:val="none"/>
          <w:lang w:val="en-US" w:eastAsia="zh-CN"/>
        </w:rPr>
        <w:t>信息</w:t>
      </w:r>
      <w:r>
        <w:rPr>
          <w:rFonts w:hint="eastAsia" w:ascii="仿宋_GB2312" w:eastAsia="仿宋_GB2312" w:hAnsiTheme="minorEastAsia"/>
          <w:color w:val="auto"/>
          <w:sz w:val="28"/>
          <w:szCs w:val="28"/>
          <w:highlight w:val="none"/>
        </w:rPr>
        <w:t>如下：</w:t>
      </w:r>
    </w:p>
    <w:tbl>
      <w:tblPr>
        <w:tblStyle w:val="23"/>
        <w:tblW w:w="8866" w:type="dxa"/>
        <w:jc w:val="center"/>
        <w:tblLayout w:type="fixed"/>
        <w:tblCellMar>
          <w:top w:w="0" w:type="dxa"/>
          <w:left w:w="108" w:type="dxa"/>
          <w:bottom w:w="0" w:type="dxa"/>
          <w:right w:w="108" w:type="dxa"/>
        </w:tblCellMar>
      </w:tblPr>
      <w:tblGrid>
        <w:gridCol w:w="828"/>
        <w:gridCol w:w="1489"/>
        <w:gridCol w:w="5122"/>
        <w:gridCol w:w="709"/>
        <w:gridCol w:w="718"/>
      </w:tblGrid>
      <w:tr>
        <w:tblPrEx>
          <w:tblCellMar>
            <w:top w:w="0" w:type="dxa"/>
            <w:left w:w="108" w:type="dxa"/>
            <w:bottom w:w="0" w:type="dxa"/>
            <w:right w:w="108" w:type="dxa"/>
          </w:tblCellMar>
        </w:tblPrEx>
        <w:trPr>
          <w:trHeight w:val="418"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序号</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产品名称</w:t>
            </w:r>
          </w:p>
        </w:tc>
        <w:tc>
          <w:tcPr>
            <w:tcW w:w="51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技术参数要求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单位</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数量</w:t>
            </w:r>
          </w:p>
        </w:tc>
      </w:tr>
      <w:tr>
        <w:tblPrEx>
          <w:tblCellMar>
            <w:top w:w="0" w:type="dxa"/>
            <w:left w:w="108" w:type="dxa"/>
            <w:bottom w:w="0" w:type="dxa"/>
            <w:right w:w="108" w:type="dxa"/>
          </w:tblCellMar>
        </w:tblPrEx>
        <w:trPr>
          <w:trHeight w:val="985" w:hRule="atLeast"/>
          <w:jc w:val="center"/>
        </w:trPr>
        <w:tc>
          <w:tcPr>
            <w:tcW w:w="828" w:type="dxa"/>
            <w:tcBorders>
              <w:top w:val="nil"/>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1</w:t>
            </w:r>
          </w:p>
        </w:tc>
        <w:tc>
          <w:tcPr>
            <w:tcW w:w="1489" w:type="dxa"/>
            <w:tcBorders>
              <w:top w:val="nil"/>
              <w:left w:val="nil"/>
              <w:bottom w:val="single" w:color="auto" w:sz="4" w:space="0"/>
              <w:right w:val="single" w:color="auto" w:sz="4" w:space="0"/>
            </w:tcBorders>
            <w:shd w:val="clear" w:color="auto" w:fill="auto"/>
            <w:noWrap/>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集中认证平台</w:t>
            </w:r>
          </w:p>
        </w:tc>
        <w:tc>
          <w:tcPr>
            <w:tcW w:w="5122" w:type="dxa"/>
            <w:tcBorders>
              <w:top w:val="nil"/>
              <w:left w:val="nil"/>
              <w:bottom w:val="single" w:color="auto" w:sz="4" w:space="0"/>
              <w:right w:val="single" w:color="auto" w:sz="4" w:space="0"/>
            </w:tcBorders>
            <w:shd w:val="clear" w:color="auto" w:fill="auto"/>
            <w:vAlign w:val="center"/>
          </w:tcPr>
          <w:p>
            <w:pPr>
              <w:pStyle w:val="33"/>
              <w:widowControl/>
              <w:numPr>
                <w:ilvl w:val="0"/>
                <w:numId w:val="12"/>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Windows Server 服务器操作系统2022中文版，供货商时提供正版授权证明。</w:t>
            </w:r>
          </w:p>
          <w:p>
            <w:pPr>
              <w:pStyle w:val="33"/>
              <w:widowControl/>
              <w:numPr>
                <w:ilvl w:val="0"/>
                <w:numId w:val="12"/>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基于微软域控认证方案，对现有域控架构进行高可用改造，保证域控服务的稳定性。</w:t>
            </w:r>
          </w:p>
          <w:p>
            <w:pPr>
              <w:pStyle w:val="33"/>
              <w:widowControl/>
              <w:numPr>
                <w:ilvl w:val="0"/>
                <w:numId w:val="12"/>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搭建一套符合国际标准规范的冗余域控环境，实现内外部应用系统统一标准的LDAP同步认证能力，规范全网人员组织架构信息。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ascii="仿宋_GB2312" w:hAnsi="仿宋" w:eastAsia="仿宋_GB2312"/>
                <w:color w:val="auto"/>
                <w:sz w:val="24"/>
                <w:szCs w:val="24"/>
                <w:highlight w:val="none"/>
              </w:rPr>
              <w:t>2</w:t>
            </w:r>
          </w:p>
        </w:tc>
      </w:tr>
      <w:tr>
        <w:tblPrEx>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账号自助服务系统</w:t>
            </w:r>
          </w:p>
        </w:tc>
        <w:tc>
          <w:tcPr>
            <w:tcW w:w="51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完全基于B/S架构（监视及管理），中文界面，风格友好，操作简便。</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 xml:space="preserve">系统均采用JAVA架构开发，支持在安装于64位或32位Windows平台上 </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软件必须拥有自带合法授权数据库，无须用户额外购买和另行独立安装数据库。</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产品成熟可靠，访问和操作如下所有功能，所有功能和配置通过前台管理界面进行配置和操作，无须进入后台更改代码。</w:t>
            </w:r>
          </w:p>
          <w:p>
            <w:pPr>
              <w:pStyle w:val="33"/>
              <w:widowControl/>
              <w:numPr>
                <w:ilvl w:val="0"/>
                <w:numId w:val="13"/>
              </w:numPr>
              <w:spacing w:line="0" w:lineRule="atLeast"/>
              <w:ind w:firstLineChars="0"/>
              <w:jc w:val="left"/>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产品支持手机客户端，提供iOS和Android系统APP</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lang w:val="en-US" w:eastAsia="zh-CN"/>
              </w:rPr>
              <w:t>不少于4</w:t>
            </w:r>
            <w:r>
              <w:rPr>
                <w:rFonts w:hint="eastAsia" w:ascii="仿宋_GB2312" w:hAnsi="华文仿宋" w:eastAsia="仿宋_GB2312" w:cs="Times New Roman"/>
                <w:color w:val="auto"/>
                <w:kern w:val="0"/>
                <w:sz w:val="24"/>
                <w:szCs w:val="24"/>
                <w:highlight w:val="none"/>
              </w:rPr>
              <w:t>000个域账号自助服务永久使用授权，含1年原厂商标准技术支持服务。</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系统支持基于多种验证方式的身份验证，包括：安全密保问题，邮箱验证码，短信，Google 身份验证器，微软Authenticator，Duo Security，RSA serure ID，RADIUS身份验证，推送通知，指纹身份验证，基于二维码的身份验证，SAML身份验证，AD安全问题。</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可以设置允许进行自助服务器的账户，不允许的账户不能实现自助账户解锁和重置密码</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支持设置密保问题的数量和回答密保问题的字符数。</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系统能够实现加强域密码策略，强制用户必须设置足够强度的密码。</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系统能够实现不允许用户使用带有指定内容的密码，如：abc,qwer,aaa。</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提供的密码到期通知功能，可以指定提前通知的时间，定制通知的内容，从而确保要过期的用户被通知到。</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提供GINA功能，允许用户在计算机登录页面直接重置密码或解锁账户。</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支持搜索ＡＤ中的员工信息，以便用户查找需要的信息。</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系统能够实现用户密码即将过期或账户过期时，邮件或短信通知用户。</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支持用户自行维护自己的个人信息、联系信息以及组织/企业内用的有用信息，如：职务/职称、位置、所属部门等。</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系统支持域用户密码过期时自动重置该用户的密码。</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系统支持自动解锁域中已锁定的账户。</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系统支持排除休眠用户、禁用用户、服务账户使用平台重置密码。</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提供多种报表，可从不同视角对AD的用户进行统计。用户报表：被锁用户报表、密码即将过期的用户报表、密码过期的用户报表。用户登记报表：已登记用户报表、未注册的用户报表、被许可的用户报表、安全保密问题报表。审计报表：重置密码的审计报表、解锁的审计报表、自我更新审计报表、密码修改审计报表、通知发送报表、身份验证失败报表、用户尝试的审计报表。</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产品要求为拥有底层核心技术支持的同一品牌的产品，非OEM其他厂商的组合产品。</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要求产品为产品原厂商提供合法使用软件，产品原厂商提供原厂产品介质，以及官方使用授权文件。</w:t>
            </w:r>
          </w:p>
          <w:p>
            <w:pPr>
              <w:pStyle w:val="33"/>
              <w:widowControl/>
              <w:numPr>
                <w:ilvl w:val="0"/>
                <w:numId w:val="13"/>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产品厂商要求有多年的本产品技术积累，具有本企业注册地经济和信息化委员会颁发的软件企业证书,提供原厂商盖章的认证证书。</w:t>
            </w:r>
          </w:p>
          <w:p>
            <w:pPr>
              <w:pStyle w:val="33"/>
              <w:widowControl/>
              <w:numPr>
                <w:ilvl w:val="0"/>
                <w:numId w:val="13"/>
              </w:numPr>
              <w:spacing w:line="0" w:lineRule="atLeast"/>
              <w:ind w:firstLineChars="0"/>
              <w:rPr>
                <w:rFonts w:ascii="仿宋_GB2312" w:eastAsia="仿宋_GB2312"/>
                <w:color w:val="auto"/>
                <w:highlight w:val="none"/>
              </w:rPr>
            </w:pPr>
            <w:r>
              <w:rPr>
                <w:rFonts w:hint="eastAsia" w:ascii="仿宋_GB2312" w:hAnsi="华文仿宋" w:eastAsia="仿宋_GB2312" w:cs="Times New Roman"/>
                <w:color w:val="auto"/>
                <w:kern w:val="0"/>
                <w:sz w:val="24"/>
                <w:szCs w:val="24"/>
                <w:highlight w:val="none"/>
              </w:rPr>
              <w:t>要求投标产品厂商通过ISO 9001产品质量认证体系，提供原厂商盖章的认证证书。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r>
        <w:tblPrEx>
          <w:tblCellMar>
            <w:top w:w="0" w:type="dxa"/>
            <w:left w:w="108" w:type="dxa"/>
            <w:bottom w:w="0" w:type="dxa"/>
            <w:right w:w="108" w:type="dxa"/>
          </w:tblCellMar>
        </w:tblPrEx>
        <w:trPr>
          <w:trHeight w:val="1408"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域控安全审计平台</w:t>
            </w:r>
          </w:p>
        </w:tc>
        <w:tc>
          <w:tcPr>
            <w:tcW w:w="51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完全基于B/S架构（监视及管理），中文界面，风格友好，操作简便。</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 xml:space="preserve">系统均采用JAVA架构开发，支持在安装于64位或32位Windows平台上 </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软件必须拥有自带合法授权数据库，无须用户额外购买和另行独立安装数据库。</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产品成熟可靠，访问和操作如下所有功能，所有功能和配置通过前台管理界面进行配置和操作，无须进入后台更改代码。</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产品支持手机客户端，提供iOS和Android系统APP</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2台域控服务器审计，含1年原厂商标准技术支持服务。</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需支持对域用户的登录行为进行审计，审计内容包括但不限于：登录失败、基于用户的登录失败、由于密码错误导致失败、由于用户名错误导致失败、基于天数的登录错误、基于DC的登录活动、基于IP地址的登录活动、域控制器的登录活动、最近的用户登录活动、用户的最后登录。</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需支持对活动目录的账户管理进行审计，审计内容包括但不限于：所有的AD变更、所有的AD变更-用户、域控制器上的所有AD变更、所有用户活动、用户活动、用户管理、组管理、计算机管理、OU（组织单元）管理、GPO管理。</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针对用户管理的审计，审计内容包括但不限于：用户账户的创建、删除、移动、启用、禁用、锁定、解锁、密码更改、密码设置、扩展属性变更、用户属性的新旧值。</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对于组的管理行为审计，审计内容包括但不限于：安全组/通信组的创建、删除、最近移动的组、重命名的组、最近更改的组、安全组/通信组中最近添加的成员、最近移除的成员、扩展属性变更、组属性的新旧值。</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针对计算机的管理审计，审计内容包括但不限于：计算机的创建、更改、删除、移动、启用、禁用，扩展属性变更、计算机属性的新旧值。</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针对GPO（组策略对象）的审计，应包括GPO的创建、更改、删除，以及GPO链接的变更行为的审计。</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针对OU（组织单元）的审计，应包括OU的创建、更改、删除、移动、重命名、扩展属性的变更、组织单位的历史。</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针对域策略变更更审计，应包含域策略的变更、域DNS对象的变更、域级别权限的变更审计。</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基于配置自定义报表，允许用户根据审计需要，创建特定的报表。支持定期生成报表，并将报表发送给特定的邮箱。</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支持导出报表为PDF、HTML、XLS、CSV等格式文件。</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支持指定天数之前的审计数据将被归档，并从数据库中清除，并且可以自定义归档审计数据位置。</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能够定制告警规则，包括告警的重要度、分类、告警消息内容、基于阈值告警、工作时间告警、过滤器。系统能够在匹配到告警规则时，自动触发告警动作（告警动作包括：邮件通知、短信通知、执行脚本）。</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以上产品要求为拥有底层核心技术支持的同一品牌的产品，非OEM其他厂商的组合产品。</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要求产品为产品原厂商提供合法使用软件，产品原厂商提供原厂产品介质，以及官方使用授权文件。</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产品厂商要求有多年的本产品技术积累，具有本企业注册地经济和信息化委员会颁发的软件企业证书,提供原厂商盖章的认证证书。</w:t>
            </w:r>
          </w:p>
          <w:p>
            <w:pPr>
              <w:pStyle w:val="33"/>
              <w:widowControl/>
              <w:numPr>
                <w:ilvl w:val="0"/>
                <w:numId w:val="14"/>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要求投标产品厂商通过ISO 9001产品质量认证体系，提供原厂商盖章的认证证书。</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r>
        <w:tblPrEx>
          <w:tblCellMar>
            <w:top w:w="0" w:type="dxa"/>
            <w:left w:w="108" w:type="dxa"/>
            <w:bottom w:w="0" w:type="dxa"/>
            <w:right w:w="108" w:type="dxa"/>
          </w:tblCellMar>
        </w:tblPrEx>
        <w:trPr>
          <w:trHeight w:val="98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w:t>
            </w:r>
          </w:p>
        </w:tc>
        <w:tc>
          <w:tcPr>
            <w:tcW w:w="1489" w:type="dxa"/>
            <w:tcBorders>
              <w:top w:val="single" w:color="auto" w:sz="4" w:space="0"/>
              <w:left w:val="nil"/>
              <w:bottom w:val="single" w:color="auto" w:sz="4" w:space="0"/>
              <w:right w:val="single" w:color="auto" w:sz="4" w:space="0"/>
            </w:tcBorders>
            <w:shd w:val="clear" w:color="auto" w:fill="auto"/>
            <w:noWrap/>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软件定制开发</w:t>
            </w:r>
          </w:p>
        </w:tc>
        <w:tc>
          <w:tcPr>
            <w:tcW w:w="5122" w:type="dxa"/>
            <w:tcBorders>
              <w:top w:val="single" w:color="auto" w:sz="4" w:space="0"/>
              <w:left w:val="nil"/>
              <w:bottom w:val="single" w:color="auto" w:sz="4" w:space="0"/>
              <w:right w:val="single" w:color="auto" w:sz="4" w:space="0"/>
            </w:tcBorders>
            <w:shd w:val="clear" w:color="auto" w:fill="auto"/>
            <w:vAlign w:val="center"/>
          </w:tcPr>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开发一套基于人事系统的组织架构及用户同步软件，人事系统组织架构定时同步到域控平台。</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员工信息同步：可以通过定时任务、消息队列等方式，从HR系统读取员工信息，并根据规则将员工信息同步到AD域中。同步员工信息时需要考虑数据一致性和安全性。</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组织架构同步：可以通过类似的方式，从HR系统读取组织架构信息，并将组织架构信息同步到AD域中。同步组织架构信息时需要考虑组织架构变动的情况，及时更新组织架构信息。</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组织架构变更通知：在组织架构发生变更时，通过消息或邮件等方式通知相关人员或系统。</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员工信息变更通知：在员工信息发生变更时，通过消息或邮件等方式通知相关人员或系统。</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安全审计：记录系统中的数据操作和访问记录，便于安全审计和故障排查。</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ascii="仿宋_GB2312" w:hAnsi="仿宋" w:eastAsia="仿宋_GB2312"/>
                <w:color w:val="auto"/>
                <w:sz w:val="24"/>
                <w:szCs w:val="24"/>
                <w:highlight w:val="none"/>
              </w:rPr>
              <w:t>开放API,可以支持管理业务系统授权令牌.业务系统可以通过OAuth2授权申请一个访问令牌,经过安全认证后再访问相应数据资源.</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如员工信息,组织架构信息等.</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ascii="仿宋_GB2312" w:hAnsi="仿宋" w:eastAsia="仿宋_GB2312"/>
                <w:color w:val="auto"/>
                <w:sz w:val="24"/>
                <w:szCs w:val="24"/>
                <w:highlight w:val="none"/>
              </w:rPr>
              <w:t>监控API调用情况,</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可支持自动屏蔽API异常调用,</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保证系统稳定性.</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ascii="仿宋_GB2312" w:hAnsi="仿宋" w:eastAsia="仿宋_GB2312"/>
                <w:color w:val="auto"/>
                <w:sz w:val="24"/>
                <w:szCs w:val="24"/>
                <w:highlight w:val="none"/>
              </w:rPr>
              <w:t>白名单,黑名单功能.</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允许或屏蔽指定ip/域名调用API访问敏感数据.</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ascii="仿宋_GB2312" w:hAnsi="仿宋" w:eastAsia="仿宋_GB2312"/>
                <w:color w:val="auto"/>
                <w:sz w:val="24"/>
                <w:szCs w:val="24"/>
                <w:highlight w:val="none"/>
              </w:rPr>
              <w:t>提供web管理后台,</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可管理配置业务系统授权码,设置API调用频次,</w:t>
            </w:r>
            <w:r>
              <w:rPr>
                <w:rFonts w:ascii="Calibri" w:hAnsi="Calibri" w:eastAsia="仿宋_GB2312" w:cs="Calibri"/>
                <w:color w:val="auto"/>
                <w:sz w:val="24"/>
                <w:szCs w:val="24"/>
                <w:highlight w:val="none"/>
              </w:rPr>
              <w:t> </w:t>
            </w:r>
            <w:r>
              <w:rPr>
                <w:rFonts w:ascii="仿宋_GB2312" w:hAnsi="仿宋" w:eastAsia="仿宋_GB2312"/>
                <w:color w:val="auto"/>
                <w:sz w:val="24"/>
                <w:szCs w:val="24"/>
                <w:highlight w:val="none"/>
              </w:rPr>
              <w:t>查看导出API调用记录及调用异常情况.</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高可用: 分布式部署,系统要支持高可用特性。</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数据备份和恢复：定期进行数据备份，并提供数据恢复功能，避免数据丢失和故障。</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数据库安全：系统中的敏感数据需要存储在安全的数据库中，并采用加密、访问控制等方式保障数据安全。</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访问安全：系统中的服务和API需要对用户进行身份验证和授权，避免未授权的用户访问敏感信息。</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传输安全：系统中的数据传输需要采用安全的传输协议，例如HTTPS协议，保障数据在传输过程中的安全性</w:t>
            </w:r>
          </w:p>
          <w:p>
            <w:pPr>
              <w:pStyle w:val="33"/>
              <w:widowControl/>
              <w:numPr>
                <w:ilvl w:val="0"/>
                <w:numId w:val="15"/>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兼容性：可对接第三方系统，满足其他系统对认证信息的要求</w:t>
            </w:r>
            <w:r>
              <w:rPr>
                <w:rFonts w:hint="eastAsia" w:ascii="仿宋_GB2312" w:hAnsi="仿宋" w:eastAsia="仿宋_GB2312"/>
                <w:color w:val="auto"/>
                <w:sz w:val="24"/>
                <w:szCs w:val="24"/>
                <w:highlight w:val="none"/>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r>
        <w:tblPrEx>
          <w:tblCellMar>
            <w:top w:w="0" w:type="dxa"/>
            <w:left w:w="108" w:type="dxa"/>
            <w:bottom w:w="0" w:type="dxa"/>
            <w:right w:w="108" w:type="dxa"/>
          </w:tblCellMar>
        </w:tblPrEx>
        <w:trPr>
          <w:trHeight w:val="98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w:t>
            </w:r>
          </w:p>
        </w:tc>
        <w:tc>
          <w:tcPr>
            <w:tcW w:w="1489" w:type="dxa"/>
            <w:tcBorders>
              <w:top w:val="single" w:color="auto" w:sz="4" w:space="0"/>
              <w:left w:val="nil"/>
              <w:bottom w:val="single" w:color="auto" w:sz="4" w:space="0"/>
              <w:right w:val="single" w:color="auto" w:sz="4" w:space="0"/>
            </w:tcBorders>
            <w:shd w:val="clear" w:color="auto" w:fill="auto"/>
            <w:noWrap/>
            <w:vAlign w:val="center"/>
          </w:tcPr>
          <w:p>
            <w:pPr>
              <w:spacing w:line="0" w:lineRule="atLeast"/>
              <w:jc w:val="center"/>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防火墙集中管理平台</w:t>
            </w:r>
          </w:p>
        </w:tc>
        <w:tc>
          <w:tcPr>
            <w:tcW w:w="5122" w:type="dxa"/>
            <w:tcBorders>
              <w:top w:val="single" w:color="auto" w:sz="4" w:space="0"/>
              <w:left w:val="nil"/>
              <w:bottom w:val="single" w:color="auto" w:sz="4" w:space="0"/>
              <w:right w:val="single" w:color="auto" w:sz="4" w:space="0"/>
            </w:tcBorders>
            <w:shd w:val="clear" w:color="auto" w:fill="auto"/>
            <w:vAlign w:val="center"/>
          </w:tcPr>
          <w:p>
            <w:pPr>
              <w:pStyle w:val="33"/>
              <w:widowControl/>
              <w:numPr>
                <w:ilvl w:val="0"/>
                <w:numId w:val="16"/>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支持对山石网科防火墙设备进行集中管理。</w:t>
            </w:r>
          </w:p>
          <w:p>
            <w:pPr>
              <w:pStyle w:val="33"/>
              <w:widowControl/>
              <w:numPr>
                <w:ilvl w:val="0"/>
                <w:numId w:val="16"/>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支持虚拟化Vmware Workstation/EXSI或KVM环境部署，支持管理设备数量≥2</w:t>
            </w:r>
            <w:r>
              <w:rPr>
                <w:rFonts w:ascii="仿宋_GB2312" w:hAnsi="仿宋" w:eastAsia="仿宋_GB2312"/>
                <w:color w:val="auto"/>
                <w:sz w:val="24"/>
                <w:szCs w:val="24"/>
                <w:highlight w:val="none"/>
              </w:rPr>
              <w:t>5</w:t>
            </w:r>
            <w:r>
              <w:rPr>
                <w:rFonts w:hint="eastAsia" w:ascii="仿宋_GB2312" w:hAnsi="仿宋" w:eastAsia="仿宋_GB2312"/>
                <w:color w:val="auto"/>
                <w:sz w:val="24"/>
                <w:szCs w:val="24"/>
                <w:highlight w:val="none"/>
              </w:rPr>
              <w:t>个。</w:t>
            </w:r>
          </w:p>
          <w:p>
            <w:pPr>
              <w:pStyle w:val="33"/>
              <w:widowControl/>
              <w:numPr>
                <w:ilvl w:val="0"/>
                <w:numId w:val="16"/>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支持设备主机名称、设备序列号、版本、管理IP、设备运行时间、接口状态、新建连接及会话等相关信息显示。</w:t>
            </w:r>
          </w:p>
          <w:p>
            <w:pPr>
              <w:pStyle w:val="33"/>
              <w:widowControl/>
              <w:numPr>
                <w:ilvl w:val="0"/>
                <w:numId w:val="16"/>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支持曲线图显示设备的接口状态、CPU利用率、内存使用率、会话数、总流量、应用流量以及用户流量等信息。</w:t>
            </w:r>
          </w:p>
          <w:p>
            <w:pPr>
              <w:pStyle w:val="33"/>
              <w:widowControl/>
              <w:numPr>
                <w:ilvl w:val="0"/>
                <w:numId w:val="16"/>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支持实时的流量监控，并在客户端通过饼状图或者柱状图直观显示。</w:t>
            </w:r>
          </w:p>
          <w:p>
            <w:pPr>
              <w:pStyle w:val="33"/>
              <w:widowControl/>
              <w:numPr>
                <w:ilvl w:val="0"/>
                <w:numId w:val="16"/>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支持基于攻击次数、病毒数阈值、特征事件、关键字、日志级别等多种告警条件定义，通过邮件和短信方式外发告警信息。</w:t>
            </w:r>
          </w:p>
          <w:p>
            <w:pPr>
              <w:pStyle w:val="33"/>
              <w:widowControl/>
              <w:numPr>
                <w:ilvl w:val="0"/>
                <w:numId w:val="16"/>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提供直观、丰富的统计报表，通过对设备信息、网络访问和用户行为进行综合分析，为用户呈现全方位、多角度的统计数据和图表。</w:t>
            </w:r>
          </w:p>
          <w:p>
            <w:pPr>
              <w:pStyle w:val="33"/>
              <w:widowControl/>
              <w:numPr>
                <w:ilvl w:val="0"/>
                <w:numId w:val="16"/>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安全管理中心平台可接收设备发送的多种日志信息，经过系统处理后，用户可进行多维度、多条件的浏览，日志根据颜色区分级别。</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r>
        <w:tblPrEx>
          <w:tblCellMar>
            <w:top w:w="0" w:type="dxa"/>
            <w:left w:w="108" w:type="dxa"/>
            <w:bottom w:w="0" w:type="dxa"/>
            <w:right w:w="108" w:type="dxa"/>
          </w:tblCellMar>
        </w:tblPrEx>
        <w:trPr>
          <w:trHeight w:val="416"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w:t>
            </w:r>
          </w:p>
        </w:tc>
        <w:tc>
          <w:tcPr>
            <w:tcW w:w="1489" w:type="dxa"/>
            <w:tcBorders>
              <w:top w:val="single" w:color="auto" w:sz="4" w:space="0"/>
              <w:left w:val="nil"/>
              <w:bottom w:val="single" w:color="auto" w:sz="4" w:space="0"/>
              <w:right w:val="single" w:color="auto" w:sz="4" w:space="0"/>
            </w:tcBorders>
            <w:shd w:val="clear" w:color="auto" w:fill="auto"/>
            <w:noWrap/>
            <w:vAlign w:val="center"/>
          </w:tcPr>
          <w:p>
            <w:pPr>
              <w:spacing w:line="0" w:lineRule="atLeast"/>
              <w:jc w:val="center"/>
              <w:rPr>
                <w:rFonts w:hint="eastAsia" w:ascii="仿宋_GB2312" w:hAnsi="华文仿宋" w:eastAsia="仿宋_GB2312" w:cs="Times New Roman"/>
                <w:color w:val="auto"/>
                <w:kern w:val="0"/>
                <w:sz w:val="24"/>
                <w:szCs w:val="24"/>
                <w:highlight w:val="none"/>
                <w:lang w:eastAsia="zh-CN"/>
              </w:rPr>
            </w:pPr>
            <w:r>
              <w:rPr>
                <w:rFonts w:hint="eastAsia" w:ascii="仿宋_GB2312" w:hAnsi="华文仿宋" w:eastAsia="仿宋_GB2312" w:cs="Times New Roman"/>
                <w:color w:val="auto"/>
                <w:kern w:val="0"/>
                <w:sz w:val="24"/>
                <w:szCs w:val="24"/>
                <w:highlight w:val="none"/>
              </w:rPr>
              <w:t>应用防护</w:t>
            </w:r>
            <w:r>
              <w:rPr>
                <w:rFonts w:hint="eastAsia" w:ascii="仿宋_GB2312" w:hAnsi="华文仿宋" w:eastAsia="仿宋_GB2312" w:cs="Times New Roman"/>
                <w:color w:val="auto"/>
                <w:kern w:val="0"/>
                <w:sz w:val="24"/>
                <w:szCs w:val="24"/>
                <w:highlight w:val="none"/>
                <w:lang w:val="en-US" w:eastAsia="zh-CN"/>
              </w:rPr>
              <w:t>系统</w:t>
            </w:r>
          </w:p>
        </w:tc>
        <w:tc>
          <w:tcPr>
            <w:tcW w:w="5122" w:type="dxa"/>
            <w:tcBorders>
              <w:top w:val="single" w:color="auto" w:sz="4" w:space="0"/>
              <w:left w:val="nil"/>
              <w:bottom w:val="single" w:color="auto" w:sz="4" w:space="0"/>
              <w:right w:val="single" w:color="auto" w:sz="4" w:space="0"/>
            </w:tcBorders>
            <w:shd w:val="clear" w:color="auto" w:fill="auto"/>
            <w:vAlign w:val="center"/>
          </w:tcPr>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2U设备,含交流冗余电源模块,2*USB接口,1*RJ45串口,1*GE管理口,128G SSD，2T SATA(2T 企业级硬盘)，千兆电口* 4（2路ByPass）+千兆光口*4（2路ByPass）。</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网络层吞吐量≧16Gbps，应用层吞吐量≧4.2Gbps，QPS≧17,000，CPS≧15,000。</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部署模式：支持旁路镜像、透明代理、透明桥、路由代理和反向代理部署，支持HA模式，支持配置信息同步、透明代理支持主/主模式。</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具备http协议深层解码能力，解码方式包括：URL解码、JSON解码、Base64解码、16进制转换、斜杠反转义、XML解析、PHP反序列化解析、UTF-7解码。</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支持SQL注入攻击检测，通过解析http协议中payload内容，识别符合sql语句的词法、语法特征，评估威胁等级并阻断，提供使用语义分析技术检测SQL注入攻击能力。</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具有独立防护能力的具有自主知识产权的智能语义分析检测引擎（需提供由国家知识产权局颁发的专利证书及其摘要页，专利需要证明所述的网络检测方法可以根据目标语言进行词法分析、语法分析和语义分析，根据所述分析结果，确定目标请求数据的风险级别）。</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具备0day漏洞防护能力，检测攻击行为特征进行，实现告警和拦截无需升级特征库即可防御。（提供至少4个实际防护案例说明）</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支持CC攻击防护，通过限制IP和Session实现对异常访问行为的限制，并内置Session系统。</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支持CSRF和SSRF检测，通过分析Payload代码特征，告警并阻断相关请求。</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支持访问IP溯源，能够从Socket、X-Forwarded-For和任意Http头中获取访问源IP；其中X-Forwarded-For支持倒数第n层代理进行获取，n为可灵活自定义的数字。</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攻击检测模块中包含机器人检测，至少支持5种爬虫检测类型，且须包含字节跳动、yandex、无头谷歌浏览器，支持信息泄露检测，检测内容须包括测试文件、备份文件、代码仓库和服务器敏感文件，可通过response检测信息泄露。</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支持BOT防护，能够对友好及恶意程序进行甄别分类，并采取针对性的流量管理策略。</w:t>
            </w:r>
          </w:p>
          <w:p>
            <w:pPr>
              <w:pStyle w:val="33"/>
              <w:widowControl/>
              <w:numPr>
                <w:ilvl w:val="0"/>
                <w:numId w:val="17"/>
              </w:numPr>
              <w:spacing w:line="0" w:lineRule="atLeast"/>
              <w:ind w:firstLineChars="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《计算机信息系统安全专用产品销售许可证》（增强级），提供证书复印件证明。</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套</w:t>
            </w:r>
          </w:p>
        </w:tc>
        <w:tc>
          <w:tcPr>
            <w:tcW w:w="7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w:t>
            </w:r>
          </w:p>
        </w:tc>
      </w:tr>
    </w:tbl>
    <w:p>
      <w:pPr>
        <w:rPr>
          <w:rFonts w:ascii="仿宋_GB2312" w:eastAsia="仿宋_GB2312" w:cs="Times New Roman" w:hAnsiTheme="minorEastAsia"/>
          <w:color w:val="auto"/>
          <w:kern w:val="0"/>
          <w:sz w:val="28"/>
          <w:szCs w:val="24"/>
          <w:highlight w:val="none"/>
        </w:rPr>
      </w:pPr>
      <w:r>
        <w:rPr>
          <w:rFonts w:hint="eastAsia" w:ascii="仿宋_GB2312" w:eastAsia="仿宋_GB2312" w:cs="Times New Roman" w:hAnsiTheme="minorEastAsia"/>
          <w:color w:val="auto"/>
          <w:kern w:val="0"/>
          <w:sz w:val="28"/>
          <w:szCs w:val="24"/>
          <w:highlight w:val="none"/>
        </w:rPr>
        <w:t>项目交付中所需线材等辅助性材料、施工的其他费用包含在报价中。</w:t>
      </w:r>
    </w:p>
    <w:p>
      <w:pPr>
        <w:pStyle w:val="2"/>
        <w:ind w:firstLine="0"/>
        <w:rPr>
          <w:rFonts w:ascii="仿宋_GB2312" w:eastAsia="仿宋_GB2312" w:hAnsiTheme="minorEastAsia"/>
          <w:b/>
          <w:color w:val="auto"/>
          <w:sz w:val="28"/>
          <w:highlight w:val="none"/>
        </w:rPr>
      </w:pPr>
      <w:r>
        <w:rPr>
          <w:rFonts w:hint="eastAsia" w:ascii="仿宋_GB2312" w:eastAsia="仿宋_GB2312" w:hAnsiTheme="minorEastAsia"/>
          <w:b/>
          <w:color w:val="auto"/>
          <w:sz w:val="28"/>
          <w:highlight w:val="none"/>
        </w:rPr>
        <w:t>售后服务内容</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1.承包人在质量保证期内应当为提供以下技术支持和服务:</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A、电话咨询</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承包人应当为采购人提供其单位以及原厂的技术援助电话，解答在使用中遇到的问题，及时提出解决问题的建议。</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B、现场响应</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遇到使用及技术问题，电话咨询不能解决的，承包人应在1小时内到达现场进行处理，确保产品正常工作﹔无法在2小时内解决的，应在2小时内提供备用产品，使采购人能够正常使用。</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C、技术升级</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在质保期内，如果承包人的销售的产品发现漏洞或能够技术升级，承包人应及时通知采购人，如采购人有相应要求，承包人应对采购人购买的产品进行升级服务。</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2.质保期外服务要求</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A、质量保证期过后，承包人应同样提供免费电话咨询服务，并应承诺提供产品上门维护服务。</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B、质量保证期过后，采购人需要继续由承包人提供售后服务的，该承包人应以优惠价格提供售后服务。</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D、应急技术支持</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1.针对重大安全事件，即态势感知平台检测到的安全事件，导致全网瘫痪，严重影响基本业务正常开展，应急工程师在10分钟内响应，在1小时内到达指定现场。</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2.针对较大安全事件，即态势感知平台检测到的安全事件，导致部分业务系统被攻击或发生僵木蠕事件，影响部分系统基本业务正常开展，应急工程师在20分钟内响应，在2小时内到达指定现场。</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3.针对一般安全事件，即态势感知平台检测到的安全事件，不影响正常业务办公，但是会有较大风险会导致业务或网络中断，应急工程师在30分钟内响应，在4小时内到达指定现场。</w:t>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E、运维服务支持</w:t>
      </w:r>
    </w:p>
    <w:p>
      <w:pPr>
        <w:pStyle w:val="2"/>
        <w:ind w:firstLine="560" w:firstLineChars="20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定期对安全组件上的安全策略进行统一管理，确保安全组件上的安全策略始终处于最优水平，针对威胁能起到最好的防护效果，根据安全事件分析的结果以及处置方式，按需对安全组件上的安全策略进行优化，全面提升网络安全管理与防护水平。</w:t>
      </w:r>
    </w:p>
    <w:p>
      <w:pPr>
        <w:pStyle w:val="5"/>
        <w:jc w:val="left"/>
        <w:rPr>
          <w:color w:val="auto"/>
          <w:highlight w:val="none"/>
        </w:rPr>
      </w:pPr>
      <w:r>
        <w:rPr>
          <w:rFonts w:hint="eastAsia"/>
          <w:color w:val="auto"/>
          <w:highlight w:val="none"/>
        </w:rPr>
        <w:t>三．培训要求</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承包单位应根据项目实施的计划、进度和需要与采购人的合理要求，及时安排相关人员进行培训。</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培训目标为使受训者能够独立、熟练地完成操作，实现本项目所有设备的基本操作。具体如下：</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由承包单位组织正式培训，采用准备好的注释、讲义、讨论会、视听演示以及在现场进行实际操作示范，培训人员应做好操作、管理、维护的充分准备，承包单位应提交培训计划给采购人以获批准。</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培训范围：设备以及系统的维护操作</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培训地点：广州市净水有限公司</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培训时间：在项目施工完成后进行培训</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培训内容：</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根据用户常维护需求提供相关的知识进行培训及答疑，次数不少于1次。</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rPr>
        <w:t>若用户对设备日常维护管理及使用仍存在疑问，在运行和维护期间乙方必须持续提供咨询服务。</w:t>
      </w:r>
    </w:p>
    <w:p>
      <w:pPr>
        <w:pStyle w:val="5"/>
        <w:jc w:val="left"/>
        <w:rPr>
          <w:color w:val="auto"/>
          <w:highlight w:val="none"/>
        </w:rPr>
      </w:pPr>
      <w:r>
        <w:rPr>
          <w:rFonts w:hint="eastAsia"/>
          <w:color w:val="auto"/>
          <w:highlight w:val="none"/>
        </w:rPr>
        <w:t>四．商务要求</w:t>
      </w:r>
    </w:p>
    <w:p>
      <w:pPr>
        <w:rPr>
          <w:rFonts w:ascii="仿宋_GB2312" w:eastAsia="仿宋_GB2312"/>
          <w:color w:val="auto"/>
          <w:sz w:val="28"/>
          <w:szCs w:val="28"/>
          <w:highlight w:val="none"/>
        </w:rPr>
      </w:pPr>
      <w:r>
        <w:rPr>
          <w:rFonts w:hint="eastAsia" w:ascii="仿宋_GB2312" w:eastAsia="仿宋_GB2312"/>
          <w:color w:val="auto"/>
          <w:sz w:val="28"/>
          <w:szCs w:val="28"/>
          <w:highlight w:val="none"/>
        </w:rPr>
        <w:t>1.交货期限：合同生效后</w:t>
      </w:r>
      <w:r>
        <w:rPr>
          <w:rFonts w:ascii="仿宋_GB2312" w:eastAsia="仿宋_GB2312"/>
          <w:color w:val="auto"/>
          <w:sz w:val="28"/>
          <w:szCs w:val="28"/>
          <w:highlight w:val="none"/>
        </w:rPr>
        <w:t>8</w:t>
      </w:r>
      <w:r>
        <w:rPr>
          <w:rFonts w:hint="eastAsia" w:ascii="仿宋_GB2312" w:eastAsia="仿宋_GB2312"/>
          <w:color w:val="auto"/>
          <w:sz w:val="28"/>
          <w:szCs w:val="28"/>
          <w:highlight w:val="none"/>
        </w:rPr>
        <w:t>个天内。项目建设周期：</w:t>
      </w:r>
      <w:r>
        <w:rPr>
          <w:rFonts w:ascii="仿宋_GB2312" w:eastAsia="仿宋_GB2312"/>
          <w:color w:val="auto"/>
          <w:sz w:val="28"/>
          <w:szCs w:val="28"/>
          <w:highlight w:val="none"/>
        </w:rPr>
        <w:t>90</w:t>
      </w:r>
      <w:r>
        <w:rPr>
          <w:rFonts w:hint="eastAsia" w:ascii="仿宋_GB2312" w:eastAsia="仿宋_GB2312"/>
          <w:color w:val="auto"/>
          <w:sz w:val="28"/>
          <w:szCs w:val="28"/>
          <w:highlight w:val="none"/>
        </w:rPr>
        <w:t>天。</w:t>
      </w:r>
    </w:p>
    <w:p>
      <w:pP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.总包及分包规定：本项目不接受分包。</w:t>
      </w:r>
    </w:p>
    <w:p>
      <w:pPr>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.承包方式：包工、包料、包设备安装、包开发、包调试、</w:t>
      </w:r>
      <w:r>
        <w:rPr>
          <w:rFonts w:hint="eastAsia" w:ascii="仿宋_GB2312" w:eastAsia="仿宋_GB2312"/>
          <w:color w:val="auto"/>
          <w:sz w:val="28"/>
          <w:szCs w:val="28"/>
          <w:highlight w:val="none"/>
          <w:lang w:val="en-US" w:eastAsia="zh-CN"/>
        </w:rPr>
        <w:t>包与其他系统对接，</w:t>
      </w:r>
      <w:r>
        <w:rPr>
          <w:rFonts w:hint="eastAsia" w:ascii="仿宋_GB2312" w:eastAsia="仿宋_GB2312"/>
          <w:color w:val="auto"/>
          <w:sz w:val="28"/>
          <w:szCs w:val="28"/>
          <w:highlight w:val="none"/>
        </w:rPr>
        <w:t>包培训、包运维（1年）、包验收的总价包干方式。</w:t>
      </w:r>
    </w:p>
    <w:p>
      <w:pPr>
        <w:pStyle w:val="2"/>
        <w:rPr>
          <w:rFonts w:ascii="仿宋_GB2312" w:eastAsia="仿宋_GB2312"/>
          <w:color w:val="auto"/>
          <w:sz w:val="28"/>
          <w:szCs w:val="28"/>
          <w:highlight w:val="none"/>
        </w:rPr>
      </w:pPr>
    </w:p>
    <w:p>
      <w:pPr>
        <w:pStyle w:val="10"/>
        <w:rPr>
          <w:rFonts w:ascii="宋体" w:hAnsi="宋体" w:cs="宋体"/>
          <w:color w:val="auto"/>
          <w:sz w:val="24"/>
          <w:szCs w:val="24"/>
          <w:highlight w:val="none"/>
        </w:rPr>
      </w:pPr>
    </w:p>
    <w:p>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附件6. 项目投入人员架构表</w:t>
      </w: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pStyle w:val="46"/>
        <w:rPr>
          <w:rFonts w:hAnsi="宋体"/>
          <w:color w:val="auto"/>
          <w:szCs w:val="21"/>
          <w:highlight w:val="none"/>
        </w:rPr>
      </w:pPr>
    </w:p>
    <w:p>
      <w:pPr>
        <w:widowControl/>
        <w:jc w:val="left"/>
        <w:rPr>
          <w:rFonts w:ascii="宋体" w:hAnsi="宋体" w:eastAsia="等线" w:cs="Times New Roman"/>
          <w:color w:val="auto"/>
          <w:kern w:val="0"/>
          <w:sz w:val="24"/>
          <w:szCs w:val="2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111" w:name="_Toc6230"/>
      <w:bookmarkStart w:id="112" w:name="_Toc16552"/>
      <w:bookmarkStart w:id="113" w:name="_Toc3723"/>
      <w:bookmarkStart w:id="114" w:name="_Toc28358"/>
      <w:bookmarkStart w:id="115" w:name="_Toc8147"/>
      <w:bookmarkStart w:id="116" w:name="_Toc23515"/>
      <w:bookmarkStart w:id="117" w:name="_Toc21847"/>
      <w:bookmarkStart w:id="118" w:name="_Toc12169"/>
      <w:bookmarkStart w:id="119" w:name="_Toc5129"/>
      <w:bookmarkStart w:id="120" w:name="_Toc1563"/>
      <w:bookmarkStart w:id="121" w:name="_Toc30824"/>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2325370</wp:posOffset>
                </wp:positionH>
                <wp:positionV relativeFrom="paragraph">
                  <wp:posOffset>40005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3.15pt;height:0pt;width:75.5pt;z-index:25166950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2346325</wp:posOffset>
                </wp:positionH>
                <wp:positionV relativeFrom="paragraph">
                  <wp:posOffset>577215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75pt;margin-top:45.45pt;height:0pt;width:75.5pt;z-index:25167052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11"/>
      <w:bookmarkEnd w:id="112"/>
      <w:bookmarkEnd w:id="113"/>
      <w:bookmarkEnd w:id="114"/>
      <w:bookmarkEnd w:id="115"/>
      <w:bookmarkEnd w:id="116"/>
      <w:bookmarkEnd w:id="117"/>
      <w:bookmarkEnd w:id="118"/>
      <w:bookmarkEnd w:id="119"/>
      <w:bookmarkEnd w:id="120"/>
      <w:bookmarkEnd w:id="121"/>
    </w:p>
    <w:p>
      <w:pPr>
        <w:pStyle w:val="36"/>
        <w:rPr>
          <w:color w:val="auto"/>
          <w:highlight w:val="none"/>
        </w:rPr>
      </w:pPr>
    </w:p>
    <w:p>
      <w:pPr>
        <w:pStyle w:val="4"/>
        <w:rPr>
          <w:color w:val="auto"/>
          <w:highlight w:val="none"/>
        </w:rPr>
      </w:pPr>
      <w:bookmarkStart w:id="122" w:name="_Toc24815"/>
      <w:bookmarkStart w:id="123" w:name="_Toc31564"/>
      <w:bookmarkStart w:id="124" w:name="_Toc22764"/>
      <w:bookmarkStart w:id="125" w:name="_Toc12610"/>
      <w:bookmarkStart w:id="126" w:name="_Toc88209951"/>
      <w:bookmarkStart w:id="127" w:name="_Toc21675"/>
      <w:bookmarkStart w:id="128" w:name="_Toc10840"/>
      <w:bookmarkStart w:id="129" w:name="_Toc87616388"/>
      <w:bookmarkStart w:id="130" w:name="_Toc5342"/>
      <w:bookmarkStart w:id="131" w:name="_Toc30157"/>
      <w:bookmarkStart w:id="132" w:name="_Toc17119"/>
      <w:bookmarkStart w:id="133" w:name="_Toc24490"/>
      <w:bookmarkStart w:id="134" w:name="_Toc12769"/>
      <w:r>
        <w:rPr>
          <w:rFonts w:hint="eastAsia"/>
          <w:color w:val="auto"/>
          <w:highlight w:val="none"/>
        </w:rPr>
        <w:t>响应文件格式要求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5" w:name="_Toc87616389"/>
      <w:bookmarkStart w:id="136" w:name="_Toc88209952"/>
      <w:r>
        <w:rPr>
          <w:rFonts w:hint="eastAsia" w:ascii="仿宋_GB2312" w:eastAsia="仿宋_GB2312"/>
          <w:color w:val="auto"/>
          <w:sz w:val="28"/>
          <w:szCs w:val="28"/>
          <w:highlight w:val="none"/>
        </w:rPr>
        <w:t>1.响应函</w:t>
      </w:r>
      <w:bookmarkEnd w:id="135"/>
      <w:bookmarkEnd w:id="136"/>
    </w:p>
    <w:p>
      <w:pPr>
        <w:spacing w:line="600" w:lineRule="exact"/>
        <w:rPr>
          <w:rFonts w:ascii="仿宋_GB2312" w:eastAsia="仿宋_GB2312"/>
          <w:color w:val="auto"/>
          <w:sz w:val="28"/>
          <w:szCs w:val="28"/>
          <w:highlight w:val="none"/>
        </w:rPr>
      </w:pPr>
      <w:bookmarkStart w:id="137" w:name="_Toc87616390"/>
      <w:bookmarkStart w:id="138" w:name="_Toc88209953"/>
      <w:r>
        <w:rPr>
          <w:rFonts w:hint="eastAsia" w:ascii="仿宋_GB2312" w:eastAsia="仿宋_GB2312"/>
          <w:color w:val="auto"/>
          <w:sz w:val="28"/>
          <w:szCs w:val="28"/>
          <w:highlight w:val="none"/>
        </w:rPr>
        <w:t>2.法定代表人证明或授权委托书</w:t>
      </w:r>
      <w:bookmarkEnd w:id="137"/>
      <w:bookmarkEnd w:id="138"/>
      <w:bookmarkStart w:id="139" w:name="_Toc87616393"/>
      <w:bookmarkStart w:id="14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39"/>
      <w:bookmarkEnd w:id="140"/>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widowControl/>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pStyle w:val="5"/>
        <w:jc w:val="left"/>
        <w:rPr>
          <w:color w:val="auto"/>
          <w:highlight w:val="none"/>
        </w:rPr>
      </w:pPr>
      <w:bookmarkStart w:id="141" w:name="_Toc6313"/>
      <w:bookmarkStart w:id="142" w:name="_Toc88209957"/>
      <w:bookmarkStart w:id="143" w:name="_Toc12665"/>
      <w:bookmarkStart w:id="144" w:name="_Toc28619645"/>
      <w:bookmarkStart w:id="145" w:name="_Toc87616394"/>
      <w:r>
        <w:rPr>
          <w:rFonts w:hint="eastAsia"/>
          <w:color w:val="auto"/>
          <w:highlight w:val="none"/>
        </w:rPr>
        <w:t>1.响应函</w:t>
      </w:r>
      <w:bookmarkEnd w:id="141"/>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eastAsia="仿宋_GB2312"/>
          <w:color w:val="auto"/>
          <w:highlight w:val="none"/>
        </w:rPr>
      </w:pPr>
      <w:r>
        <w:rPr>
          <w:rFonts w:ascii="仿宋_GB2312" w:hAnsi="黑体" w:eastAsia="仿宋_GB2312" w:cstheme="minorBidi"/>
          <w:color w:val="auto"/>
          <w:kern w:val="2"/>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widowControl/>
        <w:jc w:val="left"/>
        <w:rPr>
          <w:rFonts w:asciiTheme="minorEastAsia" w:hAnsiTheme="minorEastAsia"/>
          <w:color w:val="auto"/>
          <w:sz w:val="28"/>
          <w:szCs w:val="28"/>
          <w:highlight w:val="none"/>
        </w:rPr>
      </w:pPr>
      <w:bookmarkStart w:id="146" w:name="_Toc88209958"/>
      <w:bookmarkStart w:id="147" w:name="_Toc87616395"/>
      <w:bookmarkStart w:id="148" w:name="_Toc22527"/>
      <w:bookmarkStart w:id="149" w:name="_Toc29833"/>
      <w:r>
        <w:rPr>
          <w:rFonts w:asciiTheme="minorEastAsia" w:hAnsiTheme="minorEastAsia"/>
          <w:color w:val="auto"/>
          <w:sz w:val="28"/>
          <w:szCs w:val="28"/>
          <w:highlight w:val="none"/>
        </w:rPr>
        <w:br w:type="page"/>
      </w:r>
    </w:p>
    <w:p>
      <w:pPr>
        <w:pStyle w:val="5"/>
        <w:jc w:val="both"/>
        <w:rPr>
          <w:color w:val="auto"/>
          <w:highlight w:val="none"/>
        </w:rPr>
      </w:pPr>
      <w:r>
        <w:rPr>
          <w:rFonts w:hint="eastAsia"/>
          <w:color w:val="auto"/>
          <w:highlight w:val="none"/>
        </w:rPr>
        <w:t>2.法定代表人证明或授权委托书</w:t>
      </w:r>
      <w:bookmarkEnd w:id="146"/>
      <w:bookmarkEnd w:id="147"/>
      <w:bookmarkEnd w:id="148"/>
      <w:bookmarkEnd w:id="14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155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附：1.委托代理人身份证(正反两面)复印件，提供授权委托代理人身份证原件备查。</w:t>
      </w:r>
    </w:p>
    <w:p>
      <w:pPr>
        <w:pStyle w:val="36"/>
        <w:numPr>
          <w:ilvl w:val="255"/>
          <w:numId w:val="0"/>
        </w:num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6"/>
        <w:numPr>
          <w:ilvl w:val="255"/>
          <w:numId w:val="0"/>
        </w:numPr>
        <w:rPr>
          <w:rFonts w:ascii="仿宋_GB2312" w:hAnsi="宋体" w:eastAsia="仿宋_GB2312"/>
          <w:color w:val="auto"/>
          <w:sz w:val="30"/>
          <w:szCs w:val="30"/>
          <w:highlight w:val="none"/>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257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257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widowControl/>
        <w:jc w:val="left"/>
        <w:rPr>
          <w:rFonts w:ascii="宋体" w:hAnsi="宋体" w:eastAsia="等线" w:cs="Times New Roman"/>
          <w:color w:val="auto"/>
          <w:kern w:val="0"/>
          <w:sz w:val="24"/>
          <w:szCs w:val="24"/>
          <w:highlight w:val="none"/>
        </w:rPr>
      </w:pPr>
      <w:r>
        <w:rPr>
          <w:color w:val="auto"/>
          <w:highlight w:val="none"/>
        </w:rPr>
        <w:br w:type="page"/>
      </w:r>
    </w:p>
    <w:p>
      <w:pPr>
        <w:pStyle w:val="5"/>
        <w:jc w:val="both"/>
        <w:rPr>
          <w:color w:val="auto"/>
          <w:highlight w:val="none"/>
        </w:rPr>
      </w:pPr>
      <w:bookmarkStart w:id="150" w:name="_Toc88209963"/>
      <w:bookmarkStart w:id="151" w:name="_Toc19830"/>
      <w:bookmarkStart w:id="152" w:name="_Toc8086"/>
      <w:bookmarkStart w:id="153" w:name="_Toc87616400"/>
      <w:r>
        <w:rPr>
          <w:rFonts w:hint="eastAsia"/>
          <w:color w:val="auto"/>
          <w:highlight w:val="none"/>
        </w:rPr>
        <w:t>3.资格审查资料</w:t>
      </w:r>
      <w:bookmarkEnd w:id="150"/>
      <w:bookmarkEnd w:id="151"/>
      <w:bookmarkEnd w:id="152"/>
      <w:bookmarkEnd w:id="15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154" w:name="_Hlk59025866"/>
      <w:r>
        <w:rPr>
          <w:rFonts w:hint="eastAsia" w:ascii="宋体" w:hAnsi="宋体" w:eastAsia="宋体" w:cs="宋体"/>
          <w:color w:val="auto"/>
          <w:sz w:val="24"/>
          <w:szCs w:val="24"/>
          <w:highlight w:val="none"/>
          <w:lang w:val="en-GB"/>
        </w:rPr>
        <w:t>供应商名称（加盖公章）：</w:t>
      </w:r>
    </w:p>
    <w:p>
      <w:pPr>
        <w:widowControl/>
        <w:jc w:val="left"/>
        <w:rPr>
          <w:rFonts w:cs="Times New Roman" w:asciiTheme="minorEastAsia" w:hAnsiTheme="minorEastAsia"/>
          <w:b/>
          <w:bCs/>
          <w:color w:val="auto"/>
          <w:sz w:val="28"/>
          <w:szCs w:val="28"/>
          <w:highlight w:val="none"/>
        </w:rPr>
      </w:pPr>
      <w:r>
        <w:rPr>
          <w:rFonts w:cs="Times New Roman" w:asciiTheme="minorEastAsia" w:hAnsiTheme="minorEastAsia"/>
          <w:b/>
          <w:bCs/>
          <w:color w:val="auto"/>
          <w:sz w:val="28"/>
          <w:szCs w:val="28"/>
          <w:highlight w:val="none"/>
        </w:rPr>
        <w:br w:type="page"/>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5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lang w:val="en-GB"/>
        </w:rPr>
        <w:t>广州市净水有限公司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val="en-GB"/>
        </w:rPr>
        <w:t>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cs="宋体" w:eastAsiaTheme="minorEastAsia"/>
          <w:color w:val="auto"/>
          <w:kern w:val="2"/>
          <w:highlight w:val="none"/>
          <w:lang w:val="en-GB"/>
        </w:rPr>
      </w:pPr>
      <w:r>
        <w:rPr>
          <w:rFonts w:hint="eastAsia" w:cs="宋体" w:eastAsiaTheme="minorEastAsia"/>
          <w:color w:val="auto"/>
          <w:highlight w:val="none"/>
          <w:lang w:val="en-GB"/>
        </w:rPr>
        <w:t>（</w:t>
      </w:r>
      <w:r>
        <w:rPr>
          <w:rFonts w:hint="eastAsia" w:cs="宋体"/>
          <w:color w:val="auto"/>
          <w:highlight w:val="none"/>
        </w:rPr>
        <w:t>8</w:t>
      </w:r>
      <w:r>
        <w:rPr>
          <w:rFonts w:hint="eastAsia" w:cs="宋体" w:eastAsiaTheme="minorEastAsia"/>
          <w:color w:val="auto"/>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w:t>
      </w: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color w:val="auto"/>
          <w:szCs w:val="21"/>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p>
    <w:p>
      <w:pPr>
        <w:pStyle w:val="7"/>
        <w:rPr>
          <w:rFonts w:cs="Times New Roman" w:asciiTheme="minorEastAsia" w:hAnsiTheme="minorEastAsia"/>
          <w:b/>
          <w:bCs/>
          <w:color w:val="auto"/>
          <w:sz w:val="28"/>
          <w:szCs w:val="28"/>
          <w:highlight w:val="none"/>
        </w:rPr>
      </w:pPr>
    </w:p>
    <w:p>
      <w:pPr>
        <w:widowControl/>
        <w:jc w:val="left"/>
        <w:rPr>
          <w:rFonts w:eastAsia="微软雅黑" w:cs="Times New Roman" w:asciiTheme="minorEastAsia" w:hAnsiTheme="minorEastAsia"/>
          <w:b/>
          <w:bCs/>
          <w:color w:val="auto"/>
          <w:kern w:val="0"/>
          <w:sz w:val="28"/>
          <w:szCs w:val="28"/>
          <w:highlight w:val="none"/>
        </w:rPr>
      </w:pPr>
      <w:r>
        <w:rPr>
          <w:rFonts w:cs="Times New Roman" w:asciiTheme="minorEastAsia" w:hAnsiTheme="minorEastAsia"/>
          <w:b/>
          <w:bCs/>
          <w:color w:val="auto"/>
          <w:sz w:val="28"/>
          <w:szCs w:val="28"/>
          <w:highlight w:val="none"/>
        </w:rPr>
        <w:br w:type="page"/>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widowControl/>
        <w:jc w:val="left"/>
        <w:rPr>
          <w:rFonts w:ascii="仿宋_GB2312" w:eastAsia="仿宋_GB2312" w:cs="Times New Roman" w:hAnsiTheme="minorEastAsia"/>
          <w:color w:val="auto"/>
          <w:kern w:val="0"/>
          <w:sz w:val="28"/>
          <w:szCs w:val="28"/>
          <w:highlight w:val="none"/>
        </w:rPr>
      </w:pPr>
      <w:r>
        <w:rPr>
          <w:rFonts w:ascii="仿宋_GB2312" w:eastAsia="仿宋_GB2312" w:hAnsiTheme="minorEastAsia"/>
          <w:color w:val="auto"/>
          <w:sz w:val="28"/>
          <w:szCs w:val="28"/>
          <w:highlight w:val="none"/>
        </w:rPr>
        <w:br w:type="page"/>
      </w: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如有：</w:t>
      </w:r>
    </w:p>
    <w:tbl>
      <w:tblPr>
        <w:tblStyle w:val="23"/>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1695"/>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bookmarkStart w:id="155" w:name="_Toc32430"/>
            <w:bookmarkStart w:id="156" w:name="_Toc19423"/>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rPr>
          <w:color w:val="auto"/>
          <w:highlight w:val="none"/>
        </w:rPr>
      </w:pPr>
    </w:p>
    <w:p>
      <w:pPr>
        <w:pStyle w:val="9"/>
        <w:rPr>
          <w:color w:val="auto"/>
          <w:highlight w:val="none"/>
        </w:rPr>
      </w:pPr>
      <w:r>
        <w:rPr>
          <w:color w:val="auto"/>
          <w:highlight w:val="none"/>
        </w:rPr>
        <w:br w:type="page"/>
      </w:r>
    </w:p>
    <w:bookmarkEnd w:id="155"/>
    <w:bookmarkEnd w:id="156"/>
    <w:p>
      <w:pPr>
        <w:pStyle w:val="5"/>
        <w:jc w:val="both"/>
        <w:rPr>
          <w:color w:val="auto"/>
          <w:highlight w:val="none"/>
        </w:rPr>
      </w:pPr>
      <w:r>
        <w:rPr>
          <w:rFonts w:hint="eastAsia"/>
          <w:color w:val="auto"/>
          <w:highlight w:val="none"/>
        </w:rPr>
        <w:t>5.报价表</w:t>
      </w:r>
    </w:p>
    <w:tbl>
      <w:tblPr>
        <w:tblStyle w:val="23"/>
        <w:tblW w:w="9578" w:type="dxa"/>
        <w:jc w:val="center"/>
        <w:tblLayout w:type="fixed"/>
        <w:tblCellMar>
          <w:top w:w="0" w:type="dxa"/>
          <w:left w:w="0" w:type="dxa"/>
          <w:bottom w:w="0" w:type="dxa"/>
          <w:right w:w="0" w:type="dxa"/>
        </w:tblCellMar>
      </w:tblPr>
      <w:tblGrid>
        <w:gridCol w:w="542"/>
        <w:gridCol w:w="1449"/>
        <w:gridCol w:w="2150"/>
        <w:gridCol w:w="672"/>
        <w:gridCol w:w="688"/>
        <w:gridCol w:w="837"/>
        <w:gridCol w:w="863"/>
        <w:gridCol w:w="1100"/>
        <w:gridCol w:w="1277"/>
      </w:tblGrid>
      <w:tr>
        <w:tblPrEx>
          <w:tblCellMar>
            <w:top w:w="0" w:type="dxa"/>
            <w:left w:w="0" w:type="dxa"/>
            <w:bottom w:w="0" w:type="dxa"/>
            <w:right w:w="0" w:type="dxa"/>
          </w:tblCellMar>
        </w:tblPrEx>
        <w:trPr>
          <w:trHeight w:val="532" w:hRule="atLeast"/>
          <w:jc w:val="center"/>
        </w:trPr>
        <w:tc>
          <w:tcPr>
            <w:tcW w:w="542" w:type="dxa"/>
            <w:tcBorders>
              <w:top w:val="single" w:color="8497B0" w:sz="4" w:space="0"/>
              <w:left w:val="single" w:color="8497B0" w:sz="4" w:space="0"/>
              <w:bottom w:val="single" w:color="auto" w:sz="4" w:space="0"/>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449" w:type="dxa"/>
            <w:tcBorders>
              <w:top w:val="single" w:color="8497B0" w:sz="4" w:space="0"/>
              <w:left w:val="single" w:color="8497B0" w:sz="4" w:space="0"/>
              <w:bottom w:val="nil"/>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软件名称</w:t>
            </w:r>
          </w:p>
        </w:tc>
        <w:tc>
          <w:tcPr>
            <w:tcW w:w="2150" w:type="dxa"/>
            <w:tcBorders>
              <w:top w:val="single" w:color="8497B0" w:sz="4" w:space="0"/>
              <w:left w:val="single" w:color="8497B0" w:sz="4" w:space="0"/>
              <w:bottom w:val="single" w:color="auto" w:sz="4" w:space="0"/>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72" w:type="dxa"/>
            <w:tcBorders>
              <w:top w:val="single" w:color="8497B0" w:sz="4" w:space="0"/>
              <w:left w:val="single" w:color="8497B0" w:sz="4" w:space="0"/>
              <w:bottom w:val="single" w:color="auto" w:sz="4" w:space="0"/>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数量</w:t>
            </w:r>
          </w:p>
        </w:tc>
        <w:tc>
          <w:tcPr>
            <w:tcW w:w="688" w:type="dxa"/>
            <w:tcBorders>
              <w:top w:val="single" w:color="8497B0" w:sz="4" w:space="0"/>
              <w:left w:val="single" w:color="8497B0" w:sz="4" w:space="0"/>
              <w:bottom w:val="nil"/>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单位</w:t>
            </w:r>
          </w:p>
        </w:tc>
        <w:tc>
          <w:tcPr>
            <w:tcW w:w="837" w:type="dxa"/>
            <w:tcBorders>
              <w:top w:val="single" w:color="8497B0" w:sz="4" w:space="0"/>
              <w:left w:val="single" w:color="8497B0" w:sz="4" w:space="0"/>
              <w:bottom w:val="nil"/>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单价</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18"/>
                <w:szCs w:val="18"/>
                <w:highlight w:val="none"/>
                <w:lang w:bidi="ar"/>
              </w:rPr>
              <w:t>（含税）</w:t>
            </w:r>
          </w:p>
        </w:tc>
        <w:tc>
          <w:tcPr>
            <w:tcW w:w="863" w:type="dxa"/>
            <w:tcBorders>
              <w:top w:val="single" w:color="8497B0" w:sz="4" w:space="0"/>
              <w:left w:val="single" w:color="auto" w:sz="4" w:space="0"/>
              <w:bottom w:val="nil"/>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单价</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18"/>
                <w:szCs w:val="18"/>
                <w:highlight w:val="none"/>
                <w:lang w:bidi="ar"/>
              </w:rPr>
              <w:t>（不含税）</w:t>
            </w:r>
          </w:p>
        </w:tc>
        <w:tc>
          <w:tcPr>
            <w:tcW w:w="1100" w:type="dxa"/>
            <w:tcBorders>
              <w:top w:val="single" w:color="8497B0" w:sz="4" w:space="0"/>
              <w:left w:val="single" w:color="auto" w:sz="4" w:space="0"/>
              <w:bottom w:val="nil"/>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总价</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18"/>
                <w:szCs w:val="18"/>
                <w:highlight w:val="none"/>
                <w:lang w:bidi="ar"/>
              </w:rPr>
              <w:t>（含税）</w:t>
            </w:r>
          </w:p>
        </w:tc>
        <w:tc>
          <w:tcPr>
            <w:tcW w:w="1277" w:type="dxa"/>
            <w:tcBorders>
              <w:top w:val="single" w:color="8497B0" w:sz="4" w:space="0"/>
              <w:left w:val="single" w:color="8497B0" w:sz="4" w:space="0"/>
              <w:bottom w:val="nil"/>
              <w:right w:val="single" w:color="8497B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总价</w:t>
            </w:r>
          </w:p>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18"/>
                <w:szCs w:val="18"/>
                <w:highlight w:val="none"/>
                <w:lang w:bidi="ar"/>
              </w:rPr>
              <w:t>（不含税）</w:t>
            </w:r>
          </w:p>
        </w:tc>
      </w:tr>
      <w:tr>
        <w:tblPrEx>
          <w:tblCellMar>
            <w:top w:w="0" w:type="dxa"/>
            <w:left w:w="0" w:type="dxa"/>
            <w:bottom w:w="0" w:type="dxa"/>
            <w:right w:w="0" w:type="dxa"/>
          </w:tblCellMar>
        </w:tblPrEx>
        <w:trPr>
          <w:trHeight w:val="1184"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widowControl/>
              <w:jc w:val="center"/>
              <w:textAlignment w:val="center"/>
              <w:rPr>
                <w:rFonts w:ascii="宋体" w:hAnsi="宋体" w:eastAsia="宋体" w:cs="宋体"/>
                <w:color w:val="auto"/>
                <w:sz w:val="24"/>
                <w:szCs w:val="24"/>
                <w:highlight w:val="none"/>
              </w:rPr>
            </w:pP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集中认证平台</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107"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cs="仿宋_GB2312" w:hAnsiTheme="minorEastAsia"/>
                <w:color w:val="auto"/>
                <w:sz w:val="24"/>
                <w:szCs w:val="24"/>
                <w:highlight w:val="none"/>
              </w:rPr>
              <w:t>账号自助服务系统</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39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仿宋_GB2312" w:hAnsiTheme="minorEastAsia"/>
                <w:color w:val="auto"/>
                <w:sz w:val="24"/>
                <w:szCs w:val="24"/>
                <w:highlight w:val="none"/>
              </w:rPr>
            </w:pPr>
            <w:r>
              <w:rPr>
                <w:rFonts w:hint="eastAsia" w:cs="仿宋_GB2312" w:hAnsiTheme="minorEastAsia"/>
                <w:color w:val="auto"/>
                <w:sz w:val="24"/>
                <w:szCs w:val="24"/>
                <w:highlight w:val="none"/>
              </w:rPr>
              <w:t>域控安全审计平台</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39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仿宋_GB2312" w:hAnsiTheme="minorEastAsia"/>
                <w:color w:val="auto"/>
                <w:sz w:val="24"/>
                <w:szCs w:val="24"/>
                <w:highlight w:val="none"/>
              </w:rPr>
            </w:pPr>
            <w:r>
              <w:rPr>
                <w:rFonts w:hint="eastAsia" w:cs="仿宋_GB2312" w:hAnsiTheme="minorEastAsia"/>
                <w:color w:val="auto"/>
                <w:sz w:val="24"/>
                <w:szCs w:val="24"/>
                <w:highlight w:val="none"/>
              </w:rPr>
              <w:t>软件定制开发</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537"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仿宋_GB2312" w:hAnsiTheme="minorEastAsia"/>
                <w:color w:val="auto"/>
                <w:sz w:val="24"/>
                <w:szCs w:val="24"/>
                <w:highlight w:val="none"/>
              </w:rPr>
            </w:pPr>
            <w:r>
              <w:rPr>
                <w:rFonts w:hint="eastAsia" w:cs="仿宋_GB2312" w:hAnsiTheme="minorEastAsia"/>
                <w:color w:val="auto"/>
                <w:sz w:val="24"/>
                <w:szCs w:val="24"/>
                <w:highlight w:val="none"/>
              </w:rPr>
              <w:t>防火墙集中管理平台</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1532"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49"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仿宋_GB2312" w:hAnsiTheme="minorEastAsia"/>
                <w:color w:val="auto"/>
                <w:sz w:val="24"/>
                <w:szCs w:val="24"/>
                <w:highlight w:val="none"/>
              </w:rPr>
            </w:pPr>
            <w:r>
              <w:rPr>
                <w:rFonts w:hint="eastAsia" w:cs="仿宋_GB2312" w:hAnsiTheme="minorEastAsia"/>
                <w:color w:val="auto"/>
                <w:sz w:val="24"/>
                <w:szCs w:val="24"/>
                <w:highlight w:val="none"/>
              </w:rPr>
              <w:t>应用防护设备</w:t>
            </w:r>
          </w:p>
        </w:tc>
        <w:tc>
          <w:tcPr>
            <w:tcW w:w="21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4"/>
                <w:szCs w:val="24"/>
                <w:highlight w:val="none"/>
              </w:rPr>
            </w:pPr>
          </w:p>
        </w:tc>
        <w:tc>
          <w:tcPr>
            <w:tcW w:w="672"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4"/>
                <w:szCs w:val="24"/>
                <w:highlight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3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86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r>
        <w:tblPrEx>
          <w:tblCellMar>
            <w:top w:w="0" w:type="dxa"/>
            <w:left w:w="0" w:type="dxa"/>
            <w:bottom w:w="0" w:type="dxa"/>
            <w:right w:w="0" w:type="dxa"/>
          </w:tblCellMar>
        </w:tblPrEx>
        <w:trPr>
          <w:trHeight w:val="451" w:hRule="atLeast"/>
          <w:jc w:val="center"/>
        </w:trPr>
        <w:tc>
          <w:tcPr>
            <w:tcW w:w="7201"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合计</w:t>
            </w:r>
          </w:p>
        </w:tc>
        <w:tc>
          <w:tcPr>
            <w:tcW w:w="110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kern w:val="0"/>
                <w:sz w:val="24"/>
                <w:szCs w:val="24"/>
                <w:highlight w:val="none"/>
                <w:lang w:bidi="ar"/>
              </w:rPr>
            </w:pPr>
          </w:p>
        </w:tc>
      </w:tr>
    </w:tbl>
    <w:p>
      <w:pPr>
        <w:rPr>
          <w:color w:val="auto"/>
          <w:highlight w:val="none"/>
        </w:rPr>
      </w:pPr>
      <w:bookmarkStart w:id="157" w:name="_Toc6058"/>
      <w:bookmarkStart w:id="158" w:name="_Toc16386"/>
      <w:bookmarkStart w:id="159" w:name="_Toc88209965"/>
      <w:bookmarkStart w:id="160" w:name="_Toc87616402"/>
    </w:p>
    <w:p>
      <w:pPr>
        <w:pStyle w:val="9"/>
        <w:rPr>
          <w:rFonts w:ascii="仿宋_GB2312" w:eastAsia="仿宋_GB2312" w:hAnsiTheme="majorHAnsi" w:cstheme="majorBidi"/>
          <w:color w:val="auto"/>
          <w:sz w:val="32"/>
          <w:szCs w:val="32"/>
          <w:highlight w:val="none"/>
        </w:rPr>
      </w:pPr>
      <w:r>
        <w:rPr>
          <w:color w:val="auto"/>
          <w:highlight w:val="none"/>
        </w:rPr>
        <w:br w:type="page"/>
      </w:r>
    </w:p>
    <w:p>
      <w:pPr>
        <w:pStyle w:val="5"/>
        <w:jc w:val="both"/>
        <w:rPr>
          <w:color w:val="auto"/>
          <w:highlight w:val="none"/>
        </w:rPr>
      </w:pPr>
      <w:r>
        <w:rPr>
          <w:rFonts w:hint="eastAsia"/>
          <w:color w:val="auto"/>
          <w:highlight w:val="none"/>
        </w:rPr>
        <w:t>6.其他资料</w:t>
      </w:r>
      <w:bookmarkEnd w:id="157"/>
      <w:bookmarkEnd w:id="158"/>
      <w:bookmarkEnd w:id="159"/>
      <w:bookmarkEnd w:id="160"/>
    </w:p>
    <w:p>
      <w:pPr>
        <w:pStyle w:val="9"/>
        <w:rPr>
          <w:rFonts w:ascii="仿宋_GB2312" w:eastAsia="仿宋_GB2312"/>
          <w:color w:val="auto"/>
          <w:sz w:val="28"/>
          <w:szCs w:val="28"/>
          <w:highlight w:val="none"/>
        </w:rPr>
      </w:pPr>
      <w:r>
        <w:rPr>
          <w:rFonts w:hint="eastAsia" w:ascii="仿宋_GB2312" w:eastAsia="仿宋_GB2312" w:cs="Times New Roman" w:hAnsiTheme="minorEastAsia"/>
          <w:color w:val="auto"/>
          <w:kern w:val="0"/>
          <w:sz w:val="28"/>
          <w:szCs w:val="24"/>
          <w:highlight w:val="none"/>
        </w:rPr>
        <w:t>为证明技术响应的真实性，报价单位递交响应文件时须提供本项目账号自助服务系统、域控安全审计系统及应用防护设备技术指标要求中带“</w:t>
      </w:r>
      <w:r>
        <w:rPr>
          <w:rFonts w:hint="eastAsia" w:ascii="宋体" w:hAnsi="宋体"/>
          <w:color w:val="auto"/>
          <w:sz w:val="24"/>
          <w:szCs w:val="24"/>
          <w:highlight w:val="none"/>
        </w:rPr>
        <w:t>★</w:t>
      </w:r>
      <w:r>
        <w:rPr>
          <w:rFonts w:hint="eastAsia" w:ascii="仿宋_GB2312" w:eastAsia="仿宋_GB2312" w:cs="Times New Roman" w:hAnsiTheme="minorEastAsia"/>
          <w:color w:val="auto"/>
          <w:kern w:val="0"/>
          <w:sz w:val="28"/>
          <w:szCs w:val="24"/>
          <w:highlight w:val="none"/>
        </w:rPr>
        <w:t>”项的技术参数证明材料（真实截图证明及相关证明材料，加盖原厂公章），未提供或证明材料无法完整证明或不清晰的，视为无效响应。</w:t>
      </w:r>
    </w:p>
    <w:tbl>
      <w:tblPr>
        <w:tblStyle w:val="23"/>
        <w:tblW w:w="83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30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8306" w:type="dxa"/>
            <w:tcBorders>
              <w:top w:val="single" w:color="auto" w:sz="4" w:space="0"/>
              <w:bottom w:val="single" w:color="auto" w:sz="4" w:space="0"/>
            </w:tcBorders>
            <w:shd w:val="clear" w:color="auto" w:fill="auto"/>
            <w:vAlign w:val="center"/>
          </w:tcPr>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完全基于B/S架构（监视及管理），中文界面，风格友好，操作简便。</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 xml:space="preserve">系统均采用JAVA架构开发，支持在安装于64位或32位Windows平台上 </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软件必须拥有自带合法授权数据库，无须用户额外购买和另行独立安装数据库。</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产品成熟可靠，访问和操作如下所有功能，所有功能和配置通过前台管理界面进行配置和操作，无须进入后台更改代码。</w:t>
            </w:r>
          </w:p>
          <w:p>
            <w:pPr>
              <w:pStyle w:val="33"/>
              <w:widowControl/>
              <w:numPr>
                <w:ilvl w:val="0"/>
                <w:numId w:val="6"/>
              </w:numPr>
              <w:spacing w:line="0" w:lineRule="atLeast"/>
              <w:ind w:firstLineChars="0"/>
              <w:jc w:val="left"/>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产品支持手机客户端，提供iOS和Android系统APP</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仿宋_GB2312" w:eastAsia="仿宋_GB2312" w:cs="仿宋_GB2312"/>
                <w:color w:val="auto"/>
                <w:sz w:val="24"/>
                <w:szCs w:val="24"/>
                <w:highlight w:val="none"/>
                <w:lang w:val="en-US" w:eastAsia="zh-CN"/>
              </w:rPr>
              <w:t>不少于4</w:t>
            </w:r>
            <w:r>
              <w:rPr>
                <w:rFonts w:hint="eastAsia" w:ascii="仿宋_GB2312" w:hAnsi="仿宋_GB2312" w:eastAsia="仿宋_GB2312" w:cs="仿宋_GB2312"/>
                <w:color w:val="auto"/>
                <w:kern w:val="0"/>
                <w:sz w:val="24"/>
                <w:szCs w:val="24"/>
                <w:highlight w:val="none"/>
              </w:rPr>
              <w:t>000</w:t>
            </w:r>
            <w:r>
              <w:rPr>
                <w:rFonts w:hint="eastAsia" w:ascii="仿宋_GB2312" w:hAnsi="华文仿宋" w:eastAsia="仿宋_GB2312" w:cs="Times New Roman"/>
                <w:color w:val="auto"/>
                <w:kern w:val="0"/>
                <w:sz w:val="24"/>
                <w:szCs w:val="24"/>
                <w:highlight w:val="none"/>
              </w:rPr>
              <w:t>个域账号自助服务永久使用授权，含1年原厂商标准技术支持服务。</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系统支持基于多种验证方式的身份验证，包括：安全密保问题，邮箱验证码，短信，Google 身份验证器，微软Authenticator，Duo Security，RSA serure ID，RADIUS身份验证，推送通知，指纹身份验证，基于二维码的身份验证，SAML身份验证，AD安全问题。</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支持设置密保问题的数量和回答密保问题的字符数。</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系统能够实现加强域密码策略，强制用户必须设置足够强度的密码。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系统能够实现不允许用户使用带有指定内容的密码，如：abc,qwer,aaa。</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提供的密码到期通知功能，可以指定提前通知的时间，定制通知的内容，从而确保要过期的用户被通知到。</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提供GINA功能，允许用户在计算机登录页面直接重置密码或解锁账户。</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支持搜索ＡＤ中的员工信息，以便用户查找需要的信息。</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系统能够实现用户密码即将过期或账户过期时，邮件或短信通知用户。</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系统支持域用户密码过期时自动重置该用户的密码。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系统支持自动解锁域中已锁定的账户。</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系统支持排除休眠用户、禁用用户、服务账户使用平台重置密码。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提供多种报表，可从不同视角对AD的用户进行统计。用户报表：被锁用户报表、密码即将过期的用户报表、密码过期的用户报表。用户登记报表：已登记用户报表、未注册的用户报表、被许可的用户报表、安全保密问题报表。审计报表：重置密码的审计报表、解锁的审计报表、自我更新审计报表、密码修改审计报表、通知发送报表、身份验证失败报表、用户尝试的审计报表。</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产品要求为拥有底层核心技术支持的同一品牌的产品，非OEM其他厂商的组合产品。</w:t>
            </w:r>
          </w:p>
          <w:p>
            <w:pPr>
              <w:pStyle w:val="33"/>
              <w:widowControl/>
              <w:numPr>
                <w:ilvl w:val="0"/>
                <w:numId w:val="6"/>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产品厂商要求有多年的本产品技术积累，具有本企业注册地经济和信息化委员会颁发的软件企业证书,提供原厂商盖章的认证证书。</w:t>
            </w:r>
          </w:p>
          <w:p>
            <w:pPr>
              <w:pStyle w:val="33"/>
              <w:widowControl/>
              <w:numPr>
                <w:ilvl w:val="0"/>
                <w:numId w:val="6"/>
              </w:numPr>
              <w:spacing w:line="0" w:lineRule="atLeast"/>
              <w:ind w:firstLineChars="0"/>
              <w:rPr>
                <w:rFonts w:ascii="仿宋_GB2312" w:eastAsia="仿宋_GB2312"/>
                <w:color w:val="auto"/>
                <w:highlight w:val="none"/>
              </w:rPr>
            </w:pPr>
            <w:r>
              <w:rPr>
                <w:rFonts w:hint="eastAsia" w:ascii="仿宋_GB2312" w:hAnsi="华文仿宋" w:eastAsia="仿宋_GB2312" w:cs="Times New Roman"/>
                <w:color w:val="auto"/>
                <w:kern w:val="0"/>
                <w:sz w:val="24"/>
                <w:szCs w:val="24"/>
                <w:highlight w:val="none"/>
              </w:rPr>
              <w:t>★要求投标产品厂商通过ISO 9001产品质量认证体系，提供原厂商盖章的认证证书。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08" w:hRule="atLeast"/>
          <w:jc w:val="center"/>
        </w:trPr>
        <w:tc>
          <w:tcPr>
            <w:tcW w:w="8306" w:type="dxa"/>
            <w:tcBorders>
              <w:top w:val="single" w:color="auto" w:sz="4" w:space="0"/>
              <w:bottom w:val="single" w:color="auto" w:sz="4" w:space="0"/>
            </w:tcBorders>
            <w:shd w:val="clear" w:color="auto" w:fill="auto"/>
            <w:vAlign w:val="center"/>
          </w:tcPr>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★完全基于B/S架构（监视及管理），中文界面，风格友好，操作简便。</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 xml:space="preserve">系统均采用JAVA架构开发，支持在安装于64位或32位Windows平台上 </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软件必须拥有自带合法授权数据库，无须用户额外购买和另行独立安装数据库。</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产品成熟可靠，访问和操作如下所有功能，所有功能和配置通过前台管理界面进行配置和操作，无须进入后台更改代码。</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★产品支持手机客户端，提供iOS和Android系统APP</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color w:val="auto"/>
                <w:szCs w:val="21"/>
                <w:highlight w:val="none"/>
              </w:rPr>
              <w:t>★</w:t>
            </w:r>
            <w:r>
              <w:rPr>
                <w:rFonts w:hint="eastAsia" w:ascii="仿宋_GB2312" w:hAnsi="华文仿宋" w:eastAsia="仿宋_GB2312" w:cs="Times New Roman"/>
                <w:color w:val="auto"/>
                <w:kern w:val="0"/>
                <w:sz w:val="24"/>
                <w:szCs w:val="24"/>
                <w:highlight w:val="none"/>
              </w:rPr>
              <w:t>2台域控服务器审计，含1年原厂商标准技术支持服务。</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宋体" w:hAnsi="宋体" w:cs="宋体"/>
                <w:color w:val="auto"/>
                <w:kern w:val="0"/>
                <w:szCs w:val="21"/>
                <w:highlight w:val="none"/>
              </w:rPr>
              <w:t>★</w:t>
            </w:r>
            <w:r>
              <w:rPr>
                <w:rFonts w:hint="eastAsia" w:ascii="仿宋_GB2312" w:hAnsi="华文仿宋" w:eastAsia="仿宋_GB2312" w:cs="Times New Roman"/>
                <w:color w:val="auto"/>
                <w:kern w:val="0"/>
                <w:sz w:val="24"/>
                <w:szCs w:val="24"/>
                <w:highlight w:val="none"/>
              </w:rPr>
              <w:t>需支持对域用户的登录行为进行审计，审计内容包括但不限于：登录失败、基于用户的登录失败、由于密码错误导致失败、由于用户名错误导致失败、基于天数的登录错误、基于DC的登录活动、基于IP地址的登录活动、域控制器的登录活动、最近的用户登录活动、用户的最后登录。</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宋体" w:hAnsi="宋体" w:cs="宋体"/>
                <w:color w:val="auto"/>
                <w:kern w:val="0"/>
                <w:szCs w:val="21"/>
                <w:highlight w:val="none"/>
              </w:rPr>
              <w:t>★</w:t>
            </w:r>
            <w:r>
              <w:rPr>
                <w:rFonts w:hint="eastAsia" w:ascii="仿宋_GB2312" w:hAnsi="华文仿宋" w:eastAsia="仿宋_GB2312" w:cs="Times New Roman"/>
                <w:color w:val="auto"/>
                <w:kern w:val="0"/>
                <w:sz w:val="24"/>
                <w:szCs w:val="24"/>
                <w:highlight w:val="none"/>
              </w:rPr>
              <w:t>需支持对活动目录的账户管理进行审计，审计内容包括但不限于：所有的AD变更、所有的AD变更-用户、域控制器上的所有AD变更、所有用户活动、用户活动、用户管理、组管理、计算机管理、OU（组织单元）管理、GPO管理。</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★针对用户管理的审计，审计内容包括但不限于：用户账户的创建、删除、移动、启用、禁用、锁定、解锁、密码更改、密码设置、扩展属性变更、用户属性的新旧值。</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对于组的管理行为审计，审计内容包括但不限于：安全组/通信组的创建、删除、最近移动的组、重命名的组、最近更改的组、安全组/通信组中最近添加的成员、最近移除的成员、扩展属性变更、组属性的新旧值。</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★针对计算机的管理审计，审计内容包括但不限于：计算机的创建、更改、删除、移动、启用、禁用，扩展属性变更、计算机属性的新旧值。</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★针对GPO（组策略对象）的审计，应包括GPO的创建、更改、删除，以及GPO链接的变更行为的审计。</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★针对OU（组织单元）的审计，应包括OU的创建、更改、删除、移动、重命名、扩展属性的变更、组织单位的历史。</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★基于配置自定义报表，允许用户根据审计需要，创建特定的报表。支持定期生成报表，并将报表发送给特定的邮箱。</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★支持导出报表为PDF、HTML、XLS、CSV等格式文件。</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★支持指定天数之前的审计数据将被归档，并从数据库中清除，并且可以自定义归档审计数据位置。</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★能够定制告警规则，包括告警的重要度、分类、告警消息内容、基于阈值告警、工作时间告警、过滤器。系统能够在匹配到告警规则时，自动触发告警动作（告警动作包括：邮件通知、短信通知、执行脚本）。</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★以上产品要求为拥有底层核心技术支持的同一品牌的产品，非OEM其他厂商的组合产品。</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★产品厂商要求有多年的本产品技术积累，具有本企业注册地经济和信息化委员会颁发的软件企业证书,提供原厂商盖章的认证证书。</w:t>
            </w:r>
          </w:p>
          <w:p>
            <w:pPr>
              <w:pStyle w:val="33"/>
              <w:widowControl/>
              <w:numPr>
                <w:ilvl w:val="0"/>
                <w:numId w:val="7"/>
              </w:numPr>
              <w:spacing w:line="0" w:lineRule="atLeast"/>
              <w:ind w:firstLineChars="0"/>
              <w:rPr>
                <w:rFonts w:ascii="仿宋_GB2312" w:hAnsi="华文仿宋" w:eastAsia="仿宋_GB2312" w:cs="Times New Roman"/>
                <w:color w:val="auto"/>
                <w:kern w:val="0"/>
                <w:sz w:val="24"/>
                <w:szCs w:val="24"/>
                <w:highlight w:val="none"/>
              </w:rPr>
            </w:pPr>
            <w:r>
              <w:rPr>
                <w:rFonts w:hint="eastAsia" w:ascii="仿宋_GB2312" w:hAnsi="华文仿宋" w:eastAsia="仿宋_GB2312" w:cs="Times New Roman"/>
                <w:color w:val="auto"/>
                <w:kern w:val="0"/>
                <w:sz w:val="24"/>
                <w:szCs w:val="24"/>
                <w:highlight w:val="none"/>
              </w:rPr>
              <w:t>★要求投标产品厂商通过ISO 9001产品质量认证体系，提供原厂商盖章的认证证书。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6" w:hRule="atLeast"/>
          <w:jc w:val="center"/>
        </w:trPr>
        <w:tc>
          <w:tcPr>
            <w:tcW w:w="8306" w:type="dxa"/>
            <w:tcBorders>
              <w:top w:val="single" w:color="auto" w:sz="4" w:space="0"/>
            </w:tcBorders>
            <w:shd w:val="clear" w:color="auto" w:fill="auto"/>
            <w:vAlign w:val="center"/>
          </w:tcPr>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网络层吞吐量≧16Gbps，应用层吞吐量≧4.2Gbps，QPS≧17,000，CPS≧15,000。</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具备http协议深层解码能力，解码方式包括：URL解码、JSON解码、Base64解码、16进制转换、斜杠反转义、XML解析、PHP反序列化解析、UTF-7解码。</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支持SQL注入攻击检测，通过解析http协议中payload内容，识别符合sql语句的词法、语法特征，评估威胁等级并阻断，提供使用语义分析技术检测SQL注入攻击能力。</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具有独立防护能力的具有自主知识产权的智能语义分析检测引擎（需提供由国家知识产权局颁发的专利证书及其摘要页，专利需要证明所述的网络检测方法可以根据目标语言进行词法分析、语法分析和语义分析，根据所述分析结果，确定目标请求数据的风险级别）。</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具备0day漏洞防护能力，检测攻击行为特征进行，实现告警和拦截无需升级特征库即可防御。（提供至少4个实际防护案例说明）</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支持CC攻击防护，通过限制IP和Session实现对异常访问行为的限制，并内置Session系统。</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支持CSRF和SSRF检测，通过分析Payload代码特征，告警并阻断相关请求。</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支持访问IP溯源，能够从Socket、X-Forwarded-For和任意Http头中获取访问源IP；其中X-Forwarded-For支持倒数第n层代理进行获取，n为可灵活自定义的数字。</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攻击检测模块中包含机器人检测，至少支持5种爬虫检测类型，且须包含字节跳动、yandex、无头谷歌浏览器，支持信息泄露检测，检测内容须包括测试文件、备份文件、代码仓库和服务器敏感文件，可通过response检测信息泄露。</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支持BOT防护，能够对友好及恶意程序进行甄别分类，并采取针对性的流量管理策略。</w:t>
            </w:r>
          </w:p>
          <w:p>
            <w:pPr>
              <w:pStyle w:val="33"/>
              <w:widowControl/>
              <w:numPr>
                <w:ilvl w:val="0"/>
                <w:numId w:val="10"/>
              </w:numPr>
              <w:spacing w:line="0" w:lineRule="atLeast"/>
              <w:ind w:firstLineChars="0"/>
              <w:rPr>
                <w:rFonts w:ascii="仿宋_GB2312" w:hAnsi="仿宋" w:eastAsia="仿宋_GB2312"/>
                <w:color w:val="auto"/>
                <w:sz w:val="24"/>
                <w:szCs w:val="24"/>
                <w:highlight w:val="none"/>
              </w:rPr>
            </w:pPr>
            <w:r>
              <w:rPr>
                <w:rFonts w:hint="eastAsia" w:ascii="宋体" w:hAnsi="宋体"/>
                <w:color w:val="auto"/>
                <w:sz w:val="24"/>
                <w:szCs w:val="24"/>
                <w:highlight w:val="none"/>
              </w:rPr>
              <w:t>★</w:t>
            </w:r>
            <w:r>
              <w:rPr>
                <w:rFonts w:hint="eastAsia" w:ascii="仿宋_GB2312" w:hAnsi="仿宋" w:eastAsia="仿宋_GB2312"/>
                <w:color w:val="auto"/>
                <w:sz w:val="24"/>
                <w:szCs w:val="24"/>
                <w:highlight w:val="none"/>
              </w:rPr>
              <w:t>《计算机信息系统安全专用产品销售许可证》（增强级），提供证书复印件证明。</w:t>
            </w:r>
          </w:p>
        </w:tc>
      </w:tr>
    </w:tbl>
    <w:p>
      <w:pPr>
        <w:rPr>
          <w:color w:val="auto"/>
          <w:highlight w:val="none"/>
        </w:rPr>
      </w:pPr>
    </w:p>
    <w:sectPr>
      <w:footerReference r:id="rId7" w:type="first"/>
      <w:footerReference r:id="rId6" w:type="default"/>
      <w:pgSz w:w="11906" w:h="16838"/>
      <w:pgMar w:top="1191" w:right="1474" w:bottom="1191" w:left="1588"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ITD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pSEwz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AAB3B"/>
    <w:multiLevelType w:val="multilevel"/>
    <w:tmpl w:val="962AAB3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B36A9B14"/>
    <w:multiLevelType w:val="multilevel"/>
    <w:tmpl w:val="B36A9B14"/>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7B5D088"/>
    <w:multiLevelType w:val="multilevel"/>
    <w:tmpl w:val="D7B5D0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B197C51"/>
    <w:multiLevelType w:val="multilevel"/>
    <w:tmpl w:val="0B197C51"/>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7AB8D4"/>
    <w:multiLevelType w:val="multilevel"/>
    <w:tmpl w:val="0F7AB8D4"/>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0C3D55"/>
    <w:multiLevelType w:val="multilevel"/>
    <w:tmpl w:val="100C3D55"/>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22785D"/>
    <w:multiLevelType w:val="multilevel"/>
    <w:tmpl w:val="3222785D"/>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1449E8"/>
    <w:multiLevelType w:val="multilevel"/>
    <w:tmpl w:val="371449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4F709124"/>
    <w:multiLevelType w:val="multilevel"/>
    <w:tmpl w:val="4F709124"/>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5106EE2"/>
    <w:multiLevelType w:val="multilevel"/>
    <w:tmpl w:val="65106EE2"/>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EFB5CDC"/>
    <w:multiLevelType w:val="multilevel"/>
    <w:tmpl w:val="6EFB5C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5D32C3"/>
    <w:multiLevelType w:val="singleLevel"/>
    <w:tmpl w:val="705D32C3"/>
    <w:lvl w:ilvl="0" w:tentative="0">
      <w:start w:val="5"/>
      <w:numFmt w:val="decimal"/>
      <w:lvlText w:val="%1."/>
      <w:lvlJc w:val="left"/>
      <w:pPr>
        <w:tabs>
          <w:tab w:val="left" w:pos="312"/>
        </w:tabs>
      </w:pPr>
    </w:lvl>
  </w:abstractNum>
  <w:abstractNum w:abstractNumId="14">
    <w:nsid w:val="79155B24"/>
    <w:multiLevelType w:val="multilevel"/>
    <w:tmpl w:val="79155B2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9D6F91D"/>
    <w:multiLevelType w:val="multilevel"/>
    <w:tmpl w:val="79D6F9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74D8C5"/>
    <w:multiLevelType w:val="multilevel"/>
    <w:tmpl w:val="7A74D8C5"/>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3"/>
  </w:num>
  <w:num w:numId="3">
    <w:abstractNumId w:val="9"/>
  </w:num>
  <w:num w:numId="4">
    <w:abstractNumId w:val="0"/>
  </w:num>
  <w:num w:numId="5">
    <w:abstractNumId w:val="8"/>
  </w:num>
  <w:num w:numId="6">
    <w:abstractNumId w:val="6"/>
  </w:num>
  <w:num w:numId="7">
    <w:abstractNumId w:val="12"/>
  </w:num>
  <w:num w:numId="8">
    <w:abstractNumId w:val="4"/>
  </w:num>
  <w:num w:numId="9">
    <w:abstractNumId w:val="11"/>
  </w:num>
  <w:num w:numId="10">
    <w:abstractNumId w:val="7"/>
  </w:num>
  <w:num w:numId="11">
    <w:abstractNumId w:val="14"/>
  </w:num>
  <w:num w:numId="12">
    <w:abstractNumId w:val="3"/>
  </w:num>
  <w:num w:numId="13">
    <w:abstractNumId w:val="10"/>
  </w:num>
  <w:num w:numId="14">
    <w:abstractNumId w:val="15"/>
  </w:num>
  <w:num w:numId="15">
    <w:abstractNumId w:val="5"/>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jOTRjOWMzMTM2YTA0OWJlZDMxYmQ1YzExZDY3ZmYifQ=="/>
  </w:docVars>
  <w:rsids>
    <w:rsidRoot w:val="005D618A"/>
    <w:rsid w:val="00000D3C"/>
    <w:rsid w:val="000021B7"/>
    <w:rsid w:val="00003B2E"/>
    <w:rsid w:val="00005AA3"/>
    <w:rsid w:val="00005B86"/>
    <w:rsid w:val="00005C75"/>
    <w:rsid w:val="00010F21"/>
    <w:rsid w:val="00012082"/>
    <w:rsid w:val="000125AE"/>
    <w:rsid w:val="00013CC6"/>
    <w:rsid w:val="00021AA7"/>
    <w:rsid w:val="00022766"/>
    <w:rsid w:val="000240AA"/>
    <w:rsid w:val="000269A9"/>
    <w:rsid w:val="00026D8D"/>
    <w:rsid w:val="000278EA"/>
    <w:rsid w:val="00030346"/>
    <w:rsid w:val="00030817"/>
    <w:rsid w:val="00031F2A"/>
    <w:rsid w:val="00032FD4"/>
    <w:rsid w:val="000338AC"/>
    <w:rsid w:val="00037889"/>
    <w:rsid w:val="000378FD"/>
    <w:rsid w:val="00040130"/>
    <w:rsid w:val="0004094D"/>
    <w:rsid w:val="00042674"/>
    <w:rsid w:val="000430B6"/>
    <w:rsid w:val="00043135"/>
    <w:rsid w:val="0004396A"/>
    <w:rsid w:val="00045A9C"/>
    <w:rsid w:val="000526B1"/>
    <w:rsid w:val="00057213"/>
    <w:rsid w:val="0006049A"/>
    <w:rsid w:val="000610D0"/>
    <w:rsid w:val="000616C6"/>
    <w:rsid w:val="00063095"/>
    <w:rsid w:val="00063253"/>
    <w:rsid w:val="00063BEB"/>
    <w:rsid w:val="000707DD"/>
    <w:rsid w:val="00073918"/>
    <w:rsid w:val="00073FE2"/>
    <w:rsid w:val="000749FE"/>
    <w:rsid w:val="00077716"/>
    <w:rsid w:val="00077F2E"/>
    <w:rsid w:val="000814B7"/>
    <w:rsid w:val="00081CAD"/>
    <w:rsid w:val="000838EC"/>
    <w:rsid w:val="00084AB7"/>
    <w:rsid w:val="000855BA"/>
    <w:rsid w:val="0008754E"/>
    <w:rsid w:val="00087FCF"/>
    <w:rsid w:val="00091BE7"/>
    <w:rsid w:val="0009437F"/>
    <w:rsid w:val="0009650B"/>
    <w:rsid w:val="000967A1"/>
    <w:rsid w:val="000A07F4"/>
    <w:rsid w:val="000A0D11"/>
    <w:rsid w:val="000A0F2A"/>
    <w:rsid w:val="000A2460"/>
    <w:rsid w:val="000A2DBD"/>
    <w:rsid w:val="000A5DFF"/>
    <w:rsid w:val="000A7051"/>
    <w:rsid w:val="000B0395"/>
    <w:rsid w:val="000B1C4E"/>
    <w:rsid w:val="000B2E31"/>
    <w:rsid w:val="000B3D44"/>
    <w:rsid w:val="000B53E0"/>
    <w:rsid w:val="000B5808"/>
    <w:rsid w:val="000B69BE"/>
    <w:rsid w:val="000C2512"/>
    <w:rsid w:val="000C398F"/>
    <w:rsid w:val="000C5996"/>
    <w:rsid w:val="000D0ABD"/>
    <w:rsid w:val="000D298D"/>
    <w:rsid w:val="000D5AB5"/>
    <w:rsid w:val="000D700A"/>
    <w:rsid w:val="000E0E97"/>
    <w:rsid w:val="000E3B61"/>
    <w:rsid w:val="000E4AD7"/>
    <w:rsid w:val="000F11FC"/>
    <w:rsid w:val="000F1BF9"/>
    <w:rsid w:val="000F28FE"/>
    <w:rsid w:val="000F36E1"/>
    <w:rsid w:val="000F45CC"/>
    <w:rsid w:val="000F7995"/>
    <w:rsid w:val="00106F54"/>
    <w:rsid w:val="00107585"/>
    <w:rsid w:val="001137CB"/>
    <w:rsid w:val="00115AEA"/>
    <w:rsid w:val="00115CFE"/>
    <w:rsid w:val="0012228B"/>
    <w:rsid w:val="001242CF"/>
    <w:rsid w:val="00126744"/>
    <w:rsid w:val="001364B6"/>
    <w:rsid w:val="0013741A"/>
    <w:rsid w:val="001415FF"/>
    <w:rsid w:val="00143B4A"/>
    <w:rsid w:val="0014624E"/>
    <w:rsid w:val="00147A53"/>
    <w:rsid w:val="00151CFD"/>
    <w:rsid w:val="00153DB9"/>
    <w:rsid w:val="00153F49"/>
    <w:rsid w:val="0015587B"/>
    <w:rsid w:val="0015680F"/>
    <w:rsid w:val="00156C7F"/>
    <w:rsid w:val="001601EB"/>
    <w:rsid w:val="001605DC"/>
    <w:rsid w:val="00161DCE"/>
    <w:rsid w:val="00162403"/>
    <w:rsid w:val="00164D3F"/>
    <w:rsid w:val="00164ECC"/>
    <w:rsid w:val="00165B6F"/>
    <w:rsid w:val="0016701A"/>
    <w:rsid w:val="00170C76"/>
    <w:rsid w:val="0017146F"/>
    <w:rsid w:val="00172941"/>
    <w:rsid w:val="00172A5B"/>
    <w:rsid w:val="001737FD"/>
    <w:rsid w:val="001739D7"/>
    <w:rsid w:val="00174BD0"/>
    <w:rsid w:val="00176423"/>
    <w:rsid w:val="00180502"/>
    <w:rsid w:val="00181155"/>
    <w:rsid w:val="0018158A"/>
    <w:rsid w:val="00181EFF"/>
    <w:rsid w:val="00182E90"/>
    <w:rsid w:val="00182F01"/>
    <w:rsid w:val="00184C72"/>
    <w:rsid w:val="00185E40"/>
    <w:rsid w:val="0019067B"/>
    <w:rsid w:val="0019118D"/>
    <w:rsid w:val="0019145D"/>
    <w:rsid w:val="00191C08"/>
    <w:rsid w:val="00192AB9"/>
    <w:rsid w:val="00193B89"/>
    <w:rsid w:val="0019406D"/>
    <w:rsid w:val="00195699"/>
    <w:rsid w:val="00196385"/>
    <w:rsid w:val="001973C2"/>
    <w:rsid w:val="001A1320"/>
    <w:rsid w:val="001A1FAB"/>
    <w:rsid w:val="001A2C44"/>
    <w:rsid w:val="001A3616"/>
    <w:rsid w:val="001A5435"/>
    <w:rsid w:val="001A59D3"/>
    <w:rsid w:val="001B09CA"/>
    <w:rsid w:val="001B1592"/>
    <w:rsid w:val="001B20B1"/>
    <w:rsid w:val="001C2752"/>
    <w:rsid w:val="001C458B"/>
    <w:rsid w:val="001C5977"/>
    <w:rsid w:val="001C62CE"/>
    <w:rsid w:val="001C6984"/>
    <w:rsid w:val="001D2367"/>
    <w:rsid w:val="001D3916"/>
    <w:rsid w:val="001D4CCF"/>
    <w:rsid w:val="001D5042"/>
    <w:rsid w:val="001D5207"/>
    <w:rsid w:val="001D6350"/>
    <w:rsid w:val="001D63FC"/>
    <w:rsid w:val="001D7BE3"/>
    <w:rsid w:val="001E0D56"/>
    <w:rsid w:val="001E1C96"/>
    <w:rsid w:val="001E4064"/>
    <w:rsid w:val="001E4163"/>
    <w:rsid w:val="001E4E84"/>
    <w:rsid w:val="001E527B"/>
    <w:rsid w:val="001E581B"/>
    <w:rsid w:val="001E5B81"/>
    <w:rsid w:val="001E61D8"/>
    <w:rsid w:val="001F0111"/>
    <w:rsid w:val="001F222C"/>
    <w:rsid w:val="001F7428"/>
    <w:rsid w:val="001F79E1"/>
    <w:rsid w:val="002028DF"/>
    <w:rsid w:val="00202C5C"/>
    <w:rsid w:val="00204194"/>
    <w:rsid w:val="002060A6"/>
    <w:rsid w:val="002069E3"/>
    <w:rsid w:val="002121A6"/>
    <w:rsid w:val="00214750"/>
    <w:rsid w:val="002158DA"/>
    <w:rsid w:val="00215F68"/>
    <w:rsid w:val="0021710B"/>
    <w:rsid w:val="00220923"/>
    <w:rsid w:val="00222417"/>
    <w:rsid w:val="00222667"/>
    <w:rsid w:val="00224DBE"/>
    <w:rsid w:val="0022683D"/>
    <w:rsid w:val="00234320"/>
    <w:rsid w:val="00240A64"/>
    <w:rsid w:val="00242AAD"/>
    <w:rsid w:val="00245B65"/>
    <w:rsid w:val="00245FBA"/>
    <w:rsid w:val="002471DE"/>
    <w:rsid w:val="00247556"/>
    <w:rsid w:val="002478D5"/>
    <w:rsid w:val="00253289"/>
    <w:rsid w:val="00253BA6"/>
    <w:rsid w:val="002552C2"/>
    <w:rsid w:val="00261D24"/>
    <w:rsid w:val="002627F3"/>
    <w:rsid w:val="00263837"/>
    <w:rsid w:val="00263FD5"/>
    <w:rsid w:val="00264417"/>
    <w:rsid w:val="0026790D"/>
    <w:rsid w:val="00270803"/>
    <w:rsid w:val="00273205"/>
    <w:rsid w:val="002749BC"/>
    <w:rsid w:val="00276B91"/>
    <w:rsid w:val="00276D7D"/>
    <w:rsid w:val="002778BF"/>
    <w:rsid w:val="00281F01"/>
    <w:rsid w:val="00282D82"/>
    <w:rsid w:val="002931CB"/>
    <w:rsid w:val="002931F8"/>
    <w:rsid w:val="002952EA"/>
    <w:rsid w:val="002A0DED"/>
    <w:rsid w:val="002A267F"/>
    <w:rsid w:val="002A443C"/>
    <w:rsid w:val="002A4717"/>
    <w:rsid w:val="002A48DA"/>
    <w:rsid w:val="002A4991"/>
    <w:rsid w:val="002A4F7B"/>
    <w:rsid w:val="002A6296"/>
    <w:rsid w:val="002A6E76"/>
    <w:rsid w:val="002A7804"/>
    <w:rsid w:val="002B0D41"/>
    <w:rsid w:val="002B3E91"/>
    <w:rsid w:val="002B58F1"/>
    <w:rsid w:val="002B5A9B"/>
    <w:rsid w:val="002B6A62"/>
    <w:rsid w:val="002B73DA"/>
    <w:rsid w:val="002B7BF1"/>
    <w:rsid w:val="002B7D5E"/>
    <w:rsid w:val="002C12CD"/>
    <w:rsid w:val="002C1D6A"/>
    <w:rsid w:val="002C21F8"/>
    <w:rsid w:val="002C31D0"/>
    <w:rsid w:val="002C3778"/>
    <w:rsid w:val="002C4B91"/>
    <w:rsid w:val="002C5381"/>
    <w:rsid w:val="002C6053"/>
    <w:rsid w:val="002C7CE8"/>
    <w:rsid w:val="002D171C"/>
    <w:rsid w:val="002D1C19"/>
    <w:rsid w:val="002D290E"/>
    <w:rsid w:val="002D2938"/>
    <w:rsid w:val="002D293D"/>
    <w:rsid w:val="002D2F4E"/>
    <w:rsid w:val="002D794B"/>
    <w:rsid w:val="002E0D39"/>
    <w:rsid w:val="002E2FE2"/>
    <w:rsid w:val="002E40F4"/>
    <w:rsid w:val="002E4579"/>
    <w:rsid w:val="002E59AA"/>
    <w:rsid w:val="002E7A9C"/>
    <w:rsid w:val="002E7C9C"/>
    <w:rsid w:val="002E7D16"/>
    <w:rsid w:val="002F1334"/>
    <w:rsid w:val="002F25D9"/>
    <w:rsid w:val="002F313F"/>
    <w:rsid w:val="002F360F"/>
    <w:rsid w:val="002F5668"/>
    <w:rsid w:val="002F7607"/>
    <w:rsid w:val="00300187"/>
    <w:rsid w:val="00301545"/>
    <w:rsid w:val="00303547"/>
    <w:rsid w:val="00307936"/>
    <w:rsid w:val="0031281F"/>
    <w:rsid w:val="003139FA"/>
    <w:rsid w:val="003146F9"/>
    <w:rsid w:val="00315642"/>
    <w:rsid w:val="00316648"/>
    <w:rsid w:val="00316896"/>
    <w:rsid w:val="00322CEE"/>
    <w:rsid w:val="00327D02"/>
    <w:rsid w:val="003311DC"/>
    <w:rsid w:val="0033415C"/>
    <w:rsid w:val="003343C2"/>
    <w:rsid w:val="00335F84"/>
    <w:rsid w:val="00341027"/>
    <w:rsid w:val="003432E1"/>
    <w:rsid w:val="00343502"/>
    <w:rsid w:val="00343F77"/>
    <w:rsid w:val="00346D3E"/>
    <w:rsid w:val="00347558"/>
    <w:rsid w:val="003477A9"/>
    <w:rsid w:val="00351769"/>
    <w:rsid w:val="00352B24"/>
    <w:rsid w:val="003533CE"/>
    <w:rsid w:val="00354D1C"/>
    <w:rsid w:val="00357489"/>
    <w:rsid w:val="003607A3"/>
    <w:rsid w:val="00361615"/>
    <w:rsid w:val="00361FEE"/>
    <w:rsid w:val="0036227A"/>
    <w:rsid w:val="0036308F"/>
    <w:rsid w:val="00363C95"/>
    <w:rsid w:val="00365381"/>
    <w:rsid w:val="00367697"/>
    <w:rsid w:val="00370B4E"/>
    <w:rsid w:val="00372D14"/>
    <w:rsid w:val="003761A0"/>
    <w:rsid w:val="00376A81"/>
    <w:rsid w:val="00376D9D"/>
    <w:rsid w:val="003772C2"/>
    <w:rsid w:val="00382332"/>
    <w:rsid w:val="00383F51"/>
    <w:rsid w:val="00385509"/>
    <w:rsid w:val="00385B37"/>
    <w:rsid w:val="00387AB7"/>
    <w:rsid w:val="00387E0B"/>
    <w:rsid w:val="0039303B"/>
    <w:rsid w:val="0039368A"/>
    <w:rsid w:val="00393C9B"/>
    <w:rsid w:val="00396D2B"/>
    <w:rsid w:val="00396FF9"/>
    <w:rsid w:val="003A398A"/>
    <w:rsid w:val="003A42F0"/>
    <w:rsid w:val="003A43FE"/>
    <w:rsid w:val="003A4EA7"/>
    <w:rsid w:val="003B0686"/>
    <w:rsid w:val="003B077D"/>
    <w:rsid w:val="003B0A1A"/>
    <w:rsid w:val="003B0DD0"/>
    <w:rsid w:val="003B211A"/>
    <w:rsid w:val="003B3062"/>
    <w:rsid w:val="003B4262"/>
    <w:rsid w:val="003B70D1"/>
    <w:rsid w:val="003B7AC0"/>
    <w:rsid w:val="003C265E"/>
    <w:rsid w:val="003C3129"/>
    <w:rsid w:val="003C37D8"/>
    <w:rsid w:val="003C38BE"/>
    <w:rsid w:val="003C7312"/>
    <w:rsid w:val="003C7814"/>
    <w:rsid w:val="003C7A65"/>
    <w:rsid w:val="003D17C3"/>
    <w:rsid w:val="003D27B1"/>
    <w:rsid w:val="003D2928"/>
    <w:rsid w:val="003D5DC2"/>
    <w:rsid w:val="003D60BA"/>
    <w:rsid w:val="003D7241"/>
    <w:rsid w:val="003D7533"/>
    <w:rsid w:val="003E0F41"/>
    <w:rsid w:val="003E155C"/>
    <w:rsid w:val="003E22DA"/>
    <w:rsid w:val="003E2F70"/>
    <w:rsid w:val="003E5734"/>
    <w:rsid w:val="003F3CC1"/>
    <w:rsid w:val="003F4DB6"/>
    <w:rsid w:val="003F566A"/>
    <w:rsid w:val="004021D2"/>
    <w:rsid w:val="004031F2"/>
    <w:rsid w:val="00404082"/>
    <w:rsid w:val="00405858"/>
    <w:rsid w:val="004065DB"/>
    <w:rsid w:val="0040770E"/>
    <w:rsid w:val="00407B62"/>
    <w:rsid w:val="00407D5D"/>
    <w:rsid w:val="004110AB"/>
    <w:rsid w:val="00411689"/>
    <w:rsid w:val="004126AC"/>
    <w:rsid w:val="00413D30"/>
    <w:rsid w:val="00417621"/>
    <w:rsid w:val="00417730"/>
    <w:rsid w:val="00420919"/>
    <w:rsid w:val="0042459E"/>
    <w:rsid w:val="0042460D"/>
    <w:rsid w:val="0042732D"/>
    <w:rsid w:val="00431394"/>
    <w:rsid w:val="00435790"/>
    <w:rsid w:val="004441BE"/>
    <w:rsid w:val="00444B04"/>
    <w:rsid w:val="00450FD7"/>
    <w:rsid w:val="0045266F"/>
    <w:rsid w:val="00454B45"/>
    <w:rsid w:val="00461BE0"/>
    <w:rsid w:val="00464829"/>
    <w:rsid w:val="0046675D"/>
    <w:rsid w:val="004674D4"/>
    <w:rsid w:val="00467753"/>
    <w:rsid w:val="00470ED2"/>
    <w:rsid w:val="00471B22"/>
    <w:rsid w:val="004740A4"/>
    <w:rsid w:val="00477111"/>
    <w:rsid w:val="00477D00"/>
    <w:rsid w:val="00481FC5"/>
    <w:rsid w:val="00482D26"/>
    <w:rsid w:val="00482FB0"/>
    <w:rsid w:val="00486086"/>
    <w:rsid w:val="00492152"/>
    <w:rsid w:val="004924A4"/>
    <w:rsid w:val="004942E8"/>
    <w:rsid w:val="004943C2"/>
    <w:rsid w:val="00494C22"/>
    <w:rsid w:val="00496C25"/>
    <w:rsid w:val="00497944"/>
    <w:rsid w:val="004A0F38"/>
    <w:rsid w:val="004A18B2"/>
    <w:rsid w:val="004A5D8D"/>
    <w:rsid w:val="004B0550"/>
    <w:rsid w:val="004B18B4"/>
    <w:rsid w:val="004B3030"/>
    <w:rsid w:val="004B37D8"/>
    <w:rsid w:val="004B5282"/>
    <w:rsid w:val="004C299F"/>
    <w:rsid w:val="004C2A3D"/>
    <w:rsid w:val="004C2F81"/>
    <w:rsid w:val="004D04FD"/>
    <w:rsid w:val="004D0C12"/>
    <w:rsid w:val="004D1F30"/>
    <w:rsid w:val="004D3BB2"/>
    <w:rsid w:val="004D4552"/>
    <w:rsid w:val="004D4CE2"/>
    <w:rsid w:val="004E1F82"/>
    <w:rsid w:val="004E316E"/>
    <w:rsid w:val="004E538A"/>
    <w:rsid w:val="004E58CA"/>
    <w:rsid w:val="004E677D"/>
    <w:rsid w:val="004F2E55"/>
    <w:rsid w:val="004F3D05"/>
    <w:rsid w:val="004F3E26"/>
    <w:rsid w:val="004F62FA"/>
    <w:rsid w:val="00504149"/>
    <w:rsid w:val="00504B60"/>
    <w:rsid w:val="00504E85"/>
    <w:rsid w:val="00504FE8"/>
    <w:rsid w:val="00505466"/>
    <w:rsid w:val="005076E9"/>
    <w:rsid w:val="00511350"/>
    <w:rsid w:val="00511F2D"/>
    <w:rsid w:val="00513198"/>
    <w:rsid w:val="0051365B"/>
    <w:rsid w:val="005136F0"/>
    <w:rsid w:val="00513A43"/>
    <w:rsid w:val="005215F1"/>
    <w:rsid w:val="005264C9"/>
    <w:rsid w:val="00527A0C"/>
    <w:rsid w:val="00532BC2"/>
    <w:rsid w:val="00534459"/>
    <w:rsid w:val="0053520A"/>
    <w:rsid w:val="005372EC"/>
    <w:rsid w:val="005374EE"/>
    <w:rsid w:val="0054318C"/>
    <w:rsid w:val="005467E7"/>
    <w:rsid w:val="00547B43"/>
    <w:rsid w:val="005515CF"/>
    <w:rsid w:val="00551877"/>
    <w:rsid w:val="00557488"/>
    <w:rsid w:val="0056152A"/>
    <w:rsid w:val="00565B5E"/>
    <w:rsid w:val="00566916"/>
    <w:rsid w:val="005701A2"/>
    <w:rsid w:val="0057101A"/>
    <w:rsid w:val="00571AE3"/>
    <w:rsid w:val="0057743E"/>
    <w:rsid w:val="00582C4F"/>
    <w:rsid w:val="005852F6"/>
    <w:rsid w:val="00585804"/>
    <w:rsid w:val="00586968"/>
    <w:rsid w:val="00587E82"/>
    <w:rsid w:val="00594D8A"/>
    <w:rsid w:val="0059610F"/>
    <w:rsid w:val="005A0254"/>
    <w:rsid w:val="005A1E34"/>
    <w:rsid w:val="005A3762"/>
    <w:rsid w:val="005A38E6"/>
    <w:rsid w:val="005A6A64"/>
    <w:rsid w:val="005B338B"/>
    <w:rsid w:val="005B4BB1"/>
    <w:rsid w:val="005B5152"/>
    <w:rsid w:val="005B5C98"/>
    <w:rsid w:val="005C0AF0"/>
    <w:rsid w:val="005C2D24"/>
    <w:rsid w:val="005C5FA4"/>
    <w:rsid w:val="005C7C93"/>
    <w:rsid w:val="005C7D31"/>
    <w:rsid w:val="005D2DD5"/>
    <w:rsid w:val="005D38F4"/>
    <w:rsid w:val="005D41A2"/>
    <w:rsid w:val="005D59BB"/>
    <w:rsid w:val="005D618A"/>
    <w:rsid w:val="005E0869"/>
    <w:rsid w:val="005E0B5A"/>
    <w:rsid w:val="005E1EA9"/>
    <w:rsid w:val="005E635F"/>
    <w:rsid w:val="005F172D"/>
    <w:rsid w:val="005F4860"/>
    <w:rsid w:val="005F5D8C"/>
    <w:rsid w:val="005F615D"/>
    <w:rsid w:val="00602C69"/>
    <w:rsid w:val="006042C1"/>
    <w:rsid w:val="00606EC4"/>
    <w:rsid w:val="00611434"/>
    <w:rsid w:val="006141FB"/>
    <w:rsid w:val="0061472D"/>
    <w:rsid w:val="00615E4B"/>
    <w:rsid w:val="00617328"/>
    <w:rsid w:val="00617A1F"/>
    <w:rsid w:val="00620358"/>
    <w:rsid w:val="006225D0"/>
    <w:rsid w:val="006235D9"/>
    <w:rsid w:val="00623FC5"/>
    <w:rsid w:val="0062599E"/>
    <w:rsid w:val="0062677B"/>
    <w:rsid w:val="00626E6B"/>
    <w:rsid w:val="006278F8"/>
    <w:rsid w:val="006312B0"/>
    <w:rsid w:val="00631EFF"/>
    <w:rsid w:val="00640002"/>
    <w:rsid w:val="0064282D"/>
    <w:rsid w:val="00642AD0"/>
    <w:rsid w:val="00651807"/>
    <w:rsid w:val="00651AC8"/>
    <w:rsid w:val="0065407A"/>
    <w:rsid w:val="00656AE9"/>
    <w:rsid w:val="006621E3"/>
    <w:rsid w:val="00663D09"/>
    <w:rsid w:val="00664D58"/>
    <w:rsid w:val="00674E2F"/>
    <w:rsid w:val="006810B3"/>
    <w:rsid w:val="00682C68"/>
    <w:rsid w:val="0068440D"/>
    <w:rsid w:val="00684C11"/>
    <w:rsid w:val="00686DFD"/>
    <w:rsid w:val="00687922"/>
    <w:rsid w:val="00687D0E"/>
    <w:rsid w:val="00690E71"/>
    <w:rsid w:val="00691027"/>
    <w:rsid w:val="00691B5D"/>
    <w:rsid w:val="00691F12"/>
    <w:rsid w:val="006939CD"/>
    <w:rsid w:val="00695BE7"/>
    <w:rsid w:val="006962FB"/>
    <w:rsid w:val="006A2F52"/>
    <w:rsid w:val="006A6088"/>
    <w:rsid w:val="006A7EA0"/>
    <w:rsid w:val="006B2D7C"/>
    <w:rsid w:val="006B3FE3"/>
    <w:rsid w:val="006B6089"/>
    <w:rsid w:val="006C3240"/>
    <w:rsid w:val="006C7714"/>
    <w:rsid w:val="006D0BEA"/>
    <w:rsid w:val="006D24FE"/>
    <w:rsid w:val="006D2E32"/>
    <w:rsid w:val="006D2E70"/>
    <w:rsid w:val="006D39F6"/>
    <w:rsid w:val="006D3BA4"/>
    <w:rsid w:val="006D51ED"/>
    <w:rsid w:val="006D76E2"/>
    <w:rsid w:val="006E08B6"/>
    <w:rsid w:val="006E2359"/>
    <w:rsid w:val="006E3A7F"/>
    <w:rsid w:val="006E3F8B"/>
    <w:rsid w:val="006E4126"/>
    <w:rsid w:val="006E44F1"/>
    <w:rsid w:val="006E4D5D"/>
    <w:rsid w:val="006E5EAA"/>
    <w:rsid w:val="006E611D"/>
    <w:rsid w:val="006F00E6"/>
    <w:rsid w:val="006F1502"/>
    <w:rsid w:val="006F19A2"/>
    <w:rsid w:val="006F2458"/>
    <w:rsid w:val="006F4AA5"/>
    <w:rsid w:val="006F6A0E"/>
    <w:rsid w:val="006F715D"/>
    <w:rsid w:val="007002FF"/>
    <w:rsid w:val="0071205E"/>
    <w:rsid w:val="00712F7D"/>
    <w:rsid w:val="0071479E"/>
    <w:rsid w:val="007150F0"/>
    <w:rsid w:val="007161FC"/>
    <w:rsid w:val="00717077"/>
    <w:rsid w:val="00720C35"/>
    <w:rsid w:val="00722F13"/>
    <w:rsid w:val="00727039"/>
    <w:rsid w:val="00727B0F"/>
    <w:rsid w:val="00730101"/>
    <w:rsid w:val="007308E6"/>
    <w:rsid w:val="00734402"/>
    <w:rsid w:val="007352A4"/>
    <w:rsid w:val="00735686"/>
    <w:rsid w:val="007379A2"/>
    <w:rsid w:val="00741838"/>
    <w:rsid w:val="00743635"/>
    <w:rsid w:val="00744316"/>
    <w:rsid w:val="00745416"/>
    <w:rsid w:val="007471BE"/>
    <w:rsid w:val="00747959"/>
    <w:rsid w:val="0075514E"/>
    <w:rsid w:val="00756885"/>
    <w:rsid w:val="007568D0"/>
    <w:rsid w:val="007576DB"/>
    <w:rsid w:val="00761659"/>
    <w:rsid w:val="007637ED"/>
    <w:rsid w:val="00764751"/>
    <w:rsid w:val="007647BE"/>
    <w:rsid w:val="00767145"/>
    <w:rsid w:val="00767A2A"/>
    <w:rsid w:val="00771A38"/>
    <w:rsid w:val="00772B97"/>
    <w:rsid w:val="007738CF"/>
    <w:rsid w:val="00774BA8"/>
    <w:rsid w:val="00776513"/>
    <w:rsid w:val="00781660"/>
    <w:rsid w:val="00781B7B"/>
    <w:rsid w:val="00783094"/>
    <w:rsid w:val="00784F9C"/>
    <w:rsid w:val="0079138F"/>
    <w:rsid w:val="00792D91"/>
    <w:rsid w:val="00796139"/>
    <w:rsid w:val="00797ED2"/>
    <w:rsid w:val="007A16EB"/>
    <w:rsid w:val="007A2793"/>
    <w:rsid w:val="007A6239"/>
    <w:rsid w:val="007B04F7"/>
    <w:rsid w:val="007B054A"/>
    <w:rsid w:val="007B33FA"/>
    <w:rsid w:val="007B33FB"/>
    <w:rsid w:val="007B4FA6"/>
    <w:rsid w:val="007B6142"/>
    <w:rsid w:val="007C1A6B"/>
    <w:rsid w:val="007C3E11"/>
    <w:rsid w:val="007C4F9A"/>
    <w:rsid w:val="007C5AA7"/>
    <w:rsid w:val="007C5F4C"/>
    <w:rsid w:val="007D2D2B"/>
    <w:rsid w:val="007D307F"/>
    <w:rsid w:val="007D382B"/>
    <w:rsid w:val="007D59D8"/>
    <w:rsid w:val="007D6F60"/>
    <w:rsid w:val="007F4E03"/>
    <w:rsid w:val="007F58C3"/>
    <w:rsid w:val="007F5F36"/>
    <w:rsid w:val="007F6D5A"/>
    <w:rsid w:val="007F7420"/>
    <w:rsid w:val="007F7BC2"/>
    <w:rsid w:val="007F7DBE"/>
    <w:rsid w:val="0080411D"/>
    <w:rsid w:val="0081417E"/>
    <w:rsid w:val="008146CD"/>
    <w:rsid w:val="00816C15"/>
    <w:rsid w:val="0082436C"/>
    <w:rsid w:val="008278F7"/>
    <w:rsid w:val="00830A8E"/>
    <w:rsid w:val="00833C5F"/>
    <w:rsid w:val="008350CE"/>
    <w:rsid w:val="0083589E"/>
    <w:rsid w:val="00835DA3"/>
    <w:rsid w:val="008370C0"/>
    <w:rsid w:val="00837A4D"/>
    <w:rsid w:val="00841800"/>
    <w:rsid w:val="008424B9"/>
    <w:rsid w:val="00843C3C"/>
    <w:rsid w:val="008443FE"/>
    <w:rsid w:val="008457C7"/>
    <w:rsid w:val="008461DB"/>
    <w:rsid w:val="00846C87"/>
    <w:rsid w:val="0085012D"/>
    <w:rsid w:val="00850BA1"/>
    <w:rsid w:val="008521AF"/>
    <w:rsid w:val="008533C5"/>
    <w:rsid w:val="00855885"/>
    <w:rsid w:val="0085665D"/>
    <w:rsid w:val="0086174F"/>
    <w:rsid w:val="0086182A"/>
    <w:rsid w:val="00863475"/>
    <w:rsid w:val="00864C30"/>
    <w:rsid w:val="008654DB"/>
    <w:rsid w:val="00865EE2"/>
    <w:rsid w:val="008676D8"/>
    <w:rsid w:val="00867760"/>
    <w:rsid w:val="00870EBA"/>
    <w:rsid w:val="00871E78"/>
    <w:rsid w:val="00872823"/>
    <w:rsid w:val="00874138"/>
    <w:rsid w:val="00874D33"/>
    <w:rsid w:val="00880268"/>
    <w:rsid w:val="00883C5A"/>
    <w:rsid w:val="00890F8E"/>
    <w:rsid w:val="00891E21"/>
    <w:rsid w:val="00893992"/>
    <w:rsid w:val="008968F6"/>
    <w:rsid w:val="00897A72"/>
    <w:rsid w:val="008A4519"/>
    <w:rsid w:val="008A510F"/>
    <w:rsid w:val="008B06E6"/>
    <w:rsid w:val="008B4005"/>
    <w:rsid w:val="008B4CC4"/>
    <w:rsid w:val="008B55C6"/>
    <w:rsid w:val="008C0289"/>
    <w:rsid w:val="008C11EF"/>
    <w:rsid w:val="008C158D"/>
    <w:rsid w:val="008C247E"/>
    <w:rsid w:val="008C3B67"/>
    <w:rsid w:val="008C4D39"/>
    <w:rsid w:val="008C6333"/>
    <w:rsid w:val="008C70C0"/>
    <w:rsid w:val="008D00DD"/>
    <w:rsid w:val="008D0302"/>
    <w:rsid w:val="008D03F8"/>
    <w:rsid w:val="008D0BE7"/>
    <w:rsid w:val="008D1D22"/>
    <w:rsid w:val="008D2500"/>
    <w:rsid w:val="008D6132"/>
    <w:rsid w:val="008E2B3D"/>
    <w:rsid w:val="008E35F5"/>
    <w:rsid w:val="008F0E33"/>
    <w:rsid w:val="008F1B82"/>
    <w:rsid w:val="008F25B4"/>
    <w:rsid w:val="008F2A1D"/>
    <w:rsid w:val="008F3647"/>
    <w:rsid w:val="008F36AF"/>
    <w:rsid w:val="008F4715"/>
    <w:rsid w:val="008F7216"/>
    <w:rsid w:val="008F74BF"/>
    <w:rsid w:val="0090421F"/>
    <w:rsid w:val="0091017D"/>
    <w:rsid w:val="00911ECD"/>
    <w:rsid w:val="009120B5"/>
    <w:rsid w:val="00912C74"/>
    <w:rsid w:val="00914291"/>
    <w:rsid w:val="00916B91"/>
    <w:rsid w:val="00916BD0"/>
    <w:rsid w:val="00917084"/>
    <w:rsid w:val="00921EEF"/>
    <w:rsid w:val="00922C51"/>
    <w:rsid w:val="009231F5"/>
    <w:rsid w:val="00923EAA"/>
    <w:rsid w:val="00924DA8"/>
    <w:rsid w:val="00927AD4"/>
    <w:rsid w:val="00931D4D"/>
    <w:rsid w:val="0093418D"/>
    <w:rsid w:val="00935228"/>
    <w:rsid w:val="009425AB"/>
    <w:rsid w:val="00943505"/>
    <w:rsid w:val="00943894"/>
    <w:rsid w:val="00943BA4"/>
    <w:rsid w:val="00943D5A"/>
    <w:rsid w:val="00943D94"/>
    <w:rsid w:val="00944C10"/>
    <w:rsid w:val="00944DCC"/>
    <w:rsid w:val="00946C84"/>
    <w:rsid w:val="009547A6"/>
    <w:rsid w:val="0095612C"/>
    <w:rsid w:val="0095687C"/>
    <w:rsid w:val="009600FA"/>
    <w:rsid w:val="00960290"/>
    <w:rsid w:val="00966307"/>
    <w:rsid w:val="0096758F"/>
    <w:rsid w:val="00967C14"/>
    <w:rsid w:val="009707AB"/>
    <w:rsid w:val="00985918"/>
    <w:rsid w:val="00987C3A"/>
    <w:rsid w:val="00991DB2"/>
    <w:rsid w:val="00993978"/>
    <w:rsid w:val="0099603E"/>
    <w:rsid w:val="00996C4D"/>
    <w:rsid w:val="009A0A87"/>
    <w:rsid w:val="009A32B1"/>
    <w:rsid w:val="009A3C8D"/>
    <w:rsid w:val="009A47C6"/>
    <w:rsid w:val="009B25FC"/>
    <w:rsid w:val="009B29AA"/>
    <w:rsid w:val="009B5153"/>
    <w:rsid w:val="009B5945"/>
    <w:rsid w:val="009C0B0A"/>
    <w:rsid w:val="009C20A2"/>
    <w:rsid w:val="009C33EA"/>
    <w:rsid w:val="009C4881"/>
    <w:rsid w:val="009C4BCD"/>
    <w:rsid w:val="009C64FD"/>
    <w:rsid w:val="009C693F"/>
    <w:rsid w:val="009C6FDF"/>
    <w:rsid w:val="009C7D13"/>
    <w:rsid w:val="009D226A"/>
    <w:rsid w:val="009D4E1A"/>
    <w:rsid w:val="009E0A68"/>
    <w:rsid w:val="009E3089"/>
    <w:rsid w:val="009E506D"/>
    <w:rsid w:val="009E5CAE"/>
    <w:rsid w:val="009E6C2F"/>
    <w:rsid w:val="00A0122F"/>
    <w:rsid w:val="00A01A2D"/>
    <w:rsid w:val="00A02E46"/>
    <w:rsid w:val="00A02EA8"/>
    <w:rsid w:val="00A033BB"/>
    <w:rsid w:val="00A03C7C"/>
    <w:rsid w:val="00A041D3"/>
    <w:rsid w:val="00A042E0"/>
    <w:rsid w:val="00A049F2"/>
    <w:rsid w:val="00A16B12"/>
    <w:rsid w:val="00A2153D"/>
    <w:rsid w:val="00A2301E"/>
    <w:rsid w:val="00A2323A"/>
    <w:rsid w:val="00A246AE"/>
    <w:rsid w:val="00A25C84"/>
    <w:rsid w:val="00A26F14"/>
    <w:rsid w:val="00A3166D"/>
    <w:rsid w:val="00A345C4"/>
    <w:rsid w:val="00A36740"/>
    <w:rsid w:val="00A41DA9"/>
    <w:rsid w:val="00A42C6E"/>
    <w:rsid w:val="00A43F22"/>
    <w:rsid w:val="00A44D9C"/>
    <w:rsid w:val="00A51A6F"/>
    <w:rsid w:val="00A55407"/>
    <w:rsid w:val="00A556C1"/>
    <w:rsid w:val="00A56364"/>
    <w:rsid w:val="00A577CE"/>
    <w:rsid w:val="00A64EE9"/>
    <w:rsid w:val="00A66897"/>
    <w:rsid w:val="00A718F1"/>
    <w:rsid w:val="00A72ED6"/>
    <w:rsid w:val="00A7414C"/>
    <w:rsid w:val="00A76AC1"/>
    <w:rsid w:val="00A81F4E"/>
    <w:rsid w:val="00A8328F"/>
    <w:rsid w:val="00A83B4C"/>
    <w:rsid w:val="00A854B5"/>
    <w:rsid w:val="00A85A04"/>
    <w:rsid w:val="00A92CD9"/>
    <w:rsid w:val="00A95E8A"/>
    <w:rsid w:val="00A97C54"/>
    <w:rsid w:val="00AA005B"/>
    <w:rsid w:val="00AA02EF"/>
    <w:rsid w:val="00AA073C"/>
    <w:rsid w:val="00AA1DB0"/>
    <w:rsid w:val="00AA2BB5"/>
    <w:rsid w:val="00AA76D2"/>
    <w:rsid w:val="00AC0C87"/>
    <w:rsid w:val="00AC1227"/>
    <w:rsid w:val="00AC2C6D"/>
    <w:rsid w:val="00AC49FC"/>
    <w:rsid w:val="00AC78FD"/>
    <w:rsid w:val="00AC7F66"/>
    <w:rsid w:val="00AE6E62"/>
    <w:rsid w:val="00AF0114"/>
    <w:rsid w:val="00AF1904"/>
    <w:rsid w:val="00AF1A76"/>
    <w:rsid w:val="00AF25F3"/>
    <w:rsid w:val="00AF4B34"/>
    <w:rsid w:val="00AF5E26"/>
    <w:rsid w:val="00AF7BA0"/>
    <w:rsid w:val="00B03CAD"/>
    <w:rsid w:val="00B05294"/>
    <w:rsid w:val="00B100ED"/>
    <w:rsid w:val="00B112EE"/>
    <w:rsid w:val="00B12575"/>
    <w:rsid w:val="00B15178"/>
    <w:rsid w:val="00B158C5"/>
    <w:rsid w:val="00B160A4"/>
    <w:rsid w:val="00B16B19"/>
    <w:rsid w:val="00B17E04"/>
    <w:rsid w:val="00B2057C"/>
    <w:rsid w:val="00B26BB1"/>
    <w:rsid w:val="00B26E21"/>
    <w:rsid w:val="00B3011F"/>
    <w:rsid w:val="00B3034A"/>
    <w:rsid w:val="00B31D31"/>
    <w:rsid w:val="00B31F87"/>
    <w:rsid w:val="00B3381F"/>
    <w:rsid w:val="00B46A8E"/>
    <w:rsid w:val="00B470A0"/>
    <w:rsid w:val="00B52671"/>
    <w:rsid w:val="00B52685"/>
    <w:rsid w:val="00B56521"/>
    <w:rsid w:val="00B56FD0"/>
    <w:rsid w:val="00B6180C"/>
    <w:rsid w:val="00B62D4A"/>
    <w:rsid w:val="00B667E6"/>
    <w:rsid w:val="00B67038"/>
    <w:rsid w:val="00B702C7"/>
    <w:rsid w:val="00B71BCA"/>
    <w:rsid w:val="00B73CE1"/>
    <w:rsid w:val="00B741D7"/>
    <w:rsid w:val="00B76DEE"/>
    <w:rsid w:val="00B8042C"/>
    <w:rsid w:val="00B831C1"/>
    <w:rsid w:val="00B85E4C"/>
    <w:rsid w:val="00B86DF7"/>
    <w:rsid w:val="00B90D17"/>
    <w:rsid w:val="00B97D9F"/>
    <w:rsid w:val="00BA4972"/>
    <w:rsid w:val="00BA7BC4"/>
    <w:rsid w:val="00BB2516"/>
    <w:rsid w:val="00BB355F"/>
    <w:rsid w:val="00BB45ED"/>
    <w:rsid w:val="00BB49DC"/>
    <w:rsid w:val="00BB6E77"/>
    <w:rsid w:val="00BC3D41"/>
    <w:rsid w:val="00BC5504"/>
    <w:rsid w:val="00BD0690"/>
    <w:rsid w:val="00BD0F92"/>
    <w:rsid w:val="00BD2248"/>
    <w:rsid w:val="00BD29C7"/>
    <w:rsid w:val="00BD3C9A"/>
    <w:rsid w:val="00BD5CD9"/>
    <w:rsid w:val="00BD6359"/>
    <w:rsid w:val="00BD640F"/>
    <w:rsid w:val="00BD7202"/>
    <w:rsid w:val="00BE0BCD"/>
    <w:rsid w:val="00BE0D3C"/>
    <w:rsid w:val="00BE226F"/>
    <w:rsid w:val="00BE2FE2"/>
    <w:rsid w:val="00BE4BD8"/>
    <w:rsid w:val="00BE5A8F"/>
    <w:rsid w:val="00BF0A8F"/>
    <w:rsid w:val="00C007B5"/>
    <w:rsid w:val="00C05BCE"/>
    <w:rsid w:val="00C07705"/>
    <w:rsid w:val="00C111D7"/>
    <w:rsid w:val="00C11526"/>
    <w:rsid w:val="00C14113"/>
    <w:rsid w:val="00C160D2"/>
    <w:rsid w:val="00C16C9D"/>
    <w:rsid w:val="00C204FC"/>
    <w:rsid w:val="00C21F73"/>
    <w:rsid w:val="00C22974"/>
    <w:rsid w:val="00C22BDF"/>
    <w:rsid w:val="00C235D6"/>
    <w:rsid w:val="00C254A6"/>
    <w:rsid w:val="00C26B40"/>
    <w:rsid w:val="00C3006E"/>
    <w:rsid w:val="00C30416"/>
    <w:rsid w:val="00C3094B"/>
    <w:rsid w:val="00C32BA7"/>
    <w:rsid w:val="00C3392C"/>
    <w:rsid w:val="00C36634"/>
    <w:rsid w:val="00C36986"/>
    <w:rsid w:val="00C37F9F"/>
    <w:rsid w:val="00C40BBC"/>
    <w:rsid w:val="00C42291"/>
    <w:rsid w:val="00C4253E"/>
    <w:rsid w:val="00C4463F"/>
    <w:rsid w:val="00C44E04"/>
    <w:rsid w:val="00C550F5"/>
    <w:rsid w:val="00C61479"/>
    <w:rsid w:val="00C625A5"/>
    <w:rsid w:val="00C660F2"/>
    <w:rsid w:val="00C7171B"/>
    <w:rsid w:val="00C723D2"/>
    <w:rsid w:val="00C7441B"/>
    <w:rsid w:val="00C76B01"/>
    <w:rsid w:val="00C77E1D"/>
    <w:rsid w:val="00C8086C"/>
    <w:rsid w:val="00C811F0"/>
    <w:rsid w:val="00C86D2E"/>
    <w:rsid w:val="00C87D35"/>
    <w:rsid w:val="00C87E55"/>
    <w:rsid w:val="00C90BE0"/>
    <w:rsid w:val="00C90F8D"/>
    <w:rsid w:val="00C91A49"/>
    <w:rsid w:val="00C92FA5"/>
    <w:rsid w:val="00C93EE9"/>
    <w:rsid w:val="00C9410C"/>
    <w:rsid w:val="00C94F18"/>
    <w:rsid w:val="00C969B4"/>
    <w:rsid w:val="00CA3C57"/>
    <w:rsid w:val="00CA49DB"/>
    <w:rsid w:val="00CB2931"/>
    <w:rsid w:val="00CB2D59"/>
    <w:rsid w:val="00CB3927"/>
    <w:rsid w:val="00CB395F"/>
    <w:rsid w:val="00CB4702"/>
    <w:rsid w:val="00CB7556"/>
    <w:rsid w:val="00CB7789"/>
    <w:rsid w:val="00CC0549"/>
    <w:rsid w:val="00CC0E96"/>
    <w:rsid w:val="00CC118C"/>
    <w:rsid w:val="00CC2396"/>
    <w:rsid w:val="00CC4445"/>
    <w:rsid w:val="00CC5DF5"/>
    <w:rsid w:val="00CC6233"/>
    <w:rsid w:val="00CC79F6"/>
    <w:rsid w:val="00CD3A1D"/>
    <w:rsid w:val="00CD6228"/>
    <w:rsid w:val="00CE18C7"/>
    <w:rsid w:val="00CE2245"/>
    <w:rsid w:val="00CE2DE9"/>
    <w:rsid w:val="00CE2E17"/>
    <w:rsid w:val="00CE473F"/>
    <w:rsid w:val="00CE4C08"/>
    <w:rsid w:val="00CE586B"/>
    <w:rsid w:val="00CE62CE"/>
    <w:rsid w:val="00CE79C9"/>
    <w:rsid w:val="00CF5E20"/>
    <w:rsid w:val="00D006DD"/>
    <w:rsid w:val="00D02BC7"/>
    <w:rsid w:val="00D05FFB"/>
    <w:rsid w:val="00D0624D"/>
    <w:rsid w:val="00D12665"/>
    <w:rsid w:val="00D15E0A"/>
    <w:rsid w:val="00D20B1F"/>
    <w:rsid w:val="00D22DAB"/>
    <w:rsid w:val="00D273BE"/>
    <w:rsid w:val="00D31B47"/>
    <w:rsid w:val="00D33AC9"/>
    <w:rsid w:val="00D40131"/>
    <w:rsid w:val="00D44CB2"/>
    <w:rsid w:val="00D4533C"/>
    <w:rsid w:val="00D46475"/>
    <w:rsid w:val="00D60006"/>
    <w:rsid w:val="00D66139"/>
    <w:rsid w:val="00D66562"/>
    <w:rsid w:val="00D66D02"/>
    <w:rsid w:val="00D67041"/>
    <w:rsid w:val="00D671F3"/>
    <w:rsid w:val="00D6720D"/>
    <w:rsid w:val="00D67D87"/>
    <w:rsid w:val="00D7161F"/>
    <w:rsid w:val="00D74E6B"/>
    <w:rsid w:val="00D761F6"/>
    <w:rsid w:val="00D77687"/>
    <w:rsid w:val="00D81A70"/>
    <w:rsid w:val="00D861D4"/>
    <w:rsid w:val="00D86E52"/>
    <w:rsid w:val="00D93F3C"/>
    <w:rsid w:val="00D94210"/>
    <w:rsid w:val="00D9574C"/>
    <w:rsid w:val="00D95ADD"/>
    <w:rsid w:val="00D96D5A"/>
    <w:rsid w:val="00D96EE0"/>
    <w:rsid w:val="00D97048"/>
    <w:rsid w:val="00D9755D"/>
    <w:rsid w:val="00DA0CA9"/>
    <w:rsid w:val="00DA2692"/>
    <w:rsid w:val="00DA3C3B"/>
    <w:rsid w:val="00DA3F10"/>
    <w:rsid w:val="00DA7DAB"/>
    <w:rsid w:val="00DA7F7A"/>
    <w:rsid w:val="00DB4057"/>
    <w:rsid w:val="00DC14D4"/>
    <w:rsid w:val="00DC2F67"/>
    <w:rsid w:val="00DC322D"/>
    <w:rsid w:val="00DC41DA"/>
    <w:rsid w:val="00DC43A2"/>
    <w:rsid w:val="00DC4483"/>
    <w:rsid w:val="00DC6430"/>
    <w:rsid w:val="00DD3E55"/>
    <w:rsid w:val="00DD4567"/>
    <w:rsid w:val="00DD503F"/>
    <w:rsid w:val="00DD66CE"/>
    <w:rsid w:val="00DE03FD"/>
    <w:rsid w:val="00DE2CD8"/>
    <w:rsid w:val="00DE4D3A"/>
    <w:rsid w:val="00DE637C"/>
    <w:rsid w:val="00DF0260"/>
    <w:rsid w:val="00DF0DC7"/>
    <w:rsid w:val="00DF125D"/>
    <w:rsid w:val="00E00800"/>
    <w:rsid w:val="00E0550C"/>
    <w:rsid w:val="00E066C3"/>
    <w:rsid w:val="00E13DD3"/>
    <w:rsid w:val="00E15632"/>
    <w:rsid w:val="00E16440"/>
    <w:rsid w:val="00E16CC7"/>
    <w:rsid w:val="00E22BD4"/>
    <w:rsid w:val="00E249A1"/>
    <w:rsid w:val="00E26C81"/>
    <w:rsid w:val="00E26D15"/>
    <w:rsid w:val="00E26FCC"/>
    <w:rsid w:val="00E304FC"/>
    <w:rsid w:val="00E30622"/>
    <w:rsid w:val="00E34D1A"/>
    <w:rsid w:val="00E41F6E"/>
    <w:rsid w:val="00E43671"/>
    <w:rsid w:val="00E45D2C"/>
    <w:rsid w:val="00E46461"/>
    <w:rsid w:val="00E474B3"/>
    <w:rsid w:val="00E537CA"/>
    <w:rsid w:val="00E53A53"/>
    <w:rsid w:val="00E53F2F"/>
    <w:rsid w:val="00E54F04"/>
    <w:rsid w:val="00E559D1"/>
    <w:rsid w:val="00E572F9"/>
    <w:rsid w:val="00E61B2C"/>
    <w:rsid w:val="00E63291"/>
    <w:rsid w:val="00E65757"/>
    <w:rsid w:val="00E660FA"/>
    <w:rsid w:val="00E6781C"/>
    <w:rsid w:val="00E7272D"/>
    <w:rsid w:val="00E72C3A"/>
    <w:rsid w:val="00E72C8D"/>
    <w:rsid w:val="00E75048"/>
    <w:rsid w:val="00E77B42"/>
    <w:rsid w:val="00E80DB2"/>
    <w:rsid w:val="00E81969"/>
    <w:rsid w:val="00E85DC5"/>
    <w:rsid w:val="00E86170"/>
    <w:rsid w:val="00E869B9"/>
    <w:rsid w:val="00E91651"/>
    <w:rsid w:val="00E9291B"/>
    <w:rsid w:val="00E9382C"/>
    <w:rsid w:val="00EA4A88"/>
    <w:rsid w:val="00EA7313"/>
    <w:rsid w:val="00EB1868"/>
    <w:rsid w:val="00EB2078"/>
    <w:rsid w:val="00EB328B"/>
    <w:rsid w:val="00EB3D87"/>
    <w:rsid w:val="00EC38D7"/>
    <w:rsid w:val="00EC3F03"/>
    <w:rsid w:val="00EC4071"/>
    <w:rsid w:val="00EC4AB1"/>
    <w:rsid w:val="00EC6237"/>
    <w:rsid w:val="00ED22BD"/>
    <w:rsid w:val="00ED25D6"/>
    <w:rsid w:val="00ED2D98"/>
    <w:rsid w:val="00ED37A7"/>
    <w:rsid w:val="00ED4316"/>
    <w:rsid w:val="00ED567A"/>
    <w:rsid w:val="00ED5E3D"/>
    <w:rsid w:val="00ED7E39"/>
    <w:rsid w:val="00EE0595"/>
    <w:rsid w:val="00EE45F4"/>
    <w:rsid w:val="00EE489E"/>
    <w:rsid w:val="00EE5C63"/>
    <w:rsid w:val="00EE6B9A"/>
    <w:rsid w:val="00EE6E17"/>
    <w:rsid w:val="00EE7E7F"/>
    <w:rsid w:val="00EF0693"/>
    <w:rsid w:val="00EF1172"/>
    <w:rsid w:val="00EF2560"/>
    <w:rsid w:val="00EF2FD9"/>
    <w:rsid w:val="00EF402C"/>
    <w:rsid w:val="00EF76A7"/>
    <w:rsid w:val="00EF7F00"/>
    <w:rsid w:val="00F00DC0"/>
    <w:rsid w:val="00F02407"/>
    <w:rsid w:val="00F037A2"/>
    <w:rsid w:val="00F04300"/>
    <w:rsid w:val="00F0707A"/>
    <w:rsid w:val="00F12397"/>
    <w:rsid w:val="00F12C85"/>
    <w:rsid w:val="00F14CB1"/>
    <w:rsid w:val="00F20570"/>
    <w:rsid w:val="00F21790"/>
    <w:rsid w:val="00F23E7F"/>
    <w:rsid w:val="00F25017"/>
    <w:rsid w:val="00F26E3D"/>
    <w:rsid w:val="00F27E75"/>
    <w:rsid w:val="00F30D37"/>
    <w:rsid w:val="00F32327"/>
    <w:rsid w:val="00F334D3"/>
    <w:rsid w:val="00F41934"/>
    <w:rsid w:val="00F440CC"/>
    <w:rsid w:val="00F5529B"/>
    <w:rsid w:val="00F61C54"/>
    <w:rsid w:val="00F620DC"/>
    <w:rsid w:val="00F632B1"/>
    <w:rsid w:val="00F648E6"/>
    <w:rsid w:val="00F64E1B"/>
    <w:rsid w:val="00F66746"/>
    <w:rsid w:val="00F67D31"/>
    <w:rsid w:val="00F71EEE"/>
    <w:rsid w:val="00F72928"/>
    <w:rsid w:val="00F75DAF"/>
    <w:rsid w:val="00F77041"/>
    <w:rsid w:val="00F80232"/>
    <w:rsid w:val="00F83B64"/>
    <w:rsid w:val="00F83E01"/>
    <w:rsid w:val="00F858DE"/>
    <w:rsid w:val="00F85CE9"/>
    <w:rsid w:val="00F86435"/>
    <w:rsid w:val="00F932C4"/>
    <w:rsid w:val="00FA3D8D"/>
    <w:rsid w:val="00FB067D"/>
    <w:rsid w:val="00FB1437"/>
    <w:rsid w:val="00FB22F0"/>
    <w:rsid w:val="00FB32AA"/>
    <w:rsid w:val="00FB5419"/>
    <w:rsid w:val="00FB7163"/>
    <w:rsid w:val="00FC21BD"/>
    <w:rsid w:val="00FC3580"/>
    <w:rsid w:val="00FC522E"/>
    <w:rsid w:val="00FD0222"/>
    <w:rsid w:val="00FD1983"/>
    <w:rsid w:val="00FD1A70"/>
    <w:rsid w:val="00FD1E29"/>
    <w:rsid w:val="00FD4320"/>
    <w:rsid w:val="00FD6880"/>
    <w:rsid w:val="00FD7E89"/>
    <w:rsid w:val="00FE03BB"/>
    <w:rsid w:val="00FE27D4"/>
    <w:rsid w:val="00FF226E"/>
    <w:rsid w:val="00FF3211"/>
    <w:rsid w:val="00FF3C91"/>
    <w:rsid w:val="00FF5DFE"/>
    <w:rsid w:val="00FF7C92"/>
    <w:rsid w:val="013E3461"/>
    <w:rsid w:val="01BB0F13"/>
    <w:rsid w:val="0204567E"/>
    <w:rsid w:val="02090C75"/>
    <w:rsid w:val="02613660"/>
    <w:rsid w:val="02A23A3C"/>
    <w:rsid w:val="02FB196F"/>
    <w:rsid w:val="035D130A"/>
    <w:rsid w:val="039110A9"/>
    <w:rsid w:val="03AC246A"/>
    <w:rsid w:val="03AE6061"/>
    <w:rsid w:val="03B23056"/>
    <w:rsid w:val="03DA023E"/>
    <w:rsid w:val="03DC3EBA"/>
    <w:rsid w:val="03F9794D"/>
    <w:rsid w:val="046A2461"/>
    <w:rsid w:val="051C2970"/>
    <w:rsid w:val="060C3611"/>
    <w:rsid w:val="063B53E6"/>
    <w:rsid w:val="06C64829"/>
    <w:rsid w:val="06E64E8C"/>
    <w:rsid w:val="070E7B6E"/>
    <w:rsid w:val="071D62B7"/>
    <w:rsid w:val="07214FD8"/>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013CF8"/>
    <w:rsid w:val="0C2361E7"/>
    <w:rsid w:val="0C247926"/>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2714E3"/>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A9B1409"/>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12F73"/>
    <w:rsid w:val="1F22070B"/>
    <w:rsid w:val="1F94592D"/>
    <w:rsid w:val="1FB860DE"/>
    <w:rsid w:val="203C5A02"/>
    <w:rsid w:val="20835293"/>
    <w:rsid w:val="209D4C94"/>
    <w:rsid w:val="20B44FCD"/>
    <w:rsid w:val="20E84705"/>
    <w:rsid w:val="218400BA"/>
    <w:rsid w:val="21AB1E2F"/>
    <w:rsid w:val="21D40498"/>
    <w:rsid w:val="22493963"/>
    <w:rsid w:val="22767047"/>
    <w:rsid w:val="235350F1"/>
    <w:rsid w:val="23A05588"/>
    <w:rsid w:val="240476A1"/>
    <w:rsid w:val="24E953B9"/>
    <w:rsid w:val="25431AEB"/>
    <w:rsid w:val="25927BB5"/>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2A5D15"/>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4BD6E59"/>
    <w:rsid w:val="34BE6BBE"/>
    <w:rsid w:val="3584136B"/>
    <w:rsid w:val="35FF5AA4"/>
    <w:rsid w:val="360B7EBA"/>
    <w:rsid w:val="36416867"/>
    <w:rsid w:val="367D5DD4"/>
    <w:rsid w:val="369C32FD"/>
    <w:rsid w:val="37666E72"/>
    <w:rsid w:val="37E43CE3"/>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950C83"/>
    <w:rsid w:val="3BAF716B"/>
    <w:rsid w:val="3C0B5355"/>
    <w:rsid w:val="3CD4176B"/>
    <w:rsid w:val="3D1F44D9"/>
    <w:rsid w:val="3D5C38CD"/>
    <w:rsid w:val="3E1E70EF"/>
    <w:rsid w:val="3E5070F1"/>
    <w:rsid w:val="3E7569E0"/>
    <w:rsid w:val="3EC370CB"/>
    <w:rsid w:val="3F6C3589"/>
    <w:rsid w:val="3F774130"/>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31568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6D6036"/>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201FEB"/>
    <w:rsid w:val="4E3046D1"/>
    <w:rsid w:val="4E48787F"/>
    <w:rsid w:val="4E8D5680"/>
    <w:rsid w:val="4EF0709E"/>
    <w:rsid w:val="4F0469A4"/>
    <w:rsid w:val="4FBF5D0D"/>
    <w:rsid w:val="500E56F4"/>
    <w:rsid w:val="50540C73"/>
    <w:rsid w:val="50752AF8"/>
    <w:rsid w:val="513C6A7B"/>
    <w:rsid w:val="517300C9"/>
    <w:rsid w:val="51B31D16"/>
    <w:rsid w:val="51E955F6"/>
    <w:rsid w:val="526A6404"/>
    <w:rsid w:val="52EC6EC2"/>
    <w:rsid w:val="532D486F"/>
    <w:rsid w:val="5333545B"/>
    <w:rsid w:val="538D0E89"/>
    <w:rsid w:val="5450213C"/>
    <w:rsid w:val="545D2A7F"/>
    <w:rsid w:val="546711F3"/>
    <w:rsid w:val="546C3825"/>
    <w:rsid w:val="54D062C6"/>
    <w:rsid w:val="54D24048"/>
    <w:rsid w:val="54D64CD5"/>
    <w:rsid w:val="5532287C"/>
    <w:rsid w:val="55887D69"/>
    <w:rsid w:val="55EE5D11"/>
    <w:rsid w:val="561A0928"/>
    <w:rsid w:val="56290384"/>
    <w:rsid w:val="56423872"/>
    <w:rsid w:val="569E06BC"/>
    <w:rsid w:val="56B279F0"/>
    <w:rsid w:val="56F20F86"/>
    <w:rsid w:val="579D710E"/>
    <w:rsid w:val="581F22F6"/>
    <w:rsid w:val="584D65AC"/>
    <w:rsid w:val="586E1E17"/>
    <w:rsid w:val="58862C35"/>
    <w:rsid w:val="58C14957"/>
    <w:rsid w:val="58CC23D2"/>
    <w:rsid w:val="58E66050"/>
    <w:rsid w:val="596B36B6"/>
    <w:rsid w:val="59E63F07"/>
    <w:rsid w:val="59FC7994"/>
    <w:rsid w:val="5A0078C3"/>
    <w:rsid w:val="5AE83A50"/>
    <w:rsid w:val="5B353193"/>
    <w:rsid w:val="5B6B12E6"/>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0FA3999"/>
    <w:rsid w:val="61733C3E"/>
    <w:rsid w:val="6189617B"/>
    <w:rsid w:val="61B52BB6"/>
    <w:rsid w:val="61B749C2"/>
    <w:rsid w:val="62280D20"/>
    <w:rsid w:val="62B4786E"/>
    <w:rsid w:val="62CA2457"/>
    <w:rsid w:val="631303F2"/>
    <w:rsid w:val="638240A1"/>
    <w:rsid w:val="63833423"/>
    <w:rsid w:val="63A5257B"/>
    <w:rsid w:val="63BD3DCC"/>
    <w:rsid w:val="63C61741"/>
    <w:rsid w:val="64560967"/>
    <w:rsid w:val="648C03D8"/>
    <w:rsid w:val="656B1D10"/>
    <w:rsid w:val="659550EE"/>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86149"/>
    <w:rsid w:val="68E94770"/>
    <w:rsid w:val="68EC1CEF"/>
    <w:rsid w:val="68F949C9"/>
    <w:rsid w:val="695A4290"/>
    <w:rsid w:val="696F3649"/>
    <w:rsid w:val="698E1451"/>
    <w:rsid w:val="6A267606"/>
    <w:rsid w:val="6A334932"/>
    <w:rsid w:val="6A3353FF"/>
    <w:rsid w:val="6A5D63E6"/>
    <w:rsid w:val="6A5F24D1"/>
    <w:rsid w:val="6ACA70C4"/>
    <w:rsid w:val="6ACC449F"/>
    <w:rsid w:val="6AE347EB"/>
    <w:rsid w:val="6B330365"/>
    <w:rsid w:val="6B434AF0"/>
    <w:rsid w:val="6B57675A"/>
    <w:rsid w:val="6B87098A"/>
    <w:rsid w:val="6BDD7B4D"/>
    <w:rsid w:val="6C55247B"/>
    <w:rsid w:val="6D52013C"/>
    <w:rsid w:val="6E26231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23B27CC"/>
    <w:rsid w:val="72565C05"/>
    <w:rsid w:val="72687227"/>
    <w:rsid w:val="72A03FD9"/>
    <w:rsid w:val="733F7AE6"/>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813B09"/>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ascii="仿宋_GB2312" w:eastAsia="仿宋_GB2312" w:hAnsiTheme="majorHAnsi" w:cstheme="majorBidi"/>
      <w:b/>
      <w:bCs/>
      <w:sz w:val="32"/>
      <w:szCs w:val="32"/>
    </w:rPr>
  </w:style>
  <w:style w:type="paragraph" w:styleId="6">
    <w:name w:val="heading 3"/>
    <w:basedOn w:val="1"/>
    <w:next w:val="1"/>
    <w:link w:val="32"/>
    <w:unhideWhenUsed/>
    <w:qFormat/>
    <w:uiPriority w:val="9"/>
    <w:pPr>
      <w:keepNext/>
      <w:keepLines/>
      <w:spacing w:before="260" w:after="260" w:line="416" w:lineRule="auto"/>
      <w:jc w:val="left"/>
      <w:outlineLvl w:val="2"/>
    </w:pPr>
    <w:rPr>
      <w:rFonts w:ascii="仿宋_GB2312" w:hAnsi="Calibri" w:eastAsia="仿宋_GB2312" w:cs="Times New Roman"/>
      <w:bCs/>
      <w:sz w:val="30"/>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9"/>
    <w:qFormat/>
    <w:uiPriority w:val="0"/>
    <w:pPr>
      <w:spacing w:afterLines="50" w:line="360" w:lineRule="auto"/>
      <w:ind w:firstLine="200" w:firstLineChars="200"/>
    </w:pPr>
    <w:rPr>
      <w:rFonts w:ascii="Calibri" w:hAnsi="Calibri" w:eastAsia="宋体"/>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字符"/>
    <w:basedOn w:val="25"/>
    <w:link w:val="18"/>
    <w:qFormat/>
    <w:uiPriority w:val="99"/>
    <w:rPr>
      <w:sz w:val="18"/>
      <w:szCs w:val="18"/>
    </w:rPr>
  </w:style>
  <w:style w:type="character" w:customStyle="1" w:styleId="29">
    <w:name w:val="页脚 字符"/>
    <w:basedOn w:val="25"/>
    <w:link w:val="17"/>
    <w:qFormat/>
    <w:uiPriority w:val="99"/>
    <w:rPr>
      <w:sz w:val="18"/>
      <w:szCs w:val="18"/>
    </w:rPr>
  </w:style>
  <w:style w:type="character" w:customStyle="1" w:styleId="30">
    <w:name w:val="标题 1 字符"/>
    <w:basedOn w:val="25"/>
    <w:link w:val="4"/>
    <w:qFormat/>
    <w:uiPriority w:val="9"/>
    <w:rPr>
      <w:rFonts w:eastAsia="方正小标宋简体"/>
      <w:bCs/>
      <w:kern w:val="44"/>
      <w:sz w:val="44"/>
      <w:szCs w:val="44"/>
    </w:rPr>
  </w:style>
  <w:style w:type="character" w:customStyle="1" w:styleId="31">
    <w:name w:val="标题 2 字符"/>
    <w:basedOn w:val="25"/>
    <w:link w:val="5"/>
    <w:qFormat/>
    <w:uiPriority w:val="9"/>
    <w:rPr>
      <w:rFonts w:ascii="仿宋_GB2312" w:eastAsia="仿宋_GB2312" w:hAnsiTheme="majorHAnsi" w:cstheme="majorBidi"/>
      <w:b/>
      <w:bCs/>
      <w:kern w:val="2"/>
      <w:sz w:val="32"/>
      <w:szCs w:val="32"/>
    </w:rPr>
  </w:style>
  <w:style w:type="character" w:customStyle="1" w:styleId="32">
    <w:name w:val="标题 3 字符"/>
    <w:basedOn w:val="25"/>
    <w:link w:val="6"/>
    <w:qFormat/>
    <w:uiPriority w:val="9"/>
    <w:rPr>
      <w:rFonts w:ascii="仿宋_GB2312" w:hAnsi="Calibri" w:eastAsia="仿宋_GB2312" w:cs="Times New Roman"/>
      <w:bCs/>
      <w:kern w:val="2"/>
      <w:sz w:val="30"/>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5"/>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z-窗体顶端1"/>
    <w:basedOn w:val="1"/>
    <w:qFormat/>
    <w:uiPriority w:val="34"/>
    <w:pPr>
      <w:ind w:firstLine="420" w:firstLineChars="200"/>
    </w:pPr>
    <w:rPr>
      <w:rFonts w:ascii="Calibri" w:hAnsi="Calibri"/>
    </w:rPr>
  </w:style>
  <w:style w:type="paragraph" w:customStyle="1" w:styleId="48">
    <w:name w:val="_Style 4"/>
    <w:basedOn w:val="4"/>
    <w:next w:val="1"/>
    <w:qFormat/>
    <w:uiPriority w:val="0"/>
    <w:pPr>
      <w:keepNext w:val="0"/>
      <w:keepLines w:val="0"/>
      <w:spacing w:after="0" w:line="576" w:lineRule="auto"/>
      <w:jc w:val="left"/>
      <w:outlineLvl w:val="9"/>
    </w:pPr>
    <w:rPr>
      <w:rFonts w:ascii="Calibri" w:hAnsi="Calibri" w:cs="Times New Roman"/>
      <w:kern w:val="0"/>
      <w:lang w:eastAsia="en-US"/>
    </w:rPr>
  </w:style>
  <w:style w:type="paragraph" w:customStyle="1" w:styleId="49">
    <w:name w:val="列出段落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38082</Words>
  <Characters>40151</Characters>
  <Lines>293</Lines>
  <Paragraphs>82</Paragraphs>
  <TotalTime>2</TotalTime>
  <ScaleCrop>false</ScaleCrop>
  <LinksUpToDate>false</LinksUpToDate>
  <CharactersWithSpaces>42975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2023-03-27T09:41:00Z</dcterms:created>
  <dc:creator>lenovo</dc:creator>
  <cp:lastModifiedBy>刘琳</cp:lastModifiedBy>
  <cp:lastPrinted>2023-04-14T09:06:00Z</cp:lastPrinted>
  <dcterms:modified xsi:type="dcterms:W3CDTF">2023-04-25T07:57:50Z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275633D32D02486AA1D9803F1DA0A764_13</vt:lpwstr>
  </property>
</Properties>
</file>