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广州市净水有限公司江高净水厂配套主干管网工程、人和2号泵站（扩建）</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标段一编制树木保护专章</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hint="eastAsia" w:ascii="仿宋_GB2312" w:eastAsia="仿宋_GB2312"/>
          <w:color w:val="auto"/>
          <w:sz w:val="32"/>
          <w:szCs w:val="32"/>
          <w:highlight w:val="none"/>
          <w:lang w:eastAsia="zh-CN"/>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fmt="decimal" w:start="0"/>
          <w:cols w:space="425" w:num="1"/>
          <w:docGrid w:type="lines" w:linePitch="312" w:charSpace="0"/>
        </w:sectPr>
      </w:pPr>
    </w:p>
    <w:p>
      <w:pPr>
        <w:pStyle w:val="9"/>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11322"/>
      <w:bookmarkStart w:id="5" w:name="_Toc4275"/>
      <w:bookmarkStart w:id="6" w:name="_Toc1669"/>
      <w:bookmarkStart w:id="7" w:name="_Toc19609"/>
      <w:bookmarkStart w:id="8" w:name="_Toc7519"/>
      <w:bookmarkStart w:id="9" w:name="_Toc31938"/>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471805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pt;margin-top:37.15pt;height:0pt;width:75.5pt;z-index:251672576;mso-width-relative:page;mso-height-relative:page;" filled="f" stroked="t" coordsize="21600,21600" o:gfxdata="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ScYJ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广州市净水有限公司江高净水厂配套主干管网工程、人和2号泵站（扩建）标段一编制树木保护专章</w:t>
      </w:r>
      <w:r>
        <w:rPr>
          <w:rFonts w:hint="eastAsia" w:ascii="仿宋" w:hAnsi="仿宋" w:eastAsia="仿宋" w:cs="仿宋"/>
          <w:color w:val="auto"/>
          <w:sz w:val="28"/>
          <w:szCs w:val="28"/>
          <w:highlight w:val="none"/>
        </w:rPr>
        <w:t>已具备采购条件，现</w:t>
      </w:r>
      <w:r>
        <w:rPr>
          <w:rFonts w:hint="eastAsia" w:ascii="仿宋" w:hAnsi="仿宋" w:eastAsia="仿宋" w:cs="仿宋"/>
          <w:color w:val="auto"/>
          <w:sz w:val="28"/>
          <w:szCs w:val="28"/>
          <w:highlight w:val="none"/>
          <w:lang w:val="en-US" w:eastAsia="zh-CN"/>
        </w:rPr>
        <w:t>邀请合格</w:t>
      </w:r>
      <w:r>
        <w:rPr>
          <w:rFonts w:hint="eastAsia" w:ascii="仿宋" w:hAnsi="仿宋" w:eastAsia="仿宋" w:cs="仿宋"/>
          <w:color w:val="auto"/>
          <w:sz w:val="28"/>
          <w:szCs w:val="28"/>
          <w:highlight w:val="none"/>
          <w:u w:val="none"/>
          <w:lang w:val="en-US" w:eastAsia="zh-CN"/>
        </w:rPr>
        <w:t>单位</w:t>
      </w:r>
      <w:r>
        <w:rPr>
          <w:rFonts w:hint="eastAsia" w:ascii="仿宋" w:hAnsi="仿宋" w:eastAsia="仿宋" w:cs="仿宋"/>
          <w:color w:val="auto"/>
          <w:sz w:val="28"/>
          <w:szCs w:val="28"/>
          <w:highlight w:val="none"/>
        </w:rPr>
        <w:t>参加本</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施工  □货物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服务项目采购活动，采用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val="en-US" w:eastAsia="zh-CN"/>
        </w:rPr>
        <w:t>广州市净水有限公司江高净水厂配套主干管网工程、人和2号泵站（扩建）标段一编制树木保护专章</w:t>
      </w:r>
    </w:p>
    <w:p>
      <w:pPr>
        <w:adjustRightInd w:val="0"/>
        <w:snapToGrid w:val="0"/>
        <w:spacing w:line="600" w:lineRule="exact"/>
        <w:jc w:val="left"/>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 xml:space="preserve"> XJ-20230414-1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36872.31</w:t>
      </w:r>
      <w:r>
        <w:rPr>
          <w:rFonts w:hint="eastAsia" w:ascii="仿宋" w:hAnsi="仿宋" w:eastAsia="仿宋" w:cs="仿宋"/>
          <w:color w:val="auto"/>
          <w:sz w:val="28"/>
          <w:szCs w:val="28"/>
          <w:highlight w:val="none"/>
          <w:u w:val="single"/>
          <w:lang w:val="zh-CN"/>
        </w:rPr>
        <w:t>元</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p>
    <w:p>
      <w:pPr>
        <w:numPr>
          <w:ilvl w:val="0"/>
          <w:numId w:val="0"/>
        </w:numPr>
        <w:spacing w:line="360" w:lineRule="auto"/>
        <w:ind w:left="0" w:firstLine="0" w:firstLineChars="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对</w:t>
      </w:r>
      <w:r>
        <w:rPr>
          <w:rFonts w:hint="eastAsia" w:ascii="仿宋" w:hAnsi="仿宋" w:eastAsia="仿宋" w:cs="仿宋"/>
          <w:color w:val="auto"/>
          <w:sz w:val="28"/>
          <w:szCs w:val="28"/>
          <w:highlight w:val="none"/>
          <w:u w:val="none"/>
        </w:rPr>
        <w:t>广州市净水有限公司江高净水厂配套主干管网工程、人和2号泵站（扩建）施工（标段一）</w:t>
      </w:r>
      <w:r>
        <w:rPr>
          <w:rFonts w:hint="eastAsia" w:ascii="仿宋" w:hAnsi="仿宋" w:eastAsia="仿宋" w:cs="仿宋"/>
          <w:color w:val="auto"/>
          <w:sz w:val="28"/>
          <w:szCs w:val="28"/>
          <w:highlight w:val="none"/>
          <w:u w:val="none"/>
          <w:lang w:val="en-US" w:eastAsia="zh-CN"/>
        </w:rPr>
        <w:t>项目尾水段子项应急出水口J1井-出水口的明挖段沿着道路人行道方向的两颗垂叶榕进行编写树木保护专章。</w:t>
      </w:r>
      <w:r>
        <w:rPr>
          <w:rFonts w:hint="eastAsia" w:ascii="仿宋" w:hAnsi="仿宋" w:eastAsia="仿宋" w:cs="仿宋"/>
          <w:color w:val="auto"/>
          <w:sz w:val="28"/>
          <w:szCs w:val="28"/>
          <w:highlight w:val="none"/>
          <w:u w:val="none"/>
        </w:rPr>
        <w:t>对范围内的现有绿地</w:t>
      </w:r>
      <w:r>
        <w:rPr>
          <w:rFonts w:hint="eastAsia" w:ascii="仿宋" w:hAnsi="仿宋" w:eastAsia="仿宋" w:cs="仿宋"/>
          <w:color w:val="auto"/>
          <w:kern w:val="2"/>
          <w:sz w:val="28"/>
          <w:szCs w:val="28"/>
          <w:highlight w:val="none"/>
          <w:u w:val="none"/>
          <w:lang w:bidi="ar"/>
        </w:rPr>
        <w:t>、连片成林树木、古树名木及古树后续资源的现状进行摸查，提出保护利用方案。报告编制要求：根据</w:t>
      </w:r>
      <w:r>
        <w:rPr>
          <w:rFonts w:hint="eastAsia" w:ascii="仿宋" w:hAnsi="仿宋" w:eastAsia="仿宋" w:cs="仿宋"/>
          <w:b w:val="0"/>
          <w:color w:val="auto"/>
          <w:kern w:val="2"/>
          <w:sz w:val="28"/>
          <w:szCs w:val="28"/>
          <w:highlight w:val="none"/>
          <w:u w:val="none"/>
          <w:lang w:bidi="ar"/>
        </w:rPr>
        <w:t>《</w:t>
      </w:r>
      <w:r>
        <w:rPr>
          <w:rFonts w:hint="eastAsia" w:ascii="仿宋" w:hAnsi="仿宋" w:eastAsia="仿宋" w:cs="仿宋"/>
          <w:color w:val="auto"/>
          <w:kern w:val="2"/>
          <w:sz w:val="28"/>
          <w:szCs w:val="28"/>
          <w:highlight w:val="none"/>
          <w:u w:val="none"/>
          <w:lang w:bidi="ar"/>
        </w:rPr>
        <w:t xml:space="preserve">广州市城市树木保护专章编制技术指引》及相关规章，报告应至少包括以下内容： </w:t>
      </w:r>
    </w:p>
    <w:p>
      <w:pPr>
        <w:widowControl/>
        <w:numPr>
          <w:ilvl w:val="-1"/>
          <w:numId w:val="0"/>
        </w:numPr>
        <w:spacing w:line="360" w:lineRule="auto"/>
        <w:jc w:val="left"/>
        <w:rPr>
          <w:rFonts w:hint="eastAsia" w:ascii="仿宋" w:hAnsi="仿宋" w:eastAsia="仿宋" w:cs="仿宋"/>
          <w:color w:val="auto"/>
          <w:sz w:val="28"/>
          <w:szCs w:val="28"/>
          <w:highlight w:val="none"/>
          <w:u w:val="none"/>
        </w:rPr>
      </w:pPr>
      <w:r>
        <w:rPr>
          <w:rFonts w:hint="eastAsia" w:ascii="仿宋" w:hAnsi="仿宋" w:eastAsia="仿宋" w:cs="仿宋"/>
          <w:color w:val="auto"/>
          <w:kern w:val="2"/>
          <w:sz w:val="28"/>
          <w:szCs w:val="28"/>
          <w:highlight w:val="none"/>
          <w:u w:val="none"/>
          <w:lang w:val="en-US" w:eastAsia="zh-CN" w:bidi="ar"/>
        </w:rPr>
        <w:t>（一</w:t>
      </w:r>
      <w:r>
        <w:rPr>
          <w:rFonts w:hint="eastAsia" w:ascii="仿宋" w:hAnsi="仿宋" w:eastAsia="仿宋" w:cs="仿宋"/>
          <w:color w:val="auto"/>
          <w:kern w:val="2"/>
          <w:sz w:val="28"/>
          <w:szCs w:val="28"/>
          <w:highlight w:val="none"/>
          <w:u w:val="none"/>
          <w:lang w:bidi="ar"/>
        </w:rPr>
        <w:t xml:space="preserve">）建设用地范围内的树木资源调查。包括所有树木的种类、数量、位置、生长状况、立地条件、保护设施现状等，分类编制树木信息汇总表。 </w:t>
      </w:r>
    </w:p>
    <w:p>
      <w:pPr>
        <w:widowControl/>
        <w:numPr>
          <w:ilvl w:val="-1"/>
          <w:numId w:val="0"/>
        </w:numPr>
        <w:spacing w:line="360" w:lineRule="auto"/>
        <w:jc w:val="left"/>
        <w:rPr>
          <w:rFonts w:hint="eastAsia" w:ascii="仿宋" w:hAnsi="仿宋" w:eastAsia="仿宋" w:cs="仿宋"/>
          <w:color w:val="auto"/>
          <w:sz w:val="28"/>
          <w:szCs w:val="28"/>
          <w:highlight w:val="none"/>
          <w:u w:val="none"/>
        </w:rPr>
      </w:pPr>
      <w:r>
        <w:rPr>
          <w:rFonts w:hint="eastAsia" w:ascii="仿宋" w:hAnsi="仿宋" w:eastAsia="仿宋" w:cs="仿宋"/>
          <w:color w:val="auto"/>
          <w:kern w:val="2"/>
          <w:sz w:val="28"/>
          <w:szCs w:val="28"/>
          <w:highlight w:val="none"/>
          <w:u w:val="none"/>
          <w:lang w:val="en-US" w:eastAsia="zh-CN" w:bidi="ar"/>
        </w:rPr>
        <w:t>（二</w:t>
      </w:r>
      <w:r>
        <w:rPr>
          <w:rFonts w:hint="eastAsia" w:ascii="仿宋" w:hAnsi="仿宋" w:eastAsia="仿宋" w:cs="仿宋"/>
          <w:color w:val="auto"/>
          <w:kern w:val="2"/>
          <w:sz w:val="28"/>
          <w:szCs w:val="28"/>
          <w:highlight w:val="none"/>
          <w:u w:val="none"/>
          <w:lang w:bidi="ar"/>
        </w:rPr>
        <w:t xml:space="preserve">）对古树名木、古树后续资源进行健康状况及安全性综合评估。并按照《广州市绿化条例》要求划定保护范围，根据树木生长状况和保护现状编制原址保护措施。 </w:t>
      </w:r>
    </w:p>
    <w:p>
      <w:pPr>
        <w:widowControl/>
        <w:numPr>
          <w:ilvl w:val="-1"/>
          <w:numId w:val="0"/>
        </w:numPr>
        <w:spacing w:line="360" w:lineRule="auto"/>
        <w:jc w:val="left"/>
        <w:rPr>
          <w:rFonts w:hint="eastAsia" w:ascii="仿宋" w:hAnsi="仿宋" w:eastAsia="仿宋" w:cs="仿宋"/>
          <w:color w:val="auto"/>
          <w:sz w:val="28"/>
          <w:szCs w:val="28"/>
          <w:highlight w:val="none"/>
          <w:u w:val="none"/>
        </w:rPr>
      </w:pPr>
      <w:r>
        <w:rPr>
          <w:rFonts w:hint="eastAsia" w:ascii="仿宋" w:hAnsi="仿宋" w:eastAsia="仿宋" w:cs="仿宋"/>
          <w:color w:val="auto"/>
          <w:kern w:val="2"/>
          <w:sz w:val="28"/>
          <w:szCs w:val="28"/>
          <w:highlight w:val="none"/>
          <w:u w:val="none"/>
          <w:lang w:val="en-US" w:eastAsia="zh-CN" w:bidi="ar"/>
        </w:rPr>
        <w:t>（三</w:t>
      </w:r>
      <w:r>
        <w:rPr>
          <w:rFonts w:hint="eastAsia" w:ascii="仿宋" w:hAnsi="仿宋" w:eastAsia="仿宋" w:cs="仿宋"/>
          <w:color w:val="auto"/>
          <w:kern w:val="2"/>
          <w:sz w:val="28"/>
          <w:szCs w:val="28"/>
          <w:highlight w:val="none"/>
          <w:u w:val="none"/>
          <w:lang w:bidi="ar"/>
        </w:rPr>
        <w:t xml:space="preserve">）对其他树木应提出保护和利用措施，涉及大树的，应以原址保留为主。确实需要迁移的树木，要论证其必要性，原则上在项目范围内回迁利用。 </w:t>
      </w:r>
    </w:p>
    <w:p>
      <w:pPr>
        <w:widowControl/>
        <w:numPr>
          <w:ilvl w:val="-1"/>
          <w:numId w:val="0"/>
        </w:numPr>
        <w:spacing w:line="360" w:lineRule="auto"/>
        <w:ind w:left="0" w:firstLine="0" w:firstLineChars="0"/>
        <w:jc w:val="lef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2"/>
          <w:sz w:val="28"/>
          <w:szCs w:val="28"/>
          <w:highlight w:val="none"/>
          <w:u w:val="none"/>
          <w:lang w:val="en-US" w:eastAsia="zh-CN" w:bidi="ar"/>
        </w:rPr>
        <w:t>（四</w:t>
      </w:r>
      <w:r>
        <w:rPr>
          <w:rFonts w:hint="eastAsia" w:ascii="仿宋" w:hAnsi="仿宋" w:eastAsia="仿宋" w:cs="仿宋"/>
          <w:color w:val="auto"/>
          <w:kern w:val="2"/>
          <w:sz w:val="28"/>
          <w:szCs w:val="28"/>
          <w:highlight w:val="none"/>
          <w:u w:val="none"/>
          <w:lang w:bidi="ar"/>
        </w:rPr>
        <w:t xml:space="preserve">）对于严重病虫害、死亡，不具备迁移、施工条件，或其它特殊情形的树木，应提出合理的处置措施。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2.2在</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个工作日内提交编制计划及参编人员名单并征得甲方同意。合同执行中，乙方如需更换设计人员的，需征得甲方书面同意。</w:t>
      </w:r>
    </w:p>
    <w:p>
      <w:pPr>
        <w:adjustRightInd w:val="0"/>
        <w:snapToGrid w:val="0"/>
        <w:spacing w:line="600" w:lineRule="exact"/>
        <w:ind w:left="0" w:right="-370" w:rightChars="-176"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在合同签订后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个工作日内完成项目树木保护专章编制工作。该工作应配合项目需申报迁移绿化和保护树木而进行编制、提交成果及作相应修改完善，以能最终满足甲方向林业和园林行政主管部门申报迁移和保护绿化的要求。成果书暂定一式陆份，具体以甲方通知为准。</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w:t>
      </w:r>
      <w:r>
        <w:rPr>
          <w:rFonts w:hint="eastAsia" w:ascii="仿宋" w:hAnsi="仿宋" w:eastAsia="仿宋" w:cs="仿宋"/>
          <w:color w:val="auto"/>
          <w:sz w:val="28"/>
          <w:szCs w:val="28"/>
          <w:highlight w:val="none"/>
          <w:lang w:val="en-US" w:eastAsia="zh-CN"/>
        </w:rPr>
        <w:t>具有</w:t>
      </w:r>
      <w:r>
        <w:rPr>
          <w:rFonts w:hint="eastAsia" w:ascii="仿宋" w:hAnsi="仿宋" w:eastAsia="仿宋" w:cs="仿宋"/>
          <w:color w:val="auto"/>
          <w:sz w:val="28"/>
          <w:szCs w:val="28"/>
          <w:highlight w:val="none"/>
          <w:lang w:val="en-US" w:eastAsia="zh-CN"/>
        </w:rPr>
        <w:t>林业调查规划设计资质乙级（或以上）证书，并配备生态、林业、园林、园艺、植保等绿化相关专业高级以上专业技术职称人员不少于三人。</w:t>
      </w:r>
    </w:p>
    <w:p>
      <w:pPr>
        <w:adjustRightInd w:val="0"/>
        <w:snapToGrid w:val="0"/>
        <w:spacing w:line="600" w:lineRule="exact"/>
        <w:ind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备注：提供以上人员资格证书复印件及在本单位购买社保记录，以加盖社会保险基金管理中心印章的《缴费历史明细表》或《社会保险参保人员证明》为准，并加盖单位公章。</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u w:val="none"/>
        </w:rPr>
        <w:t>20</w:t>
      </w:r>
      <w:r>
        <w:rPr>
          <w:rFonts w:hint="eastAsia" w:ascii="仿宋" w:hAnsi="仿宋" w:eastAsia="仿宋" w:cs="仿宋"/>
          <w:color w:val="auto"/>
          <w:kern w:val="0"/>
          <w:sz w:val="28"/>
          <w:szCs w:val="28"/>
          <w:highlight w:val="none"/>
          <w:u w:val="none"/>
          <w:lang w:val="en-US" w:eastAsia="zh-CN"/>
        </w:rPr>
        <w:t>20</w:t>
      </w:r>
      <w:r>
        <w:rPr>
          <w:rFonts w:hint="eastAsia" w:ascii="仿宋" w:hAnsi="仿宋" w:eastAsia="仿宋" w:cs="仿宋"/>
          <w:color w:val="auto"/>
          <w:kern w:val="0"/>
          <w:sz w:val="28"/>
          <w:szCs w:val="28"/>
          <w:highlight w:val="none"/>
          <w:u w:val="none"/>
        </w:rPr>
        <w:t>年1月1日至今</w:t>
      </w:r>
      <w:r>
        <w:rPr>
          <w:rFonts w:hint="eastAsia" w:ascii="仿宋" w:hAnsi="仿宋" w:eastAsia="仿宋" w:cs="仿宋"/>
          <w:color w:val="auto"/>
          <w:kern w:val="0"/>
          <w:sz w:val="28"/>
          <w:szCs w:val="28"/>
          <w:highlight w:val="none"/>
          <w:u w:val="none"/>
          <w:lang w:eastAsia="zh-CN"/>
        </w:rPr>
        <w:t>，</w:t>
      </w:r>
      <w:r>
        <w:rPr>
          <w:rFonts w:hint="eastAsia" w:ascii="仿宋" w:hAnsi="仿宋" w:eastAsia="仿宋" w:cs="仿宋"/>
          <w:color w:val="auto"/>
          <w:kern w:val="0"/>
          <w:sz w:val="28"/>
          <w:szCs w:val="28"/>
          <w:highlight w:val="none"/>
          <w:u w:val="none"/>
          <w:lang w:val="en-US" w:eastAsia="zh-CN"/>
        </w:rPr>
        <w:t>最少</w:t>
      </w:r>
      <w:r>
        <w:rPr>
          <w:rFonts w:hint="eastAsia" w:ascii="仿宋" w:hAnsi="仿宋" w:eastAsia="仿宋" w:cs="仿宋"/>
          <w:color w:val="auto"/>
          <w:kern w:val="0"/>
          <w:sz w:val="28"/>
          <w:szCs w:val="28"/>
          <w:highlight w:val="none"/>
          <w:u w:val="none"/>
        </w:rPr>
        <w:t>具有</w:t>
      </w:r>
      <w:r>
        <w:rPr>
          <w:rFonts w:hint="eastAsia" w:ascii="仿宋" w:hAnsi="仿宋" w:eastAsia="仿宋" w:cs="仿宋"/>
          <w:color w:val="auto"/>
          <w:kern w:val="0"/>
          <w:sz w:val="28"/>
          <w:szCs w:val="28"/>
          <w:highlight w:val="none"/>
          <w:u w:val="none"/>
          <w:lang w:val="en-US" w:eastAsia="zh-CN"/>
        </w:rPr>
        <w:t>一项类似</w:t>
      </w:r>
      <w:r>
        <w:rPr>
          <w:rFonts w:hint="eastAsia" w:ascii="仿宋" w:hAnsi="仿宋" w:eastAsia="仿宋" w:cs="仿宋"/>
          <w:color w:val="auto"/>
          <w:kern w:val="0"/>
          <w:sz w:val="28"/>
          <w:szCs w:val="28"/>
          <w:highlight w:val="none"/>
          <w:u w:val="none"/>
          <w:lang w:val="en-US" w:eastAsia="zh-CN"/>
        </w:rPr>
        <w:t>树木保护类项目</w:t>
      </w:r>
      <w:r>
        <w:rPr>
          <w:rFonts w:hint="eastAsia" w:ascii="仿宋" w:hAnsi="仿宋" w:eastAsia="仿宋" w:cs="仿宋"/>
          <w:color w:val="auto"/>
          <w:kern w:val="0"/>
          <w:sz w:val="28"/>
          <w:szCs w:val="28"/>
          <w:highlight w:val="none"/>
          <w:u w:val="none"/>
        </w:rPr>
        <w:t>业绩</w:t>
      </w:r>
      <w:r>
        <w:rPr>
          <w:rFonts w:hint="eastAsia" w:ascii="仿宋" w:hAnsi="仿宋" w:eastAsia="仿宋" w:cs="仿宋"/>
          <w:color w:val="auto"/>
          <w:sz w:val="28"/>
          <w:szCs w:val="28"/>
          <w:highlight w:val="none"/>
        </w:rPr>
        <w:t>。（提供合同复印件证明，包括但不限于项目名称、金额及实施内容、合同盖章、签订日期，加盖单位公章）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须出具不得存在情形承诺函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19</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rPr>
        <w:t>递交响应文件集合时间：</w:t>
      </w:r>
      <w:r>
        <w:rPr>
          <w:rFonts w:hint="eastAsia" w:ascii="仿宋" w:hAnsi="仿宋" w:eastAsia="仿宋" w:cs="仿宋"/>
          <w:color w:val="auto"/>
          <w:sz w:val="28"/>
          <w:szCs w:val="28"/>
          <w:u w:val="single"/>
        </w:rPr>
        <w:t>2023</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月 </w:t>
      </w:r>
      <w:r>
        <w:rPr>
          <w:rFonts w:hint="eastAsia" w:ascii="仿宋" w:hAnsi="仿宋" w:eastAsia="仿宋" w:cs="仿宋"/>
          <w:color w:val="auto"/>
          <w:sz w:val="28"/>
          <w:szCs w:val="28"/>
          <w:u w:val="single"/>
          <w:lang w:val="en-US" w:eastAsia="zh-CN"/>
        </w:rPr>
        <w:t>20</w:t>
      </w:r>
      <w:r>
        <w:rPr>
          <w:rFonts w:hint="eastAsia" w:ascii="仿宋" w:hAnsi="仿宋" w:eastAsia="仿宋" w:cs="仿宋"/>
          <w:color w:val="auto"/>
          <w:sz w:val="28"/>
          <w:szCs w:val="28"/>
        </w:rPr>
        <w:t>日</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rPr>
        <w:t>时</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rPr>
        <w:t>0</w:t>
      </w:r>
      <w:r>
        <w:rPr>
          <w:rFonts w:hint="eastAsia" w:ascii="仿宋" w:hAnsi="仿宋" w:eastAsia="仿宋" w:cs="仿宋"/>
          <w:color w:val="auto"/>
          <w:sz w:val="28"/>
          <w:szCs w:val="28"/>
        </w:rPr>
        <w:t>分至</w:t>
      </w:r>
      <w:r>
        <w:rPr>
          <w:rFonts w:hint="eastAsia" w:ascii="仿宋" w:hAnsi="仿宋" w:eastAsia="仿宋" w:cs="仿宋"/>
          <w:color w:val="auto"/>
          <w:sz w:val="28"/>
          <w:szCs w:val="28"/>
          <w:u w:val="single"/>
        </w:rPr>
        <w:t>2023</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20</w:t>
      </w:r>
      <w:r>
        <w:rPr>
          <w:rFonts w:hint="eastAsia" w:ascii="仿宋" w:hAnsi="仿宋" w:eastAsia="仿宋" w:cs="仿宋"/>
          <w:color w:val="auto"/>
          <w:sz w:val="28"/>
          <w:szCs w:val="28"/>
        </w:rPr>
        <w:t>日</w:t>
      </w:r>
      <w:r>
        <w:rPr>
          <w:rFonts w:hint="eastAsia" w:ascii="仿宋" w:hAnsi="仿宋" w:eastAsia="仿宋" w:cs="仿宋"/>
          <w:color w:val="auto"/>
          <w:sz w:val="28"/>
          <w:szCs w:val="28"/>
          <w:u w:val="single"/>
        </w:rPr>
        <w:t>10</w:t>
      </w:r>
      <w:r>
        <w:rPr>
          <w:rFonts w:hint="eastAsia" w:ascii="仿宋" w:hAnsi="仿宋" w:eastAsia="仿宋" w:cs="仿宋"/>
          <w:color w:val="auto"/>
          <w:sz w:val="28"/>
          <w:szCs w:val="28"/>
        </w:rPr>
        <w:t>时</w:t>
      </w:r>
      <w:r>
        <w:rPr>
          <w:rFonts w:hint="eastAsia" w:ascii="仿宋" w:hAnsi="仿宋" w:eastAsia="仿宋" w:cs="仿宋"/>
          <w:color w:val="auto"/>
          <w:sz w:val="28"/>
          <w:szCs w:val="28"/>
          <w:u w:val="single"/>
        </w:rPr>
        <w:t>00</w:t>
      </w:r>
      <w:r>
        <w:rPr>
          <w:rFonts w:hint="eastAsia" w:ascii="仿宋" w:hAnsi="仿宋" w:eastAsia="仿宋" w:cs="仿宋"/>
          <w:color w:val="auto"/>
          <w:sz w:val="28"/>
          <w:szCs w:val="28"/>
        </w:rPr>
        <w:t>分（北京时间）。截止时间：</w:t>
      </w:r>
      <w:r>
        <w:rPr>
          <w:rFonts w:hint="eastAsia" w:ascii="仿宋" w:hAnsi="仿宋" w:eastAsia="仿宋" w:cs="仿宋"/>
          <w:color w:val="auto"/>
          <w:sz w:val="28"/>
          <w:szCs w:val="28"/>
          <w:u w:val="single"/>
        </w:rPr>
        <w:t>2023</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20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u w:val="single"/>
        </w:rPr>
        <w:t>10</w:t>
      </w:r>
      <w:r>
        <w:rPr>
          <w:rFonts w:hint="eastAsia" w:ascii="仿宋" w:hAnsi="仿宋" w:eastAsia="仿宋" w:cs="仿宋"/>
          <w:color w:val="auto"/>
          <w:sz w:val="28"/>
          <w:szCs w:val="28"/>
        </w:rPr>
        <w:t>时</w:t>
      </w:r>
      <w:r>
        <w:rPr>
          <w:rFonts w:hint="eastAsia" w:ascii="仿宋" w:hAnsi="仿宋" w:eastAsia="仿宋" w:cs="仿宋"/>
          <w:color w:val="auto"/>
          <w:sz w:val="28"/>
          <w:szCs w:val="28"/>
          <w:u w:val="single"/>
        </w:rPr>
        <w:t>00</w:t>
      </w:r>
      <w:r>
        <w:rPr>
          <w:rFonts w:hint="eastAsia" w:ascii="仿宋" w:hAnsi="仿宋" w:eastAsia="仿宋" w:cs="仿宋"/>
          <w:color w:val="auto"/>
          <w:sz w:val="28"/>
          <w:szCs w:val="28"/>
        </w:rPr>
        <w:t>分（北京时间）。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rPr>
        <w:t>递交地址：广州市天河区临江大道501号广州市净水有限公司6楼招标部。</w:t>
      </w:r>
    </w:p>
    <w:p>
      <w:pPr>
        <w:pStyle w:val="24"/>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响应文件递交预约信息填写：</w:t>
      </w:r>
    </w:p>
    <w:p>
      <w:pPr>
        <w:pStyle w:val="24"/>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（1）通过“广州净水公司”微信公众号或来访时扫码进行访客预约登记。</w:t>
      </w:r>
    </w:p>
    <w:p>
      <w:pPr>
        <w:pStyle w:val="24"/>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（2）“组织”选择“公司本部”，“部门”选择“招投标合同管理部”。</w:t>
      </w:r>
    </w:p>
    <w:p>
      <w:pPr>
        <w:pStyle w:val="24"/>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（3）“被访人员”选择“招标部”，“手机号”：“62315524”。</w:t>
      </w:r>
    </w:p>
    <w:p>
      <w:pPr>
        <w:pStyle w:val="24"/>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rPr>
        <w:t>（4）“详细描述”：找XX，递交XX项目响应文件。</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2023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14 </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9"/>
        <w:rPr>
          <w:rFonts w:hint="eastAsia" w:ascii="仿宋_GB2312" w:eastAsia="仿宋_GB2312" w:hAnsiTheme="majorEastAsia"/>
          <w:color w:val="auto"/>
          <w:sz w:val="28"/>
          <w:szCs w:val="28"/>
          <w:highlight w:val="none"/>
        </w:rPr>
      </w:pPr>
    </w:p>
    <w:p>
      <w:pPr>
        <w:pStyle w:val="10"/>
        <w:rPr>
          <w:rFonts w:hint="eastAsia" w:ascii="仿宋_GB2312" w:eastAsia="仿宋_GB2312" w:hAnsiTheme="majorEastAsia"/>
          <w:color w:val="auto"/>
          <w:sz w:val="28"/>
          <w:szCs w:val="28"/>
          <w:highlight w:val="none"/>
        </w:rPr>
      </w:pPr>
    </w:p>
    <w:p>
      <w:pPr>
        <w:pStyle w:val="10"/>
        <w:rPr>
          <w:rFonts w:hint="eastAsia" w:ascii="仿宋_GB2312" w:eastAsia="仿宋_GB2312" w:hAnsiTheme="majorEastAsia"/>
          <w:color w:val="auto"/>
          <w:sz w:val="28"/>
          <w:szCs w:val="28"/>
          <w:highlight w:val="none"/>
        </w:rPr>
      </w:pPr>
    </w:p>
    <w:p>
      <w:pPr>
        <w:pStyle w:val="10"/>
        <w:rPr>
          <w:rFonts w:hint="eastAsia" w:ascii="仿宋_GB2312" w:eastAsia="仿宋_GB2312" w:hAnsiTheme="majorEastAsia"/>
          <w:color w:val="auto"/>
          <w:sz w:val="28"/>
          <w:szCs w:val="28"/>
          <w:highlight w:val="none"/>
        </w:rPr>
      </w:pPr>
    </w:p>
    <w:p>
      <w:pPr>
        <w:pStyle w:val="10"/>
        <w:rPr>
          <w:rFonts w:hint="eastAsia" w:ascii="仿宋_GB2312" w:eastAsia="仿宋_GB2312" w:hAnsiTheme="majorEastAsia"/>
          <w:color w:val="auto"/>
          <w:sz w:val="28"/>
          <w:szCs w:val="28"/>
          <w:highlight w:val="none"/>
        </w:rPr>
      </w:pPr>
    </w:p>
    <w:p>
      <w:pPr>
        <w:pStyle w:val="1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705"/>
      <w:bookmarkStart w:id="15" w:name="_Toc2324"/>
      <w:bookmarkStart w:id="16" w:name="_Toc7340"/>
      <w:bookmarkStart w:id="17" w:name="_Toc32588"/>
      <w:bookmarkStart w:id="18" w:name="_Toc2331"/>
      <w:bookmarkStart w:id="19" w:name="_Toc9448"/>
      <w:bookmarkStart w:id="20" w:name="_Toc19295"/>
      <w:bookmarkStart w:id="21" w:name="_Toc16557"/>
      <w:bookmarkStart w:id="22" w:name="_Toc25603"/>
      <w:bookmarkStart w:id="23" w:name="_Toc23749"/>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2332990</wp:posOffset>
                </wp:positionH>
                <wp:positionV relativeFrom="paragraph">
                  <wp:posOffset>487680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7pt;margin-top:38.4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rPr>
          <w:rFonts w:hint="eastAsia"/>
          <w:color w:val="auto"/>
          <w:highlight w:val="none"/>
        </w:rPr>
      </w:pPr>
    </w:p>
    <w:p>
      <w:pPr>
        <w:pStyle w:val="24"/>
        <w:rPr>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firstLine="0"/>
        <w:rPr>
          <w:rFonts w:hint="eastAsia" w:asciiTheme="minorEastAsia" w:hAnsiTheme="minorEastAsia"/>
          <w:b/>
          <w:color w:val="auto"/>
          <w:sz w:val="32"/>
          <w:szCs w:val="32"/>
          <w:highlight w:val="none"/>
        </w:rPr>
      </w:pPr>
    </w:p>
    <w:p>
      <w:pPr>
        <w:pStyle w:val="24"/>
        <w:ind w:firstLine="0"/>
        <w:rPr>
          <w:rFonts w:hint="eastAsia" w:asciiTheme="minorEastAsia" w:hAnsiTheme="minorEastAsia"/>
          <w:b/>
          <w:color w:val="auto"/>
          <w:sz w:val="32"/>
          <w:szCs w:val="32"/>
          <w:highlight w:val="none"/>
        </w:rPr>
      </w:pPr>
    </w:p>
    <w:p>
      <w:pPr>
        <w:pStyle w:val="24"/>
        <w:ind w:firstLine="0"/>
        <w:rPr>
          <w:rFonts w:hint="eastAsia" w:asciiTheme="minorEastAsia" w:hAnsiTheme="minorEastAsia"/>
          <w:b/>
          <w:color w:val="auto"/>
          <w:sz w:val="32"/>
          <w:szCs w:val="32"/>
          <w:highlight w:val="none"/>
        </w:rPr>
      </w:pPr>
    </w:p>
    <w:p>
      <w:pPr>
        <w:pStyle w:val="24"/>
        <w:ind w:firstLine="0"/>
        <w:rPr>
          <w:rFonts w:hint="eastAsia" w:asciiTheme="minorEastAsia" w:hAnsiTheme="minorEastAsia"/>
          <w:b/>
          <w:color w:val="auto"/>
          <w:sz w:val="32"/>
          <w:szCs w:val="32"/>
          <w:highlight w:val="none"/>
        </w:rPr>
      </w:pPr>
    </w:p>
    <w:p>
      <w:pPr>
        <w:pStyle w:val="24"/>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9" w:leftChars="266" w:firstLine="134" w:firstLineChars="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left="559" w:leftChars="266" w:firstLine="134" w:firstLineChars="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color w:val="auto"/>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pStyle w:val="10"/>
        <w:rPr>
          <w:rFonts w:hint="eastAsia"/>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lang w:val="en-US" w:eastAsia="zh-CN"/>
        </w:rPr>
      </w:pPr>
      <w:bookmarkStart w:id="26" w:name="_Toc21455"/>
      <w:bookmarkStart w:id="27" w:name="_Toc2867"/>
    </w:p>
    <w:p>
      <w:pPr>
        <w:pStyle w:val="4"/>
        <w:rPr>
          <w:rFonts w:hint="eastAsia" w:asciiTheme="minorHAnsi" w:hAnsiTheme="minorHAnsi" w:cstheme="minorBidi"/>
          <w:color w:val="auto"/>
          <w:kern w:val="44"/>
          <w:sz w:val="44"/>
          <w:szCs w:val="44"/>
          <w:highlight w:val="none"/>
          <w:lang w:val="en-US" w:eastAsia="zh-CN"/>
        </w:rPr>
      </w:pPr>
    </w:p>
    <w:p>
      <w:pPr>
        <w:pStyle w:val="4"/>
        <w:rPr>
          <w:rFonts w:hint="eastAsia" w:asciiTheme="minorHAnsi" w:hAnsiTheme="minorHAnsi" w:cstheme="minorBidi"/>
          <w:color w:val="auto"/>
          <w:kern w:val="44"/>
          <w:sz w:val="44"/>
          <w:szCs w:val="44"/>
          <w:highlight w:val="none"/>
          <w:lang w:val="en-US" w:eastAsia="zh-CN"/>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2326640</wp:posOffset>
                </wp:positionH>
                <wp:positionV relativeFrom="paragraph">
                  <wp:posOffset>501650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2pt;margin-top:39.5pt;height:0pt;width:75.5pt;z-index:25166233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67310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5.3pt;height:0pt;width:75.5pt;z-index:25166131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
        <w:ind w:firstLine="3600" w:firstLineChars="1000"/>
        <w:jc w:val="both"/>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7118"/>
      <w:bookmarkStart w:id="36" w:name="_Toc20594"/>
      <w:bookmarkStart w:id="37" w:name="_Toc23581"/>
      <w:bookmarkStart w:id="38" w:name="_Toc14552"/>
      <w:bookmarkStart w:id="39" w:name="_Toc19050"/>
      <w:bookmarkStart w:id="40" w:name="_Toc3156"/>
      <w:bookmarkStart w:id="41" w:name="_Toc14870"/>
      <w:bookmarkStart w:id="42" w:name="_Toc7437"/>
      <w:bookmarkStart w:id="43" w:name="_Toc10930"/>
      <w:bookmarkStart w:id="44" w:name="_Toc19759"/>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
        <w:rPr>
          <w:color w:val="auto"/>
          <w:highlight w:val="none"/>
        </w:rPr>
      </w:pPr>
      <w:bookmarkStart w:id="45" w:name="_Toc32607"/>
      <w:bookmarkStart w:id="46" w:name="_Toc29484"/>
      <w:bookmarkStart w:id="47" w:name="_Toc7831"/>
      <w:bookmarkStart w:id="48" w:name="_Toc13898"/>
      <w:bookmarkStart w:id="49" w:name="_Toc29345"/>
      <w:bookmarkStart w:id="50" w:name="_Toc12177"/>
      <w:bookmarkStart w:id="51" w:name="_Toc6308"/>
      <w:bookmarkStart w:id="52" w:name="_Toc88209941"/>
      <w:bookmarkStart w:id="53" w:name="_Toc21079"/>
      <w:bookmarkStart w:id="54" w:name="_Toc87616378"/>
      <w:bookmarkStart w:id="55" w:name="_Toc21840"/>
      <w:bookmarkStart w:id="56" w:name="_Toc22212"/>
      <w:bookmarkStart w:id="57" w:name="_Toc30530"/>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271780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pt;margin-top:21.4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667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eastAsia="方正小标宋简体"/>
          <w:color w:val="auto"/>
          <w:szCs w:val="44"/>
          <w:highlight w:val="none"/>
          <w:lang w:eastAsia="zh-CN"/>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ascii="仿宋_GB2312" w:eastAsia="仿宋_GB2312"/>
          <w:color w:val="auto"/>
          <w:sz w:val="28"/>
          <w:szCs w:val="28"/>
          <w:highlight w:val="none"/>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pStyle w:val="32"/>
        <w:rPr>
          <w:rFonts w:hint="eastAsia" w:ascii="仿宋_GB2312" w:eastAsia="仿宋_GB2312"/>
          <w:color w:val="auto"/>
          <w:sz w:val="28"/>
          <w:szCs w:val="28"/>
          <w:highlight w:val="none"/>
          <w:lang w:val="en-US" w:eastAsia="zh-CN"/>
        </w:rPr>
      </w:pP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实施方案</w:t>
      </w:r>
    </w:p>
    <w:p>
      <w:pPr>
        <w:numPr>
          <w:ilvl w:val="-1"/>
          <w:numId w:val="0"/>
        </w:numPr>
        <w:spacing w:line="240" w:lineRule="auto"/>
        <w:ind w:left="0" w:firstLine="560" w:firstLineChars="200"/>
        <w:rPr>
          <w:rFonts w:hint="eastAsia" w:ascii="仿宋_GB2312" w:eastAsia="仿宋_GB2312" w:cs="Times New Roman" w:hAnsiTheme="minorHAnsi"/>
          <w:color w:val="auto"/>
          <w:sz w:val="28"/>
          <w:szCs w:val="28"/>
          <w:highlight w:val="none"/>
          <w:u w:val="none"/>
          <w:lang w:val="en-US" w:eastAsia="zh-CN"/>
        </w:rPr>
      </w:pPr>
      <w:r>
        <w:rPr>
          <w:rFonts w:hint="eastAsia" w:ascii="仿宋_GB2312" w:eastAsia="仿宋_GB2312" w:cs="Times New Roman"/>
          <w:color w:val="auto"/>
          <w:sz w:val="28"/>
          <w:szCs w:val="28"/>
          <w:highlight w:val="none"/>
          <w:u w:val="none"/>
          <w:lang w:val="en-US" w:eastAsia="zh-CN"/>
        </w:rPr>
        <w:t>对</w:t>
      </w:r>
      <w:r>
        <w:rPr>
          <w:rFonts w:hint="eastAsia" w:ascii="仿宋_GB2312" w:hAnsi="仿宋_GB2312" w:eastAsia="仿宋_GB2312" w:cs="仿宋_GB2312"/>
          <w:color w:val="auto"/>
          <w:sz w:val="28"/>
          <w:szCs w:val="28"/>
          <w:highlight w:val="none"/>
          <w:u w:val="none"/>
        </w:rPr>
        <w:t>广州市净水有限公司江高净水厂配套主干管网工程、人和2号泵站（扩建）施工（标段一）</w:t>
      </w:r>
      <w:r>
        <w:rPr>
          <w:rFonts w:hint="eastAsia" w:ascii="仿宋_GB2312" w:hAnsi="仿宋_GB2312" w:eastAsia="仿宋_GB2312" w:cs="仿宋_GB2312"/>
          <w:color w:val="auto"/>
          <w:sz w:val="28"/>
          <w:szCs w:val="28"/>
          <w:highlight w:val="none"/>
          <w:u w:val="none"/>
          <w:lang w:val="en-US" w:eastAsia="zh-CN"/>
        </w:rPr>
        <w:t>项目尾水段子项应急出水口J1井-出水口的明挖段沿着道路人行道方向的两颗垂叶榕进行编写树木保护专章。</w:t>
      </w:r>
      <w:r>
        <w:rPr>
          <w:rFonts w:hint="eastAsia" w:ascii="仿宋_GB2312" w:eastAsia="仿宋_GB2312" w:cs="Times New Roman" w:hAnsiTheme="minorHAnsi"/>
          <w:color w:val="auto"/>
          <w:sz w:val="28"/>
          <w:szCs w:val="28"/>
          <w:highlight w:val="none"/>
          <w:u w:val="none"/>
        </w:rPr>
        <w:t>对范围内的现有绿地</w:t>
      </w:r>
      <w:r>
        <w:rPr>
          <w:rFonts w:hint="eastAsia" w:ascii="仿宋_GB2312" w:eastAsia="仿宋_GB2312" w:cs="Times New Roman" w:hAnsiTheme="minorHAnsi"/>
          <w:color w:val="auto"/>
          <w:kern w:val="2"/>
          <w:sz w:val="28"/>
          <w:szCs w:val="28"/>
          <w:highlight w:val="none"/>
          <w:u w:val="none"/>
          <w:lang w:bidi="ar"/>
        </w:rPr>
        <w:t>、连片成林树木、古树名木及古树后续资源的现状进行摸查，提出保护利用方案。报告编制要求：根据</w:t>
      </w:r>
      <w:r>
        <w:rPr>
          <w:rFonts w:hint="eastAsia" w:ascii="仿宋_GB2312" w:eastAsia="仿宋_GB2312" w:cs="Times New Roman" w:hAnsiTheme="minorHAnsi"/>
          <w:b w:val="0"/>
          <w:color w:val="auto"/>
          <w:kern w:val="2"/>
          <w:sz w:val="28"/>
          <w:szCs w:val="28"/>
          <w:highlight w:val="none"/>
          <w:u w:val="none"/>
          <w:lang w:bidi="ar"/>
        </w:rPr>
        <w:t>《</w:t>
      </w:r>
      <w:r>
        <w:rPr>
          <w:rFonts w:hint="eastAsia" w:ascii="仿宋_GB2312" w:eastAsia="仿宋_GB2312" w:cs="Times New Roman" w:hAnsiTheme="minorHAnsi"/>
          <w:color w:val="auto"/>
          <w:kern w:val="2"/>
          <w:sz w:val="28"/>
          <w:szCs w:val="28"/>
          <w:highlight w:val="none"/>
          <w:u w:val="none"/>
          <w:lang w:bidi="ar"/>
        </w:rPr>
        <w:t xml:space="preserve">广州市城市树木保护专章编制技术指引》及相关规章，报告应至少包括以下内容： </w:t>
      </w:r>
    </w:p>
    <w:p>
      <w:pPr>
        <w:widowControl/>
        <w:numPr>
          <w:ilvl w:val="-1"/>
          <w:numId w:val="0"/>
        </w:numPr>
        <w:spacing w:line="240" w:lineRule="auto"/>
        <w:ind w:left="0" w:firstLine="0" w:firstLineChars="0"/>
        <w:jc w:val="left"/>
        <w:rPr>
          <w:rFonts w:hint="eastAsia" w:ascii="仿宋_GB2312" w:eastAsia="仿宋_GB2312" w:cs="Times New Roman" w:hAnsiTheme="minorHAnsi"/>
          <w:color w:val="auto"/>
          <w:kern w:val="2"/>
          <w:sz w:val="28"/>
          <w:szCs w:val="28"/>
          <w:highlight w:val="none"/>
          <w:u w:val="none"/>
          <w:lang w:bidi="ar"/>
        </w:rPr>
      </w:pPr>
      <w:r>
        <w:rPr>
          <w:rFonts w:hint="eastAsia" w:ascii="仿宋_GB2312" w:eastAsia="仿宋_GB2312" w:cs="Times New Roman" w:hAnsiTheme="minorHAnsi"/>
          <w:color w:val="auto"/>
          <w:kern w:val="2"/>
          <w:sz w:val="28"/>
          <w:szCs w:val="28"/>
          <w:highlight w:val="none"/>
          <w:u w:val="none"/>
          <w:lang w:val="en-US" w:eastAsia="zh-CN" w:bidi="ar"/>
        </w:rPr>
        <w:t>（一</w:t>
      </w:r>
      <w:r>
        <w:rPr>
          <w:rFonts w:hint="eastAsia" w:ascii="仿宋_GB2312" w:eastAsia="仿宋_GB2312" w:cs="Times New Roman" w:hAnsiTheme="minorHAnsi"/>
          <w:color w:val="auto"/>
          <w:kern w:val="2"/>
          <w:sz w:val="28"/>
          <w:szCs w:val="28"/>
          <w:highlight w:val="none"/>
          <w:u w:val="none"/>
          <w:lang w:bidi="ar"/>
        </w:rPr>
        <w:t>）建设用地范围内的树木资源调查。包括所有树木的种类、数</w:t>
      </w:r>
    </w:p>
    <w:p>
      <w:pPr>
        <w:widowControl/>
        <w:numPr>
          <w:ilvl w:val="-1"/>
          <w:numId w:val="0"/>
        </w:numPr>
        <w:spacing w:line="240" w:lineRule="auto"/>
        <w:ind w:left="0" w:firstLine="0" w:firstLineChars="0"/>
        <w:jc w:val="left"/>
        <w:rPr>
          <w:rFonts w:hint="eastAsia" w:ascii="仿宋_GB2312" w:eastAsia="仿宋_GB2312" w:cs="Times New Roman"/>
          <w:color w:val="auto"/>
          <w:sz w:val="28"/>
          <w:szCs w:val="28"/>
          <w:highlight w:val="none"/>
          <w:u w:val="none"/>
        </w:rPr>
      </w:pPr>
      <w:r>
        <w:rPr>
          <w:rFonts w:hint="eastAsia" w:ascii="仿宋_GB2312" w:eastAsia="仿宋_GB2312" w:cs="Times New Roman" w:hAnsiTheme="minorHAnsi"/>
          <w:color w:val="auto"/>
          <w:kern w:val="2"/>
          <w:sz w:val="28"/>
          <w:szCs w:val="28"/>
          <w:highlight w:val="none"/>
          <w:u w:val="none"/>
          <w:lang w:bidi="ar"/>
        </w:rPr>
        <w:t xml:space="preserve">量、位置、生长状况、立地条件、保护设施现状等，分类编制树木信息汇总表。 </w:t>
      </w:r>
    </w:p>
    <w:p>
      <w:pPr>
        <w:widowControl/>
        <w:numPr>
          <w:ilvl w:val="-1"/>
          <w:numId w:val="0"/>
        </w:numPr>
        <w:spacing w:line="240" w:lineRule="auto"/>
        <w:ind w:left="0" w:firstLine="0" w:firstLineChars="0"/>
        <w:jc w:val="left"/>
        <w:rPr>
          <w:rFonts w:hint="eastAsia" w:ascii="仿宋_GB2312" w:eastAsia="仿宋_GB2312" w:cs="Times New Roman"/>
          <w:color w:val="auto"/>
          <w:sz w:val="28"/>
          <w:szCs w:val="28"/>
          <w:highlight w:val="none"/>
          <w:u w:val="none"/>
        </w:rPr>
      </w:pPr>
      <w:r>
        <w:rPr>
          <w:rFonts w:hint="eastAsia" w:ascii="仿宋_GB2312" w:eastAsia="仿宋_GB2312" w:cs="Times New Roman" w:hAnsiTheme="minorHAnsi"/>
          <w:color w:val="auto"/>
          <w:kern w:val="2"/>
          <w:sz w:val="28"/>
          <w:szCs w:val="28"/>
          <w:highlight w:val="none"/>
          <w:u w:val="none"/>
          <w:lang w:val="en-US" w:eastAsia="zh-CN" w:bidi="ar"/>
        </w:rPr>
        <w:t>（二</w:t>
      </w:r>
      <w:r>
        <w:rPr>
          <w:rFonts w:hint="eastAsia" w:ascii="仿宋_GB2312" w:eastAsia="仿宋_GB2312" w:cs="Times New Roman" w:hAnsiTheme="minorHAnsi"/>
          <w:color w:val="auto"/>
          <w:kern w:val="2"/>
          <w:sz w:val="28"/>
          <w:szCs w:val="28"/>
          <w:highlight w:val="none"/>
          <w:u w:val="none"/>
          <w:lang w:bidi="ar"/>
        </w:rPr>
        <w:t xml:space="preserve">）对古树名木、古树后续资源进行健康状况及安全性综合评估。并按照《广州市绿化条例》要求划定保护范围，根据树木生长状况和保护现状编制原址保护措施。 </w:t>
      </w:r>
    </w:p>
    <w:p>
      <w:pPr>
        <w:widowControl/>
        <w:numPr>
          <w:ilvl w:val="-1"/>
          <w:numId w:val="0"/>
        </w:numPr>
        <w:spacing w:line="240" w:lineRule="auto"/>
        <w:ind w:left="0" w:firstLine="0" w:firstLineChars="0"/>
        <w:jc w:val="left"/>
        <w:rPr>
          <w:rFonts w:hint="eastAsia" w:ascii="仿宋_GB2312" w:eastAsia="仿宋_GB2312" w:cs="Times New Roman"/>
          <w:color w:val="auto"/>
          <w:sz w:val="28"/>
          <w:szCs w:val="28"/>
          <w:highlight w:val="none"/>
          <w:u w:val="none"/>
        </w:rPr>
      </w:pPr>
      <w:r>
        <w:rPr>
          <w:rFonts w:hint="eastAsia" w:ascii="仿宋_GB2312" w:eastAsia="仿宋_GB2312" w:cs="Times New Roman" w:hAnsiTheme="minorHAnsi"/>
          <w:color w:val="auto"/>
          <w:kern w:val="2"/>
          <w:sz w:val="28"/>
          <w:szCs w:val="28"/>
          <w:highlight w:val="none"/>
          <w:u w:val="none"/>
          <w:lang w:val="en-US" w:eastAsia="zh-CN" w:bidi="ar"/>
        </w:rPr>
        <w:t>（三</w:t>
      </w:r>
      <w:r>
        <w:rPr>
          <w:rFonts w:hint="eastAsia" w:ascii="仿宋_GB2312" w:eastAsia="仿宋_GB2312" w:cs="Times New Roman" w:hAnsiTheme="minorHAnsi"/>
          <w:color w:val="auto"/>
          <w:kern w:val="2"/>
          <w:sz w:val="28"/>
          <w:szCs w:val="28"/>
          <w:highlight w:val="none"/>
          <w:u w:val="none"/>
          <w:lang w:bidi="ar"/>
        </w:rPr>
        <w:t xml:space="preserve">）对其他树木应提出保护和利用措施，涉及大树的，应以原址保留为主。确实需要迁移的树木，要论证其必要性，原则上在项目范围内回迁利用。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（四）对于严重病虫害、死亡，不具备迁移、施工条件，或其它特殊情形的树木，应提出合理的处置措施。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二、</w:t>
      </w:r>
      <w:r>
        <w:rPr>
          <w:rFonts w:hint="eastAsia" w:ascii="仿宋_GB2312" w:eastAsia="仿宋_GB2312"/>
          <w:color w:val="auto"/>
          <w:sz w:val="28"/>
          <w:szCs w:val="28"/>
          <w:highlight w:val="none"/>
        </w:rPr>
        <w:t>在7个工作日内提交编制计划及参编人员名单并征得甲方同意。合同执行中，乙方如需更换设计人员的，需征得甲方书面同意。</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jc w:val="left"/>
        <w:textAlignment w:val="auto"/>
        <w:rPr>
          <w:rFonts w:hint="default" w:ascii="仿宋_GB2312" w:hAnsi="仿宋_GB2312" w:eastAsia="仿宋_GB2312" w:cs="仿宋_GB2312"/>
          <w:color w:val="auto"/>
          <w:sz w:val="28"/>
          <w:szCs w:val="28"/>
          <w:highlight w:val="cyan"/>
          <w:u w:val="none"/>
          <w:lang w:val="en-US" w:eastAsia="zh-CN"/>
        </w:rPr>
      </w:pPr>
      <w:r>
        <w:rPr>
          <w:rFonts w:hint="eastAsia" w:ascii="仿宋_GB2312" w:eastAsia="仿宋_GB2312"/>
          <w:color w:val="auto"/>
          <w:sz w:val="28"/>
          <w:szCs w:val="28"/>
          <w:highlight w:val="none"/>
          <w:lang w:val="en-US" w:eastAsia="zh-CN"/>
        </w:rPr>
        <w:t>三、</w:t>
      </w:r>
      <w:r>
        <w:rPr>
          <w:rFonts w:hint="eastAsia" w:ascii="仿宋_GB2312" w:eastAsia="仿宋_GB2312"/>
          <w:color w:val="auto"/>
          <w:sz w:val="28"/>
          <w:szCs w:val="28"/>
          <w:highlight w:val="none"/>
        </w:rPr>
        <w:t>在合同签订后</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个工作日内完成项目树木保护专章编制工作。该工作应配合项目需申报迁移绿化和保护树木而进行编制、提交成果及作相应修改完善，以能最终满足甲方向林业和园林行政主管部门申报迁移和保护绿化的要求。成果书暂定一式陆份，具体以甲方通知为准。</w:t>
      </w:r>
    </w:p>
    <w:p>
      <w:pPr>
        <w:pStyle w:val="14"/>
        <w:rPr>
          <w:rFonts w:hint="default"/>
          <w:color w:val="auto"/>
          <w:highlight w:val="cyan"/>
          <w:lang w:val="en-US"/>
        </w:rPr>
      </w:pP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 w:hAnsi="仿宋" w:eastAsia="仿宋" w:cs="仿宋"/>
          <w:b w:val="0"/>
          <w:bCs w:val="0"/>
          <w:color w:val="auto"/>
          <w:sz w:val="28"/>
          <w:szCs w:val="28"/>
          <w:highlight w:val="none"/>
          <w:lang w:val="en-US" w:eastAsia="zh-CN"/>
        </w:rPr>
        <w:t>四、</w:t>
      </w:r>
      <w:r>
        <w:rPr>
          <w:rFonts w:hint="eastAsia" w:ascii="仿宋_GB2312" w:hAnsi="仿宋_GB2312" w:eastAsia="仿宋_GB2312" w:cs="仿宋_GB2312"/>
          <w:color w:val="auto"/>
          <w:sz w:val="28"/>
          <w:szCs w:val="28"/>
          <w:highlight w:val="none"/>
          <w:u w:val="none"/>
          <w:lang w:val="en-US" w:eastAsia="zh-CN"/>
        </w:rPr>
        <w:t>本服务项目需要依据国家相应的法律法规以及行业标准及相关规范；以及</w:t>
      </w:r>
      <w:r>
        <w:rPr>
          <w:rFonts w:hint="eastAsia" w:ascii="仿宋_GB2312" w:hAnsi="仿宋_GB2312" w:eastAsia="仿宋_GB2312" w:cs="仿宋_GB2312"/>
          <w:bCs w:val="0"/>
          <w:color w:val="auto"/>
          <w:sz w:val="28"/>
          <w:szCs w:val="28"/>
          <w:highlight w:val="none"/>
          <w:u w:val="none"/>
          <w:lang w:val="en-US" w:eastAsia="zh-CN"/>
        </w:rPr>
        <w:t>江高净水厂配套主干管网工程、人和2号泵站（扩建）</w:t>
      </w:r>
      <w:r>
        <w:rPr>
          <w:rFonts w:hint="eastAsia" w:ascii="仿宋_GB2312" w:hAnsi="仿宋_GB2312" w:eastAsia="仿宋_GB2312" w:cs="仿宋_GB2312"/>
          <w:color w:val="auto"/>
          <w:sz w:val="28"/>
          <w:szCs w:val="28"/>
          <w:highlight w:val="none"/>
          <w:u w:val="none"/>
          <w:lang w:val="en-US" w:eastAsia="zh-CN"/>
        </w:rPr>
        <w:t>项目的设计方案、施工图纸、投标文件、项目合同等相关文件以及净水公司的相关规定。</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p>
    <w:p>
      <w:pPr>
        <w:pStyle w:val="32"/>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32"/>
        <w:rPr>
          <w:rFonts w:hint="eastAsia" w:ascii="仿宋" w:hAnsi="仿宋" w:eastAsia="仿宋" w:cs="仿宋"/>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rPr>
          <w:rFonts w:hint="eastAsia"/>
          <w:color w:val="auto"/>
          <w:highlight w:val="none"/>
        </w:rPr>
      </w:pPr>
      <w:bookmarkStart w:id="61" w:name="_Toc25925"/>
      <w:bookmarkStart w:id="62" w:name="_Toc12135"/>
      <w:bookmarkStart w:id="63" w:name="_Toc23330"/>
      <w:bookmarkStart w:id="64" w:name="_Toc15570"/>
      <w:bookmarkStart w:id="65" w:name="_Toc18538"/>
      <w:bookmarkStart w:id="66" w:name="_Toc4680"/>
      <w:bookmarkStart w:id="67" w:name="_Toc1284"/>
      <w:bookmarkStart w:id="68" w:name="_Toc1496"/>
      <w:bookmarkStart w:id="69" w:name="_Toc537"/>
      <w:bookmarkStart w:id="70" w:name="_Toc29835"/>
      <w:bookmarkStart w:id="71" w:name="_Toc23353"/>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2313940</wp:posOffset>
                </wp:positionH>
                <wp:positionV relativeFrom="paragraph">
                  <wp:posOffset>540385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2pt;margin-top:42.55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2301875</wp:posOffset>
                </wp:positionH>
                <wp:positionV relativeFrom="paragraph">
                  <wp:posOffset>59690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25pt;margin-top:4.7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ind w:firstLine="3960" w:firstLineChars="900"/>
        <w:jc w:val="both"/>
        <w:rPr>
          <w:rFonts w:hint="eastAsia" w:eastAsia="方正小标宋简体"/>
          <w:color w:val="auto"/>
          <w:highlight w:val="none"/>
          <w:lang w:eastAsia="zh-CN"/>
        </w:rPr>
      </w:pPr>
      <w:bookmarkStart w:id="72" w:name="_Toc1375"/>
      <w:bookmarkStart w:id="73" w:name="_Toc13309"/>
      <w:bookmarkStart w:id="74" w:name="_Toc323"/>
      <w:bookmarkStart w:id="75" w:name="_Toc19088"/>
      <w:bookmarkStart w:id="76" w:name="_Toc87616386"/>
      <w:bookmarkStart w:id="77" w:name="_Toc12980"/>
      <w:bookmarkStart w:id="78" w:name="_Toc12968"/>
      <w:bookmarkStart w:id="79" w:name="_Toc88209949"/>
      <w:bookmarkStart w:id="80" w:name="_Toc19686"/>
      <w:bookmarkStart w:id="81" w:name="_Toc12721"/>
      <w:bookmarkStart w:id="82" w:name="_Toc8183"/>
      <w:bookmarkStart w:id="83" w:name="_Toc22797"/>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240" w:lineRule="auto"/>
        <w:jc w:val="left"/>
        <w:rPr>
          <w:color w:val="auto"/>
          <w:highlight w:val="none"/>
        </w:rPr>
      </w:pPr>
      <w:r>
        <w:rPr>
          <w:rFonts w:hint="eastAsia" w:ascii="方正小标宋简体" w:eastAsia="方正小标宋简体"/>
          <w:color w:val="auto"/>
          <w:sz w:val="28"/>
          <w:szCs w:val="28"/>
          <w:highlight w:val="none"/>
        </w:rPr>
        <w:br w:type="page"/>
      </w:r>
    </w:p>
    <w:p>
      <w:pPr>
        <w:jc w:val="center"/>
        <w:rPr>
          <w:rFonts w:eastAsia="黑体"/>
          <w:b/>
          <w:bCs/>
          <w:color w:val="auto"/>
          <w:sz w:val="48"/>
          <w:szCs w:val="48"/>
        </w:rPr>
      </w:pPr>
      <w:r>
        <w:rPr>
          <w:rFonts w:hint="eastAsia" w:eastAsia="黑体"/>
          <w:b/>
          <w:bCs/>
          <w:color w:val="auto"/>
          <w:sz w:val="48"/>
          <w:szCs w:val="48"/>
        </w:rPr>
        <w:t>树木保护专章编制服务合同</w:t>
      </w:r>
    </w:p>
    <w:p>
      <w:pPr>
        <w:rPr>
          <w:b/>
          <w:bCs/>
          <w:color w:val="auto"/>
          <w:sz w:val="44"/>
        </w:rPr>
      </w:pPr>
    </w:p>
    <w:p>
      <w:pPr>
        <w:rPr>
          <w:b/>
          <w:bCs/>
          <w:color w:val="auto"/>
          <w:sz w:val="44"/>
        </w:rPr>
      </w:pPr>
    </w:p>
    <w:p>
      <w:pPr>
        <w:rPr>
          <w:b/>
          <w:bCs/>
          <w:color w:val="auto"/>
          <w:sz w:val="44"/>
        </w:rPr>
      </w:pPr>
    </w:p>
    <w:p>
      <w:pPr>
        <w:spacing w:line="600" w:lineRule="auto"/>
        <w:ind w:left="1494" w:hanging="2317" w:hangingChars="498"/>
        <w:rPr>
          <w:rFonts w:ascii="宋体" w:hAnsi="宋体" w:cs="宋体"/>
          <w:bCs/>
          <w:color w:val="auto"/>
          <w:sz w:val="30"/>
          <w:szCs w:val="30"/>
          <w:u w:val="single"/>
        </w:rPr>
      </w:pPr>
      <w:r>
        <w:rPr>
          <w:rFonts w:hint="eastAsia" w:ascii="宋体" w:hAnsi="宋体" w:cs="宋体"/>
          <w:b/>
          <w:bCs/>
          <w:color w:val="auto"/>
          <w:spacing w:val="82"/>
          <w:sz w:val="30"/>
          <w:szCs w:val="30"/>
        </w:rPr>
        <w:t>工程名称：</w:t>
      </w:r>
      <w:r>
        <w:rPr>
          <w:rFonts w:hint="eastAsia" w:ascii="仿宋" w:hAnsi="仿宋" w:eastAsia="仿宋" w:cs="仿宋"/>
          <w:bCs/>
          <w:color w:val="auto"/>
          <w:sz w:val="24"/>
          <w:szCs w:val="24"/>
          <w:highlight w:val="none"/>
          <w:u w:val="single"/>
          <w:lang w:val="en-US" w:eastAsia="zh-CN"/>
        </w:rPr>
        <w:t>广州市净水有限公司江高净水厂配套主干管网工程、人和2号泵站（扩建）标段一编制树木保护专章</w:t>
      </w:r>
    </w:p>
    <w:p>
      <w:pPr>
        <w:spacing w:line="600" w:lineRule="auto"/>
        <w:ind w:left="1500" w:hanging="2326" w:hangingChars="500"/>
        <w:rPr>
          <w:rFonts w:ascii="宋体" w:hAnsi="宋体" w:cs="宋体"/>
          <w:b/>
          <w:bCs/>
          <w:color w:val="auto"/>
          <w:sz w:val="30"/>
          <w:szCs w:val="30"/>
          <w:u w:val="single"/>
        </w:rPr>
      </w:pPr>
      <w:r>
        <w:rPr>
          <w:rFonts w:hint="eastAsia" w:ascii="宋体" w:hAnsi="宋体" w:cs="宋体"/>
          <w:b/>
          <w:bCs/>
          <w:color w:val="auto"/>
          <w:spacing w:val="82"/>
          <w:sz w:val="30"/>
          <w:szCs w:val="30"/>
        </w:rPr>
        <w:t>合同名称：</w:t>
      </w:r>
    </w:p>
    <w:p>
      <w:pPr>
        <w:spacing w:line="600" w:lineRule="auto"/>
        <w:rPr>
          <w:b/>
          <w:bCs/>
          <w:color w:val="auto"/>
          <w:sz w:val="30"/>
          <w:u w:val="single"/>
        </w:rPr>
      </w:pPr>
      <w:r>
        <w:rPr>
          <w:rFonts w:hint="eastAsia"/>
          <w:b/>
          <w:bCs/>
          <w:color w:val="auto"/>
          <w:spacing w:val="82"/>
          <w:sz w:val="30"/>
        </w:rPr>
        <w:t>工程地点：</w:t>
      </w:r>
      <w:r>
        <w:rPr>
          <w:rFonts w:hint="eastAsia"/>
          <w:bCs/>
          <w:color w:val="auto"/>
          <w:sz w:val="30"/>
          <w:u w:val="single"/>
        </w:rPr>
        <w:t>广州市</w:t>
      </w:r>
    </w:p>
    <w:p>
      <w:pPr>
        <w:spacing w:line="600" w:lineRule="auto"/>
        <w:rPr>
          <w:b/>
          <w:bCs/>
          <w:color w:val="auto"/>
          <w:spacing w:val="-14"/>
          <w:u w:val="single"/>
        </w:rPr>
      </w:pPr>
      <w:r>
        <w:rPr>
          <w:rFonts w:hint="eastAsia"/>
          <w:b/>
          <w:bCs/>
          <w:color w:val="auto"/>
          <w:spacing w:val="82"/>
          <w:sz w:val="30"/>
        </w:rPr>
        <w:t>合同编号：</w:t>
      </w:r>
      <w:r>
        <w:rPr>
          <w:rFonts w:hint="eastAsia" w:ascii="宋体" w:hAnsi="宋体" w:cs="宋体"/>
          <w:bCs/>
          <w:color w:val="auto"/>
          <w:sz w:val="30"/>
          <w:szCs w:val="30"/>
          <w:u w:val="single"/>
        </w:rPr>
        <w:t>穗净水合[202</w:t>
      </w:r>
      <w:r>
        <w:rPr>
          <w:rFonts w:hint="eastAsia" w:ascii="宋体" w:hAnsi="宋体" w:cs="宋体"/>
          <w:bCs/>
          <w:color w:val="auto"/>
          <w:sz w:val="30"/>
          <w:szCs w:val="30"/>
          <w:u w:val="single"/>
          <w:lang w:val="en-US" w:eastAsia="zh-CN"/>
        </w:rPr>
        <w:t>3</w:t>
      </w:r>
      <w:r>
        <w:rPr>
          <w:rFonts w:hint="eastAsia" w:ascii="宋体" w:hAnsi="宋体" w:cs="宋体"/>
          <w:bCs/>
          <w:color w:val="auto"/>
          <w:sz w:val="30"/>
          <w:szCs w:val="30"/>
          <w:u w:val="single"/>
        </w:rPr>
        <w:t>]   号</w:t>
      </w:r>
    </w:p>
    <w:p>
      <w:pPr>
        <w:spacing w:line="600" w:lineRule="auto"/>
        <w:rPr>
          <w:b/>
          <w:bCs/>
          <w:color w:val="auto"/>
          <w:sz w:val="30"/>
        </w:rPr>
      </w:pPr>
      <w:r>
        <w:rPr>
          <w:b/>
          <w:bCs/>
          <w:color w:val="auto"/>
          <w:spacing w:val="-14"/>
        </w:rPr>
        <w:t xml:space="preserve">                 </w:t>
      </w:r>
    </w:p>
    <w:p>
      <w:pPr>
        <w:spacing w:line="600" w:lineRule="auto"/>
        <w:rPr>
          <w:b/>
          <w:bCs/>
          <w:color w:val="auto"/>
          <w:sz w:val="30"/>
        </w:rPr>
      </w:pPr>
      <w:r>
        <w:rPr>
          <w:rFonts w:hint="eastAsia"/>
          <w:b/>
          <w:bCs/>
          <w:color w:val="auto"/>
          <w:spacing w:val="82"/>
          <w:sz w:val="30"/>
        </w:rPr>
        <w:t>甲</w:t>
      </w:r>
      <w:r>
        <w:rPr>
          <w:rFonts w:hint="eastAsia"/>
          <w:b/>
          <w:bCs/>
          <w:color w:val="auto"/>
          <w:sz w:val="30"/>
        </w:rPr>
        <w:t xml:space="preserve">        方</w:t>
      </w:r>
      <w:r>
        <w:rPr>
          <w:rFonts w:hint="eastAsia"/>
          <w:b/>
          <w:bCs/>
          <w:color w:val="auto"/>
          <w:spacing w:val="82"/>
          <w:sz w:val="30"/>
        </w:rPr>
        <w:t>：</w:t>
      </w:r>
      <w:r>
        <w:rPr>
          <w:rFonts w:hint="eastAsia"/>
          <w:bCs/>
          <w:color w:val="auto"/>
          <w:sz w:val="30"/>
          <w:u w:val="single"/>
        </w:rPr>
        <w:t>广州市净水有限公司</w:t>
      </w:r>
    </w:p>
    <w:p>
      <w:pPr>
        <w:spacing w:line="600" w:lineRule="auto"/>
        <w:rPr>
          <w:rFonts w:hint="default" w:eastAsiaTheme="minorEastAsia"/>
          <w:bCs/>
          <w:color w:val="auto"/>
          <w:sz w:val="30"/>
          <w:u w:val="single"/>
          <w:lang w:val="en-US" w:eastAsia="zh-CN"/>
        </w:rPr>
      </w:pPr>
      <w:r>
        <w:rPr>
          <w:rFonts w:hint="eastAsia"/>
          <w:b/>
          <w:bCs/>
          <w:color w:val="auto"/>
          <w:spacing w:val="82"/>
          <w:sz w:val="30"/>
        </w:rPr>
        <w:t>乙</w:t>
      </w:r>
      <w:r>
        <w:rPr>
          <w:rFonts w:hint="eastAsia"/>
          <w:b/>
          <w:bCs/>
          <w:color w:val="auto"/>
          <w:sz w:val="30"/>
        </w:rPr>
        <w:t xml:space="preserve">        方</w:t>
      </w:r>
      <w:r>
        <w:rPr>
          <w:rFonts w:hint="eastAsia"/>
          <w:b/>
          <w:bCs/>
          <w:color w:val="auto"/>
          <w:spacing w:val="82"/>
          <w:sz w:val="30"/>
        </w:rPr>
        <w:t>：</w:t>
      </w:r>
      <w:r>
        <w:rPr>
          <w:rFonts w:hint="eastAsia"/>
          <w:b/>
          <w:bCs/>
          <w:color w:val="auto"/>
          <w:spacing w:val="82"/>
          <w:sz w:val="30"/>
          <w:u w:val="single"/>
          <w:lang w:val="en-US" w:eastAsia="zh-CN"/>
        </w:rPr>
        <w:t xml:space="preserve">           </w:t>
      </w:r>
    </w:p>
    <w:p>
      <w:pPr>
        <w:spacing w:line="600" w:lineRule="auto"/>
        <w:rPr>
          <w:color w:val="auto"/>
        </w:rPr>
      </w:pPr>
      <w:r>
        <w:rPr>
          <w:rFonts w:hint="eastAsia"/>
          <w:b/>
          <w:bCs/>
          <w:color w:val="auto"/>
          <w:spacing w:val="82"/>
          <w:sz w:val="30"/>
        </w:rPr>
        <w:t>签订日期：</w:t>
      </w:r>
      <w:r>
        <w:rPr>
          <w:rFonts w:hint="eastAsia"/>
          <w:bCs/>
          <w:color w:val="auto"/>
          <w:sz w:val="30"/>
          <w:u w:val="single"/>
        </w:rPr>
        <w:t xml:space="preserve">    </w:t>
      </w:r>
      <w:r>
        <w:rPr>
          <w:rFonts w:hint="eastAsia"/>
          <w:bCs/>
          <w:color w:val="auto"/>
          <w:sz w:val="30"/>
        </w:rPr>
        <w:t>年</w:t>
      </w:r>
      <w:r>
        <w:rPr>
          <w:rFonts w:hint="eastAsia"/>
          <w:bCs/>
          <w:color w:val="auto"/>
          <w:sz w:val="30"/>
          <w:u w:val="single"/>
        </w:rPr>
        <w:t xml:space="preserve">   </w:t>
      </w:r>
      <w:r>
        <w:rPr>
          <w:rFonts w:hint="eastAsia"/>
          <w:bCs/>
          <w:color w:val="auto"/>
          <w:sz w:val="30"/>
        </w:rPr>
        <w:t>月</w:t>
      </w:r>
      <w:r>
        <w:rPr>
          <w:rFonts w:hint="eastAsia"/>
          <w:bCs/>
          <w:color w:val="auto"/>
          <w:sz w:val="30"/>
          <w:u w:val="single"/>
        </w:rPr>
        <w:t xml:space="preserve">   </w:t>
      </w:r>
      <w:r>
        <w:rPr>
          <w:rFonts w:hint="eastAsia"/>
          <w:bCs/>
          <w:color w:val="auto"/>
          <w:sz w:val="30"/>
        </w:rPr>
        <w:t>日</w:t>
      </w:r>
    </w:p>
    <w:p>
      <w:pPr>
        <w:widowControl/>
        <w:jc w:val="left"/>
        <w:rPr>
          <w:color w:val="auto"/>
          <w:sz w:val="28"/>
          <w:szCs w:val="28"/>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pStyle w:val="32"/>
        <w:ind w:firstLine="1126"/>
        <w:rPr>
          <w:color w:val="auto"/>
        </w:rPr>
      </w:pPr>
    </w:p>
    <w:p>
      <w:pPr>
        <w:pStyle w:val="23"/>
        <w:jc w:val="center"/>
        <w:rPr>
          <w:rFonts w:ascii="仿宋_GB2312" w:hAnsi="仿宋_GB2312" w:eastAsia="仿宋_GB2312" w:cs="仿宋_GB2312"/>
          <w:color w:val="auto"/>
          <w:sz w:val="28"/>
          <w:szCs w:val="28"/>
        </w:rPr>
      </w:pPr>
      <w:r>
        <w:rPr>
          <w:rFonts w:hint="eastAsia" w:ascii="宋体" w:hAnsi="宋体"/>
          <w:color w:val="auto"/>
          <w:sz w:val="44"/>
          <w:szCs w:val="44"/>
        </w:rPr>
        <w:t>合同文件</w:t>
      </w:r>
    </w:p>
    <w:p>
      <w:pPr>
        <w:ind w:firstLine="228" w:firstLineChars="95"/>
        <w:rPr>
          <w:rFonts w:ascii="宋体" w:hAnsi="宋体"/>
          <w:color w:val="auto"/>
          <w:sz w:val="24"/>
        </w:rPr>
      </w:pPr>
    </w:p>
    <w:p>
      <w:pPr>
        <w:adjustRightInd w:val="0"/>
        <w:spacing w:line="360" w:lineRule="auto"/>
        <w:ind w:firstLine="480" w:firstLineChars="200"/>
        <w:jc w:val="left"/>
        <w:textAlignment w:val="baseline"/>
        <w:rPr>
          <w:rFonts w:ascii="宋体" w:hAnsi="宋体" w:cs="宋体"/>
          <w:color w:val="auto"/>
          <w:sz w:val="24"/>
          <w:u w:val="single"/>
        </w:rPr>
      </w:pPr>
      <w:r>
        <w:rPr>
          <w:rFonts w:hint="eastAsia" w:ascii="宋体" w:hAnsi="宋体" w:cs="宋体"/>
          <w:color w:val="auto"/>
          <w:sz w:val="24"/>
        </w:rPr>
        <w:t>甲方（发包人） ：</w:t>
      </w:r>
      <w:r>
        <w:rPr>
          <w:rFonts w:hint="eastAsia" w:ascii="宋体" w:hAnsi="宋体" w:cs="宋体"/>
          <w:color w:val="auto"/>
          <w:sz w:val="24"/>
          <w:u w:val="single"/>
        </w:rPr>
        <w:t>广州市</w:t>
      </w:r>
      <w:r>
        <w:rPr>
          <w:rFonts w:hint="eastAsia" w:ascii="宋体" w:hAnsi="宋体" w:cs="宋体"/>
          <w:bCs/>
          <w:color w:val="auto"/>
          <w:sz w:val="24"/>
          <w:u w:val="single"/>
        </w:rPr>
        <w:t>净水有限公司</w:t>
      </w:r>
    </w:p>
    <w:p>
      <w:pPr>
        <w:adjustRightInd w:val="0"/>
        <w:spacing w:line="360" w:lineRule="auto"/>
        <w:ind w:firstLine="480" w:firstLineChars="200"/>
        <w:jc w:val="left"/>
        <w:textAlignment w:val="baseline"/>
        <w:rPr>
          <w:rFonts w:hint="default" w:ascii="宋体" w:hAnsi="宋体" w:cs="宋体" w:eastAsiaTheme="minorEastAsia"/>
          <w:color w:val="auto"/>
          <w:sz w:val="24"/>
          <w:lang w:val="en-US" w:eastAsia="zh-CN"/>
        </w:rPr>
      </w:pPr>
      <w:r>
        <w:rPr>
          <w:rFonts w:hint="eastAsia" w:ascii="宋体" w:hAnsi="宋体" w:cs="宋体"/>
          <w:color w:val="auto"/>
          <w:sz w:val="24"/>
        </w:rPr>
        <w:t>乙方（承包人） ：</w:t>
      </w:r>
      <w:r>
        <w:rPr>
          <w:rFonts w:hint="eastAsia" w:ascii="宋体" w:hAnsi="宋体" w:cs="宋体"/>
          <w:bCs/>
          <w:color w:val="auto"/>
          <w:sz w:val="24"/>
          <w:u w:val="single"/>
          <w:lang w:val="en-US" w:eastAsia="zh-CN"/>
        </w:rPr>
        <w:t xml:space="preserve">                         </w:t>
      </w:r>
    </w:p>
    <w:p>
      <w:pPr>
        <w:pStyle w:val="13"/>
        <w:spacing w:line="360" w:lineRule="auto"/>
        <w:ind w:firstLine="480" w:firstLineChars="200"/>
        <w:rPr>
          <w:rFonts w:hAnsi="宋体" w:cs="宋体"/>
          <w:color w:val="auto"/>
          <w:sz w:val="24"/>
          <w:szCs w:val="24"/>
        </w:rPr>
      </w:pPr>
      <w:r>
        <w:rPr>
          <w:rFonts w:hint="eastAsia" w:hAnsi="宋体" w:cs="宋体"/>
          <w:color w:val="auto"/>
          <w:sz w:val="24"/>
          <w:szCs w:val="24"/>
        </w:rPr>
        <w:t>甲方就</w:t>
      </w:r>
      <w:r>
        <w:rPr>
          <w:rFonts w:hint="eastAsia" w:hAnsi="宋体" w:cs="宋体"/>
          <w:color w:val="auto"/>
          <w:sz w:val="24"/>
          <w:szCs w:val="24"/>
          <w:lang w:val="en-US" w:eastAsia="zh-CN"/>
        </w:rPr>
        <w:t>广州市净水有限公司江高净水厂配套主干管网工程、人和2号泵站（扩建）标段一编制树木保护专章</w:t>
      </w:r>
      <w:r>
        <w:rPr>
          <w:rFonts w:hint="eastAsia" w:hAnsi="宋体" w:cs="宋体"/>
          <w:color w:val="auto"/>
          <w:sz w:val="24"/>
          <w:szCs w:val="24"/>
        </w:rPr>
        <w:t>委托乙方提供相应工作成果。经双方协商一致，签订本合同。</w:t>
      </w:r>
    </w:p>
    <w:p>
      <w:pPr>
        <w:adjustRightInd w:val="0"/>
        <w:spacing w:line="360" w:lineRule="auto"/>
        <w:jc w:val="left"/>
        <w:textAlignment w:val="baseline"/>
        <w:rPr>
          <w:rFonts w:ascii="宋体" w:hAnsi="宋体" w:cs="宋体"/>
          <w:b/>
          <w:color w:val="auto"/>
          <w:sz w:val="24"/>
        </w:rPr>
      </w:pPr>
      <w:r>
        <w:rPr>
          <w:rFonts w:hint="eastAsia" w:ascii="宋体" w:hAnsi="宋体" w:cs="宋体"/>
          <w:b/>
          <w:bCs/>
          <w:color w:val="auto"/>
          <w:sz w:val="24"/>
        </w:rPr>
        <w:t>第一条</w:t>
      </w:r>
      <w:r>
        <w:rPr>
          <w:rFonts w:hint="eastAsia" w:ascii="宋体" w:hAnsi="宋体" w:cs="宋体"/>
          <w:b/>
          <w:color w:val="auto"/>
          <w:sz w:val="24"/>
        </w:rPr>
        <w:t xml:space="preserve">  签订依据 </w:t>
      </w:r>
    </w:p>
    <w:p>
      <w:pPr>
        <w:overflowPunct w:val="0"/>
        <w:adjustRightInd w:val="0"/>
        <w:spacing w:line="360" w:lineRule="auto"/>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1.1《中华人民共和国民法典》</w:t>
      </w:r>
    </w:p>
    <w:p>
      <w:pPr>
        <w:overflowPunct w:val="0"/>
        <w:adjustRightInd w:val="0"/>
        <w:spacing w:line="360" w:lineRule="auto"/>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1.2《林业行业调查规划项目收费</w:t>
      </w:r>
      <w:r>
        <w:rPr>
          <w:rFonts w:hint="eastAsia" w:ascii="宋体" w:hAnsi="宋体" w:cs="宋体"/>
          <w:color w:val="auto"/>
          <w:sz w:val="24"/>
          <w:lang w:val="en-US" w:eastAsia="zh-CN"/>
        </w:rPr>
        <w:t>指导</w:t>
      </w:r>
      <w:r>
        <w:rPr>
          <w:rFonts w:hint="eastAsia" w:ascii="宋体" w:hAnsi="宋体" w:cs="宋体"/>
          <w:color w:val="auto"/>
          <w:sz w:val="24"/>
        </w:rPr>
        <w:t>意见》</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第二条  编制依据</w:t>
      </w:r>
    </w:p>
    <w:p>
      <w:pPr>
        <w:overflowPunct w:val="0"/>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2.2甲方提交的基础资料</w:t>
      </w:r>
    </w:p>
    <w:p>
      <w:pPr>
        <w:adjustRightInd w:val="0"/>
        <w:spacing w:line="360" w:lineRule="auto"/>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2.3 乙方采用的主要技术标准包括但不限于：</w:t>
      </w:r>
      <w:r>
        <w:rPr>
          <w:rFonts w:hint="eastAsia" w:ascii="宋体" w:hAnsi="宋体" w:cs="宋体"/>
          <w:color w:val="auto"/>
          <w:sz w:val="24"/>
        </w:rPr>
        <w:t>《中华人民共和国环境保护法》（2014年修订）；《中华人民共和国森林法》（2019年修订） ；《中华人民共和国刑法》（2020年修正）；《城市古树名木保护管理办法》（2000年实施）；《广东省城市绿化条例》（2014年修正）；《广州市历史文化名城保护条例》（2020年修正）；《城市绿化条例》（2017年修订）；《广州市绿化条例》（202</w:t>
      </w:r>
      <w:r>
        <w:rPr>
          <w:rFonts w:hint="eastAsia" w:ascii="宋体" w:hAnsi="宋体" w:cs="宋体"/>
          <w:color w:val="auto"/>
          <w:sz w:val="24"/>
          <w:lang w:val="en-US" w:eastAsia="zh-CN"/>
        </w:rPr>
        <w:t>2</w:t>
      </w:r>
      <w:r>
        <w:rPr>
          <w:rFonts w:hint="eastAsia" w:ascii="宋体" w:hAnsi="宋体" w:cs="宋体"/>
          <w:color w:val="auto"/>
          <w:sz w:val="24"/>
        </w:rPr>
        <w:t>年修正）；《广州市古树名木迁移管理办法》（2020年实施）；《广州市城市树木保护管理规定（试行）》（穗林业园林规字[2022]1号）；《住房城乡建设部关于促进城市园林绿化事业健康发展的指导意见》（建城〔2012〕166号）；《全国绿化委员会关于进一步加强古树名木保护管理的意见》（全绿字〔2016〕1号）；《国务院办公厅关于科学绿化的指导意见》（国办发〔2021〕19号）；《关于在城乡建设中加强历史文化保护传承的意见》（厅字〔2021〕36号）；《</w:t>
      </w:r>
      <w:r>
        <w:rPr>
          <w:rFonts w:hint="eastAsia" w:ascii="宋体" w:hAnsi="宋体" w:cs="宋体"/>
          <w:color w:val="auto"/>
          <w:sz w:val="24"/>
          <w:lang w:val="en-US" w:eastAsia="zh-CN"/>
        </w:rPr>
        <w:t>广州市关于在城市更新行动中防止大拆大建问题的实施意见（试行）</w:t>
      </w:r>
      <w:r>
        <w:rPr>
          <w:rFonts w:hint="eastAsia" w:ascii="宋体" w:hAnsi="宋体" w:cs="宋体"/>
          <w:color w:val="auto"/>
          <w:sz w:val="24"/>
        </w:rPr>
        <w:t>》（</w:t>
      </w:r>
      <w:r>
        <w:rPr>
          <w:rFonts w:hint="eastAsia" w:ascii="宋体" w:hAnsi="宋体" w:cs="宋体"/>
          <w:color w:val="auto"/>
          <w:sz w:val="24"/>
          <w:lang w:val="en-US" w:eastAsia="zh-CN"/>
        </w:rPr>
        <w:t>穗办</w:t>
      </w:r>
      <w:r>
        <w:rPr>
          <w:rFonts w:hint="eastAsia" w:ascii="宋体" w:hAnsi="宋体" w:cs="宋体"/>
          <w:color w:val="auto"/>
          <w:sz w:val="24"/>
        </w:rPr>
        <w:t>〔2021〕</w:t>
      </w:r>
      <w:r>
        <w:rPr>
          <w:rFonts w:hint="eastAsia" w:ascii="宋体" w:hAnsi="宋体" w:cs="宋体"/>
          <w:color w:val="auto"/>
          <w:sz w:val="24"/>
          <w:lang w:val="en-US" w:eastAsia="zh-CN"/>
        </w:rPr>
        <w:t>12</w:t>
      </w:r>
      <w:r>
        <w:rPr>
          <w:rFonts w:hint="eastAsia" w:ascii="宋体" w:hAnsi="宋体" w:cs="宋体"/>
          <w:color w:val="auto"/>
          <w:sz w:val="24"/>
        </w:rPr>
        <w:t>号）；《广东省人民政府办公厅关于科学绿化的实施意见》（粤府办〔2021〕48号）；《广州市关于科学绿化的实施意见》（穂办〔2021〕11号）；《广州市城市规划管理技术标准与准则》（修建性详细规划篇）；《广州市关于在城市更新行动中防止大拆大建问题的实施意见（试行）》（建科[2021]63号）；《广州市园林事业发展“十四五”规划》（2021年9月正式发布）；《广州市绿地系统规划》（2020-2035年）；《绿化工程施工及验收规范（CJJ-82-2012）》；《城市古树名木养护和复壮工程技术规范（GB/T 51168-2016）》；《园林绿化工程项目规范（GB 55014-2021）》；《古树名木复壮技术规程（LY∕T 2494-2015）》；《古树名木鉴定规范（LY/T 2737-2016）》；《古树名木普查技术规范（LY/T 2738-2016）》；《古树名木管护技术规程（LY/T 3073-2018）》；《古树名木生长与环境监测技术规程（LY/T 2970-2018）》；《古树名木管护技术规程（LY/T 3073-2018）》；《园林植物保护技术规范(DB44/T 968-2011)》；《园林绿地养护管理技术规范(B4401/T 6-2018)》；《园林树木安全性评价技术规范（DB4401/T 17-2019）》；《园林种植土（DB4401/T 36-2019）》；《古树名木保护技术规范（DB4401/T 52-2020）》；《古树名木健康巡查技术规范（DB4401/T 126-2021）》；《广州市树木修剪技术指引（试行）》（2021.9）；《广州市城市道路绿化改造行道树处理技术指引》（2020.3）。</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上述规范如有更新的，以最新版本为准。</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第三条  合同文件的优先次序</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3.1合同书</w:t>
      </w:r>
    </w:p>
    <w:p>
      <w:pPr>
        <w:adjustRightInd w:val="0"/>
        <w:spacing w:line="360" w:lineRule="auto"/>
        <w:ind w:firstLine="480" w:firstLineChars="200"/>
        <w:jc w:val="left"/>
        <w:textAlignment w:val="baseline"/>
        <w:rPr>
          <w:rFonts w:ascii="宋体" w:hAnsi="宋体" w:cs="宋体"/>
          <w:color w:val="auto"/>
          <w:sz w:val="24"/>
          <w:shd w:val="pct10" w:color="auto" w:fill="FFFFFF"/>
        </w:rPr>
      </w:pPr>
      <w:r>
        <w:rPr>
          <w:rFonts w:hint="eastAsia" w:ascii="宋体" w:hAnsi="宋体" w:cs="宋体"/>
          <w:color w:val="auto"/>
          <w:sz w:val="24"/>
        </w:rPr>
        <w:t>3.2发包通知书</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 xml:space="preserve">3.3甲方的要求 </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3.4技术规范</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第四条  项目概况</w:t>
      </w:r>
    </w:p>
    <w:p>
      <w:pPr>
        <w:adjustRightInd w:val="0"/>
        <w:spacing w:line="360" w:lineRule="auto"/>
        <w:ind w:left="1" w:firstLine="480" w:firstLineChars="200"/>
        <w:jc w:val="left"/>
        <w:textAlignment w:val="baseline"/>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val="en-US" w:eastAsia="zh-CN"/>
        </w:rPr>
        <w:t>广州市净水有限公司江高净水厂配套主干管网工程、人和2号泵站（扩建）标段一编制树木保护专章</w:t>
      </w:r>
      <w:r>
        <w:rPr>
          <w:rFonts w:hint="eastAsia" w:ascii="宋体" w:hAnsi="宋体" w:cs="宋体"/>
          <w:color w:val="auto"/>
          <w:sz w:val="24"/>
        </w:rPr>
        <w:t>。</w:t>
      </w:r>
    </w:p>
    <w:p>
      <w:pPr>
        <w:adjustRightInd w:val="0"/>
        <w:spacing w:line="360" w:lineRule="auto"/>
        <w:ind w:left="1" w:firstLine="480" w:firstLineChars="200"/>
        <w:jc w:val="left"/>
        <w:textAlignment w:val="baseline"/>
        <w:rPr>
          <w:rFonts w:ascii="宋体" w:hAnsi="宋体" w:cs="宋体"/>
          <w:color w:val="auto"/>
          <w:sz w:val="24"/>
          <w:highlight w:val="yellow"/>
        </w:rPr>
      </w:pPr>
      <w:r>
        <w:rPr>
          <w:rFonts w:hint="eastAsia" w:ascii="宋体" w:hAnsi="宋体" w:cs="宋体"/>
          <w:color w:val="auto"/>
          <w:sz w:val="24"/>
        </w:rPr>
        <w:t>项目地点：</w:t>
      </w:r>
      <w:r>
        <w:rPr>
          <w:rFonts w:hint="eastAsia" w:ascii="宋体" w:hAnsi="宋体" w:cs="宋体"/>
          <w:color w:val="auto"/>
          <w:sz w:val="24"/>
          <w:u w:val="single"/>
        </w:rPr>
        <w:t>位于广州市</w:t>
      </w:r>
      <w:r>
        <w:rPr>
          <w:rFonts w:hint="eastAsia" w:ascii="宋体" w:hAnsi="宋体" w:cs="宋体"/>
          <w:color w:val="auto"/>
          <w:sz w:val="24"/>
          <w:u w:val="single"/>
          <w:lang w:val="en-US" w:eastAsia="zh-CN"/>
        </w:rPr>
        <w:t>白云</w:t>
      </w:r>
      <w:r>
        <w:rPr>
          <w:rFonts w:hint="eastAsia" w:ascii="宋体" w:hAnsi="宋体" w:cs="宋体"/>
          <w:color w:val="auto"/>
          <w:sz w:val="24"/>
          <w:u w:val="single"/>
        </w:rPr>
        <w:t>区。</w:t>
      </w:r>
    </w:p>
    <w:p>
      <w:pPr>
        <w:adjustRightInd w:val="0"/>
        <w:spacing w:line="360" w:lineRule="auto"/>
        <w:ind w:left="1" w:firstLine="480" w:firstLineChars="200"/>
        <w:jc w:val="left"/>
        <w:textAlignment w:val="baseline"/>
        <w:rPr>
          <w:rFonts w:hint="eastAsia" w:ascii="宋体" w:hAnsi="宋体" w:cs="宋体"/>
          <w:color w:val="auto"/>
          <w:sz w:val="24"/>
          <w:highlight w:val="green"/>
        </w:rPr>
      </w:pPr>
      <w:r>
        <w:rPr>
          <w:rFonts w:hint="eastAsia" w:ascii="宋体" w:hAnsi="宋体" w:cs="宋体"/>
          <w:color w:val="auto"/>
          <w:sz w:val="24"/>
        </w:rPr>
        <w:t>主要工作内容包括：</w:t>
      </w:r>
      <w:r>
        <w:rPr>
          <w:rFonts w:hint="eastAsia" w:ascii="宋体" w:hAnsi="宋体" w:cs="宋体"/>
          <w:color w:val="auto"/>
          <w:sz w:val="24"/>
          <w:lang w:val="en-US" w:eastAsia="zh-CN"/>
        </w:rPr>
        <w:t>对</w:t>
      </w:r>
      <w:r>
        <w:rPr>
          <w:rFonts w:hint="eastAsia" w:ascii="宋体" w:hAnsi="宋体" w:cs="宋体" w:eastAsiaTheme="minorEastAsia"/>
          <w:color w:val="auto"/>
          <w:sz w:val="24"/>
          <w:szCs w:val="22"/>
          <w:highlight w:val="none"/>
          <w:u w:val="none"/>
        </w:rPr>
        <w:t>广州市净水有限公司江高净水厂配套主干管网工程、人和2号泵站（扩建）施工（标段一）</w:t>
      </w:r>
      <w:r>
        <w:rPr>
          <w:rFonts w:hint="eastAsia" w:ascii="宋体" w:hAnsi="宋体" w:cs="宋体" w:eastAsiaTheme="minorEastAsia"/>
          <w:color w:val="auto"/>
          <w:sz w:val="24"/>
          <w:szCs w:val="22"/>
          <w:highlight w:val="none"/>
          <w:u w:val="none"/>
          <w:lang w:val="en-US" w:eastAsia="zh-CN"/>
        </w:rPr>
        <w:t>项目尾水段子项应急出水口J1井-出水口的明挖段沿着道路人行道方向的两颗垂叶榕进行编写</w:t>
      </w:r>
      <w:r>
        <w:rPr>
          <w:rFonts w:hint="eastAsia" w:ascii="宋体" w:hAnsi="宋体" w:cs="宋体"/>
          <w:color w:val="auto"/>
          <w:sz w:val="24"/>
          <w:szCs w:val="22"/>
          <w:u w:val="none"/>
          <w:lang w:val="en-US" w:eastAsia="zh-CN"/>
        </w:rPr>
        <w:t>树木</w:t>
      </w:r>
      <w:r>
        <w:rPr>
          <w:rFonts w:hint="eastAsia" w:ascii="宋体" w:hAnsi="宋体" w:cs="宋体" w:eastAsiaTheme="minorEastAsia"/>
          <w:color w:val="auto"/>
          <w:sz w:val="24"/>
          <w:szCs w:val="22"/>
          <w:highlight w:val="none"/>
          <w:u w:val="none"/>
          <w:lang w:val="en-US" w:eastAsia="zh-CN"/>
        </w:rPr>
        <w:t>保护专章。</w:t>
      </w:r>
      <w:r>
        <w:rPr>
          <w:rFonts w:hint="eastAsia" w:ascii="宋体" w:hAnsi="宋体" w:cs="宋体" w:eastAsiaTheme="minorEastAsia"/>
          <w:color w:val="auto"/>
          <w:sz w:val="24"/>
          <w:szCs w:val="22"/>
          <w:highlight w:val="none"/>
          <w:u w:val="none"/>
        </w:rPr>
        <w:t>对范围内的现有绿地</w:t>
      </w:r>
      <w:r>
        <w:rPr>
          <w:rFonts w:hint="eastAsia" w:ascii="宋体" w:hAnsi="宋体" w:cs="宋体" w:eastAsiaTheme="minorEastAsia"/>
          <w:color w:val="auto"/>
          <w:kern w:val="2"/>
          <w:sz w:val="24"/>
          <w:szCs w:val="22"/>
          <w:highlight w:val="none"/>
          <w:u w:val="none"/>
          <w:lang w:bidi="ar"/>
        </w:rPr>
        <w:t>、连片成林树木、古树名木及古树后续资源的现状进行摸查，提出保护利用方案</w:t>
      </w:r>
      <w:r>
        <w:rPr>
          <w:rFonts w:ascii="宋体" w:hAnsi="宋体" w:cs="宋体"/>
          <w:color w:val="auto"/>
          <w:sz w:val="24"/>
        </w:rPr>
        <w:t>；</w:t>
      </w:r>
      <w:r>
        <w:rPr>
          <w:rFonts w:hint="eastAsia" w:ascii="宋体" w:hAnsi="宋体" w:cs="宋体"/>
          <w:color w:val="auto"/>
          <w:sz w:val="24"/>
        </w:rPr>
        <w:t>对项目场地范围内</w:t>
      </w:r>
      <w:r>
        <w:rPr>
          <w:rFonts w:ascii="宋体" w:hAnsi="宋体" w:cs="宋体"/>
          <w:color w:val="auto"/>
          <w:sz w:val="24"/>
        </w:rPr>
        <w:t>胸径20cm（含）以上树木的基本信息（树种、科属、拉丁名、地理位置）、生长状况（长势、株高、胸径、冠幅、存在问题）、立地环境进行调查记录；编写树木保护专章</w:t>
      </w:r>
      <w:r>
        <w:rPr>
          <w:rFonts w:hint="eastAsia" w:ascii="宋体" w:hAnsi="宋体" w:cs="宋体"/>
          <w:color w:val="auto"/>
          <w:sz w:val="24"/>
        </w:rPr>
        <w:t>，并配合绿化迁移申报</w:t>
      </w:r>
      <w:r>
        <w:rPr>
          <w:rFonts w:ascii="宋体" w:hAnsi="宋体" w:cs="宋体"/>
          <w:color w:val="auto"/>
          <w:sz w:val="24"/>
        </w:rPr>
        <w:t>。</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第五条 乙方向甲方交付资料及文件</w:t>
      </w:r>
    </w:p>
    <w:p>
      <w:pPr>
        <w:adjustRightInd w:val="0"/>
        <w:spacing w:line="360" w:lineRule="auto"/>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5.1本合同签订后，乙方应在</w:t>
      </w:r>
      <w:r>
        <w:rPr>
          <w:rFonts w:hint="eastAsia" w:ascii="宋体" w:hAnsi="宋体" w:cs="宋体"/>
          <w:color w:val="auto"/>
          <w:sz w:val="24"/>
          <w:lang w:val="en-US" w:eastAsia="zh-CN"/>
        </w:rPr>
        <w:t>7</w:t>
      </w:r>
      <w:r>
        <w:rPr>
          <w:rFonts w:hint="eastAsia" w:ascii="宋体" w:hAnsi="宋体" w:cs="宋体"/>
          <w:color w:val="auto"/>
          <w:sz w:val="24"/>
        </w:rPr>
        <w:t>个工作日内提交编制计划及参编人员名单并征得甲方同意。合同执行中，乙方如需更换设计人员的，需征得甲方书面同意。</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5.2 乙方应在合同签订后15个工作日内完成</w:t>
      </w:r>
      <w:r>
        <w:rPr>
          <w:rFonts w:hint="eastAsia" w:ascii="宋体" w:hAnsi="宋体" w:cs="宋体" w:eastAsiaTheme="minorEastAsia"/>
          <w:bCs w:val="0"/>
          <w:color w:val="auto"/>
          <w:sz w:val="24"/>
          <w:szCs w:val="22"/>
          <w:u w:val="none"/>
          <w:lang w:val="en-US" w:eastAsia="zh-CN"/>
        </w:rPr>
        <w:t>江高净水厂配套主干管网工程、人和2号泵站（扩建）施工（标段一）树木专章</w:t>
      </w:r>
      <w:r>
        <w:rPr>
          <w:rFonts w:hint="eastAsia" w:ascii="宋体" w:hAnsi="宋体" w:cs="宋体"/>
          <w:color w:val="auto"/>
          <w:sz w:val="24"/>
        </w:rPr>
        <w:t>编制工作。该工作应配合</w:t>
      </w:r>
      <w:r>
        <w:rPr>
          <w:rFonts w:hint="eastAsia" w:ascii="宋体" w:hAnsi="宋体" w:cs="宋体" w:eastAsiaTheme="minorEastAsia"/>
          <w:bCs w:val="0"/>
          <w:color w:val="auto"/>
          <w:sz w:val="24"/>
          <w:szCs w:val="22"/>
          <w:u w:val="none"/>
          <w:lang w:val="en-US" w:eastAsia="zh-CN"/>
        </w:rPr>
        <w:t>江高净水厂配套主干管网工程、人和2号泵站（扩建）施工（标段一）</w:t>
      </w:r>
      <w:r>
        <w:rPr>
          <w:rFonts w:hint="eastAsia" w:ascii="宋体" w:hAnsi="宋体" w:cs="宋体"/>
          <w:color w:val="auto"/>
          <w:sz w:val="24"/>
        </w:rPr>
        <w:t>需申报迁移绿化和保护树木而进行编制、提交成果及作相应修改完善，以能最终满足甲方向林业和园林行政主管部门申报迁移和保护绿化的要求。成果书暂定一式十份，电子光盘2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5.3乙方应配合甲方开展结算工作并提交结算的相关资料,若乙方在接到甲方通知后逾期超过30天未提交完整的结算资料和结算报告等，甲方有权单方自行结算，由此产生的一切责任由乙方承担。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 xml:space="preserve">第六条 费用 </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6.1本合同总价包干暂定为人民币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万元（大写：元整，税率</w:t>
      </w:r>
      <w:r>
        <w:rPr>
          <w:rFonts w:ascii="宋体" w:hAnsi="宋体" w:cs="宋体"/>
          <w:color w:val="auto"/>
          <w:sz w:val="24"/>
          <w:highlight w:val="none"/>
        </w:rPr>
        <w:t>6</w:t>
      </w:r>
      <w:r>
        <w:rPr>
          <w:rFonts w:hint="eastAsia" w:ascii="宋体" w:hAnsi="宋体" w:cs="宋体"/>
          <w:color w:val="auto"/>
          <w:sz w:val="24"/>
          <w:highlight w:val="none"/>
        </w:rPr>
        <w:t>%）。甲、乙双</w:t>
      </w:r>
      <w:r>
        <w:rPr>
          <w:rFonts w:hint="eastAsia" w:ascii="宋体" w:hAnsi="宋体" w:cs="宋体"/>
          <w:color w:val="auto"/>
          <w:sz w:val="24"/>
        </w:rPr>
        <w:t>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6.2本合同采用总价包干，工作内容包括完成本合同项下的所有工作（包含但不限于成果编制和报审、修改完善及公示期间相关工作的配合）。</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第七条 支付方式</w:t>
      </w:r>
    </w:p>
    <w:p>
      <w:pPr>
        <w:spacing w:line="360" w:lineRule="auto"/>
        <w:ind w:firstLine="480" w:firstLineChars="200"/>
        <w:rPr>
          <w:rFonts w:hint="eastAsia" w:ascii="宋体" w:hAnsi="宋体"/>
          <w:color w:val="auto"/>
          <w:sz w:val="24"/>
          <w:highlight w:val="green"/>
        </w:rPr>
      </w:pPr>
      <w:r>
        <w:rPr>
          <w:rFonts w:hint="eastAsia" w:ascii="宋体" w:hAnsi="宋体" w:cs="宋体"/>
          <w:color w:val="auto"/>
          <w:sz w:val="24"/>
        </w:rPr>
        <w:t>7.1.1支付办法：</w:t>
      </w:r>
      <w:r>
        <w:rPr>
          <w:rFonts w:hint="eastAsia" w:ascii="宋体" w:hAnsi="宋体"/>
          <w:color w:val="auto"/>
          <w:sz w:val="24"/>
        </w:rPr>
        <w:t>本合同生效后，甲方按照</w:t>
      </w:r>
      <w:r>
        <w:rPr>
          <w:rFonts w:hint="eastAsia" w:ascii="宋体" w:hAnsi="宋体" w:cs="宋体"/>
          <w:color w:val="auto"/>
          <w:sz w:val="24"/>
          <w:u w:val="single"/>
        </w:rPr>
        <w:t>《广州市净水有限公司资金集中支付管理办法》</w:t>
      </w:r>
      <w:r>
        <w:rPr>
          <w:rFonts w:hint="eastAsia" w:ascii="宋体" w:hAnsi="宋体"/>
          <w:color w:val="auto"/>
          <w:sz w:val="24"/>
        </w:rPr>
        <w:t>，向乙方支付项目费用。</w:t>
      </w:r>
    </w:p>
    <w:p>
      <w:pPr>
        <w:pStyle w:val="32"/>
        <w:ind w:firstLine="480" w:firstLineChars="200"/>
        <w:rPr>
          <w:rFonts w:hAnsi="宋体" w:eastAsia="宋体"/>
          <w:color w:val="auto"/>
        </w:rPr>
      </w:pPr>
      <w:r>
        <w:rPr>
          <w:rFonts w:hint="eastAsia" w:hAnsi="宋体"/>
          <w:color w:val="auto"/>
        </w:rPr>
        <w:t xml:space="preserve">7.1.2 </w:t>
      </w:r>
      <w:r>
        <w:rPr>
          <w:rFonts w:hint="eastAsia" w:hAnsi="宋体" w:eastAsia="宋体"/>
          <w:color w:val="auto"/>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w:t>
      </w:r>
      <w:r>
        <w:rPr>
          <w:rFonts w:hint="eastAsia" w:ascii="宋体" w:hAnsi="宋体" w:cs="宋体"/>
          <w:color w:val="auto"/>
          <w:sz w:val="24"/>
          <w:highlight w:val="none"/>
        </w:rPr>
        <w:t>普通</w:t>
      </w:r>
      <w:r>
        <w:rPr>
          <w:rFonts w:hint="eastAsia" w:ascii="宋体" w:hAnsi="宋体" w:cs="宋体"/>
          <w:color w:val="auto"/>
          <w:sz w:val="24"/>
          <w:highlight w:val="none"/>
        </w:rPr>
        <w:t>发票给甲方。增值税</w:t>
      </w:r>
      <w:r>
        <w:rPr>
          <w:rFonts w:hint="eastAsia" w:ascii="宋体" w:hAnsi="宋体" w:cs="宋体"/>
          <w:color w:val="auto"/>
          <w:sz w:val="24"/>
          <w:highlight w:val="none"/>
        </w:rPr>
        <w:t>普通</w:t>
      </w:r>
      <w:r>
        <w:rPr>
          <w:rFonts w:hint="eastAsia" w:ascii="宋体" w:hAnsi="宋体" w:cs="宋体"/>
          <w:color w:val="auto"/>
          <w:sz w:val="24"/>
          <w:highlight w:val="none"/>
        </w:rPr>
        <w:t>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 广州市净水有限公司</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税号： 91440101755584729Q</w:t>
      </w:r>
    </w:p>
    <w:p>
      <w:pPr>
        <w:spacing w:line="384" w:lineRule="auto"/>
        <w:ind w:firstLine="960" w:firstLineChars="400"/>
        <w:rPr>
          <w:rFonts w:hint="eastAsia" w:ascii="宋体" w:hAnsi="宋体" w:cs="宋体"/>
          <w:color w:val="auto"/>
          <w:sz w:val="24"/>
          <w:highlight w:val="yellow"/>
        </w:rPr>
      </w:pPr>
      <w:r>
        <w:rPr>
          <w:rFonts w:hint="eastAsia" w:ascii="宋体" w:hAnsi="宋体" w:cs="宋体"/>
          <w:color w:val="auto"/>
          <w:sz w:val="24"/>
          <w:highlight w:val="none"/>
        </w:rPr>
        <w:t>地址： 广州市天河区临江大道501号</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7.1.3付款方式：</w:t>
      </w:r>
      <w:r>
        <w:rPr>
          <w:rFonts w:ascii="Wingdings" w:hAnsi="Wingdings" w:cs="宋体"/>
          <w:color w:val="auto"/>
          <w:sz w:val="24"/>
        </w:rPr>
        <w:sym w:font="Wingdings" w:char="F0FE"/>
      </w:r>
      <w:r>
        <w:rPr>
          <w:rFonts w:hint="eastAsia" w:ascii="宋体" w:hAnsi="宋体" w:cs="宋体"/>
          <w:color w:val="auto"/>
          <w:sz w:val="24"/>
        </w:rPr>
        <w:t>网银支付；</w:t>
      </w:r>
      <w:r>
        <w:rPr>
          <w:rFonts w:ascii="Wingdings" w:hAnsi="Wingdings" w:cs="宋体"/>
          <w:color w:val="auto"/>
          <w:sz w:val="24"/>
        </w:rPr>
        <w:sym w:font="Wingdings" w:char="F0A8"/>
      </w:r>
      <w:r>
        <w:rPr>
          <w:rFonts w:hint="eastAsia" w:ascii="宋体" w:hAnsi="宋体" w:cs="宋体"/>
          <w:color w:val="auto"/>
          <w:sz w:val="24"/>
        </w:rPr>
        <w:t>支票；</w:t>
      </w:r>
      <w:r>
        <w:rPr>
          <w:rFonts w:ascii="Wingdings" w:hAnsi="Wingdings" w:cs="宋体"/>
          <w:color w:val="auto"/>
          <w:sz w:val="24"/>
        </w:rPr>
        <w:sym w:font="Wingdings" w:char="F0A8"/>
      </w:r>
      <w:r>
        <w:rPr>
          <w:rFonts w:hint="eastAsia" w:ascii="宋体" w:hAnsi="宋体" w:cs="宋体"/>
          <w:color w:val="auto"/>
          <w:sz w:val="24"/>
        </w:rPr>
        <w:t>其他：/</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7.2 本合同生效后，乙方向甲方提出定金支付申请，甲方向乙方支付合同包干价的20％作为定金，计</w:t>
      </w:r>
      <w:r>
        <w:rPr>
          <w:rFonts w:hint="eastAsia" w:ascii="宋体" w:hAnsi="宋体" w:cs="宋体"/>
          <w:color w:val="auto"/>
          <w:sz w:val="24"/>
          <w:u w:val="single"/>
          <w:lang w:val="en-US" w:eastAsia="zh-CN"/>
        </w:rPr>
        <w:t xml:space="preserve">   </w:t>
      </w:r>
      <w:r>
        <w:rPr>
          <w:rFonts w:hint="eastAsia" w:ascii="宋体" w:hAnsi="宋体" w:cs="宋体"/>
          <w:color w:val="auto"/>
          <w:sz w:val="24"/>
        </w:rPr>
        <w:t>万元。</w:t>
      </w:r>
    </w:p>
    <w:p>
      <w:pPr>
        <w:adjustRightInd w:val="0"/>
        <w:spacing w:line="360" w:lineRule="auto"/>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7.3 乙方应于当月20日前将工程支付申请书一式四份报送给甲方，费用按照以下方式予以支付：</w:t>
      </w:r>
    </w:p>
    <w:p>
      <w:pPr>
        <w:adjustRightInd w:val="0"/>
        <w:spacing w:line="360" w:lineRule="auto"/>
        <w:ind w:firstLine="480" w:firstLineChars="200"/>
        <w:jc w:val="left"/>
        <w:textAlignment w:val="baseline"/>
        <w:rPr>
          <w:rFonts w:ascii="宋体" w:hAnsi="宋体" w:cs="宋体"/>
          <w:color w:val="auto"/>
          <w:sz w:val="24"/>
        </w:rPr>
      </w:pPr>
      <w:r>
        <w:rPr>
          <w:rFonts w:ascii="宋体" w:hAnsi="宋体" w:cs="宋体"/>
          <w:color w:val="auto"/>
          <w:sz w:val="24"/>
        </w:rPr>
        <w:t xml:space="preserve">7.3.1 </w:t>
      </w:r>
      <w:r>
        <w:rPr>
          <w:rFonts w:hint="eastAsia" w:ascii="宋体" w:hAnsi="宋体" w:cs="宋体"/>
          <w:color w:val="auto"/>
          <w:sz w:val="24"/>
        </w:rPr>
        <w:t>乙方提交树木保护专章，经甲方确认后，甲方向乙方支付至合同包干价的</w:t>
      </w:r>
      <w:r>
        <w:rPr>
          <w:rFonts w:ascii="宋体" w:hAnsi="宋体" w:cs="宋体"/>
          <w:color w:val="auto"/>
          <w:sz w:val="24"/>
        </w:rPr>
        <w:t>60%（含定金）。</w:t>
      </w:r>
    </w:p>
    <w:p>
      <w:pPr>
        <w:overflowPunct w:val="0"/>
        <w:adjustRightInd w:val="0"/>
        <w:spacing w:line="360" w:lineRule="auto"/>
        <w:ind w:firstLine="480" w:firstLineChars="200"/>
        <w:jc w:val="left"/>
        <w:textAlignment w:val="baseline"/>
        <w:rPr>
          <w:rFonts w:ascii="宋体" w:hAnsi="宋体" w:cs="宋体"/>
          <w:color w:val="auto"/>
          <w:sz w:val="24"/>
        </w:rPr>
      </w:pPr>
      <w:r>
        <w:rPr>
          <w:rFonts w:ascii="宋体" w:hAnsi="宋体" w:cs="宋体"/>
          <w:color w:val="auto"/>
          <w:sz w:val="24"/>
        </w:rPr>
        <w:t xml:space="preserve">7.3.2 </w:t>
      </w:r>
      <w:r>
        <w:rPr>
          <w:rFonts w:hint="eastAsia" w:ascii="宋体" w:hAnsi="宋体" w:cs="宋体"/>
          <w:color w:val="auto"/>
          <w:sz w:val="24"/>
          <w:lang w:val="en-US" w:eastAsia="zh-CN"/>
        </w:rPr>
        <w:t>甲方</w:t>
      </w:r>
      <w:r>
        <w:rPr>
          <w:rFonts w:hint="eastAsia" w:ascii="宋体" w:hAnsi="宋体" w:cs="宋体"/>
          <w:color w:val="auto"/>
          <w:sz w:val="24"/>
        </w:rPr>
        <w:t>提交树木保护专章，</w:t>
      </w:r>
      <w:r>
        <w:rPr>
          <w:rFonts w:hint="eastAsia"/>
          <w:color w:val="auto"/>
          <w:sz w:val="24"/>
        </w:rPr>
        <w:t>作为</w:t>
      </w:r>
      <w:r>
        <w:rPr>
          <w:rFonts w:hint="eastAsia"/>
          <w:color w:val="auto"/>
          <w:sz w:val="24"/>
          <w:lang w:val="en-US" w:eastAsia="zh-CN"/>
        </w:rPr>
        <w:t>江高净水厂配套主干管网工程、人和2号泵站（扩建）施工（标段一）树木专章</w:t>
      </w:r>
      <w:r>
        <w:rPr>
          <w:rFonts w:hint="eastAsia" w:ascii="宋体" w:hAnsi="宋体" w:cs="宋体"/>
          <w:color w:val="auto"/>
          <w:sz w:val="24"/>
          <w:lang w:val="en-US" w:eastAsia="zh-CN"/>
        </w:rPr>
        <w:t>申报绿化迁移和保护的配套文件，取得园林主管部门同意意见后</w:t>
      </w:r>
      <w:r>
        <w:rPr>
          <w:rFonts w:hint="eastAsia" w:ascii="宋体" w:hAnsi="宋体" w:cs="宋体"/>
          <w:color w:val="auto"/>
          <w:sz w:val="24"/>
        </w:rPr>
        <w:t>，</w:t>
      </w:r>
      <w:r>
        <w:rPr>
          <w:rFonts w:hint="eastAsia" w:ascii="宋体" w:hAnsi="宋体" w:cs="宋体"/>
          <w:color w:val="auto"/>
          <w:sz w:val="24"/>
        </w:rPr>
        <w:t>甲方向乙方支付至合同包干价的</w:t>
      </w:r>
      <w:r>
        <w:rPr>
          <w:rFonts w:ascii="宋体" w:hAnsi="宋体" w:cs="宋体"/>
          <w:color w:val="auto"/>
          <w:sz w:val="24"/>
        </w:rPr>
        <w:t>80%（含定金）。</w:t>
      </w:r>
    </w:p>
    <w:p>
      <w:pPr>
        <w:overflowPunct w:val="0"/>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7.3.3</w:t>
      </w:r>
      <w:r>
        <w:rPr>
          <w:rFonts w:hint="eastAsia" w:ascii="宋体" w:hAnsi="宋体"/>
          <w:color w:val="auto"/>
          <w:sz w:val="24"/>
        </w:rPr>
        <w:t>待相关部门终审结算后，甲方支付至合同结算价的100% 。</w:t>
      </w:r>
    </w:p>
    <w:p>
      <w:pPr>
        <w:adjustRightInd w:val="0"/>
        <w:spacing w:line="360" w:lineRule="auto"/>
        <w:ind w:firstLine="480" w:firstLineChars="200"/>
        <w:jc w:val="left"/>
        <w:textAlignment w:val="baseline"/>
        <w:rPr>
          <w:color w:val="auto"/>
        </w:rPr>
      </w:pPr>
      <w:r>
        <w:rPr>
          <w:rFonts w:hint="eastAsia" w:ascii="宋体" w:hAnsi="宋体" w:cs="宋体"/>
          <w:color w:val="auto"/>
          <w:sz w:val="24"/>
        </w:rPr>
        <w:t>7.4乙方</w:t>
      </w:r>
      <w:r>
        <w:rPr>
          <w:rFonts w:hint="eastAsia" w:ascii="宋体" w:hAnsi="宋体"/>
          <w:color w:val="auto"/>
          <w:sz w:val="24"/>
        </w:rPr>
        <w:t>在收取每一笔合同费用前，需向甲方提供等额有效的增值税</w:t>
      </w:r>
      <w:r>
        <w:rPr>
          <w:rFonts w:hint="eastAsia" w:ascii="宋体" w:hAnsi="宋体"/>
          <w:color w:val="auto"/>
          <w:sz w:val="24"/>
          <w:lang w:val="en-US" w:eastAsia="zh-CN"/>
        </w:rPr>
        <w:t>普通</w:t>
      </w:r>
      <w:r>
        <w:rPr>
          <w:rFonts w:hint="eastAsia" w:ascii="宋体" w:hAnsi="宋体"/>
          <w:color w:val="auto"/>
          <w:sz w:val="24"/>
        </w:rPr>
        <w:t>发票。</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第八条 双方责任</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8.1甲方责任</w:t>
      </w:r>
    </w:p>
    <w:p>
      <w:pPr>
        <w:spacing w:line="360" w:lineRule="auto"/>
        <w:ind w:firstLine="480" w:firstLineChars="200"/>
        <w:rPr>
          <w:rFonts w:hint="eastAsia" w:ascii="宋体" w:hAnsi="宋体"/>
          <w:color w:val="auto"/>
          <w:sz w:val="24"/>
        </w:rPr>
      </w:pPr>
      <w:r>
        <w:rPr>
          <w:rFonts w:hint="eastAsia" w:ascii="宋体" w:hAnsi="宋体" w:cs="宋体"/>
          <w:color w:val="auto"/>
          <w:sz w:val="24"/>
        </w:rPr>
        <w:t>8.1.1</w:t>
      </w:r>
      <w:r>
        <w:rPr>
          <w:rFonts w:hint="eastAsia" w:ascii="宋体" w:hAnsi="宋体"/>
          <w:color w:val="auto"/>
          <w:sz w:val="24"/>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olor w:val="auto"/>
          <w:sz w:val="24"/>
        </w:rPr>
      </w:pPr>
      <w:r>
        <w:rPr>
          <w:rFonts w:hint="eastAsia" w:ascii="宋体" w:hAnsi="宋体"/>
          <w:color w:val="auto"/>
          <w:sz w:val="24"/>
        </w:rPr>
        <w:t>8.1.2 合同生效后，</w:t>
      </w:r>
      <w:r>
        <w:rPr>
          <w:rFonts w:hint="eastAsia" w:ascii="宋体" w:hAnsi="宋体"/>
          <w:color w:val="auto"/>
          <w:sz w:val="24"/>
        </w:rPr>
        <w:t>由于甲方原因</w:t>
      </w:r>
      <w:r>
        <w:rPr>
          <w:rFonts w:hint="eastAsia" w:ascii="宋体" w:hAnsi="宋体"/>
          <w:color w:val="auto"/>
          <w:sz w:val="24"/>
        </w:rPr>
        <w:t xml:space="preserve">要求终止或解除合同，乙方未开始项目工作的，不退还甲方已付的定金。 </w:t>
      </w:r>
    </w:p>
    <w:p>
      <w:pPr>
        <w:spacing w:line="360" w:lineRule="auto"/>
        <w:ind w:firstLine="480" w:firstLineChars="200"/>
        <w:rPr>
          <w:rFonts w:ascii="宋体" w:hAnsi="宋体" w:cs="宋体"/>
          <w:color w:val="auto"/>
          <w:sz w:val="24"/>
        </w:rPr>
      </w:pPr>
      <w:r>
        <w:rPr>
          <w:rFonts w:hint="eastAsia" w:ascii="宋体" w:hAnsi="宋体" w:cs="宋体"/>
          <w:color w:val="auto"/>
          <w:sz w:val="24"/>
        </w:rPr>
        <w:t>8.1.3在合同履行期间，已开始编制工作，非乙方原因甲方要求终止或解除合同的，甲方根据乙方已进行的实际工作量按实进行结算，最高支付至合同包干价的六成。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color w:val="auto"/>
          <w:sz w:val="24"/>
        </w:rPr>
      </w:pPr>
      <w:r>
        <w:rPr>
          <w:rFonts w:hint="eastAsia" w:ascii="宋体" w:hAnsi="宋体" w:cs="宋体"/>
          <w:color w:val="auto"/>
          <w:sz w:val="24"/>
        </w:rPr>
        <w:t xml:space="preserve"> 8.1.4甲方要求乙方比合同规定时间提前交付编制文件时，需提前通知乙方，且征得乙方同意，不得严重背离合理编制周期。</w:t>
      </w:r>
    </w:p>
    <w:p>
      <w:pPr>
        <w:pStyle w:val="5"/>
        <w:keepNext w:val="0"/>
        <w:keepLines w:val="0"/>
        <w:spacing w:before="0" w:after="0" w:line="360" w:lineRule="auto"/>
        <w:ind w:firstLine="482" w:firstLineChars="200"/>
        <w:rPr>
          <w:rFonts w:ascii="宋体" w:hAnsi="宋体" w:cs="宋体"/>
          <w:bCs w:val="0"/>
          <w:color w:val="auto"/>
          <w:sz w:val="24"/>
          <w:szCs w:val="24"/>
        </w:rPr>
      </w:pPr>
      <w:r>
        <w:rPr>
          <w:rFonts w:hint="eastAsia" w:ascii="宋体" w:hAnsi="宋体" w:cs="宋体"/>
          <w:bCs w:val="0"/>
          <w:color w:val="auto"/>
          <w:sz w:val="24"/>
          <w:szCs w:val="24"/>
        </w:rPr>
        <w:t>8.2乙方责任</w:t>
      </w:r>
    </w:p>
    <w:p>
      <w:pPr>
        <w:spacing w:line="360" w:lineRule="auto"/>
        <w:ind w:firstLine="480" w:firstLineChars="200"/>
        <w:rPr>
          <w:rFonts w:ascii="宋体" w:hAnsi="宋体" w:cs="宋体"/>
          <w:color w:val="auto"/>
          <w:sz w:val="24"/>
        </w:rPr>
      </w:pPr>
      <w:r>
        <w:rPr>
          <w:rFonts w:hint="eastAsia" w:ascii="宋体" w:hAnsi="宋体" w:cs="宋体"/>
          <w:color w:val="auto"/>
          <w:sz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color w:val="auto"/>
          <w:sz w:val="24"/>
        </w:rPr>
      </w:pPr>
      <w:r>
        <w:rPr>
          <w:rFonts w:hint="eastAsia" w:ascii="宋体" w:hAnsi="宋体" w:cs="宋体"/>
          <w:color w:val="auto"/>
          <w:sz w:val="24"/>
        </w:rPr>
        <w:t>8.2.2因文件质量问题引起返工，除由乙方继续完善外，并视造成损失大小，减收直至免收编制费。</w:t>
      </w:r>
    </w:p>
    <w:p>
      <w:pPr>
        <w:spacing w:line="360" w:lineRule="auto"/>
        <w:ind w:firstLine="480" w:firstLineChars="200"/>
        <w:rPr>
          <w:rFonts w:ascii="宋体" w:hAnsi="宋体" w:cs="宋体"/>
          <w:color w:val="auto"/>
          <w:sz w:val="24"/>
        </w:rPr>
      </w:pPr>
      <w:r>
        <w:rPr>
          <w:rFonts w:hint="eastAsia" w:ascii="宋体" w:hAnsi="宋体" w:cs="宋体"/>
          <w:color w:val="auto"/>
          <w:sz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color w:val="auto"/>
          <w:sz w:val="24"/>
        </w:rPr>
      </w:pPr>
      <w:r>
        <w:rPr>
          <w:rFonts w:hint="eastAsia" w:ascii="宋体" w:hAnsi="宋体" w:cs="宋体"/>
          <w:color w:val="auto"/>
          <w:sz w:val="24"/>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color w:val="auto"/>
          <w:sz w:val="24"/>
        </w:rPr>
      </w:pPr>
      <w:r>
        <w:rPr>
          <w:rFonts w:hint="eastAsia" w:ascii="宋体" w:hAnsi="宋体" w:cs="宋体"/>
          <w:color w:val="auto"/>
          <w:sz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rPr>
      </w:pPr>
      <w:r>
        <w:rPr>
          <w:rFonts w:hint="eastAsia" w:ascii="宋体" w:hAnsi="宋体" w:cs="宋体"/>
          <w:color w:val="auto"/>
          <w:sz w:val="24"/>
        </w:rPr>
        <w:t>8.2.6若标准或计划变更，经甲方同意，乙方可顺延期限。</w:t>
      </w:r>
    </w:p>
    <w:p>
      <w:pPr>
        <w:spacing w:line="360" w:lineRule="auto"/>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.2.</w:t>
      </w:r>
      <w:r>
        <w:rPr>
          <w:rFonts w:hint="eastAsia" w:ascii="宋体" w:hAnsi="宋体" w:cs="宋体"/>
          <w:color w:val="auto"/>
          <w:sz w:val="24"/>
          <w:lang w:val="en-US" w:eastAsia="zh-CN"/>
        </w:rPr>
        <w:t>7</w:t>
      </w:r>
      <w:r>
        <w:rPr>
          <w:rFonts w:hint="eastAsia" w:ascii="宋体" w:hAnsi="宋体" w:cs="宋体"/>
          <w:color w:val="auto"/>
          <w:sz w:val="24"/>
        </w:rPr>
        <w:t>非甲方原因乙方要求解除合同的，应双倍退还定金，定金不足以弥补乙方违约造成的损失的，甲方可以请求超过定金数额的损失。</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第九条  知识产权</w:t>
      </w:r>
    </w:p>
    <w:p>
      <w:pPr>
        <w:adjustRightInd w:val="0"/>
        <w:spacing w:line="360" w:lineRule="auto"/>
        <w:ind w:firstLine="480" w:firstLineChars="200"/>
        <w:jc w:val="left"/>
        <w:textAlignment w:val="baseline"/>
        <w:rPr>
          <w:rFonts w:hint="default" w:ascii="宋体" w:hAnsi="宋体" w:cs="宋体" w:eastAsiaTheme="minorEastAsia"/>
          <w:color w:val="auto"/>
          <w:sz w:val="24"/>
          <w:lang w:val="en-US" w:eastAsia="zh-CN"/>
        </w:rPr>
      </w:pPr>
      <w:r>
        <w:rPr>
          <w:rFonts w:hint="eastAsia" w:ascii="宋体" w:hAnsi="宋体" w:cs="宋体"/>
          <w:color w:val="auto"/>
          <w:sz w:val="24"/>
        </w:rPr>
        <w:t>双方均应保护对方的知识产权，未经对方同意，任何一方均不得对对方的资料及文件擅自修改、复制或向第三人转让。如发生以上情况，违约方承担一切由此引起的后果并承担赔偿责任。</w:t>
      </w:r>
      <w:r>
        <w:rPr>
          <w:rFonts w:hint="eastAsia" w:ascii="宋体" w:hAnsi="宋体" w:cs="宋体"/>
          <w:color w:val="auto"/>
          <w:sz w:val="24"/>
          <w:lang w:val="en-US" w:eastAsia="zh-CN"/>
        </w:rPr>
        <w:t>乙方应确保向甲方提交的成果不会侵犯第三方知识产权等权利，如因甲方使用乙方提交的成果侵犯第三方权利的，由乙方负责处理，并承担由此产生的一切费用、责任。同时，甲方有权单方面解除合同，并有权要求乙方支付合同暂定总额百分之五十的违约金，且乙方应赔偿由此给甲方造成的一切损失。</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第十条  争议解决</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（一）提交广州仲裁委员会仲裁；</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（二）依法向甲方所在地的人民法院起诉。</w:t>
      </w:r>
    </w:p>
    <w:p>
      <w:pPr>
        <w:adjustRightInd w:val="0"/>
        <w:spacing w:line="360" w:lineRule="auto"/>
        <w:jc w:val="left"/>
        <w:textAlignment w:val="baseline"/>
        <w:rPr>
          <w:rFonts w:ascii="宋体" w:hAnsi="宋体" w:cs="宋体"/>
          <w:b/>
          <w:bCs/>
          <w:color w:val="auto"/>
          <w:sz w:val="24"/>
        </w:rPr>
      </w:pPr>
      <w:r>
        <w:rPr>
          <w:rFonts w:hint="eastAsia" w:ascii="宋体" w:hAnsi="宋体" w:cs="宋体"/>
          <w:b/>
          <w:bCs/>
          <w:color w:val="auto"/>
          <w:sz w:val="24"/>
        </w:rPr>
        <w:t>第十一条  合同生效及其他</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11.1合同生效的条件：合同签订盖章。</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11.5本合同正本一式</w:t>
      </w:r>
      <w:r>
        <w:rPr>
          <w:rFonts w:hint="eastAsia" w:ascii="宋体" w:hAnsi="宋体" w:cs="宋体"/>
          <w:color w:val="auto"/>
          <w:sz w:val="24"/>
          <w:u w:val="single"/>
        </w:rPr>
        <w:t xml:space="preserve"> 贰 </w:t>
      </w:r>
      <w:r>
        <w:rPr>
          <w:rFonts w:hint="eastAsia" w:ascii="宋体" w:hAnsi="宋体" w:cs="宋体"/>
          <w:color w:val="auto"/>
          <w:sz w:val="24"/>
        </w:rPr>
        <w:t>份，甲方执</w:t>
      </w:r>
      <w:r>
        <w:rPr>
          <w:rFonts w:hint="eastAsia" w:ascii="宋体" w:hAnsi="宋体" w:cs="宋体"/>
          <w:color w:val="auto"/>
          <w:sz w:val="24"/>
          <w:u w:val="single"/>
        </w:rPr>
        <w:t xml:space="preserve"> 壹 </w:t>
      </w:r>
      <w:r>
        <w:rPr>
          <w:rFonts w:hint="eastAsia" w:ascii="宋体" w:hAnsi="宋体" w:cs="宋体"/>
          <w:color w:val="auto"/>
          <w:sz w:val="24"/>
        </w:rPr>
        <w:t>份，乙方执</w:t>
      </w:r>
      <w:r>
        <w:rPr>
          <w:rFonts w:hint="eastAsia" w:ascii="宋体" w:hAnsi="宋体" w:cs="宋体"/>
          <w:color w:val="auto"/>
          <w:sz w:val="24"/>
          <w:u w:val="single"/>
        </w:rPr>
        <w:t xml:space="preserve"> 壹 </w:t>
      </w:r>
      <w:r>
        <w:rPr>
          <w:rFonts w:hint="eastAsia" w:ascii="宋体" w:hAnsi="宋体" w:cs="宋体"/>
          <w:color w:val="auto"/>
          <w:sz w:val="24"/>
        </w:rPr>
        <w:t>份；副本一式</w:t>
      </w:r>
      <w:r>
        <w:rPr>
          <w:rFonts w:hint="eastAsia" w:ascii="宋体" w:hAnsi="宋体" w:cs="宋体"/>
          <w:color w:val="auto"/>
          <w:sz w:val="24"/>
          <w:u w:val="single"/>
        </w:rPr>
        <w:t xml:space="preserve"> 捌 </w:t>
      </w:r>
      <w:r>
        <w:rPr>
          <w:rFonts w:hint="eastAsia" w:ascii="宋体" w:hAnsi="宋体" w:cs="宋体"/>
          <w:color w:val="auto"/>
          <w:sz w:val="24"/>
        </w:rPr>
        <w:t>份，甲方执</w:t>
      </w:r>
      <w:r>
        <w:rPr>
          <w:rFonts w:hint="eastAsia" w:ascii="宋体" w:hAnsi="宋体" w:cs="宋体"/>
          <w:color w:val="auto"/>
          <w:sz w:val="24"/>
          <w:u w:val="single"/>
        </w:rPr>
        <w:t xml:space="preserve"> 伍 </w:t>
      </w:r>
      <w:r>
        <w:rPr>
          <w:rFonts w:hint="eastAsia" w:ascii="宋体" w:hAnsi="宋体" w:cs="宋体"/>
          <w:color w:val="auto"/>
          <w:sz w:val="24"/>
        </w:rPr>
        <w:t>份，乙方执</w:t>
      </w:r>
      <w:r>
        <w:rPr>
          <w:rFonts w:hint="eastAsia" w:ascii="宋体" w:hAnsi="宋体" w:cs="宋体"/>
          <w:color w:val="auto"/>
          <w:sz w:val="24"/>
          <w:u w:val="single"/>
        </w:rPr>
        <w:t xml:space="preserve"> 叁 </w:t>
      </w:r>
      <w:r>
        <w:rPr>
          <w:rFonts w:hint="eastAsia" w:ascii="宋体" w:hAnsi="宋体" w:cs="宋体"/>
          <w:color w:val="auto"/>
          <w:sz w:val="24"/>
        </w:rPr>
        <w:t>份，双方所执合同具同等法律效力。</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11.6双方履行完合同规定的义务后，本合同即行终止。</w:t>
      </w:r>
    </w:p>
    <w:p>
      <w:pPr>
        <w:adjustRightIn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rPr>
      </w:pPr>
      <w:r>
        <w:rPr>
          <w:rFonts w:hint="eastAsia" w:ascii="宋体" w:hAnsi="宋体" w:cs="宋体"/>
          <w:color w:val="auto"/>
          <w:sz w:val="24"/>
        </w:rPr>
        <w:t>11.8未尽事宜，双方协商一致，</w:t>
      </w:r>
      <w:r>
        <w:rPr>
          <w:rFonts w:hint="eastAsia" w:ascii="宋体" w:hAnsi="宋体" w:cs="宋体"/>
          <w:color w:val="auto"/>
          <w:sz w:val="24"/>
        </w:rPr>
        <w:t>可签订补充协议，补充协议与本合同具有同等效力。</w:t>
      </w:r>
    </w:p>
    <w:p>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rPr>
        <w:t>11.9本合同附件是合同不可分割的一部分，具有相同的法律效力，具体附件如下：</w:t>
      </w:r>
    </w:p>
    <w:p>
      <w:pPr>
        <w:pStyle w:val="16"/>
        <w:spacing w:line="360" w:lineRule="auto"/>
        <w:ind w:left="584" w:leftChars="278" w:firstLine="120" w:firstLineChars="50"/>
        <w:rPr>
          <w:rFonts w:ascii="宋体" w:hAnsi="宋体" w:cs="宋体"/>
          <w:color w:val="auto"/>
          <w:sz w:val="24"/>
        </w:rPr>
      </w:pPr>
      <w:r>
        <w:rPr>
          <w:rFonts w:hint="eastAsia" w:ascii="宋体" w:hAnsi="宋体" w:cs="宋体"/>
          <w:color w:val="auto"/>
          <w:sz w:val="24"/>
        </w:rPr>
        <w:t>附件</w:t>
      </w:r>
      <w:r>
        <w:rPr>
          <w:rFonts w:ascii="宋体" w:hAnsi="宋体" w:cs="宋体"/>
          <w:color w:val="auto"/>
          <w:sz w:val="24"/>
        </w:rPr>
        <w:t>1：</w:t>
      </w:r>
      <w:r>
        <w:rPr>
          <w:rFonts w:hint="eastAsia" w:ascii="宋体" w:hAnsi="宋体" w:cs="宋体"/>
          <w:color w:val="auto"/>
          <w:sz w:val="24"/>
        </w:rPr>
        <w:t>发包通知书</w:t>
      </w:r>
    </w:p>
    <w:p>
      <w:pPr>
        <w:pStyle w:val="16"/>
        <w:spacing w:line="360" w:lineRule="auto"/>
        <w:ind w:left="584" w:leftChars="278" w:firstLine="120" w:firstLineChars="50"/>
        <w:rPr>
          <w:rFonts w:ascii="宋体" w:hAnsi="宋体" w:cs="宋体"/>
          <w:color w:val="auto"/>
          <w:sz w:val="24"/>
        </w:rPr>
      </w:pPr>
      <w:r>
        <w:rPr>
          <w:rFonts w:hint="eastAsia" w:ascii="宋体" w:hAnsi="宋体" w:cs="宋体"/>
          <w:color w:val="auto"/>
          <w:sz w:val="24"/>
        </w:rPr>
        <w:t>附件</w:t>
      </w:r>
      <w:r>
        <w:rPr>
          <w:rFonts w:ascii="宋体" w:hAnsi="宋体" w:cs="宋体"/>
          <w:color w:val="auto"/>
          <w:sz w:val="24"/>
        </w:rPr>
        <w:t>2：</w:t>
      </w:r>
      <w:r>
        <w:rPr>
          <w:rFonts w:hint="eastAsia" w:ascii="宋体" w:hAnsi="宋体" w:cs="宋体"/>
          <w:color w:val="auto"/>
          <w:sz w:val="24"/>
        </w:rPr>
        <w:t>廉洁协议</w:t>
      </w:r>
    </w:p>
    <w:p>
      <w:pPr>
        <w:pStyle w:val="16"/>
        <w:spacing w:line="360" w:lineRule="auto"/>
        <w:ind w:left="584" w:leftChars="278" w:firstLine="120" w:firstLineChars="50"/>
        <w:rPr>
          <w:rFonts w:hint="default" w:ascii="宋体" w:hAnsi="宋体" w:cs="宋体" w:eastAsiaTheme="minorEastAsia"/>
          <w:color w:val="auto"/>
          <w:sz w:val="24"/>
          <w:lang w:val="en-US" w:eastAsia="zh-CN"/>
        </w:rPr>
      </w:pPr>
      <w:r>
        <w:rPr>
          <w:rFonts w:hint="eastAsia" w:ascii="宋体" w:hAnsi="宋体" w:cs="宋体"/>
          <w:color w:val="auto"/>
          <w:sz w:val="24"/>
        </w:rPr>
        <w:t>附件3：安全协议书</w:t>
      </w:r>
      <w:r>
        <w:rPr>
          <w:rFonts w:hint="eastAsia" w:ascii="宋体" w:hAnsi="宋体" w:cs="宋体"/>
          <w:color w:val="auto"/>
          <w:sz w:val="24"/>
        </w:rPr>
        <w:br w:type="textWrapping"/>
      </w:r>
      <w:r>
        <w:rPr>
          <w:rFonts w:hint="eastAsia" w:ascii="宋体" w:hAnsi="宋体" w:cs="宋体"/>
          <w:color w:val="auto"/>
          <w:sz w:val="24"/>
          <w:lang w:val="en-US" w:eastAsia="zh-CN"/>
        </w:rPr>
        <w:t>附件4：安全生产承诺书</w:t>
      </w:r>
      <w:r>
        <w:rPr>
          <w:rFonts w:hint="eastAsia" w:ascii="宋体" w:hAnsi="宋体" w:cs="宋体"/>
          <w:color w:val="auto"/>
          <w:sz w:val="24"/>
          <w:lang w:val="en-US" w:eastAsia="zh-CN"/>
        </w:rPr>
        <w:br w:type="textWrapping"/>
      </w:r>
      <w:r>
        <w:rPr>
          <w:rFonts w:hint="eastAsia" w:ascii="宋体" w:hAnsi="宋体" w:cs="宋体"/>
          <w:color w:val="auto"/>
          <w:sz w:val="24"/>
          <w:lang w:val="en-US" w:eastAsia="zh-CN"/>
        </w:rPr>
        <w:t>附件5：投入服务人员架构表</w:t>
      </w:r>
      <w:r>
        <w:rPr>
          <w:rFonts w:hint="eastAsia" w:ascii="宋体" w:hAnsi="宋体" w:cs="宋体"/>
          <w:color w:val="auto"/>
          <w:sz w:val="24"/>
          <w:lang w:val="en-US" w:eastAsia="zh-CN"/>
        </w:rPr>
        <w:br w:type="textWrapping"/>
      </w:r>
      <w:r>
        <w:rPr>
          <w:rFonts w:hint="eastAsia" w:ascii="宋体" w:hAnsi="宋体" w:cs="宋体"/>
          <w:color w:val="auto"/>
          <w:sz w:val="24"/>
          <w:lang w:val="en-US" w:eastAsia="zh-CN"/>
        </w:rPr>
        <w:t>附件6：附件6.工程量报价单/工程量清单（详见响应文件报价清单）</w:t>
      </w:r>
    </w:p>
    <w:p>
      <w:pPr>
        <w:pStyle w:val="16"/>
        <w:spacing w:line="360" w:lineRule="auto"/>
        <w:ind w:left="584" w:leftChars="278" w:firstLine="120" w:firstLineChars="50"/>
        <w:rPr>
          <w:rFonts w:ascii="宋体" w:hAnsi="宋体" w:cs="宋体"/>
          <w:color w:val="auto"/>
          <w:sz w:val="24"/>
        </w:rPr>
      </w:pPr>
    </w:p>
    <w:p>
      <w:pPr>
        <w:pStyle w:val="16"/>
        <w:spacing w:line="360" w:lineRule="auto"/>
        <w:ind w:left="465" w:leftChars="50" w:hanging="360" w:hangingChars="150"/>
        <w:rPr>
          <w:rFonts w:ascii="宋体" w:hAnsi="宋体" w:cs="宋体"/>
          <w:color w:val="auto"/>
          <w:sz w:val="24"/>
        </w:rPr>
      </w:pPr>
      <w:r>
        <w:rPr>
          <w:rFonts w:hint="eastAsia" w:ascii="宋体" w:hAnsi="宋体" w:cs="宋体"/>
          <w:color w:val="auto"/>
          <w:sz w:val="24"/>
        </w:rPr>
        <w:t>（以下无正文）</w:t>
      </w:r>
    </w:p>
    <w:tbl>
      <w:tblPr>
        <w:tblStyle w:val="25"/>
        <w:tblW w:w="8670" w:type="dxa"/>
        <w:jc w:val="center"/>
        <w:tblLayout w:type="fixed"/>
        <w:tblCellMar>
          <w:top w:w="0" w:type="dxa"/>
          <w:left w:w="28" w:type="dxa"/>
          <w:bottom w:w="0" w:type="dxa"/>
          <w:right w:w="28" w:type="dxa"/>
        </w:tblCellMar>
      </w:tblPr>
      <w:tblGrid>
        <w:gridCol w:w="3857"/>
        <w:gridCol w:w="562"/>
        <w:gridCol w:w="4251"/>
      </w:tblGrid>
      <w:tr>
        <w:tblPrEx>
          <w:tblCellMar>
            <w:top w:w="0" w:type="dxa"/>
            <w:left w:w="28" w:type="dxa"/>
            <w:bottom w:w="0" w:type="dxa"/>
            <w:right w:w="28" w:type="dxa"/>
          </w:tblCellMar>
        </w:tblPrEx>
        <w:trPr>
          <w:trHeight w:val="446" w:hRule="atLeast"/>
          <w:jc w:val="center"/>
        </w:trPr>
        <w:tc>
          <w:tcPr>
            <w:tcW w:w="3857" w:type="dxa"/>
            <w:noWrap w:val="0"/>
            <w:vAlign w:val="center"/>
          </w:tcPr>
          <w:p>
            <w:pPr>
              <w:rPr>
                <w:rFonts w:ascii="宋体" w:hAnsi="宋体" w:cs="宋体"/>
                <w:color w:val="auto"/>
                <w:sz w:val="24"/>
              </w:rPr>
            </w:pPr>
            <w:r>
              <w:rPr>
                <w:rFonts w:hint="eastAsia" w:ascii="宋体" w:hAnsi="宋体" w:cs="宋体"/>
                <w:color w:val="auto"/>
                <w:sz w:val="24"/>
              </w:rPr>
              <w:t>甲方：广州市净水有限公司</w:t>
            </w: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rPr>
                <w:rFonts w:ascii="宋体" w:hAnsi="宋体" w:cs="宋体"/>
                <w:color w:val="auto"/>
                <w:sz w:val="24"/>
              </w:rPr>
            </w:pPr>
            <w:r>
              <w:rPr>
                <w:rFonts w:hint="eastAsia" w:ascii="宋体" w:hAnsi="宋体" w:cs="宋体"/>
                <w:color w:val="auto"/>
                <w:sz w:val="24"/>
              </w:rPr>
              <w:t>乙方：</w:t>
            </w:r>
          </w:p>
        </w:tc>
      </w:tr>
      <w:tr>
        <w:tblPrEx>
          <w:tblCellMar>
            <w:top w:w="0" w:type="dxa"/>
            <w:left w:w="28" w:type="dxa"/>
            <w:bottom w:w="0" w:type="dxa"/>
            <w:right w:w="28" w:type="dxa"/>
          </w:tblCellMar>
        </w:tblPrEx>
        <w:trPr>
          <w:trHeight w:val="1879" w:hRule="atLeast"/>
          <w:jc w:val="center"/>
        </w:trPr>
        <w:tc>
          <w:tcPr>
            <w:tcW w:w="3857" w:type="dxa"/>
            <w:noWrap w:val="0"/>
            <w:vAlign w:val="top"/>
          </w:tcPr>
          <w:p>
            <w:pPr>
              <w:spacing w:line="360" w:lineRule="auto"/>
              <w:rPr>
                <w:rFonts w:ascii="宋体" w:hAnsi="宋体" w:cs="宋体"/>
                <w:color w:val="auto"/>
                <w:sz w:val="24"/>
              </w:rPr>
            </w:pPr>
            <w:r>
              <w:rPr>
                <w:rFonts w:hint="eastAsia" w:ascii="宋体" w:hAnsi="宋体" w:cs="宋体"/>
                <w:color w:val="auto"/>
                <w:sz w:val="24"/>
              </w:rPr>
              <w:t>(盖章)</w:t>
            </w:r>
          </w:p>
          <w:p>
            <w:pPr>
              <w:spacing w:line="360" w:lineRule="auto"/>
              <w:rPr>
                <w:rFonts w:ascii="宋体" w:hAnsi="宋体" w:cs="宋体"/>
                <w:color w:val="auto"/>
                <w:sz w:val="24"/>
              </w:rPr>
            </w:pPr>
          </w:p>
        </w:tc>
        <w:tc>
          <w:tcPr>
            <w:tcW w:w="562" w:type="dxa"/>
            <w:noWrap w:val="0"/>
            <w:vAlign w:val="top"/>
          </w:tcPr>
          <w:p>
            <w:pPr>
              <w:spacing w:line="360" w:lineRule="auto"/>
              <w:rPr>
                <w:rFonts w:ascii="宋体" w:hAnsi="宋体" w:cs="宋体"/>
                <w:color w:val="auto"/>
                <w:sz w:val="24"/>
              </w:rPr>
            </w:pPr>
          </w:p>
        </w:tc>
        <w:tc>
          <w:tcPr>
            <w:tcW w:w="4251" w:type="dxa"/>
            <w:noWrap w:val="0"/>
            <w:vAlign w:val="top"/>
          </w:tcPr>
          <w:p>
            <w:pPr>
              <w:spacing w:line="360" w:lineRule="auto"/>
              <w:rPr>
                <w:rFonts w:ascii="宋体" w:hAnsi="宋体" w:cs="宋体"/>
                <w:color w:val="auto"/>
                <w:sz w:val="24"/>
              </w:rPr>
            </w:pPr>
            <w:r>
              <w:rPr>
                <w:rFonts w:hint="eastAsia" w:ascii="宋体" w:hAnsi="宋体" w:cs="宋体"/>
                <w:color w:val="auto"/>
                <w:sz w:val="24"/>
              </w:rPr>
              <w:t>(盖章)</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rPr>
            </w:pPr>
            <w:r>
              <w:rPr>
                <w:rFonts w:hint="eastAsia" w:ascii="宋体" w:hAnsi="宋体" w:cs="宋体"/>
                <w:color w:val="auto"/>
                <w:sz w:val="24"/>
              </w:rPr>
              <w:t>法定代表人/授权代理人：</w:t>
            </w:r>
          </w:p>
          <w:p>
            <w:pPr>
              <w:spacing w:line="360" w:lineRule="auto"/>
              <w:rPr>
                <w:rFonts w:ascii="宋体" w:hAnsi="宋体" w:cs="宋体"/>
                <w:color w:val="auto"/>
                <w:sz w:val="24"/>
              </w:rPr>
            </w:pPr>
          </w:p>
        </w:tc>
        <w:tc>
          <w:tcPr>
            <w:tcW w:w="562" w:type="dxa"/>
            <w:noWrap w:val="0"/>
            <w:vAlign w:val="top"/>
          </w:tcPr>
          <w:p>
            <w:pPr>
              <w:spacing w:line="360" w:lineRule="auto"/>
              <w:rPr>
                <w:rFonts w:ascii="宋体" w:hAnsi="宋体" w:cs="宋体"/>
                <w:color w:val="auto"/>
                <w:sz w:val="24"/>
              </w:rPr>
            </w:pPr>
          </w:p>
        </w:tc>
        <w:tc>
          <w:tcPr>
            <w:tcW w:w="4251" w:type="dxa"/>
            <w:noWrap w:val="0"/>
            <w:vAlign w:val="top"/>
          </w:tcPr>
          <w:p>
            <w:pPr>
              <w:spacing w:line="360" w:lineRule="auto"/>
              <w:rPr>
                <w:rFonts w:ascii="宋体" w:hAnsi="宋体" w:cs="宋体"/>
                <w:color w:val="auto"/>
                <w:sz w:val="24"/>
              </w:rPr>
            </w:pPr>
            <w:r>
              <w:rPr>
                <w:rFonts w:hint="eastAsia" w:ascii="宋体" w:hAnsi="宋体" w:cs="宋体"/>
                <w:color w:val="auto"/>
                <w:sz w:val="24"/>
              </w:rPr>
              <w:t>法定代表人/授权代理人：</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联系人：</w:t>
            </w: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ind w:right="-19" w:rightChars="-9"/>
              <w:rPr>
                <w:rFonts w:ascii="宋体" w:hAnsi="宋体" w:cs="宋体"/>
                <w:color w:val="auto"/>
                <w:sz w:val="24"/>
                <w:highlight w:val="none"/>
              </w:rPr>
            </w:pPr>
            <w:r>
              <w:rPr>
                <w:rFonts w:hint="eastAsia" w:ascii="宋体" w:hAnsi="宋体" w:cs="宋体"/>
                <w:color w:val="auto"/>
                <w:sz w:val="24"/>
                <w:highlight w:val="none"/>
              </w:rPr>
              <w:t>联系人：</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rPr>
            </w:pPr>
            <w:r>
              <w:rPr>
                <w:rFonts w:hint="eastAsia" w:ascii="宋体" w:hAnsi="宋体" w:cs="宋体"/>
                <w:color w:val="auto"/>
                <w:sz w:val="24"/>
              </w:rPr>
              <w:t>地址：</w:t>
            </w:r>
          </w:p>
        </w:tc>
        <w:tc>
          <w:tcPr>
            <w:tcW w:w="562" w:type="dxa"/>
            <w:noWrap w:val="0"/>
            <w:vAlign w:val="top"/>
          </w:tcPr>
          <w:p>
            <w:pPr>
              <w:spacing w:line="360" w:lineRule="auto"/>
              <w:rPr>
                <w:rFonts w:ascii="宋体" w:hAnsi="宋体" w:cs="宋体"/>
                <w:color w:val="auto"/>
                <w:sz w:val="24"/>
              </w:rPr>
            </w:pPr>
          </w:p>
        </w:tc>
        <w:tc>
          <w:tcPr>
            <w:tcW w:w="4251"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r>
      <w:tr>
        <w:tblPrEx>
          <w:tblCellMar>
            <w:top w:w="0" w:type="dxa"/>
            <w:left w:w="28" w:type="dxa"/>
            <w:bottom w:w="0" w:type="dxa"/>
            <w:right w:w="28" w:type="dxa"/>
          </w:tblCellMar>
        </w:tblPrEx>
        <w:trPr>
          <w:jc w:val="center"/>
        </w:trPr>
        <w:tc>
          <w:tcPr>
            <w:tcW w:w="3857" w:type="dxa"/>
            <w:noWrap w:val="0"/>
            <w:vAlign w:val="center"/>
          </w:tcPr>
          <w:p>
            <w:pPr>
              <w:tabs>
                <w:tab w:val="right" w:pos="4098"/>
              </w:tabs>
              <w:spacing w:line="360" w:lineRule="auto"/>
              <w:rPr>
                <w:rFonts w:ascii="宋体" w:hAnsi="宋体" w:cs="宋体"/>
                <w:color w:val="auto"/>
                <w:sz w:val="24"/>
              </w:rPr>
            </w:pPr>
            <w:r>
              <w:rPr>
                <w:rFonts w:hint="eastAsia" w:ascii="宋体" w:hAnsi="宋体" w:cs="宋体"/>
                <w:color w:val="auto"/>
                <w:sz w:val="24"/>
              </w:rPr>
              <w:t>邮政编码：</w:t>
            </w:r>
            <w:r>
              <w:rPr>
                <w:rFonts w:hint="eastAsia" w:ascii="宋体" w:hAnsi="宋体" w:cs="宋体"/>
                <w:color w:val="auto"/>
                <w:sz w:val="24"/>
              </w:rPr>
              <w:tab/>
            </w: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noWrap w:val="0"/>
            <w:vAlign w:val="center"/>
          </w:tcPr>
          <w:p>
            <w:pPr>
              <w:spacing w:line="360" w:lineRule="auto"/>
              <w:rPr>
                <w:rFonts w:ascii="宋体" w:hAnsi="宋体" w:cs="宋体"/>
                <w:color w:val="auto"/>
                <w:sz w:val="24"/>
              </w:rPr>
            </w:pPr>
            <w:r>
              <w:rPr>
                <w:rFonts w:hint="eastAsia" w:ascii="宋体" w:hAnsi="宋体" w:cs="宋体"/>
                <w:color w:val="auto"/>
                <w:sz w:val="24"/>
              </w:rPr>
              <w:t>电话：</w:t>
            </w: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rPr>
            </w:pPr>
            <w:r>
              <w:rPr>
                <w:rFonts w:hint="eastAsia" w:ascii="宋体" w:hAnsi="宋体" w:cs="宋体"/>
                <w:color w:val="auto"/>
                <w:sz w:val="24"/>
              </w:rPr>
              <w:t>传真：</w:t>
            </w: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rPr>
            </w:pP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银行帐户：</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rPr>
            </w:pPr>
          </w:p>
        </w:tc>
        <w:tc>
          <w:tcPr>
            <w:tcW w:w="562" w:type="dxa"/>
            <w:noWrap w:val="0"/>
            <w:vAlign w:val="center"/>
          </w:tcPr>
          <w:p>
            <w:pPr>
              <w:spacing w:line="360" w:lineRule="auto"/>
              <w:rPr>
                <w:rFonts w:ascii="宋体" w:hAnsi="宋体" w:cs="宋体"/>
                <w:color w:val="auto"/>
                <w:sz w:val="24"/>
              </w:rPr>
            </w:pPr>
          </w:p>
        </w:tc>
        <w:tc>
          <w:tcPr>
            <w:tcW w:w="4251"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noWrap w:val="0"/>
            <w:vAlign w:val="center"/>
          </w:tcPr>
          <w:p>
            <w:pPr>
              <w:rPr>
                <w:rFonts w:ascii="宋体" w:hAnsi="宋体" w:cs="宋体"/>
                <w:color w:val="auto"/>
                <w:sz w:val="24"/>
              </w:rPr>
            </w:pPr>
            <w:r>
              <w:rPr>
                <w:rFonts w:hint="eastAsia" w:ascii="宋体" w:hAnsi="宋体" w:cs="宋体"/>
                <w:color w:val="auto"/>
                <w:sz w:val="24"/>
              </w:rPr>
              <w:t>签约日期：  年  月  日</w:t>
            </w:r>
          </w:p>
        </w:tc>
        <w:tc>
          <w:tcPr>
            <w:tcW w:w="562" w:type="dxa"/>
            <w:noWrap w:val="0"/>
            <w:vAlign w:val="center"/>
          </w:tcPr>
          <w:p>
            <w:pPr>
              <w:rPr>
                <w:rFonts w:ascii="宋体" w:hAnsi="宋体" w:cs="宋体"/>
                <w:color w:val="auto"/>
                <w:sz w:val="24"/>
              </w:rPr>
            </w:pPr>
          </w:p>
        </w:tc>
        <w:tc>
          <w:tcPr>
            <w:tcW w:w="4251" w:type="dxa"/>
            <w:noWrap w:val="0"/>
            <w:vAlign w:val="center"/>
          </w:tcPr>
          <w:p>
            <w:pPr>
              <w:rPr>
                <w:rFonts w:ascii="宋体" w:hAnsi="宋体" w:cs="宋体"/>
                <w:color w:val="auto"/>
                <w:sz w:val="24"/>
              </w:rPr>
            </w:pPr>
            <w:r>
              <w:rPr>
                <w:rFonts w:hint="eastAsia" w:ascii="宋体" w:hAnsi="宋体" w:cs="宋体"/>
                <w:color w:val="auto"/>
                <w:sz w:val="24"/>
              </w:rPr>
              <w:t>签约日期：  年  月  日</w:t>
            </w:r>
          </w:p>
        </w:tc>
      </w:tr>
    </w:tbl>
    <w:p>
      <w:pPr>
        <w:jc w:val="both"/>
        <w:rPr>
          <w:rFonts w:hint="eastAsia"/>
          <w:b/>
          <w:color w:val="auto"/>
          <w:sz w:val="52"/>
          <w:szCs w:val="84"/>
          <w:highlight w:val="none"/>
          <w:lang w:val="en-US" w:eastAsia="zh-CN"/>
        </w:rPr>
      </w:pPr>
    </w:p>
    <w:p>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中标通知书/</w:t>
      </w:r>
      <w:r>
        <w:rPr>
          <w:rFonts w:hint="eastAsia" w:ascii="宋体" w:hAnsi="宋体" w:cs="宋体"/>
          <w:b/>
          <w:bCs/>
          <w:color w:val="auto"/>
          <w:szCs w:val="21"/>
          <w:highlight w:val="none"/>
        </w:rPr>
        <w:t>发包通知书</w:t>
      </w:r>
      <w:r>
        <w:rPr>
          <w:rFonts w:hint="eastAsia" w:ascii="宋体" w:hAnsi="宋体" w:cs="宋体"/>
          <w:b/>
          <w:bCs/>
          <w:color w:val="auto"/>
          <w:szCs w:val="21"/>
          <w:highlight w:val="none"/>
          <w:lang w:val="en-US" w:eastAsia="zh-CN"/>
        </w:rPr>
        <w:t>/委托函（如有）</w:t>
      </w: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 xml:space="preserve">：                                                     </w:t>
      </w: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8"/>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（七）委托的第三方运输单位或个人，违反本协议的，全部责任均由乙方承担。</w:t>
      </w:r>
    </w:p>
    <w:p>
      <w:pPr>
        <w:pStyle w:val="41"/>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附件5</w:t>
      </w:r>
      <w:r>
        <w:rPr>
          <w:rFonts w:hint="eastAsia" w:ascii="宋体" w:hAnsi="宋体" w:eastAsia="宋体" w:cs="宋体"/>
          <w:b/>
          <w:bCs/>
          <w:color w:val="auto"/>
          <w:sz w:val="24"/>
          <w:szCs w:val="24"/>
          <w:highlight w:val="none"/>
        </w:rPr>
        <w:t>.投入</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工作人员1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工作人员2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pStyle w:val="32"/>
        <w:rPr>
          <w:rFonts w:hint="eastAsia" w:ascii="宋体" w:hAnsi="宋体" w:cs="宋体"/>
          <w:b/>
          <w:bCs/>
          <w:color w:val="auto"/>
          <w:szCs w:val="21"/>
          <w:highlight w:val="none"/>
        </w:rPr>
      </w:pP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p>
    <w:tbl>
      <w:tblPr>
        <w:tblStyle w:val="25"/>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4"/>
              <w:rPr>
                <w:rFonts w:hint="eastAsia"/>
                <w:color w:val="auto"/>
                <w:highlight w:val="none"/>
              </w:rPr>
            </w:pPr>
          </w:p>
        </w:tc>
      </w:tr>
    </w:tbl>
    <w:p>
      <w:pPr>
        <w:pStyle w:val="24"/>
        <w:ind w:left="0" w:leftChars="0" w:firstLine="0" w:firstLineChars="0"/>
        <w:rPr>
          <w:rFonts w:hint="eastAsia" w:ascii="宋体" w:hAnsi="宋体" w:cs="宋体"/>
          <w:b/>
          <w:bCs/>
          <w:color w:val="auto"/>
          <w:sz w:val="24"/>
          <w:szCs w:val="24"/>
          <w:highlight w:val="none"/>
          <w:lang w:val="en-US" w:eastAsia="zh-CN"/>
        </w:rPr>
      </w:pPr>
    </w:p>
    <w:p>
      <w:pPr>
        <w:pStyle w:val="24"/>
        <w:ind w:left="0" w:leftChars="0" w:firstLine="0" w:firstLineChars="0"/>
        <w:rPr>
          <w:rFonts w:hint="eastAsia" w:ascii="宋体" w:hAnsi="宋体" w:cs="宋体"/>
          <w:b/>
          <w:bCs/>
          <w:color w:val="auto"/>
          <w:sz w:val="24"/>
          <w:szCs w:val="24"/>
          <w:highlight w:val="none"/>
          <w:lang w:val="en-US" w:eastAsia="zh-CN"/>
        </w:rPr>
      </w:pPr>
    </w:p>
    <w:tbl>
      <w:tblPr>
        <w:tblStyle w:val="25"/>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2、监理单位考评只作为参考及履职依据，不计入考评，无监理单位不需填写；</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4、各分公司考评填写相应的得（扣）分数值，如奖2分则填写“2”，扣2分则填写“-2”；</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5、单项“综合考评”=项目部考评+公司考评；综合考评总分=各单项“综合考评”+100</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6、最后得分=综合考评总分X类别系数；</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4"/>
              <w:rPr>
                <w:rFonts w:hint="eastAsia"/>
                <w:color w:val="auto"/>
                <w:highlight w:val="none"/>
              </w:rPr>
            </w:pPr>
          </w:p>
        </w:tc>
      </w:tr>
    </w:tbl>
    <w:p>
      <w:pPr>
        <w:widowControl/>
        <w:jc w:val="left"/>
        <w:rPr>
          <w:rFonts w:hint="eastAsia" w:ascii="宋体" w:hAnsi="宋体" w:cs="宋体"/>
          <w:color w:val="auto"/>
          <w:szCs w:val="21"/>
          <w:highlight w:val="none"/>
          <w:lang w:eastAsia="zh-CN"/>
        </w:rPr>
      </w:pPr>
    </w:p>
    <w:p>
      <w:pPr>
        <w:keepNext w:val="0"/>
        <w:keepLines w:val="0"/>
        <w:pageBreakBefore w:val="0"/>
        <w:widowControl/>
        <w:kinsoku/>
        <w:wordWrap/>
        <w:overflowPunct/>
        <w:bidi w:val="0"/>
        <w:spacing w:line="240" w:lineRule="auto"/>
        <w:ind w:firstLine="0" w:firstLineChars="0"/>
        <w:jc w:val="left"/>
        <w:rPr>
          <w:rFonts w:hint="eastAsia" w:ascii="方正小标宋简体" w:eastAsia="宋体"/>
          <w:color w:val="auto"/>
          <w:sz w:val="44"/>
          <w:szCs w:val="44"/>
          <w:highlight w:val="none"/>
          <w:lang w:eastAsia="zh-CN"/>
        </w:rPr>
      </w:pPr>
      <w:r>
        <w:rPr>
          <w:rFonts w:hint="eastAsia" w:ascii="宋体" w:hAnsi="宋体" w:cs="宋体"/>
          <w:b/>
          <w:bCs/>
          <w:color w:val="auto"/>
          <w:sz w:val="21"/>
          <w:szCs w:val="21"/>
          <w:highlight w:val="none"/>
          <w:lang w:val="en-US" w:eastAsia="zh-CN"/>
        </w:rPr>
        <w:t>附件6</w:t>
      </w:r>
      <w:r>
        <w:rPr>
          <w:rFonts w:hint="eastAsia" w:ascii="宋体" w:hAnsi="宋体" w:eastAsia="宋体" w:cs="宋体"/>
          <w:b/>
          <w:bCs/>
          <w:color w:val="auto"/>
          <w:sz w:val="21"/>
          <w:szCs w:val="21"/>
          <w:highlight w:val="none"/>
        </w:rPr>
        <w:t>.工程量报价单/工程量清单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详见响应文件报价清单</w:t>
      </w:r>
      <w:r>
        <w:rPr>
          <w:rFonts w:hint="eastAsia" w:ascii="宋体" w:hAnsi="宋体" w:eastAsia="宋体" w:cs="宋体"/>
          <w:b/>
          <w:bCs/>
          <w:color w:val="auto"/>
          <w:sz w:val="21"/>
          <w:szCs w:val="21"/>
          <w:highlight w:val="none"/>
          <w:lang w:eastAsia="zh-CN"/>
        </w:rPr>
        <w:t>）</w:t>
      </w:r>
    </w:p>
    <w:p>
      <w:pPr>
        <w:rPr>
          <w:rFonts w:hint="eastAsia"/>
          <w:color w:val="auto"/>
          <w:highlight w:val="none"/>
        </w:rPr>
      </w:pPr>
      <w:bookmarkStart w:id="85" w:name="_Toc1563"/>
      <w:bookmarkStart w:id="86" w:name="_Toc23515"/>
      <w:bookmarkStart w:id="87" w:name="_Toc8147"/>
      <w:bookmarkStart w:id="88" w:name="_Toc28358"/>
      <w:bookmarkStart w:id="89" w:name="_Toc6230"/>
      <w:bookmarkStart w:id="90" w:name="_Toc16552"/>
      <w:bookmarkStart w:id="91" w:name="_Toc30824"/>
      <w:bookmarkStart w:id="92" w:name="_Toc3723"/>
      <w:bookmarkStart w:id="93" w:name="_Toc5129"/>
      <w:bookmarkStart w:id="94" w:name="_Toc21847"/>
      <w:bookmarkStart w:id="95" w:name="_Toc12169"/>
      <w:r>
        <w:rPr>
          <w:rFonts w:hint="eastAsia"/>
          <w:color w:val="auto"/>
          <w:highlight w:val="none"/>
        </w:rPr>
        <w:br w:type="page"/>
      </w: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p>
    <w:p>
      <w:pPr>
        <w:pStyle w:val="3"/>
        <w:ind w:firstLine="3960" w:firstLineChars="9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2411095</wp:posOffset>
                </wp:positionH>
                <wp:positionV relativeFrom="paragraph">
                  <wp:posOffset>83185</wp:posOffset>
                </wp:positionV>
                <wp:extent cx="958850" cy="5715"/>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57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9.85pt;margin-top:6.55pt;height:0.45pt;width:75.5pt;z-index:251667456;mso-width-relative:page;mso-height-relative:page;" filled="f" stroked="t" coordsize="21600,21600" o:gfxdata="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NxwftcAAAAJAQAADwAAAAAAAAABACAAAAAiAAAAZHJzL2Rvd25yZXYueG1sUEsBAhQA&#10;FAAAAAgAh07iQA2TZUzzAQAA5g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2406015</wp:posOffset>
                </wp:positionH>
                <wp:positionV relativeFrom="paragraph">
                  <wp:posOffset>479425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9.45pt;margin-top:37.75pt;height:0pt;width:75.5pt;z-index:251668480;mso-width-relative:page;mso-height-relative:page;" filled="f" stroked="t" coordsize="21600,21600" o:gfxdata="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cnIA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1"/>
        <w:rPr>
          <w:color w:val="auto"/>
          <w:highlight w:val="none"/>
        </w:rPr>
      </w:pPr>
    </w:p>
    <w:p>
      <w:pPr>
        <w:pStyle w:val="3"/>
        <w:rPr>
          <w:color w:val="auto"/>
          <w:highlight w:val="none"/>
        </w:rPr>
      </w:pPr>
      <w:bookmarkStart w:id="96" w:name="_Toc88209951"/>
      <w:bookmarkStart w:id="97" w:name="_Toc24815"/>
      <w:bookmarkStart w:id="98" w:name="_Toc22764"/>
      <w:bookmarkStart w:id="99" w:name="_Toc87616388"/>
      <w:bookmarkStart w:id="100" w:name="_Toc17119"/>
      <w:bookmarkStart w:id="101" w:name="_Toc30157"/>
      <w:bookmarkStart w:id="102" w:name="_Toc12610"/>
      <w:bookmarkStart w:id="103" w:name="_Toc5342"/>
      <w:bookmarkStart w:id="104" w:name="_Toc10840"/>
      <w:bookmarkStart w:id="105" w:name="_Toc12769"/>
      <w:bookmarkStart w:id="106" w:name="_Toc31564"/>
      <w:bookmarkStart w:id="107" w:name="_Toc21675"/>
      <w:bookmarkStart w:id="108" w:name="_Toc2449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6313"/>
      <w:bookmarkStart w:id="117" w:name="_Toc28619645"/>
      <w:bookmarkStart w:id="118" w:name="_Toc87616394"/>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839" w:leftChars="266" w:hanging="280" w:hangingChars="1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left="839" w:leftChars="266" w:hanging="280" w:hangingChars="10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9833"/>
      <w:bookmarkStart w:id="121" w:name="_Toc22527"/>
      <w:bookmarkStart w:id="122" w:name="_Toc87616395"/>
      <w:bookmarkStart w:id="123" w:name="_Toc88209958"/>
    </w:p>
    <w:p>
      <w:pPr>
        <w:pStyle w:val="5"/>
        <w:numPr>
          <w:ilvl w:val="0"/>
          <w:numId w:val="3"/>
        </w:numPr>
        <w:ind w:left="562" w:leftChars="0" w:hanging="562" w:hanging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法定代表人证明或授权委托书</w:t>
      </w:r>
      <w:bookmarkEnd w:id="120"/>
      <w:bookmarkEnd w:id="121"/>
      <w:bookmarkEnd w:id="122"/>
      <w:bookmarkEnd w:id="123"/>
    </w:p>
    <w:p>
      <w:pPr>
        <w:pStyle w:val="5"/>
        <w:numPr>
          <w:ilvl w:val="0"/>
          <w:numId w:val="3"/>
        </w:numPr>
        <w:ind w:left="562" w:leftChars="0" w:hanging="562" w:hangingChars="200"/>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086"/>
      <w:bookmarkStart w:id="125" w:name="_Toc19830"/>
      <w:bookmarkStart w:id="126" w:name="_Toc8761640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广州市净水有限公司江高净水厂配套主干管网工程、人和2号泵站（扩建）标段一编制树木保护专章</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 (盖单位章)      </w:t>
      </w:r>
    </w:p>
    <w:p>
      <w:pPr>
        <w:adjustRightInd w:val="0"/>
        <w:snapToGrid w:val="0"/>
        <w:spacing w:line="360" w:lineRule="auto"/>
        <w:jc w:val="right"/>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日  期： 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bookmarkStart w:id="129" w:name="_Toc19423"/>
      <w:bookmarkStart w:id="130" w:name="_Toc32430"/>
      <w:r>
        <w:rPr>
          <w:rFonts w:hint="eastAsia" w:ascii="仿宋_GB2312" w:eastAsia="仿宋_GB2312" w:hAnsiTheme="minorEastAsia"/>
          <w:color w:val="auto"/>
          <w:sz w:val="28"/>
          <w:szCs w:val="28"/>
          <w:highlight w:val="none"/>
          <w:lang w:val="en-US" w:eastAsia="zh-CN"/>
        </w:rPr>
        <w:br w:type="page"/>
      </w:r>
      <w:bookmarkEnd w:id="129"/>
      <w:bookmarkEnd w:id="130"/>
    </w:p>
    <w:p>
      <w:pPr>
        <w:pStyle w:val="2"/>
        <w:rPr>
          <w:rFonts w:hint="default"/>
          <w:color w:val="auto"/>
          <w:lang w:val="en-US"/>
        </w:rPr>
      </w:pPr>
      <w:r>
        <w:rPr>
          <w:rFonts w:hint="eastAsia" w:ascii="仿宋_GB2312" w:eastAsia="仿宋_GB2312" w:hAnsiTheme="minorEastAsia"/>
          <w:color w:val="auto"/>
          <w:sz w:val="28"/>
          <w:szCs w:val="28"/>
          <w:highlight w:val="none"/>
          <w:lang w:val="en-US" w:eastAsia="zh-CN"/>
        </w:rPr>
        <w:t>5.报价清单</w:t>
      </w:r>
    </w:p>
    <w:tbl>
      <w:tblPr>
        <w:tblStyle w:val="25"/>
        <w:tblW w:w="8659" w:type="dxa"/>
        <w:tblInd w:w="0" w:type="dxa"/>
        <w:tblLayout w:type="fixed"/>
        <w:tblCellMar>
          <w:top w:w="0" w:type="dxa"/>
          <w:left w:w="0" w:type="dxa"/>
          <w:bottom w:w="0" w:type="dxa"/>
          <w:right w:w="0" w:type="dxa"/>
        </w:tblCellMar>
      </w:tblPr>
      <w:tblGrid>
        <w:gridCol w:w="582"/>
        <w:gridCol w:w="1698"/>
        <w:gridCol w:w="600"/>
        <w:gridCol w:w="615"/>
        <w:gridCol w:w="2509"/>
        <w:gridCol w:w="2655"/>
      </w:tblGrid>
      <w:tr>
        <w:tblPrEx>
          <w:tblCellMar>
            <w:top w:w="0" w:type="dxa"/>
            <w:left w:w="0" w:type="dxa"/>
            <w:bottom w:w="0" w:type="dxa"/>
            <w:right w:w="0" w:type="dxa"/>
          </w:tblCellMar>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ascii="Times New Roman" w:hAnsi="Times New Roman" w:eastAsia="仿宋"/>
                <w:b/>
                <w:bCs/>
                <w:color w:val="auto"/>
                <w:kern w:val="0"/>
                <w:sz w:val="24"/>
                <w:lang w:bidi="ar"/>
              </w:rPr>
            </w:pPr>
            <w:r>
              <w:rPr>
                <w:rFonts w:ascii="Times New Roman" w:hAnsi="Times New Roman" w:eastAsia="仿宋"/>
                <w:b/>
                <w:bCs/>
                <w:color w:val="auto"/>
                <w:kern w:val="0"/>
                <w:sz w:val="24"/>
                <w:lang w:bidi="ar"/>
              </w:rPr>
              <w:t>序号</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ascii="Times New Roman" w:hAnsi="Times New Roman" w:eastAsia="仿宋"/>
                <w:b/>
                <w:bCs/>
                <w:color w:val="auto"/>
                <w:kern w:val="0"/>
                <w:sz w:val="24"/>
                <w:lang w:bidi="ar"/>
              </w:rPr>
            </w:pPr>
            <w:r>
              <w:rPr>
                <w:rFonts w:ascii="Times New Roman" w:hAnsi="Times New Roman" w:eastAsia="仿宋"/>
                <w:b/>
                <w:bCs/>
                <w:color w:val="auto"/>
                <w:kern w:val="0"/>
                <w:sz w:val="24"/>
                <w:lang w:bidi="ar"/>
              </w:rPr>
              <w:t>项目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ascii="Times New Roman" w:hAnsi="Times New Roman" w:eastAsia="仿宋"/>
                <w:b/>
                <w:bCs/>
                <w:color w:val="auto"/>
                <w:kern w:val="0"/>
                <w:sz w:val="24"/>
                <w:lang w:bidi="ar"/>
              </w:rPr>
            </w:pPr>
            <w:r>
              <w:rPr>
                <w:rFonts w:ascii="Times New Roman" w:hAnsi="Times New Roman" w:eastAsia="仿宋"/>
                <w:b/>
                <w:bCs/>
                <w:color w:val="auto"/>
                <w:kern w:val="0"/>
                <w:sz w:val="24"/>
                <w:lang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ascii="Times New Roman" w:hAnsi="Times New Roman" w:eastAsia="仿宋"/>
                <w:b/>
                <w:bCs/>
                <w:color w:val="auto"/>
                <w:kern w:val="0"/>
                <w:sz w:val="24"/>
                <w:lang w:bidi="ar"/>
              </w:rPr>
            </w:pPr>
            <w:r>
              <w:rPr>
                <w:rFonts w:ascii="Times New Roman" w:hAnsi="Times New Roman" w:eastAsia="仿宋"/>
                <w:b/>
                <w:bCs/>
                <w:color w:val="auto"/>
                <w:kern w:val="0"/>
                <w:sz w:val="24"/>
                <w:lang w:bidi="ar"/>
              </w:rPr>
              <w:t>数量</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ascii="Times New Roman" w:hAnsi="Times New Roman" w:eastAsia="仿宋"/>
                <w:b/>
                <w:bCs/>
                <w:color w:val="auto"/>
                <w:kern w:val="0"/>
                <w:sz w:val="24"/>
                <w:lang w:bidi="ar"/>
              </w:rPr>
            </w:pPr>
            <w:r>
              <w:rPr>
                <w:rFonts w:ascii="Times New Roman" w:hAnsi="Times New Roman" w:eastAsia="仿宋"/>
                <w:b/>
                <w:bCs/>
                <w:color w:val="auto"/>
                <w:kern w:val="0"/>
                <w:sz w:val="24"/>
                <w:lang w:bidi="ar"/>
              </w:rPr>
              <w:t>单价</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ascii="Times New Roman" w:hAnsi="Times New Roman" w:eastAsia="仿宋"/>
                <w:b/>
                <w:bCs/>
                <w:color w:val="auto"/>
                <w:kern w:val="0"/>
                <w:sz w:val="24"/>
                <w:lang w:bidi="ar"/>
              </w:rPr>
            </w:pPr>
            <w:r>
              <w:rPr>
                <w:rFonts w:hint="eastAsia" w:ascii="Times New Roman" w:hAnsi="Times New Roman" w:eastAsia="仿宋"/>
                <w:b/>
                <w:bCs/>
                <w:color w:val="auto"/>
                <w:kern w:val="0"/>
                <w:sz w:val="24"/>
                <w:lang w:val="en-US" w:eastAsia="zh-CN" w:bidi="ar"/>
              </w:rPr>
              <w:t>总价</w:t>
            </w:r>
            <w:r>
              <w:rPr>
                <w:rFonts w:hint="eastAsia" w:ascii="Times New Roman" w:hAnsi="Times New Roman" w:eastAsia="仿宋"/>
                <w:b/>
                <w:bCs/>
                <w:color w:val="auto"/>
                <w:kern w:val="0"/>
                <w:sz w:val="16"/>
                <w:szCs w:val="16"/>
                <w:lang w:bidi="ar"/>
              </w:rPr>
              <w:t>（元）</w:t>
            </w:r>
          </w:p>
        </w:tc>
      </w:tr>
      <w:tr>
        <w:tblPrEx>
          <w:tblCellMar>
            <w:top w:w="0" w:type="dxa"/>
            <w:left w:w="0" w:type="dxa"/>
            <w:bottom w:w="0" w:type="dxa"/>
            <w:right w:w="0" w:type="dxa"/>
          </w:tblCellMar>
        </w:tblPrEx>
        <w:trPr>
          <w:trHeight w:val="96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1</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外业调查人员费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r>
              <w:rPr>
                <w:rFonts w:hint="eastAsia" w:ascii="Times New Roman" w:hAnsi="Times New Roman" w:eastAsia="仿宋"/>
                <w:color w:val="auto"/>
                <w:kern w:val="0"/>
                <w:sz w:val="24"/>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72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2</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报告编制费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r>
              <w:rPr>
                <w:rFonts w:hint="eastAsia" w:ascii="Times New Roman" w:hAnsi="Times New Roman" w:eastAsia="仿宋"/>
                <w:color w:val="auto"/>
                <w:kern w:val="0"/>
                <w:sz w:val="24"/>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31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3</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交通费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r>
              <w:rPr>
                <w:rFonts w:hint="eastAsia" w:ascii="Times New Roman" w:hAnsi="Times New Roman" w:eastAsia="仿宋"/>
                <w:color w:val="auto"/>
                <w:kern w:val="0"/>
                <w:sz w:val="24"/>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63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4</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仪器损耗费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天</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r>
              <w:rPr>
                <w:rFonts w:hint="eastAsia" w:ascii="Times New Roman" w:hAnsi="Times New Roman" w:eastAsia="仿宋"/>
                <w:color w:val="auto"/>
                <w:kern w:val="0"/>
                <w:sz w:val="24"/>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56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5</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树龄鉴定费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highlight w:val="none"/>
                <w:lang w:bidi="ar"/>
              </w:rPr>
            </w:pPr>
            <w:r>
              <w:rPr>
                <w:rFonts w:hint="eastAsia" w:ascii="Times New Roman" w:hAnsi="Times New Roman" w:eastAsia="仿宋"/>
                <w:color w:val="auto"/>
                <w:kern w:val="0"/>
                <w:sz w:val="24"/>
                <w:highlight w:val="none"/>
                <w:lang w:bidi="ar"/>
              </w:rPr>
              <w:t>株</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highlight w:val="none"/>
                <w:lang w:eastAsia="zh-CN" w:bidi="ar"/>
              </w:rPr>
            </w:pPr>
            <w:r>
              <w:rPr>
                <w:rFonts w:hint="eastAsia" w:ascii="Times New Roman" w:hAnsi="Times New Roman" w:eastAsia="仿宋"/>
                <w:color w:val="auto"/>
                <w:kern w:val="0"/>
                <w:sz w:val="24"/>
                <w:highlight w:val="none"/>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eastAsia="zh-CN" w:bidi="ar"/>
              </w:rPr>
            </w:pPr>
          </w:p>
        </w:tc>
      </w:tr>
      <w:tr>
        <w:tblPrEx>
          <w:tblCellMar>
            <w:top w:w="0" w:type="dxa"/>
            <w:left w:w="0" w:type="dxa"/>
            <w:bottom w:w="0" w:type="dxa"/>
            <w:right w:w="0" w:type="dxa"/>
          </w:tblCellMar>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6</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树木健康安全性评估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highlight w:val="none"/>
                <w:lang w:bidi="ar"/>
              </w:rPr>
            </w:pPr>
            <w:r>
              <w:rPr>
                <w:rFonts w:hint="eastAsia" w:ascii="Times New Roman" w:hAnsi="Times New Roman" w:eastAsia="仿宋"/>
                <w:color w:val="auto"/>
                <w:kern w:val="0"/>
                <w:sz w:val="24"/>
                <w:highlight w:val="none"/>
                <w:lang w:bidi="ar"/>
              </w:rPr>
              <w:t>株</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highlight w:val="none"/>
                <w:lang w:val="en-US" w:eastAsia="zh-CN" w:bidi="ar"/>
              </w:rPr>
            </w:pPr>
            <w:r>
              <w:rPr>
                <w:rFonts w:hint="eastAsia" w:ascii="Times New Roman" w:hAnsi="Times New Roman" w:eastAsia="仿宋"/>
                <w:color w:val="auto"/>
                <w:kern w:val="0"/>
                <w:sz w:val="24"/>
                <w:highlight w:val="none"/>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7</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座标转换</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highlight w:val="none"/>
                <w:lang w:val="en-US" w:eastAsia="zh-CN" w:bidi="ar"/>
              </w:rPr>
            </w:pPr>
            <w:r>
              <w:rPr>
                <w:rFonts w:hint="eastAsia" w:ascii="Times New Roman" w:hAnsi="Times New Roman" w:eastAsia="仿宋"/>
                <w:color w:val="auto"/>
                <w:kern w:val="0"/>
                <w:sz w:val="24"/>
                <w:highlight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highlight w:val="none"/>
                <w:lang w:eastAsia="zh-CN" w:bidi="ar"/>
              </w:rPr>
            </w:pPr>
            <w:r>
              <w:rPr>
                <w:rFonts w:hint="eastAsia" w:ascii="Times New Roman" w:hAnsi="Times New Roman" w:eastAsia="仿宋"/>
                <w:color w:val="auto"/>
                <w:kern w:val="0"/>
                <w:sz w:val="24"/>
                <w:highlight w:val="none"/>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5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8</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资料费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本</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bidi="ar"/>
              </w:rPr>
              <w:t>10</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p>
        </w:tc>
      </w:tr>
      <w:tr>
        <w:tblPrEx>
          <w:tblCellMar>
            <w:top w:w="0" w:type="dxa"/>
            <w:left w:w="0" w:type="dxa"/>
            <w:bottom w:w="0" w:type="dxa"/>
            <w:right w:w="0" w:type="dxa"/>
          </w:tblCellMar>
        </w:tblPrEx>
        <w:trPr>
          <w:trHeight w:val="31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eastAsia" w:ascii="Times New Roman" w:hAnsi="Times New Roman" w:eastAsia="仿宋"/>
                <w:color w:val="auto"/>
                <w:kern w:val="0"/>
                <w:sz w:val="24"/>
                <w:lang w:bidi="ar"/>
              </w:rPr>
            </w:pPr>
            <w:r>
              <w:rPr>
                <w:rFonts w:hint="eastAsia" w:ascii="Times New Roman" w:hAnsi="Times New Roman" w:eastAsia="仿宋"/>
                <w:color w:val="auto"/>
                <w:kern w:val="0"/>
                <w:sz w:val="24"/>
                <w:lang w:val="en-US" w:eastAsia="zh-CN" w:bidi="ar"/>
              </w:rPr>
              <w:t>9</w:t>
            </w:r>
          </w:p>
        </w:tc>
        <w:tc>
          <w:tcPr>
            <w:tcW w:w="80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rPr>
                <w:rFonts w:hint="default" w:ascii="Times New Roman" w:hAnsi="Times New Roman" w:eastAsia="仿宋"/>
                <w:color w:val="auto"/>
                <w:kern w:val="0"/>
                <w:sz w:val="24"/>
                <w:lang w:val="en-US" w:eastAsia="zh-CN" w:bidi="ar"/>
              </w:rPr>
            </w:pPr>
            <w:r>
              <w:rPr>
                <w:rFonts w:hint="eastAsia" w:ascii="Times New Roman" w:hAnsi="Times New Roman" w:eastAsia="仿宋"/>
                <w:color w:val="auto"/>
                <w:kern w:val="0"/>
                <w:sz w:val="24"/>
                <w:lang w:bidi="ar"/>
              </w:rPr>
              <w:t>合计</w:t>
            </w:r>
            <w:r>
              <w:rPr>
                <w:rFonts w:hint="eastAsia" w:ascii="Times New Roman" w:hAnsi="Times New Roman" w:eastAsia="仿宋"/>
                <w:color w:val="auto"/>
                <w:kern w:val="0"/>
                <w:sz w:val="24"/>
                <w:lang w:eastAsia="zh-CN" w:bidi="ar"/>
              </w:rPr>
              <w:t>：</w:t>
            </w:r>
            <w:r>
              <w:rPr>
                <w:rFonts w:hint="eastAsia" w:ascii="Times New Roman" w:hAnsi="Times New Roman" w:eastAsia="仿宋"/>
                <w:color w:val="auto"/>
                <w:kern w:val="0"/>
                <w:sz w:val="24"/>
                <w:lang w:val="en-US" w:eastAsia="zh-CN" w:bidi="ar"/>
              </w:rPr>
              <w:t xml:space="preserve">   元（含税： %）</w:t>
            </w:r>
          </w:p>
        </w:tc>
      </w:tr>
    </w:tbl>
    <w:p>
      <w:pPr>
        <w:rPr>
          <w:rFonts w:eastAsia="仿宋"/>
          <w:b/>
          <w:bCs/>
          <w:color w:val="auto"/>
          <w:sz w:val="32"/>
          <w:szCs w:val="32"/>
        </w:rPr>
      </w:pPr>
      <w:r>
        <w:rPr>
          <w:rFonts w:hint="eastAsia" w:ascii="Times New Roman" w:hAnsi="Times New Roman" w:eastAsia="仿宋"/>
          <w:color w:val="auto"/>
          <w:kern w:val="0"/>
          <w:sz w:val="24"/>
          <w:lang w:bidi="ar"/>
        </w:rPr>
        <w:t>本报价为估算，最终结算以实际工作量为准。</w:t>
      </w:r>
    </w:p>
    <w:p>
      <w:pPr>
        <w:pStyle w:val="2"/>
        <w:widowControl/>
        <w:jc w:val="left"/>
        <w:rPr>
          <w:color w:val="auto"/>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pStyle w:val="2"/>
        <w:ind w:firstLine="6480" w:firstLineChars="2700"/>
        <w:rPr>
          <w:color w:val="auto"/>
          <w:highlight w:val="green"/>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bookmarkStart w:id="131" w:name="_Toc87616402"/>
      <w:bookmarkStart w:id="132" w:name="_Toc6058"/>
      <w:bookmarkStart w:id="133" w:name="_Toc16386"/>
      <w:bookmarkStart w:id="134" w:name="_Toc88209965"/>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11" w:type="first"/>
      <w:headerReference r:id="rId8" w:type="default"/>
      <w:footerReference r:id="rId9" w:type="default"/>
      <w:footerReference r:id="rId10" w:type="even"/>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57785" cy="13144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769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ABli8I4AgAAYgQAAA4AAAAAAAAAAQAgAAAAIAEAAGRycy9lMm9Eb2Mu&#10;eG1sUEsFBgAAAAAGAAYAWQEAAMo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qY5s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sz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KqmOb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80DFF"/>
    <w:rsid w:val="00855987"/>
    <w:rsid w:val="00911ECD"/>
    <w:rsid w:val="00A042E0"/>
    <w:rsid w:val="00B26BB1"/>
    <w:rsid w:val="00B26E21"/>
    <w:rsid w:val="00D12D7E"/>
    <w:rsid w:val="00F83B64"/>
    <w:rsid w:val="013E3461"/>
    <w:rsid w:val="02090C75"/>
    <w:rsid w:val="0253516A"/>
    <w:rsid w:val="02A23A3C"/>
    <w:rsid w:val="030F01A0"/>
    <w:rsid w:val="035D130A"/>
    <w:rsid w:val="039110A9"/>
    <w:rsid w:val="03AC246A"/>
    <w:rsid w:val="03B23056"/>
    <w:rsid w:val="03DC3EBA"/>
    <w:rsid w:val="03F9794D"/>
    <w:rsid w:val="046A2461"/>
    <w:rsid w:val="051C2970"/>
    <w:rsid w:val="060C3611"/>
    <w:rsid w:val="06427EF5"/>
    <w:rsid w:val="06C64829"/>
    <w:rsid w:val="06EB2968"/>
    <w:rsid w:val="071270F1"/>
    <w:rsid w:val="077D16D2"/>
    <w:rsid w:val="082A69F3"/>
    <w:rsid w:val="08596662"/>
    <w:rsid w:val="08675FC8"/>
    <w:rsid w:val="08F46253"/>
    <w:rsid w:val="09B713FD"/>
    <w:rsid w:val="09DA041D"/>
    <w:rsid w:val="09EF6ACC"/>
    <w:rsid w:val="0A315056"/>
    <w:rsid w:val="0AA213B4"/>
    <w:rsid w:val="0ACB18C0"/>
    <w:rsid w:val="0AF61C7E"/>
    <w:rsid w:val="0AFB45AD"/>
    <w:rsid w:val="0B351E9B"/>
    <w:rsid w:val="0B364D41"/>
    <w:rsid w:val="0B4C50D3"/>
    <w:rsid w:val="0B5B35AC"/>
    <w:rsid w:val="0B806B92"/>
    <w:rsid w:val="0B827E94"/>
    <w:rsid w:val="0B842F76"/>
    <w:rsid w:val="0BD070E1"/>
    <w:rsid w:val="0C247926"/>
    <w:rsid w:val="0D232081"/>
    <w:rsid w:val="0D794204"/>
    <w:rsid w:val="0DBD73B9"/>
    <w:rsid w:val="0DF30486"/>
    <w:rsid w:val="0E2125D1"/>
    <w:rsid w:val="0E214211"/>
    <w:rsid w:val="0E5F2769"/>
    <w:rsid w:val="0EEC14F9"/>
    <w:rsid w:val="0F1970B2"/>
    <w:rsid w:val="0F4D75A3"/>
    <w:rsid w:val="0F5B2DCA"/>
    <w:rsid w:val="0FED051E"/>
    <w:rsid w:val="0FEE4C29"/>
    <w:rsid w:val="10031608"/>
    <w:rsid w:val="10046082"/>
    <w:rsid w:val="111703D2"/>
    <w:rsid w:val="112B101A"/>
    <w:rsid w:val="119B53FC"/>
    <w:rsid w:val="12424CDC"/>
    <w:rsid w:val="129A2738"/>
    <w:rsid w:val="12B56BF1"/>
    <w:rsid w:val="12CB1A89"/>
    <w:rsid w:val="12E64C38"/>
    <w:rsid w:val="131840FB"/>
    <w:rsid w:val="13300C95"/>
    <w:rsid w:val="13467417"/>
    <w:rsid w:val="136E76CF"/>
    <w:rsid w:val="142E1053"/>
    <w:rsid w:val="145F08C6"/>
    <w:rsid w:val="154116F9"/>
    <w:rsid w:val="15776308"/>
    <w:rsid w:val="15BC6B3C"/>
    <w:rsid w:val="160A718B"/>
    <w:rsid w:val="164D40B0"/>
    <w:rsid w:val="1694429A"/>
    <w:rsid w:val="17635326"/>
    <w:rsid w:val="18102378"/>
    <w:rsid w:val="18236EFD"/>
    <w:rsid w:val="18430166"/>
    <w:rsid w:val="189D5B1F"/>
    <w:rsid w:val="18A34CD0"/>
    <w:rsid w:val="19A53EA8"/>
    <w:rsid w:val="19B64DBC"/>
    <w:rsid w:val="1A373ACF"/>
    <w:rsid w:val="1A895341"/>
    <w:rsid w:val="1AB428B9"/>
    <w:rsid w:val="1B0D071F"/>
    <w:rsid w:val="1B4568CE"/>
    <w:rsid w:val="1B9015B7"/>
    <w:rsid w:val="1BF54245"/>
    <w:rsid w:val="1C605B42"/>
    <w:rsid w:val="1C673A86"/>
    <w:rsid w:val="1CD55F7B"/>
    <w:rsid w:val="1D0D1432"/>
    <w:rsid w:val="1D0E6976"/>
    <w:rsid w:val="1D5A79EE"/>
    <w:rsid w:val="1DA72AA2"/>
    <w:rsid w:val="1E0E2CD0"/>
    <w:rsid w:val="1E394149"/>
    <w:rsid w:val="1E831280"/>
    <w:rsid w:val="1EBC4704"/>
    <w:rsid w:val="1F172EB5"/>
    <w:rsid w:val="1F6856FC"/>
    <w:rsid w:val="1F94592D"/>
    <w:rsid w:val="1FB860DE"/>
    <w:rsid w:val="203C5A02"/>
    <w:rsid w:val="208F215E"/>
    <w:rsid w:val="209D4C94"/>
    <w:rsid w:val="20E84705"/>
    <w:rsid w:val="21154D5A"/>
    <w:rsid w:val="218400BA"/>
    <w:rsid w:val="21AB1E2F"/>
    <w:rsid w:val="21D40498"/>
    <w:rsid w:val="22767047"/>
    <w:rsid w:val="236A3843"/>
    <w:rsid w:val="23A05588"/>
    <w:rsid w:val="23DE3F1D"/>
    <w:rsid w:val="240476A1"/>
    <w:rsid w:val="248B1FEF"/>
    <w:rsid w:val="25176538"/>
    <w:rsid w:val="25323125"/>
    <w:rsid w:val="25431AEB"/>
    <w:rsid w:val="257D6AD6"/>
    <w:rsid w:val="25BF43FD"/>
    <w:rsid w:val="25CB59E7"/>
    <w:rsid w:val="25F86BCD"/>
    <w:rsid w:val="2605748B"/>
    <w:rsid w:val="267D1603"/>
    <w:rsid w:val="269E416A"/>
    <w:rsid w:val="270A31B5"/>
    <w:rsid w:val="272100D3"/>
    <w:rsid w:val="272C72FC"/>
    <w:rsid w:val="275131CB"/>
    <w:rsid w:val="27EB149D"/>
    <w:rsid w:val="27FD3E52"/>
    <w:rsid w:val="28A9393A"/>
    <w:rsid w:val="28E11370"/>
    <w:rsid w:val="294A756A"/>
    <w:rsid w:val="29781BF8"/>
    <w:rsid w:val="29C33ED0"/>
    <w:rsid w:val="29D5322D"/>
    <w:rsid w:val="2A025DD9"/>
    <w:rsid w:val="2A2619CB"/>
    <w:rsid w:val="2A7C2231"/>
    <w:rsid w:val="2ABB753D"/>
    <w:rsid w:val="2B1C1741"/>
    <w:rsid w:val="2B7A49FA"/>
    <w:rsid w:val="2C615D26"/>
    <w:rsid w:val="2CB679ED"/>
    <w:rsid w:val="2D173C07"/>
    <w:rsid w:val="2D424A86"/>
    <w:rsid w:val="2DA845B3"/>
    <w:rsid w:val="2E7B52DB"/>
    <w:rsid w:val="2E9D2EFC"/>
    <w:rsid w:val="2F324CFE"/>
    <w:rsid w:val="2F343D8C"/>
    <w:rsid w:val="2FBA09F1"/>
    <w:rsid w:val="2FEF2ACF"/>
    <w:rsid w:val="30540211"/>
    <w:rsid w:val="31112A0D"/>
    <w:rsid w:val="311F4B20"/>
    <w:rsid w:val="312D7741"/>
    <w:rsid w:val="316F137F"/>
    <w:rsid w:val="31842D6C"/>
    <w:rsid w:val="31CD5E8B"/>
    <w:rsid w:val="31DF525F"/>
    <w:rsid w:val="31EC162B"/>
    <w:rsid w:val="32324C2E"/>
    <w:rsid w:val="327171DF"/>
    <w:rsid w:val="33904AB6"/>
    <w:rsid w:val="33C04E70"/>
    <w:rsid w:val="341E3434"/>
    <w:rsid w:val="34BB4442"/>
    <w:rsid w:val="360B7EBA"/>
    <w:rsid w:val="36116865"/>
    <w:rsid w:val="369C32FD"/>
    <w:rsid w:val="37666E72"/>
    <w:rsid w:val="377634A7"/>
    <w:rsid w:val="38081EA3"/>
    <w:rsid w:val="38167A04"/>
    <w:rsid w:val="394B167A"/>
    <w:rsid w:val="39C07139"/>
    <w:rsid w:val="39DA2868"/>
    <w:rsid w:val="3A4E4336"/>
    <w:rsid w:val="3A6007FE"/>
    <w:rsid w:val="3AF93D6C"/>
    <w:rsid w:val="3B7C2CE4"/>
    <w:rsid w:val="3BAF716B"/>
    <w:rsid w:val="3C0B5355"/>
    <w:rsid w:val="3C2B1DB1"/>
    <w:rsid w:val="3CD4176B"/>
    <w:rsid w:val="3D1F44D9"/>
    <w:rsid w:val="3D5C38CD"/>
    <w:rsid w:val="3D94162C"/>
    <w:rsid w:val="3E5070F1"/>
    <w:rsid w:val="3F6C3589"/>
    <w:rsid w:val="3F850180"/>
    <w:rsid w:val="3F9004D6"/>
    <w:rsid w:val="3FD371E4"/>
    <w:rsid w:val="400E4D5E"/>
    <w:rsid w:val="40B12B1D"/>
    <w:rsid w:val="40E1138C"/>
    <w:rsid w:val="413814BA"/>
    <w:rsid w:val="41872511"/>
    <w:rsid w:val="424236D9"/>
    <w:rsid w:val="42466655"/>
    <w:rsid w:val="42C82F57"/>
    <w:rsid w:val="42D7527B"/>
    <w:rsid w:val="435707E5"/>
    <w:rsid w:val="43C76AF7"/>
    <w:rsid w:val="443661F9"/>
    <w:rsid w:val="446828F0"/>
    <w:rsid w:val="44F94E15"/>
    <w:rsid w:val="45093E85"/>
    <w:rsid w:val="45C13B4D"/>
    <w:rsid w:val="46054BCA"/>
    <w:rsid w:val="46104585"/>
    <w:rsid w:val="464C6AFC"/>
    <w:rsid w:val="468B0091"/>
    <w:rsid w:val="46A107C3"/>
    <w:rsid w:val="46B15CE2"/>
    <w:rsid w:val="46BE113D"/>
    <w:rsid w:val="46DF0F0D"/>
    <w:rsid w:val="46E44B13"/>
    <w:rsid w:val="4703508A"/>
    <w:rsid w:val="473E5341"/>
    <w:rsid w:val="475023F8"/>
    <w:rsid w:val="479D361E"/>
    <w:rsid w:val="47B74789"/>
    <w:rsid w:val="480F2B9D"/>
    <w:rsid w:val="48282920"/>
    <w:rsid w:val="485321E0"/>
    <w:rsid w:val="48546AD3"/>
    <w:rsid w:val="48CA4868"/>
    <w:rsid w:val="48F005D3"/>
    <w:rsid w:val="49547ADD"/>
    <w:rsid w:val="49732351"/>
    <w:rsid w:val="498F4AF1"/>
    <w:rsid w:val="49C05787"/>
    <w:rsid w:val="49CF518D"/>
    <w:rsid w:val="49EB623E"/>
    <w:rsid w:val="4ADA1F63"/>
    <w:rsid w:val="4AE23D89"/>
    <w:rsid w:val="4B2038D0"/>
    <w:rsid w:val="4B296E7D"/>
    <w:rsid w:val="4B4A28A0"/>
    <w:rsid w:val="4B79394E"/>
    <w:rsid w:val="4B877F28"/>
    <w:rsid w:val="4C9C17E3"/>
    <w:rsid w:val="4CC500F0"/>
    <w:rsid w:val="4D44523F"/>
    <w:rsid w:val="4D916BA6"/>
    <w:rsid w:val="4DC150C2"/>
    <w:rsid w:val="4DC44169"/>
    <w:rsid w:val="4DE24E21"/>
    <w:rsid w:val="4E1B19A3"/>
    <w:rsid w:val="4EF0709E"/>
    <w:rsid w:val="4F0469A4"/>
    <w:rsid w:val="4FD73227"/>
    <w:rsid w:val="513C6A7B"/>
    <w:rsid w:val="522A66FC"/>
    <w:rsid w:val="529B324A"/>
    <w:rsid w:val="532D486F"/>
    <w:rsid w:val="5333545B"/>
    <w:rsid w:val="538D0E89"/>
    <w:rsid w:val="5450213C"/>
    <w:rsid w:val="54D24048"/>
    <w:rsid w:val="54D64CD5"/>
    <w:rsid w:val="550D4349"/>
    <w:rsid w:val="55347222"/>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417EA5"/>
    <w:rsid w:val="5C5D2B35"/>
    <w:rsid w:val="5C9220DF"/>
    <w:rsid w:val="5CD93D02"/>
    <w:rsid w:val="5D4A15F3"/>
    <w:rsid w:val="5D69542A"/>
    <w:rsid w:val="5D783B72"/>
    <w:rsid w:val="5E0930EF"/>
    <w:rsid w:val="5E3D4D53"/>
    <w:rsid w:val="5E4717E6"/>
    <w:rsid w:val="5E55774C"/>
    <w:rsid w:val="5ECC4480"/>
    <w:rsid w:val="5EE92A1F"/>
    <w:rsid w:val="5EFF6144"/>
    <w:rsid w:val="60045F96"/>
    <w:rsid w:val="60104DDC"/>
    <w:rsid w:val="605C0804"/>
    <w:rsid w:val="61880C00"/>
    <w:rsid w:val="6189617B"/>
    <w:rsid w:val="61B52BB6"/>
    <w:rsid w:val="61B749C2"/>
    <w:rsid w:val="61FA4799"/>
    <w:rsid w:val="6222718B"/>
    <w:rsid w:val="62280D20"/>
    <w:rsid w:val="629B43B7"/>
    <w:rsid w:val="62A065CE"/>
    <w:rsid w:val="62CA2457"/>
    <w:rsid w:val="638240A1"/>
    <w:rsid w:val="63833423"/>
    <w:rsid w:val="63A5257B"/>
    <w:rsid w:val="63BD3DCC"/>
    <w:rsid w:val="63C61741"/>
    <w:rsid w:val="642C3620"/>
    <w:rsid w:val="64560967"/>
    <w:rsid w:val="64613150"/>
    <w:rsid w:val="64E15548"/>
    <w:rsid w:val="656B1D10"/>
    <w:rsid w:val="65B841F9"/>
    <w:rsid w:val="65B97588"/>
    <w:rsid w:val="66022B28"/>
    <w:rsid w:val="66120F31"/>
    <w:rsid w:val="664A38E2"/>
    <w:rsid w:val="66581E87"/>
    <w:rsid w:val="66581FCD"/>
    <w:rsid w:val="66707137"/>
    <w:rsid w:val="66FA11D5"/>
    <w:rsid w:val="674302C7"/>
    <w:rsid w:val="68080012"/>
    <w:rsid w:val="680A5986"/>
    <w:rsid w:val="680D5F4B"/>
    <w:rsid w:val="68113F51"/>
    <w:rsid w:val="68377129"/>
    <w:rsid w:val="68AB4E03"/>
    <w:rsid w:val="68E94770"/>
    <w:rsid w:val="68F949C9"/>
    <w:rsid w:val="693D7F76"/>
    <w:rsid w:val="695A4290"/>
    <w:rsid w:val="6A334932"/>
    <w:rsid w:val="6A3353FF"/>
    <w:rsid w:val="6A5D63E6"/>
    <w:rsid w:val="6A5F24D1"/>
    <w:rsid w:val="6AE347EB"/>
    <w:rsid w:val="6B14011E"/>
    <w:rsid w:val="6B434AF0"/>
    <w:rsid w:val="6B57675A"/>
    <w:rsid w:val="6B8901F3"/>
    <w:rsid w:val="6BDD7B4D"/>
    <w:rsid w:val="6C1C01D9"/>
    <w:rsid w:val="6D1C5CAB"/>
    <w:rsid w:val="6D61293E"/>
    <w:rsid w:val="6E9E0E18"/>
    <w:rsid w:val="6EBC0B3A"/>
    <w:rsid w:val="6EF51C7D"/>
    <w:rsid w:val="6F3966A1"/>
    <w:rsid w:val="6F767AED"/>
    <w:rsid w:val="6F8363E5"/>
    <w:rsid w:val="6FAC3CC5"/>
    <w:rsid w:val="6FC746F5"/>
    <w:rsid w:val="6FF21E27"/>
    <w:rsid w:val="70317AC6"/>
    <w:rsid w:val="704768D8"/>
    <w:rsid w:val="704B26F7"/>
    <w:rsid w:val="70863262"/>
    <w:rsid w:val="70A76ED3"/>
    <w:rsid w:val="70E77EB4"/>
    <w:rsid w:val="711B521D"/>
    <w:rsid w:val="71860B17"/>
    <w:rsid w:val="723B27CC"/>
    <w:rsid w:val="72687227"/>
    <w:rsid w:val="72A03FD9"/>
    <w:rsid w:val="72E0769C"/>
    <w:rsid w:val="73406CFF"/>
    <w:rsid w:val="73451678"/>
    <w:rsid w:val="7383028C"/>
    <w:rsid w:val="73A25E44"/>
    <w:rsid w:val="741F68CF"/>
    <w:rsid w:val="74726787"/>
    <w:rsid w:val="75252DF3"/>
    <w:rsid w:val="75621536"/>
    <w:rsid w:val="75BF3154"/>
    <w:rsid w:val="75D70EE2"/>
    <w:rsid w:val="764A07CF"/>
    <w:rsid w:val="764F6B3D"/>
    <w:rsid w:val="76CD2B7B"/>
    <w:rsid w:val="76CE2118"/>
    <w:rsid w:val="76D80645"/>
    <w:rsid w:val="76E03371"/>
    <w:rsid w:val="77FC3C10"/>
    <w:rsid w:val="780E5898"/>
    <w:rsid w:val="782642CC"/>
    <w:rsid w:val="7894095E"/>
    <w:rsid w:val="78964555"/>
    <w:rsid w:val="78CF4963"/>
    <w:rsid w:val="79000679"/>
    <w:rsid w:val="79A416F0"/>
    <w:rsid w:val="79B03EB6"/>
    <w:rsid w:val="7A291B9A"/>
    <w:rsid w:val="7A3168C4"/>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A74C7A"/>
    <w:rsid w:val="7EC86878"/>
    <w:rsid w:val="7ECE30F0"/>
    <w:rsid w:val="7F16390D"/>
    <w:rsid w:val="7F752917"/>
    <w:rsid w:val="7FB22AD3"/>
    <w:rsid w:val="7FB327B8"/>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3">
    <w:name w:val="Body Text First Indent"/>
    <w:basedOn w:val="9"/>
    <w:unhideWhenUsed/>
    <w:qFormat/>
    <w:uiPriority w:val="99"/>
    <w:pPr>
      <w:widowControl w:val="0"/>
      <w:spacing w:after="120" w:line="240" w:lineRule="auto"/>
      <w:ind w:firstLine="420"/>
    </w:pPr>
    <w:rPr>
      <w:kern w:val="2"/>
      <w:sz w:val="21"/>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qFormat/>
    <w:uiPriority w:val="0"/>
    <w:rPr>
      <w:rFonts w:ascii="Times New Roman" w:hAnsi="Times New Roman" w:eastAsia="宋体" w:cs="Times New Roman"/>
      <w:sz w:val="21"/>
      <w:szCs w:val="21"/>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页眉 Char"/>
    <w:basedOn w:val="27"/>
    <w:link w:val="19"/>
    <w:semiHidden/>
    <w:qFormat/>
    <w:uiPriority w:val="99"/>
    <w:rPr>
      <w:sz w:val="18"/>
      <w:szCs w:val="18"/>
    </w:rPr>
  </w:style>
  <w:style w:type="character" w:customStyle="1" w:styleId="34">
    <w:name w:val="页脚 Char"/>
    <w:basedOn w:val="27"/>
    <w:link w:val="18"/>
    <w:qFormat/>
    <w:uiPriority w:val="99"/>
    <w:rPr>
      <w:sz w:val="18"/>
      <w:szCs w:val="18"/>
    </w:rPr>
  </w:style>
  <w:style w:type="character" w:customStyle="1" w:styleId="35">
    <w:name w:val="标题 1 Char"/>
    <w:basedOn w:val="27"/>
    <w:link w:val="3"/>
    <w:qFormat/>
    <w:uiPriority w:val="9"/>
    <w:rPr>
      <w:rFonts w:eastAsia="方正小标宋简体"/>
      <w:bCs/>
      <w:kern w:val="44"/>
      <w:sz w:val="44"/>
      <w:szCs w:val="44"/>
    </w:rPr>
  </w:style>
  <w:style w:type="character" w:customStyle="1" w:styleId="36">
    <w:name w:val="标题 2 Char"/>
    <w:basedOn w:val="27"/>
    <w:link w:val="4"/>
    <w:qFormat/>
    <w:uiPriority w:val="9"/>
    <w:rPr>
      <w:rFonts w:eastAsia="方正小标宋简体" w:asciiTheme="majorHAnsi" w:hAnsiTheme="majorHAnsi" w:cstheme="majorBidi"/>
      <w:bCs/>
      <w:sz w:val="36"/>
      <w:szCs w:val="32"/>
    </w:rPr>
  </w:style>
  <w:style w:type="character" w:customStyle="1" w:styleId="37">
    <w:name w:val="标题 3 Char"/>
    <w:basedOn w:val="27"/>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7"/>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paragraph" w:customStyle="1" w:styleId="5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3">
    <w:name w:val="Body text|1"/>
    <w:basedOn w:val="1"/>
    <w:qFormat/>
    <w:uiPriority w:val="0"/>
    <w:pPr>
      <w:widowControl w:val="0"/>
      <w:shd w:val="clear" w:color="auto" w:fill="auto"/>
      <w:spacing w:line="324" w:lineRule="auto"/>
      <w:ind w:firstLine="230"/>
    </w:pPr>
    <w:rPr>
      <w:rFonts w:ascii="宋体" w:hAnsi="宋体" w:eastAsia="宋体" w:cs="宋体"/>
      <w:sz w:val="22"/>
      <w:szCs w:val="22"/>
      <w:u w:val="none"/>
      <w:shd w:val="clear" w:color="auto" w:fill="auto"/>
      <w:lang w:val="zh-TW" w:eastAsia="zh-TW" w:bidi="zh-TW"/>
    </w:rPr>
  </w:style>
  <w:style w:type="paragraph" w:customStyle="1" w:styleId="54">
    <w:name w:val="表格文字"/>
    <w:basedOn w:val="1"/>
    <w:next w:val="9"/>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22086</Words>
  <Characters>23476</Characters>
  <Lines>300</Lines>
  <Paragraphs>84</Paragraphs>
  <TotalTime>4</TotalTime>
  <ScaleCrop>false</ScaleCrop>
  <LinksUpToDate>false</LinksUpToDate>
  <CharactersWithSpaces>25321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2022-09-14T08:15:00Z</cp:lastPrinted>
  <dcterms:modified xsi:type="dcterms:W3CDTF">2023-04-14T07:24:24Z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F3A1AA4530E64A5C87C69641CD7637B2_13</vt:lpwstr>
  </property>
</Properties>
</file>