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96" w:name="_GoBack"/>
      <w:bookmarkEnd w:id="196"/>
    </w:p>
    <w:p>
      <w:pPr>
        <w:rPr>
          <w:color w:val="auto"/>
          <w:highlight w:val="none"/>
        </w:rPr>
      </w:pPr>
    </w:p>
    <w:p>
      <w:pPr>
        <w:rPr>
          <w:color w:val="auto"/>
          <w:highlight w:val="none"/>
        </w:rPr>
      </w:pPr>
    </w:p>
    <w:p>
      <w:pPr>
        <w:jc w:val="center"/>
        <w:rPr>
          <w:rFonts w:hint="eastAsia" w:ascii="方正小标宋简体" w:eastAsia="方正小标宋简体"/>
          <w:sz w:val="52"/>
          <w:szCs w:val="52"/>
        </w:rPr>
      </w:pPr>
      <w:r>
        <w:rPr>
          <w:rFonts w:hint="eastAsia" w:ascii="方正小标宋简体" w:eastAsia="方正小标宋简体"/>
          <w:sz w:val="52"/>
          <w:szCs w:val="52"/>
        </w:rPr>
        <w:t>广州市净水有限公司超融合</w:t>
      </w:r>
    </w:p>
    <w:p>
      <w:pPr>
        <w:jc w:val="center"/>
        <w:rPr>
          <w:rFonts w:hint="eastAsia" w:ascii="方正小标宋简体" w:eastAsia="方正小标宋简体"/>
          <w:sz w:val="52"/>
          <w:szCs w:val="52"/>
        </w:rPr>
      </w:pPr>
      <w:r>
        <w:rPr>
          <w:rFonts w:hint="eastAsia" w:ascii="方正小标宋简体" w:eastAsia="方正小标宋简体"/>
          <w:sz w:val="52"/>
          <w:szCs w:val="52"/>
        </w:rPr>
        <w:t>设备采购项目</w:t>
      </w:r>
    </w:p>
    <w:p>
      <w:pPr>
        <w:jc w:val="center"/>
        <w:rPr>
          <w:rFonts w:hint="eastAsia" w:ascii="方正小标宋简体" w:eastAsia="方正小标宋简体"/>
          <w:sz w:val="52"/>
          <w:szCs w:val="52"/>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三</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月</w:t>
      </w:r>
    </w:p>
    <w:p>
      <w:pPr>
        <w:rPr>
          <w:color w:val="auto"/>
          <w:highlight w:val="none"/>
        </w:rPr>
        <w:sectPr>
          <w:footerReference r:id="rId5" w:type="first"/>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pPr>
    </w:p>
    <w:p>
      <w:pPr>
        <w:pStyle w:val="2"/>
      </w:pPr>
    </w:p>
    <w:p>
      <w:pPr>
        <w:pStyle w:val="33"/>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9"/>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9"/>
        <w:numPr>
          <w:ilvl w:val="0"/>
          <w:numId w:val="1"/>
        </w:numPr>
        <w:tabs>
          <w:tab w:val="right" w:pos="8844"/>
        </w:tabs>
        <w:rPr>
          <w:color w:val="auto"/>
          <w:highlight w:val="none"/>
        </w:rPr>
      </w:pPr>
      <w:r>
        <w:rPr>
          <w:rFonts w:hint="eastAsia"/>
          <w:color w:val="auto"/>
          <w:highlight w:val="none"/>
          <w:lang w:val="en-US" w:eastAsia="zh-CN"/>
        </w:rPr>
        <w:t>供应商须知</w:t>
      </w:r>
    </w:p>
    <w:p>
      <w:pPr>
        <w:pStyle w:val="19"/>
        <w:numPr>
          <w:ilvl w:val="0"/>
          <w:numId w:val="1"/>
        </w:numPr>
        <w:tabs>
          <w:tab w:val="right" w:pos="8844"/>
        </w:tabs>
        <w:rPr>
          <w:color w:val="auto"/>
          <w:highlight w:val="none"/>
        </w:rPr>
      </w:pPr>
      <w:r>
        <w:rPr>
          <w:rFonts w:hint="eastAsia"/>
          <w:color w:val="auto"/>
          <w:highlight w:val="none"/>
          <w:lang w:val="en-US" w:eastAsia="zh-CN"/>
        </w:rPr>
        <w:t>采购方法</w:t>
      </w:r>
    </w:p>
    <w:p>
      <w:pPr>
        <w:pStyle w:val="19"/>
        <w:numPr>
          <w:ilvl w:val="0"/>
          <w:numId w:val="1"/>
        </w:numPr>
        <w:tabs>
          <w:tab w:val="right" w:pos="8844"/>
        </w:tabs>
        <w:rPr>
          <w:color w:val="auto"/>
          <w:highlight w:val="none"/>
        </w:rPr>
      </w:pPr>
      <w:r>
        <w:rPr>
          <w:rFonts w:hint="eastAsia"/>
          <w:color w:val="auto"/>
          <w:highlight w:val="none"/>
          <w:lang w:val="en-US" w:eastAsia="zh-CN"/>
        </w:rPr>
        <w:t>评审方法</w:t>
      </w:r>
    </w:p>
    <w:p>
      <w:pPr>
        <w:pStyle w:val="19"/>
        <w:numPr>
          <w:ilvl w:val="0"/>
          <w:numId w:val="1"/>
        </w:numPr>
        <w:tabs>
          <w:tab w:val="right" w:pos="8844"/>
        </w:tabs>
        <w:rPr>
          <w:color w:val="auto"/>
          <w:highlight w:val="none"/>
        </w:rPr>
      </w:pPr>
      <w:r>
        <w:rPr>
          <w:rFonts w:hint="eastAsia"/>
          <w:color w:val="auto"/>
          <w:highlight w:val="none"/>
          <w:lang w:val="en-US" w:eastAsia="zh-CN"/>
        </w:rPr>
        <w:t>采购需求</w:t>
      </w:r>
    </w:p>
    <w:p>
      <w:pPr>
        <w:pStyle w:val="19"/>
        <w:numPr>
          <w:ilvl w:val="0"/>
          <w:numId w:val="1"/>
        </w:numPr>
        <w:tabs>
          <w:tab w:val="right" w:pos="8844"/>
        </w:tabs>
        <w:rPr>
          <w:color w:val="auto"/>
          <w:highlight w:val="none"/>
        </w:rPr>
      </w:pPr>
      <w:r>
        <w:rPr>
          <w:rFonts w:hint="eastAsia"/>
          <w:color w:val="auto"/>
          <w:highlight w:val="none"/>
        </w:rPr>
        <w:t>合同草案</w:t>
      </w:r>
    </w:p>
    <w:p>
      <w:pPr>
        <w:pStyle w:val="19"/>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9"/>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31938"/>
      <w:bookmarkStart w:id="5" w:name="_Toc17801"/>
      <w:bookmarkStart w:id="6" w:name="_Toc4275"/>
      <w:bookmarkStart w:id="7" w:name="_Toc1669"/>
      <w:bookmarkStart w:id="8" w:name="_Toc7519"/>
      <w:bookmarkStart w:id="9" w:name="_Toc19609"/>
      <w:bookmarkStart w:id="10" w:name="_Toc11322"/>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2355850</wp:posOffset>
                </wp:positionH>
                <wp:positionV relativeFrom="paragraph">
                  <wp:posOffset>61595</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5.5pt;margin-top:4.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518795</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40.85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5"/>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rPr>
        <w:t>广州市净水有限公司超融合设备采购项目</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w:t>
      </w:r>
      <w:r>
        <w:rPr>
          <w:rFonts w:hint="eastAsia" w:ascii="仿宋_GB2312" w:eastAsia="仿宋_GB2312"/>
          <w:sz w:val="28"/>
          <w:szCs w:val="28"/>
          <w:highlight w:val="none"/>
        </w:rPr>
        <w:sym w:font="Wingdings 2" w:char="0052"/>
      </w:r>
      <w:r>
        <w:rPr>
          <w:rFonts w:hint="eastAsia" w:ascii="仿宋_GB2312" w:eastAsia="仿宋_GB2312"/>
          <w:sz w:val="28"/>
          <w:szCs w:val="28"/>
          <w:highlight w:val="none"/>
        </w:rPr>
        <w:t>货物 □服务项目采购活动，采用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 xml:space="preserve">邀请采购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公开采购</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广州市净水有限公司超融合设备采购项目</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XJ-20230410-2</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970000.00</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lang w:eastAsia="zh-CN"/>
        </w:rPr>
        <w:t>：</w:t>
      </w:r>
      <w:r>
        <w:rPr>
          <w:rFonts w:hint="eastAsia" w:ascii="仿宋_GB2312" w:eastAsia="仿宋_GB2312"/>
          <w:sz w:val="28"/>
          <w:szCs w:val="28"/>
          <w:u w:val="single"/>
        </w:rPr>
        <w:t>超融合服务器购置、超融合</w:t>
      </w:r>
      <w:r>
        <w:rPr>
          <w:rFonts w:hint="eastAsia" w:ascii="仿宋_GB2312" w:eastAsia="仿宋_GB2312"/>
          <w:sz w:val="28"/>
          <w:szCs w:val="28"/>
          <w:u w:val="single"/>
          <w:lang w:val="en-US" w:eastAsia="zh-CN"/>
        </w:rPr>
        <w:t>平台</w:t>
      </w:r>
      <w:r>
        <w:rPr>
          <w:rFonts w:hint="eastAsia" w:ascii="仿宋_GB2312" w:eastAsia="仿宋_GB2312"/>
          <w:sz w:val="28"/>
          <w:szCs w:val="28"/>
          <w:u w:val="single"/>
        </w:rPr>
        <w:t>系统购置、系统部署</w:t>
      </w:r>
      <w:r>
        <w:rPr>
          <w:rFonts w:hint="eastAsia" w:ascii="仿宋_GB2312" w:eastAsia="仿宋_GB2312"/>
          <w:sz w:val="28"/>
          <w:szCs w:val="28"/>
          <w:u w:val="none"/>
          <w:lang w:val="en-US" w:eastAsia="zh-CN"/>
        </w:rPr>
        <w:t xml:space="preserve">                                                          </w:t>
      </w:r>
      <w:r>
        <w:rPr>
          <w:rFonts w:hint="eastAsia" w:ascii="仿宋_GB2312" w:eastAsia="仿宋_GB2312"/>
          <w:color w:val="auto"/>
          <w:sz w:val="28"/>
          <w:szCs w:val="28"/>
          <w:highlight w:val="none"/>
          <w:u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90天</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建设地点  □交货地点  □服务地点位于</w:t>
      </w:r>
      <w:r>
        <w:rPr>
          <w:rFonts w:hint="eastAsia" w:ascii="仿宋_GB2312" w:eastAsia="仿宋_GB2312"/>
          <w:color w:val="auto"/>
          <w:sz w:val="28"/>
          <w:szCs w:val="28"/>
          <w:highlight w:val="none"/>
          <w:u w:val="single"/>
        </w:rPr>
        <w:t xml:space="preserve">  广州市净水有限公司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sz w:val="28"/>
          <w:szCs w:val="28"/>
          <w:u w:val="single"/>
        </w:rPr>
        <w:t>满足询价文件中所有要求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2020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sz w:val="28"/>
          <w:szCs w:val="28"/>
          <w:u w:val="single"/>
        </w:rPr>
        <w:t>超融合设备建设</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u w:val="single"/>
        </w:rPr>
        <w:t>中选后于5日内，报价单位须提供项目所涉及的超融合设备原厂授权函以及原厂售后服务承诺函（加盖原厂公章）。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2023</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000000" w:themeColor="text1"/>
          <w:sz w:val="28"/>
          <w:szCs w:val="28"/>
          <w:highlight w:val="none"/>
          <w:lang w:val="zh-CN"/>
          <w14:textFill>
            <w14:solidFill>
              <w14:schemeClr w14:val="tx1"/>
            </w14:solidFill>
          </w14:textFill>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p>
    <w:p>
      <w:pPr>
        <w:pStyle w:val="2"/>
        <w:spacing w:line="360" w:lineRule="auto"/>
        <w:ind w:firstLine="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w:t>
      </w:r>
    </w:p>
    <w:p>
      <w:pPr>
        <w:pStyle w:val="2"/>
        <w:adjustRightInd w:val="0"/>
        <w:snapToGrid w:val="0"/>
        <w:spacing w:line="360" w:lineRule="auto"/>
        <w:ind w:firstLine="0" w:firstLineChars="0"/>
        <w:rPr>
          <w:rFonts w:hint="eastAsia" w:ascii="仿宋_GB2312" w:eastAsia="仿宋_GB2312" w:hAnsiTheme="minorHAnsi"/>
          <w:color w:val="auto"/>
          <w:sz w:val="28"/>
          <w:szCs w:val="28"/>
          <w:highlight w:val="none"/>
          <w:u w:val="none"/>
        </w:rPr>
      </w:pPr>
      <w:r>
        <w:rPr>
          <w:rFonts w:hint="eastAsia" w:ascii="仿宋_GB2312" w:eastAsia="仿宋_GB2312" w:hAnsiTheme="minorHAnsi" w:cstheme="minorBidi"/>
          <w:color w:val="auto"/>
          <w:kern w:val="2"/>
          <w:sz w:val="28"/>
          <w:szCs w:val="28"/>
          <w:highlight w:val="none"/>
          <w:lang w:val="en-US" w:eastAsia="zh-CN"/>
        </w:rPr>
        <w:t>踏勘现场联系人联系方式：</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17</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 xml:space="preserve">月 </w:t>
      </w:r>
      <w:r>
        <w:rPr>
          <w:rFonts w:hint="eastAsia" w:ascii="仿宋_GB2312" w:eastAsia="仿宋_GB2312"/>
          <w:color w:val="auto"/>
          <w:sz w:val="28"/>
          <w:szCs w:val="28"/>
          <w:highlight w:val="none"/>
          <w:u w:val="single"/>
          <w:lang w:val="en-US" w:eastAsia="zh-CN"/>
        </w:rPr>
        <w:t>17</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2023</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rPr>
        <w:t xml:space="preserve">月 </w:t>
      </w:r>
      <w:r>
        <w:rPr>
          <w:rFonts w:hint="eastAsia" w:ascii="仿宋_GB2312" w:eastAsia="仿宋_GB2312"/>
          <w:color w:val="auto"/>
          <w:sz w:val="28"/>
          <w:szCs w:val="28"/>
          <w:highlight w:val="none"/>
          <w:u w:val="single"/>
          <w:lang w:val="en-US" w:eastAsia="zh-CN"/>
        </w:rPr>
        <w:t>17</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 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 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1680" w:firstLineChars="6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2023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pStyle w:val="2"/>
        <w:ind w:firstLine="0"/>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16557"/>
      <w:bookmarkStart w:id="15" w:name="_Toc32588"/>
      <w:bookmarkStart w:id="16" w:name="_Toc19295"/>
      <w:bookmarkStart w:id="17" w:name="_Toc23749"/>
      <w:bookmarkStart w:id="18" w:name="_Toc9448"/>
      <w:bookmarkStart w:id="19" w:name="_Toc2324"/>
      <w:bookmarkStart w:id="20" w:name="_Toc7340"/>
      <w:bookmarkStart w:id="21" w:name="_Toc25603"/>
      <w:bookmarkStart w:id="22" w:name="_Toc16705"/>
      <w:bookmarkStart w:id="23" w:name="_Toc2331"/>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2348865</wp:posOffset>
                </wp:positionH>
                <wp:positionV relativeFrom="paragraph">
                  <wp:posOffset>565785</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95pt;margin-top:44.55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2379345</wp:posOffset>
                </wp:positionH>
                <wp:positionV relativeFrom="paragraph">
                  <wp:posOffset>6350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7.35pt;margin-top:0.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ind w:firstLine="0"/>
        <w:rPr>
          <w:rFonts w:hint="eastAsia"/>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5"/>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5"/>
        <w:rPr>
          <w:color w:val="auto"/>
          <w:highlight w:val="none"/>
        </w:rPr>
      </w:pPr>
    </w:p>
    <w:p>
      <w:pPr>
        <w:pStyle w:val="35"/>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仿宋_GB2312"/>
          <w:kern w:val="0"/>
          <w:sz w:val="28"/>
          <w:szCs w:val="28"/>
          <w:highlight w:val="none"/>
        </w:rPr>
      </w:pPr>
    </w:p>
    <w:p>
      <w:pPr>
        <w:widowControl/>
        <w:ind w:left="99"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9" w:leftChars="47" w:firstLine="1960" w:firstLineChars="700"/>
        <w:jc w:val="left"/>
        <w:rPr>
          <w:rFonts w:hAnsi="宋体" w:cs="仿宋_GB2312"/>
          <w:kern w:val="0"/>
          <w:sz w:val="28"/>
          <w:szCs w:val="28"/>
          <w:highlight w:val="none"/>
        </w:rPr>
      </w:pPr>
    </w:p>
    <w:p>
      <w:pPr>
        <w:widowControl/>
        <w:ind w:left="99"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9"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867"/>
      <w:bookmarkStart w:id="27" w:name="_Toc21455"/>
    </w:p>
    <w:p>
      <w:pPr>
        <w:pStyle w:val="5"/>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2332990</wp:posOffset>
                </wp:positionH>
                <wp:positionV relativeFrom="paragraph">
                  <wp:posOffset>5080</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7pt;margin-top:0.4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5"/>
        <w:rPr>
          <w:color w:val="auto"/>
          <w:highlight w:val="none"/>
        </w:rPr>
      </w:pPr>
    </w:p>
    <w:p>
      <w:pPr>
        <w:pStyle w:val="5"/>
        <w:rPr>
          <w:color w:val="auto"/>
          <w:highlight w:val="none"/>
        </w:rPr>
      </w:pPr>
      <w:bookmarkStart w:id="28" w:name="_Toc7303"/>
      <w:bookmarkStart w:id="29" w:name="_Toc88209934"/>
      <w:bookmarkStart w:id="30" w:name="_Toc87616371"/>
      <w:bookmarkStart w:id="31" w:name="_Toc7040"/>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9050"/>
      <w:bookmarkStart w:id="35" w:name="_Toc7437"/>
      <w:bookmarkStart w:id="36" w:name="_Toc4952"/>
      <w:bookmarkStart w:id="37" w:name="_Toc7118"/>
      <w:bookmarkStart w:id="38" w:name="_Toc10930"/>
      <w:bookmarkStart w:id="39" w:name="_Toc14870"/>
      <w:bookmarkStart w:id="40" w:name="_Toc23581"/>
      <w:bookmarkStart w:id="41" w:name="_Toc20594"/>
      <w:bookmarkStart w:id="42" w:name="_Toc14552"/>
      <w:bookmarkStart w:id="43" w:name="_Toc3156"/>
      <w:bookmarkStart w:id="44" w:name="_Toc19759"/>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5"/>
        <w:rPr>
          <w:color w:val="auto"/>
          <w:highlight w:val="none"/>
        </w:rPr>
      </w:pPr>
    </w:p>
    <w:p>
      <w:pPr>
        <w:pStyle w:val="4"/>
        <w:rPr>
          <w:color w:val="auto"/>
          <w:highlight w:val="none"/>
        </w:rPr>
      </w:pPr>
      <w:bookmarkStart w:id="45" w:name="_Toc22212"/>
      <w:bookmarkStart w:id="46" w:name="_Toc21079"/>
      <w:bookmarkStart w:id="47" w:name="_Toc12177"/>
      <w:bookmarkStart w:id="48" w:name="_Toc88209941"/>
      <w:bookmarkStart w:id="49" w:name="_Toc6308"/>
      <w:bookmarkStart w:id="50" w:name="_Toc29484"/>
      <w:bookmarkStart w:id="51" w:name="_Toc32607"/>
      <w:bookmarkStart w:id="52" w:name="_Toc7831"/>
      <w:bookmarkStart w:id="53" w:name="_Toc30530"/>
      <w:bookmarkStart w:id="54" w:name="_Toc13898"/>
      <w:bookmarkStart w:id="55" w:name="_Toc21840"/>
      <w:bookmarkStart w:id="56" w:name="_Toc29345"/>
      <w:bookmarkStart w:id="57" w:name="_Toc87616378"/>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58" w:name="_Toc26826"/>
      <w:bookmarkStart w:id="59" w:name="_Toc23033"/>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rFonts w:hint="eastAsia"/>
          <w:color w:val="auto"/>
          <w:highlight w:val="none"/>
        </w:rPr>
      </w:pPr>
      <w:bookmarkStart w:id="60" w:name="_Toc88209947"/>
    </w:p>
    <w:p>
      <w:pPr>
        <w:pStyle w:val="4"/>
        <w:rPr>
          <w:rFonts w:hint="eastAsia"/>
          <w:color w:val="auto"/>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691515</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54.4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p>
    <w:p>
      <w:pPr>
        <w:pStyle w:val="4"/>
        <w:rPr>
          <w:rFonts w:hint="eastAsia"/>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542925</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42.75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bookmarkEnd w:id="60"/>
    <w:p>
      <w:pPr>
        <w:ind w:firstLine="560" w:firstLineChars="200"/>
        <w:rPr>
          <w:rFonts w:ascii="仿宋_GB2312" w:eastAsia="仿宋_GB2312"/>
          <w:color w:val="auto"/>
          <w:sz w:val="28"/>
          <w:szCs w:val="28"/>
          <w:highlight w:val="none"/>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5"/>
        <w:jc w:val="left"/>
        <w:rPr>
          <w:rFonts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一、目标需求：</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本项目为广州市净水有限公司的信息化发展提供保障，通过采购超融合设备以满足扩充数据资源的需求，主要达成的目标如下：</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1.通过本次项目实施，解决现有虚拟化建设的不足，并达到技术服务要求；</w:t>
      </w:r>
    </w:p>
    <w:p>
      <w:pPr>
        <w:ind w:firstLine="560" w:firstLineChars="200"/>
        <w:rPr>
          <w:rFonts w:ascii="仿宋_GB2312" w:hAnsi="仿宋_GB2312" w:eastAsia="仿宋_GB2312" w:cs="仿宋_GB2312"/>
        </w:rPr>
      </w:pPr>
      <w:r>
        <w:rPr>
          <w:rFonts w:hint="eastAsia" w:ascii="仿宋_GB2312" w:hAnsi="仿宋_GB2312" w:eastAsia="仿宋_GB2312" w:cs="仿宋_GB2312"/>
          <w:sz w:val="28"/>
          <w:szCs w:val="28"/>
        </w:rPr>
        <w:t>2.保障现有虚拟化系统整体运行稳定、数据安全。</w:t>
      </w:r>
    </w:p>
    <w:p>
      <w:pPr>
        <w:pStyle w:val="5"/>
        <w:jc w:val="left"/>
        <w:rPr>
          <w:rFonts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二、技术服务要求</w:t>
      </w:r>
    </w:p>
    <w:p>
      <w:pPr>
        <w:pStyle w:val="6"/>
        <w:rPr>
          <w:rFonts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（一）技术要求：</w:t>
      </w:r>
    </w:p>
    <w:p>
      <w:pPr>
        <w:spacing w:before="120" w:after="120"/>
        <w:ind w:firstLine="596" w:firstLineChars="213"/>
        <w:rPr>
          <w:rFonts w:ascii="宋体" w:hAnsi="宋体" w:cs="微软雅黑"/>
          <w:color w:val="000000"/>
          <w:kern w:val="0"/>
        </w:rPr>
      </w:pPr>
      <w:r>
        <w:rPr>
          <w:rFonts w:hint="eastAsia" w:ascii="仿宋_GB2312" w:hAnsi="仿宋_GB2312" w:eastAsia="仿宋_GB2312" w:cs="仿宋_GB2312"/>
          <w:sz w:val="28"/>
          <w:szCs w:val="28"/>
        </w:rPr>
        <w:t>使用超融合技术完成基础架构升级改造，通过计算节点提供计算资源，形成系统高可用部署架构，保证性能充足、弹性资源调度，使得资源使用分配更合理。可以将原有物理机虚拟化平台上的应用系统无缝在线迁移至新的超融合虚拟资源池平台上，可支持原有的虚拟化资源池和新建的超融合虚拟化资源池之间在</w:t>
      </w:r>
      <w:r>
        <w:rPr>
          <w:rFonts w:hint="eastAsia" w:ascii="仿宋_GB2312" w:hAnsi="仿宋_GB2312" w:eastAsia="仿宋_GB2312" w:cs="仿宋_GB2312"/>
          <w:sz w:val="28"/>
          <w:szCs w:val="28"/>
          <w:lang w:val="en-US" w:eastAsia="zh-CN"/>
        </w:rPr>
        <w:t>不停机情况下</w:t>
      </w:r>
      <w:r>
        <w:rPr>
          <w:rFonts w:hint="eastAsia" w:ascii="仿宋_GB2312" w:hAnsi="仿宋_GB2312" w:eastAsia="仿宋_GB2312" w:cs="仿宋_GB2312"/>
          <w:sz w:val="28"/>
          <w:szCs w:val="28"/>
        </w:rPr>
        <w:t>线热迁移虚拟机，保证业务不受迁移影响，继续稳定提供服务。</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通过本项目采购实施部署安装，结合现有的虚拟化集群，充分利用服务器资源，建设一个弹性可扩展、稳定、可靠的基础架构平台。</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超融合平台建设完成后应达到以下功能：</w:t>
      </w:r>
    </w:p>
    <w:p>
      <w:pPr>
        <w:pStyle w:val="3"/>
        <w:numPr>
          <w:ilvl w:val="0"/>
          <w:numId w:val="4"/>
        </w:numPr>
        <w:spacing w:line="360" w:lineRule="auto"/>
        <w:ind w:firstLine="565" w:firstLineChars="202"/>
        <w:rPr>
          <w:rFonts w:ascii="仿宋_GB2312" w:hAnsi="仿宋_GB2312" w:eastAsia="仿宋_GB2312" w:cs="仿宋_GB2312"/>
          <w:sz w:val="28"/>
          <w:szCs w:val="28"/>
        </w:rPr>
      </w:pPr>
      <w:r>
        <w:rPr>
          <w:rFonts w:hint="eastAsia" w:ascii="仿宋_GB2312" w:hAnsi="仿宋_GB2312" w:eastAsia="仿宋_GB2312" w:cs="仿宋_GB2312"/>
          <w:sz w:val="28"/>
          <w:szCs w:val="28"/>
        </w:rPr>
        <w:t>保障业务系统稳定运行，</w:t>
      </w:r>
      <w:r>
        <w:rPr>
          <w:rFonts w:hint="eastAsia" w:ascii="仿宋_GB2312" w:hAnsi="仿宋_GB2312" w:eastAsia="仿宋_GB2312" w:cs="仿宋_GB2312"/>
          <w:bCs/>
          <w:color w:val="000000" w:themeColor="text1"/>
          <w:sz w:val="28"/>
          <w:szCs w:val="28"/>
          <w14:textFill>
            <w14:solidFill>
              <w14:schemeClr w14:val="tx1"/>
            </w14:solidFill>
          </w14:textFill>
        </w:rPr>
        <w:t>可实现现有虚拟化平台内服务、系统的在线平稳及无障迁移，实现服务延伸；</w:t>
      </w:r>
      <w:r>
        <w:rPr>
          <w:rFonts w:hint="eastAsia" w:ascii="仿宋_GB2312" w:hAnsi="仿宋_GB2312" w:eastAsia="仿宋_GB2312" w:cs="仿宋_GB2312"/>
          <w:sz w:val="28"/>
          <w:szCs w:val="28"/>
        </w:rPr>
        <w:t>不因硬件故障或性能瓶颈问题，导致影响业务系统正常使用与业务系统数据安全、稳定；</w:t>
      </w:r>
    </w:p>
    <w:p>
      <w:pPr>
        <w:pStyle w:val="3"/>
        <w:numPr>
          <w:ilvl w:val="0"/>
          <w:numId w:val="4"/>
        </w:numPr>
        <w:spacing w:line="360" w:lineRule="auto"/>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服务器资源可充分利用，新超融合平台兼容现有虚拟化平台，通过虚拟化技术对服务器资源实现弹性调用，保证满足原有业务系统资源使用需求；</w:t>
      </w:r>
    </w:p>
    <w:p>
      <w:pPr>
        <w:pStyle w:val="3"/>
        <w:numPr>
          <w:ilvl w:val="0"/>
          <w:numId w:val="4"/>
        </w:numPr>
        <w:spacing w:line="360" w:lineRule="auto"/>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超融合平台架构具备可扩展性，根据未来发展需求，实现可简单方便地扩展平台架构资源，满足资源使用需求；</w:t>
      </w:r>
    </w:p>
    <w:p>
      <w:pPr>
        <w:pStyle w:val="3"/>
        <w:numPr>
          <w:ilvl w:val="0"/>
          <w:numId w:val="4"/>
        </w:numPr>
        <w:spacing w:line="360" w:lineRule="auto"/>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建设的超融合平台必须支持结合V</w:t>
      </w:r>
      <w:r>
        <w:rPr>
          <w:rFonts w:ascii="仿宋_GB2312" w:hAnsi="仿宋_GB2312" w:eastAsia="仿宋_GB2312" w:cs="仿宋_GB2312"/>
          <w:sz w:val="28"/>
          <w:szCs w:val="28"/>
        </w:rPr>
        <w:t>M</w:t>
      </w:r>
      <w:r>
        <w:rPr>
          <w:rFonts w:hint="eastAsia" w:ascii="仿宋_GB2312" w:hAnsi="仿宋_GB2312" w:eastAsia="仿宋_GB2312" w:cs="仿宋_GB2312"/>
          <w:sz w:val="28"/>
          <w:szCs w:val="28"/>
        </w:rPr>
        <w:t>ware虚拟化平台集成部署的超融合架构，能通过原有vCenter统一管理原有VMware虚拟化资源池和新建的 VMware 超融合虚拟化资源池。通过统一运维管理平台实现监控虚拟化资源池状态，提高运维效率；</w:t>
      </w:r>
    </w:p>
    <w:p>
      <w:pPr>
        <w:pStyle w:val="3"/>
        <w:numPr>
          <w:ilvl w:val="0"/>
          <w:numId w:val="4"/>
        </w:numPr>
        <w:spacing w:line="360" w:lineRule="auto"/>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整个超融合资源能实现集群支持硬件异构、集群内自动数据恢复、自动感知业务压力静态或智能调节资源等功能。</w:t>
      </w:r>
    </w:p>
    <w:p>
      <w:pPr>
        <w:spacing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△拟采购的设备如下（以下指标若出现负偏离，则视无效报价处理）：</w:t>
      </w:r>
    </w:p>
    <w:tbl>
      <w:tblPr>
        <w:tblStyle w:val="23"/>
        <w:tblW w:w="8951" w:type="dxa"/>
        <w:tblInd w:w="-5" w:type="dxa"/>
        <w:tblLayout w:type="fixed"/>
        <w:tblCellMar>
          <w:top w:w="0" w:type="dxa"/>
          <w:left w:w="0" w:type="dxa"/>
          <w:bottom w:w="0" w:type="dxa"/>
          <w:right w:w="0" w:type="dxa"/>
        </w:tblCellMar>
      </w:tblPr>
      <w:tblGrid>
        <w:gridCol w:w="709"/>
        <w:gridCol w:w="1276"/>
        <w:gridCol w:w="6257"/>
        <w:gridCol w:w="709"/>
      </w:tblGrid>
      <w:tr>
        <w:tblPrEx>
          <w:tblCellMar>
            <w:top w:w="0" w:type="dxa"/>
            <w:left w:w="0" w:type="dxa"/>
            <w:bottom w:w="0" w:type="dxa"/>
            <w:right w:w="0" w:type="dxa"/>
          </w:tblCellMar>
        </w:tblPrEx>
        <w:trPr>
          <w:trHeight w:val="401" w:hRule="atLeast"/>
        </w:trPr>
        <w:tc>
          <w:tcPr>
            <w:tcW w:w="709" w:type="dxa"/>
            <w:tcBorders>
              <w:top w:val="single" w:color="8497B0" w:sz="4" w:space="0"/>
              <w:left w:val="single" w:color="8497B0" w:sz="4" w:space="0"/>
              <w:bottom w:val="nil"/>
              <w:right w:val="single" w:color="8497B0" w:sz="4" w:space="0"/>
            </w:tcBorders>
            <w:shd w:val="clear" w:color="auto" w:fill="44546A"/>
            <w:noWrap/>
            <w:tcMar>
              <w:top w:w="15" w:type="dxa"/>
              <w:left w:w="15" w:type="dxa"/>
              <w:right w:w="15" w:type="dxa"/>
            </w:tcMar>
            <w:vAlign w:val="center"/>
          </w:tcPr>
          <w:p>
            <w:pPr>
              <w:widowControl/>
              <w:jc w:val="center"/>
              <w:textAlignment w:val="center"/>
              <w:rPr>
                <w:rFonts w:ascii="仿宋" w:hAnsi="仿宋" w:eastAsia="仿宋" w:cs="微软雅黑"/>
                <w:b/>
                <w:bCs/>
                <w:color w:val="FFFFFF"/>
                <w:sz w:val="20"/>
                <w:szCs w:val="20"/>
              </w:rPr>
            </w:pPr>
            <w:r>
              <w:rPr>
                <w:rFonts w:hint="eastAsia" w:ascii="仿宋" w:hAnsi="仿宋" w:eastAsia="仿宋" w:cs="微软雅黑"/>
                <w:b/>
                <w:bCs/>
                <w:color w:val="FFFFFF"/>
                <w:kern w:val="0"/>
                <w:sz w:val="20"/>
                <w:szCs w:val="20"/>
                <w:lang w:bidi="ar"/>
              </w:rPr>
              <w:t>序号</w:t>
            </w:r>
          </w:p>
        </w:tc>
        <w:tc>
          <w:tcPr>
            <w:tcW w:w="1276" w:type="dxa"/>
            <w:tcBorders>
              <w:top w:val="single" w:color="8497B0" w:sz="4" w:space="0"/>
              <w:left w:val="single" w:color="8497B0" w:sz="4" w:space="0"/>
              <w:bottom w:val="nil"/>
              <w:right w:val="single" w:color="8497B0" w:sz="4" w:space="0"/>
            </w:tcBorders>
            <w:shd w:val="clear" w:color="auto" w:fill="44546A"/>
            <w:vAlign w:val="center"/>
          </w:tcPr>
          <w:p>
            <w:pPr>
              <w:widowControl/>
              <w:jc w:val="center"/>
              <w:textAlignment w:val="center"/>
              <w:rPr>
                <w:rFonts w:ascii="仿宋" w:hAnsi="仿宋" w:eastAsia="仿宋" w:cs="微软雅黑"/>
                <w:b/>
                <w:bCs/>
                <w:color w:val="FFFFFF"/>
                <w:sz w:val="20"/>
                <w:szCs w:val="20"/>
              </w:rPr>
            </w:pPr>
            <w:r>
              <w:rPr>
                <w:rFonts w:hint="eastAsia" w:ascii="仿宋" w:hAnsi="仿宋" w:eastAsia="仿宋" w:cs="微软雅黑"/>
                <w:b/>
                <w:bCs/>
                <w:color w:val="FFFFFF"/>
                <w:sz w:val="20"/>
                <w:szCs w:val="20"/>
              </w:rPr>
              <w:t>产品名称</w:t>
            </w:r>
          </w:p>
        </w:tc>
        <w:tc>
          <w:tcPr>
            <w:tcW w:w="6257" w:type="dxa"/>
            <w:tcBorders>
              <w:top w:val="single" w:color="8497B0" w:sz="4" w:space="0"/>
              <w:left w:val="single" w:color="8497B0" w:sz="4" w:space="0"/>
              <w:bottom w:val="nil"/>
              <w:right w:val="single" w:color="8497B0" w:sz="4" w:space="0"/>
            </w:tcBorders>
            <w:shd w:val="clear" w:color="auto" w:fill="44546A"/>
            <w:noWrap/>
            <w:tcMar>
              <w:top w:w="15" w:type="dxa"/>
              <w:left w:w="15" w:type="dxa"/>
              <w:right w:w="15" w:type="dxa"/>
            </w:tcMar>
            <w:vAlign w:val="center"/>
          </w:tcPr>
          <w:p>
            <w:pPr>
              <w:widowControl/>
              <w:jc w:val="center"/>
              <w:textAlignment w:val="center"/>
              <w:rPr>
                <w:rFonts w:ascii="仿宋" w:hAnsi="仿宋" w:eastAsia="仿宋" w:cs="微软雅黑"/>
                <w:b/>
                <w:bCs/>
                <w:color w:val="FFFFFF"/>
                <w:sz w:val="20"/>
                <w:szCs w:val="20"/>
              </w:rPr>
            </w:pPr>
            <w:r>
              <w:rPr>
                <w:rFonts w:hint="eastAsia" w:ascii="仿宋" w:hAnsi="仿宋" w:eastAsia="仿宋" w:cs="微软雅黑"/>
                <w:b/>
                <w:bCs/>
                <w:color w:val="FFFFFF"/>
                <w:sz w:val="20"/>
                <w:szCs w:val="20"/>
              </w:rPr>
              <w:t>技术指标要求</w:t>
            </w:r>
          </w:p>
        </w:tc>
        <w:tc>
          <w:tcPr>
            <w:tcW w:w="709" w:type="dxa"/>
            <w:tcBorders>
              <w:top w:val="single" w:color="8497B0" w:sz="4" w:space="0"/>
              <w:left w:val="single" w:color="8497B0" w:sz="4" w:space="0"/>
              <w:bottom w:val="nil"/>
              <w:right w:val="single" w:color="8497B0" w:sz="4" w:space="0"/>
            </w:tcBorders>
            <w:shd w:val="clear" w:color="auto" w:fill="44546A"/>
            <w:noWrap/>
            <w:tcMar>
              <w:top w:w="15" w:type="dxa"/>
              <w:left w:w="15" w:type="dxa"/>
              <w:right w:w="15" w:type="dxa"/>
            </w:tcMar>
            <w:vAlign w:val="center"/>
          </w:tcPr>
          <w:p>
            <w:pPr>
              <w:widowControl/>
              <w:jc w:val="center"/>
              <w:textAlignment w:val="center"/>
              <w:rPr>
                <w:rFonts w:ascii="仿宋" w:hAnsi="仿宋" w:eastAsia="仿宋" w:cs="微软雅黑"/>
                <w:b/>
                <w:bCs/>
                <w:color w:val="FFFFFF"/>
                <w:sz w:val="20"/>
                <w:szCs w:val="20"/>
              </w:rPr>
            </w:pPr>
            <w:r>
              <w:rPr>
                <w:rFonts w:hint="eastAsia" w:ascii="仿宋" w:hAnsi="仿宋" w:eastAsia="仿宋" w:cs="微软雅黑"/>
                <w:b/>
                <w:bCs/>
                <w:color w:val="FFFFFF"/>
                <w:sz w:val="20"/>
                <w:szCs w:val="20"/>
              </w:rPr>
              <w:t>数量</w:t>
            </w:r>
          </w:p>
        </w:tc>
      </w:tr>
      <w:tr>
        <w:tblPrEx>
          <w:tblCellMar>
            <w:top w:w="0" w:type="dxa"/>
            <w:left w:w="0" w:type="dxa"/>
            <w:bottom w:w="0" w:type="dxa"/>
            <w:right w:w="0" w:type="dxa"/>
          </w:tblCellMar>
        </w:tblPrEx>
        <w:trPr>
          <w:trHeight w:val="16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szCs w:val="21"/>
              </w:rPr>
            </w:pPr>
            <w:r>
              <w:rPr>
                <w:rFonts w:hint="eastAsia" w:ascii="仿宋" w:hAnsi="仿宋" w:eastAsia="仿宋"/>
                <w:szCs w:val="21"/>
              </w:rPr>
              <w:t>1</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 w:hAnsi="仿宋" w:eastAsia="仿宋"/>
                <w:szCs w:val="21"/>
              </w:rPr>
            </w:pPr>
            <w:r>
              <w:rPr>
                <w:rFonts w:hint="eastAsia" w:ascii="仿宋" w:hAnsi="仿宋" w:eastAsia="仿宋"/>
                <w:szCs w:val="21"/>
              </w:rPr>
              <w:t>超融合一体机</w:t>
            </w:r>
          </w:p>
        </w:tc>
        <w:tc>
          <w:tcPr>
            <w:tcW w:w="6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rPr>
                <w:rFonts w:ascii="仿宋" w:hAnsi="仿宋" w:eastAsia="仿宋"/>
              </w:rPr>
            </w:pPr>
            <w:r>
              <w:rPr>
                <w:rFonts w:ascii="仿宋" w:hAnsi="仿宋" w:eastAsia="仿宋"/>
              </w:rPr>
              <w:t>1.</w:t>
            </w:r>
            <w:r>
              <w:rPr>
                <w:rFonts w:hint="eastAsia" w:ascii="仿宋" w:hAnsi="仿宋" w:eastAsia="仿宋"/>
              </w:rPr>
              <w:t>每个节点配置要求：CPU：2路36核CPU（主频2.4或以上）；内存：18*32G DDR4；磁盘：2*480 GB，10*4TB SATA HDD，2*1.92TB SAS SSD；</w:t>
            </w:r>
          </w:p>
          <w:p>
            <w:pPr>
              <w:spacing w:line="360" w:lineRule="auto"/>
              <w:rPr>
                <w:rFonts w:ascii="仿宋" w:hAnsi="仿宋" w:eastAsia="仿宋"/>
              </w:rPr>
            </w:pPr>
            <w:r>
              <w:rPr>
                <w:rFonts w:hint="eastAsia" w:ascii="仿宋" w:hAnsi="仿宋" w:eastAsia="仿宋"/>
              </w:rPr>
              <w:t>网口：2个千兆电口；4个10GE SFP+（含光模块）；双冗余电源；</w:t>
            </w:r>
            <w:r>
              <w:rPr>
                <w:rFonts w:hint="eastAsia" w:ascii="仿宋" w:hAnsi="仿宋" w:eastAsia="仿宋" w:cs="仿宋"/>
                <w:szCs w:val="21"/>
              </w:rPr>
              <w:t>提供超融合软件永久使用授权，非订阅版授权</w:t>
            </w:r>
            <w:r>
              <w:rPr>
                <w:rFonts w:hint="eastAsia" w:ascii="仿宋" w:hAnsi="仿宋" w:eastAsia="仿宋"/>
              </w:rPr>
              <w:t>，含</w:t>
            </w:r>
            <w:r>
              <w:rPr>
                <w:rFonts w:hint="eastAsia" w:ascii="仿宋" w:hAnsi="仿宋" w:eastAsia="仿宋" w:cs="仿宋"/>
                <w:kern w:val="0"/>
                <w:szCs w:val="21"/>
              </w:rPr>
              <w:t>故障诊</w:t>
            </w:r>
            <w:r>
              <w:rPr>
                <w:rFonts w:hint="eastAsia" w:ascii="仿宋" w:hAnsi="仿宋" w:eastAsia="仿宋" w:cs="仿宋"/>
                <w:bCs/>
                <w:kern w:val="0"/>
                <w:szCs w:val="21"/>
              </w:rPr>
              <w:t>断功能，可实现对关键部件的故障诊断。</w:t>
            </w:r>
          </w:p>
          <w:p>
            <w:pPr>
              <w:spacing w:line="360" w:lineRule="auto"/>
              <w:rPr>
                <w:rFonts w:ascii="仿宋" w:hAnsi="仿宋" w:eastAsia="仿宋"/>
              </w:rPr>
            </w:pPr>
            <w:r>
              <w:rPr>
                <w:rFonts w:hint="eastAsia" w:ascii="仿宋" w:hAnsi="仿宋" w:eastAsia="仿宋"/>
              </w:rPr>
              <w:t>2</w:t>
            </w:r>
            <w:r>
              <w:rPr>
                <w:rFonts w:ascii="仿宋" w:hAnsi="仿宋" w:eastAsia="仿宋"/>
              </w:rPr>
              <w:t>.</w:t>
            </w:r>
            <w:r>
              <w:rPr>
                <w:rFonts w:hint="eastAsia" w:ascii="仿宋" w:hAnsi="仿宋" w:eastAsia="仿宋" w:cs="仿宋"/>
                <w:bCs/>
                <w:szCs w:val="21"/>
              </w:rPr>
              <w:t>为保证服务器硬件的资源利用率，在超融合软件中，分布式存储组件的资源占用量不应超过8vCPU，20GB内存，剩余硬件资源可被用于运行业务系统，提供技术白皮书的相关原理说明、资源占用量。</w:t>
            </w:r>
          </w:p>
          <w:p>
            <w:pPr>
              <w:spacing w:line="360" w:lineRule="auto"/>
              <w:rPr>
                <w:rFonts w:ascii="仿宋" w:hAnsi="仿宋" w:eastAsia="仿宋"/>
              </w:rPr>
            </w:pPr>
            <w:r>
              <w:rPr>
                <w:rFonts w:hint="eastAsia" w:ascii="仿宋" w:hAnsi="仿宋" w:eastAsia="仿宋"/>
              </w:rPr>
              <w:t>3</w:t>
            </w:r>
            <w:r>
              <w:rPr>
                <w:rFonts w:ascii="仿宋" w:hAnsi="仿宋" w:eastAsia="仿宋"/>
              </w:rPr>
              <w:t>.</w:t>
            </w:r>
            <w:r>
              <w:rPr>
                <w:rFonts w:hint="eastAsia" w:ascii="仿宋" w:hAnsi="仿宋" w:eastAsia="仿宋"/>
              </w:rPr>
              <w:t>为保证用户后续对硬件品牌选择的灵活性，应支持纯软件和软硬件一体机两种交付方式，可以适配市面上主流的服务器，同一集群支持异构硬件（不同品牌不同配置），至少包含：戴尔、联想、HPE、浪潮、华为、新华三</w:t>
            </w:r>
            <w:r>
              <w:rPr>
                <w:rFonts w:hint="eastAsia" w:ascii="仿宋" w:hAnsi="仿宋" w:eastAsia="仿宋"/>
                <w:lang w:eastAsia="zh-CN"/>
              </w:rPr>
              <w:t>、</w:t>
            </w:r>
            <w:r>
              <w:rPr>
                <w:rFonts w:hint="eastAsia" w:ascii="仿宋" w:hAnsi="仿宋" w:eastAsia="仿宋"/>
              </w:rPr>
              <w:t>超微</w:t>
            </w:r>
            <w:r>
              <w:rPr>
                <w:rFonts w:hint="eastAsia" w:ascii="仿宋" w:hAnsi="仿宋" w:eastAsia="仿宋"/>
                <w:lang w:val="en-US" w:eastAsia="zh-CN"/>
              </w:rPr>
              <w:t>等</w:t>
            </w:r>
            <w:r>
              <w:rPr>
                <w:rFonts w:hint="eastAsia" w:ascii="仿宋" w:hAnsi="仿宋" w:eastAsia="仿宋"/>
              </w:rPr>
              <w:t>，提供融合软件支持的硬件兼容性列表。</w:t>
            </w:r>
          </w:p>
          <w:p>
            <w:pPr>
              <w:spacing w:line="360" w:lineRule="auto"/>
              <w:rPr>
                <w:rFonts w:ascii="仿宋" w:hAnsi="仿宋" w:eastAsia="仿宋"/>
              </w:rPr>
            </w:pPr>
            <w:r>
              <w:rPr>
                <w:rFonts w:ascii="仿宋" w:hAnsi="仿宋" w:eastAsia="仿宋"/>
              </w:rPr>
              <w:t>4.</w:t>
            </w:r>
            <w:r>
              <w:rPr>
                <w:rFonts w:hint="eastAsia" w:ascii="仿宋" w:hAnsi="仿宋" w:eastAsia="仿宋"/>
              </w:rPr>
              <w:t>产品应为成熟稳定的产品，可有效保障数据中心的稳定运行，产品经工信部下属检测机构的全面测试，测试通过率为1</w:t>
            </w:r>
            <w:r>
              <w:rPr>
                <w:rFonts w:ascii="仿宋" w:hAnsi="仿宋" w:eastAsia="仿宋"/>
              </w:rPr>
              <w:t>00%</w:t>
            </w:r>
            <w:r>
              <w:rPr>
                <w:rFonts w:hint="eastAsia" w:ascii="仿宋" w:hAnsi="仿宋" w:eastAsia="仿宋"/>
              </w:rPr>
              <w:t>，测试内容包括不限于功能、安全性、可靠性、性能、兼容性、易用性等，提供测试检测机构盖章的测试结论。</w:t>
            </w:r>
          </w:p>
          <w:p>
            <w:pPr>
              <w:spacing w:line="360" w:lineRule="auto"/>
              <w:rPr>
                <w:rFonts w:ascii="仿宋" w:hAnsi="仿宋" w:eastAsia="仿宋"/>
              </w:rPr>
            </w:pPr>
            <w:r>
              <w:rPr>
                <w:rFonts w:ascii="仿宋" w:hAnsi="仿宋" w:eastAsia="仿宋"/>
              </w:rPr>
              <w:t>5.</w:t>
            </w:r>
            <w:r>
              <w:rPr>
                <w:rFonts w:hint="eastAsia" w:ascii="仿宋" w:hAnsi="仿宋" w:eastAsia="仿宋" w:cs="仿宋"/>
                <w:bCs/>
                <w:szCs w:val="21"/>
              </w:rPr>
              <w:t>支持结合超融合自带 KVM虚拟化平台、VMware虚拟化平台等主流虚拟化软件集成部署超融合架构，而非支持纳管VMware 虚拟化平台，便于未来虚拟化平台灵活变更，提供VMware 官网可查询的兼容性认证列表证明。</w:t>
            </w:r>
          </w:p>
          <w:p>
            <w:pPr>
              <w:spacing w:line="360" w:lineRule="auto"/>
              <w:rPr>
                <w:rFonts w:ascii="仿宋" w:hAnsi="仿宋" w:eastAsia="仿宋"/>
              </w:rPr>
            </w:pPr>
            <w:r>
              <w:rPr>
                <w:rFonts w:ascii="仿宋" w:hAnsi="仿宋" w:eastAsia="仿宋"/>
              </w:rPr>
              <w:t>7.</w:t>
            </w:r>
            <w:r>
              <w:rPr>
                <w:rFonts w:hint="eastAsia" w:ascii="仿宋" w:hAnsi="仿宋" w:eastAsia="仿宋" w:cs="仿宋"/>
                <w:bCs/>
                <w:szCs w:val="21"/>
              </w:rPr>
              <w:t>支持虚拟机CPU兼容性功能。在管理界面中，具备支持对集群和虚拟机设置 CPU 兼容性，可设置为 CPU 物理透传以及Skylake-Server、Skylake-Client、Broadwell、Haswell、IvyBridge等5种 CPU 模型兼容性设置，以便灵活指定集群和虚拟机的 CPU 兼容模型，充分利用 CPU 性能。</w:t>
            </w:r>
          </w:p>
          <w:p>
            <w:pPr>
              <w:spacing w:line="360" w:lineRule="auto"/>
              <w:rPr>
                <w:rFonts w:ascii="仿宋" w:hAnsi="仿宋" w:eastAsia="仿宋"/>
              </w:rPr>
            </w:pPr>
            <w:r>
              <w:rPr>
                <w:rFonts w:ascii="仿宋" w:hAnsi="仿宋" w:eastAsia="仿宋"/>
              </w:rPr>
              <w:t>8.</w:t>
            </w:r>
            <w:r>
              <w:rPr>
                <w:rFonts w:hint="eastAsia" w:ascii="仿宋" w:hAnsi="仿宋" w:eastAsia="仿宋"/>
              </w:rPr>
              <w:t>支持操作系统O</w:t>
            </w:r>
            <w:r>
              <w:rPr>
                <w:rFonts w:ascii="仿宋" w:hAnsi="仿宋" w:eastAsia="仿宋"/>
              </w:rPr>
              <w:t>S</w:t>
            </w:r>
            <w:r>
              <w:rPr>
                <w:rFonts w:hint="eastAsia" w:ascii="仿宋" w:hAnsi="仿宋" w:eastAsia="仿宋"/>
              </w:rPr>
              <w:t>的快速配置。从超融合web管理界面中直接修改虚拟机的内部客户机操作系统的IP地址、DNS地址、主机名、任意用户密码、NTP 服务器参数。</w:t>
            </w:r>
          </w:p>
          <w:p>
            <w:pPr>
              <w:spacing w:line="360" w:lineRule="auto"/>
              <w:rPr>
                <w:rFonts w:ascii="仿宋" w:hAnsi="仿宋" w:eastAsia="仿宋" w:cs="仿宋"/>
                <w:bCs/>
                <w:color w:val="000000" w:themeColor="text1"/>
                <w:szCs w:val="21"/>
                <w14:textFill>
                  <w14:solidFill>
                    <w14:schemeClr w14:val="tx1"/>
                  </w14:solidFill>
                </w14:textFill>
              </w:rPr>
            </w:pPr>
            <w:r>
              <w:rPr>
                <w:rFonts w:hint="eastAsia" w:ascii="仿宋" w:hAnsi="仿宋" w:eastAsia="仿宋"/>
              </w:rPr>
              <w:t>9</w:t>
            </w:r>
            <w:r>
              <w:rPr>
                <w:rFonts w:ascii="仿宋" w:hAnsi="仿宋" w:eastAsia="仿宋"/>
              </w:rPr>
              <w:t>.</w:t>
            </w:r>
            <w:r>
              <w:rPr>
                <w:rFonts w:hint="eastAsia" w:ascii="仿宋" w:hAnsi="仿宋" w:eastAsia="仿宋" w:cs="仿宋"/>
                <w:bCs/>
                <w:szCs w:val="21"/>
              </w:rPr>
              <w:t xml:space="preserve"> 支持在超融合管理界面中，支持以模板创建相应的虚拟机。在以模板创建虚拟机过程中，web界面支持自定义客户机操作系统的主机名、默认用户密码、SSH公钥、IP地址、静态路由、DNS参数，方便用户快速创建和交付虚拟机给业务部门使用，无需手工进入虚拟机内部进行修</w:t>
            </w:r>
            <w:r>
              <w:rPr>
                <w:rFonts w:hint="eastAsia" w:ascii="仿宋" w:hAnsi="仿宋" w:eastAsia="仿宋" w:cs="仿宋"/>
                <w:bCs/>
                <w:color w:val="000000" w:themeColor="text1"/>
                <w:szCs w:val="21"/>
                <w14:textFill>
                  <w14:solidFill>
                    <w14:schemeClr w14:val="tx1"/>
                  </w14:solidFill>
                </w14:textFill>
              </w:rPr>
              <w:t>改。</w:t>
            </w:r>
          </w:p>
          <w:p>
            <w:pPr>
              <w:spacing w:line="360" w:lineRule="auto"/>
              <w:rPr>
                <w:rFonts w:ascii="仿宋" w:hAnsi="仿宋" w:eastAsia="仿宋" w:cs="仿宋"/>
                <w:bCs/>
                <w:color w:val="000000" w:themeColor="text1"/>
                <w:szCs w:val="21"/>
                <w14:textFill>
                  <w14:solidFill>
                    <w14:schemeClr w14:val="tx1"/>
                  </w14:solidFill>
                </w14:textFill>
              </w:rPr>
            </w:pPr>
            <w:r>
              <w:rPr>
                <w:rFonts w:ascii="仿宋" w:hAnsi="仿宋" w:eastAsia="仿宋" w:cs="仿宋"/>
                <w:bCs/>
                <w:color w:val="000000" w:themeColor="text1"/>
                <w:szCs w:val="21"/>
                <w14:textFill>
                  <w14:solidFill>
                    <w14:schemeClr w14:val="tx1"/>
                  </w14:solidFill>
                </w14:textFill>
              </w:rPr>
              <w:t>10.</w:t>
            </w:r>
            <w:r>
              <w:rPr>
                <w:rFonts w:hint="eastAsia" w:ascii="仿宋" w:hAnsi="仿宋" w:eastAsia="仿宋" w:cs="仿宋"/>
                <w:bCs/>
                <w:color w:val="000000" w:themeColor="text1"/>
                <w:szCs w:val="21"/>
                <w14:textFill>
                  <w14:solidFill>
                    <w14:schemeClr w14:val="tx1"/>
                  </w14:solidFill>
                </w14:textFill>
              </w:rPr>
              <w:t xml:space="preserve"> 为保证业务体验，超融合软件应支持在界面中开启R</w:t>
            </w:r>
            <w:r>
              <w:rPr>
                <w:rFonts w:ascii="仿宋" w:hAnsi="仿宋" w:eastAsia="仿宋" w:cs="仿宋"/>
                <w:bCs/>
                <w:color w:val="000000" w:themeColor="text1"/>
                <w:szCs w:val="21"/>
                <w14:textFill>
                  <w14:solidFill>
                    <w14:schemeClr w14:val="tx1"/>
                  </w14:solidFill>
                </w14:textFill>
              </w:rPr>
              <w:t>DMA</w:t>
            </w:r>
            <w:r>
              <w:rPr>
                <w:rFonts w:hint="eastAsia" w:ascii="仿宋" w:hAnsi="仿宋" w:eastAsia="仿宋" w:cs="仿宋"/>
                <w:bCs/>
                <w:color w:val="000000" w:themeColor="text1"/>
                <w:szCs w:val="21"/>
                <w14:textFill>
                  <w14:solidFill>
                    <w14:schemeClr w14:val="tx1"/>
                  </w14:solidFill>
                </w14:textFill>
              </w:rPr>
              <w:t>、boo</w:t>
            </w:r>
            <w:r>
              <w:rPr>
                <w:rFonts w:ascii="仿宋" w:hAnsi="仿宋" w:eastAsia="仿宋" w:cs="仿宋"/>
                <w:bCs/>
                <w:color w:val="000000" w:themeColor="text1"/>
                <w:szCs w:val="21"/>
                <w14:textFill>
                  <w14:solidFill>
                    <w14:schemeClr w14:val="tx1"/>
                  </w14:solidFill>
                </w14:textFill>
              </w:rPr>
              <w:t>st</w:t>
            </w:r>
            <w:r>
              <w:rPr>
                <w:rFonts w:hint="eastAsia" w:ascii="仿宋" w:hAnsi="仿宋" w:eastAsia="仿宋" w:cs="仿宋"/>
                <w:bCs/>
                <w:color w:val="000000" w:themeColor="text1"/>
                <w:szCs w:val="21"/>
                <w14:textFill>
                  <w14:solidFill>
                    <w14:schemeClr w14:val="tx1"/>
                  </w14:solidFill>
                </w14:textFill>
              </w:rPr>
              <w:t>功能，以适配当代高速x86服务器硬件，发挥更高的IO性能。</w:t>
            </w:r>
          </w:p>
          <w:p>
            <w:pPr>
              <w:spacing w:line="360" w:lineRule="auto"/>
              <w:rPr>
                <w:rFonts w:ascii="仿宋" w:hAnsi="仿宋" w:eastAsia="仿宋"/>
              </w:rPr>
            </w:pPr>
            <w:r>
              <w:rPr>
                <w:rFonts w:hint="eastAsia" w:ascii="仿宋" w:hAnsi="仿宋" w:eastAsia="仿宋" w:cs="仿宋"/>
                <w:bCs/>
                <w:szCs w:val="21"/>
              </w:rPr>
              <w:t>1</w:t>
            </w:r>
            <w:r>
              <w:rPr>
                <w:rFonts w:ascii="仿宋" w:hAnsi="仿宋" w:eastAsia="仿宋" w:cs="仿宋"/>
                <w:bCs/>
                <w:szCs w:val="21"/>
              </w:rPr>
              <w:t>1.</w:t>
            </w:r>
            <w:r>
              <w:rPr>
                <w:rFonts w:hint="eastAsia" w:ascii="仿宋" w:hAnsi="仿宋" w:eastAsia="仿宋" w:cs="仿宋"/>
                <w:bCs/>
                <w:szCs w:val="21"/>
              </w:rPr>
              <w:t>支持虚拟机的网络隔离。管理员可以在管理界面中将可疑、被感染虚拟机设置为“隔离”状态，且任何网络策略无法对此虚拟机生效，避免被隔离虚拟机上的安全威胁扩散。</w:t>
            </w:r>
          </w:p>
          <w:p>
            <w:pPr>
              <w:spacing w:line="360" w:lineRule="auto"/>
              <w:rPr>
                <w:rFonts w:ascii="仿宋" w:hAnsi="仿宋" w:eastAsia="仿宋"/>
              </w:rPr>
            </w:pPr>
            <w:r>
              <w:rPr>
                <w:rFonts w:hint="eastAsia" w:ascii="仿宋" w:hAnsi="仿宋" w:eastAsia="仿宋"/>
              </w:rPr>
              <w:t>1</w:t>
            </w:r>
            <w:r>
              <w:rPr>
                <w:rFonts w:ascii="仿宋" w:hAnsi="仿宋" w:eastAsia="仿宋"/>
              </w:rPr>
              <w:t>2.</w:t>
            </w:r>
            <w:r>
              <w:rPr>
                <w:rFonts w:hint="eastAsia" w:ascii="仿宋" w:hAnsi="仿宋" w:eastAsia="仿宋"/>
              </w:rPr>
              <w:t>所投产品应为安全可控的产品，且具备完全的自主研发能力, 核心组件代码自研开发，提供全国信息标准化技术委员会云计算标准工作组成员单位颁发的代码开源率检查报告，并且核心分布式存储的组件代码自主率必须&gt;80%。</w:t>
            </w:r>
          </w:p>
          <w:p>
            <w:pPr>
              <w:spacing w:line="360" w:lineRule="auto"/>
              <w:rPr>
                <w:rFonts w:ascii="仿宋" w:hAnsi="仿宋" w:eastAsia="仿宋" w:cs="仿宋"/>
                <w:bCs/>
                <w:szCs w:val="21"/>
              </w:rPr>
            </w:pPr>
            <w:r>
              <w:rPr>
                <w:rFonts w:ascii="仿宋" w:hAnsi="仿宋" w:eastAsia="仿宋"/>
              </w:rPr>
              <w:t>13</w:t>
            </w:r>
            <w:r>
              <w:rPr>
                <w:rFonts w:hint="eastAsia" w:ascii="仿宋" w:hAnsi="仿宋" w:eastAsia="仿宋"/>
              </w:rPr>
              <w:t>.</w:t>
            </w:r>
            <w:r>
              <w:rPr>
                <w:rFonts w:hint="eastAsia" w:ascii="仿宋" w:hAnsi="仿宋" w:eastAsia="仿宋" w:cs="仿宋"/>
                <w:bCs/>
                <w:szCs w:val="21"/>
              </w:rPr>
              <w:t>提供自定义监控分析功能。在管理界面可对集群、主机、磁盘、虚拟机、虚拟卷等对像设置监控图表。监控的性能指标包含 CPU、内存、磁盘、虚拟卷、网络等的性能参数。用户可根据需求设置监控图表，实时了解集群和业务系统的运行状态。监控信息的时间跨度也可灵活选择2小时、1天、7天、1个月或半年，便于长时间系统运行状态监控，方便故障分析排查。</w:t>
            </w:r>
          </w:p>
          <w:p>
            <w:pPr>
              <w:pStyle w:val="32"/>
              <w:spacing w:line="360" w:lineRule="auto"/>
              <w:ind w:firstLine="0" w:firstLineChars="0"/>
              <w:rPr>
                <w:rFonts w:ascii="仿宋" w:hAnsi="仿宋" w:eastAsia="仿宋" w:cs="仿宋"/>
                <w:bCs/>
                <w:color w:val="000000" w:themeColor="text1"/>
                <w:szCs w:val="21"/>
                <w14:textFill>
                  <w14:solidFill>
                    <w14:schemeClr w14:val="tx1"/>
                  </w14:solidFill>
                </w14:textFill>
              </w:rPr>
            </w:pPr>
            <w:r>
              <w:rPr>
                <w:rFonts w:hint="eastAsia" w:ascii="仿宋" w:hAnsi="仿宋" w:eastAsia="仿宋"/>
                <w:color w:val="000000" w:themeColor="text1"/>
                <w14:textFill>
                  <w14:solidFill>
                    <w14:schemeClr w14:val="tx1"/>
                  </w14:solidFill>
                </w14:textFill>
              </w:rPr>
              <w:t>1</w:t>
            </w:r>
            <w:r>
              <w:rPr>
                <w:rFonts w:ascii="仿宋" w:hAnsi="仿宋" w:eastAsia="仿宋"/>
                <w:color w:val="000000" w:themeColor="text1"/>
                <w14:textFill>
                  <w14:solidFill>
                    <w14:schemeClr w14:val="tx1"/>
                  </w14:solidFill>
                </w14:textFill>
              </w:rPr>
              <w:t>4.</w:t>
            </w:r>
            <w:r>
              <w:rPr>
                <w:rFonts w:hint="eastAsia" w:ascii="仿宋" w:hAnsi="仿宋" w:eastAsia="仿宋" w:cs="仿宋"/>
                <w:bCs/>
                <w:color w:val="000000" w:themeColor="text1"/>
                <w:szCs w:val="21"/>
                <w14:textFill>
                  <w14:solidFill>
                    <w14:schemeClr w14:val="tx1"/>
                  </w14:solidFill>
                </w14:textFill>
              </w:rPr>
              <w:t>资源分析能力: 支持资源优化功能。在管理中通过设置判断条件。通过判断条件，用户至少可以筛选出：</w:t>
            </w:r>
          </w:p>
          <w:p>
            <w:pPr>
              <w:spacing w:line="360" w:lineRule="auto"/>
              <w:rPr>
                <w:rFonts w:ascii="仿宋" w:hAnsi="仿宋" w:eastAsia="仿宋" w:cs="仿宋"/>
                <w:bCs/>
                <w:color w:val="000000" w:themeColor="text1"/>
                <w:szCs w:val="21"/>
                <w14:textFill>
                  <w14:solidFill>
                    <w14:schemeClr w14:val="tx1"/>
                  </w14:solidFill>
                </w14:textFill>
              </w:rPr>
            </w:pPr>
            <w:r>
              <w:rPr>
                <w:rFonts w:ascii="仿宋" w:hAnsi="仿宋" w:eastAsia="仿宋" w:cs="仿宋"/>
                <w:bCs/>
                <w:color w:val="000000" w:themeColor="text1"/>
                <w:szCs w:val="21"/>
                <w14:textFill>
                  <w14:solidFill>
                    <w14:schemeClr w14:val="tx1"/>
                  </w14:solidFill>
                </w14:textFill>
              </w:rPr>
              <w:t>(1)</w:t>
            </w:r>
            <w:r>
              <w:rPr>
                <w:rFonts w:hint="eastAsia" w:ascii="仿宋" w:hAnsi="仿宋" w:eastAsia="仿宋" w:cs="仿宋"/>
                <w:bCs/>
                <w:color w:val="000000" w:themeColor="text1"/>
                <w:szCs w:val="21"/>
                <w14:textFill>
                  <w14:solidFill>
                    <w14:schemeClr w14:val="tx1"/>
                  </w14:solidFill>
                </w14:textFill>
              </w:rPr>
              <w:t>30天内电源状态都是关机状态；</w:t>
            </w:r>
          </w:p>
          <w:p>
            <w:pPr>
              <w:spacing w:line="360" w:lineRule="auto"/>
              <w:rPr>
                <w:rFonts w:ascii="仿宋" w:hAnsi="仿宋" w:eastAsia="仿宋" w:cs="仿宋"/>
                <w:bCs/>
                <w:color w:val="000000" w:themeColor="text1"/>
                <w:szCs w:val="21"/>
                <w14:textFill>
                  <w14:solidFill>
                    <w14:schemeClr w14:val="tx1"/>
                  </w14:solidFill>
                </w14:textFill>
              </w:rPr>
            </w:pPr>
            <w:r>
              <w:rPr>
                <w:rFonts w:ascii="仿宋" w:hAnsi="仿宋" w:eastAsia="仿宋" w:cs="仿宋"/>
                <w:bCs/>
                <w:color w:val="000000" w:themeColor="text1"/>
                <w:szCs w:val="21"/>
                <w14:textFill>
                  <w14:solidFill>
                    <w14:schemeClr w14:val="tx1"/>
                  </w14:solidFill>
                </w14:textFill>
              </w:rPr>
              <w:t>(2)</w:t>
            </w:r>
            <w:r>
              <w:rPr>
                <w:rFonts w:hint="eastAsia" w:ascii="仿宋" w:hAnsi="仿宋" w:eastAsia="仿宋" w:cs="仿宋"/>
                <w:bCs/>
                <w:color w:val="000000" w:themeColor="text1"/>
                <w:szCs w:val="21"/>
                <w14:textFill>
                  <w14:solidFill>
                    <w14:schemeClr w14:val="tx1"/>
                  </w14:solidFill>
                </w14:textFill>
              </w:rPr>
              <w:t>30 天内每天读写 I/O 最大值 &lt; 100；</w:t>
            </w:r>
          </w:p>
          <w:p>
            <w:pPr>
              <w:spacing w:line="360" w:lineRule="auto"/>
              <w:rPr>
                <w:rFonts w:ascii="仿宋" w:hAnsi="仿宋" w:eastAsia="仿宋" w:cs="仿宋"/>
                <w:bCs/>
                <w:color w:val="000000" w:themeColor="text1"/>
                <w:szCs w:val="21"/>
                <w14:textFill>
                  <w14:solidFill>
                    <w14:schemeClr w14:val="tx1"/>
                  </w14:solidFill>
                </w14:textFill>
              </w:rPr>
            </w:pPr>
            <w:r>
              <w:rPr>
                <w:rFonts w:ascii="仿宋" w:hAnsi="仿宋" w:eastAsia="仿宋" w:cs="仿宋"/>
                <w:bCs/>
                <w:color w:val="000000" w:themeColor="text1"/>
                <w:szCs w:val="21"/>
                <w14:textFill>
                  <w14:solidFill>
                    <w14:schemeClr w14:val="tx1"/>
                  </w14:solidFill>
                </w14:textFill>
              </w:rPr>
              <w:t>(3)</w:t>
            </w:r>
            <w:r>
              <w:rPr>
                <w:rFonts w:hint="eastAsia" w:ascii="仿宋" w:hAnsi="仿宋" w:eastAsia="仿宋" w:cs="仿宋"/>
                <w:bCs/>
                <w:color w:val="000000" w:themeColor="text1"/>
                <w:szCs w:val="21"/>
                <w14:textFill>
                  <w14:solidFill>
                    <w14:schemeClr w14:val="tx1"/>
                  </w14:solidFill>
                </w14:textFill>
              </w:rPr>
              <w:t>30 天内9</w:t>
            </w:r>
            <w:r>
              <w:rPr>
                <w:rFonts w:ascii="仿宋" w:hAnsi="仿宋" w:eastAsia="仿宋" w:cs="仿宋"/>
                <w:bCs/>
                <w:color w:val="000000" w:themeColor="text1"/>
                <w:szCs w:val="21"/>
                <w14:textFill>
                  <w14:solidFill>
                    <w14:schemeClr w14:val="tx1"/>
                  </w14:solidFill>
                </w14:textFill>
              </w:rPr>
              <w:t>5%</w:t>
            </w:r>
            <w:r>
              <w:rPr>
                <w:rFonts w:hint="eastAsia" w:ascii="仿宋" w:hAnsi="仿宋" w:eastAsia="仿宋" w:cs="仿宋"/>
                <w:bCs/>
                <w:color w:val="000000" w:themeColor="text1"/>
                <w:szCs w:val="21"/>
                <w14:textFill>
                  <w14:solidFill>
                    <w14:schemeClr w14:val="tx1"/>
                  </w14:solidFill>
                </w14:textFill>
              </w:rPr>
              <w:t>情况下vCPU 使用率&lt; 15%</w:t>
            </w:r>
          </w:p>
          <w:p>
            <w:pPr>
              <w:spacing w:line="360" w:lineRule="auto"/>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30 天内95% 情况下 vCPU 使用率 &gt; 70%</w:t>
            </w:r>
          </w:p>
          <w:p>
            <w:pPr>
              <w:spacing w:line="360" w:lineRule="auto"/>
              <w:rPr>
                <w:rFonts w:ascii="仿宋" w:hAnsi="仿宋" w:eastAsia="仿宋"/>
              </w:rPr>
            </w:pPr>
            <w:r>
              <w:rPr>
                <w:rFonts w:hint="eastAsia" w:ascii="仿宋" w:hAnsi="仿宋" w:eastAsia="仿宋" w:cs="仿宋"/>
                <w:bCs/>
                <w:color w:val="000000" w:themeColor="text1"/>
                <w:szCs w:val="21"/>
                <w14:textFill>
                  <w14:solidFill>
                    <w14:schemeClr w14:val="tx1"/>
                  </w14:solidFill>
                </w14:textFill>
              </w:rPr>
              <w:t>等状态的虚拟机，便于管理员进行资源调整。</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szCs w:val="21"/>
              </w:rPr>
            </w:pPr>
            <w:r>
              <w:rPr>
                <w:rFonts w:hint="eastAsia" w:ascii="仿宋" w:hAnsi="仿宋" w:eastAsia="仿宋"/>
                <w:szCs w:val="21"/>
              </w:rPr>
              <w:t>3套</w:t>
            </w:r>
          </w:p>
        </w:tc>
      </w:tr>
      <w:tr>
        <w:tblPrEx>
          <w:tblCellMar>
            <w:top w:w="0" w:type="dxa"/>
            <w:left w:w="0" w:type="dxa"/>
            <w:bottom w:w="0" w:type="dxa"/>
            <w:right w:w="0" w:type="dxa"/>
          </w:tblCellMar>
        </w:tblPrEx>
        <w:trPr>
          <w:trHeight w:val="16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szCs w:val="21"/>
              </w:rPr>
            </w:pPr>
            <w:r>
              <w:rPr>
                <w:rFonts w:ascii="仿宋" w:hAnsi="仿宋" w:eastAsia="仿宋"/>
                <w:szCs w:val="21"/>
              </w:rPr>
              <w:t>2</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rPr>
            </w:pPr>
            <w:r>
              <w:rPr>
                <w:rFonts w:hint="eastAsia" w:ascii="仿宋" w:hAnsi="仿宋" w:eastAsia="仿宋"/>
              </w:rPr>
              <w:t>虚拟化平台</w:t>
            </w:r>
          </w:p>
        </w:tc>
        <w:tc>
          <w:tcPr>
            <w:tcW w:w="6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rPr>
                <w:rFonts w:ascii="仿宋" w:hAnsi="仿宋" w:eastAsia="仿宋"/>
              </w:rPr>
            </w:pPr>
            <w:r>
              <w:rPr>
                <w:rFonts w:hint="eastAsia" w:ascii="仿宋" w:hAnsi="仿宋" w:eastAsia="仿宋"/>
              </w:rPr>
              <w:t>提供一套服务器虚拟化解决方案，实现计算、网络、存储资源的虚拟化；</w:t>
            </w:r>
          </w:p>
          <w:p>
            <w:pPr>
              <w:spacing w:line="360" w:lineRule="auto"/>
              <w:rPr>
                <w:rFonts w:ascii="仿宋" w:hAnsi="仿宋" w:eastAsia="仿宋"/>
              </w:rPr>
            </w:pPr>
            <w:r>
              <w:rPr>
                <w:rFonts w:hint="eastAsia" w:ascii="仿宋" w:hAnsi="仿宋" w:eastAsia="仿宋"/>
              </w:rPr>
              <w:t>服务器虚拟化套件必须与本次采购中超融合软件兼容，并能与现有虚拟化平台vCenter实现统一管理。</w:t>
            </w:r>
          </w:p>
          <w:p>
            <w:pPr>
              <w:spacing w:line="360" w:lineRule="auto"/>
              <w:rPr>
                <w:rFonts w:ascii="仿宋" w:hAnsi="仿宋" w:eastAsia="仿宋"/>
              </w:rPr>
            </w:pPr>
            <w:r>
              <w:rPr>
                <w:rFonts w:hint="eastAsia" w:ascii="仿宋" w:hAnsi="仿宋" w:eastAsia="仿宋"/>
              </w:rPr>
              <w:t>支持vMotion功能；支持HA功能；</w:t>
            </w:r>
          </w:p>
          <w:p>
            <w:pPr>
              <w:spacing w:line="360" w:lineRule="auto"/>
              <w:rPr>
                <w:rFonts w:ascii="仿宋" w:hAnsi="仿宋" w:eastAsia="仿宋"/>
              </w:rPr>
            </w:pPr>
            <w:r>
              <w:rPr>
                <w:rFonts w:hint="eastAsia" w:ascii="仿宋" w:hAnsi="仿宋" w:eastAsia="仿宋"/>
              </w:rPr>
              <w:t>支持Storage vMotion；</w:t>
            </w:r>
          </w:p>
          <w:p>
            <w:pPr>
              <w:spacing w:line="360" w:lineRule="auto"/>
              <w:rPr>
                <w:rFonts w:ascii="仿宋" w:hAnsi="仿宋" w:eastAsia="仿宋"/>
              </w:rPr>
            </w:pPr>
            <w:r>
              <w:rPr>
                <w:rFonts w:hint="eastAsia" w:ascii="仿宋" w:hAnsi="仿宋" w:eastAsia="仿宋"/>
              </w:rPr>
              <w:t>支持vSphere Replication；</w:t>
            </w:r>
          </w:p>
          <w:p>
            <w:pPr>
              <w:spacing w:line="360" w:lineRule="auto"/>
              <w:rPr>
                <w:rFonts w:ascii="仿宋" w:hAnsi="仿宋" w:eastAsia="仿宋"/>
              </w:rPr>
            </w:pPr>
            <w:r>
              <w:rPr>
                <w:rFonts w:hint="eastAsia" w:ascii="仿宋" w:hAnsi="仿宋" w:eastAsia="仿宋"/>
              </w:rPr>
              <w:t>提供VMware vSphere 7 Standard授权（8 CPU授权）；</w:t>
            </w:r>
          </w:p>
          <w:p>
            <w:pPr>
              <w:spacing w:line="360" w:lineRule="auto"/>
              <w:rPr>
                <w:rFonts w:ascii="仿宋" w:hAnsi="仿宋" w:eastAsia="仿宋"/>
              </w:rPr>
            </w:pPr>
            <w:r>
              <w:rPr>
                <w:rFonts w:hint="eastAsia" w:ascii="仿宋" w:hAnsi="仿宋" w:eastAsia="仿宋"/>
              </w:rPr>
              <w:t>提供Vmware vSphere vCenter Standard（1个授权）。</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szCs w:val="21"/>
              </w:rPr>
            </w:pPr>
            <w:r>
              <w:rPr>
                <w:rFonts w:hint="eastAsia" w:ascii="仿宋" w:hAnsi="仿宋" w:eastAsia="仿宋"/>
                <w:szCs w:val="21"/>
              </w:rPr>
              <w:t>1套</w:t>
            </w:r>
          </w:p>
        </w:tc>
      </w:tr>
    </w:tbl>
    <w:p>
      <w:pPr>
        <w:rPr>
          <w:rFonts w:ascii="仿宋_GB2312" w:hAnsi="仿宋_GB2312" w:eastAsia="仿宋_GB2312" w:cs="仿宋_GB2312"/>
          <w:sz w:val="28"/>
          <w:szCs w:val="28"/>
        </w:rPr>
      </w:pPr>
      <w:r>
        <w:rPr>
          <w:rFonts w:hint="eastAsia" w:ascii="仿宋_GB2312" w:hAnsi="仿宋_GB2312" w:eastAsia="仿宋_GB2312" w:cs="仿宋_GB2312"/>
          <w:sz w:val="28"/>
          <w:szCs w:val="28"/>
        </w:rPr>
        <w:t>项目交付中所需线材等辅助性材料、施工的其他费用包含在报价中。</w:t>
      </w:r>
    </w:p>
    <w:p>
      <w:pPr>
        <w:pStyle w:val="2"/>
        <w:ind w:firstLine="560" w:firstLineChars="200"/>
        <w:rPr>
          <w:u w:val="single"/>
        </w:rPr>
      </w:pPr>
      <w:r>
        <w:rPr>
          <w:rFonts w:hint="eastAsia" w:ascii="仿宋_GB2312" w:hAnsi="仿宋_GB2312" w:eastAsia="仿宋_GB2312" w:cs="仿宋_GB2312"/>
          <w:color w:val="auto"/>
          <w:kern w:val="2"/>
          <w:sz w:val="28"/>
          <w:szCs w:val="28"/>
          <w:u w:val="single"/>
        </w:rPr>
        <w:t>△</w:t>
      </w:r>
      <w:r>
        <w:rPr>
          <w:rFonts w:hint="eastAsia" w:ascii="仿宋_GB2312" w:hAnsi="仿宋_GB2312" w:eastAsia="仿宋_GB2312" w:cs="仿宋_GB2312"/>
          <w:color w:val="auto"/>
          <w:kern w:val="2"/>
          <w:sz w:val="28"/>
          <w:szCs w:val="28"/>
          <w:u w:val="single"/>
          <w:lang w:val="en-US" w:eastAsia="zh-CN"/>
        </w:rPr>
        <w:t>设备参数响应：</w:t>
      </w:r>
      <w:r>
        <w:rPr>
          <w:rFonts w:hint="eastAsia" w:ascii="仿宋_GB2312" w:hAnsi="仿宋_GB2312" w:eastAsia="仿宋_GB2312" w:cs="仿宋_GB2312"/>
          <w:color w:val="auto"/>
          <w:kern w:val="2"/>
          <w:sz w:val="28"/>
          <w:szCs w:val="28"/>
          <w:u w:val="single"/>
        </w:rPr>
        <w:t>为证明技术响应的真实性，报价单位递交响应文件时须提供本项目超融合一体机</w:t>
      </w:r>
      <w:r>
        <w:rPr>
          <w:rFonts w:hint="eastAsia" w:ascii="仿宋_GB2312" w:hAnsi="仿宋_GB2312" w:eastAsia="仿宋_GB2312" w:cs="仿宋_GB2312"/>
          <w:color w:val="auto"/>
          <w:kern w:val="2"/>
          <w:sz w:val="28"/>
          <w:szCs w:val="28"/>
          <w:u w:val="single"/>
          <w:lang w:val="en-US" w:eastAsia="zh-CN"/>
        </w:rPr>
        <w:t>技术指标要求1至14点</w:t>
      </w:r>
      <w:r>
        <w:rPr>
          <w:rFonts w:hint="eastAsia" w:ascii="仿宋_GB2312" w:hAnsi="仿宋_GB2312" w:eastAsia="仿宋_GB2312" w:cs="仿宋_GB2312"/>
          <w:color w:val="auto"/>
          <w:kern w:val="2"/>
          <w:sz w:val="28"/>
          <w:szCs w:val="28"/>
          <w:u w:val="single"/>
        </w:rPr>
        <w:t>的技术参数证明材料（</w:t>
      </w:r>
      <w:r>
        <w:rPr>
          <w:rFonts w:hint="eastAsia" w:ascii="仿宋_GB2312" w:hAnsi="仿宋_GB2312" w:eastAsia="仿宋_GB2312" w:cs="仿宋_GB2312"/>
          <w:color w:val="auto"/>
          <w:kern w:val="2"/>
          <w:sz w:val="28"/>
          <w:szCs w:val="28"/>
          <w:u w:val="single"/>
          <w:lang w:val="en-US" w:eastAsia="zh-CN"/>
        </w:rPr>
        <w:t>相关</w:t>
      </w:r>
      <w:r>
        <w:rPr>
          <w:rFonts w:hint="eastAsia" w:ascii="仿宋_GB2312" w:hAnsi="仿宋_GB2312" w:eastAsia="仿宋_GB2312" w:cs="仿宋_GB2312"/>
          <w:color w:val="auto"/>
          <w:kern w:val="2"/>
          <w:sz w:val="28"/>
          <w:szCs w:val="28"/>
          <w:u w:val="single"/>
        </w:rPr>
        <w:t>截图或相关证明材料，加盖原厂公章），未提供或相关证明材料无法完整证明或者不清晰的，视为无效响应。</w:t>
      </w:r>
    </w:p>
    <w:p>
      <w:pPr>
        <w:pStyle w:val="2"/>
        <w:rPr>
          <w:rFonts w:ascii="仿宋_GB2312" w:eastAsia="仿宋_GB2312"/>
          <w:sz w:val="28"/>
          <w:szCs w:val="28"/>
          <w:u w:val="single"/>
        </w:rPr>
      </w:pPr>
      <w:r>
        <w:rPr>
          <w:rFonts w:hint="eastAsia" w:ascii="仿宋_GB2312" w:hAnsi="仿宋_GB2312" w:eastAsia="仿宋_GB2312" w:cs="仿宋_GB2312"/>
          <w:color w:val="auto"/>
          <w:kern w:val="2"/>
          <w:sz w:val="28"/>
          <w:szCs w:val="28"/>
          <w:u w:val="single"/>
        </w:rPr>
        <w:t>△超融合资</w:t>
      </w:r>
      <w:r>
        <w:rPr>
          <w:rFonts w:hint="eastAsia" w:ascii="仿宋_GB2312" w:eastAsia="仿宋_GB2312"/>
          <w:sz w:val="28"/>
          <w:szCs w:val="28"/>
          <w:u w:val="single"/>
        </w:rPr>
        <w:t>源</w:t>
      </w:r>
      <w:r>
        <w:rPr>
          <w:rFonts w:hint="eastAsia" w:ascii="仿宋_GB2312" w:eastAsia="仿宋_GB2312"/>
          <w:sz w:val="28"/>
          <w:szCs w:val="28"/>
          <w:u w:val="single"/>
          <w:lang w:val="en-US" w:eastAsia="zh-CN"/>
        </w:rPr>
        <w:t>兼容性</w:t>
      </w:r>
      <w:r>
        <w:rPr>
          <w:rFonts w:hint="eastAsia" w:ascii="仿宋_GB2312" w:eastAsia="仿宋_GB2312"/>
          <w:sz w:val="28"/>
          <w:szCs w:val="28"/>
          <w:u w:val="single"/>
        </w:rPr>
        <w:t>：为保证设备及系统</w:t>
      </w:r>
      <w:r>
        <w:rPr>
          <w:rFonts w:hint="eastAsia" w:ascii="仿宋_GB2312" w:eastAsia="仿宋_GB2312"/>
          <w:sz w:val="28"/>
          <w:szCs w:val="28"/>
          <w:u w:val="single"/>
          <w:lang w:val="en-US" w:eastAsia="zh-CN"/>
        </w:rPr>
        <w:t>与现有平台的</w:t>
      </w:r>
      <w:r>
        <w:rPr>
          <w:rFonts w:hint="eastAsia" w:ascii="仿宋_GB2312" w:eastAsia="仿宋_GB2312"/>
          <w:sz w:val="28"/>
          <w:szCs w:val="28"/>
          <w:u w:val="single"/>
        </w:rPr>
        <w:t>兼容性，所投产品的存储空间能与现有集群的存储空间构成统一的存储池，且在单一管理界面中，进行统一管理。虚拟机可在不关机状态下在该集群的新、旧超融合节点之间无障碍在线迁移、切换，报价单位递交响应文件时须提供本项目相关的实现原理的描述或者证明材料，相关证明材料加盖原厂公章，未提供或相关证明材料无法完整证明或者不清晰的，视为无效响应。</w:t>
      </w:r>
    </w:p>
    <w:p>
      <w:pPr>
        <w:pStyle w:val="2"/>
        <w:rPr>
          <w:rFonts w:hint="eastAsia" w:ascii="仿宋_GB2312" w:hAnsi="仿宋_GB2312" w:eastAsia="仿宋_GB2312" w:cs="仿宋_GB2312"/>
          <w:color w:val="auto"/>
          <w:kern w:val="2"/>
          <w:sz w:val="28"/>
          <w:szCs w:val="28"/>
          <w:u w:val="single"/>
        </w:rPr>
      </w:pPr>
      <w:r>
        <w:rPr>
          <w:rFonts w:hint="eastAsia" w:ascii="仿宋_GB2312" w:hAnsi="仿宋_GB2312" w:eastAsia="仿宋_GB2312" w:cs="仿宋_GB2312"/>
          <w:color w:val="auto"/>
          <w:kern w:val="2"/>
          <w:sz w:val="28"/>
          <w:szCs w:val="28"/>
          <w:u w:val="single"/>
        </w:rPr>
        <w:t>△</w:t>
      </w:r>
      <w:r>
        <w:rPr>
          <w:rFonts w:hint="eastAsia" w:ascii="仿宋_GB2312" w:eastAsia="仿宋_GB2312"/>
          <w:sz w:val="28"/>
          <w:szCs w:val="28"/>
          <w:u w:val="single"/>
        </w:rPr>
        <w:t>平台升级与迁移服务：</w:t>
      </w:r>
      <w:r>
        <w:rPr>
          <w:rFonts w:hint="eastAsia" w:ascii="仿宋_GB2312" w:hAnsi="仿宋_GB2312" w:eastAsia="仿宋_GB2312" w:cs="仿宋_GB2312"/>
          <w:color w:val="auto"/>
          <w:kern w:val="2"/>
          <w:sz w:val="28"/>
          <w:szCs w:val="28"/>
          <w:u w:val="single"/>
        </w:rPr>
        <w:t>报价单位负责为</w:t>
      </w:r>
      <w:r>
        <w:rPr>
          <w:rFonts w:hint="eastAsia" w:ascii="仿宋_GB2312" w:eastAsia="仿宋_GB2312"/>
          <w:sz w:val="28"/>
          <w:szCs w:val="28"/>
          <w:u w:val="single"/>
        </w:rPr>
        <w:t>采购人</w:t>
      </w:r>
      <w:r>
        <w:rPr>
          <w:rFonts w:hint="eastAsia" w:ascii="仿宋_GB2312" w:hAnsi="仿宋_GB2312" w:eastAsia="仿宋_GB2312" w:cs="仿宋_GB2312"/>
          <w:color w:val="auto"/>
          <w:kern w:val="2"/>
          <w:sz w:val="28"/>
          <w:szCs w:val="28"/>
          <w:u w:val="single"/>
        </w:rPr>
        <w:t>提供原虚拟化</w:t>
      </w:r>
      <w:r>
        <w:rPr>
          <w:rFonts w:hint="eastAsia" w:ascii="仿宋_GB2312" w:eastAsia="仿宋_GB2312"/>
          <w:sz w:val="28"/>
          <w:szCs w:val="28"/>
          <w:u w:val="single"/>
        </w:rPr>
        <w:t>平台升级及迁移服务，并保证虚拟化平台升级与系统迁移期间的</w:t>
      </w:r>
      <w:r>
        <w:rPr>
          <w:rFonts w:hint="eastAsia" w:ascii="仿宋_GB2312" w:eastAsia="仿宋_GB2312"/>
          <w:sz w:val="28"/>
          <w:szCs w:val="28"/>
          <w:u w:val="single"/>
          <w:lang w:val="en-US" w:eastAsia="zh-CN"/>
        </w:rPr>
        <w:t>原有</w:t>
      </w:r>
      <w:r>
        <w:rPr>
          <w:rFonts w:hint="eastAsia" w:ascii="仿宋_GB2312" w:eastAsia="仿宋_GB2312"/>
          <w:sz w:val="28"/>
          <w:szCs w:val="28"/>
          <w:u w:val="single"/>
        </w:rPr>
        <w:t>系统及数据的可用性和完整性。</w:t>
      </w:r>
      <w:r>
        <w:rPr>
          <w:rFonts w:hint="eastAsia" w:ascii="仿宋_GB2312" w:hAnsi="仿宋_GB2312" w:eastAsia="仿宋_GB2312" w:cs="仿宋_GB2312"/>
          <w:color w:val="auto"/>
          <w:kern w:val="2"/>
          <w:sz w:val="28"/>
          <w:szCs w:val="28"/>
          <w:u w:val="single"/>
        </w:rPr>
        <w:t>报价单位递交响应文件时须提供详细的平台升级与</w:t>
      </w:r>
      <w:r>
        <w:rPr>
          <w:rFonts w:hint="eastAsia" w:ascii="仿宋_GB2312" w:eastAsia="仿宋_GB2312"/>
          <w:sz w:val="28"/>
          <w:szCs w:val="28"/>
          <w:u w:val="single"/>
        </w:rPr>
        <w:t>系统迁移方案，重点阐述升级与迁移过程及风险管控措施，未提供相关方案或者方案可行性不足的，视为无效响应。</w:t>
      </w:r>
    </w:p>
    <w:p>
      <w:pPr>
        <w:pStyle w:val="6"/>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（二）服务要求：</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项目必须提供的具体服务内容如下：</w:t>
      </w:r>
    </w:p>
    <w:p>
      <w:pP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质保期服务内容</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1.项目验收后1年为项目质保期。</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2.承包人报价产品属于国家规定“三包”范围的，其产品质量保证期不得低于“三包”规定。</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3.承包人的质量保证期承诺优于国家“三包”规定的，按承包人实际承诺执行。</w:t>
      </w:r>
    </w:p>
    <w:p>
      <w:pP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售后服务内容</w:t>
      </w:r>
    </w:p>
    <w:p>
      <w:pPr>
        <w:ind w:firstLine="560" w:firstLineChars="200"/>
      </w:pPr>
      <w:r>
        <w:rPr>
          <w:rFonts w:hint="eastAsia" w:ascii="仿宋_GB2312" w:hAnsi="仿宋_GB2312" w:eastAsia="仿宋_GB2312" w:cs="仿宋_GB2312"/>
          <w:color w:val="000000" w:themeColor="text1"/>
          <w:sz w:val="28"/>
          <w:szCs w:val="28"/>
          <w14:textFill>
            <w14:solidFill>
              <w14:schemeClr w14:val="tx1"/>
            </w14:solidFill>
          </w14:textFill>
        </w:rPr>
        <w:t>1.承包人明确承诺:本项目内涉及软件部分提供不低于1年的免费升级服务及技术支持（指协助甲方按照产品原厂标准应享有的售后服务），免费升级服务期及技术支持由产品成功激活之日起计算。</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2.承包人在质量保证期内应当为询价人提供以下技术支持和服务:</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A、电话咨询</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承包人应当为询价人提供其单位以及原厂的技术援助电话，解答询价人在使用中遇到的问题，及时为询价人提出解决问题的建议。</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B、现场响应</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询价人遇到使用及技术问题，电话咨询不能解决的，承包人应在1小时内到达现场进行处理，确保产品正常工作﹔无法在2小时内解决的，应在2小时内提供备用产品，使询价人能够正常使用。</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C、技术升级</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在质保期内，如果承包人销售的产品发现</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包括但不限于</w:t>
      </w:r>
      <w:r>
        <w:rPr>
          <w:rFonts w:hint="eastAsia" w:ascii="仿宋_GB2312" w:hAnsi="仿宋_GB2312" w:eastAsia="仿宋_GB2312" w:cs="仿宋_GB2312"/>
          <w:color w:val="000000" w:themeColor="text1"/>
          <w:sz w:val="28"/>
          <w:szCs w:val="28"/>
          <w14:textFill>
            <w14:solidFill>
              <w14:schemeClr w14:val="tx1"/>
            </w14:solidFill>
          </w14:textFill>
        </w:rPr>
        <w:t>漏洞</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技术升级</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等</w:t>
      </w:r>
      <w:r>
        <w:rPr>
          <w:rFonts w:hint="eastAsia" w:ascii="仿宋_GB2312" w:hAnsi="仿宋_GB2312" w:eastAsia="仿宋_GB2312" w:cs="仿宋_GB2312"/>
          <w:color w:val="000000" w:themeColor="text1"/>
          <w:sz w:val="28"/>
          <w:szCs w:val="28"/>
          <w14:textFill>
            <w14:solidFill>
              <w14:schemeClr w14:val="tx1"/>
            </w14:solidFill>
          </w14:textFill>
        </w:rPr>
        <w:t>，承包人应及时通知询价人</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并及时处理相关事宜</w:t>
      </w:r>
      <w:r>
        <w:rPr>
          <w:rFonts w:hint="eastAsia" w:ascii="仿宋_GB2312" w:hAnsi="仿宋_GB2312" w:eastAsia="仿宋_GB2312" w:cs="仿宋_GB2312"/>
          <w:color w:val="000000" w:themeColor="text1"/>
          <w:sz w:val="28"/>
          <w:szCs w:val="28"/>
          <w14:textFill>
            <w14:solidFill>
              <w14:schemeClr w14:val="tx1"/>
            </w14:solidFill>
          </w14:textFill>
        </w:rPr>
        <w:t>，如询价人有相应要求，承包人应对询价人购买的产品进行升级服务。</w:t>
      </w:r>
    </w:p>
    <w:p>
      <w:pPr>
        <w:snapToGrid w:val="0"/>
        <w:spacing w:line="36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3.质量保证期过后，承包人应同样提供免费电话咨询服务，并应承诺提供产品上门维护服务。</w:t>
      </w:r>
    </w:p>
    <w:p>
      <w:pP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建设服务其他要求</w:t>
      </w:r>
    </w:p>
    <w:p>
      <w:pPr>
        <w:pStyle w:val="3"/>
        <w:spacing w:line="360" w:lineRule="auto"/>
        <w:ind w:left="560" w:firstLine="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1.项目相关设备到货后，需提供本项目具体建设方案。</w:t>
      </w:r>
    </w:p>
    <w:p>
      <w:pPr>
        <w:pStyle w:val="3"/>
        <w:spacing w:line="360" w:lineRule="auto"/>
        <w:ind w:left="560" w:firstLine="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2.项目施工完工后需提供整体项目完整的施工报告，及维护手册。</w:t>
      </w:r>
    </w:p>
    <w:p>
      <w:pP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验收要求</w:t>
      </w:r>
    </w:p>
    <w:p>
      <w:pPr>
        <w:snapToGrid w:val="0"/>
        <w:spacing w:line="36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报价单位应对技术要求如实、具体、明确响应，不得含糊不清、不确认或伪造、变造证明材料，系统上线后，将进行功能性指标测试，如不符合投标文件中所应答的逐条功能，将作退货处理并要求补偿经济损失，同时追究法律责任。</w:t>
      </w:r>
    </w:p>
    <w:p>
      <w:pPr>
        <w:pStyle w:val="5"/>
        <w:jc w:val="left"/>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三、培训要求</w:t>
      </w:r>
    </w:p>
    <w:p>
      <w:pPr>
        <w:pStyle w:val="46"/>
        <w:autoSpaceDE w:val="0"/>
        <w:autoSpaceDN w:val="0"/>
        <w:adjustRightInd w:val="0"/>
        <w:spacing w:line="360" w:lineRule="auto"/>
        <w:ind w:firstLine="560"/>
        <w:textAlignment w:val="baseline"/>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承包单位应根据项目实施的计划、进度和需要与询价人的合理要求，及时安排对询价人的相关人员进行培训。</w:t>
      </w:r>
    </w:p>
    <w:p>
      <w:pPr>
        <w:pStyle w:val="46"/>
        <w:autoSpaceDE w:val="0"/>
        <w:autoSpaceDN w:val="0"/>
        <w:adjustRightInd w:val="0"/>
        <w:spacing w:line="360" w:lineRule="auto"/>
        <w:ind w:left="-134" w:leftChars="-64" w:firstLine="560"/>
        <w:textAlignment w:val="baseline"/>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培训目标为使受训者能够独立、熟练地完成操作，实现本项目所有设备的基本操作。具体如下：</w:t>
      </w:r>
    </w:p>
    <w:p>
      <w:pPr>
        <w:pStyle w:val="46"/>
        <w:autoSpaceDE w:val="0"/>
        <w:autoSpaceDN w:val="0"/>
        <w:adjustRightInd w:val="0"/>
        <w:spacing w:line="360" w:lineRule="auto"/>
        <w:ind w:left="-142" w:firstLine="560"/>
        <w:textAlignment w:val="baseline"/>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由承包单位组织正式培训，采用准备好的注释、讲义、讨论会、视听演示以及在现场进行实际操作示范，培训人员应做好操作、管理、维护的充分准备，承包单位应提交一份培训计划给询价人以获批准。</w:t>
      </w:r>
    </w:p>
    <w:p>
      <w:pPr>
        <w:pStyle w:val="46"/>
        <w:numPr>
          <w:ilvl w:val="0"/>
          <w:numId w:val="5"/>
        </w:numPr>
        <w:autoSpaceDE w:val="0"/>
        <w:autoSpaceDN w:val="0"/>
        <w:adjustRightInd w:val="0"/>
        <w:spacing w:line="360" w:lineRule="auto"/>
        <w:ind w:firstLineChars="0"/>
        <w:textAlignment w:val="baseline"/>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培训范围：超融合维护</w:t>
      </w:r>
    </w:p>
    <w:p>
      <w:pPr>
        <w:pStyle w:val="46"/>
        <w:numPr>
          <w:ilvl w:val="0"/>
          <w:numId w:val="5"/>
        </w:numPr>
        <w:autoSpaceDE w:val="0"/>
        <w:autoSpaceDN w:val="0"/>
        <w:adjustRightInd w:val="0"/>
        <w:spacing w:line="360" w:lineRule="auto"/>
        <w:ind w:firstLineChars="0"/>
        <w:textAlignment w:val="baseline"/>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培训地点：广州市净水有限公司</w:t>
      </w:r>
    </w:p>
    <w:p>
      <w:pPr>
        <w:pStyle w:val="46"/>
        <w:numPr>
          <w:ilvl w:val="0"/>
          <w:numId w:val="5"/>
        </w:numPr>
        <w:autoSpaceDE w:val="0"/>
        <w:autoSpaceDN w:val="0"/>
        <w:adjustRightInd w:val="0"/>
        <w:spacing w:line="360" w:lineRule="auto"/>
        <w:ind w:firstLineChars="0"/>
        <w:textAlignment w:val="baseline"/>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培训时间：在项目施工完成后进行培训</w:t>
      </w:r>
    </w:p>
    <w:p>
      <w:pPr>
        <w:pStyle w:val="46"/>
        <w:numPr>
          <w:ilvl w:val="0"/>
          <w:numId w:val="5"/>
        </w:numPr>
        <w:autoSpaceDE w:val="0"/>
        <w:autoSpaceDN w:val="0"/>
        <w:adjustRightInd w:val="0"/>
        <w:spacing w:line="360" w:lineRule="auto"/>
        <w:ind w:firstLineChars="0"/>
        <w:textAlignment w:val="baseline"/>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培训内容：超融合涉及的技术、应用、操作、维护技巧</w:t>
      </w:r>
    </w:p>
    <w:p>
      <w:pPr>
        <w:pStyle w:val="46"/>
        <w:autoSpaceDE w:val="0"/>
        <w:autoSpaceDN w:val="0"/>
        <w:adjustRightInd w:val="0"/>
        <w:spacing w:line="360" w:lineRule="auto"/>
        <w:ind w:firstLine="560"/>
        <w:textAlignment w:val="baseline"/>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根据用户整体使用、日常维护需求提供相关的知识进行培训及答疑，次数不少于1次。</w:t>
      </w:r>
    </w:p>
    <w:p>
      <w:pPr>
        <w:pStyle w:val="46"/>
        <w:autoSpaceDE w:val="0"/>
        <w:autoSpaceDN w:val="0"/>
        <w:adjustRightInd w:val="0"/>
        <w:spacing w:line="360" w:lineRule="auto"/>
        <w:ind w:firstLine="560"/>
        <w:textAlignment w:val="baseline"/>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若用户日常维护管理及使用仍存在疑问，在运行和维护期间乙方必须持续提供咨询服务。</w:t>
      </w:r>
    </w:p>
    <w:p>
      <w:pPr>
        <w:pStyle w:val="5"/>
        <w:jc w:val="left"/>
        <w:rPr>
          <w:rFonts w:ascii="仿宋_GB2312" w:hAnsi="仿宋_GB2312" w:eastAsia="仿宋_GB2312" w:cs="仿宋_GB2312"/>
          <w:color w:val="000000" w:themeColor="text1"/>
          <w:lang w:val="en"/>
          <w14:textFill>
            <w14:solidFill>
              <w14:schemeClr w14:val="tx1"/>
            </w14:solidFill>
          </w14:textFill>
        </w:rPr>
      </w:pPr>
      <w:r>
        <w:rPr>
          <w:rFonts w:hint="eastAsia" w:ascii="仿宋_GB2312" w:hAnsi="仿宋_GB2312" w:eastAsia="仿宋_GB2312" w:cs="仿宋_GB2312"/>
          <w:color w:val="000000" w:themeColor="text1"/>
          <w14:textFill>
            <w14:solidFill>
              <w14:schemeClr w14:val="tx1"/>
            </w14:solidFill>
          </w14:textFill>
        </w:rPr>
        <w:t>四、</w:t>
      </w:r>
      <w:r>
        <w:rPr>
          <w:rFonts w:hint="eastAsia" w:ascii="仿宋_GB2312" w:hAnsi="仿宋_GB2312" w:eastAsia="仿宋_GB2312" w:cs="仿宋_GB2312"/>
          <w:color w:val="000000" w:themeColor="text1"/>
          <w:lang w:val="en"/>
          <w14:textFill>
            <w14:solidFill>
              <w14:schemeClr w14:val="tx1"/>
            </w14:solidFill>
          </w14:textFill>
        </w:rPr>
        <w:t>商务</w:t>
      </w:r>
      <w:r>
        <w:rPr>
          <w:rFonts w:hint="eastAsia" w:ascii="仿宋_GB2312" w:hAnsi="仿宋_GB2312" w:eastAsia="仿宋_GB2312" w:cs="仿宋_GB2312"/>
          <w:color w:val="000000" w:themeColor="text1"/>
          <w14:textFill>
            <w14:solidFill>
              <w14:schemeClr w14:val="tx1"/>
            </w14:solidFill>
          </w14:textFill>
        </w:rPr>
        <w:t>要求</w:t>
      </w:r>
    </w:p>
    <w:p>
      <w:pPr>
        <w:keepNext w:val="0"/>
        <w:keepLines w:val="0"/>
        <w:pageBreakBefore w:val="0"/>
        <w:widowControl w:val="0"/>
        <w:kinsoku/>
        <w:wordWrap/>
        <w:overflowPunct/>
        <w:topLinePunct w:val="0"/>
        <w:autoSpaceDE w:val="0"/>
        <w:autoSpaceDN w:val="0"/>
        <w:bidi w:val="0"/>
        <w:adjustRightInd w:val="0"/>
        <w:snapToGrid/>
        <w:spacing w:line="480" w:lineRule="auto"/>
        <w:ind w:left="560"/>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sz w:val="28"/>
          <w:szCs w:val="28"/>
        </w:rPr>
        <w:t>项目建设周期：</w:t>
      </w:r>
      <w:r>
        <w:rPr>
          <w:rFonts w:hint="eastAsia" w:ascii="仿宋_GB2312" w:hAnsi="仿宋_GB2312" w:eastAsia="仿宋_GB2312" w:cs="仿宋_GB2312"/>
          <w:sz w:val="28"/>
          <w:szCs w:val="28"/>
          <w:lang w:val="en-US" w:eastAsia="zh-CN"/>
        </w:rPr>
        <w:t>90</w:t>
      </w:r>
      <w:r>
        <w:rPr>
          <w:rFonts w:hint="eastAsia" w:ascii="仿宋_GB2312" w:hAnsi="仿宋_GB2312" w:eastAsia="仿宋_GB2312" w:cs="仿宋_GB2312"/>
          <w:sz w:val="28"/>
          <w:szCs w:val="28"/>
        </w:rPr>
        <w:t>天内</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不含试运行时间</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w:t>
      </w:r>
    </w:p>
    <w:p>
      <w:pPr>
        <w:pStyle w:val="2"/>
        <w:keepNext w:val="0"/>
        <w:keepLines w:val="0"/>
        <w:pageBreakBefore w:val="0"/>
        <w:widowControl w:val="0"/>
        <w:kinsoku/>
        <w:wordWrap/>
        <w:overflowPunct/>
        <w:topLinePunct w:val="0"/>
        <w:bidi w:val="0"/>
        <w:adjustRightInd w:val="0"/>
        <w:snapToGrid/>
        <w:spacing w:line="480" w:lineRule="auto"/>
        <w:ind w:left="0" w:leftChars="0" w:firstLine="560" w:firstLineChars="200"/>
        <w:rPr>
          <w:rFonts w:hint="default" w:eastAsia="仿宋_GB2312"/>
          <w:lang w:val="en-US" w:eastAsia="zh-CN"/>
        </w:rPr>
      </w:pPr>
      <w:r>
        <w:rPr>
          <w:rFonts w:hint="eastAsia" w:ascii="仿宋_GB2312" w:hAnsi="仿宋_GB2312" w:eastAsia="仿宋_GB2312" w:cs="仿宋_GB2312"/>
          <w:sz w:val="28"/>
          <w:szCs w:val="28"/>
          <w:lang w:val="en-US" w:eastAsia="zh-CN"/>
        </w:rPr>
        <w:t>2.到货要求：签订合同后10个工作日内</w:t>
      </w:r>
    </w:p>
    <w:p>
      <w:pPr>
        <w:pStyle w:val="32"/>
        <w:autoSpaceDE w:val="0"/>
        <w:autoSpaceDN w:val="0"/>
        <w:ind w:firstLine="5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.总包及分包规定：本项目不接受分包。</w:t>
      </w:r>
    </w:p>
    <w:p>
      <w:pPr>
        <w:pStyle w:val="12"/>
        <w:spacing w:line="360" w:lineRule="auto"/>
        <w:ind w:left="1"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14:textFill>
            <w14:solidFill>
              <w14:schemeClr w14:val="tx1"/>
            </w14:solidFill>
          </w14:textFill>
        </w:rPr>
        <w:t>.付款方式：采用支票、网银支付两种形式。</w:t>
      </w:r>
    </w:p>
    <w:p>
      <w:pPr>
        <w:tabs>
          <w:tab w:val="center" w:pos="5156"/>
        </w:tabs>
        <w:autoSpaceDE w:val="0"/>
        <w:autoSpaceDN w:val="0"/>
        <w:ind w:left="5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.承包方式：包工、包料、包设备安装、包开发、包调试、包培训、包运维、包验收的总价包干方式。</w:t>
      </w:r>
    </w:p>
    <w:p>
      <w:pPr>
        <w:autoSpaceDE w:val="0"/>
        <w:autoSpaceDN w:val="0"/>
        <w:ind w:left="5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z w:val="28"/>
          <w:szCs w:val="28"/>
          <w14:textFill>
            <w14:solidFill>
              <w14:schemeClr w14:val="tx1"/>
            </w14:solidFill>
          </w14:textFill>
        </w:rPr>
        <w:t>.项目结算：按照合同。</w:t>
      </w:r>
    </w:p>
    <w:p>
      <w:pPr>
        <w:pStyle w:val="2"/>
      </w:pPr>
    </w:p>
    <w:p>
      <w:pPr>
        <w:pStyle w:val="2"/>
      </w:pPr>
    </w:p>
    <w:p>
      <w:pPr>
        <w:pStyle w:val="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61" w:name="_Toc25925"/>
      <w:bookmarkStart w:id="62" w:name="_Toc1284"/>
      <w:bookmarkStart w:id="63" w:name="_Toc537"/>
      <w:bookmarkStart w:id="64" w:name="_Toc29835"/>
      <w:bookmarkStart w:id="65" w:name="_Toc23330"/>
      <w:bookmarkStart w:id="66" w:name="_Toc18538"/>
      <w:bookmarkStart w:id="67" w:name="_Toc15570"/>
      <w:bookmarkStart w:id="68" w:name="_Toc23353"/>
      <w:bookmarkStart w:id="69" w:name="_Toc4680"/>
      <w:bookmarkStart w:id="70" w:name="_Toc12135"/>
      <w:bookmarkStart w:id="71" w:name="_Toc1496"/>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5"/>
        <w:rPr>
          <w:color w:val="auto"/>
          <w:highlight w:val="none"/>
        </w:rPr>
      </w:pPr>
    </w:p>
    <w:p>
      <w:pPr>
        <w:pStyle w:val="4"/>
        <w:rPr>
          <w:color w:val="auto"/>
          <w:highlight w:val="none"/>
        </w:rPr>
      </w:pPr>
      <w:bookmarkStart w:id="72" w:name="_Toc12968"/>
      <w:bookmarkStart w:id="73" w:name="_Toc22797"/>
      <w:bookmarkStart w:id="74" w:name="_Toc1375"/>
      <w:bookmarkStart w:id="75" w:name="_Toc19686"/>
      <w:bookmarkStart w:id="76" w:name="_Toc12980"/>
      <w:bookmarkStart w:id="77" w:name="_Toc88209949"/>
      <w:bookmarkStart w:id="78" w:name="_Toc12721"/>
      <w:bookmarkStart w:id="79" w:name="_Toc87616386"/>
      <w:bookmarkStart w:id="80" w:name="_Toc8183"/>
      <w:bookmarkStart w:id="81" w:name="_Toc323"/>
      <w:bookmarkStart w:id="82" w:name="_Toc22501"/>
      <w:bookmarkStart w:id="83" w:name="_Toc19088"/>
      <w:bookmarkStart w:id="84" w:name="_Toc13309"/>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2"/>
        <w:spacing w:after="156"/>
        <w:ind w:firstLine="560"/>
        <w:rPr>
          <w:rFonts w:ascii="方正小标宋简体" w:eastAsia="方正小标宋简体"/>
          <w:sz w:val="28"/>
          <w:szCs w:val="28"/>
        </w:rPr>
      </w:pPr>
    </w:p>
    <w:p>
      <w:pPr>
        <w:jc w:val="right"/>
        <w:rPr>
          <w:rFonts w:ascii="宋体" w:hAnsi="宋体" w:eastAsia="宋体" w:cs="Times New Roman"/>
          <w:b/>
          <w:sz w:val="44"/>
        </w:rPr>
      </w:pPr>
      <w:r>
        <w:rPr>
          <w:rFonts w:hint="eastAsia" w:ascii="宋体" w:hAnsi="宋体"/>
          <w:b/>
          <w:sz w:val="28"/>
          <w:szCs w:val="28"/>
        </w:rPr>
        <w:t xml:space="preserve">                                               2021</w:t>
      </w:r>
      <w:r>
        <w:rPr>
          <w:rFonts w:hint="eastAsia" w:ascii="宋体" w:hAnsi="宋体"/>
          <w:b/>
          <w:szCs w:val="21"/>
        </w:rPr>
        <w:t>年8月修订</w:t>
      </w:r>
    </w:p>
    <w:p>
      <w:pPr>
        <w:jc w:val="center"/>
        <w:rPr>
          <w:b/>
          <w:sz w:val="52"/>
          <w:szCs w:val="84"/>
        </w:rPr>
      </w:pPr>
    </w:p>
    <w:p>
      <w:pPr>
        <w:jc w:val="center"/>
        <w:rPr>
          <w:b/>
          <w:sz w:val="52"/>
          <w:szCs w:val="84"/>
        </w:rPr>
      </w:pPr>
    </w:p>
    <w:p>
      <w:pPr>
        <w:jc w:val="center"/>
        <w:rPr>
          <w:b/>
          <w:sz w:val="48"/>
          <w:szCs w:val="48"/>
        </w:rPr>
      </w:pPr>
      <w:r>
        <w:rPr>
          <w:rFonts w:hint="eastAsia"/>
          <w:b/>
          <w:sz w:val="48"/>
          <w:szCs w:val="48"/>
        </w:rPr>
        <w:t>广州市净水有限公司</w:t>
      </w:r>
    </w:p>
    <w:p>
      <w:pPr>
        <w:jc w:val="center"/>
        <w:rPr>
          <w:b/>
          <w:sz w:val="48"/>
          <w:szCs w:val="48"/>
        </w:rPr>
      </w:pPr>
      <w:r>
        <w:rPr>
          <w:rFonts w:hint="eastAsia"/>
          <w:b/>
          <w:sz w:val="48"/>
          <w:szCs w:val="48"/>
        </w:rPr>
        <w:t>设备采购合同</w:t>
      </w:r>
    </w:p>
    <w:p>
      <w:pPr>
        <w:jc w:val="center"/>
        <w:rPr>
          <w:sz w:val="30"/>
        </w:rPr>
      </w:pPr>
    </w:p>
    <w:p>
      <w:pPr>
        <w:rPr>
          <w:sz w:val="30"/>
        </w:rPr>
      </w:pPr>
      <w:r>
        <w:rPr>
          <w:rFonts w:hint="eastAsia"/>
          <w:sz w:val="30"/>
        </w:rPr>
        <w:t>项目名称：</w:t>
      </w:r>
    </w:p>
    <w:p>
      <w:pPr>
        <w:rPr>
          <w:sz w:val="30"/>
        </w:rPr>
      </w:pPr>
      <w:r>
        <w:rPr>
          <w:rFonts w:hint="eastAsia"/>
          <w:sz w:val="30"/>
        </w:rPr>
        <w:t>项目编号：</w:t>
      </w:r>
    </w:p>
    <w:p>
      <w:pPr>
        <w:rPr>
          <w:sz w:val="30"/>
        </w:rPr>
      </w:pPr>
    </w:p>
    <w:p>
      <w:pPr>
        <w:rPr>
          <w:sz w:val="30"/>
          <w:szCs w:val="30"/>
        </w:rPr>
      </w:pPr>
      <w:r>
        <w:rPr>
          <w:rFonts w:hint="eastAsia"/>
          <w:sz w:val="30"/>
        </w:rPr>
        <w:t>合同编号：</w:t>
      </w:r>
      <w:r>
        <w:rPr>
          <w:rFonts w:hint="eastAsia" w:ascii="宋体" w:hAnsi="宋体" w:cs="宋体"/>
          <w:b/>
          <w:bCs/>
          <w:sz w:val="30"/>
          <w:szCs w:val="30"/>
        </w:rPr>
        <w:t>穗净水合</w:t>
      </w:r>
      <w:r>
        <w:rPr>
          <w:rFonts w:ascii="宋体" w:hAnsi="宋体" w:cs="宋体"/>
          <w:b/>
          <w:bCs/>
          <w:sz w:val="30"/>
          <w:szCs w:val="30"/>
        </w:rPr>
        <w:t xml:space="preserve">[     ]    </w:t>
      </w:r>
      <w:r>
        <w:rPr>
          <w:rFonts w:hint="eastAsia" w:ascii="宋体" w:hAnsi="宋体" w:cs="宋体"/>
          <w:b/>
          <w:bCs/>
          <w:sz w:val="30"/>
          <w:szCs w:val="30"/>
        </w:rPr>
        <w:t>号</w:t>
      </w:r>
    </w:p>
    <w:p>
      <w:pPr>
        <w:rPr>
          <w:sz w:val="30"/>
          <w:szCs w:val="30"/>
        </w:rPr>
      </w:pPr>
    </w:p>
    <w:p>
      <w:pPr>
        <w:rPr>
          <w:sz w:val="30"/>
          <w:u w:val="single"/>
        </w:rPr>
      </w:pPr>
      <w:r>
        <w:rPr>
          <w:rFonts w:hint="eastAsia"/>
          <w:sz w:val="30"/>
        </w:rPr>
        <w:t>甲方（买方）：</w:t>
      </w:r>
      <w:r>
        <w:rPr>
          <w:rFonts w:hint="eastAsia"/>
          <w:sz w:val="30"/>
          <w:u w:val="single"/>
        </w:rPr>
        <w:t>广州市净水有限公司</w:t>
      </w:r>
    </w:p>
    <w:p>
      <w:pPr>
        <w:rPr>
          <w:sz w:val="30"/>
        </w:rPr>
      </w:pPr>
      <w:r>
        <w:rPr>
          <w:rFonts w:hint="eastAsia"/>
          <w:sz w:val="30"/>
        </w:rPr>
        <w:t>乙方（卖方）：</w:t>
      </w:r>
      <w:r>
        <w:rPr>
          <w:sz w:val="30"/>
          <w:u w:val="single"/>
        </w:rPr>
        <w:t xml:space="preserve">                                        </w:t>
      </w:r>
      <w:r>
        <w:rPr>
          <w:sz w:val="30"/>
        </w:rPr>
        <w:t xml:space="preserve"> </w:t>
      </w:r>
    </w:p>
    <w:p>
      <w:pPr>
        <w:rPr>
          <w:sz w:val="30"/>
        </w:rPr>
      </w:pPr>
      <w:r>
        <w:rPr>
          <w:rFonts w:hint="eastAsia"/>
          <w:sz w:val="30"/>
        </w:rPr>
        <w:t>签订日期：</w:t>
      </w:r>
      <w:r>
        <w:rPr>
          <w:sz w:val="30"/>
        </w:rPr>
        <w:t xml:space="preserve">           </w:t>
      </w:r>
      <w:r>
        <w:rPr>
          <w:rFonts w:hint="eastAsia"/>
          <w:sz w:val="30"/>
        </w:rPr>
        <w:t>年</w:t>
      </w:r>
      <w:r>
        <w:rPr>
          <w:sz w:val="30"/>
        </w:rPr>
        <w:t xml:space="preserve">       </w:t>
      </w:r>
      <w:r>
        <w:rPr>
          <w:rFonts w:hint="eastAsia"/>
          <w:sz w:val="30"/>
        </w:rPr>
        <w:t>月</w:t>
      </w:r>
      <w:r>
        <w:rPr>
          <w:sz w:val="30"/>
        </w:rPr>
        <w:t xml:space="preserve">     </w:t>
      </w:r>
      <w:r>
        <w:rPr>
          <w:rFonts w:hint="eastAsia"/>
          <w:sz w:val="30"/>
        </w:rPr>
        <w:t>日</w:t>
      </w:r>
    </w:p>
    <w:p>
      <w:pPr>
        <w:rPr>
          <w:sz w:val="30"/>
        </w:rPr>
      </w:pPr>
      <w:r>
        <w:rPr>
          <w:rFonts w:hint="eastAsia"/>
          <w:sz w:val="30"/>
        </w:rPr>
        <w:t>签约地点：广州市</w:t>
      </w:r>
    </w:p>
    <w:p>
      <w:pPr>
        <w:pStyle w:val="47"/>
        <w:spacing w:line="500" w:lineRule="exact"/>
        <w:jc w:val="center"/>
        <w:rPr>
          <w:rFonts w:ascii="宋体" w:hAnsi="宋体" w:eastAsia="宋体" w:cs="宋体"/>
          <w:b/>
          <w:sz w:val="36"/>
          <w:szCs w:val="36"/>
          <w:lang w:val="zh-CN" w:eastAsia="zh-CN"/>
        </w:rPr>
      </w:pPr>
    </w:p>
    <w:p>
      <w:pPr>
        <w:rPr>
          <w:rFonts w:ascii="宋体" w:hAnsi="宋体" w:eastAsia="宋体" w:cs="宋体"/>
          <w:b/>
          <w:bCs/>
          <w:sz w:val="36"/>
          <w:szCs w:val="36"/>
          <w:lang w:val="zh-CN"/>
        </w:rPr>
      </w:pPr>
    </w:p>
    <w:p>
      <w:pPr>
        <w:pStyle w:val="2"/>
        <w:rPr>
          <w:rFonts w:eastAsia="宋体" w:cs="宋体"/>
          <w:b/>
          <w:bCs/>
          <w:sz w:val="36"/>
          <w:szCs w:val="36"/>
          <w:lang w:val="zh-CN"/>
        </w:rPr>
      </w:pPr>
    </w:p>
    <w:p>
      <w:pPr>
        <w:spacing w:line="360" w:lineRule="auto"/>
        <w:ind w:firstLine="720" w:firstLineChars="300"/>
        <w:rPr>
          <w:rFonts w:ascii="宋体" w:hAnsi="宋体" w:cs="宋体"/>
          <w:sz w:val="24"/>
          <w:szCs w:val="24"/>
        </w:rPr>
      </w:pPr>
      <w:r>
        <w:rPr>
          <w:rFonts w:hint="eastAsia" w:ascii="宋体" w:hAnsi="宋体" w:cs="宋体"/>
          <w:sz w:val="24"/>
          <w:szCs w:val="24"/>
        </w:rPr>
        <w:t>根据《中华人民共和国民法典》及其他有关法律、行政法规，</w:t>
      </w:r>
      <w:r>
        <w:rPr>
          <w:rFonts w:hint="eastAsia" w:ascii="宋体" w:hAnsi="宋体" w:cs="宋体"/>
          <w:sz w:val="24"/>
          <w:szCs w:val="24"/>
          <w:u w:val="single"/>
        </w:rPr>
        <w:t>广州市净水有限公司</w:t>
      </w:r>
      <w:r>
        <w:rPr>
          <w:rFonts w:ascii="宋体" w:hAnsi="宋体" w:cs="宋体"/>
          <w:sz w:val="24"/>
          <w:szCs w:val="24"/>
        </w:rPr>
        <w:t xml:space="preserve"> </w:t>
      </w:r>
      <w:r>
        <w:rPr>
          <w:rFonts w:hint="eastAsia" w:ascii="宋体" w:hAnsi="宋体" w:cs="宋体"/>
          <w:sz w:val="24"/>
          <w:szCs w:val="24"/>
        </w:rPr>
        <w:t>（以下简称“甲方”）与</w:t>
      </w:r>
      <w:r>
        <w:rPr>
          <w:rFonts w:hint="eastAsia" w:ascii="宋体" w:hAnsi="宋体" w:cs="宋体"/>
          <w:sz w:val="24"/>
          <w:szCs w:val="24"/>
          <w:u w:val="single"/>
        </w:rPr>
        <w:t>…</w:t>
      </w:r>
      <w:r>
        <w:rPr>
          <w:rFonts w:ascii="宋体" w:hAnsi="宋体" w:cs="宋体"/>
          <w:sz w:val="24"/>
          <w:szCs w:val="24"/>
          <w:u w:val="single"/>
        </w:rPr>
        <w:t xml:space="preserve"> </w:t>
      </w:r>
      <w:r>
        <w:rPr>
          <w:rFonts w:ascii="宋体" w:hAnsi="宋体" w:cs="宋体"/>
          <w:sz w:val="24"/>
          <w:szCs w:val="24"/>
        </w:rPr>
        <w:t xml:space="preserve"> </w:t>
      </w:r>
      <w:r>
        <w:rPr>
          <w:rFonts w:hint="eastAsia" w:ascii="宋体" w:hAnsi="宋体" w:cs="宋体"/>
          <w:sz w:val="24"/>
          <w:szCs w:val="24"/>
        </w:rPr>
        <w:t>（以下简称“乙方”）就</w:t>
      </w:r>
      <w:r>
        <w:rPr>
          <w:rFonts w:ascii="宋体" w:hAnsi="宋体" w:cs="宋体"/>
          <w:sz w:val="24"/>
          <w:szCs w:val="24"/>
        </w:rPr>
        <w:t xml:space="preserve"> </w:t>
      </w:r>
      <w:r>
        <w:rPr>
          <w:rFonts w:ascii="宋体" w:hAnsi="宋体" w:cs="宋体"/>
          <w:sz w:val="24"/>
          <w:szCs w:val="24"/>
          <w:u w:val="single"/>
        </w:rPr>
        <w:t xml:space="preserve"> </w:t>
      </w:r>
      <w:r>
        <w:rPr>
          <w:rFonts w:hint="eastAsia" w:ascii="宋体" w:hAnsi="宋体" w:cs="宋体"/>
          <w:sz w:val="24"/>
          <w:szCs w:val="24"/>
          <w:u w:val="single"/>
        </w:rPr>
        <w:t xml:space="preserve">广州市净水有限公司超融合设备采购项目 </w:t>
      </w:r>
      <w:r>
        <w:rPr>
          <w:rFonts w:hint="eastAsia" w:ascii="宋体" w:hAnsi="宋体" w:cs="宋体"/>
          <w:sz w:val="24"/>
          <w:szCs w:val="24"/>
        </w:rPr>
        <w:t>采购和相应技术服务事宜，遵循平等、自愿、公平和诚实信用的原则，双方协商一致，订立本合同。</w:t>
      </w:r>
      <w:bookmarkStart w:id="85" w:name="_Toc520190026"/>
      <w:bookmarkStart w:id="86" w:name="_Toc518992986"/>
      <w:bookmarkStart w:id="87" w:name="_Toc474245210"/>
      <w:bookmarkStart w:id="88" w:name="_Toc1018"/>
      <w:bookmarkStart w:id="89" w:name="_Toc183666513"/>
    </w:p>
    <w:p>
      <w:pPr>
        <w:spacing w:line="360" w:lineRule="auto"/>
        <w:ind w:firstLine="540"/>
        <w:rPr>
          <w:rFonts w:ascii="宋体" w:hAnsi="宋体" w:cs="宋体"/>
          <w:b/>
          <w:bCs/>
          <w:sz w:val="24"/>
          <w:szCs w:val="24"/>
        </w:rPr>
      </w:pPr>
      <w:r>
        <w:rPr>
          <w:rFonts w:ascii="宋体" w:hAnsi="宋体" w:cs="宋体"/>
          <w:b/>
          <w:bCs/>
          <w:sz w:val="24"/>
          <w:szCs w:val="24"/>
        </w:rPr>
        <w:t>第一条 组成合同的文件及优先顺序</w:t>
      </w:r>
    </w:p>
    <w:p>
      <w:pPr>
        <w:spacing w:line="360" w:lineRule="auto"/>
        <w:ind w:firstLine="480" w:firstLineChars="200"/>
        <w:rPr>
          <w:rFonts w:ascii="宋体" w:hAnsi="宋体" w:cs="宋体"/>
          <w:sz w:val="24"/>
          <w:szCs w:val="24"/>
        </w:rPr>
      </w:pPr>
      <w:r>
        <w:rPr>
          <w:rFonts w:hint="eastAsia" w:hAnsi="宋体" w:cs="宋体"/>
          <w:bCs/>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sz w:val="24"/>
        </w:rPr>
      </w:pPr>
      <w:r>
        <w:rPr>
          <w:rFonts w:hint="eastAsia" w:ascii="宋体" w:hAnsi="宋体" w:cs="宋体"/>
          <w:bCs/>
          <w:sz w:val="24"/>
        </w:rPr>
        <w:t>⑴</w:t>
      </w:r>
      <w:r>
        <w:rPr>
          <w:rFonts w:ascii="宋体" w:hAnsi="宋体" w:cs="宋体"/>
          <w:bCs/>
          <w:sz w:val="24"/>
        </w:rPr>
        <w:t xml:space="preserve"> </w:t>
      </w:r>
      <w:r>
        <w:rPr>
          <w:rFonts w:hint="eastAsia" w:ascii="宋体" w:hAnsi="宋体" w:cs="宋体"/>
          <w:sz w:val="24"/>
        </w:rPr>
        <w:t>在本合同实施过程双方签署的补充与修正文件</w:t>
      </w:r>
      <w:r>
        <w:rPr>
          <w:rFonts w:hint="eastAsia" w:ascii="宋体" w:hAnsi="宋体" w:cs="宋体"/>
          <w:bCs/>
          <w:sz w:val="24"/>
        </w:rPr>
        <w:t>；</w:t>
      </w:r>
    </w:p>
    <w:p>
      <w:pPr>
        <w:spacing w:line="384" w:lineRule="auto"/>
        <w:ind w:firstLine="482"/>
        <w:rPr>
          <w:rFonts w:ascii="宋体" w:hAnsi="宋体" w:cs="宋体"/>
          <w:bCs/>
          <w:sz w:val="24"/>
        </w:rPr>
      </w:pPr>
      <w:r>
        <w:rPr>
          <w:rFonts w:hint="eastAsia" w:ascii="宋体" w:hAnsi="宋体" w:cs="宋体"/>
          <w:bCs/>
          <w:sz w:val="24"/>
        </w:rPr>
        <w:t>⑵</w:t>
      </w:r>
      <w:r>
        <w:rPr>
          <w:rFonts w:ascii="宋体" w:hAnsi="宋体" w:cs="宋体"/>
          <w:bCs/>
          <w:sz w:val="24"/>
        </w:rPr>
        <w:t xml:space="preserve"> </w:t>
      </w:r>
      <w:r>
        <w:rPr>
          <w:rFonts w:hint="eastAsia" w:ascii="宋体" w:hAnsi="宋体" w:cs="宋体"/>
          <w:bCs/>
          <w:sz w:val="24"/>
        </w:rPr>
        <w:t>本合同书；</w:t>
      </w:r>
    </w:p>
    <w:p>
      <w:pPr>
        <w:spacing w:line="384" w:lineRule="auto"/>
        <w:ind w:firstLine="482"/>
        <w:rPr>
          <w:rFonts w:ascii="宋体" w:hAnsi="宋体" w:cs="宋体"/>
          <w:bCs/>
          <w:sz w:val="24"/>
        </w:rPr>
      </w:pPr>
      <w:r>
        <w:rPr>
          <w:rFonts w:hint="eastAsia" w:ascii="宋体" w:hAnsi="宋体" w:cs="宋体"/>
          <w:bCs/>
          <w:sz w:val="24"/>
        </w:rPr>
        <w:t>⑶</w:t>
      </w:r>
      <w:r>
        <w:rPr>
          <w:rFonts w:ascii="宋体" w:hAnsi="宋体" w:cs="宋体"/>
          <w:bCs/>
          <w:sz w:val="24"/>
        </w:rPr>
        <w:t xml:space="preserve"> </w:t>
      </w:r>
      <w:r>
        <w:rPr>
          <w:rFonts w:hint="eastAsia" w:ascii="宋体" w:hAnsi="宋体" w:cs="宋体"/>
          <w:bCs/>
          <w:sz w:val="24"/>
        </w:rPr>
        <w:t>中标通知书</w:t>
      </w:r>
      <w:r>
        <w:rPr>
          <w:rFonts w:ascii="宋体" w:hAnsi="宋体" w:cs="宋体"/>
          <w:bCs/>
          <w:sz w:val="24"/>
        </w:rPr>
        <w:t>/</w:t>
      </w:r>
      <w:r>
        <w:rPr>
          <w:rFonts w:hint="eastAsia" w:ascii="宋体" w:hAnsi="宋体" w:cs="宋体"/>
          <w:bCs/>
          <w:sz w:val="24"/>
        </w:rPr>
        <w:t>发包通知书</w:t>
      </w:r>
      <w:r>
        <w:rPr>
          <w:rFonts w:ascii="宋体" w:hAnsi="宋体" w:cs="宋体"/>
          <w:bCs/>
          <w:sz w:val="24"/>
        </w:rPr>
        <w:t>/</w:t>
      </w:r>
      <w:r>
        <w:rPr>
          <w:rFonts w:hint="eastAsia" w:ascii="宋体" w:hAnsi="宋体" w:cs="宋体"/>
          <w:bCs/>
          <w:sz w:val="24"/>
        </w:rPr>
        <w:t>成交通知书/委托函；</w:t>
      </w:r>
    </w:p>
    <w:p>
      <w:pPr>
        <w:spacing w:line="384" w:lineRule="auto"/>
        <w:ind w:firstLine="482"/>
        <w:rPr>
          <w:rFonts w:ascii="宋体" w:hAnsi="宋体" w:cs="宋体"/>
          <w:bCs/>
          <w:sz w:val="24"/>
        </w:rPr>
      </w:pPr>
      <w:r>
        <w:rPr>
          <w:rFonts w:hint="eastAsia" w:ascii="宋体" w:hAnsi="宋体" w:cs="宋体"/>
          <w:bCs/>
          <w:sz w:val="24"/>
        </w:rPr>
        <w:t>⑷</w:t>
      </w:r>
      <w:r>
        <w:rPr>
          <w:rFonts w:ascii="宋体" w:hAnsi="宋体" w:cs="宋体"/>
          <w:bCs/>
          <w:sz w:val="24"/>
        </w:rPr>
        <w:t xml:space="preserve"> </w:t>
      </w:r>
      <w:r>
        <w:rPr>
          <w:rFonts w:hint="eastAsia" w:ascii="宋体" w:hAnsi="宋体" w:cs="宋体"/>
          <w:bCs/>
          <w:sz w:val="24"/>
        </w:rPr>
        <w:t>招标文件</w:t>
      </w:r>
      <w:r>
        <w:rPr>
          <w:rFonts w:ascii="宋体" w:hAnsi="宋体" w:cs="宋体"/>
          <w:bCs/>
          <w:sz w:val="24"/>
        </w:rPr>
        <w:t>/</w:t>
      </w:r>
      <w:r>
        <w:rPr>
          <w:rFonts w:hint="eastAsia" w:ascii="宋体" w:hAnsi="宋体" w:cs="宋体"/>
          <w:bCs/>
          <w:sz w:val="24"/>
        </w:rPr>
        <w:t>询价文件；</w:t>
      </w:r>
    </w:p>
    <w:p>
      <w:pPr>
        <w:spacing w:line="384" w:lineRule="auto"/>
        <w:ind w:firstLine="482"/>
        <w:rPr>
          <w:rFonts w:ascii="宋体" w:hAnsi="宋体" w:cs="宋体"/>
          <w:bCs/>
          <w:sz w:val="24"/>
        </w:rPr>
      </w:pPr>
      <w:r>
        <w:rPr>
          <w:rFonts w:hint="eastAsia" w:ascii="宋体" w:hAnsi="宋体" w:cs="宋体"/>
          <w:bCs/>
          <w:sz w:val="24"/>
        </w:rPr>
        <w:t>⑸</w:t>
      </w:r>
      <w:r>
        <w:rPr>
          <w:rFonts w:ascii="宋体" w:hAnsi="宋体" w:cs="宋体"/>
          <w:bCs/>
          <w:sz w:val="24"/>
        </w:rPr>
        <w:t xml:space="preserve"> </w:t>
      </w:r>
      <w:r>
        <w:rPr>
          <w:rFonts w:hint="eastAsia" w:ascii="宋体" w:hAnsi="宋体" w:cs="宋体"/>
          <w:bCs/>
          <w:sz w:val="24"/>
        </w:rPr>
        <w:t>投标文件</w:t>
      </w:r>
      <w:r>
        <w:rPr>
          <w:rFonts w:ascii="宋体" w:hAnsi="宋体" w:cs="宋体"/>
          <w:bCs/>
          <w:sz w:val="24"/>
        </w:rPr>
        <w:t>/</w:t>
      </w:r>
      <w:r>
        <w:rPr>
          <w:rFonts w:hint="eastAsia" w:ascii="宋体" w:hAnsi="宋体" w:cs="宋体"/>
          <w:bCs/>
          <w:sz w:val="24"/>
        </w:rPr>
        <w:t>响应文件；</w:t>
      </w:r>
    </w:p>
    <w:p>
      <w:pPr>
        <w:spacing w:line="384" w:lineRule="auto"/>
        <w:ind w:firstLine="482"/>
        <w:rPr>
          <w:rFonts w:ascii="宋体" w:hAnsi="宋体" w:cs="宋体"/>
          <w:bCs/>
          <w:sz w:val="24"/>
        </w:rPr>
      </w:pPr>
      <w:r>
        <w:rPr>
          <w:rFonts w:hint="eastAsia" w:ascii="宋体" w:hAnsi="宋体" w:cs="宋体"/>
          <w:bCs/>
          <w:sz w:val="24"/>
        </w:rPr>
        <w:t>⑹</w:t>
      </w:r>
      <w:r>
        <w:rPr>
          <w:rFonts w:ascii="宋体" w:hAnsi="宋体" w:cs="宋体"/>
          <w:bCs/>
          <w:sz w:val="24"/>
        </w:rPr>
        <w:t xml:space="preserve"> </w:t>
      </w:r>
      <w:r>
        <w:rPr>
          <w:rFonts w:hint="eastAsia" w:ascii="宋体" w:hAnsi="宋体" w:cs="宋体"/>
          <w:bCs/>
          <w:sz w:val="24"/>
        </w:rPr>
        <w:t>标准、规范及有关技术性文件；</w:t>
      </w:r>
    </w:p>
    <w:p>
      <w:pPr>
        <w:spacing w:line="384" w:lineRule="auto"/>
        <w:ind w:firstLine="482"/>
        <w:rPr>
          <w:rFonts w:ascii="宋体" w:hAnsi="宋体" w:cs="宋体"/>
          <w:bCs/>
          <w:sz w:val="24"/>
        </w:rPr>
      </w:pPr>
      <w:r>
        <w:rPr>
          <w:rFonts w:hint="eastAsia" w:ascii="宋体" w:hAnsi="宋体" w:cs="宋体"/>
          <w:bCs/>
          <w:sz w:val="24"/>
        </w:rPr>
        <w:t>⑺</w:t>
      </w:r>
      <w:r>
        <w:rPr>
          <w:rFonts w:ascii="宋体" w:hAnsi="宋体" w:cs="宋体"/>
          <w:bCs/>
          <w:sz w:val="24"/>
        </w:rPr>
        <w:t xml:space="preserve"> </w:t>
      </w:r>
      <w:r>
        <w:rPr>
          <w:rFonts w:hint="eastAsia" w:ascii="宋体" w:hAnsi="宋体" w:cs="宋体"/>
          <w:bCs/>
          <w:sz w:val="24"/>
        </w:rPr>
        <w:t>图纸；</w:t>
      </w:r>
    </w:p>
    <w:p>
      <w:pPr>
        <w:spacing w:line="384" w:lineRule="auto"/>
        <w:ind w:firstLine="482"/>
        <w:rPr>
          <w:rFonts w:ascii="宋体" w:hAnsi="宋体" w:cs="宋体"/>
          <w:bCs/>
          <w:sz w:val="24"/>
        </w:rPr>
      </w:pPr>
      <w:r>
        <w:rPr>
          <w:rFonts w:hint="eastAsia" w:ascii="宋体" w:hAnsi="宋体" w:cs="宋体"/>
          <w:bCs/>
          <w:sz w:val="24"/>
        </w:rPr>
        <w:t>⑻</w:t>
      </w:r>
      <w:r>
        <w:rPr>
          <w:rFonts w:ascii="宋体" w:hAnsi="宋体" w:cs="宋体"/>
          <w:bCs/>
          <w:sz w:val="24"/>
        </w:rPr>
        <w:t xml:space="preserve"> </w:t>
      </w:r>
      <w:r>
        <w:rPr>
          <w:rFonts w:hint="eastAsia" w:ascii="宋体" w:hAnsi="宋体" w:cs="宋体"/>
          <w:bCs/>
          <w:sz w:val="24"/>
        </w:rPr>
        <w:t>工程量清单</w:t>
      </w:r>
      <w:r>
        <w:rPr>
          <w:rFonts w:ascii="宋体" w:hAnsi="宋体" w:cs="宋体"/>
          <w:bCs/>
          <w:sz w:val="24"/>
        </w:rPr>
        <w:t>/</w:t>
      </w:r>
      <w:r>
        <w:rPr>
          <w:rFonts w:hint="eastAsia" w:ascii="宋体" w:hAnsi="宋体" w:cs="宋体"/>
          <w:sz w:val="24"/>
        </w:rPr>
        <w:t>工程报价单或预算书；</w:t>
      </w:r>
    </w:p>
    <w:p>
      <w:pPr>
        <w:spacing w:line="360" w:lineRule="auto"/>
        <w:ind w:firstLine="480" w:firstLineChars="200"/>
        <w:rPr>
          <w:rFonts w:ascii="宋体" w:hAnsi="宋体" w:cs="宋体"/>
          <w:sz w:val="24"/>
          <w:szCs w:val="24"/>
        </w:rPr>
      </w:pPr>
      <w:r>
        <w:rPr>
          <w:rFonts w:hint="eastAsia" w:ascii="宋体" w:hAnsi="宋体" w:cs="宋体"/>
          <w:bCs/>
          <w:sz w:val="24"/>
        </w:rPr>
        <w:t>⑼</w:t>
      </w:r>
      <w:r>
        <w:rPr>
          <w:rFonts w:ascii="宋体" w:hAnsi="宋体" w:cs="宋体"/>
          <w:bCs/>
          <w:sz w:val="24"/>
        </w:rPr>
        <w:t xml:space="preserve"> </w:t>
      </w:r>
      <w:r>
        <w:rPr>
          <w:rFonts w:hint="eastAsia" w:ascii="宋体" w:hAnsi="宋体" w:cs="宋体"/>
          <w:bCs/>
          <w:sz w:val="24"/>
        </w:rPr>
        <w:t>本合同其他附件；</w:t>
      </w:r>
    </w:p>
    <w:p>
      <w:pPr>
        <w:spacing w:line="360" w:lineRule="auto"/>
        <w:rPr>
          <w:rFonts w:ascii="宋体" w:hAnsi="宋体" w:cs="宋体"/>
          <w:bCs/>
          <w:sz w:val="24"/>
          <w:szCs w:val="24"/>
        </w:rPr>
      </w:pPr>
      <w:r>
        <w:rPr>
          <w:rFonts w:ascii="宋体" w:hAnsi="宋体" w:cs="宋体"/>
          <w:sz w:val="24"/>
          <w:szCs w:val="24"/>
        </w:rPr>
        <w:t xml:space="preserve">   </w:t>
      </w:r>
      <w:r>
        <w:rPr>
          <w:rFonts w:ascii="宋体" w:hAnsi="宋体" w:cs="宋体"/>
          <w:b/>
          <w:bCs/>
          <w:sz w:val="24"/>
          <w:szCs w:val="24"/>
        </w:rPr>
        <w:t xml:space="preserve"> </w:t>
      </w:r>
      <w:r>
        <w:rPr>
          <w:rFonts w:hint="eastAsia" w:ascii="宋体" w:hAnsi="宋体" w:cs="宋体"/>
          <w:b/>
          <w:bCs/>
          <w:sz w:val="24"/>
          <w:szCs w:val="24"/>
        </w:rPr>
        <w:t>第二条</w:t>
      </w:r>
      <w:r>
        <w:rPr>
          <w:rFonts w:ascii="宋体" w:hAnsi="宋体" w:cs="宋体"/>
          <w:b/>
          <w:bCs/>
          <w:sz w:val="24"/>
          <w:szCs w:val="24"/>
        </w:rPr>
        <w:t xml:space="preserve"> </w:t>
      </w:r>
      <w:bookmarkEnd w:id="85"/>
      <w:bookmarkEnd w:id="86"/>
      <w:bookmarkEnd w:id="87"/>
      <w:bookmarkEnd w:id="88"/>
      <w:bookmarkEnd w:id="89"/>
      <w:r>
        <w:rPr>
          <w:rFonts w:hint="eastAsia" w:ascii="宋体" w:hAnsi="宋体" w:cs="宋体"/>
          <w:b/>
          <w:sz w:val="24"/>
          <w:szCs w:val="24"/>
        </w:rPr>
        <w:t>合同标的</w:t>
      </w:r>
    </w:p>
    <w:p>
      <w:pPr>
        <w:autoSpaceDE w:val="0"/>
        <w:autoSpaceDN w:val="0"/>
        <w:adjustRightInd w:val="0"/>
        <w:spacing w:line="360" w:lineRule="auto"/>
        <w:ind w:firstLine="480" w:firstLineChars="200"/>
        <w:rPr>
          <w:rFonts w:ascii="宋体" w:hAnsi="宋体" w:cs="宋体"/>
          <w:kern w:val="0"/>
          <w:sz w:val="24"/>
          <w:szCs w:val="24"/>
          <w:lang w:val="zh-CN"/>
        </w:rPr>
      </w:pPr>
      <w:r>
        <w:rPr>
          <w:rFonts w:hint="eastAsia" w:ascii="宋体" w:hAnsi="宋体" w:cs="宋体"/>
          <w:kern w:val="0"/>
          <w:sz w:val="24"/>
          <w:szCs w:val="24"/>
          <w:lang w:val="zh-CN"/>
        </w:rPr>
        <w:t>本合同所指设备为</w:t>
      </w:r>
      <w:r>
        <w:rPr>
          <w:rFonts w:ascii="宋体" w:hAnsi="宋体" w:cs="宋体"/>
          <w:kern w:val="0"/>
          <w:sz w:val="24"/>
          <w:szCs w:val="24"/>
          <w:u w:val="single"/>
          <w:lang w:val="zh-CN"/>
        </w:rPr>
        <w:t xml:space="preserve"> </w:t>
      </w:r>
      <w:r>
        <w:rPr>
          <w:rFonts w:hint="eastAsia" w:ascii="宋体" w:hAnsi="宋体" w:cs="宋体"/>
          <w:kern w:val="0"/>
          <w:sz w:val="24"/>
          <w:szCs w:val="24"/>
          <w:u w:val="single"/>
          <w:lang w:val="zh-CN"/>
        </w:rPr>
        <w:t>…</w:t>
      </w:r>
      <w:r>
        <w:rPr>
          <w:rFonts w:ascii="宋体" w:hAnsi="宋体" w:cs="宋体"/>
          <w:kern w:val="0"/>
          <w:sz w:val="24"/>
          <w:szCs w:val="24"/>
          <w:u w:val="single"/>
          <w:lang w:val="zh-CN"/>
        </w:rPr>
        <w:t xml:space="preserve"> </w:t>
      </w:r>
      <w:r>
        <w:rPr>
          <w:rFonts w:hint="eastAsia" w:ascii="宋体" w:hAnsi="宋体" w:cs="宋体"/>
          <w:kern w:val="0"/>
          <w:sz w:val="24"/>
          <w:szCs w:val="24"/>
          <w:lang w:val="zh-CN"/>
        </w:rPr>
        <w:t>全新的原装产品，原产地为</w:t>
      </w:r>
      <w:r>
        <w:rPr>
          <w:rFonts w:ascii="宋体" w:hAnsi="宋体" w:cs="宋体"/>
          <w:kern w:val="0"/>
          <w:sz w:val="24"/>
          <w:szCs w:val="24"/>
          <w:u w:val="single"/>
          <w:lang w:val="zh-CN"/>
        </w:rPr>
        <w:t xml:space="preserve"> </w:t>
      </w:r>
      <w:r>
        <w:rPr>
          <w:rFonts w:hint="eastAsia" w:ascii="宋体" w:hAnsi="宋体" w:cs="宋体"/>
          <w:kern w:val="0"/>
          <w:sz w:val="24"/>
          <w:szCs w:val="24"/>
          <w:u w:val="single"/>
          <w:lang w:val="zh-CN"/>
        </w:rPr>
        <w:t>…，</w:t>
      </w:r>
      <w:r>
        <w:rPr>
          <w:rFonts w:hint="eastAsia" w:ascii="宋体" w:hAnsi="宋体" w:cs="宋体"/>
          <w:kern w:val="0"/>
          <w:sz w:val="24"/>
          <w:szCs w:val="24"/>
        </w:rPr>
        <w:t>其</w:t>
      </w:r>
      <w:r>
        <w:rPr>
          <w:rFonts w:hint="eastAsia" w:ascii="宋体" w:hAnsi="宋体" w:cs="宋体"/>
          <w:kern w:val="0"/>
          <w:sz w:val="24"/>
          <w:szCs w:val="24"/>
          <w:lang w:val="zh-CN"/>
        </w:rPr>
        <w:t>名称、型号、规格、数量、金额详见下表：</w:t>
      </w:r>
    </w:p>
    <w:tbl>
      <w:tblPr>
        <w:tblStyle w:val="23"/>
        <w:tblW w:w="0" w:type="auto"/>
        <w:jc w:val="center"/>
        <w:tblLayout w:type="fixed"/>
        <w:tblCellMar>
          <w:top w:w="0" w:type="dxa"/>
          <w:left w:w="108" w:type="dxa"/>
          <w:bottom w:w="0" w:type="dxa"/>
          <w:right w:w="108" w:type="dxa"/>
        </w:tblCellMar>
      </w:tblPr>
      <w:tblGrid>
        <w:gridCol w:w="791"/>
        <w:gridCol w:w="840"/>
        <w:gridCol w:w="1076"/>
        <w:gridCol w:w="709"/>
        <w:gridCol w:w="690"/>
        <w:gridCol w:w="915"/>
        <w:gridCol w:w="1065"/>
        <w:gridCol w:w="840"/>
        <w:gridCol w:w="1165"/>
        <w:gridCol w:w="940"/>
      </w:tblGrid>
      <w:tr>
        <w:tblPrEx>
          <w:tblCellMar>
            <w:top w:w="0" w:type="dxa"/>
            <w:left w:w="108" w:type="dxa"/>
            <w:bottom w:w="0" w:type="dxa"/>
            <w:right w:w="108" w:type="dxa"/>
          </w:tblCellMar>
        </w:tblPrEx>
        <w:trPr>
          <w:trHeight w:val="621" w:hRule="atLeast"/>
          <w:jc w:val="center"/>
        </w:trPr>
        <w:tc>
          <w:tcPr>
            <w:tcW w:w="791"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24"/>
                <w:szCs w:val="24"/>
                <w:lang w:val="zh-CN"/>
              </w:rPr>
            </w:pPr>
            <w:r>
              <w:rPr>
                <w:rFonts w:hint="eastAsia" w:ascii="宋体" w:hAnsi="宋体" w:cs="宋体"/>
                <w:kern w:val="0"/>
                <w:sz w:val="24"/>
                <w:szCs w:val="24"/>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24"/>
                <w:szCs w:val="24"/>
                <w:lang w:val="zh-CN"/>
              </w:rPr>
            </w:pPr>
            <w:r>
              <w:rPr>
                <w:rFonts w:hint="eastAsia" w:ascii="宋体" w:hAnsi="宋体" w:cs="宋体"/>
                <w:kern w:val="0"/>
                <w:sz w:val="24"/>
                <w:szCs w:val="24"/>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24"/>
                <w:szCs w:val="24"/>
                <w:lang w:val="zh-CN"/>
              </w:rPr>
            </w:pPr>
            <w:r>
              <w:rPr>
                <w:rFonts w:hint="eastAsia" w:ascii="宋体" w:hAnsi="宋体" w:cs="宋体"/>
                <w:kern w:val="0"/>
                <w:sz w:val="24"/>
                <w:szCs w:val="24"/>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24"/>
                <w:szCs w:val="24"/>
                <w:lang w:val="zh-CN"/>
              </w:rPr>
            </w:pPr>
            <w:r>
              <w:rPr>
                <w:rFonts w:hint="eastAsia" w:ascii="宋体" w:hAnsi="宋体" w:cs="宋体"/>
                <w:kern w:val="0"/>
                <w:sz w:val="24"/>
                <w:szCs w:val="24"/>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24"/>
                <w:szCs w:val="24"/>
                <w:lang w:val="zh-CN"/>
              </w:rPr>
            </w:pPr>
            <w:r>
              <w:rPr>
                <w:rFonts w:hint="eastAsia" w:ascii="宋体" w:hAnsi="宋体" w:cs="宋体"/>
                <w:kern w:val="0"/>
                <w:sz w:val="24"/>
                <w:szCs w:val="24"/>
                <w:lang w:val="zh-CN"/>
              </w:rPr>
              <w:t>数量</w:t>
            </w:r>
          </w:p>
        </w:tc>
        <w:tc>
          <w:tcPr>
            <w:tcW w:w="1980"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24"/>
                <w:szCs w:val="24"/>
                <w:lang w:val="zh-CN"/>
              </w:rPr>
            </w:pPr>
            <w:r>
              <w:rPr>
                <w:rFonts w:hint="eastAsia" w:ascii="宋体" w:hAnsi="宋体" w:cs="宋体"/>
                <w:kern w:val="0"/>
                <w:sz w:val="24"/>
                <w:szCs w:val="24"/>
                <w:lang w:val="zh-CN"/>
              </w:rPr>
              <w:t>单价（万元）</w:t>
            </w:r>
          </w:p>
        </w:tc>
        <w:tc>
          <w:tcPr>
            <w:tcW w:w="2005"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24"/>
                <w:szCs w:val="24"/>
                <w:lang w:val="zh-CN"/>
              </w:rPr>
            </w:pPr>
            <w:r>
              <w:rPr>
                <w:rFonts w:hint="eastAsia" w:ascii="宋体" w:hAnsi="宋体" w:cs="宋体"/>
                <w:kern w:val="0"/>
                <w:sz w:val="24"/>
                <w:szCs w:val="24"/>
                <w:lang w:val="zh-CN"/>
              </w:rPr>
              <w:t>金额（万元）</w:t>
            </w:r>
          </w:p>
        </w:tc>
        <w:tc>
          <w:tcPr>
            <w:tcW w:w="940"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24"/>
                <w:szCs w:val="24"/>
                <w:lang w:val="zh-CN"/>
              </w:rPr>
            </w:pPr>
            <w:r>
              <w:rPr>
                <w:rFonts w:hint="eastAsia" w:ascii="宋体" w:hAnsi="宋体" w:cs="宋体"/>
                <w:kern w:val="0"/>
                <w:sz w:val="24"/>
                <w:szCs w:val="24"/>
                <w:lang w:val="zh-CN"/>
              </w:rPr>
              <w:t>备注</w:t>
            </w:r>
          </w:p>
        </w:tc>
      </w:tr>
      <w:tr>
        <w:tblPrEx>
          <w:tblCellMar>
            <w:top w:w="0" w:type="dxa"/>
            <w:left w:w="108" w:type="dxa"/>
            <w:bottom w:w="0" w:type="dxa"/>
            <w:right w:w="108" w:type="dxa"/>
          </w:tblCellMar>
        </w:tblPrEx>
        <w:trPr>
          <w:trHeight w:val="347" w:hRule="atLeast"/>
          <w:jc w:val="center"/>
        </w:trPr>
        <w:tc>
          <w:tcPr>
            <w:tcW w:w="791"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sz w:val="24"/>
                <w:szCs w:val="24"/>
              </w:rPr>
            </w:pPr>
          </w:p>
        </w:tc>
        <w:tc>
          <w:tcPr>
            <w:tcW w:w="84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sz w:val="24"/>
                <w:szCs w:val="24"/>
              </w:rPr>
            </w:pPr>
          </w:p>
        </w:tc>
        <w:tc>
          <w:tcPr>
            <w:tcW w:w="1076"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sz w:val="24"/>
                <w:szCs w:val="24"/>
              </w:rPr>
            </w:pPr>
          </w:p>
        </w:tc>
        <w:tc>
          <w:tcPr>
            <w:tcW w:w="709"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sz w:val="24"/>
                <w:szCs w:val="24"/>
              </w:rPr>
            </w:pPr>
          </w:p>
        </w:tc>
        <w:tc>
          <w:tcPr>
            <w:tcW w:w="69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sz w:val="24"/>
                <w:szCs w:val="24"/>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szCs w:val="24"/>
                <w:lang w:val="zh-CN"/>
              </w:rPr>
            </w:pPr>
            <w:r>
              <w:rPr>
                <w:rFonts w:hint="eastAsia" w:ascii="宋体" w:hAnsi="宋体" w:cs="宋体"/>
                <w:kern w:val="0"/>
                <w:sz w:val="24"/>
                <w:szCs w:val="24"/>
                <w:lang w:val="zh-CN"/>
              </w:rPr>
              <w:t>含税</w:t>
            </w:r>
          </w:p>
        </w:tc>
        <w:tc>
          <w:tcPr>
            <w:tcW w:w="10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szCs w:val="24"/>
                <w:lang w:val="zh-CN"/>
              </w:rPr>
            </w:pPr>
            <w:r>
              <w:rPr>
                <w:rFonts w:hint="eastAsia" w:ascii="宋体" w:hAnsi="宋体" w:cs="宋体"/>
                <w:kern w:val="0"/>
                <w:sz w:val="24"/>
                <w:szCs w:val="24"/>
                <w:lang w:val="zh-CN"/>
              </w:rPr>
              <w:t>不含税</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szCs w:val="24"/>
                <w:lang w:val="zh-CN"/>
              </w:rPr>
            </w:pPr>
            <w:r>
              <w:rPr>
                <w:rFonts w:hint="eastAsia" w:ascii="宋体" w:hAnsi="宋体" w:cs="宋体"/>
                <w:kern w:val="0"/>
                <w:sz w:val="24"/>
                <w:szCs w:val="24"/>
                <w:lang w:val="zh-CN"/>
              </w:rPr>
              <w:t>含税</w:t>
            </w:r>
          </w:p>
        </w:tc>
        <w:tc>
          <w:tcPr>
            <w:tcW w:w="116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szCs w:val="24"/>
                <w:lang w:val="zh-CN"/>
              </w:rPr>
            </w:pPr>
            <w:r>
              <w:rPr>
                <w:rFonts w:hint="eastAsia" w:ascii="宋体" w:hAnsi="宋体" w:cs="宋体"/>
                <w:kern w:val="0"/>
                <w:sz w:val="24"/>
                <w:szCs w:val="24"/>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szCs w:val="24"/>
                <w:lang w:val="zh-CN"/>
              </w:rPr>
            </w:pPr>
          </w:p>
        </w:tc>
      </w:tr>
      <w:tr>
        <w:tblPrEx>
          <w:tblCellMar>
            <w:top w:w="0" w:type="dxa"/>
            <w:left w:w="108" w:type="dxa"/>
            <w:bottom w:w="0" w:type="dxa"/>
            <w:right w:w="108" w:type="dxa"/>
          </w:tblCellMar>
        </w:tblPrEx>
        <w:trPr>
          <w:trHeight w:val="314"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szCs w:val="24"/>
                <w:lang w:val="zh-CN"/>
              </w:rPr>
            </w:pPr>
            <w:r>
              <w:rPr>
                <w:rFonts w:ascii="宋体" w:hAnsi="宋体" w:cs="宋体"/>
                <w:kern w:val="0"/>
                <w:sz w:val="24"/>
                <w:szCs w:val="24"/>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szCs w:val="24"/>
                <w:lang w:val="zh-CN"/>
              </w:rPr>
            </w:pPr>
            <w:r>
              <w:rPr>
                <w:rFonts w:hint="eastAsia" w:ascii="宋体" w:hAnsi="宋体" w:cs="Times New Roman"/>
                <w:kern w:val="0"/>
                <w:sz w:val="20"/>
                <w:szCs w:val="21"/>
              </w:rPr>
              <w:t>超融合一体机</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eastAsia="宋体" w:cs="宋体"/>
                <w:kern w:val="0"/>
                <w:sz w:val="24"/>
                <w:szCs w:val="24"/>
              </w:rPr>
            </w:pPr>
            <w:r>
              <w:rPr>
                <w:rFonts w:hint="eastAsia" w:ascii="宋体" w:hAnsi="宋体" w:cs="宋体"/>
                <w:kern w:val="0"/>
                <w:sz w:val="24"/>
                <w:szCs w:val="24"/>
              </w:rPr>
              <w:t>套</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center"/>
              <w:rPr>
                <w:rFonts w:ascii="宋体" w:hAnsi="宋体" w:eastAsia="宋体" w:cs="宋体"/>
                <w:kern w:val="0"/>
                <w:sz w:val="24"/>
                <w:szCs w:val="24"/>
              </w:rPr>
            </w:pPr>
            <w:r>
              <w:rPr>
                <w:rFonts w:hint="eastAsia" w:ascii="宋体" w:hAnsi="宋体" w:cs="宋体"/>
                <w:kern w:val="0"/>
                <w:sz w:val="24"/>
                <w:szCs w:val="24"/>
              </w:rPr>
              <w:t>3</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szCs w:val="24"/>
                <w:lang w:val="zh-CN"/>
              </w:rPr>
            </w:pPr>
          </w:p>
        </w:tc>
      </w:tr>
      <w:tr>
        <w:tblPrEx>
          <w:tblCellMar>
            <w:top w:w="0" w:type="dxa"/>
            <w:left w:w="108" w:type="dxa"/>
            <w:bottom w:w="0" w:type="dxa"/>
            <w:right w:w="108" w:type="dxa"/>
          </w:tblCellMar>
        </w:tblPrEx>
        <w:trPr>
          <w:trHeight w:val="347"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szCs w:val="24"/>
                <w:lang w:val="zh-CN"/>
              </w:rPr>
            </w:pPr>
            <w:r>
              <w:rPr>
                <w:rFonts w:ascii="宋体" w:hAnsi="宋体" w:cs="宋体"/>
                <w:kern w:val="0"/>
                <w:sz w:val="24"/>
                <w:szCs w:val="24"/>
                <w:lang w:val="zh-CN"/>
              </w:rPr>
              <w:t>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eastAsia="宋体" w:cs="宋体"/>
                <w:kern w:val="0"/>
                <w:sz w:val="24"/>
                <w:szCs w:val="24"/>
              </w:rPr>
            </w:pPr>
            <w:r>
              <w:rPr>
                <w:rFonts w:hint="eastAsia" w:ascii="宋体" w:hAnsi="宋体" w:cs="Times New Roman"/>
                <w:kern w:val="0"/>
                <w:sz w:val="20"/>
                <w:szCs w:val="21"/>
              </w:rPr>
              <w:t>虚拟化平台系统</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szCs w:val="24"/>
                <w:lang w:val="zh-CN"/>
              </w:rPr>
            </w:pP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24"/>
                <w:szCs w:val="24"/>
                <w:lang w:val="zh-CN"/>
              </w:rPr>
            </w:pPr>
            <w:r>
              <w:rPr>
                <w:rFonts w:hint="eastAsia" w:ascii="宋体" w:hAnsi="宋体" w:cs="宋体"/>
                <w:kern w:val="0"/>
                <w:sz w:val="24"/>
                <w:szCs w:val="24"/>
                <w:lang w:val="zh-CN"/>
              </w:rPr>
              <w:t>套</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center"/>
              <w:rPr>
                <w:rFonts w:ascii="宋体" w:hAnsi="宋体" w:eastAsia="宋体" w:cs="宋体"/>
                <w:kern w:val="0"/>
                <w:sz w:val="24"/>
                <w:szCs w:val="24"/>
              </w:rPr>
            </w:pPr>
            <w:r>
              <w:rPr>
                <w:rFonts w:hint="eastAsia" w:ascii="宋体" w:hAnsi="宋体" w:cs="宋体"/>
                <w:kern w:val="0"/>
                <w:sz w:val="24"/>
                <w:szCs w:val="24"/>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szCs w:val="24"/>
                <w:lang w:val="zh-CN"/>
              </w:rPr>
            </w:pPr>
          </w:p>
        </w:tc>
      </w:tr>
      <w:tr>
        <w:tblPrEx>
          <w:tblCellMar>
            <w:top w:w="0" w:type="dxa"/>
            <w:left w:w="108" w:type="dxa"/>
            <w:bottom w:w="0" w:type="dxa"/>
            <w:right w:w="108" w:type="dxa"/>
          </w:tblCellMar>
        </w:tblPrEx>
        <w:trPr>
          <w:trHeight w:val="231" w:hRule="atLeast"/>
          <w:jc w:val="center"/>
        </w:trPr>
        <w:tc>
          <w:tcPr>
            <w:tcW w:w="3416" w:type="dxa"/>
            <w:gridSpan w:val="4"/>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szCs w:val="24"/>
                <w:lang w:val="zh-CN"/>
              </w:rPr>
            </w:pPr>
            <w:r>
              <w:rPr>
                <w:rFonts w:hint="eastAsia" w:ascii="宋体" w:hAnsi="宋体" w:cs="宋体"/>
                <w:kern w:val="0"/>
                <w:sz w:val="24"/>
                <w:szCs w:val="24"/>
              </w:rPr>
              <w:t>合同暂定总价</w:t>
            </w:r>
          </w:p>
        </w:tc>
        <w:tc>
          <w:tcPr>
            <w:tcW w:w="690" w:type="dxa"/>
            <w:tcBorders>
              <w:top w:val="single" w:color="000000" w:sz="2" w:space="0"/>
              <w:left w:val="single" w:color="000000" w:sz="2" w:space="0"/>
              <w:bottom w:val="single" w:color="000000" w:sz="2" w:space="0"/>
              <w:right w:val="single" w:color="000000" w:sz="2" w:space="0"/>
            </w:tcBorders>
          </w:tcPr>
          <w:p>
            <w:pPr>
              <w:autoSpaceDE w:val="0"/>
              <w:autoSpaceDN w:val="0"/>
              <w:adjustRightInd w:val="0"/>
              <w:spacing w:line="360" w:lineRule="auto"/>
              <w:jc w:val="right"/>
              <w:rPr>
                <w:rFonts w:ascii="宋体" w:hAnsi="宋体" w:cs="宋体"/>
                <w:kern w:val="0"/>
                <w:sz w:val="24"/>
                <w:szCs w:val="24"/>
                <w:lang w:val="zh-CN"/>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szCs w:val="24"/>
                <w:lang w:val="zh-CN"/>
              </w:rPr>
            </w:pPr>
          </w:p>
        </w:tc>
        <w:tc>
          <w:tcPr>
            <w:tcW w:w="10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szCs w:val="24"/>
                <w:lang w:val="zh-CN"/>
              </w:rPr>
            </w:pP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szCs w:val="24"/>
                <w:lang w:val="zh-CN"/>
              </w:rPr>
            </w:pPr>
          </w:p>
        </w:tc>
        <w:tc>
          <w:tcPr>
            <w:tcW w:w="1165"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szCs w:val="24"/>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szCs w:val="24"/>
                <w:lang w:val="zh-CN"/>
              </w:rPr>
            </w:pPr>
            <w:r>
              <w:rPr>
                <w:rFonts w:hint="eastAsia" w:ascii="宋体" w:hAnsi="宋体" w:cs="宋体"/>
                <w:kern w:val="0"/>
                <w:sz w:val="24"/>
                <w:szCs w:val="24"/>
                <w:lang w:val="zh-CN"/>
              </w:rPr>
              <w:t>——</w:t>
            </w:r>
          </w:p>
        </w:tc>
      </w:tr>
    </w:tbl>
    <w:p>
      <w:pPr>
        <w:spacing w:after="156" w:afterLines="50" w:line="360" w:lineRule="auto"/>
        <w:ind w:firstLine="480" w:firstLineChars="200"/>
        <w:rPr>
          <w:rFonts w:ascii="宋体" w:hAnsi="宋体" w:cs="宋体"/>
          <w:kern w:val="0"/>
          <w:sz w:val="24"/>
          <w:szCs w:val="24"/>
        </w:rPr>
      </w:pPr>
      <w:bookmarkStart w:id="90" w:name="_Toc17140"/>
      <w:bookmarkStart w:id="91" w:name="_Toc520190027"/>
      <w:bookmarkStart w:id="92" w:name="_Toc474245211"/>
      <w:bookmarkStart w:id="93" w:name="_Toc518992987"/>
    </w:p>
    <w:p>
      <w:pPr>
        <w:spacing w:after="156" w:afterLines="50" w:line="360" w:lineRule="auto"/>
        <w:ind w:firstLine="480" w:firstLineChars="200"/>
        <w:rPr>
          <w:rFonts w:ascii="宋体" w:hAnsi="宋体" w:cs="宋体"/>
          <w:kern w:val="0"/>
          <w:sz w:val="24"/>
          <w:szCs w:val="24"/>
          <w:lang w:val="zh-CN"/>
        </w:rPr>
      </w:pPr>
      <w:r>
        <w:rPr>
          <w:rFonts w:hint="eastAsia" w:ascii="宋体" w:hAnsi="宋体" w:cs="宋体"/>
          <w:kern w:val="0"/>
          <w:sz w:val="24"/>
          <w:szCs w:val="24"/>
          <w:lang w:val="zh-CN"/>
        </w:rPr>
        <w:t>其他技术需求见附件（如需）。</w:t>
      </w:r>
      <w:bookmarkEnd w:id="90"/>
      <w:bookmarkStart w:id="94" w:name="_Toc26357"/>
      <w:bookmarkStart w:id="95" w:name="_Toc107446842"/>
      <w:bookmarkStart w:id="96" w:name="_Toc107447235"/>
      <w:bookmarkStart w:id="97" w:name="_Toc183666514"/>
    </w:p>
    <w:p>
      <w:pPr>
        <w:spacing w:after="156" w:afterLines="50" w:line="360" w:lineRule="auto"/>
        <w:ind w:firstLine="482" w:firstLineChars="200"/>
        <w:rPr>
          <w:rFonts w:ascii="宋体" w:hAnsi="宋体" w:cs="宋体"/>
          <w:sz w:val="24"/>
          <w:szCs w:val="24"/>
        </w:rPr>
      </w:pPr>
      <w:r>
        <w:rPr>
          <w:rFonts w:hint="eastAsia" w:ascii="宋体" w:hAnsi="宋体" w:cs="宋体"/>
          <w:b/>
          <w:sz w:val="24"/>
          <w:szCs w:val="24"/>
        </w:rPr>
        <w:t>第三条</w:t>
      </w:r>
      <w:r>
        <w:rPr>
          <w:rFonts w:ascii="宋体" w:hAnsi="宋体" w:cs="宋体"/>
          <w:b/>
          <w:sz w:val="24"/>
          <w:szCs w:val="24"/>
        </w:rPr>
        <w:t xml:space="preserve"> </w:t>
      </w:r>
      <w:r>
        <w:rPr>
          <w:rFonts w:hint="eastAsia" w:ascii="宋体" w:hAnsi="宋体" w:cs="宋体"/>
          <w:b/>
          <w:sz w:val="24"/>
          <w:szCs w:val="24"/>
        </w:rPr>
        <w:t>交货日期及地点</w:t>
      </w:r>
    </w:p>
    <w:p>
      <w:pPr>
        <w:spacing w:after="156" w:afterLines="50" w:line="360" w:lineRule="auto"/>
        <w:ind w:firstLine="480" w:firstLineChars="200"/>
        <w:rPr>
          <w:rFonts w:ascii="宋体" w:hAnsi="宋体" w:cs="宋体"/>
          <w:sz w:val="24"/>
          <w:szCs w:val="24"/>
        </w:rPr>
      </w:pPr>
      <w:r>
        <w:rPr>
          <w:rFonts w:ascii="宋体" w:hAnsi="宋体" w:cs="宋体"/>
          <w:sz w:val="24"/>
          <w:szCs w:val="24"/>
        </w:rPr>
        <w:t xml:space="preserve">3.1 </w:t>
      </w:r>
      <w:r>
        <w:rPr>
          <w:rFonts w:hint="eastAsia" w:ascii="宋体" w:hAnsi="宋体" w:cs="宋体"/>
          <w:sz w:val="24"/>
          <w:szCs w:val="24"/>
        </w:rPr>
        <w:t>交货日期</w:t>
      </w:r>
      <w:r>
        <w:rPr>
          <w:rFonts w:ascii="宋体" w:hAnsi="宋体" w:cs="宋体"/>
          <w:sz w:val="24"/>
          <w:szCs w:val="24"/>
        </w:rPr>
        <w:t xml:space="preserve"> </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rPr>
        <w:t>年</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rPr>
        <w:t>月</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rPr>
        <w:t>日前完成供货（如需有不同交货时间注明）</w:t>
      </w:r>
      <w:r>
        <w:rPr>
          <w:rFonts w:ascii="宋体" w:hAnsi="宋体" w:cs="宋体"/>
          <w:sz w:val="24"/>
          <w:szCs w:val="24"/>
        </w:rPr>
        <w:t>,</w:t>
      </w:r>
      <w:r>
        <w:rPr>
          <w:rFonts w:hint="eastAsia" w:ascii="宋体" w:hAnsi="宋体" w:cs="宋体"/>
          <w:sz w:val="24"/>
          <w:szCs w:val="24"/>
        </w:rPr>
        <w:t>具体交货时间以甲方通知为准。</w:t>
      </w:r>
    </w:p>
    <w:p>
      <w:pPr>
        <w:spacing w:line="360" w:lineRule="auto"/>
        <w:ind w:firstLine="480" w:firstLineChars="200"/>
        <w:rPr>
          <w:rFonts w:ascii="宋体" w:hAnsi="宋体" w:cs="宋体"/>
          <w:bCs/>
          <w:sz w:val="24"/>
          <w:szCs w:val="24"/>
        </w:rPr>
      </w:pPr>
      <w:r>
        <w:rPr>
          <w:rFonts w:ascii="宋体" w:hAnsi="宋体" w:cs="宋体"/>
          <w:bCs/>
          <w:sz w:val="24"/>
          <w:szCs w:val="24"/>
        </w:rPr>
        <w:t>3.2</w:t>
      </w:r>
      <w:r>
        <w:rPr>
          <w:rFonts w:hint="eastAsia" w:ascii="宋体" w:hAnsi="宋体" w:cs="宋体"/>
          <w:bCs/>
          <w:sz w:val="24"/>
          <w:szCs w:val="24"/>
        </w:rPr>
        <w:t>交货地点：</w:t>
      </w:r>
      <w:r>
        <w:rPr>
          <w:rFonts w:ascii="宋体" w:hAnsi="宋体" w:cs="宋体"/>
          <w:bCs/>
          <w:sz w:val="24"/>
          <w:szCs w:val="24"/>
          <w:u w:val="single"/>
        </w:rPr>
        <w:t xml:space="preserve"> </w:t>
      </w:r>
      <w:r>
        <w:rPr>
          <w:rFonts w:hint="eastAsia" w:ascii="宋体" w:hAnsi="宋体" w:cs="宋体"/>
          <w:bCs/>
          <w:sz w:val="24"/>
          <w:szCs w:val="24"/>
          <w:u w:val="single"/>
        </w:rPr>
        <w:t>广州市净水有限公司</w:t>
      </w:r>
      <w:r>
        <w:rPr>
          <w:rFonts w:ascii="宋体" w:hAnsi="宋体" w:cs="宋体"/>
          <w:bCs/>
          <w:sz w:val="24"/>
          <w:szCs w:val="24"/>
          <w:u w:val="single"/>
        </w:rPr>
        <w:t xml:space="preserve"> </w:t>
      </w:r>
      <w:r>
        <w:rPr>
          <w:rFonts w:ascii="宋体" w:hAnsi="宋体" w:cs="宋体"/>
          <w:bCs/>
          <w:sz w:val="24"/>
          <w:szCs w:val="24"/>
        </w:rPr>
        <w:t>,</w:t>
      </w:r>
      <w:r>
        <w:rPr>
          <w:rFonts w:hint="eastAsia" w:ascii="宋体" w:hAnsi="宋体" w:cs="宋体"/>
          <w:bCs/>
          <w:sz w:val="24"/>
          <w:szCs w:val="24"/>
        </w:rPr>
        <w:t>最终具体交货地点以甲方通知为准。</w:t>
      </w:r>
    </w:p>
    <w:p>
      <w:pPr>
        <w:spacing w:line="360" w:lineRule="auto"/>
        <w:ind w:firstLine="480" w:firstLineChars="200"/>
        <w:rPr>
          <w:rFonts w:ascii="宋体" w:hAnsi="宋体" w:cs="宋体"/>
          <w:bCs/>
          <w:sz w:val="24"/>
          <w:szCs w:val="24"/>
        </w:rPr>
      </w:pPr>
      <w:r>
        <w:rPr>
          <w:rFonts w:ascii="宋体" w:hAnsi="宋体" w:cs="宋体"/>
          <w:bCs/>
          <w:sz w:val="24"/>
          <w:szCs w:val="24"/>
        </w:rPr>
        <w:t xml:space="preserve">3.3 </w:t>
      </w:r>
      <w:r>
        <w:rPr>
          <w:rFonts w:hint="eastAsia" w:ascii="宋体" w:hAnsi="宋体" w:cs="宋体"/>
          <w:bCs/>
          <w:sz w:val="24"/>
          <w:szCs w:val="24"/>
        </w:rPr>
        <w:t>交货方式：乙方在设备运至交货地</w:t>
      </w:r>
      <w:r>
        <w:rPr>
          <w:rFonts w:ascii="宋体" w:hAnsi="宋体" w:cs="宋体"/>
          <w:bCs/>
          <w:sz w:val="24"/>
          <w:szCs w:val="24"/>
          <w:u w:val="single"/>
        </w:rPr>
        <w:t xml:space="preserve"> </w:t>
      </w:r>
      <w:r>
        <w:rPr>
          <w:rFonts w:hint="eastAsia" w:ascii="宋体" w:hAnsi="宋体" w:cs="宋体"/>
          <w:bCs/>
          <w:sz w:val="24"/>
          <w:szCs w:val="24"/>
          <w:u w:val="single"/>
        </w:rPr>
        <w:t>1</w:t>
      </w:r>
      <w:r>
        <w:rPr>
          <w:rFonts w:ascii="宋体" w:hAnsi="宋体" w:cs="宋体"/>
          <w:bCs/>
          <w:sz w:val="24"/>
          <w:szCs w:val="24"/>
          <w:u w:val="single"/>
        </w:rPr>
        <w:t xml:space="preserve"> </w:t>
      </w:r>
      <w:r>
        <w:rPr>
          <w:rFonts w:hint="eastAsia" w:ascii="宋体" w:hAnsi="宋体" w:cs="宋体"/>
          <w:bCs/>
          <w:sz w:val="24"/>
          <w:szCs w:val="24"/>
        </w:rPr>
        <w:t>个工作日前通知甲方。</w:t>
      </w:r>
    </w:p>
    <w:p>
      <w:pPr>
        <w:spacing w:line="360" w:lineRule="auto"/>
        <w:ind w:firstLine="480" w:firstLineChars="200"/>
        <w:rPr>
          <w:rFonts w:ascii="宋体" w:hAnsi="宋体" w:eastAsia="宋体" w:cs="宋体"/>
          <w:b/>
          <w:sz w:val="24"/>
          <w:szCs w:val="24"/>
        </w:rPr>
      </w:pPr>
      <w:r>
        <w:rPr>
          <w:rFonts w:ascii="宋体" w:hAnsi="宋体" w:cs="宋体"/>
          <w:bCs/>
          <w:sz w:val="24"/>
          <w:szCs w:val="24"/>
        </w:rPr>
        <w:t>3.4</w:t>
      </w:r>
      <w:r>
        <w:rPr>
          <w:rFonts w:hint="eastAsia" w:ascii="宋体" w:hAnsi="宋体" w:cs="宋体"/>
          <w:bCs/>
          <w:sz w:val="24"/>
          <w:szCs w:val="24"/>
        </w:rPr>
        <w:t>其他：</w:t>
      </w:r>
      <w:r>
        <w:rPr>
          <w:rFonts w:ascii="宋体" w:hAnsi="宋体" w:cs="宋体"/>
          <w:sz w:val="24"/>
          <w:szCs w:val="24"/>
          <w:u w:val="single"/>
        </w:rPr>
        <w:t xml:space="preserve"> </w:t>
      </w:r>
      <w:r>
        <w:rPr>
          <w:rFonts w:hint="eastAsia" w:ascii="宋体" w:hAnsi="宋体" w:cs="宋体"/>
          <w:sz w:val="24"/>
          <w:szCs w:val="24"/>
          <w:u w:val="single"/>
        </w:rPr>
        <w:t xml:space="preserve">/  </w:t>
      </w:r>
    </w:p>
    <w:p>
      <w:pPr>
        <w:spacing w:line="360" w:lineRule="auto"/>
        <w:ind w:firstLine="482" w:firstLineChars="200"/>
        <w:rPr>
          <w:rFonts w:ascii="宋体" w:hAnsi="宋体" w:cs="宋体"/>
          <w:kern w:val="0"/>
          <w:sz w:val="24"/>
          <w:szCs w:val="24"/>
          <w:lang w:val="zh-CN"/>
        </w:rPr>
      </w:pPr>
      <w:r>
        <w:rPr>
          <w:rFonts w:hint="eastAsia" w:ascii="宋体" w:hAnsi="宋体" w:cs="宋体"/>
          <w:b/>
          <w:sz w:val="24"/>
          <w:szCs w:val="24"/>
        </w:rPr>
        <w:t>第四条</w:t>
      </w:r>
      <w:r>
        <w:rPr>
          <w:rFonts w:ascii="宋体" w:hAnsi="宋体" w:cs="宋体"/>
          <w:b/>
          <w:sz w:val="24"/>
          <w:szCs w:val="24"/>
        </w:rPr>
        <w:t xml:space="preserve"> </w:t>
      </w:r>
      <w:r>
        <w:rPr>
          <w:rFonts w:hint="eastAsia" w:ascii="宋体" w:hAnsi="宋体" w:cs="宋体"/>
          <w:b/>
          <w:sz w:val="24"/>
          <w:szCs w:val="24"/>
        </w:rPr>
        <w:t>合同价格</w:t>
      </w:r>
    </w:p>
    <w:p>
      <w:pPr>
        <w:autoSpaceDE w:val="0"/>
        <w:autoSpaceDN w:val="0"/>
        <w:adjustRightInd w:val="0"/>
        <w:spacing w:line="360" w:lineRule="auto"/>
        <w:ind w:firstLine="480" w:firstLineChars="200"/>
        <w:rPr>
          <w:rFonts w:ascii="宋体" w:hAnsi="宋体" w:cs="宋体"/>
          <w:kern w:val="0"/>
          <w:sz w:val="24"/>
          <w:szCs w:val="24"/>
          <w:lang w:val="zh-CN"/>
        </w:rPr>
      </w:pPr>
      <w:r>
        <w:rPr>
          <w:rFonts w:ascii="宋体" w:hAnsi="宋体" w:cs="宋体"/>
          <w:sz w:val="24"/>
          <w:szCs w:val="24"/>
        </w:rPr>
        <w:t xml:space="preserve">4.1 </w:t>
      </w:r>
      <w:r>
        <w:rPr>
          <w:rFonts w:hint="eastAsia" w:ascii="宋体" w:hAnsi="宋体" w:cs="宋体"/>
          <w:kern w:val="0"/>
          <w:sz w:val="24"/>
          <w:szCs w:val="24"/>
          <w:lang w:val="zh-CN"/>
        </w:rPr>
        <w:t>本合同</w:t>
      </w:r>
      <w:r>
        <w:rPr>
          <w:rFonts w:hint="eastAsia" w:ascii="宋体" w:hAnsi="宋体" w:cs="宋体"/>
          <w:kern w:val="0"/>
          <w:sz w:val="24"/>
          <w:szCs w:val="24"/>
        </w:rPr>
        <w:t>暂定</w:t>
      </w:r>
      <w:r>
        <w:rPr>
          <w:rFonts w:hint="eastAsia" w:ascii="宋体" w:hAnsi="宋体" w:cs="宋体"/>
          <w:kern w:val="0"/>
          <w:sz w:val="24"/>
          <w:szCs w:val="24"/>
          <w:lang w:val="zh-CN"/>
        </w:rPr>
        <w:t>总价为</w:t>
      </w:r>
      <w:r>
        <w:rPr>
          <w:rFonts w:ascii="宋体" w:hAnsi="宋体" w:cs="宋体"/>
          <w:kern w:val="0"/>
          <w:sz w:val="24"/>
          <w:szCs w:val="24"/>
          <w:u w:val="single"/>
          <w:lang w:val="zh-CN"/>
        </w:rPr>
        <w:t xml:space="preserve"> </w:t>
      </w:r>
      <w:r>
        <w:rPr>
          <w:rFonts w:hint="eastAsia" w:ascii="宋体" w:hAnsi="宋体" w:cs="宋体"/>
          <w:kern w:val="0"/>
          <w:sz w:val="24"/>
          <w:szCs w:val="24"/>
          <w:u w:val="single"/>
          <w:lang w:val="zh-CN"/>
        </w:rPr>
        <w:t>…</w:t>
      </w:r>
      <w:r>
        <w:rPr>
          <w:rFonts w:ascii="宋体" w:hAnsi="宋体" w:cs="宋体"/>
          <w:kern w:val="0"/>
          <w:sz w:val="24"/>
          <w:szCs w:val="24"/>
          <w:u w:val="single"/>
          <w:lang w:val="zh-CN"/>
        </w:rPr>
        <w:t xml:space="preserve"> </w:t>
      </w:r>
      <w:r>
        <w:rPr>
          <w:rFonts w:hint="eastAsia" w:ascii="宋体" w:hAnsi="宋体" w:cs="宋体"/>
          <w:kern w:val="0"/>
          <w:sz w:val="24"/>
          <w:szCs w:val="24"/>
          <w:lang w:val="zh-CN"/>
        </w:rPr>
        <w:t>万元，（人民币）大写：</w:t>
      </w:r>
      <w:r>
        <w:rPr>
          <w:rFonts w:ascii="宋体" w:hAnsi="宋体" w:cs="宋体"/>
          <w:kern w:val="0"/>
          <w:sz w:val="24"/>
          <w:szCs w:val="24"/>
          <w:u w:val="single"/>
          <w:lang w:val="zh-CN"/>
        </w:rPr>
        <w:t xml:space="preserve"> </w:t>
      </w:r>
      <w:r>
        <w:rPr>
          <w:rFonts w:hint="eastAsia" w:ascii="宋体" w:hAnsi="宋体" w:cs="宋体"/>
          <w:kern w:val="0"/>
          <w:sz w:val="24"/>
          <w:szCs w:val="24"/>
          <w:u w:val="single"/>
          <w:lang w:val="zh-CN"/>
        </w:rPr>
        <w:t>…</w:t>
      </w:r>
      <w:r>
        <w:rPr>
          <w:rFonts w:ascii="宋体" w:hAnsi="宋体" w:cs="宋体"/>
          <w:kern w:val="0"/>
          <w:sz w:val="24"/>
          <w:szCs w:val="24"/>
          <w:u w:val="single"/>
          <w:lang w:val="zh-CN"/>
        </w:rPr>
        <w:t xml:space="preserve"> </w:t>
      </w:r>
      <w:r>
        <w:rPr>
          <w:rFonts w:hint="eastAsia" w:ascii="宋体" w:hAnsi="宋体" w:cs="宋体"/>
          <w:kern w:val="0"/>
          <w:sz w:val="24"/>
          <w:szCs w:val="24"/>
          <w:lang w:val="zh-CN"/>
        </w:rPr>
        <w:t>。</w:t>
      </w:r>
      <w:r>
        <w:rPr>
          <w:rFonts w:ascii="宋体" w:hAnsi="宋体" w:cs="宋体"/>
          <w:kern w:val="0"/>
          <w:sz w:val="24"/>
          <w:szCs w:val="24"/>
          <w:lang w:val="zh-CN"/>
        </w:rPr>
        <w:t xml:space="preserve"> </w:t>
      </w:r>
    </w:p>
    <w:p>
      <w:pPr>
        <w:autoSpaceDE w:val="0"/>
        <w:autoSpaceDN w:val="0"/>
        <w:adjustRightInd w:val="0"/>
        <w:spacing w:line="360" w:lineRule="auto"/>
        <w:ind w:firstLine="480" w:firstLineChars="200"/>
        <w:rPr>
          <w:rFonts w:ascii="宋体" w:hAnsi="宋体" w:cs="宋体"/>
          <w:kern w:val="0"/>
          <w:sz w:val="24"/>
          <w:szCs w:val="24"/>
          <w:lang w:val="zh-CN"/>
        </w:rPr>
      </w:pPr>
      <w:r>
        <w:rPr>
          <w:rFonts w:ascii="宋体" w:hAnsi="宋体" w:cs="宋体"/>
          <w:kern w:val="0"/>
          <w:sz w:val="24"/>
          <w:szCs w:val="24"/>
        </w:rPr>
        <w:t>4</w:t>
      </w:r>
      <w:r>
        <w:rPr>
          <w:rFonts w:ascii="宋体" w:hAnsi="宋体" w:cs="宋体"/>
          <w:kern w:val="0"/>
          <w:sz w:val="24"/>
          <w:szCs w:val="24"/>
          <w:lang w:val="zh-CN"/>
        </w:rPr>
        <w:t>.2</w:t>
      </w:r>
      <w:r>
        <w:rPr>
          <w:rFonts w:ascii="宋体" w:hAnsi="宋体" w:cs="宋体"/>
          <w:kern w:val="0"/>
          <w:sz w:val="24"/>
          <w:szCs w:val="24"/>
        </w:rPr>
        <w:t xml:space="preserve"> </w:t>
      </w:r>
      <w:r>
        <w:rPr>
          <w:rFonts w:hint="eastAsia" w:ascii="宋体" w:hAnsi="宋体" w:cs="宋体"/>
          <w:kern w:val="0"/>
          <w:sz w:val="24"/>
          <w:szCs w:val="24"/>
          <w:lang w:val="zh-CN"/>
        </w:rPr>
        <w:t>设备价格包括</w:t>
      </w:r>
      <w:r>
        <w:rPr>
          <w:rFonts w:hint="eastAsia" w:ascii="宋体" w:hAnsi="宋体" w:cs="宋体"/>
          <w:kern w:val="0"/>
          <w:sz w:val="24"/>
          <w:szCs w:val="24"/>
          <w:u w:val="single"/>
          <w:lang w:val="zh-CN"/>
        </w:rPr>
        <w:t>工艺设计、设备及随机附件的制造、包装、运输（设备运输过程中所需的相关手续</w:t>
      </w:r>
      <w:r>
        <w:rPr>
          <w:rFonts w:hint="eastAsia" w:ascii="宋体" w:hAnsi="宋体" w:cs="宋体"/>
          <w:kern w:val="0"/>
          <w:sz w:val="24"/>
          <w:szCs w:val="24"/>
          <w:u w:val="single"/>
        </w:rPr>
        <w:t>及费用</w:t>
      </w:r>
      <w:r>
        <w:rPr>
          <w:rFonts w:hint="eastAsia" w:ascii="宋体" w:hAnsi="宋体" w:cs="宋体"/>
          <w:kern w:val="0"/>
          <w:sz w:val="24"/>
          <w:szCs w:val="24"/>
          <w:u w:val="single"/>
          <w:lang w:val="zh-CN"/>
        </w:rPr>
        <w:t>）、装卸、安装调试</w:t>
      </w:r>
      <w:r>
        <w:rPr>
          <w:rFonts w:hint="eastAsia" w:ascii="宋体" w:hAnsi="宋体" w:cs="宋体"/>
          <w:kern w:val="0"/>
          <w:sz w:val="24"/>
          <w:szCs w:val="24"/>
          <w:u w:val="single"/>
        </w:rPr>
        <w:t>或者指导安装调试</w:t>
      </w:r>
      <w:r>
        <w:rPr>
          <w:rFonts w:hint="eastAsia" w:ascii="宋体" w:hAnsi="宋体" w:cs="宋体"/>
          <w:kern w:val="0"/>
          <w:sz w:val="24"/>
          <w:szCs w:val="24"/>
          <w:u w:val="single"/>
          <w:lang w:val="zh-CN"/>
        </w:rPr>
        <w:t>、验收、培训（如需）、技术服务（包括技术资料、图纸的提供）、质保期保修、税费、保险费等全部费用。</w:t>
      </w:r>
    </w:p>
    <w:p>
      <w:pPr>
        <w:autoSpaceDE w:val="0"/>
        <w:autoSpaceDN w:val="0"/>
        <w:adjustRightInd w:val="0"/>
        <w:spacing w:line="360" w:lineRule="auto"/>
        <w:ind w:firstLine="480" w:firstLineChars="200"/>
        <w:rPr>
          <w:rFonts w:ascii="宋体" w:hAnsi="宋体" w:cs="宋体"/>
          <w:sz w:val="24"/>
          <w:szCs w:val="24"/>
        </w:rPr>
      </w:pPr>
      <w:r>
        <w:rPr>
          <w:rFonts w:hint="eastAsia" w:ascii="宋体" w:hAnsi="宋体" w:cs="宋体"/>
          <w:sz w:val="24"/>
          <w:szCs w:val="24"/>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line="360" w:lineRule="auto"/>
        <w:ind w:firstLine="480" w:firstLineChars="200"/>
        <w:rPr>
          <w:rFonts w:ascii="宋体" w:hAnsi="宋体" w:cs="宋体"/>
          <w:kern w:val="0"/>
          <w:sz w:val="24"/>
          <w:szCs w:val="24"/>
        </w:rPr>
      </w:pPr>
      <w:r>
        <w:rPr>
          <w:rFonts w:ascii="宋体" w:hAnsi="宋体" w:cs="宋体"/>
          <w:kern w:val="0"/>
          <w:sz w:val="24"/>
          <w:szCs w:val="24"/>
        </w:rPr>
        <w:t>4</w:t>
      </w:r>
      <w:r>
        <w:rPr>
          <w:rFonts w:ascii="宋体" w:hAnsi="宋体" w:cs="宋体"/>
          <w:kern w:val="0"/>
          <w:sz w:val="24"/>
          <w:szCs w:val="24"/>
          <w:lang w:val="zh-CN"/>
        </w:rPr>
        <w:t>.3</w:t>
      </w:r>
      <w:r>
        <w:rPr>
          <w:rFonts w:ascii="宋体" w:hAnsi="宋体" w:cs="宋体"/>
          <w:kern w:val="0"/>
          <w:sz w:val="24"/>
          <w:szCs w:val="24"/>
        </w:rPr>
        <w:t xml:space="preserve"> </w:t>
      </w:r>
      <w:r>
        <w:rPr>
          <w:rFonts w:hint="eastAsia" w:ascii="宋体" w:hAnsi="宋体" w:cs="宋体"/>
          <w:kern w:val="0"/>
          <w:sz w:val="24"/>
          <w:szCs w:val="24"/>
        </w:rPr>
        <w:t>本合同约定的价格为含税价价格</w:t>
      </w:r>
      <w:r>
        <w:rPr>
          <w:rFonts w:hint="eastAsia" w:ascii="宋体" w:hAnsi="宋体" w:cs="宋体"/>
          <w:sz w:val="24"/>
          <w:szCs w:val="24"/>
        </w:rPr>
        <w:t>（税率</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rPr>
        <w:t>），合同履行期间国家税率调整或乙方开票的实际税率与前述税率不一致的，不含税价不变，价税合计按实际税率相应调整，以开具发票时间为准。</w:t>
      </w:r>
    </w:p>
    <w:p>
      <w:pPr>
        <w:autoSpaceDE w:val="0"/>
        <w:autoSpaceDN w:val="0"/>
        <w:adjustRightInd w:val="0"/>
        <w:spacing w:line="360" w:lineRule="auto"/>
        <w:ind w:firstLine="482" w:firstLineChars="200"/>
        <w:rPr>
          <w:rFonts w:ascii="宋体" w:hAnsi="宋体" w:cs="宋体"/>
          <w:b/>
          <w:sz w:val="24"/>
          <w:szCs w:val="24"/>
        </w:rPr>
      </w:pPr>
      <w:bookmarkStart w:id="98" w:name="_Toc520190029"/>
      <w:bookmarkStart w:id="99" w:name="_Toc474245213"/>
      <w:bookmarkStart w:id="100" w:name="_Toc518992989"/>
      <w:bookmarkStart w:id="101" w:name="_Toc107446843"/>
      <w:bookmarkStart w:id="102" w:name="_Toc107447236"/>
      <w:r>
        <w:rPr>
          <w:rFonts w:hint="eastAsia" w:ascii="宋体" w:hAnsi="宋体" w:cs="宋体"/>
          <w:b/>
          <w:sz w:val="24"/>
          <w:szCs w:val="24"/>
        </w:rPr>
        <w:t>第五条</w:t>
      </w:r>
      <w:r>
        <w:rPr>
          <w:rFonts w:ascii="宋体" w:hAnsi="宋体" w:cs="宋体"/>
          <w:b/>
          <w:sz w:val="24"/>
          <w:szCs w:val="24"/>
        </w:rPr>
        <w:t xml:space="preserve"> </w:t>
      </w:r>
      <w:r>
        <w:rPr>
          <w:rFonts w:hint="eastAsia" w:ascii="宋体" w:hAnsi="宋体" w:cs="宋体"/>
          <w:b/>
          <w:sz w:val="24"/>
          <w:szCs w:val="24"/>
        </w:rPr>
        <w:t>支付方式</w:t>
      </w:r>
      <w:bookmarkEnd w:id="98"/>
      <w:bookmarkEnd w:id="99"/>
      <w:bookmarkEnd w:id="100"/>
    </w:p>
    <w:bookmarkEnd w:id="101"/>
    <w:bookmarkEnd w:id="102"/>
    <w:p>
      <w:pPr>
        <w:tabs>
          <w:tab w:val="left" w:pos="851"/>
        </w:tabs>
        <w:adjustRightInd w:val="0"/>
        <w:snapToGrid w:val="0"/>
        <w:spacing w:line="360" w:lineRule="auto"/>
        <w:ind w:firstLine="480" w:firstLineChars="200"/>
        <w:rPr>
          <w:rFonts w:ascii="宋体" w:hAnsi="宋体" w:cs="宋体"/>
          <w:sz w:val="24"/>
          <w:szCs w:val="24"/>
        </w:rPr>
      </w:pPr>
      <w:bookmarkStart w:id="103" w:name="_Toc183666516"/>
      <w:bookmarkStart w:id="104" w:name="_Toc14703"/>
      <w:r>
        <w:rPr>
          <w:rFonts w:ascii="宋体" w:hAnsi="宋体" w:cs="宋体"/>
          <w:sz w:val="24"/>
          <w:szCs w:val="24"/>
        </w:rPr>
        <w:t>5.1</w:t>
      </w:r>
      <w:r>
        <w:rPr>
          <w:rFonts w:hint="eastAsia" w:ascii="宋体" w:hAnsi="宋体" w:cs="宋体"/>
          <w:bCs/>
          <w:sz w:val="24"/>
          <w:szCs w:val="24"/>
        </w:rPr>
        <w:t>预付款的支付：</w:t>
      </w:r>
      <w:r>
        <w:rPr>
          <w:rFonts w:hint="eastAsia" w:ascii="宋体" w:hAnsi="宋体" w:cs="宋体"/>
          <w:szCs w:val="21"/>
        </w:rPr>
        <w:sym w:font="Wingdings 2" w:char="0052"/>
      </w:r>
      <w:r>
        <w:rPr>
          <w:rFonts w:hint="eastAsia" w:ascii="宋体" w:hAnsi="宋体" w:cs="宋体"/>
          <w:bCs/>
          <w:sz w:val="24"/>
          <w:szCs w:val="24"/>
        </w:rPr>
        <w:t>无；</w:t>
      </w:r>
      <w:r>
        <w:rPr>
          <w:rFonts w:ascii="宋体" w:hAnsi="宋体" w:cs="宋体"/>
          <w:bCs/>
          <w:sz w:val="24"/>
          <w:szCs w:val="24"/>
        </w:rPr>
        <w:t xml:space="preserve">    </w:t>
      </w:r>
      <w:r>
        <w:rPr>
          <w:rFonts w:hint="eastAsia" w:ascii="宋体" w:hAnsi="宋体" w:cs="宋体"/>
          <w:szCs w:val="21"/>
        </w:rPr>
        <w:t>□有，</w:t>
      </w:r>
      <w:r>
        <w:rPr>
          <w:rFonts w:hint="eastAsia" w:ascii="宋体" w:hAnsi="宋体" w:cs="宋体"/>
          <w:bCs/>
          <w:sz w:val="24"/>
          <w:szCs w:val="24"/>
        </w:rPr>
        <w:t>合同签订后，乙方开具等额的增值税专用发票及提交履约担保（如有）后</w:t>
      </w:r>
      <w:r>
        <w:rPr>
          <w:rFonts w:ascii="宋体" w:hAnsi="宋体" w:cs="宋体"/>
          <w:bCs/>
          <w:sz w:val="24"/>
          <w:szCs w:val="24"/>
          <w:u w:val="single"/>
        </w:rPr>
        <w:t>10</w:t>
      </w:r>
      <w:r>
        <w:rPr>
          <w:rFonts w:hint="eastAsia" w:ascii="宋体" w:hAnsi="宋体" w:cs="宋体"/>
          <w:bCs/>
          <w:sz w:val="24"/>
          <w:szCs w:val="24"/>
        </w:rPr>
        <w:t>个工作日内，甲方支付合同暂定总价的</w:t>
      </w:r>
      <w:r>
        <w:rPr>
          <w:rFonts w:ascii="宋体" w:hAnsi="宋体" w:cs="宋体"/>
          <w:bCs/>
          <w:sz w:val="24"/>
          <w:szCs w:val="24"/>
        </w:rPr>
        <w:t xml:space="preserve"> </w:t>
      </w:r>
      <w:r>
        <w:rPr>
          <w:rFonts w:ascii="宋体" w:hAnsi="宋体" w:cs="宋体"/>
          <w:bCs/>
          <w:sz w:val="24"/>
          <w:szCs w:val="24"/>
          <w:u w:val="single"/>
        </w:rPr>
        <w:t xml:space="preserve">  30%  </w:t>
      </w:r>
      <w:r>
        <w:rPr>
          <w:rFonts w:hint="eastAsia" w:ascii="宋体" w:hAnsi="宋体" w:cs="宋体"/>
          <w:sz w:val="24"/>
          <w:szCs w:val="24"/>
        </w:rPr>
        <w:t>即</w:t>
      </w:r>
      <w:r>
        <w:rPr>
          <w:rFonts w:ascii="宋体" w:hAnsi="宋体" w:cs="宋体"/>
          <w:sz w:val="24"/>
          <w:szCs w:val="24"/>
          <w:u w:val="single"/>
        </w:rPr>
        <w:t xml:space="preserve"> </w:t>
      </w:r>
      <w:r>
        <w:rPr>
          <w:rFonts w:hint="eastAsia" w:ascii="宋体" w:hAnsi="宋体" w:cs="宋体"/>
          <w:sz w:val="24"/>
          <w:szCs w:val="24"/>
          <w:u w:val="single"/>
        </w:rPr>
        <w:t>…元，（大写：</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bCs/>
          <w:sz w:val="24"/>
          <w:szCs w:val="24"/>
        </w:rPr>
        <w:t>作为预付款。</w:t>
      </w:r>
      <w:r>
        <w:rPr>
          <w:rFonts w:hint="eastAsia" w:ascii="宋体" w:hAnsi="宋体" w:cs="宋体"/>
          <w:sz w:val="24"/>
          <w:szCs w:val="24"/>
        </w:rPr>
        <w:t>若合同解除或终止，乙方在</w:t>
      </w:r>
      <w:r>
        <w:rPr>
          <w:rFonts w:ascii="宋体" w:hAnsi="宋体" w:cs="宋体"/>
          <w:sz w:val="24"/>
          <w:szCs w:val="24"/>
          <w:u w:val="single"/>
        </w:rPr>
        <w:t xml:space="preserve"> 5 </w:t>
      </w:r>
      <w:r>
        <w:rPr>
          <w:rFonts w:hint="eastAsia" w:ascii="宋体" w:hAnsi="宋体" w:cs="宋体"/>
          <w:sz w:val="24"/>
          <w:szCs w:val="24"/>
        </w:rPr>
        <w:t>个工作日内返还预付款（无息）。</w:t>
      </w:r>
      <w:r>
        <w:rPr>
          <w:rFonts w:hint="eastAsia" w:ascii="宋体" w:hAnsi="宋体" w:cs="宋体"/>
          <w:bCs/>
          <w:kern w:val="0"/>
          <w:sz w:val="24"/>
          <w:szCs w:val="24"/>
        </w:rPr>
        <w:t>逾期未返还，每逾期一天，乙方应按合同暂定总价的</w:t>
      </w:r>
      <w:r>
        <w:rPr>
          <w:rFonts w:hint="eastAsia" w:ascii="宋体" w:hAnsi="宋体" w:cs="宋体"/>
          <w:bCs/>
          <w:kern w:val="0"/>
          <w:sz w:val="24"/>
          <w:szCs w:val="24"/>
          <w:u w:val="single"/>
        </w:rPr>
        <w:t>万分之五</w:t>
      </w:r>
      <w:r>
        <w:rPr>
          <w:rFonts w:ascii="宋体" w:hAnsi="宋体" w:cs="宋体"/>
          <w:bCs/>
          <w:kern w:val="0"/>
          <w:sz w:val="24"/>
          <w:szCs w:val="24"/>
          <w:u w:val="single"/>
        </w:rPr>
        <w:t>/</w:t>
      </w:r>
      <w:r>
        <w:rPr>
          <w:rFonts w:hint="eastAsia" w:ascii="宋体" w:hAnsi="宋体" w:cs="宋体"/>
          <w:bCs/>
          <w:kern w:val="0"/>
          <w:sz w:val="24"/>
          <w:szCs w:val="24"/>
          <w:u w:val="single"/>
        </w:rPr>
        <w:t>天</w:t>
      </w:r>
      <w:r>
        <w:rPr>
          <w:rFonts w:hint="eastAsia" w:ascii="宋体" w:hAnsi="宋体" w:cs="宋体"/>
          <w:bCs/>
          <w:kern w:val="0"/>
          <w:sz w:val="24"/>
          <w:szCs w:val="24"/>
        </w:rPr>
        <w:t>支付违约金</w:t>
      </w:r>
      <w:r>
        <w:rPr>
          <w:rFonts w:hint="eastAsia" w:ascii="宋体" w:hAnsi="宋体" w:cs="宋体"/>
          <w:sz w:val="24"/>
          <w:szCs w:val="24"/>
        </w:rPr>
        <w:t>。</w:t>
      </w:r>
    </w:p>
    <w:p>
      <w:pPr>
        <w:tabs>
          <w:tab w:val="left" w:pos="851"/>
        </w:tabs>
        <w:adjustRightInd w:val="0"/>
        <w:snapToGrid w:val="0"/>
        <w:spacing w:line="360" w:lineRule="auto"/>
        <w:ind w:firstLine="480" w:firstLineChars="200"/>
        <w:rPr>
          <w:rFonts w:ascii="宋体" w:hAnsi="宋体" w:cs="宋体"/>
          <w:bCs/>
          <w:sz w:val="24"/>
          <w:szCs w:val="24"/>
        </w:rPr>
      </w:pPr>
      <w:r>
        <w:rPr>
          <w:rFonts w:ascii="宋体" w:hAnsi="宋体" w:cs="宋体"/>
          <w:sz w:val="24"/>
          <w:szCs w:val="24"/>
        </w:rPr>
        <w:t xml:space="preserve">5.2 </w:t>
      </w:r>
      <w:r>
        <w:rPr>
          <w:rFonts w:hint="eastAsia" w:ascii="宋体" w:hAnsi="宋体" w:cs="宋体"/>
          <w:sz w:val="24"/>
          <w:szCs w:val="24"/>
        </w:rPr>
        <w:t>支付方式：</w:t>
      </w:r>
    </w:p>
    <w:p>
      <w:pPr>
        <w:autoSpaceDE w:val="0"/>
        <w:autoSpaceDN w:val="0"/>
        <w:adjustRightInd w:val="0"/>
        <w:spacing w:line="360" w:lineRule="auto"/>
        <w:ind w:firstLine="480" w:firstLineChars="200"/>
        <w:rPr>
          <w:rFonts w:ascii="宋体" w:hAnsi="宋体" w:cs="宋体"/>
          <w:sz w:val="24"/>
          <w:szCs w:val="24"/>
        </w:rPr>
      </w:pPr>
      <w:r>
        <w:rPr>
          <w:rFonts w:ascii="宋体" w:hAnsi="宋体" w:cs="宋体"/>
          <w:sz w:val="24"/>
          <w:szCs w:val="24"/>
        </w:rPr>
        <w:t>5.2.1</w:t>
      </w:r>
      <w:r>
        <w:rPr>
          <w:rFonts w:hint="eastAsia" w:ascii="宋体" w:hAnsi="宋体" w:cs="宋体"/>
          <w:sz w:val="24"/>
          <w:szCs w:val="24"/>
        </w:rPr>
        <w:t>设备到达现场，经开箱验收合格，乙方提交实施方案及等额增值税专用发票，经甲方审核后</w:t>
      </w:r>
      <w:r>
        <w:rPr>
          <w:rFonts w:ascii="宋体" w:hAnsi="宋体" w:cs="宋体"/>
          <w:sz w:val="24"/>
          <w:szCs w:val="24"/>
          <w:u w:val="single"/>
        </w:rPr>
        <w:t xml:space="preserve"> 15 </w:t>
      </w:r>
      <w:r>
        <w:rPr>
          <w:rFonts w:hint="eastAsia" w:ascii="宋体" w:hAnsi="宋体" w:cs="宋体"/>
          <w:sz w:val="24"/>
          <w:szCs w:val="24"/>
        </w:rPr>
        <w:t>个工作日内，支付至合同暂定价的60</w:t>
      </w:r>
      <w:r>
        <w:rPr>
          <w:rFonts w:ascii="宋体" w:hAnsi="宋体" w:cs="宋体"/>
          <w:sz w:val="24"/>
          <w:szCs w:val="24"/>
        </w:rPr>
        <w:t>%</w:t>
      </w:r>
      <w:r>
        <w:rPr>
          <w:rFonts w:hint="eastAsia" w:ascii="宋体" w:hAnsi="宋体" w:cs="宋体"/>
          <w:sz w:val="24"/>
          <w:szCs w:val="24"/>
        </w:rPr>
        <w:t>,即</w:t>
      </w:r>
      <w:r>
        <w:rPr>
          <w:rFonts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rPr>
        <w:t>（大写人民币：</w:t>
      </w:r>
      <w:r>
        <w:rPr>
          <w:rFonts w:hint="eastAsia" w:ascii="宋体" w:hAnsi="宋体" w:cs="宋体"/>
          <w:sz w:val="24"/>
          <w:szCs w:val="24"/>
          <w:u w:val="single"/>
        </w:rPr>
        <w:t xml:space="preserve">   </w:t>
      </w:r>
      <w:r>
        <w:rPr>
          <w:rFonts w:hint="eastAsia" w:ascii="宋体" w:hAnsi="宋体" w:cs="宋体"/>
          <w:sz w:val="24"/>
          <w:szCs w:val="24"/>
        </w:rPr>
        <w:t>)。</w:t>
      </w:r>
    </w:p>
    <w:p>
      <w:pPr>
        <w:pStyle w:val="2"/>
        <w:rPr>
          <w:rFonts w:hint="eastAsia" w:eastAsia="宋体" w:cs="宋体"/>
          <w:color w:val="auto"/>
        </w:rPr>
      </w:pPr>
      <w:r>
        <w:rPr>
          <w:rFonts w:hint="eastAsia" w:eastAsia="宋体" w:cs="宋体"/>
          <w:color w:val="auto"/>
        </w:rPr>
        <w:t>5.2.2 设备安装调试完毕，乙方</w:t>
      </w:r>
      <w:r>
        <w:rPr>
          <w:rFonts w:hint="eastAsia" w:cs="宋体" w:eastAsiaTheme="minorEastAsia"/>
          <w:color w:val="auto"/>
          <w:kern w:val="2"/>
        </w:rPr>
        <w:t>提交项目完工报告并经甲方审核后 15 个工作日内，支付至合同暂定价的</w:t>
      </w:r>
      <w:r>
        <w:rPr>
          <w:rFonts w:hint="eastAsia" w:cs="宋体" w:eastAsiaTheme="minorEastAsia"/>
          <w:b/>
          <w:bCs/>
          <w:color w:val="auto"/>
          <w:kern w:val="2"/>
          <w:lang w:val="en-US" w:eastAsia="zh-CN"/>
        </w:rPr>
        <w:t>2</w:t>
      </w:r>
      <w:r>
        <w:rPr>
          <w:rFonts w:hint="eastAsia" w:cs="宋体" w:eastAsiaTheme="minorEastAsia"/>
          <w:b/>
          <w:bCs/>
          <w:color w:val="auto"/>
          <w:kern w:val="2"/>
        </w:rPr>
        <w:t>0%</w:t>
      </w:r>
      <w:r>
        <w:rPr>
          <w:rFonts w:hint="eastAsia" w:cs="宋体" w:eastAsiaTheme="minorEastAsia"/>
          <w:color w:val="auto"/>
          <w:kern w:val="2"/>
        </w:rPr>
        <w:t xml:space="preserve">即 </w:t>
      </w:r>
      <w:r>
        <w:rPr>
          <w:rFonts w:cs="宋体" w:eastAsiaTheme="minorEastAsia"/>
          <w:color w:val="auto"/>
          <w:kern w:val="2"/>
        </w:rPr>
        <w:t xml:space="preserve">¥ </w:t>
      </w:r>
      <w:r>
        <w:rPr>
          <w:rFonts w:hint="eastAsia" w:cs="宋体" w:eastAsiaTheme="minorEastAsia"/>
          <w:color w:val="auto"/>
          <w:kern w:val="2"/>
          <w:u w:val="single"/>
          <w:lang w:val="en-US" w:eastAsia="zh-CN"/>
        </w:rPr>
        <w:t xml:space="preserve">       </w:t>
      </w:r>
      <w:r>
        <w:rPr>
          <w:rFonts w:hint="eastAsia" w:cs="宋体" w:eastAsiaTheme="minorEastAsia"/>
          <w:color w:val="auto"/>
          <w:kern w:val="2"/>
        </w:rPr>
        <w:t>元（大写人民币：</w:t>
      </w:r>
      <w:r>
        <w:rPr>
          <w:rFonts w:hint="eastAsia" w:cs="宋体" w:eastAsiaTheme="minorEastAsia"/>
          <w:color w:val="auto"/>
          <w:kern w:val="2"/>
          <w:u w:val="single"/>
          <w:lang w:val="en-US" w:eastAsia="zh-CN"/>
        </w:rPr>
        <w:t xml:space="preserve">            </w:t>
      </w:r>
      <w:r>
        <w:rPr>
          <w:rFonts w:hint="eastAsia" w:cs="宋体" w:eastAsiaTheme="minorEastAsia"/>
          <w:color w:val="auto"/>
          <w:kern w:val="2"/>
        </w:rPr>
        <w:t>）。</w:t>
      </w:r>
    </w:p>
    <w:p>
      <w:pPr>
        <w:pStyle w:val="2"/>
        <w:rPr>
          <w:rFonts w:cs="宋体"/>
          <w:bCs/>
          <w:color w:val="auto"/>
        </w:rPr>
      </w:pPr>
      <w:r>
        <w:rPr>
          <w:rFonts w:hint="eastAsia" w:eastAsia="宋体" w:cs="宋体"/>
          <w:color w:val="auto"/>
        </w:rPr>
        <w:t>5.2.</w:t>
      </w:r>
      <w:r>
        <w:rPr>
          <w:rFonts w:hint="eastAsia" w:eastAsia="宋体" w:cs="宋体"/>
          <w:color w:val="auto"/>
          <w:lang w:val="en-US" w:eastAsia="zh-CN"/>
        </w:rPr>
        <w:t>3</w:t>
      </w:r>
      <w:r>
        <w:rPr>
          <w:rFonts w:hint="eastAsia" w:eastAsia="宋体" w:cs="宋体"/>
          <w:b/>
          <w:bCs/>
          <w:color w:val="auto"/>
        </w:rPr>
        <w:t>项目整体无故障试运行</w:t>
      </w:r>
      <w:r>
        <w:rPr>
          <w:rFonts w:hint="eastAsia" w:eastAsia="宋体" w:cs="宋体"/>
          <w:b/>
          <w:bCs/>
          <w:color w:val="auto"/>
          <w:lang w:val="en-US" w:eastAsia="zh-CN"/>
        </w:rPr>
        <w:t>3</w:t>
      </w:r>
      <w:r>
        <w:rPr>
          <w:rFonts w:hint="eastAsia" w:eastAsia="宋体" w:cs="宋体"/>
          <w:b/>
          <w:bCs/>
          <w:color w:val="auto"/>
        </w:rPr>
        <w:t>0天后</w:t>
      </w:r>
      <w:r>
        <w:rPr>
          <w:rFonts w:hint="eastAsia" w:eastAsia="宋体" w:cs="宋体"/>
          <w:color w:val="auto"/>
        </w:rPr>
        <w:t>，项目竣工验收，乙方提交项目完整的施工报告并经甲方</w:t>
      </w:r>
      <w:r>
        <w:rPr>
          <w:rFonts w:hint="eastAsia" w:eastAsia="宋体" w:cs="宋体"/>
          <w:b/>
          <w:bCs/>
          <w:color w:val="auto"/>
        </w:rPr>
        <w:t>结算审核</w:t>
      </w:r>
      <w:r>
        <w:rPr>
          <w:rFonts w:hint="eastAsia" w:eastAsia="宋体" w:cs="宋体"/>
          <w:color w:val="auto"/>
        </w:rPr>
        <w:t>后</w:t>
      </w:r>
      <w:r>
        <w:rPr>
          <w:rFonts w:hint="eastAsia" w:eastAsia="宋体" w:cs="宋体"/>
          <w:color w:val="auto"/>
          <w:u w:val="single"/>
        </w:rPr>
        <w:t>20</w:t>
      </w:r>
      <w:r>
        <w:rPr>
          <w:rFonts w:hint="eastAsia" w:eastAsia="宋体" w:cs="宋体"/>
          <w:color w:val="auto"/>
        </w:rPr>
        <w:t>个工作日内，支付至合同结算价的95%</w:t>
      </w:r>
      <w:r>
        <w:rPr>
          <w:rFonts w:hint="eastAsia" w:cs="宋体"/>
          <w:color w:val="auto"/>
        </w:rPr>
        <w:t>。</w:t>
      </w:r>
      <w:r>
        <w:rPr>
          <w:rFonts w:hint="eastAsia" w:eastAsia="宋体" w:cs="宋体"/>
          <w:color w:val="auto"/>
        </w:rPr>
        <w:t>（若审核价低于合同暂定总价，则以审核价作为合同结算价，否则以合同暂定总价为合同结算价），合同结算价的5%作为质保金留存。</w:t>
      </w:r>
    </w:p>
    <w:p>
      <w:pPr>
        <w:pStyle w:val="12"/>
        <w:spacing w:line="360" w:lineRule="auto"/>
        <w:ind w:firstLine="600" w:firstLineChars="250"/>
        <w:outlineLvl w:val="1"/>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5.2.</w:t>
      </w:r>
      <w:r>
        <w:rPr>
          <w:rFonts w:hint="eastAsia" w:asciiTheme="majorEastAsia" w:hAnsiTheme="majorEastAsia" w:eastAsiaTheme="majorEastAsia" w:cstheme="majorEastAsia"/>
          <w:sz w:val="24"/>
          <w:szCs w:val="24"/>
          <w:lang w:val="en-US" w:eastAsia="zh-CN"/>
        </w:rPr>
        <w:t>4</w:t>
      </w:r>
      <w:r>
        <w:rPr>
          <w:rFonts w:hint="eastAsia" w:asciiTheme="majorEastAsia" w:hAnsiTheme="majorEastAsia" w:eastAsiaTheme="majorEastAsia" w:cstheme="majorEastAsia"/>
          <w:sz w:val="24"/>
          <w:szCs w:val="24"/>
        </w:rPr>
        <w:t>质保期按合同第九条规定执行，质保期满且乙方不存在违约情形，乙方提交请款资料及等额增值税专用发票，甲方审核无误后在</w:t>
      </w:r>
      <w:r>
        <w:rPr>
          <w:rFonts w:hint="eastAsia" w:asciiTheme="majorEastAsia" w:hAnsiTheme="majorEastAsia" w:eastAsiaTheme="majorEastAsia" w:cstheme="majorEastAsia"/>
          <w:sz w:val="24"/>
          <w:szCs w:val="24"/>
          <w:u w:val="single"/>
        </w:rPr>
        <w:t xml:space="preserve"> 15 </w:t>
      </w:r>
      <w:r>
        <w:rPr>
          <w:rFonts w:hint="eastAsia" w:asciiTheme="majorEastAsia" w:hAnsiTheme="majorEastAsia" w:eastAsiaTheme="majorEastAsia" w:cstheme="majorEastAsia"/>
          <w:sz w:val="24"/>
          <w:szCs w:val="24"/>
        </w:rPr>
        <w:t>个工作日内支付合同结算价的5％（质保金）给乙方(无息)。</w:t>
      </w:r>
    </w:p>
    <w:p>
      <w:pPr>
        <w:spacing w:line="360" w:lineRule="auto"/>
        <w:ind w:firstLine="600" w:firstLineChars="250"/>
        <w:rPr>
          <w:rFonts w:ascii="宋体" w:hAnsi="宋体" w:cs="宋体"/>
          <w:sz w:val="24"/>
          <w:szCs w:val="24"/>
        </w:rPr>
      </w:pPr>
      <w:r>
        <w:rPr>
          <w:rFonts w:ascii="宋体" w:hAnsi="宋体" w:cs="宋体"/>
          <w:sz w:val="24"/>
          <w:szCs w:val="24"/>
        </w:rPr>
        <w:t>5.2.</w:t>
      </w:r>
      <w:r>
        <w:rPr>
          <w:rFonts w:hint="eastAsia" w:ascii="宋体" w:hAnsi="宋体" w:cs="宋体"/>
          <w:sz w:val="24"/>
          <w:szCs w:val="24"/>
          <w:lang w:val="en-US" w:eastAsia="zh-CN"/>
        </w:rPr>
        <w:t>5</w:t>
      </w:r>
      <w:r>
        <w:rPr>
          <w:rFonts w:hint="eastAsia" w:ascii="宋体" w:hAnsi="宋体" w:cs="宋体"/>
          <w:sz w:val="24"/>
          <w:szCs w:val="24"/>
        </w:rPr>
        <w:t>乙方收款账户：</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rPr>
        <w:t>；</w:t>
      </w:r>
    </w:p>
    <w:p>
      <w:pPr>
        <w:spacing w:line="360" w:lineRule="auto"/>
        <w:ind w:firstLine="1200" w:firstLineChars="500"/>
        <w:rPr>
          <w:rFonts w:ascii="宋体" w:hAnsi="宋体" w:cs="宋体"/>
          <w:sz w:val="24"/>
          <w:szCs w:val="24"/>
        </w:rPr>
      </w:pPr>
      <w:r>
        <w:rPr>
          <w:rFonts w:hint="eastAsia" w:ascii="宋体" w:hAnsi="宋体" w:cs="宋体"/>
          <w:sz w:val="24"/>
          <w:szCs w:val="24"/>
        </w:rPr>
        <w:t>收款账号：</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rPr>
        <w:t>；</w:t>
      </w:r>
    </w:p>
    <w:p>
      <w:pPr>
        <w:spacing w:line="360" w:lineRule="auto"/>
        <w:ind w:firstLine="1200" w:firstLineChars="500"/>
        <w:rPr>
          <w:rFonts w:ascii="宋体" w:hAnsi="宋体" w:cs="宋体"/>
          <w:sz w:val="24"/>
          <w:szCs w:val="24"/>
        </w:rPr>
      </w:pPr>
      <w:r>
        <w:rPr>
          <w:rFonts w:hint="eastAsia" w:ascii="宋体" w:hAnsi="宋体" w:cs="宋体"/>
          <w:sz w:val="24"/>
          <w:szCs w:val="24"/>
        </w:rPr>
        <w:t>开户行：</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w:t>
      </w:r>
    </w:p>
    <w:p>
      <w:pPr>
        <w:spacing w:line="360" w:lineRule="auto"/>
        <w:ind w:firstLine="480" w:firstLineChars="200"/>
        <w:rPr>
          <w:rFonts w:ascii="宋体" w:hAnsi="宋体" w:cs="宋体"/>
          <w:sz w:val="24"/>
          <w:szCs w:val="24"/>
        </w:rPr>
      </w:pPr>
      <w:r>
        <w:rPr>
          <w:rFonts w:ascii="宋体" w:hAnsi="宋体" w:cs="宋体"/>
          <w:sz w:val="24"/>
          <w:szCs w:val="24"/>
        </w:rPr>
        <w:t>5.2.</w:t>
      </w:r>
      <w:r>
        <w:rPr>
          <w:rFonts w:hint="eastAsia" w:ascii="宋体" w:hAnsi="宋体" w:cs="宋体"/>
          <w:sz w:val="24"/>
          <w:szCs w:val="24"/>
          <w:lang w:val="en-US" w:eastAsia="zh-CN"/>
        </w:rPr>
        <w:t>6</w:t>
      </w:r>
      <w:r>
        <w:rPr>
          <w:rFonts w:hint="eastAsia" w:ascii="宋体" w:hAnsi="宋体" w:cs="宋体"/>
          <w:sz w:val="24"/>
          <w:szCs w:val="24"/>
        </w:rPr>
        <w:t>乙方在收款前需向甲方提交等额增值税专用发票，增值税专用发票信息：</w:t>
      </w:r>
    </w:p>
    <w:p>
      <w:pPr>
        <w:spacing w:line="360" w:lineRule="auto"/>
        <w:rPr>
          <w:rFonts w:ascii="宋体" w:hAnsi="宋体" w:eastAsia="宋体" w:cs="宋体"/>
          <w:sz w:val="24"/>
          <w:szCs w:val="24"/>
          <w:u w:val="single"/>
        </w:rPr>
      </w:pPr>
      <w:r>
        <w:rPr>
          <w:rFonts w:hint="eastAsia" w:ascii="宋体" w:hAnsi="宋体" w:cs="宋体"/>
          <w:sz w:val="24"/>
          <w:szCs w:val="24"/>
          <w:u w:val="single"/>
        </w:rPr>
        <w:t>名称：广州市净水有限公司；税号：</w:t>
      </w:r>
      <w:r>
        <w:rPr>
          <w:rFonts w:ascii="宋体" w:hAnsi="宋体" w:cs="宋体"/>
          <w:sz w:val="24"/>
          <w:szCs w:val="24"/>
          <w:u w:val="single"/>
        </w:rPr>
        <w:t xml:space="preserve"> 91440101755584729Q </w:t>
      </w:r>
      <w:r>
        <w:rPr>
          <w:rFonts w:hint="eastAsia" w:ascii="宋体" w:hAnsi="宋体" w:cs="宋体"/>
          <w:sz w:val="24"/>
          <w:szCs w:val="24"/>
          <w:u w:val="single"/>
        </w:rPr>
        <w:t>； 地址：</w:t>
      </w:r>
      <w:r>
        <w:rPr>
          <w:rFonts w:ascii="宋体" w:hAnsi="宋体" w:cs="宋体"/>
          <w:sz w:val="24"/>
          <w:szCs w:val="24"/>
          <w:u w:val="single"/>
        </w:rPr>
        <w:t xml:space="preserve"> </w:t>
      </w:r>
      <w:r>
        <w:rPr>
          <w:rFonts w:hint="eastAsia" w:ascii="宋体" w:hAnsi="宋体" w:cs="宋体"/>
          <w:sz w:val="24"/>
          <w:szCs w:val="24"/>
          <w:u w:val="single"/>
        </w:rPr>
        <w:t>广州市天河区临江大道501号</w:t>
      </w:r>
      <w:r>
        <w:rPr>
          <w:rFonts w:ascii="宋体" w:hAnsi="宋体" w:cs="宋体"/>
          <w:sz w:val="24"/>
          <w:szCs w:val="24"/>
          <w:u w:val="single"/>
        </w:rPr>
        <w:t xml:space="preserve"> </w:t>
      </w:r>
      <w:r>
        <w:rPr>
          <w:rFonts w:hint="eastAsia" w:ascii="宋体" w:hAnsi="宋体" w:cs="宋体"/>
          <w:sz w:val="24"/>
          <w:szCs w:val="24"/>
          <w:u w:val="single"/>
        </w:rPr>
        <w:t>；</w:t>
      </w:r>
      <w:r>
        <w:rPr>
          <w:rFonts w:hint="eastAsia" w:ascii="宋体" w:hAnsi="宋体" w:eastAsia="宋体" w:cs="宋体"/>
          <w:sz w:val="24"/>
          <w:szCs w:val="24"/>
          <w:u w:val="single"/>
        </w:rPr>
        <w:t xml:space="preserve">开户行：建设银行珠江新城支行；账户：4400 1420 3140 5017 0338 。 </w:t>
      </w:r>
    </w:p>
    <w:p>
      <w:pPr>
        <w:tabs>
          <w:tab w:val="left" w:pos="851"/>
        </w:tabs>
        <w:adjustRightInd w:val="0"/>
        <w:snapToGrid w:val="0"/>
        <w:spacing w:line="360" w:lineRule="auto"/>
        <w:ind w:firstLine="480" w:firstLineChars="200"/>
        <w:outlineLvl w:val="1"/>
        <w:rPr>
          <w:rFonts w:ascii="宋体" w:hAnsi="宋体" w:cs="宋体"/>
          <w:sz w:val="24"/>
          <w:szCs w:val="24"/>
        </w:rPr>
      </w:pPr>
      <w:r>
        <w:rPr>
          <w:rFonts w:ascii="宋体" w:hAnsi="宋体" w:cs="宋体"/>
          <w:sz w:val="24"/>
          <w:szCs w:val="24"/>
        </w:rPr>
        <w:t>5.3</w:t>
      </w:r>
      <w:r>
        <w:rPr>
          <w:rFonts w:hint="eastAsia" w:ascii="宋体" w:hAnsi="宋体" w:cs="宋体"/>
          <w:sz w:val="24"/>
          <w:szCs w:val="24"/>
        </w:rPr>
        <w:t>付款方式：</w:t>
      </w:r>
      <w:r>
        <w:rPr>
          <w:rFonts w:ascii="宋体" w:hAnsi="宋体" w:cs="宋体"/>
          <w:sz w:val="24"/>
          <w:szCs w:val="24"/>
        </w:rPr>
        <w:t xml:space="preserve"> </w:t>
      </w:r>
      <w:r>
        <w:rPr>
          <w:rFonts w:ascii="宋体" w:hAnsi="宋体" w:cs="宋体"/>
          <w:sz w:val="24"/>
          <w:szCs w:val="24"/>
        </w:rPr>
        <w:sym w:font="Wingdings" w:char="00FE"/>
      </w:r>
      <w:r>
        <w:rPr>
          <w:rFonts w:hint="eastAsia" w:ascii="宋体" w:hAnsi="宋体" w:cs="宋体"/>
          <w:sz w:val="24"/>
          <w:szCs w:val="24"/>
        </w:rPr>
        <w:t>网银支付；</w:t>
      </w:r>
      <w:r>
        <w:rPr>
          <w:rFonts w:ascii="宋体" w:hAnsi="宋体" w:cs="宋体"/>
          <w:sz w:val="24"/>
          <w:szCs w:val="24"/>
        </w:rPr>
        <w:t xml:space="preserve">  </w:t>
      </w:r>
      <w:r>
        <w:rPr>
          <w:rFonts w:ascii="宋体" w:hAnsi="宋体" w:cs="宋体"/>
          <w:sz w:val="24"/>
          <w:szCs w:val="24"/>
        </w:rPr>
        <w:sym w:font="Wingdings" w:char="00A8"/>
      </w:r>
      <w:r>
        <w:rPr>
          <w:rFonts w:hint="eastAsia" w:ascii="宋体" w:hAnsi="宋体" w:cs="宋体"/>
          <w:sz w:val="24"/>
          <w:szCs w:val="24"/>
        </w:rPr>
        <w:t>支票；</w:t>
      </w:r>
      <w:r>
        <w:rPr>
          <w:rFonts w:ascii="宋体" w:hAnsi="宋体" w:cs="宋体"/>
          <w:sz w:val="24"/>
          <w:szCs w:val="24"/>
        </w:rPr>
        <w:t xml:space="preserve">   </w:t>
      </w:r>
      <w:r>
        <w:rPr>
          <w:rFonts w:ascii="宋体" w:hAnsi="宋体" w:cs="宋体"/>
          <w:sz w:val="24"/>
          <w:szCs w:val="24"/>
        </w:rPr>
        <w:sym w:font="Wingdings" w:char="00A8"/>
      </w:r>
      <w:r>
        <w:rPr>
          <w:rFonts w:hint="eastAsia" w:ascii="宋体" w:hAnsi="宋体" w:cs="宋体"/>
          <w:sz w:val="24"/>
          <w:szCs w:val="24"/>
        </w:rPr>
        <w:t>其他：</w:t>
      </w:r>
      <w:r>
        <w:rPr>
          <w:rFonts w:ascii="宋体" w:hAnsi="宋体" w:cs="宋体"/>
          <w:sz w:val="24"/>
          <w:szCs w:val="24"/>
        </w:rPr>
        <w:t xml:space="preserve">       </w:t>
      </w:r>
    </w:p>
    <w:p>
      <w:pPr>
        <w:autoSpaceDE w:val="0"/>
        <w:autoSpaceDN w:val="0"/>
        <w:adjustRightInd w:val="0"/>
        <w:spacing w:line="360" w:lineRule="auto"/>
        <w:ind w:firstLine="482" w:firstLineChars="200"/>
        <w:rPr>
          <w:rFonts w:ascii="宋体" w:hAnsi="宋体" w:cs="宋体"/>
          <w:bCs/>
          <w:sz w:val="24"/>
          <w:szCs w:val="24"/>
        </w:rPr>
      </w:pPr>
      <w:r>
        <w:rPr>
          <w:rFonts w:hint="eastAsia" w:ascii="宋体" w:hAnsi="宋体" w:cs="宋体"/>
          <w:b/>
          <w:sz w:val="24"/>
          <w:szCs w:val="24"/>
        </w:rPr>
        <w:t>第六条</w:t>
      </w:r>
      <w:r>
        <w:rPr>
          <w:rFonts w:ascii="宋体" w:hAnsi="宋体" w:cs="宋体"/>
          <w:b/>
          <w:sz w:val="24"/>
          <w:szCs w:val="24"/>
        </w:rPr>
        <w:t xml:space="preserve"> </w:t>
      </w:r>
      <w:r>
        <w:rPr>
          <w:rFonts w:hint="eastAsia" w:ascii="宋体" w:hAnsi="宋体" w:cs="宋体"/>
          <w:b/>
          <w:sz w:val="24"/>
          <w:szCs w:val="24"/>
        </w:rPr>
        <w:t>履约担保</w:t>
      </w:r>
    </w:p>
    <w:p>
      <w:pPr>
        <w:spacing w:line="360" w:lineRule="auto"/>
        <w:ind w:firstLine="480" w:firstLineChars="200"/>
        <w:outlineLvl w:val="0"/>
        <w:rPr>
          <w:rFonts w:ascii="宋体" w:hAnsi="宋体" w:cs="宋体"/>
          <w:sz w:val="24"/>
          <w:szCs w:val="24"/>
          <w:u w:val="single"/>
        </w:rPr>
      </w:pPr>
      <w:r>
        <w:rPr>
          <w:rFonts w:ascii="宋体" w:hAnsi="宋体" w:cs="宋体"/>
          <w:sz w:val="24"/>
          <w:szCs w:val="24"/>
        </w:rPr>
        <w:t>6.1</w:t>
      </w:r>
      <w:r>
        <w:rPr>
          <w:rFonts w:hint="eastAsia" w:ascii="宋体" w:hAnsi="宋体" w:cs="宋体"/>
          <w:sz w:val="24"/>
          <w:szCs w:val="24"/>
        </w:rPr>
        <w:t>履约担保：</w:t>
      </w:r>
      <w:r>
        <w:rPr>
          <w:rFonts w:hint="eastAsia" w:ascii="宋体" w:hAnsi="宋体" w:cs="宋体"/>
          <w:szCs w:val="21"/>
        </w:rPr>
        <w:sym w:font="Wingdings 2" w:char="0052"/>
      </w:r>
      <w:r>
        <w:rPr>
          <w:rFonts w:hint="eastAsia" w:ascii="宋体" w:hAnsi="宋体" w:cs="宋体"/>
          <w:bCs/>
          <w:sz w:val="24"/>
          <w:szCs w:val="24"/>
        </w:rPr>
        <w:t>无；</w:t>
      </w:r>
      <w:r>
        <w:rPr>
          <w:rFonts w:ascii="宋体" w:hAnsi="宋体" w:cs="宋体"/>
          <w:bCs/>
          <w:sz w:val="24"/>
          <w:szCs w:val="24"/>
        </w:rPr>
        <w:t xml:space="preserve">   </w:t>
      </w:r>
      <w:r>
        <w:rPr>
          <w:rFonts w:hint="eastAsia" w:ascii="宋体" w:hAnsi="宋体" w:cs="宋体"/>
          <w:szCs w:val="21"/>
        </w:rPr>
        <w:t>□</w:t>
      </w:r>
      <w:r>
        <w:rPr>
          <w:rFonts w:ascii="宋体" w:hAnsi="宋体" w:cs="宋体"/>
          <w:bCs/>
          <w:sz w:val="24"/>
          <w:szCs w:val="24"/>
        </w:rPr>
        <w:t xml:space="preserve"> </w:t>
      </w:r>
      <w:r>
        <w:rPr>
          <w:rFonts w:hint="eastAsia" w:ascii="宋体" w:hAnsi="宋体" w:cs="宋体"/>
          <w:bCs/>
          <w:sz w:val="24"/>
          <w:szCs w:val="24"/>
        </w:rPr>
        <w:t>有，</w:t>
      </w:r>
      <w:r>
        <w:rPr>
          <w:rFonts w:hint="eastAsia" w:ascii="宋体" w:hAnsi="宋体" w:cs="宋体"/>
          <w:sz w:val="24"/>
          <w:szCs w:val="24"/>
        </w:rPr>
        <w:t>本合同签订后</w:t>
      </w:r>
      <w:r>
        <w:rPr>
          <w:rFonts w:ascii="宋体" w:hAnsi="宋体" w:cs="宋体"/>
          <w:sz w:val="24"/>
          <w:szCs w:val="24"/>
        </w:rPr>
        <w:t>10</w:t>
      </w:r>
      <w:r>
        <w:rPr>
          <w:rFonts w:hint="eastAsia" w:ascii="宋体" w:hAnsi="宋体" w:cs="宋体"/>
          <w:sz w:val="24"/>
          <w:szCs w:val="24"/>
        </w:rPr>
        <w:t>日内</w:t>
      </w:r>
      <w:r>
        <w:rPr>
          <w:rFonts w:hint="eastAsia" w:ascii="宋体" w:hAnsi="宋体" w:cs="宋体"/>
          <w:sz w:val="24"/>
          <w:szCs w:val="24"/>
          <w:u w:val="single"/>
        </w:rPr>
        <w:t>以合同暂定总价的</w:t>
      </w:r>
      <w:r>
        <w:rPr>
          <w:rFonts w:ascii="宋体" w:hAnsi="宋体" w:cs="宋体"/>
          <w:sz w:val="24"/>
          <w:szCs w:val="24"/>
          <w:u w:val="single"/>
        </w:rPr>
        <w:t>10%作为履约保证金</w:t>
      </w:r>
      <w:r>
        <w:rPr>
          <w:rFonts w:hint="eastAsia" w:ascii="宋体" w:hAnsi="宋体" w:cs="宋体"/>
          <w:sz w:val="24"/>
          <w:szCs w:val="24"/>
          <w:u w:val="single"/>
        </w:rPr>
        <w:t>，</w:t>
      </w:r>
      <w:r>
        <w:rPr>
          <w:rFonts w:hint="eastAsia" w:ascii="宋体" w:hAnsi="宋体" w:cs="宋体"/>
          <w:sz w:val="24"/>
          <w:szCs w:val="24"/>
        </w:rPr>
        <w:t>金额为：</w:t>
      </w:r>
      <w:r>
        <w:rPr>
          <w:rFonts w:ascii="宋体" w:hAnsi="宋体" w:cs="宋体"/>
          <w:sz w:val="24"/>
          <w:szCs w:val="24"/>
          <w:u w:val="single"/>
        </w:rPr>
        <w:t xml:space="preserve"> </w:t>
      </w:r>
      <w:r>
        <w:rPr>
          <w:rFonts w:hint="eastAsia" w:ascii="宋体" w:hAnsi="宋体" w:cs="宋体"/>
          <w:sz w:val="24"/>
          <w:szCs w:val="24"/>
          <w:u w:val="single"/>
        </w:rPr>
        <w:t>…（大写人民币：</w:t>
      </w:r>
      <w:r>
        <w:rPr>
          <w:rFonts w:ascii="宋体" w:hAnsi="宋体" w:cs="宋体"/>
          <w:sz w:val="24"/>
          <w:szCs w:val="24"/>
          <w:u w:val="single"/>
        </w:rPr>
        <w:t xml:space="preserve"> </w:t>
      </w:r>
      <w:r>
        <w:rPr>
          <w:rFonts w:hint="eastAsia" w:ascii="宋体" w:hAnsi="宋体" w:cs="宋体"/>
          <w:sz w:val="24"/>
          <w:szCs w:val="24"/>
          <w:u w:val="single"/>
        </w:rPr>
        <w:t>…</w:t>
      </w:r>
      <w:r>
        <w:rPr>
          <w:rFonts w:ascii="宋体" w:hAnsi="宋体" w:cs="宋体"/>
          <w:sz w:val="24"/>
          <w:szCs w:val="24"/>
          <w:u w:val="single"/>
        </w:rPr>
        <w:t xml:space="preserve">  </w:t>
      </w:r>
      <w:r>
        <w:rPr>
          <w:rFonts w:hint="eastAsia" w:ascii="宋体" w:hAnsi="宋体" w:cs="宋体"/>
          <w:sz w:val="24"/>
          <w:szCs w:val="24"/>
          <w:u w:val="single"/>
        </w:rPr>
        <w:t>）。</w:t>
      </w:r>
    </w:p>
    <w:p>
      <w:pPr>
        <w:pStyle w:val="21"/>
        <w:spacing w:before="0" w:beforeAutospacing="0" w:after="0" w:afterAutospacing="0" w:line="360" w:lineRule="auto"/>
        <w:ind w:firstLine="480"/>
        <w:rPr>
          <w:rFonts w:cs="宋体"/>
        </w:rPr>
      </w:pPr>
      <w:r>
        <w:rPr>
          <w:rFonts w:cs="宋体"/>
        </w:rPr>
        <w:t>6.2履约担保</w:t>
      </w:r>
      <w:r>
        <w:rPr>
          <w:rFonts w:hint="eastAsia" w:cs="宋体"/>
        </w:rPr>
        <w:t>按以下任一种形式提供</w:t>
      </w:r>
      <w:r>
        <w:rPr>
          <w:rFonts w:cs="宋体"/>
        </w:rPr>
        <w:t>：</w:t>
      </w:r>
    </w:p>
    <w:p>
      <w:pPr>
        <w:pStyle w:val="21"/>
        <w:spacing w:before="0" w:beforeAutospacing="0" w:after="0" w:afterAutospacing="0" w:line="360" w:lineRule="auto"/>
        <w:ind w:firstLine="480"/>
        <w:rPr>
          <w:rFonts w:cs="宋体"/>
        </w:rPr>
      </w:pPr>
      <w:r>
        <w:rPr>
          <w:rFonts w:hint="eastAsia" w:cs="宋体"/>
        </w:rPr>
        <w:t>1、符合甲方要求（详见附件6保函格式）的银行独立保函，</w:t>
      </w:r>
    </w:p>
    <w:p>
      <w:pPr>
        <w:pStyle w:val="21"/>
        <w:spacing w:before="0" w:beforeAutospacing="0" w:after="0" w:afterAutospacing="0" w:line="360" w:lineRule="auto"/>
        <w:ind w:firstLine="480"/>
        <w:rPr>
          <w:rFonts w:cs="宋体"/>
        </w:rPr>
      </w:pPr>
      <w:r>
        <w:rPr>
          <w:rFonts w:hint="eastAsia" w:cs="宋体"/>
        </w:rPr>
        <w:t>2、现金转账至甲方以下指定账户：</w:t>
      </w:r>
    </w:p>
    <w:p>
      <w:pPr>
        <w:tabs>
          <w:tab w:val="left" w:pos="1995"/>
        </w:tabs>
        <w:spacing w:line="360" w:lineRule="auto"/>
        <w:ind w:firstLine="480" w:firstLineChars="200"/>
        <w:rPr>
          <w:rFonts w:ascii="宋体" w:hAnsi="宋体" w:cs="宋体"/>
          <w:bCs/>
          <w:sz w:val="24"/>
          <w:szCs w:val="24"/>
        </w:rPr>
      </w:pPr>
      <w:r>
        <w:rPr>
          <w:rFonts w:hint="eastAsia" w:ascii="宋体" w:hAnsi="宋体" w:cs="宋体"/>
          <w:bCs/>
          <w:sz w:val="24"/>
          <w:szCs w:val="24"/>
        </w:rPr>
        <w:t>户名：广州市净水有限公司</w:t>
      </w:r>
    </w:p>
    <w:p>
      <w:pPr>
        <w:tabs>
          <w:tab w:val="left" w:pos="1995"/>
        </w:tabs>
        <w:spacing w:line="360" w:lineRule="auto"/>
        <w:ind w:firstLine="480" w:firstLineChars="200"/>
        <w:rPr>
          <w:rFonts w:ascii="宋体" w:hAnsi="宋体" w:cs="宋体"/>
          <w:bCs/>
          <w:sz w:val="24"/>
          <w:szCs w:val="24"/>
        </w:rPr>
      </w:pPr>
      <w:r>
        <w:rPr>
          <w:rFonts w:hint="eastAsia" w:ascii="宋体" w:hAnsi="宋体" w:cs="宋体"/>
          <w:bCs/>
          <w:sz w:val="24"/>
          <w:szCs w:val="24"/>
        </w:rPr>
        <w:t>账号：</w:t>
      </w:r>
      <w:r>
        <w:rPr>
          <w:rFonts w:ascii="宋体" w:hAnsi="宋体" w:cs="宋体"/>
          <w:bCs/>
          <w:sz w:val="24"/>
          <w:szCs w:val="24"/>
        </w:rPr>
        <w:t>82010154900000342</w:t>
      </w:r>
    </w:p>
    <w:p>
      <w:pPr>
        <w:tabs>
          <w:tab w:val="left" w:pos="1995"/>
        </w:tabs>
        <w:spacing w:line="360" w:lineRule="auto"/>
        <w:ind w:firstLine="480" w:firstLineChars="200"/>
        <w:rPr>
          <w:rFonts w:ascii="宋体" w:hAnsi="宋体" w:cs="宋体"/>
          <w:bCs/>
          <w:sz w:val="24"/>
          <w:szCs w:val="24"/>
        </w:rPr>
      </w:pPr>
      <w:r>
        <w:rPr>
          <w:rFonts w:hint="eastAsia" w:ascii="宋体" w:hAnsi="宋体" w:cs="宋体"/>
          <w:bCs/>
          <w:sz w:val="24"/>
          <w:szCs w:val="24"/>
        </w:rPr>
        <w:t>开户行：浦发银行广州分行</w:t>
      </w:r>
    </w:p>
    <w:p>
      <w:pPr>
        <w:spacing w:line="360" w:lineRule="auto"/>
        <w:ind w:firstLine="480"/>
        <w:outlineLvl w:val="0"/>
        <w:rPr>
          <w:rFonts w:ascii="宋体" w:hAnsi="宋体" w:cs="宋体"/>
          <w:sz w:val="24"/>
          <w:szCs w:val="24"/>
        </w:rPr>
      </w:pPr>
      <w:r>
        <w:rPr>
          <w:rFonts w:ascii="宋体" w:hAnsi="宋体" w:cs="宋体"/>
          <w:sz w:val="24"/>
          <w:szCs w:val="24"/>
        </w:rPr>
        <w:t>6.3</w:t>
      </w:r>
      <w:r>
        <w:rPr>
          <w:rFonts w:hint="eastAsia" w:ascii="宋体" w:hAnsi="宋体" w:cs="宋体"/>
          <w:sz w:val="24"/>
          <w:szCs w:val="24"/>
        </w:rPr>
        <w:t>履约担保的担保期限和返还</w:t>
      </w:r>
    </w:p>
    <w:p>
      <w:pPr>
        <w:spacing w:line="360" w:lineRule="auto"/>
        <w:ind w:firstLine="480"/>
        <w:outlineLvl w:val="0"/>
        <w:rPr>
          <w:rFonts w:ascii="宋体" w:hAnsi="宋体" w:cs="宋体"/>
          <w:sz w:val="24"/>
          <w:szCs w:val="24"/>
        </w:rPr>
      </w:pPr>
      <w:r>
        <w:rPr>
          <w:rFonts w:ascii="宋体" w:hAnsi="宋体" w:cs="宋体"/>
          <w:sz w:val="24"/>
          <w:szCs w:val="24"/>
        </w:rPr>
        <w:t>6.3.1</w:t>
      </w:r>
      <w:r>
        <w:rPr>
          <w:rFonts w:hint="eastAsia" w:ascii="宋体" w:hAnsi="宋体" w:cs="宋体"/>
          <w:sz w:val="24"/>
        </w:rPr>
        <w:t>履约银行保函（或现金履约保证金）的担保期限：从提供履约担保（或转账成功）之日起至合同履行完成。</w:t>
      </w:r>
    </w:p>
    <w:p>
      <w:pPr>
        <w:spacing w:line="360" w:lineRule="auto"/>
        <w:ind w:firstLine="480" w:firstLineChars="200"/>
        <w:rPr>
          <w:rFonts w:ascii="宋体" w:hAnsi="宋体" w:cs="宋体"/>
          <w:sz w:val="24"/>
          <w:szCs w:val="24"/>
        </w:rPr>
      </w:pPr>
      <w:r>
        <w:rPr>
          <w:rFonts w:ascii="宋体" w:hAnsi="宋体" w:cs="宋体"/>
          <w:sz w:val="24"/>
          <w:szCs w:val="24"/>
        </w:rPr>
        <w:t>6.3.2</w:t>
      </w:r>
      <w:r>
        <w:rPr>
          <w:rFonts w:hint="eastAsia" w:ascii="宋体" w:hAnsi="宋体" w:cs="宋体"/>
          <w:sz w:val="24"/>
        </w:rPr>
        <w:t>履约银行保函在合同履行完成后，由乙方提出申请，甲方在28日内返还，不支付利息；</w:t>
      </w:r>
      <w:r>
        <w:rPr>
          <w:rFonts w:ascii="宋体" w:hAnsi="宋体" w:cs="宋体"/>
          <w:sz w:val="24"/>
          <w:szCs w:val="24"/>
        </w:rPr>
        <w:t xml:space="preserve"> </w:t>
      </w:r>
    </w:p>
    <w:p>
      <w:pPr>
        <w:spacing w:line="360" w:lineRule="auto"/>
        <w:ind w:firstLine="480" w:firstLineChars="200"/>
        <w:outlineLvl w:val="0"/>
        <w:rPr>
          <w:rFonts w:ascii="宋体" w:hAnsi="宋体" w:cs="宋体"/>
          <w:sz w:val="24"/>
          <w:szCs w:val="24"/>
        </w:rPr>
      </w:pPr>
      <w:r>
        <w:rPr>
          <w:rFonts w:ascii="宋体" w:hAnsi="宋体" w:cs="宋体"/>
          <w:sz w:val="24"/>
          <w:szCs w:val="24"/>
        </w:rPr>
        <w:t>6.3.3</w:t>
      </w:r>
      <w:r>
        <w:rPr>
          <w:rFonts w:hint="eastAsia" w:ascii="宋体" w:hAnsi="宋体" w:cs="宋体"/>
          <w:sz w:val="24"/>
          <w:szCs w:val="24"/>
        </w:rPr>
        <w:t>延长担保期限。履约银行保函形式提交履约保证金的，在银行保函到期前，乙方应提前</w:t>
      </w:r>
      <w:r>
        <w:rPr>
          <w:rFonts w:ascii="宋体" w:hAnsi="宋体" w:cs="宋体"/>
          <w:sz w:val="24"/>
          <w:szCs w:val="24"/>
          <w:u w:val="single"/>
        </w:rPr>
        <w:t xml:space="preserve"> 7 </w:t>
      </w:r>
      <w:r>
        <w:rPr>
          <w:rFonts w:ascii="宋体" w:hAnsi="宋体" w:cs="宋体"/>
          <w:sz w:val="24"/>
          <w:szCs w:val="24"/>
        </w:rPr>
        <w:t>天向甲方提交新的保函以替换即将到期的保函</w:t>
      </w:r>
      <w:r>
        <w:rPr>
          <w:rFonts w:hint="eastAsia" w:ascii="宋体" w:hAnsi="宋体" w:cs="宋体"/>
          <w:sz w:val="24"/>
          <w:szCs w:val="24"/>
        </w:rPr>
        <w:t>。如乙方未及时提交的，甲方有权直接要求担保银行支付其担保的全部金额并解除合同。</w:t>
      </w:r>
    </w:p>
    <w:p>
      <w:pPr>
        <w:pStyle w:val="21"/>
        <w:spacing w:before="0" w:beforeAutospacing="0" w:after="0" w:afterAutospacing="0" w:line="360" w:lineRule="auto"/>
        <w:ind w:firstLine="525"/>
        <w:rPr>
          <w:rFonts w:cs="宋体"/>
        </w:rPr>
      </w:pPr>
      <w:r>
        <w:rPr>
          <w:rFonts w:cs="宋体"/>
        </w:rPr>
        <w:t>6.3.4</w:t>
      </w:r>
      <w:r>
        <w:rPr>
          <w:rFonts w:hint="eastAsia" w:cs="宋体"/>
        </w:rPr>
        <w:t>现金履约保证金的退还：合同履行完成后，由乙方提出申请，甲方在</w:t>
      </w:r>
      <w:r>
        <w:rPr>
          <w:rFonts w:cs="宋体"/>
        </w:rPr>
        <w:t>28</w:t>
      </w:r>
      <w:r>
        <w:rPr>
          <w:rFonts w:hint="eastAsia" w:cs="宋体"/>
        </w:rPr>
        <w:t>天</w:t>
      </w:r>
      <w:r>
        <w:rPr>
          <w:rFonts w:cs="宋体"/>
        </w:rPr>
        <w:t>内</w:t>
      </w:r>
      <w:r>
        <w:rPr>
          <w:rFonts w:hint="eastAsia" w:cs="宋体"/>
        </w:rPr>
        <w:t>将剩余履约保证金（无息）返还。</w:t>
      </w:r>
    </w:p>
    <w:p>
      <w:pPr>
        <w:spacing w:line="360" w:lineRule="auto"/>
        <w:ind w:firstLine="480" w:firstLineChars="200"/>
        <w:rPr>
          <w:rFonts w:ascii="宋体" w:hAnsi="宋体" w:cs="宋体"/>
          <w:sz w:val="24"/>
          <w:szCs w:val="24"/>
        </w:rPr>
      </w:pPr>
      <w:r>
        <w:rPr>
          <w:rFonts w:ascii="宋体" w:hAnsi="宋体" w:cs="宋体"/>
          <w:sz w:val="24"/>
          <w:szCs w:val="24"/>
        </w:rPr>
        <w:t>6.3.5</w:t>
      </w:r>
      <w:r>
        <w:rPr>
          <w:rFonts w:hint="eastAsia" w:ascii="宋体" w:hAnsi="宋体" w:cs="宋体"/>
          <w:sz w:val="24"/>
          <w:szCs w:val="24"/>
        </w:rPr>
        <w:t>甲方按合同约定提取履约担保金额后，乙方应在收到甲方通知后</w:t>
      </w:r>
      <w:r>
        <w:rPr>
          <w:rFonts w:ascii="宋体" w:hAnsi="宋体" w:cs="宋体"/>
          <w:sz w:val="24"/>
          <w:szCs w:val="24"/>
          <w:u w:val="single"/>
        </w:rPr>
        <w:t xml:space="preserve"> 7 </w:t>
      </w:r>
      <w:r>
        <w:rPr>
          <w:rFonts w:hint="eastAsia" w:ascii="宋体" w:hAnsi="宋体" w:cs="宋体"/>
          <w:sz w:val="24"/>
          <w:szCs w:val="24"/>
        </w:rPr>
        <w:t>天内补足数额，逾期未补足，则甲方有权提取履约担保的全部余额并解除合同。</w:t>
      </w:r>
    </w:p>
    <w:bookmarkEnd w:id="103"/>
    <w:bookmarkEnd w:id="104"/>
    <w:p>
      <w:pPr>
        <w:spacing w:line="360" w:lineRule="auto"/>
        <w:ind w:firstLine="482" w:firstLineChars="200"/>
        <w:rPr>
          <w:rFonts w:ascii="宋体" w:hAnsi="宋体" w:cs="宋体"/>
          <w:b/>
          <w:sz w:val="24"/>
          <w:szCs w:val="24"/>
        </w:rPr>
      </w:pPr>
      <w:r>
        <w:rPr>
          <w:rFonts w:hint="eastAsia" w:ascii="宋体" w:hAnsi="宋体" w:cs="宋体"/>
          <w:b/>
          <w:bCs/>
          <w:kern w:val="0"/>
          <w:sz w:val="24"/>
          <w:szCs w:val="24"/>
        </w:rPr>
        <w:t>第七条</w:t>
      </w:r>
      <w:r>
        <w:rPr>
          <w:rFonts w:ascii="宋体" w:hAnsi="宋体" w:cs="宋体"/>
          <w:b/>
          <w:bCs/>
          <w:kern w:val="0"/>
          <w:sz w:val="24"/>
          <w:szCs w:val="24"/>
        </w:rPr>
        <w:t xml:space="preserve"> </w:t>
      </w:r>
      <w:r>
        <w:rPr>
          <w:rFonts w:hint="eastAsia" w:ascii="宋体" w:hAnsi="宋体" w:cs="宋体"/>
          <w:b/>
          <w:sz w:val="24"/>
          <w:szCs w:val="24"/>
        </w:rPr>
        <w:t>交货及检验要求</w:t>
      </w:r>
    </w:p>
    <w:p>
      <w:pPr>
        <w:autoSpaceDE w:val="0"/>
        <w:autoSpaceDN w:val="0"/>
        <w:adjustRightInd w:val="0"/>
        <w:spacing w:line="360" w:lineRule="auto"/>
        <w:ind w:firstLine="480" w:firstLineChars="200"/>
        <w:rPr>
          <w:rFonts w:ascii="宋体" w:hAnsi="宋体" w:cs="宋体"/>
          <w:bCs/>
          <w:sz w:val="24"/>
          <w:szCs w:val="24"/>
        </w:rPr>
      </w:pPr>
      <w:r>
        <w:rPr>
          <w:rFonts w:ascii="宋体" w:hAnsi="宋体" w:cs="宋体"/>
          <w:bCs/>
          <w:sz w:val="24"/>
          <w:szCs w:val="24"/>
        </w:rPr>
        <w:t xml:space="preserve">7.1 </w:t>
      </w:r>
      <w:r>
        <w:rPr>
          <w:rFonts w:hint="eastAsia" w:ascii="宋体" w:hAnsi="宋体" w:cs="宋体"/>
          <w:bCs/>
          <w:sz w:val="24"/>
          <w:szCs w:val="24"/>
        </w:rPr>
        <w:t>交货要求：乙方应在交货时向甲方提供出厂合格证、产品质量证明文件、操作维修手册等（手册应包含设备情况、系统和主要部件常见故障、保养要求、紧急维修电话等内容）。</w:t>
      </w:r>
    </w:p>
    <w:p>
      <w:pPr>
        <w:spacing w:line="360" w:lineRule="auto"/>
        <w:ind w:firstLine="480" w:firstLineChars="200"/>
        <w:rPr>
          <w:rFonts w:ascii="宋体" w:hAnsi="宋体" w:cs="宋体"/>
          <w:bCs/>
          <w:sz w:val="24"/>
          <w:szCs w:val="24"/>
        </w:rPr>
      </w:pPr>
      <w:r>
        <w:rPr>
          <w:rFonts w:ascii="宋体" w:hAnsi="宋体" w:cs="宋体"/>
          <w:bCs/>
          <w:sz w:val="24"/>
          <w:szCs w:val="24"/>
        </w:rPr>
        <w:t>7.2</w:t>
      </w:r>
      <w:r>
        <w:rPr>
          <w:rFonts w:hint="eastAsia" w:ascii="宋体" w:hAnsi="宋体" w:cs="宋体"/>
          <w:bCs/>
          <w:sz w:val="24"/>
          <w:szCs w:val="24"/>
        </w:rPr>
        <w:t>外观验收：设备运抵交货地点后，甲乙双方根据合同约定对合同设备的包装、外观与件数进行清点检查，并共同签署合同设备外观检查记录。</w:t>
      </w:r>
    </w:p>
    <w:p>
      <w:pPr>
        <w:spacing w:line="360" w:lineRule="auto"/>
        <w:ind w:firstLine="480" w:firstLineChars="200"/>
        <w:rPr>
          <w:rFonts w:ascii="宋体" w:hAnsi="宋体" w:cs="宋体"/>
          <w:sz w:val="24"/>
          <w:szCs w:val="24"/>
        </w:rPr>
      </w:pPr>
      <w:r>
        <w:rPr>
          <w:rFonts w:ascii="宋体" w:hAnsi="宋体" w:cs="宋体"/>
          <w:bCs/>
          <w:sz w:val="24"/>
          <w:szCs w:val="24"/>
        </w:rPr>
        <w:t xml:space="preserve">7.3 </w:t>
      </w:r>
      <w:r>
        <w:rPr>
          <w:rFonts w:hint="eastAsia" w:ascii="宋体" w:hAnsi="宋体" w:cs="宋体"/>
          <w:bCs/>
          <w:sz w:val="24"/>
          <w:szCs w:val="24"/>
        </w:rPr>
        <w:t>开箱验收：开箱检验在合同设备交付地点进行，</w:t>
      </w:r>
      <w:r>
        <w:rPr>
          <w:rFonts w:hint="eastAsia" w:ascii="宋体" w:hAnsi="宋体" w:cs="宋体"/>
          <w:sz w:val="24"/>
          <w:szCs w:val="24"/>
        </w:rPr>
        <w:t>包括但不限于对合同设备数量、规格、外观完好性进行检验。经验收合格后，甲方签发开箱检验合格证明。开箱验收合格前，设备的损坏风险由乙方承担。</w:t>
      </w:r>
    </w:p>
    <w:p>
      <w:pPr>
        <w:adjustRightInd w:val="0"/>
        <w:snapToGrid w:val="0"/>
        <w:spacing w:line="360" w:lineRule="auto"/>
        <w:rPr>
          <w:rFonts w:ascii="宋体" w:hAnsi="宋体" w:cs="宋体"/>
          <w:sz w:val="24"/>
          <w:szCs w:val="24"/>
        </w:rPr>
      </w:pPr>
      <w:r>
        <w:rPr>
          <w:rFonts w:ascii="宋体" w:hAnsi="宋体" w:cs="宋体"/>
          <w:sz w:val="24"/>
          <w:szCs w:val="24"/>
        </w:rPr>
        <w:t xml:space="preserve">    7.4</w:t>
      </w:r>
      <w:r>
        <w:rPr>
          <w:rFonts w:hint="eastAsia" w:ascii="宋体" w:hAnsi="宋体" w:cs="宋体"/>
          <w:sz w:val="24"/>
          <w:szCs w:val="24"/>
        </w:rPr>
        <w:t>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sz w:val="24"/>
          <w:szCs w:val="24"/>
        </w:rPr>
      </w:pPr>
      <w:r>
        <w:rPr>
          <w:rFonts w:ascii="宋体" w:hAnsi="宋体" w:cs="宋体"/>
          <w:sz w:val="24"/>
          <w:szCs w:val="24"/>
        </w:rPr>
        <w:t xml:space="preserve">    7.5</w:t>
      </w:r>
      <w:r>
        <w:rPr>
          <w:rFonts w:hint="eastAsia" w:ascii="宋体" w:hAnsi="宋体" w:cs="宋体"/>
          <w:sz w:val="24"/>
          <w:szCs w:val="24"/>
        </w:rPr>
        <w:t>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w:t>
      </w:r>
      <w:r>
        <w:rPr>
          <w:rFonts w:ascii="宋体" w:hAnsi="宋体" w:cs="宋体"/>
          <w:sz w:val="24"/>
          <w:szCs w:val="24"/>
        </w:rPr>
        <w:t>7.4</w:t>
      </w:r>
      <w:r>
        <w:rPr>
          <w:rFonts w:hint="eastAsia" w:ascii="宋体" w:hAnsi="宋体" w:cs="宋体"/>
          <w:sz w:val="24"/>
          <w:szCs w:val="24"/>
        </w:rPr>
        <w:t>条执行，交货时间不顺延。</w:t>
      </w:r>
    </w:p>
    <w:p>
      <w:pPr>
        <w:spacing w:line="360" w:lineRule="auto"/>
        <w:rPr>
          <w:rFonts w:ascii="宋体" w:hAnsi="宋体" w:cs="宋体"/>
          <w:sz w:val="24"/>
          <w:szCs w:val="24"/>
        </w:rPr>
      </w:pPr>
      <w:r>
        <w:rPr>
          <w:rFonts w:ascii="宋体" w:hAnsi="宋体" w:cs="宋体"/>
          <w:sz w:val="24"/>
          <w:szCs w:val="24"/>
        </w:rPr>
        <w:t xml:space="preserve">    7.6 </w:t>
      </w:r>
      <w:r>
        <w:rPr>
          <w:rFonts w:hint="eastAsia" w:ascii="宋体" w:hAnsi="宋体" w:cs="宋体"/>
          <w:sz w:val="24"/>
          <w:szCs w:val="24"/>
        </w:rPr>
        <w:t>甲方有权对合同设备进行原厂正品验证，若合同设备无法获原厂验证，甲方有权退回设备，要求乙方在</w:t>
      </w:r>
      <w:r>
        <w:rPr>
          <w:rFonts w:ascii="宋体" w:hAnsi="宋体" w:cs="宋体"/>
          <w:sz w:val="24"/>
          <w:szCs w:val="24"/>
          <w:u w:val="single"/>
        </w:rPr>
        <w:t xml:space="preserve"> 5 </w:t>
      </w:r>
      <w:r>
        <w:rPr>
          <w:rFonts w:hint="eastAsia" w:ascii="宋体" w:hAnsi="宋体" w:cs="宋体"/>
          <w:sz w:val="24"/>
          <w:szCs w:val="24"/>
        </w:rPr>
        <w:t>个工作日内退回已支付款项并按设备价格的</w:t>
      </w:r>
      <w:r>
        <w:rPr>
          <w:rFonts w:ascii="宋体" w:hAnsi="宋体" w:cs="宋体"/>
          <w:sz w:val="24"/>
          <w:szCs w:val="24"/>
          <w:u w:val="single"/>
        </w:rPr>
        <w:t xml:space="preserve"> </w:t>
      </w:r>
      <w:r>
        <w:rPr>
          <w:rFonts w:hint="eastAsia" w:ascii="宋体" w:hAnsi="宋体" w:cs="宋体"/>
          <w:sz w:val="24"/>
          <w:szCs w:val="24"/>
          <w:u w:val="single"/>
        </w:rPr>
        <w:t>50</w:t>
      </w:r>
      <w:r>
        <w:rPr>
          <w:rFonts w:ascii="宋体" w:hAnsi="宋体" w:cs="宋体"/>
          <w:sz w:val="24"/>
          <w:szCs w:val="24"/>
          <w:u w:val="single"/>
        </w:rPr>
        <w:t xml:space="preserve"> </w:t>
      </w:r>
      <w:r>
        <w:rPr>
          <w:rFonts w:ascii="宋体" w:hAnsi="宋体" w:cs="宋体"/>
          <w:sz w:val="24"/>
          <w:szCs w:val="24"/>
        </w:rPr>
        <w:t>%</w:t>
      </w:r>
      <w:r>
        <w:rPr>
          <w:rFonts w:hint="eastAsia" w:ascii="宋体" w:hAnsi="宋体" w:cs="宋体"/>
          <w:sz w:val="24"/>
          <w:szCs w:val="24"/>
        </w:rPr>
        <w:t>支付违约金。</w:t>
      </w:r>
    </w:p>
    <w:bookmarkEnd w:id="91"/>
    <w:bookmarkEnd w:id="92"/>
    <w:bookmarkEnd w:id="93"/>
    <w:bookmarkEnd w:id="94"/>
    <w:bookmarkEnd w:id="95"/>
    <w:bookmarkEnd w:id="96"/>
    <w:bookmarkEnd w:id="97"/>
    <w:p>
      <w:pPr>
        <w:spacing w:before="120" w:after="120" w:line="360" w:lineRule="auto"/>
        <w:ind w:firstLine="482" w:firstLineChars="200"/>
        <w:rPr>
          <w:rFonts w:ascii="宋体" w:hAnsi="宋体" w:cs="宋体"/>
          <w:b/>
          <w:sz w:val="24"/>
          <w:szCs w:val="24"/>
        </w:rPr>
      </w:pPr>
      <w:bookmarkStart w:id="105" w:name="_Toc520190030"/>
      <w:bookmarkStart w:id="106" w:name="_Toc474245215"/>
      <w:bookmarkStart w:id="107" w:name="_Toc518992990"/>
      <w:bookmarkStart w:id="108" w:name="_Toc183666534"/>
      <w:bookmarkStart w:id="109" w:name="_Toc257"/>
      <w:r>
        <w:rPr>
          <w:rFonts w:hint="eastAsia" w:ascii="宋体" w:hAnsi="宋体" w:cs="宋体"/>
          <w:b/>
          <w:sz w:val="24"/>
          <w:szCs w:val="24"/>
        </w:rPr>
        <w:t>第八条</w:t>
      </w:r>
      <w:r>
        <w:rPr>
          <w:rFonts w:ascii="宋体" w:hAnsi="宋体" w:cs="宋体"/>
          <w:b/>
          <w:sz w:val="24"/>
          <w:szCs w:val="24"/>
        </w:rPr>
        <w:t xml:space="preserve"> </w:t>
      </w:r>
      <w:r>
        <w:rPr>
          <w:rFonts w:hint="eastAsia" w:ascii="宋体" w:hAnsi="宋体" w:cs="宋体"/>
          <w:b/>
          <w:sz w:val="24"/>
          <w:szCs w:val="24"/>
        </w:rPr>
        <w:t>包装</w:t>
      </w:r>
      <w:bookmarkEnd w:id="105"/>
      <w:bookmarkEnd w:id="106"/>
      <w:bookmarkEnd w:id="107"/>
      <w:r>
        <w:rPr>
          <w:rFonts w:hint="eastAsia" w:ascii="宋体" w:hAnsi="宋体" w:cs="宋体"/>
          <w:b/>
          <w:sz w:val="24"/>
          <w:szCs w:val="24"/>
        </w:rPr>
        <w:t>、标示及运输要求</w:t>
      </w:r>
    </w:p>
    <w:p>
      <w:pPr>
        <w:spacing w:line="360" w:lineRule="auto"/>
        <w:ind w:firstLine="482"/>
        <w:rPr>
          <w:rFonts w:ascii="宋体" w:hAnsi="宋体" w:cs="宋体"/>
          <w:bCs/>
          <w:sz w:val="24"/>
          <w:szCs w:val="24"/>
        </w:rPr>
      </w:pPr>
      <w:r>
        <w:rPr>
          <w:rFonts w:ascii="宋体" w:hAnsi="宋体" w:cs="宋体"/>
          <w:bCs/>
          <w:sz w:val="24"/>
          <w:szCs w:val="24"/>
        </w:rPr>
        <w:t xml:space="preserve">8.1 </w:t>
      </w:r>
      <w:r>
        <w:rPr>
          <w:rFonts w:hint="eastAsia" w:ascii="宋体" w:hAnsi="宋体" w:cs="宋体"/>
          <w:bCs/>
          <w:sz w:val="24"/>
          <w:szCs w:val="24"/>
        </w:rPr>
        <w:t>包装</w:t>
      </w:r>
    </w:p>
    <w:p>
      <w:pPr>
        <w:spacing w:line="360" w:lineRule="auto"/>
        <w:ind w:firstLine="482"/>
        <w:rPr>
          <w:rFonts w:ascii="宋体" w:hAnsi="宋体" w:cs="宋体"/>
          <w:bCs/>
          <w:sz w:val="24"/>
          <w:szCs w:val="24"/>
        </w:rPr>
      </w:pPr>
      <w:r>
        <w:rPr>
          <w:rFonts w:ascii="宋体" w:hAnsi="宋体" w:cs="宋体"/>
          <w:bCs/>
          <w:sz w:val="24"/>
          <w:szCs w:val="24"/>
        </w:rPr>
        <w:t>8.1.1</w:t>
      </w:r>
      <w:r>
        <w:rPr>
          <w:rFonts w:hint="eastAsia" w:ascii="宋体" w:hAnsi="宋体" w:cs="宋体"/>
          <w:bCs/>
          <w:sz w:val="24"/>
          <w:szCs w:val="24"/>
        </w:rPr>
        <w:t>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ascii="宋体" w:hAnsi="宋体" w:cs="宋体"/>
          <w:bCs/>
          <w:sz w:val="24"/>
          <w:szCs w:val="24"/>
        </w:rPr>
      </w:pPr>
      <w:r>
        <w:rPr>
          <w:rFonts w:ascii="宋体" w:hAnsi="宋体" w:cs="宋体"/>
          <w:bCs/>
          <w:sz w:val="24"/>
          <w:szCs w:val="24"/>
        </w:rPr>
        <w:t>8.1.2</w:t>
      </w:r>
      <w:r>
        <w:rPr>
          <w:rFonts w:hint="eastAsia" w:ascii="宋体" w:hAnsi="宋体" w:cs="宋体"/>
          <w:bCs/>
          <w:sz w:val="24"/>
          <w:szCs w:val="24"/>
        </w:rPr>
        <w:t>超限设备的包装要求：</w:t>
      </w:r>
      <w:r>
        <w:rPr>
          <w:rFonts w:ascii="宋体" w:hAnsi="宋体" w:cs="宋体"/>
          <w:bCs/>
          <w:sz w:val="24"/>
          <w:szCs w:val="24"/>
          <w:u w:val="single"/>
        </w:rPr>
        <w:t xml:space="preserve">  /  </w:t>
      </w:r>
      <w:r>
        <w:rPr>
          <w:rFonts w:hint="eastAsia" w:ascii="宋体" w:hAnsi="宋体" w:cs="宋体"/>
          <w:bCs/>
          <w:sz w:val="24"/>
          <w:szCs w:val="24"/>
        </w:rPr>
        <w:t>。</w:t>
      </w:r>
    </w:p>
    <w:p>
      <w:pPr>
        <w:spacing w:line="360" w:lineRule="auto"/>
        <w:ind w:firstLine="482"/>
        <w:rPr>
          <w:rFonts w:ascii="宋体" w:hAnsi="宋体" w:cs="宋体"/>
          <w:bCs/>
          <w:sz w:val="24"/>
          <w:szCs w:val="24"/>
        </w:rPr>
      </w:pPr>
      <w:r>
        <w:rPr>
          <w:rFonts w:ascii="宋体" w:hAnsi="宋体" w:cs="宋体"/>
          <w:bCs/>
          <w:sz w:val="24"/>
          <w:szCs w:val="24"/>
        </w:rPr>
        <w:t xml:space="preserve">8.2 </w:t>
      </w:r>
      <w:bookmarkStart w:id="110" w:name="_Toc107446851"/>
      <w:bookmarkStart w:id="111" w:name="_Toc107447244"/>
      <w:r>
        <w:rPr>
          <w:rFonts w:hint="eastAsia" w:ascii="宋体" w:hAnsi="宋体" w:cs="宋体"/>
          <w:bCs/>
          <w:sz w:val="24"/>
          <w:szCs w:val="24"/>
        </w:rPr>
        <w:t>标志</w:t>
      </w:r>
    </w:p>
    <w:bookmarkEnd w:id="110"/>
    <w:bookmarkEnd w:id="111"/>
    <w:p>
      <w:pPr>
        <w:spacing w:line="360" w:lineRule="auto"/>
        <w:ind w:firstLine="482"/>
        <w:rPr>
          <w:rFonts w:ascii="宋体" w:hAnsi="宋体" w:cs="宋体"/>
          <w:bCs/>
          <w:sz w:val="24"/>
          <w:szCs w:val="24"/>
        </w:rPr>
      </w:pPr>
      <w:r>
        <w:rPr>
          <w:rFonts w:ascii="宋体" w:hAnsi="宋体" w:cs="宋体"/>
          <w:bCs/>
          <w:sz w:val="24"/>
          <w:szCs w:val="24"/>
        </w:rPr>
        <w:t>8.2.1</w:t>
      </w:r>
      <w:r>
        <w:rPr>
          <w:rFonts w:hint="eastAsia" w:ascii="宋体" w:hAnsi="宋体" w:cs="宋体"/>
          <w:bCs/>
          <w:sz w:val="24"/>
          <w:szCs w:val="24"/>
        </w:rPr>
        <w:t>乙方应按照国家标准对设备的外包装进行标志。</w:t>
      </w:r>
    </w:p>
    <w:p>
      <w:pPr>
        <w:adjustRightInd w:val="0"/>
        <w:snapToGrid w:val="0"/>
        <w:spacing w:line="360" w:lineRule="auto"/>
        <w:ind w:firstLine="480" w:firstLineChars="200"/>
        <w:rPr>
          <w:rFonts w:ascii="宋体" w:hAnsi="宋体" w:cs="宋体"/>
          <w:bCs/>
          <w:sz w:val="24"/>
          <w:szCs w:val="24"/>
        </w:rPr>
      </w:pPr>
      <w:r>
        <w:rPr>
          <w:rFonts w:ascii="宋体" w:hAnsi="宋体" w:cs="宋体"/>
          <w:sz w:val="24"/>
          <w:szCs w:val="24"/>
        </w:rPr>
        <w:t>8.2.2</w:t>
      </w:r>
      <w:r>
        <w:rPr>
          <w:rFonts w:hint="eastAsia" w:ascii="宋体" w:hAnsi="宋体" w:cs="宋体"/>
          <w:sz w:val="24"/>
          <w:szCs w:val="24"/>
        </w:rPr>
        <w:t>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line="360" w:lineRule="auto"/>
        <w:ind w:firstLine="480" w:firstLineChars="200"/>
        <w:rPr>
          <w:rFonts w:ascii="宋体" w:hAnsi="宋体" w:cs="宋体"/>
          <w:bCs/>
          <w:sz w:val="24"/>
          <w:szCs w:val="24"/>
        </w:rPr>
      </w:pPr>
      <w:r>
        <w:rPr>
          <w:rFonts w:ascii="宋体" w:hAnsi="宋体" w:cs="宋体"/>
          <w:bCs/>
          <w:sz w:val="24"/>
          <w:szCs w:val="24"/>
        </w:rPr>
        <w:t xml:space="preserve">8.2.3 </w:t>
      </w:r>
      <w:r>
        <w:rPr>
          <w:rFonts w:hint="eastAsia" w:ascii="宋体" w:hAnsi="宋体" w:cs="宋体"/>
          <w:bCs/>
          <w:sz w:val="24"/>
          <w:szCs w:val="24"/>
        </w:rPr>
        <w:t>如由于包装不当或包装箱内部保护措施不符合要求而导致在装车或运输中发生设备或其任何部件的损坏或遗失，乙方应自费对缺损的设备、部件进行修理、更换或补供。</w:t>
      </w:r>
      <w:bookmarkStart w:id="112" w:name="_Toc183666521"/>
      <w:bookmarkStart w:id="113" w:name="_Toc518992992"/>
      <w:bookmarkStart w:id="114" w:name="_Toc306350457"/>
      <w:bookmarkStart w:id="115" w:name="_Toc474245218"/>
      <w:bookmarkStart w:id="116" w:name="_Toc9269"/>
      <w:bookmarkStart w:id="117" w:name="_Toc520190032"/>
    </w:p>
    <w:p>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8.3</w:t>
      </w:r>
      <w:r>
        <w:rPr>
          <w:rFonts w:hint="eastAsia" w:ascii="宋体" w:hAnsi="宋体" w:cs="宋体"/>
          <w:sz w:val="24"/>
          <w:szCs w:val="24"/>
        </w:rPr>
        <w:t>运输</w:t>
      </w:r>
    </w:p>
    <w:p>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8.3.1</w:t>
      </w:r>
      <w:r>
        <w:rPr>
          <w:rFonts w:hint="eastAsia" w:ascii="宋体" w:hAnsi="宋体" w:cs="宋体"/>
          <w:sz w:val="24"/>
          <w:szCs w:val="24"/>
        </w:rPr>
        <w:t>乙方应自行选择适宜的运输工具及线路安排合同设备运输。</w:t>
      </w:r>
    </w:p>
    <w:p>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 xml:space="preserve">8.3.2 </w:t>
      </w:r>
      <w:r>
        <w:rPr>
          <w:rFonts w:hint="eastAsia" w:ascii="宋体" w:hAnsi="宋体" w:cs="宋体"/>
          <w:sz w:val="24"/>
          <w:szCs w:val="24"/>
        </w:rPr>
        <w:t>除合同条款另有约定外，每件设备的备品备件应整套装运。</w:t>
      </w:r>
    </w:p>
    <w:p>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 xml:space="preserve">8.3.3 </w:t>
      </w:r>
      <w:r>
        <w:rPr>
          <w:rFonts w:hint="eastAsia" w:ascii="宋体" w:hAnsi="宋体" w:cs="宋体"/>
          <w:sz w:val="24"/>
          <w:szCs w:val="24"/>
        </w:rPr>
        <w:t>除合同条款另有约定外，乙方应在合同设备预计启运</w:t>
      </w:r>
      <w:r>
        <w:rPr>
          <w:rFonts w:ascii="宋体" w:hAnsi="宋体" w:cs="宋体"/>
          <w:sz w:val="24"/>
          <w:szCs w:val="24"/>
        </w:rPr>
        <w:t>7</w:t>
      </w:r>
      <w:r>
        <w:rPr>
          <w:rFonts w:hint="eastAsia" w:ascii="宋体" w:hAnsi="宋体" w:cs="宋体"/>
          <w:sz w:val="24"/>
          <w:szCs w:val="24"/>
        </w:rPr>
        <w:t>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w:t>
      </w:r>
      <w:r>
        <w:rPr>
          <w:rFonts w:ascii="宋体" w:hAnsi="宋体" w:cs="宋体"/>
          <w:sz w:val="24"/>
          <w:szCs w:val="24"/>
        </w:rPr>
        <w:t xml:space="preserve"> 24 </w:t>
      </w:r>
      <w:r>
        <w:rPr>
          <w:rFonts w:hint="eastAsia" w:ascii="宋体" w:hAnsi="宋体" w:cs="宋体"/>
          <w:sz w:val="24"/>
          <w:szCs w:val="24"/>
        </w:rPr>
        <w:t>小时之内正式通知甲方。</w:t>
      </w:r>
    </w:p>
    <w:bookmarkEnd w:id="112"/>
    <w:bookmarkEnd w:id="113"/>
    <w:bookmarkEnd w:id="114"/>
    <w:bookmarkEnd w:id="115"/>
    <w:bookmarkEnd w:id="116"/>
    <w:bookmarkEnd w:id="117"/>
    <w:p>
      <w:pPr>
        <w:adjustRightInd w:val="0"/>
        <w:snapToGrid w:val="0"/>
        <w:spacing w:before="156" w:beforeLines="50" w:after="156" w:afterLines="50" w:line="360" w:lineRule="auto"/>
        <w:ind w:firstLine="482" w:firstLineChars="200"/>
        <w:rPr>
          <w:rFonts w:ascii="宋体" w:hAnsi="宋体" w:cs="宋体"/>
          <w:sz w:val="24"/>
          <w:szCs w:val="24"/>
        </w:rPr>
      </w:pPr>
      <w:bookmarkStart w:id="118" w:name="_Toc306350458"/>
      <w:bookmarkStart w:id="119" w:name="_Toc18496"/>
      <w:bookmarkStart w:id="120" w:name="_Toc183666522"/>
      <w:r>
        <w:rPr>
          <w:rFonts w:hint="eastAsia" w:ascii="宋体" w:hAnsi="宋体" w:cs="宋体"/>
          <w:b/>
          <w:sz w:val="24"/>
          <w:szCs w:val="24"/>
        </w:rPr>
        <w:t>第九条</w:t>
      </w:r>
      <w:r>
        <w:rPr>
          <w:rFonts w:ascii="宋体" w:hAnsi="宋体" w:cs="宋体"/>
          <w:b/>
          <w:sz w:val="24"/>
          <w:szCs w:val="24"/>
        </w:rPr>
        <w:t xml:space="preserve"> </w:t>
      </w:r>
      <w:r>
        <w:rPr>
          <w:rFonts w:hint="eastAsia" w:ascii="宋体" w:hAnsi="宋体" w:cs="宋体"/>
          <w:b/>
          <w:sz w:val="24"/>
          <w:szCs w:val="24"/>
        </w:rPr>
        <w:t>技术服务</w:t>
      </w:r>
    </w:p>
    <w:p>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 xml:space="preserve">9.1  </w:t>
      </w:r>
      <w:r>
        <w:rPr>
          <w:rFonts w:hint="eastAsia" w:ascii="宋体" w:hAnsi="宋体" w:cs="宋体"/>
          <w:sz w:val="24"/>
          <w:szCs w:val="24"/>
        </w:rPr>
        <w:t>乙方应按甲方需求，派遣技术熟练、称职的技术人员到现场为甲方提供设备调试运行等技术服务。</w:t>
      </w:r>
    </w:p>
    <w:p>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 xml:space="preserve">9.2  </w:t>
      </w:r>
      <w:r>
        <w:rPr>
          <w:rFonts w:hint="eastAsia" w:ascii="宋体" w:hAnsi="宋体" w:cs="宋体"/>
          <w:sz w:val="24"/>
          <w:szCs w:val="24"/>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 xml:space="preserve">9.3  </w:t>
      </w:r>
      <w:r>
        <w:rPr>
          <w:rFonts w:hint="eastAsia" w:ascii="宋体" w:hAnsi="宋体" w:cs="宋体"/>
          <w:sz w:val="24"/>
          <w:szCs w:val="24"/>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sz w:val="24"/>
          <w:szCs w:val="24"/>
        </w:rPr>
      </w:pPr>
      <w:r>
        <w:rPr>
          <w:rFonts w:ascii="宋体" w:hAnsi="宋体" w:cs="宋体"/>
          <w:sz w:val="24"/>
          <w:szCs w:val="24"/>
        </w:rPr>
        <w:t xml:space="preserve">9.4  </w:t>
      </w:r>
      <w:r>
        <w:rPr>
          <w:rFonts w:hint="eastAsia" w:ascii="宋体" w:hAnsi="宋体" w:cs="宋体"/>
          <w:sz w:val="24"/>
          <w:szCs w:val="24"/>
        </w:rPr>
        <w:t>如果乙方技术人员提供的服务达不到合同和甲方要求的，甲方有权要求乙方撤换，因撤换而产生的费用应由乙方承担。在不影响技术服务并且征得甲方同意的条件下，乙方也可自负费用更换其技术人员。</w:t>
      </w:r>
    </w:p>
    <w:bookmarkEnd w:id="118"/>
    <w:bookmarkEnd w:id="119"/>
    <w:bookmarkEnd w:id="120"/>
    <w:p>
      <w:pPr>
        <w:autoSpaceDE w:val="0"/>
        <w:autoSpaceDN w:val="0"/>
        <w:adjustRightInd w:val="0"/>
        <w:spacing w:line="360" w:lineRule="auto"/>
        <w:ind w:firstLine="482" w:firstLineChars="200"/>
        <w:rPr>
          <w:rFonts w:ascii="宋体" w:hAnsi="宋体" w:cs="宋体"/>
          <w:b/>
          <w:sz w:val="24"/>
          <w:szCs w:val="24"/>
        </w:rPr>
      </w:pPr>
      <w:bookmarkStart w:id="121" w:name="_Toc518992994"/>
      <w:bookmarkStart w:id="122" w:name="_Toc520190034"/>
      <w:bookmarkStart w:id="123" w:name="_Toc474245220"/>
      <w:bookmarkStart w:id="124" w:name="_Toc4682"/>
      <w:bookmarkStart w:id="125" w:name="_Toc183666523"/>
      <w:bookmarkStart w:id="126" w:name="_Toc306350459"/>
      <w:r>
        <w:rPr>
          <w:rFonts w:hint="eastAsia" w:ascii="宋体" w:hAnsi="宋体" w:cs="宋体"/>
          <w:b/>
          <w:sz w:val="24"/>
          <w:szCs w:val="24"/>
        </w:rPr>
        <w:t>第十条</w:t>
      </w:r>
      <w:r>
        <w:rPr>
          <w:rFonts w:ascii="宋体" w:hAnsi="宋体" w:cs="宋体"/>
          <w:b/>
          <w:sz w:val="24"/>
          <w:szCs w:val="24"/>
        </w:rPr>
        <w:t xml:space="preserve"> </w:t>
      </w:r>
      <w:r>
        <w:rPr>
          <w:rFonts w:hint="eastAsia" w:ascii="宋体" w:hAnsi="宋体" w:cs="宋体"/>
          <w:b/>
          <w:sz w:val="24"/>
          <w:szCs w:val="24"/>
        </w:rPr>
        <w:t>质量保</w:t>
      </w:r>
      <w:bookmarkEnd w:id="121"/>
      <w:bookmarkEnd w:id="122"/>
      <w:bookmarkEnd w:id="123"/>
      <w:r>
        <w:rPr>
          <w:rFonts w:hint="eastAsia" w:ascii="宋体" w:hAnsi="宋体" w:cs="宋体"/>
          <w:b/>
          <w:sz w:val="24"/>
          <w:szCs w:val="24"/>
        </w:rPr>
        <w:t>修</w:t>
      </w:r>
    </w:p>
    <w:p>
      <w:pPr>
        <w:tabs>
          <w:tab w:val="left" w:pos="851"/>
        </w:tabs>
        <w:adjustRightInd w:val="0"/>
        <w:snapToGrid w:val="0"/>
        <w:spacing w:line="360" w:lineRule="auto"/>
        <w:ind w:firstLine="480" w:firstLineChars="200"/>
        <w:rPr>
          <w:rFonts w:ascii="宋体" w:hAnsi="宋体" w:cs="宋体"/>
          <w:sz w:val="24"/>
          <w:szCs w:val="24"/>
        </w:rPr>
      </w:pPr>
      <w:r>
        <w:rPr>
          <w:rFonts w:ascii="宋体" w:hAnsi="宋体" w:cs="宋体"/>
          <w:sz w:val="24"/>
          <w:szCs w:val="24"/>
        </w:rPr>
        <w:t>10.1</w:t>
      </w:r>
      <w:r>
        <w:rPr>
          <w:rFonts w:hint="eastAsia" w:ascii="宋体" w:hAnsi="宋体" w:cs="宋体"/>
          <w:sz w:val="24"/>
          <w:szCs w:val="24"/>
        </w:rPr>
        <w:t>保修期：自</w:t>
      </w:r>
      <w:r>
        <w:rPr>
          <w:rFonts w:hint="eastAsia" w:ascii="宋体" w:hAnsi="宋体" w:cs="宋体"/>
          <w:kern w:val="0"/>
          <w:sz w:val="24"/>
          <w:szCs w:val="24"/>
          <w:lang w:val="zh-CN"/>
        </w:rPr>
        <w:t>设备</w:t>
      </w:r>
      <w:r>
        <w:rPr>
          <w:rFonts w:hint="eastAsia" w:ascii="宋体" w:hAnsi="宋体" w:cs="宋体"/>
          <w:kern w:val="0"/>
          <w:sz w:val="24"/>
          <w:szCs w:val="24"/>
        </w:rPr>
        <w:t>开箱</w:t>
      </w:r>
      <w:r>
        <w:rPr>
          <w:rFonts w:hint="eastAsia" w:ascii="宋体" w:hAnsi="宋体" w:cs="宋体"/>
          <w:kern w:val="0"/>
          <w:sz w:val="24"/>
          <w:szCs w:val="24"/>
          <w:lang w:val="zh-CN"/>
        </w:rPr>
        <w:t>验收合格之日起</w:t>
      </w:r>
      <w:r>
        <w:rPr>
          <w:rFonts w:ascii="宋体" w:hAnsi="宋体" w:cs="宋体"/>
          <w:sz w:val="24"/>
          <w:szCs w:val="24"/>
          <w:u w:val="single"/>
        </w:rPr>
        <w:t xml:space="preserve"> </w:t>
      </w:r>
      <w:r>
        <w:rPr>
          <w:rFonts w:hint="eastAsia" w:ascii="宋体" w:hAnsi="宋体" w:cs="宋体"/>
          <w:sz w:val="24"/>
          <w:szCs w:val="24"/>
          <w:u w:val="single"/>
        </w:rPr>
        <w:t>1</w:t>
      </w:r>
      <w:r>
        <w:rPr>
          <w:rFonts w:ascii="宋体" w:hAnsi="宋体" w:cs="宋体"/>
          <w:sz w:val="24"/>
          <w:szCs w:val="24"/>
          <w:u w:val="single"/>
        </w:rPr>
        <w:t xml:space="preserve"> </w:t>
      </w:r>
      <w:r>
        <w:rPr>
          <w:rFonts w:hint="eastAsia" w:ascii="宋体" w:hAnsi="宋体" w:cs="宋体"/>
          <w:sz w:val="24"/>
          <w:szCs w:val="24"/>
          <w:u w:val="single"/>
        </w:rPr>
        <w:t>年</w:t>
      </w:r>
      <w:r>
        <w:rPr>
          <w:rFonts w:hint="eastAsia" w:ascii="宋体" w:hAnsi="宋体" w:cs="宋体"/>
          <w:sz w:val="24"/>
          <w:szCs w:val="24"/>
        </w:rPr>
        <w:t>。保修期内乙方应免费对设备进行日常维护保养及质量缺陷修复。</w:t>
      </w:r>
      <w:r>
        <w:rPr>
          <w:rFonts w:ascii="宋体" w:hAnsi="宋体" w:cs="宋体"/>
          <w:sz w:val="24"/>
          <w:szCs w:val="24"/>
        </w:rPr>
        <w:t xml:space="preserve">                                          </w:t>
      </w:r>
    </w:p>
    <w:p>
      <w:pPr>
        <w:tabs>
          <w:tab w:val="left" w:pos="851"/>
        </w:tabs>
        <w:adjustRightInd w:val="0"/>
        <w:snapToGrid w:val="0"/>
        <w:spacing w:line="360" w:lineRule="auto"/>
        <w:ind w:firstLine="480" w:firstLineChars="200"/>
        <w:rPr>
          <w:rFonts w:ascii="宋体" w:hAnsi="宋体" w:cs="宋体"/>
          <w:kern w:val="0"/>
          <w:sz w:val="24"/>
          <w:szCs w:val="24"/>
          <w:lang w:val="zh-CN"/>
        </w:rPr>
      </w:pPr>
      <w:r>
        <w:rPr>
          <w:rFonts w:ascii="宋体" w:hAnsi="宋体" w:cs="宋体"/>
          <w:sz w:val="24"/>
          <w:szCs w:val="24"/>
        </w:rPr>
        <w:t>10.2</w:t>
      </w:r>
      <w:r>
        <w:rPr>
          <w:rFonts w:hint="eastAsia" w:ascii="宋体" w:hAnsi="宋体" w:cs="宋体"/>
          <w:kern w:val="0"/>
          <w:sz w:val="24"/>
          <w:szCs w:val="24"/>
        </w:rPr>
        <w:t>保修</w:t>
      </w:r>
      <w:r>
        <w:rPr>
          <w:rFonts w:hint="eastAsia" w:ascii="宋体" w:hAnsi="宋体" w:cs="宋体"/>
          <w:kern w:val="0"/>
          <w:sz w:val="24"/>
          <w:szCs w:val="24"/>
          <w:lang w:val="zh-CN"/>
        </w:rPr>
        <w:t>期内，乙方应对设备质量问题负责。如设备质量问题导致处理水量、出水水质达不到合同要求的，乙方需无条件免费更换设备并支付合</w:t>
      </w:r>
      <w:r>
        <w:rPr>
          <w:rFonts w:hint="eastAsia" w:ascii="宋体" w:hAnsi="宋体" w:cs="宋体"/>
          <w:kern w:val="0"/>
          <w:sz w:val="24"/>
          <w:szCs w:val="24"/>
          <w:u w:val="single"/>
          <w:lang w:val="zh-CN"/>
        </w:rPr>
        <w:t>同暂定总价的</w:t>
      </w:r>
      <w:r>
        <w:rPr>
          <w:rFonts w:ascii="宋体" w:hAnsi="宋体" w:cs="宋体"/>
          <w:kern w:val="0"/>
          <w:sz w:val="24"/>
          <w:szCs w:val="24"/>
          <w:u w:val="single"/>
          <w:lang w:val="zh-CN"/>
        </w:rPr>
        <w:t>10%</w:t>
      </w:r>
      <w:r>
        <w:rPr>
          <w:rFonts w:hint="eastAsia" w:ascii="宋体" w:hAnsi="宋体" w:cs="宋体"/>
          <w:kern w:val="0"/>
          <w:sz w:val="24"/>
          <w:szCs w:val="24"/>
          <w:u w:val="single"/>
          <w:lang w:val="zh-CN"/>
        </w:rPr>
        <w:t>作为</w:t>
      </w:r>
      <w:r>
        <w:rPr>
          <w:rFonts w:hint="eastAsia" w:ascii="宋体" w:hAnsi="宋体" w:cs="宋体"/>
          <w:kern w:val="0"/>
          <w:sz w:val="24"/>
          <w:szCs w:val="24"/>
          <w:lang w:val="zh-CN"/>
        </w:rPr>
        <w:t>违约金，</w:t>
      </w:r>
      <w:r>
        <w:rPr>
          <w:rFonts w:hint="eastAsia" w:ascii="宋体" w:hAnsi="宋体" w:cs="宋体"/>
          <w:kern w:val="0"/>
          <w:sz w:val="24"/>
          <w:szCs w:val="24"/>
        </w:rPr>
        <w:t>由此产生的</w:t>
      </w:r>
      <w:r>
        <w:rPr>
          <w:rFonts w:hint="eastAsia" w:ascii="宋体" w:hAnsi="宋体" w:cs="宋体"/>
          <w:kern w:val="0"/>
          <w:sz w:val="24"/>
          <w:szCs w:val="24"/>
          <w:lang w:val="zh-CN"/>
        </w:rPr>
        <w:t>费用由乙方承担。对涉及运营费用，乙方应保证在</w:t>
      </w:r>
      <w:r>
        <w:rPr>
          <w:rFonts w:hint="eastAsia" w:ascii="宋体" w:hAnsi="宋体" w:cs="宋体"/>
          <w:kern w:val="0"/>
          <w:sz w:val="24"/>
          <w:szCs w:val="24"/>
        </w:rPr>
        <w:t>开箱</w:t>
      </w:r>
      <w:r>
        <w:rPr>
          <w:rFonts w:hint="eastAsia" w:ascii="宋体" w:hAnsi="宋体" w:cs="宋体"/>
          <w:kern w:val="0"/>
          <w:sz w:val="24"/>
          <w:szCs w:val="24"/>
          <w:lang w:val="zh-CN"/>
        </w:rPr>
        <w:t>验收</w:t>
      </w:r>
      <w:r>
        <w:rPr>
          <w:rFonts w:hint="eastAsia" w:ascii="宋体" w:hAnsi="宋体" w:cs="宋体"/>
          <w:kern w:val="0"/>
          <w:sz w:val="24"/>
          <w:szCs w:val="24"/>
        </w:rPr>
        <w:t>合格</w:t>
      </w:r>
      <w:r>
        <w:rPr>
          <w:rFonts w:hint="eastAsia" w:ascii="宋体" w:hAnsi="宋体" w:cs="宋体"/>
          <w:kern w:val="0"/>
          <w:sz w:val="24"/>
          <w:szCs w:val="24"/>
          <w:lang w:val="zh-CN"/>
        </w:rPr>
        <w:t>后三年内，</w:t>
      </w:r>
      <w:r>
        <w:rPr>
          <w:rFonts w:hint="eastAsia" w:ascii="宋体" w:hAnsi="宋体" w:cs="宋体"/>
          <w:kern w:val="0"/>
          <w:sz w:val="24"/>
          <w:szCs w:val="24"/>
        </w:rPr>
        <w:t>设备</w:t>
      </w:r>
      <w:r>
        <w:rPr>
          <w:rFonts w:hint="eastAsia" w:ascii="宋体" w:hAnsi="宋体" w:cs="宋体"/>
          <w:kern w:val="0"/>
          <w:sz w:val="24"/>
          <w:szCs w:val="24"/>
          <w:lang w:val="zh-CN"/>
        </w:rPr>
        <w:t>运行费用不高于投标文件</w:t>
      </w:r>
      <w:r>
        <w:rPr>
          <w:rFonts w:ascii="宋体" w:hAnsi="宋体" w:cs="宋体"/>
          <w:kern w:val="0"/>
          <w:sz w:val="24"/>
          <w:szCs w:val="24"/>
          <w:lang w:val="zh-CN"/>
        </w:rPr>
        <w:t>/</w:t>
      </w:r>
      <w:r>
        <w:rPr>
          <w:rFonts w:hint="eastAsia" w:ascii="宋体" w:hAnsi="宋体" w:cs="宋体"/>
          <w:kern w:val="0"/>
          <w:sz w:val="24"/>
          <w:szCs w:val="24"/>
          <w:lang w:val="zh-CN"/>
        </w:rPr>
        <w:t>响应文件的承诺指标，</w:t>
      </w:r>
      <w:r>
        <w:rPr>
          <w:rFonts w:hint="eastAsia" w:ascii="宋体" w:hAnsi="宋体" w:cs="宋体"/>
          <w:kern w:val="0"/>
          <w:sz w:val="24"/>
          <w:szCs w:val="24"/>
        </w:rPr>
        <w:t>否则，</w:t>
      </w:r>
      <w:r>
        <w:rPr>
          <w:rFonts w:hint="eastAsia" w:ascii="宋体" w:hAnsi="宋体" w:cs="宋体"/>
          <w:kern w:val="0"/>
          <w:sz w:val="24"/>
          <w:szCs w:val="24"/>
          <w:lang w:val="zh-CN"/>
        </w:rPr>
        <w:t>乙方需无条件免费更换设备</w:t>
      </w:r>
      <w:r>
        <w:rPr>
          <w:rFonts w:hint="eastAsia" w:ascii="宋体" w:hAnsi="宋体" w:cs="宋体"/>
          <w:kern w:val="0"/>
          <w:sz w:val="24"/>
          <w:szCs w:val="24"/>
        </w:rPr>
        <w:t>并支付违约金</w:t>
      </w:r>
      <w:r>
        <w:rPr>
          <w:rFonts w:ascii="宋体" w:hAnsi="宋体" w:cs="宋体"/>
          <w:kern w:val="0"/>
          <w:sz w:val="24"/>
          <w:szCs w:val="24"/>
          <w:u w:val="single"/>
        </w:rPr>
        <w:t xml:space="preserve"> </w:t>
      </w:r>
      <w:r>
        <w:rPr>
          <w:rFonts w:hint="eastAsia" w:ascii="宋体" w:hAnsi="宋体" w:cs="宋体"/>
          <w:kern w:val="0"/>
          <w:sz w:val="24"/>
          <w:szCs w:val="24"/>
          <w:u w:val="single"/>
        </w:rPr>
        <w:t>10000</w:t>
      </w:r>
      <w:r>
        <w:rPr>
          <w:rFonts w:hint="eastAsia" w:ascii="宋体" w:hAnsi="宋体" w:cs="宋体"/>
          <w:kern w:val="0"/>
          <w:sz w:val="24"/>
          <w:szCs w:val="24"/>
        </w:rPr>
        <w:t>元</w:t>
      </w:r>
      <w:r>
        <w:rPr>
          <w:rFonts w:hint="eastAsia" w:ascii="宋体" w:hAnsi="宋体" w:cs="宋体"/>
          <w:kern w:val="0"/>
          <w:sz w:val="24"/>
          <w:szCs w:val="24"/>
          <w:lang w:val="zh-CN"/>
        </w:rPr>
        <w:t>（如有）。</w:t>
      </w:r>
    </w:p>
    <w:p>
      <w:pPr>
        <w:tabs>
          <w:tab w:val="left" w:pos="851"/>
        </w:tabs>
        <w:adjustRightInd w:val="0"/>
        <w:snapToGrid w:val="0"/>
        <w:spacing w:line="360" w:lineRule="auto"/>
        <w:ind w:firstLine="480" w:firstLineChars="200"/>
        <w:rPr>
          <w:rFonts w:ascii="宋体" w:hAnsi="宋体" w:cs="宋体"/>
          <w:bCs/>
          <w:sz w:val="24"/>
          <w:szCs w:val="24"/>
        </w:rPr>
      </w:pPr>
      <w:r>
        <w:rPr>
          <w:rFonts w:ascii="宋体" w:hAnsi="宋体" w:cs="宋体"/>
          <w:bCs/>
          <w:sz w:val="24"/>
          <w:szCs w:val="24"/>
        </w:rPr>
        <w:t xml:space="preserve">10.3 </w:t>
      </w:r>
      <w:r>
        <w:rPr>
          <w:rFonts w:hint="eastAsia" w:ascii="宋体" w:hAnsi="宋体" w:cs="宋体"/>
          <w:bCs/>
          <w:sz w:val="24"/>
          <w:szCs w:val="24"/>
        </w:rPr>
        <w:t>保修期间由于设备本身原因产生的故障仍属质保范围，对更换或维修过的零部件从更换或维修完成并验收合格之日起，质量保修期重新计算。</w:t>
      </w:r>
    </w:p>
    <w:p>
      <w:pPr>
        <w:spacing w:line="360" w:lineRule="auto"/>
        <w:ind w:firstLine="482"/>
        <w:rPr>
          <w:rFonts w:ascii="宋体" w:hAnsi="宋体" w:cs="宋体"/>
          <w:bCs/>
          <w:sz w:val="24"/>
          <w:szCs w:val="24"/>
        </w:rPr>
      </w:pPr>
      <w:r>
        <w:rPr>
          <w:rFonts w:ascii="宋体" w:hAnsi="宋体" w:cs="宋体"/>
          <w:bCs/>
          <w:sz w:val="24"/>
          <w:szCs w:val="24"/>
        </w:rPr>
        <w:t xml:space="preserve">10.4 </w:t>
      </w:r>
      <w:r>
        <w:rPr>
          <w:rFonts w:hint="eastAsia" w:ascii="宋体" w:hAnsi="宋体" w:cs="宋体"/>
          <w:bCs/>
          <w:sz w:val="24"/>
          <w:szCs w:val="24"/>
        </w:rPr>
        <w:t>质量保修期间，如合同设备出现故障，乙方应在接到甲方通知后</w:t>
      </w:r>
      <w:r>
        <w:rPr>
          <w:rFonts w:ascii="宋体" w:hAnsi="宋体" w:cs="宋体"/>
          <w:bCs/>
          <w:sz w:val="24"/>
          <w:szCs w:val="24"/>
          <w:u w:val="single"/>
        </w:rPr>
        <w:t xml:space="preserve">  </w:t>
      </w:r>
      <w:r>
        <w:rPr>
          <w:rFonts w:hint="eastAsia" w:ascii="宋体" w:hAnsi="宋体" w:cs="宋体"/>
          <w:bCs/>
          <w:sz w:val="24"/>
          <w:szCs w:val="24"/>
          <w:u w:val="single"/>
        </w:rPr>
        <w:t>1</w:t>
      </w:r>
      <w:r>
        <w:rPr>
          <w:rFonts w:ascii="宋体" w:hAnsi="宋体" w:cs="宋体"/>
          <w:bCs/>
          <w:sz w:val="24"/>
          <w:szCs w:val="24"/>
          <w:u w:val="single"/>
        </w:rPr>
        <w:t xml:space="preserve"> </w:t>
      </w:r>
      <w:r>
        <w:rPr>
          <w:rFonts w:ascii="宋体" w:hAnsi="宋体" w:cs="宋体"/>
          <w:bCs/>
          <w:sz w:val="24"/>
          <w:szCs w:val="24"/>
        </w:rPr>
        <w:t xml:space="preserve">  </w:t>
      </w:r>
      <w:r>
        <w:rPr>
          <w:rFonts w:hint="eastAsia" w:ascii="宋体" w:hAnsi="宋体" w:cs="宋体"/>
          <w:bCs/>
          <w:sz w:val="24"/>
          <w:szCs w:val="24"/>
        </w:rPr>
        <w:t>小时内通过电话、网络等提供远程技术指导，如甲方需要乙方到场的，乙方应在收到甲方通知后</w:t>
      </w:r>
      <w:r>
        <w:rPr>
          <w:rFonts w:ascii="宋体" w:hAnsi="宋体" w:cs="宋体"/>
          <w:bCs/>
          <w:sz w:val="24"/>
          <w:szCs w:val="24"/>
          <w:u w:val="single"/>
        </w:rPr>
        <w:t xml:space="preserve"> </w:t>
      </w:r>
      <w:r>
        <w:rPr>
          <w:rFonts w:hint="eastAsia" w:ascii="宋体" w:hAnsi="宋体" w:cs="宋体"/>
          <w:bCs/>
          <w:sz w:val="24"/>
          <w:szCs w:val="24"/>
          <w:u w:val="single"/>
        </w:rPr>
        <w:t>2</w:t>
      </w:r>
      <w:r>
        <w:rPr>
          <w:rFonts w:ascii="宋体" w:hAnsi="宋体" w:cs="宋体"/>
          <w:bCs/>
          <w:sz w:val="24"/>
          <w:szCs w:val="24"/>
          <w:u w:val="single"/>
        </w:rPr>
        <w:t xml:space="preserve"> </w:t>
      </w:r>
      <w:r>
        <w:rPr>
          <w:rFonts w:hint="eastAsia" w:ascii="宋体" w:hAnsi="宋体" w:cs="宋体"/>
          <w:bCs/>
          <w:sz w:val="24"/>
          <w:szCs w:val="24"/>
        </w:rPr>
        <w:t>小时内派专业技术人员到场负责解决及维修故障。</w:t>
      </w:r>
      <w:bookmarkEnd w:id="124"/>
      <w:bookmarkEnd w:id="125"/>
      <w:bookmarkEnd w:id="126"/>
      <w:bookmarkStart w:id="127" w:name="_Toc518992997"/>
      <w:bookmarkStart w:id="128" w:name="_Toc183666528"/>
      <w:bookmarkStart w:id="129" w:name="_Toc306350464"/>
      <w:bookmarkStart w:id="130" w:name="_Toc520190037"/>
      <w:bookmarkStart w:id="131" w:name="_Toc107447250"/>
      <w:bookmarkStart w:id="132" w:name="_Toc474245223"/>
      <w:bookmarkStart w:id="133" w:name="_Toc107446857"/>
      <w:bookmarkStart w:id="134" w:name="_Toc27734"/>
      <w:r>
        <w:rPr>
          <w:rFonts w:hint="eastAsia" w:ascii="宋体" w:hAnsi="宋体" w:cs="宋体"/>
          <w:bCs/>
          <w:sz w:val="24"/>
          <w:szCs w:val="24"/>
        </w:rPr>
        <w:t>如果乙方不按时到场维修或到场后不能修复的，甲方有权委托他人予以维修，乙方承担由此发生的费用并支付</w:t>
      </w:r>
      <w:r>
        <w:rPr>
          <w:rFonts w:hint="eastAsia" w:ascii="宋体" w:hAnsi="宋体" w:cs="宋体"/>
          <w:bCs/>
          <w:sz w:val="24"/>
          <w:szCs w:val="24"/>
          <w:u w:val="single"/>
        </w:rPr>
        <w:t>合同暂定总价</w:t>
      </w:r>
      <w:r>
        <w:rPr>
          <w:rFonts w:ascii="宋体" w:hAnsi="宋体" w:cs="宋体"/>
          <w:bCs/>
          <w:sz w:val="24"/>
          <w:szCs w:val="24"/>
          <w:u w:val="single"/>
        </w:rPr>
        <w:t>10%/次</w:t>
      </w:r>
      <w:r>
        <w:rPr>
          <w:rFonts w:hint="eastAsia" w:ascii="宋体" w:hAnsi="宋体" w:cs="宋体"/>
          <w:bCs/>
          <w:sz w:val="24"/>
          <w:szCs w:val="24"/>
        </w:rPr>
        <w:t>作为违约金。</w:t>
      </w:r>
    </w:p>
    <w:p>
      <w:pPr>
        <w:spacing w:line="360" w:lineRule="auto"/>
        <w:ind w:firstLine="482"/>
        <w:rPr>
          <w:rFonts w:ascii="宋体" w:hAnsi="宋体" w:cs="宋体"/>
          <w:bCs/>
          <w:sz w:val="24"/>
          <w:szCs w:val="24"/>
        </w:rPr>
      </w:pPr>
      <w:r>
        <w:rPr>
          <w:rFonts w:hint="eastAsia" w:ascii="宋体" w:hAnsi="宋体" w:cs="宋体"/>
          <w:b/>
          <w:sz w:val="24"/>
          <w:szCs w:val="24"/>
        </w:rPr>
        <w:t>第十一条</w:t>
      </w:r>
      <w:r>
        <w:rPr>
          <w:rFonts w:ascii="宋体" w:hAnsi="宋体" w:cs="宋体"/>
          <w:b/>
          <w:sz w:val="24"/>
          <w:szCs w:val="24"/>
        </w:rPr>
        <w:t xml:space="preserve"> </w:t>
      </w:r>
      <w:r>
        <w:rPr>
          <w:rFonts w:hint="eastAsia" w:ascii="宋体" w:hAnsi="宋体" w:cs="宋体"/>
          <w:b/>
          <w:sz w:val="24"/>
          <w:szCs w:val="24"/>
        </w:rPr>
        <w:t>违约责任</w:t>
      </w:r>
      <w:bookmarkEnd w:id="127"/>
      <w:bookmarkEnd w:id="128"/>
      <w:bookmarkEnd w:id="129"/>
      <w:bookmarkEnd w:id="130"/>
      <w:bookmarkEnd w:id="131"/>
      <w:bookmarkEnd w:id="132"/>
      <w:bookmarkEnd w:id="133"/>
      <w:bookmarkEnd w:id="134"/>
    </w:p>
    <w:p>
      <w:pPr>
        <w:spacing w:line="360" w:lineRule="auto"/>
        <w:ind w:firstLine="482"/>
        <w:rPr>
          <w:rFonts w:ascii="宋体" w:hAnsi="宋体" w:cs="宋体"/>
          <w:bCs/>
          <w:sz w:val="24"/>
          <w:szCs w:val="24"/>
        </w:rPr>
      </w:pPr>
      <w:bookmarkStart w:id="135" w:name="_Toc5166"/>
      <w:bookmarkStart w:id="136" w:name="_Toc306350465"/>
      <w:bookmarkStart w:id="137" w:name="_Toc183666529"/>
      <w:r>
        <w:rPr>
          <w:rFonts w:ascii="宋体" w:hAnsi="宋体" w:cs="宋体"/>
          <w:bCs/>
          <w:sz w:val="24"/>
          <w:szCs w:val="24"/>
        </w:rPr>
        <w:t xml:space="preserve">11.1 </w:t>
      </w:r>
      <w:r>
        <w:rPr>
          <w:rFonts w:hint="eastAsia" w:ascii="宋体" w:hAnsi="宋体" w:cs="宋体"/>
          <w:bCs/>
          <w:sz w:val="24"/>
          <w:szCs w:val="24"/>
        </w:rPr>
        <w:t>延期交货的违约责任</w:t>
      </w:r>
    </w:p>
    <w:p>
      <w:pPr>
        <w:spacing w:line="360" w:lineRule="auto"/>
        <w:ind w:firstLine="482"/>
        <w:rPr>
          <w:rFonts w:ascii="宋体" w:hAnsi="宋体" w:cs="宋体"/>
          <w:bCs/>
          <w:sz w:val="24"/>
          <w:szCs w:val="24"/>
        </w:rPr>
      </w:pPr>
      <w:r>
        <w:rPr>
          <w:rFonts w:ascii="宋体" w:hAnsi="宋体" w:cs="宋体"/>
          <w:bCs/>
          <w:sz w:val="24"/>
          <w:szCs w:val="24"/>
        </w:rPr>
        <w:t xml:space="preserve">11.1.1 </w:t>
      </w:r>
      <w:r>
        <w:rPr>
          <w:rFonts w:hint="eastAsia" w:ascii="宋体" w:hAnsi="宋体" w:cs="宋体"/>
          <w:bCs/>
          <w:sz w:val="24"/>
          <w:szCs w:val="24"/>
        </w:rPr>
        <w:t>乙方应按照本合同约定的时间交货。如乙方因客观情况导致无法按时交货，乙方应在交货期前</w:t>
      </w:r>
      <w:r>
        <w:rPr>
          <w:rFonts w:ascii="宋体" w:hAnsi="宋体" w:cs="宋体"/>
          <w:bCs/>
          <w:sz w:val="24"/>
          <w:szCs w:val="24"/>
          <w:u w:val="single"/>
        </w:rPr>
        <w:t xml:space="preserve">  </w:t>
      </w:r>
      <w:r>
        <w:rPr>
          <w:rFonts w:hint="eastAsia" w:ascii="宋体" w:hAnsi="宋体" w:cs="宋体"/>
          <w:bCs/>
          <w:sz w:val="24"/>
          <w:szCs w:val="24"/>
          <w:u w:val="single"/>
        </w:rPr>
        <w:t>5</w:t>
      </w:r>
      <w:r>
        <w:rPr>
          <w:rFonts w:ascii="宋体" w:hAnsi="宋体" w:cs="宋体"/>
          <w:bCs/>
          <w:sz w:val="24"/>
          <w:szCs w:val="24"/>
          <w:u w:val="single"/>
        </w:rPr>
        <w:t xml:space="preserve">  </w:t>
      </w:r>
      <w:r>
        <w:rPr>
          <w:rFonts w:hint="eastAsia" w:ascii="宋体" w:hAnsi="宋体" w:cs="宋体"/>
          <w:bCs/>
          <w:sz w:val="24"/>
          <w:szCs w:val="24"/>
        </w:rPr>
        <w:t>日，以书面形式将原因及预计拖延的时间通知甲方。经甲方同意后，交货期顺延。</w:t>
      </w:r>
    </w:p>
    <w:p>
      <w:pPr>
        <w:spacing w:line="360" w:lineRule="auto"/>
        <w:ind w:firstLine="482"/>
        <w:rPr>
          <w:rFonts w:ascii="宋体" w:hAnsi="宋体" w:cs="宋体"/>
          <w:bCs/>
          <w:sz w:val="24"/>
          <w:szCs w:val="24"/>
        </w:rPr>
      </w:pPr>
      <w:r>
        <w:rPr>
          <w:rFonts w:ascii="宋体" w:hAnsi="宋体" w:cs="宋体"/>
          <w:bCs/>
          <w:sz w:val="24"/>
          <w:szCs w:val="24"/>
        </w:rPr>
        <w:t>11.1.2</w:t>
      </w:r>
      <w:r>
        <w:rPr>
          <w:rFonts w:hint="eastAsia" w:ascii="宋体" w:hAnsi="宋体" w:cs="宋体"/>
          <w:bCs/>
          <w:sz w:val="24"/>
          <w:szCs w:val="24"/>
        </w:rPr>
        <w:t>乙方未能在合同规定期限内交货并交付完整技术资料的，每逾期一天，甲方有权按迟</w:t>
      </w:r>
      <w:r>
        <w:rPr>
          <w:rFonts w:hint="eastAsia" w:ascii="宋体" w:hAnsi="宋体" w:cs="宋体"/>
          <w:bCs/>
          <w:sz w:val="24"/>
          <w:szCs w:val="24"/>
          <w:u w:val="single"/>
        </w:rPr>
        <w:t>交货设备价格的</w:t>
      </w:r>
      <w:r>
        <w:rPr>
          <w:rFonts w:ascii="宋体" w:hAnsi="宋体" w:cs="宋体"/>
          <w:bCs/>
          <w:sz w:val="24"/>
          <w:szCs w:val="24"/>
          <w:u w:val="single"/>
        </w:rPr>
        <w:t>1%/</w:t>
      </w:r>
      <w:r>
        <w:rPr>
          <w:rFonts w:hint="eastAsia" w:ascii="宋体" w:hAnsi="宋体" w:cs="宋体"/>
          <w:bCs/>
          <w:sz w:val="24"/>
          <w:szCs w:val="24"/>
          <w:u w:val="single"/>
        </w:rPr>
        <w:t>天</w:t>
      </w:r>
      <w:r>
        <w:rPr>
          <w:rFonts w:hint="eastAsia" w:ascii="宋体" w:hAnsi="宋体" w:cs="宋体"/>
          <w:bCs/>
          <w:sz w:val="24"/>
          <w:szCs w:val="24"/>
        </w:rPr>
        <w:t>要求乙方支付违约金。逾期超过</w:t>
      </w:r>
      <w:r>
        <w:rPr>
          <w:rFonts w:ascii="宋体" w:hAnsi="宋体" w:cs="宋体"/>
          <w:bCs/>
          <w:sz w:val="24"/>
          <w:szCs w:val="24"/>
          <w:u w:val="single"/>
        </w:rPr>
        <w:t xml:space="preserve"> 15 </w:t>
      </w:r>
      <w:r>
        <w:rPr>
          <w:rFonts w:hint="eastAsia" w:ascii="宋体" w:hAnsi="宋体" w:cs="宋体"/>
          <w:bCs/>
          <w:sz w:val="24"/>
          <w:szCs w:val="24"/>
        </w:rPr>
        <w:t>天，甲方有权解除合同，要求乙方支付迟延违约金并在</w:t>
      </w:r>
      <w:r>
        <w:rPr>
          <w:rFonts w:ascii="宋体" w:hAnsi="宋体" w:cs="宋体"/>
          <w:bCs/>
          <w:sz w:val="24"/>
          <w:szCs w:val="24"/>
        </w:rPr>
        <w:t>3</w:t>
      </w:r>
      <w:r>
        <w:rPr>
          <w:rFonts w:hint="eastAsia" w:ascii="宋体" w:hAnsi="宋体" w:cs="宋体"/>
          <w:bCs/>
          <w:sz w:val="24"/>
          <w:szCs w:val="24"/>
        </w:rPr>
        <w:t>天内退回预付款及利息（如有），且扣除乙方履约担保全部金额（如有）。如由于乙方逾期交货对甲方生产造成影响，甲方有权要求乙方赔偿损失。</w:t>
      </w:r>
    </w:p>
    <w:p>
      <w:pPr>
        <w:spacing w:line="360" w:lineRule="auto"/>
        <w:ind w:firstLine="482"/>
        <w:rPr>
          <w:rFonts w:ascii="宋体" w:hAnsi="宋体" w:cs="宋体"/>
          <w:bCs/>
          <w:sz w:val="24"/>
          <w:szCs w:val="24"/>
        </w:rPr>
      </w:pPr>
      <w:r>
        <w:rPr>
          <w:rFonts w:ascii="宋体" w:hAnsi="宋体" w:cs="宋体"/>
          <w:bCs/>
          <w:sz w:val="24"/>
          <w:szCs w:val="24"/>
        </w:rPr>
        <w:t xml:space="preserve">11.2 </w:t>
      </w:r>
      <w:r>
        <w:rPr>
          <w:rFonts w:hint="eastAsia" w:ascii="宋体" w:hAnsi="宋体" w:cs="宋体"/>
          <w:bCs/>
          <w:sz w:val="24"/>
          <w:szCs w:val="24"/>
        </w:rPr>
        <w:t>质量问题的违约责任</w:t>
      </w:r>
    </w:p>
    <w:p>
      <w:pPr>
        <w:spacing w:line="360" w:lineRule="auto"/>
        <w:ind w:firstLine="482"/>
        <w:rPr>
          <w:rFonts w:ascii="宋体" w:hAnsi="宋体" w:cs="宋体"/>
          <w:bCs/>
          <w:sz w:val="24"/>
          <w:szCs w:val="24"/>
        </w:rPr>
      </w:pPr>
      <w:r>
        <w:rPr>
          <w:rFonts w:ascii="宋体" w:hAnsi="宋体" w:cs="宋体"/>
          <w:bCs/>
          <w:sz w:val="24"/>
          <w:szCs w:val="24"/>
        </w:rPr>
        <w:t xml:space="preserve">11.2.1 </w:t>
      </w:r>
      <w:r>
        <w:rPr>
          <w:rFonts w:hint="eastAsia" w:ascii="宋体" w:hAnsi="宋体" w:cs="宋体"/>
          <w:bCs/>
          <w:sz w:val="24"/>
          <w:szCs w:val="24"/>
        </w:rPr>
        <w:t>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ascii="宋体" w:hAnsi="宋体" w:cs="宋体"/>
          <w:bCs/>
          <w:sz w:val="24"/>
          <w:szCs w:val="24"/>
        </w:rPr>
      </w:pPr>
      <w:r>
        <w:rPr>
          <w:rFonts w:hint="eastAsia" w:ascii="宋体" w:hAnsi="宋体" w:cs="宋体"/>
          <w:bCs/>
          <w:sz w:val="24"/>
          <w:szCs w:val="24"/>
        </w:rPr>
        <w:t>（</w:t>
      </w:r>
      <w:r>
        <w:rPr>
          <w:rFonts w:ascii="宋体" w:hAnsi="宋体" w:cs="宋体"/>
          <w:bCs/>
          <w:sz w:val="24"/>
          <w:szCs w:val="24"/>
        </w:rPr>
        <w:t>1</w:t>
      </w:r>
      <w:r>
        <w:rPr>
          <w:rFonts w:hint="eastAsia" w:ascii="宋体" w:hAnsi="宋体" w:cs="宋体"/>
          <w:bCs/>
          <w:sz w:val="24"/>
          <w:szCs w:val="24"/>
        </w:rPr>
        <w:t>）乙方承担费用，用合格的新设备更换有缺陷的设备或修补缺陷部分；</w:t>
      </w:r>
    </w:p>
    <w:p>
      <w:pPr>
        <w:spacing w:line="360" w:lineRule="auto"/>
        <w:ind w:firstLine="482"/>
        <w:rPr>
          <w:rFonts w:ascii="宋体" w:hAnsi="宋体" w:cs="宋体"/>
          <w:bCs/>
          <w:sz w:val="24"/>
          <w:szCs w:val="24"/>
        </w:rPr>
      </w:pPr>
      <w:r>
        <w:rPr>
          <w:rFonts w:hint="eastAsia" w:ascii="宋体" w:hAnsi="宋体" w:cs="宋体"/>
          <w:bCs/>
          <w:sz w:val="24"/>
          <w:szCs w:val="24"/>
        </w:rPr>
        <w:t>（</w:t>
      </w:r>
      <w:r>
        <w:rPr>
          <w:rFonts w:ascii="宋体" w:hAnsi="宋体" w:cs="宋体"/>
          <w:bCs/>
          <w:sz w:val="24"/>
          <w:szCs w:val="24"/>
        </w:rPr>
        <w:t>2</w:t>
      </w:r>
      <w:r>
        <w:rPr>
          <w:rFonts w:hint="eastAsia" w:ascii="宋体" w:hAnsi="宋体" w:cs="宋体"/>
          <w:bCs/>
          <w:sz w:val="24"/>
          <w:szCs w:val="24"/>
        </w:rPr>
        <w:t>）退还设备，同时将甲方已经支付的合同价款全额退还甲方，并承担甲方因履行本合同而支出的一切费用，包括但不限于利息、银行手续费、仓储费、卸货费以及因退回设备所需的其他费用。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ascii="宋体" w:hAnsi="宋体" w:cs="宋体"/>
          <w:bCs/>
          <w:sz w:val="24"/>
          <w:szCs w:val="24"/>
        </w:rPr>
      </w:pPr>
      <w:r>
        <w:rPr>
          <w:rFonts w:hint="eastAsia" w:ascii="宋体" w:hAnsi="宋体" w:cs="宋体"/>
          <w:bCs/>
          <w:sz w:val="24"/>
          <w:szCs w:val="24"/>
        </w:rPr>
        <w:t>（</w:t>
      </w:r>
      <w:r>
        <w:rPr>
          <w:rFonts w:ascii="宋体" w:hAnsi="宋体" w:cs="宋体"/>
          <w:bCs/>
          <w:sz w:val="24"/>
          <w:szCs w:val="24"/>
        </w:rPr>
        <w:t>3</w:t>
      </w:r>
      <w:r>
        <w:rPr>
          <w:rFonts w:hint="eastAsia" w:ascii="宋体" w:hAnsi="宋体" w:cs="宋体"/>
          <w:bCs/>
          <w:sz w:val="24"/>
          <w:szCs w:val="24"/>
        </w:rPr>
        <w:t>）按不合格设备价格的</w:t>
      </w:r>
      <w:r>
        <w:rPr>
          <w:rFonts w:ascii="宋体" w:hAnsi="宋体" w:cs="宋体"/>
          <w:bCs/>
          <w:sz w:val="24"/>
          <w:szCs w:val="24"/>
          <w:u w:val="single"/>
        </w:rPr>
        <w:t>50</w:t>
      </w:r>
      <w:r>
        <w:rPr>
          <w:rFonts w:ascii="宋体" w:hAnsi="宋体" w:cs="宋体"/>
          <w:bCs/>
          <w:sz w:val="24"/>
          <w:szCs w:val="24"/>
        </w:rPr>
        <w:t>%</w:t>
      </w:r>
      <w:r>
        <w:rPr>
          <w:rFonts w:hint="eastAsia" w:ascii="宋体" w:hAnsi="宋体" w:cs="宋体"/>
          <w:bCs/>
          <w:sz w:val="24"/>
          <w:szCs w:val="24"/>
        </w:rPr>
        <w:t>支付违约金。</w:t>
      </w:r>
    </w:p>
    <w:p>
      <w:pPr>
        <w:numPr>
          <w:ilvl w:val="255"/>
          <w:numId w:val="0"/>
        </w:numPr>
        <w:spacing w:line="360" w:lineRule="auto"/>
        <w:ind w:firstLine="480" w:firstLineChars="200"/>
        <w:rPr>
          <w:rFonts w:ascii="宋体" w:hAnsi="宋体" w:cs="宋体"/>
          <w:bCs/>
          <w:sz w:val="24"/>
          <w:szCs w:val="24"/>
        </w:rPr>
      </w:pPr>
      <w:r>
        <w:rPr>
          <w:rFonts w:hint="eastAsia" w:ascii="宋体" w:hAnsi="宋体" w:cs="宋体"/>
          <w:bCs/>
          <w:sz w:val="24"/>
          <w:szCs w:val="24"/>
        </w:rPr>
        <w:t>（</w:t>
      </w:r>
      <w:r>
        <w:rPr>
          <w:rFonts w:ascii="宋体" w:hAnsi="宋体" w:cs="宋体"/>
          <w:bCs/>
          <w:sz w:val="24"/>
          <w:szCs w:val="24"/>
        </w:rPr>
        <w:t>4</w:t>
      </w:r>
      <w:r>
        <w:rPr>
          <w:rFonts w:hint="eastAsia" w:ascii="宋体" w:hAnsi="宋体" w:cs="宋体"/>
          <w:bCs/>
          <w:sz w:val="24"/>
          <w:szCs w:val="24"/>
        </w:rPr>
        <w:t>）赔偿甲方因设备质量问题导致的一切损失。</w:t>
      </w:r>
    </w:p>
    <w:p>
      <w:pPr>
        <w:spacing w:line="360" w:lineRule="auto"/>
        <w:ind w:firstLine="482"/>
        <w:rPr>
          <w:rFonts w:ascii="宋体" w:hAnsi="宋体" w:cs="宋体"/>
          <w:bCs/>
          <w:sz w:val="24"/>
          <w:szCs w:val="24"/>
        </w:rPr>
      </w:pPr>
      <w:r>
        <w:rPr>
          <w:rFonts w:ascii="宋体" w:hAnsi="宋体" w:cs="宋体"/>
          <w:bCs/>
          <w:sz w:val="24"/>
          <w:szCs w:val="24"/>
        </w:rPr>
        <w:t xml:space="preserve">11.2.2 </w:t>
      </w:r>
      <w:r>
        <w:rPr>
          <w:rFonts w:hint="eastAsia" w:ascii="宋体" w:hAnsi="宋体" w:cs="宋体"/>
          <w:bCs/>
          <w:sz w:val="24"/>
          <w:szCs w:val="24"/>
        </w:rPr>
        <w:t>如果乙方提供的技术资料有错误，或者由于乙方技术人员原因造成设备安装、调试不成功和（或）造成合同设备损坏的情况，乙方应在</w:t>
      </w:r>
      <w:r>
        <w:rPr>
          <w:rFonts w:ascii="宋体" w:hAnsi="宋体" w:cs="宋体"/>
          <w:bCs/>
          <w:sz w:val="24"/>
          <w:szCs w:val="24"/>
          <w:u w:val="single"/>
        </w:rPr>
        <w:t xml:space="preserve"> </w:t>
      </w:r>
      <w:r>
        <w:rPr>
          <w:rFonts w:hint="eastAsia" w:ascii="宋体" w:hAnsi="宋体" w:cs="宋体"/>
          <w:bCs/>
          <w:sz w:val="24"/>
          <w:szCs w:val="24"/>
          <w:u w:val="single"/>
        </w:rPr>
        <w:t>3</w:t>
      </w:r>
      <w:r>
        <w:rPr>
          <w:rFonts w:ascii="宋体" w:hAnsi="宋体" w:cs="宋体"/>
          <w:bCs/>
          <w:sz w:val="24"/>
          <w:szCs w:val="24"/>
          <w:u w:val="single"/>
        </w:rPr>
        <w:t xml:space="preserve"> </w:t>
      </w:r>
      <w:r>
        <w:rPr>
          <w:rFonts w:hint="eastAsia" w:ascii="宋体" w:hAnsi="宋体" w:cs="宋体"/>
          <w:bCs/>
          <w:sz w:val="24"/>
          <w:szCs w:val="24"/>
        </w:rPr>
        <w:t>小时内采取修理、更换、退货等补救措施并负担因此发生的费用，同时需向甲方支付</w:t>
      </w:r>
      <w:r>
        <w:rPr>
          <w:rFonts w:hint="eastAsia" w:ascii="宋体" w:hAnsi="宋体" w:cs="宋体"/>
          <w:bCs/>
          <w:sz w:val="24"/>
          <w:szCs w:val="24"/>
          <w:u w:val="single"/>
        </w:rPr>
        <w:t>不合格设备价格的</w:t>
      </w:r>
      <w:r>
        <w:rPr>
          <w:rFonts w:ascii="宋体" w:hAnsi="宋体" w:cs="宋体"/>
          <w:bCs/>
          <w:sz w:val="24"/>
          <w:szCs w:val="24"/>
          <w:u w:val="single"/>
        </w:rPr>
        <w:t xml:space="preserve"> 50 </w:t>
      </w:r>
      <w:r>
        <w:rPr>
          <w:rFonts w:ascii="宋体" w:hAnsi="宋体" w:cs="宋体"/>
          <w:bCs/>
          <w:sz w:val="24"/>
          <w:szCs w:val="24"/>
        </w:rPr>
        <w:t>%</w:t>
      </w:r>
      <w:r>
        <w:rPr>
          <w:rFonts w:hint="eastAsia" w:ascii="宋体" w:hAnsi="宋体" w:cs="宋体"/>
          <w:bCs/>
          <w:sz w:val="24"/>
          <w:szCs w:val="24"/>
        </w:rPr>
        <w:t>作为违约金。</w:t>
      </w:r>
    </w:p>
    <w:p>
      <w:pPr>
        <w:spacing w:line="360" w:lineRule="auto"/>
        <w:ind w:firstLine="482"/>
        <w:rPr>
          <w:rFonts w:ascii="宋体" w:hAnsi="宋体" w:cs="宋体"/>
          <w:sz w:val="24"/>
          <w:szCs w:val="24"/>
        </w:rPr>
      </w:pPr>
      <w:r>
        <w:rPr>
          <w:rFonts w:ascii="宋体" w:hAnsi="宋体" w:cs="宋体"/>
          <w:bCs/>
          <w:sz w:val="24"/>
          <w:szCs w:val="24"/>
        </w:rPr>
        <w:t xml:space="preserve">11.2.3 </w:t>
      </w:r>
      <w:r>
        <w:rPr>
          <w:rFonts w:hint="eastAsia" w:ascii="宋体" w:hAnsi="宋体" w:cs="宋体"/>
          <w:bCs/>
          <w:sz w:val="24"/>
          <w:szCs w:val="24"/>
        </w:rPr>
        <w:t>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宋体" w:hAnsi="宋体" w:cs="宋体"/>
          <w:bCs/>
          <w:sz w:val="24"/>
          <w:szCs w:val="24"/>
          <w:u w:val="single"/>
        </w:rPr>
        <w:t>合同暂定总价的</w:t>
      </w:r>
      <w:r>
        <w:rPr>
          <w:rFonts w:ascii="宋体" w:hAnsi="宋体" w:cs="宋体"/>
          <w:bCs/>
          <w:sz w:val="24"/>
          <w:szCs w:val="24"/>
          <w:u w:val="single"/>
        </w:rPr>
        <w:t xml:space="preserve"> 100 %</w:t>
      </w:r>
      <w:r>
        <w:rPr>
          <w:rFonts w:hint="eastAsia" w:ascii="宋体" w:hAnsi="宋体" w:cs="宋体"/>
          <w:bCs/>
          <w:sz w:val="24"/>
          <w:szCs w:val="24"/>
        </w:rPr>
        <w:t>支付违约金。</w:t>
      </w:r>
    </w:p>
    <w:p>
      <w:pPr>
        <w:spacing w:line="360" w:lineRule="auto"/>
        <w:ind w:firstLine="480" w:firstLineChars="200"/>
        <w:rPr>
          <w:rFonts w:ascii="宋体" w:hAnsi="宋体" w:cs="宋体"/>
          <w:sz w:val="24"/>
          <w:szCs w:val="24"/>
        </w:rPr>
      </w:pPr>
      <w:r>
        <w:rPr>
          <w:rFonts w:ascii="宋体" w:hAnsi="宋体" w:cs="宋体"/>
          <w:sz w:val="24"/>
          <w:szCs w:val="24"/>
        </w:rPr>
        <w:t xml:space="preserve">11.2.4 </w:t>
      </w:r>
      <w:r>
        <w:rPr>
          <w:rFonts w:hint="eastAsia" w:ascii="宋体" w:hAnsi="宋体" w:cs="宋体"/>
          <w:sz w:val="24"/>
          <w:szCs w:val="24"/>
        </w:rPr>
        <w:t>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ascii="宋体" w:hAnsi="宋体" w:cs="宋体"/>
          <w:bCs/>
          <w:sz w:val="24"/>
          <w:szCs w:val="24"/>
        </w:rPr>
      </w:pPr>
      <w:r>
        <w:rPr>
          <w:rFonts w:ascii="宋体" w:hAnsi="宋体" w:cs="宋体"/>
          <w:bCs/>
          <w:sz w:val="24"/>
          <w:szCs w:val="24"/>
        </w:rPr>
        <w:t xml:space="preserve">11.3 </w:t>
      </w:r>
      <w:r>
        <w:rPr>
          <w:rFonts w:hint="eastAsia" w:ascii="宋体" w:hAnsi="宋体" w:cs="宋体"/>
          <w:bCs/>
          <w:sz w:val="24"/>
          <w:szCs w:val="24"/>
        </w:rPr>
        <w:t>如乙方未按合同六条约定递交履约保证金，甲方有权解除合同并要求乙方支付</w:t>
      </w:r>
      <w:r>
        <w:rPr>
          <w:rFonts w:hint="eastAsia" w:ascii="宋体" w:hAnsi="宋体" w:cs="宋体"/>
          <w:bCs/>
          <w:sz w:val="24"/>
          <w:szCs w:val="24"/>
          <w:u w:val="single"/>
        </w:rPr>
        <w:t>合同暂定总价的</w:t>
      </w:r>
      <w:r>
        <w:rPr>
          <w:rFonts w:ascii="宋体" w:hAnsi="宋体" w:cs="宋体"/>
          <w:bCs/>
          <w:sz w:val="24"/>
          <w:szCs w:val="24"/>
          <w:u w:val="single"/>
        </w:rPr>
        <w:t>20%</w:t>
      </w:r>
      <w:r>
        <w:rPr>
          <w:rFonts w:hint="eastAsia" w:ascii="宋体" w:hAnsi="宋体" w:cs="宋体"/>
          <w:bCs/>
          <w:sz w:val="24"/>
          <w:szCs w:val="24"/>
        </w:rPr>
        <w:t>作为违约金。</w:t>
      </w:r>
      <w:r>
        <w:rPr>
          <w:rFonts w:ascii="宋体" w:hAnsi="宋体" w:cs="宋体"/>
          <w:bCs/>
          <w:sz w:val="24"/>
          <w:szCs w:val="24"/>
        </w:rPr>
        <w:t xml:space="preserve"> </w:t>
      </w:r>
    </w:p>
    <w:p>
      <w:pPr>
        <w:spacing w:line="360" w:lineRule="auto"/>
        <w:ind w:firstLine="482"/>
        <w:rPr>
          <w:rFonts w:ascii="宋体" w:hAnsi="宋体" w:cs="宋体"/>
          <w:sz w:val="24"/>
          <w:szCs w:val="24"/>
        </w:rPr>
      </w:pPr>
      <w:r>
        <w:rPr>
          <w:rFonts w:ascii="宋体" w:hAnsi="宋体" w:cs="宋体"/>
          <w:bCs/>
          <w:sz w:val="24"/>
          <w:szCs w:val="24"/>
        </w:rPr>
        <w:t xml:space="preserve">11.4 </w:t>
      </w:r>
      <w:r>
        <w:rPr>
          <w:rFonts w:hint="eastAsia" w:ascii="宋体" w:hAnsi="宋体" w:cs="宋体"/>
          <w:bCs/>
          <w:sz w:val="24"/>
          <w:szCs w:val="24"/>
        </w:rPr>
        <w:t>如双方对质量责任认定有争议，</w:t>
      </w:r>
      <w:r>
        <w:rPr>
          <w:rFonts w:hint="eastAsia" w:ascii="宋体" w:hAnsi="宋体" w:cs="宋体"/>
          <w:sz w:val="24"/>
          <w:szCs w:val="24"/>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ascii="宋体" w:hAnsi="宋体" w:cs="宋体"/>
          <w:bCs/>
          <w:sz w:val="24"/>
          <w:szCs w:val="24"/>
        </w:rPr>
      </w:pPr>
      <w:r>
        <w:rPr>
          <w:rFonts w:ascii="宋体" w:hAnsi="宋体" w:cs="宋体"/>
          <w:bCs/>
          <w:sz w:val="24"/>
          <w:szCs w:val="24"/>
        </w:rPr>
        <w:t>11.5乙方不履行合同义务、或履行合同义务不符合合同约定、或违反国家、省、市行业标准的，甲方有权要求乙方限期整改。乙方逾期未完成整改的，每项每超过1日支付违约金人民币1万元，超过</w:t>
      </w:r>
      <w:r>
        <w:rPr>
          <w:rFonts w:ascii="宋体" w:hAnsi="宋体" w:cs="宋体"/>
          <w:bCs/>
          <w:sz w:val="24"/>
          <w:szCs w:val="24"/>
          <w:u w:val="single"/>
        </w:rPr>
        <w:t>_</w:t>
      </w:r>
      <w:r>
        <w:rPr>
          <w:rFonts w:hint="eastAsia" w:ascii="宋体" w:hAnsi="宋体" w:cs="宋体"/>
          <w:bCs/>
          <w:sz w:val="24"/>
          <w:szCs w:val="24"/>
          <w:u w:val="single"/>
        </w:rPr>
        <w:t>3</w:t>
      </w:r>
      <w:r>
        <w:rPr>
          <w:rFonts w:ascii="宋体" w:hAnsi="宋体" w:cs="宋体"/>
          <w:bCs/>
          <w:sz w:val="24"/>
          <w:szCs w:val="24"/>
          <w:u w:val="single"/>
        </w:rPr>
        <w:t xml:space="preserve"> _</w:t>
      </w:r>
      <w:r>
        <w:rPr>
          <w:rFonts w:ascii="宋体" w:hAnsi="宋体" w:cs="宋体"/>
          <w:bCs/>
          <w:sz w:val="24"/>
          <w:szCs w:val="24"/>
        </w:rPr>
        <w:t>日，甲方有权解除合同并要求乙方支付</w:t>
      </w:r>
      <w:r>
        <w:rPr>
          <w:rFonts w:hint="eastAsia" w:ascii="宋体" w:hAnsi="宋体" w:cs="宋体"/>
          <w:bCs/>
          <w:sz w:val="24"/>
          <w:szCs w:val="24"/>
          <w:u w:val="single"/>
        </w:rPr>
        <w:t>合同暂定总价</w:t>
      </w:r>
      <w:r>
        <w:rPr>
          <w:rFonts w:ascii="宋体" w:hAnsi="宋体" w:cs="宋体"/>
          <w:bCs/>
          <w:sz w:val="24"/>
          <w:szCs w:val="24"/>
          <w:u w:val="single"/>
        </w:rPr>
        <w:t>的20%</w:t>
      </w:r>
      <w:r>
        <w:rPr>
          <w:rFonts w:ascii="宋体" w:hAnsi="宋体" w:cs="宋体"/>
          <w:bCs/>
          <w:sz w:val="24"/>
          <w:szCs w:val="24"/>
        </w:rPr>
        <w:t>作为违约金</w:t>
      </w:r>
      <w:r>
        <w:rPr>
          <w:rFonts w:hint="eastAsia" w:ascii="宋体" w:hAnsi="宋体" w:cs="宋体"/>
          <w:bCs/>
          <w:sz w:val="24"/>
          <w:szCs w:val="24"/>
        </w:rPr>
        <w:t>（</w:t>
      </w:r>
      <w:r>
        <w:rPr>
          <w:rFonts w:hint="eastAsia" w:cs="宋体"/>
          <w:sz w:val="24"/>
        </w:rPr>
        <w:t>如合同另行约定违约责任，从其约定</w:t>
      </w:r>
      <w:r>
        <w:rPr>
          <w:rFonts w:hint="eastAsia" w:ascii="宋体" w:hAnsi="宋体" w:cs="宋体"/>
          <w:bCs/>
          <w:sz w:val="24"/>
          <w:szCs w:val="24"/>
        </w:rPr>
        <w:t>）</w:t>
      </w:r>
      <w:r>
        <w:rPr>
          <w:rFonts w:ascii="宋体" w:hAnsi="宋体" w:cs="宋体"/>
          <w:bCs/>
          <w:sz w:val="24"/>
          <w:szCs w:val="24"/>
        </w:rPr>
        <w:t xml:space="preserve">。 </w:t>
      </w:r>
    </w:p>
    <w:p>
      <w:pPr>
        <w:spacing w:line="360" w:lineRule="auto"/>
        <w:ind w:firstLine="482"/>
        <w:rPr>
          <w:rFonts w:ascii="宋体" w:hAnsi="宋体" w:eastAsia="宋体" w:cs="宋体"/>
          <w:sz w:val="24"/>
          <w:szCs w:val="24"/>
        </w:rPr>
      </w:pPr>
      <w:r>
        <w:rPr>
          <w:rFonts w:hint="eastAsia" w:ascii="宋体" w:hAnsi="宋体" w:cs="宋体"/>
          <w:bCs/>
          <w:sz w:val="24"/>
          <w:szCs w:val="24"/>
        </w:rPr>
        <w:t>11.6在合同有效期内，若乙方发生不诚信行为情形的，乙方自愿接受甲方按《广州市净水有限公司经营建设项目参建企业不诚信行为管理办法》处理，具体处理标准详见附件3。</w:t>
      </w:r>
    </w:p>
    <w:p>
      <w:pPr>
        <w:spacing w:line="360" w:lineRule="auto"/>
        <w:ind w:firstLine="482" w:firstLineChars="200"/>
        <w:rPr>
          <w:rFonts w:ascii="宋体" w:hAnsi="宋体" w:cs="宋体"/>
          <w:b/>
          <w:sz w:val="24"/>
          <w:szCs w:val="24"/>
        </w:rPr>
      </w:pPr>
      <w:bookmarkStart w:id="138" w:name="_Toc107446861"/>
      <w:bookmarkStart w:id="139" w:name="_Toc107447254"/>
      <w:bookmarkStart w:id="140" w:name="_Toc520190038"/>
      <w:bookmarkStart w:id="141" w:name="_Toc107447253"/>
      <w:bookmarkStart w:id="142" w:name="_Toc518992998"/>
      <w:bookmarkStart w:id="143" w:name="_Toc107446860"/>
      <w:bookmarkStart w:id="144" w:name="_Toc474245224"/>
      <w:bookmarkStart w:id="145" w:name="_Toc118086592"/>
      <w:r>
        <w:rPr>
          <w:rFonts w:hint="eastAsia" w:ascii="宋体" w:hAnsi="宋体" w:cs="宋体"/>
          <w:b/>
          <w:sz w:val="24"/>
          <w:szCs w:val="24"/>
        </w:rPr>
        <w:t>第十二条</w:t>
      </w:r>
      <w:r>
        <w:rPr>
          <w:rFonts w:ascii="宋体" w:hAnsi="宋体" w:cs="宋体"/>
          <w:b/>
          <w:sz w:val="24"/>
          <w:szCs w:val="24"/>
        </w:rPr>
        <w:t xml:space="preserve"> </w:t>
      </w:r>
      <w:r>
        <w:rPr>
          <w:rFonts w:hint="eastAsia" w:ascii="宋体" w:hAnsi="宋体" w:cs="宋体"/>
          <w:b/>
          <w:sz w:val="24"/>
          <w:szCs w:val="24"/>
        </w:rPr>
        <w:t>变更或解除</w:t>
      </w:r>
    </w:p>
    <w:p>
      <w:pPr>
        <w:spacing w:line="360" w:lineRule="auto"/>
        <w:ind w:firstLine="482"/>
        <w:rPr>
          <w:rFonts w:ascii="宋体" w:hAnsi="宋体" w:cs="宋体"/>
          <w:bCs/>
          <w:sz w:val="24"/>
          <w:szCs w:val="24"/>
        </w:rPr>
      </w:pPr>
      <w:r>
        <w:rPr>
          <w:rFonts w:ascii="宋体" w:hAnsi="宋体" w:cs="宋体"/>
          <w:bCs/>
          <w:sz w:val="24"/>
          <w:szCs w:val="24"/>
        </w:rPr>
        <w:t xml:space="preserve">12.1 </w:t>
      </w:r>
      <w:r>
        <w:rPr>
          <w:rFonts w:hint="eastAsia" w:ascii="宋体" w:hAnsi="宋体" w:cs="宋体"/>
          <w:bCs/>
          <w:sz w:val="24"/>
          <w:szCs w:val="24"/>
        </w:rPr>
        <w:t>甲方解除合同</w:t>
      </w:r>
    </w:p>
    <w:p>
      <w:pPr>
        <w:spacing w:line="360" w:lineRule="auto"/>
        <w:ind w:firstLine="482"/>
        <w:rPr>
          <w:rFonts w:ascii="宋体" w:hAnsi="宋体" w:cs="宋体"/>
          <w:bCs/>
          <w:sz w:val="24"/>
          <w:szCs w:val="24"/>
        </w:rPr>
      </w:pPr>
      <w:r>
        <w:rPr>
          <w:rFonts w:hint="eastAsia" w:ascii="宋体" w:hAnsi="宋体" w:cs="宋体"/>
          <w:bCs/>
          <w:sz w:val="24"/>
          <w:szCs w:val="24"/>
        </w:rPr>
        <w:t>如乙方存在下述情况之一，甲方有权向乙方发出书面通知，全部或部分解除本合同：</w:t>
      </w:r>
    </w:p>
    <w:p>
      <w:pPr>
        <w:spacing w:line="360" w:lineRule="auto"/>
        <w:ind w:firstLine="482"/>
        <w:rPr>
          <w:rFonts w:ascii="宋体" w:hAnsi="宋体" w:cs="宋体"/>
          <w:bCs/>
          <w:sz w:val="24"/>
          <w:szCs w:val="24"/>
        </w:rPr>
      </w:pPr>
      <w:r>
        <w:rPr>
          <w:rFonts w:ascii="宋体" w:hAnsi="宋体" w:cs="宋体"/>
          <w:bCs/>
          <w:sz w:val="24"/>
          <w:szCs w:val="24"/>
        </w:rPr>
        <w:t xml:space="preserve">12.1.1 </w:t>
      </w:r>
      <w:r>
        <w:rPr>
          <w:rFonts w:hint="eastAsia" w:ascii="宋体" w:hAnsi="宋体" w:cs="宋体"/>
          <w:bCs/>
          <w:sz w:val="24"/>
          <w:szCs w:val="24"/>
        </w:rPr>
        <w:t>乙方未能在本合同约定或甲方另行指定的期限内提供部分或全部设备或提供技术服务，并经甲方催告后仍未提供；</w:t>
      </w:r>
      <w:r>
        <w:rPr>
          <w:rFonts w:ascii="宋体" w:hAnsi="宋体" w:cs="宋体"/>
          <w:bCs/>
          <w:sz w:val="24"/>
          <w:szCs w:val="24"/>
        </w:rPr>
        <w:t xml:space="preserve"> </w:t>
      </w:r>
    </w:p>
    <w:p>
      <w:pPr>
        <w:spacing w:line="360" w:lineRule="auto"/>
        <w:ind w:firstLine="480" w:firstLineChars="200"/>
        <w:rPr>
          <w:rFonts w:ascii="宋体" w:hAnsi="宋体" w:cs="宋体"/>
          <w:bCs/>
          <w:sz w:val="24"/>
          <w:szCs w:val="24"/>
        </w:rPr>
      </w:pPr>
      <w:r>
        <w:rPr>
          <w:rFonts w:ascii="宋体" w:hAnsi="宋体" w:cs="宋体"/>
          <w:bCs/>
          <w:sz w:val="24"/>
          <w:szCs w:val="24"/>
        </w:rPr>
        <w:t>12.1.2</w:t>
      </w:r>
      <w:r>
        <w:rPr>
          <w:rFonts w:hint="eastAsia" w:ascii="宋体" w:hAnsi="宋体" w:cs="宋体"/>
          <w:bCs/>
          <w:sz w:val="24"/>
          <w:szCs w:val="24"/>
        </w:rPr>
        <w:t>乙方交付的设备存在严重的质量问题，导致本合同目的不能实现；</w:t>
      </w:r>
    </w:p>
    <w:p>
      <w:pPr>
        <w:spacing w:line="360" w:lineRule="auto"/>
        <w:ind w:firstLine="480" w:firstLineChars="200"/>
        <w:rPr>
          <w:rFonts w:ascii="宋体" w:hAnsi="宋体" w:cs="宋体"/>
          <w:bCs/>
          <w:sz w:val="24"/>
          <w:szCs w:val="24"/>
        </w:rPr>
      </w:pPr>
      <w:r>
        <w:rPr>
          <w:rFonts w:ascii="宋体" w:hAnsi="宋体" w:cs="宋体"/>
          <w:bCs/>
          <w:sz w:val="24"/>
          <w:szCs w:val="24"/>
        </w:rPr>
        <w:t xml:space="preserve">12.1.3 </w:t>
      </w:r>
      <w:r>
        <w:rPr>
          <w:rFonts w:hint="eastAsia" w:ascii="宋体" w:hAnsi="宋体" w:cs="宋体"/>
          <w:bCs/>
          <w:sz w:val="24"/>
          <w:szCs w:val="24"/>
        </w:rPr>
        <w:t>乙方存在违反合同义务的其他情形，经甲方催告后仍未作出补救或完成整改；</w:t>
      </w:r>
    </w:p>
    <w:p>
      <w:pPr>
        <w:spacing w:line="360" w:lineRule="auto"/>
        <w:ind w:firstLine="480" w:firstLineChars="200"/>
        <w:rPr>
          <w:rFonts w:ascii="宋体" w:hAnsi="宋体" w:cs="宋体"/>
          <w:bCs/>
          <w:sz w:val="24"/>
          <w:szCs w:val="24"/>
        </w:rPr>
      </w:pPr>
      <w:r>
        <w:rPr>
          <w:rFonts w:ascii="宋体" w:hAnsi="宋体" w:cs="宋体"/>
          <w:bCs/>
          <w:sz w:val="24"/>
          <w:szCs w:val="24"/>
        </w:rPr>
        <w:t xml:space="preserve">12.1.4 </w:t>
      </w:r>
      <w:r>
        <w:rPr>
          <w:rFonts w:hint="eastAsia" w:ascii="宋体" w:hAnsi="宋体" w:cs="宋体"/>
          <w:bCs/>
          <w:sz w:val="24"/>
          <w:szCs w:val="24"/>
        </w:rPr>
        <w:t>乙方投标时提交的资料不真实，或任何时候发现乙方有违反投标时的承诺和（或）声明的情况；</w:t>
      </w:r>
    </w:p>
    <w:p>
      <w:pPr>
        <w:spacing w:line="360" w:lineRule="auto"/>
        <w:ind w:firstLine="482"/>
        <w:rPr>
          <w:rFonts w:ascii="宋体" w:hAnsi="宋体" w:cs="宋体"/>
          <w:bCs/>
          <w:sz w:val="24"/>
          <w:szCs w:val="24"/>
        </w:rPr>
      </w:pPr>
      <w:r>
        <w:rPr>
          <w:rFonts w:ascii="宋体" w:hAnsi="宋体" w:cs="宋体"/>
          <w:bCs/>
          <w:sz w:val="24"/>
          <w:szCs w:val="24"/>
        </w:rPr>
        <w:t xml:space="preserve">12.2 </w:t>
      </w:r>
      <w:r>
        <w:rPr>
          <w:rFonts w:hint="eastAsia" w:ascii="宋体" w:hAnsi="宋体" w:cs="宋体"/>
          <w:bCs/>
          <w:sz w:val="24"/>
          <w:szCs w:val="24"/>
        </w:rPr>
        <w:t>乙方解除合同</w:t>
      </w:r>
    </w:p>
    <w:p>
      <w:pPr>
        <w:spacing w:line="360" w:lineRule="auto"/>
        <w:ind w:firstLine="482"/>
        <w:rPr>
          <w:rFonts w:ascii="宋体" w:hAnsi="宋体" w:cs="宋体"/>
          <w:sz w:val="24"/>
          <w:szCs w:val="24"/>
        </w:rPr>
      </w:pPr>
      <w:r>
        <w:rPr>
          <w:rFonts w:hint="eastAsia" w:ascii="宋体" w:hAnsi="宋体" w:cs="宋体"/>
          <w:bCs/>
          <w:sz w:val="24"/>
          <w:szCs w:val="24"/>
        </w:rPr>
        <w:t>如甲方无正当理由未能按本合同约定期限向乙方支付合同款，并经乙方催告后超过</w:t>
      </w:r>
      <w:r>
        <w:rPr>
          <w:rFonts w:ascii="宋体" w:hAnsi="宋体" w:cs="宋体"/>
          <w:bCs/>
          <w:sz w:val="24"/>
          <w:szCs w:val="24"/>
        </w:rPr>
        <w:t xml:space="preserve">   </w:t>
      </w:r>
      <w:r>
        <w:rPr>
          <w:rFonts w:hint="eastAsia" w:ascii="宋体" w:hAnsi="宋体" w:cs="宋体"/>
          <w:bCs/>
          <w:sz w:val="24"/>
          <w:szCs w:val="24"/>
        </w:rPr>
        <w:t>天仍未支付，乙方有权以书面通知解除本合同。</w:t>
      </w:r>
      <w:r>
        <w:rPr>
          <w:rFonts w:ascii="宋体" w:hAnsi="宋体" w:cs="宋体"/>
          <w:sz w:val="24"/>
          <w:szCs w:val="24"/>
        </w:rPr>
        <w:br w:type="textWrapping"/>
      </w:r>
      <w:r>
        <w:rPr>
          <w:rFonts w:hint="eastAsia" w:ascii="宋体" w:hAnsi="宋体" w:cs="宋体"/>
          <w:sz w:val="24"/>
          <w:szCs w:val="24"/>
        </w:rPr>
        <w:t> </w:t>
      </w:r>
      <w:r>
        <w:rPr>
          <w:rFonts w:ascii="宋体" w:hAnsi="宋体" w:cs="宋体"/>
          <w:sz w:val="24"/>
          <w:szCs w:val="24"/>
        </w:rPr>
        <w:t xml:space="preserve">  12.3</w:t>
      </w:r>
      <w:r>
        <w:rPr>
          <w:rFonts w:hint="eastAsia" w:ascii="宋体" w:hAnsi="宋体" w:cs="宋体"/>
          <w:sz w:val="24"/>
          <w:szCs w:val="24"/>
        </w:rPr>
        <w:t>甲乙双方经协商一致后解除合同。</w:t>
      </w:r>
    </w:p>
    <w:p>
      <w:pPr>
        <w:spacing w:line="480" w:lineRule="exact"/>
        <w:ind w:firstLine="482" w:firstLineChars="200"/>
        <w:rPr>
          <w:rFonts w:ascii="宋体" w:hAnsi="宋体" w:cs="宋体"/>
          <w:sz w:val="24"/>
          <w:szCs w:val="24"/>
        </w:rPr>
      </w:pPr>
      <w:r>
        <w:rPr>
          <w:rFonts w:hint="eastAsia" w:ascii="宋体" w:hAnsi="宋体" w:cs="宋体"/>
          <w:b/>
          <w:bCs/>
          <w:sz w:val="24"/>
          <w:szCs w:val="24"/>
        </w:rPr>
        <w:t>第十三条</w:t>
      </w:r>
      <w:r>
        <w:rPr>
          <w:rFonts w:ascii="宋体" w:hAnsi="宋体" w:cs="宋体"/>
          <w:b/>
          <w:bCs/>
          <w:sz w:val="24"/>
          <w:szCs w:val="24"/>
        </w:rPr>
        <w:t xml:space="preserve"> </w:t>
      </w:r>
      <w:r>
        <w:rPr>
          <w:rFonts w:hint="eastAsia" w:ascii="宋体" w:hAnsi="宋体" w:cs="宋体"/>
          <w:b/>
          <w:bCs/>
          <w:sz w:val="24"/>
          <w:szCs w:val="24"/>
        </w:rPr>
        <w:t>不可抗力</w:t>
      </w:r>
    </w:p>
    <w:p>
      <w:pPr>
        <w:numPr>
          <w:ilvl w:val="255"/>
          <w:numId w:val="0"/>
        </w:numPr>
        <w:spacing w:line="480" w:lineRule="exact"/>
        <w:ind w:firstLine="480" w:firstLineChars="200"/>
        <w:rPr>
          <w:rFonts w:ascii="宋体" w:hAnsi="宋体" w:cs="宋体"/>
          <w:sz w:val="24"/>
          <w:szCs w:val="24"/>
        </w:rPr>
      </w:pPr>
      <w:r>
        <w:rPr>
          <w:rFonts w:ascii="宋体" w:hAnsi="宋体" w:cs="宋体"/>
          <w:sz w:val="24"/>
          <w:szCs w:val="24"/>
        </w:rPr>
        <w:t>13.1</w:t>
      </w:r>
      <w:r>
        <w:rPr>
          <w:rFonts w:hint="eastAsia" w:ascii="宋体" w:hAnsi="宋体" w:cs="宋体"/>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spacing w:line="480" w:lineRule="exact"/>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1）地震、火山爆发、滑坡、暴雨（橙色预警及以上）、台风（黄色预警及以上）、海啸、龙卷风、大面积流行病(如：非典型性肺炎等)或瘟疫；</w:t>
      </w:r>
    </w:p>
    <w:p>
      <w:pPr>
        <w:spacing w:line="480" w:lineRule="exact"/>
        <w:ind w:firstLine="480" w:firstLineChars="200"/>
        <w:rPr>
          <w:rFonts w:ascii="宋体" w:hAnsi="宋体" w:cs="宋体"/>
          <w:sz w:val="24"/>
          <w:szCs w:val="24"/>
        </w:rPr>
      </w:pPr>
      <w:r>
        <w:rPr>
          <w:rFonts w:hint="eastAsia" w:ascii="宋体" w:hAnsi="宋体" w:cs="宋体"/>
          <w:sz w:val="24"/>
          <w:szCs w:val="24"/>
        </w:rPr>
        <w:t>（</w:t>
      </w:r>
      <w:r>
        <w:rPr>
          <w:rFonts w:ascii="宋体" w:hAnsi="宋体" w:cs="宋体"/>
          <w:sz w:val="24"/>
          <w:szCs w:val="24"/>
        </w:rPr>
        <w:t>2）战争行为、入侵、武装冲突或外敌行为、封锁、暴乱、恐怖行为或军事演习；</w:t>
      </w:r>
    </w:p>
    <w:p>
      <w:pPr>
        <w:spacing w:line="480" w:lineRule="exact"/>
        <w:ind w:firstLine="480" w:firstLineChars="200"/>
        <w:rPr>
          <w:rFonts w:ascii="宋体" w:hAnsi="宋体" w:cs="宋体"/>
          <w:sz w:val="24"/>
          <w:szCs w:val="24"/>
        </w:rPr>
      </w:pPr>
      <w:r>
        <w:rPr>
          <w:rFonts w:ascii="宋体" w:hAnsi="宋体" w:cs="宋体"/>
          <w:sz w:val="24"/>
          <w:szCs w:val="24"/>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spacing w:line="360" w:lineRule="auto"/>
        <w:ind w:firstLine="480" w:firstLineChars="200"/>
        <w:rPr>
          <w:rFonts w:ascii="宋体" w:hAnsi="宋体" w:cs="宋体"/>
          <w:sz w:val="24"/>
          <w:szCs w:val="24"/>
        </w:rPr>
      </w:pPr>
      <w:r>
        <w:rPr>
          <w:rFonts w:ascii="宋体" w:hAnsi="宋体" w:cs="宋体"/>
          <w:sz w:val="24"/>
          <w:szCs w:val="24"/>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ascii="宋体" w:hAnsi="宋体" w:cs="宋体"/>
          <w:sz w:val="24"/>
          <w:szCs w:val="24"/>
        </w:rPr>
      </w:pPr>
      <w:r>
        <w:rPr>
          <w:rFonts w:ascii="宋体" w:hAnsi="宋体" w:cs="宋体"/>
          <w:sz w:val="24"/>
          <w:szCs w:val="24"/>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ascii="宋体" w:hAnsi="宋体" w:cs="宋体"/>
          <w:b/>
          <w:sz w:val="24"/>
          <w:szCs w:val="24"/>
        </w:rPr>
      </w:pPr>
      <w:r>
        <w:rPr>
          <w:rFonts w:hint="eastAsia" w:ascii="宋体" w:hAnsi="宋体" w:cs="宋体"/>
          <w:b/>
          <w:sz w:val="24"/>
          <w:szCs w:val="24"/>
        </w:rPr>
        <w:t>第十四条</w:t>
      </w:r>
      <w:r>
        <w:rPr>
          <w:rFonts w:ascii="宋体" w:hAnsi="宋体" w:cs="宋体"/>
          <w:b/>
          <w:sz w:val="24"/>
          <w:szCs w:val="24"/>
        </w:rPr>
        <w:t xml:space="preserve"> </w:t>
      </w:r>
      <w:r>
        <w:rPr>
          <w:rFonts w:hint="eastAsia" w:ascii="宋体" w:hAnsi="宋体" w:cs="宋体"/>
          <w:b/>
          <w:sz w:val="24"/>
          <w:szCs w:val="24"/>
        </w:rPr>
        <w:t>争议解决方式：</w:t>
      </w:r>
    </w:p>
    <w:p>
      <w:pPr>
        <w:spacing w:line="360" w:lineRule="auto"/>
        <w:ind w:firstLine="600" w:firstLineChars="250"/>
        <w:rPr>
          <w:rFonts w:ascii="宋体" w:hAnsi="宋体" w:cs="宋体"/>
          <w:sz w:val="24"/>
          <w:szCs w:val="24"/>
        </w:rPr>
      </w:pPr>
      <w:r>
        <w:rPr>
          <w:rFonts w:ascii="宋体" w:hAnsi="宋体" w:cs="宋体"/>
          <w:sz w:val="24"/>
          <w:szCs w:val="24"/>
        </w:rPr>
        <w:t xml:space="preserve">14.1 </w:t>
      </w:r>
      <w:r>
        <w:rPr>
          <w:rFonts w:hint="eastAsia" w:ascii="宋体" w:hAnsi="宋体" w:cs="宋体"/>
          <w:sz w:val="24"/>
          <w:szCs w:val="24"/>
        </w:rPr>
        <w:t>因本合同引起的或与本合同有关的任何争议，甲乙双方应友好协商解决，如协商不成，任何一方均可依法向</w:t>
      </w:r>
      <w:r>
        <w:rPr>
          <w:rFonts w:hint="eastAsia" w:ascii="宋体" w:hAnsi="宋体" w:cs="宋体"/>
          <w:sz w:val="24"/>
          <w:szCs w:val="24"/>
          <w:u w:val="single"/>
        </w:rPr>
        <w:t>甲方所在地人民法院</w:t>
      </w:r>
      <w:r>
        <w:rPr>
          <w:rFonts w:hint="eastAsia" w:ascii="宋体" w:hAnsi="宋体" w:cs="宋体"/>
          <w:sz w:val="24"/>
          <w:szCs w:val="24"/>
        </w:rPr>
        <w:t>提起诉讼。</w:t>
      </w:r>
    </w:p>
    <w:p>
      <w:pPr>
        <w:spacing w:line="360" w:lineRule="auto"/>
        <w:ind w:firstLine="600" w:firstLineChars="250"/>
        <w:rPr>
          <w:rFonts w:ascii="宋体" w:hAnsi="宋体" w:cs="宋体"/>
          <w:sz w:val="24"/>
          <w:szCs w:val="24"/>
        </w:rPr>
      </w:pPr>
      <w:r>
        <w:rPr>
          <w:rFonts w:ascii="宋体" w:hAnsi="宋体" w:cs="宋体"/>
          <w:sz w:val="24"/>
          <w:szCs w:val="24"/>
        </w:rPr>
        <w:t xml:space="preserve">14.2 </w:t>
      </w:r>
      <w:r>
        <w:rPr>
          <w:rFonts w:hint="eastAsia" w:ascii="宋体" w:hAnsi="宋体" w:cs="宋体"/>
          <w:sz w:val="24"/>
          <w:szCs w:val="24"/>
        </w:rPr>
        <w:t>在甲方同意的情况下，除有争端之外的合同其它部分在争端解决前应继续执行。</w:t>
      </w:r>
    </w:p>
    <w:p>
      <w:pPr>
        <w:spacing w:line="360" w:lineRule="auto"/>
        <w:ind w:firstLine="482" w:firstLineChars="200"/>
        <w:rPr>
          <w:rFonts w:ascii="宋体" w:hAnsi="宋体" w:cs="宋体"/>
          <w:b/>
          <w:sz w:val="24"/>
          <w:szCs w:val="24"/>
        </w:rPr>
      </w:pPr>
      <w:r>
        <w:rPr>
          <w:rFonts w:hint="eastAsia" w:ascii="宋体" w:hAnsi="宋体" w:cs="宋体"/>
          <w:b/>
          <w:sz w:val="24"/>
          <w:szCs w:val="24"/>
        </w:rPr>
        <w:t>第十五条</w:t>
      </w:r>
      <w:r>
        <w:rPr>
          <w:rFonts w:ascii="宋体" w:hAnsi="宋体" w:cs="宋体"/>
          <w:b/>
          <w:sz w:val="24"/>
          <w:szCs w:val="24"/>
        </w:rPr>
        <w:t xml:space="preserve"> </w:t>
      </w:r>
      <w:r>
        <w:rPr>
          <w:rFonts w:hint="eastAsia" w:ascii="宋体" w:hAnsi="宋体" w:cs="宋体"/>
          <w:b/>
          <w:sz w:val="24"/>
          <w:szCs w:val="24"/>
        </w:rPr>
        <w:t>其他：</w:t>
      </w:r>
    </w:p>
    <w:p>
      <w:pPr>
        <w:spacing w:line="360" w:lineRule="auto"/>
        <w:ind w:firstLine="595" w:firstLineChars="248"/>
        <w:rPr>
          <w:rFonts w:ascii="宋体" w:hAnsi="宋体" w:cs="宋体"/>
          <w:b/>
          <w:sz w:val="24"/>
          <w:szCs w:val="24"/>
        </w:rPr>
      </w:pPr>
      <w:r>
        <w:rPr>
          <w:rFonts w:ascii="宋体" w:hAnsi="宋体" w:cs="宋体"/>
          <w:bCs/>
          <w:sz w:val="24"/>
          <w:szCs w:val="24"/>
        </w:rPr>
        <w:t>15.1</w:t>
      </w:r>
      <w:r>
        <w:rPr>
          <w:rFonts w:hint="eastAsia" w:ascii="宋体" w:hAnsi="宋体" w:cs="宋体"/>
          <w:sz w:val="24"/>
          <w:szCs w:val="24"/>
        </w:rPr>
        <w:t>本合同未尽事宜，可由甲乙双方另行签订补充协议。补充协议与本合同具有同等法律效力。</w:t>
      </w:r>
    </w:p>
    <w:p>
      <w:pPr>
        <w:spacing w:line="360" w:lineRule="auto"/>
        <w:ind w:firstLine="600" w:firstLineChars="250"/>
        <w:rPr>
          <w:rFonts w:ascii="宋体" w:hAnsi="宋体" w:cs="宋体"/>
          <w:sz w:val="24"/>
          <w:szCs w:val="24"/>
        </w:rPr>
      </w:pPr>
      <w:r>
        <w:rPr>
          <w:rFonts w:ascii="宋体" w:hAnsi="宋体" w:cs="宋体"/>
          <w:sz w:val="24"/>
          <w:szCs w:val="24"/>
        </w:rPr>
        <w:t>15.2</w:t>
      </w:r>
      <w:r>
        <w:rPr>
          <w:rFonts w:hint="eastAsia" w:ascii="宋体" w:hAnsi="宋体" w:cs="宋体"/>
          <w:sz w:val="24"/>
          <w:szCs w:val="24"/>
        </w:rPr>
        <w:t>本合同自甲乙双方法定代表人或授权代理人签字并加盖公章之日起生效。</w:t>
      </w:r>
    </w:p>
    <w:p>
      <w:pPr>
        <w:spacing w:line="360" w:lineRule="auto"/>
        <w:ind w:firstLine="600" w:firstLineChars="250"/>
        <w:rPr>
          <w:rFonts w:ascii="宋体" w:hAnsi="宋体" w:cs="宋体"/>
          <w:sz w:val="24"/>
          <w:szCs w:val="24"/>
        </w:rPr>
      </w:pPr>
      <w:r>
        <w:rPr>
          <w:rFonts w:ascii="宋体" w:hAnsi="宋体" w:cs="宋体"/>
          <w:sz w:val="24"/>
          <w:szCs w:val="24"/>
        </w:rPr>
        <w:t>15.3</w:t>
      </w:r>
      <w:r>
        <w:rPr>
          <w:rFonts w:hint="eastAsia" w:ascii="宋体" w:hAnsi="宋体" w:cs="宋体"/>
          <w:sz w:val="24"/>
          <w:szCs w:val="24"/>
        </w:rPr>
        <w:t>本合同一式</w:t>
      </w:r>
      <w:r>
        <w:rPr>
          <w:rFonts w:ascii="宋体" w:hAnsi="宋体" w:cs="宋体"/>
          <w:sz w:val="24"/>
          <w:szCs w:val="24"/>
          <w:u w:val="single"/>
        </w:rPr>
        <w:t xml:space="preserve"> </w:t>
      </w:r>
      <w:r>
        <w:rPr>
          <w:rFonts w:hint="eastAsia" w:ascii="宋体" w:hAnsi="宋体" w:cs="宋体"/>
          <w:sz w:val="24"/>
          <w:szCs w:val="24"/>
          <w:u w:val="single"/>
        </w:rPr>
        <w:t>5</w:t>
      </w:r>
      <w:r>
        <w:rPr>
          <w:rFonts w:ascii="宋体" w:hAnsi="宋体" w:cs="宋体"/>
          <w:sz w:val="24"/>
          <w:szCs w:val="24"/>
          <w:u w:val="single"/>
        </w:rPr>
        <w:t xml:space="preserve">  </w:t>
      </w:r>
      <w:r>
        <w:rPr>
          <w:rFonts w:hint="eastAsia" w:ascii="宋体" w:hAnsi="宋体" w:cs="宋体"/>
          <w:sz w:val="24"/>
          <w:szCs w:val="24"/>
        </w:rPr>
        <w:t>份，甲方执</w:t>
      </w:r>
      <w:r>
        <w:rPr>
          <w:rFonts w:ascii="宋体" w:hAnsi="宋体" w:cs="宋体"/>
          <w:sz w:val="24"/>
          <w:szCs w:val="24"/>
          <w:u w:val="single"/>
        </w:rPr>
        <w:t xml:space="preserve">  </w:t>
      </w:r>
      <w:r>
        <w:rPr>
          <w:rFonts w:hint="eastAsia" w:ascii="宋体" w:hAnsi="宋体" w:cs="宋体"/>
          <w:sz w:val="24"/>
          <w:szCs w:val="24"/>
          <w:u w:val="single"/>
        </w:rPr>
        <w:t>3</w:t>
      </w:r>
      <w:r>
        <w:rPr>
          <w:rFonts w:ascii="宋体" w:hAnsi="宋体" w:cs="宋体"/>
          <w:sz w:val="24"/>
          <w:szCs w:val="24"/>
          <w:u w:val="single"/>
        </w:rPr>
        <w:t xml:space="preserve">  </w:t>
      </w:r>
      <w:r>
        <w:rPr>
          <w:rFonts w:hint="eastAsia" w:ascii="宋体" w:hAnsi="宋体" w:cs="宋体"/>
          <w:sz w:val="24"/>
          <w:szCs w:val="24"/>
        </w:rPr>
        <w:t>份，乙方执</w:t>
      </w:r>
      <w:r>
        <w:rPr>
          <w:rFonts w:ascii="宋体" w:hAnsi="宋体" w:cs="宋体"/>
          <w:sz w:val="24"/>
          <w:szCs w:val="24"/>
          <w:u w:val="single"/>
        </w:rPr>
        <w:t xml:space="preserve"> </w:t>
      </w:r>
      <w:r>
        <w:rPr>
          <w:rFonts w:hint="eastAsia" w:ascii="宋体" w:hAnsi="宋体" w:cs="宋体"/>
          <w:sz w:val="24"/>
          <w:szCs w:val="24"/>
          <w:u w:val="single"/>
        </w:rPr>
        <w:t>2</w:t>
      </w:r>
      <w:r>
        <w:rPr>
          <w:rFonts w:ascii="宋体" w:hAnsi="宋体" w:cs="宋体"/>
          <w:sz w:val="24"/>
          <w:szCs w:val="24"/>
          <w:u w:val="single"/>
        </w:rPr>
        <w:t xml:space="preserve"> </w:t>
      </w:r>
      <w:r>
        <w:rPr>
          <w:rFonts w:hint="eastAsia" w:ascii="宋体" w:hAnsi="宋体" w:cs="宋体"/>
          <w:sz w:val="24"/>
          <w:szCs w:val="24"/>
        </w:rPr>
        <w:t>份。均具有同等法律效力。</w:t>
      </w:r>
    </w:p>
    <w:p>
      <w:pPr>
        <w:spacing w:line="360" w:lineRule="auto"/>
        <w:ind w:firstLine="720" w:firstLineChars="300"/>
        <w:rPr>
          <w:rFonts w:ascii="宋体" w:hAnsi="宋体" w:cs="宋体"/>
          <w:sz w:val="24"/>
          <w:szCs w:val="24"/>
        </w:rPr>
      </w:pPr>
      <w:r>
        <w:rPr>
          <w:rFonts w:ascii="宋体" w:hAnsi="宋体" w:cs="宋体"/>
          <w:sz w:val="24"/>
          <w:szCs w:val="24"/>
        </w:rPr>
        <w:t>15.4</w:t>
      </w:r>
      <w:r>
        <w:rPr>
          <w:rFonts w:hint="eastAsia" w:ascii="宋体" w:hAnsi="宋体" w:cs="宋体"/>
          <w:sz w:val="24"/>
          <w:szCs w:val="24"/>
        </w:rPr>
        <w:t>补充条款：</w:t>
      </w:r>
      <w:r>
        <w:rPr>
          <w:rFonts w:ascii="宋体" w:hAnsi="宋体" w:cs="宋体"/>
          <w:sz w:val="24"/>
          <w:szCs w:val="24"/>
          <w:u w:val="single"/>
        </w:rPr>
        <w:t xml:space="preserve">  </w:t>
      </w:r>
      <w:r>
        <w:rPr>
          <w:rFonts w:hint="eastAsia" w:ascii="宋体" w:hAnsi="宋体" w:cs="宋体"/>
          <w:sz w:val="24"/>
          <w:szCs w:val="24"/>
          <w:u w:val="single"/>
        </w:rPr>
        <w:t xml:space="preserve">/ </w:t>
      </w:r>
      <w:r>
        <w:rPr>
          <w:rFonts w:ascii="宋体" w:hAnsi="宋体" w:cs="宋体"/>
          <w:sz w:val="24"/>
          <w:szCs w:val="24"/>
        </w:rPr>
        <w:t xml:space="preserve">     </w:t>
      </w:r>
      <w:bookmarkEnd w:id="108"/>
      <w:bookmarkEnd w:id="109"/>
      <w:bookmarkEnd w:id="135"/>
      <w:bookmarkEnd w:id="136"/>
      <w:bookmarkEnd w:id="137"/>
      <w:bookmarkEnd w:id="138"/>
      <w:bookmarkEnd w:id="139"/>
      <w:bookmarkEnd w:id="140"/>
      <w:bookmarkEnd w:id="141"/>
      <w:bookmarkEnd w:id="142"/>
      <w:bookmarkEnd w:id="143"/>
      <w:bookmarkEnd w:id="144"/>
      <w:bookmarkEnd w:id="145"/>
    </w:p>
    <w:p>
      <w:pPr>
        <w:spacing w:line="360" w:lineRule="auto"/>
        <w:ind w:firstLine="480"/>
        <w:rPr>
          <w:rFonts w:ascii="宋体" w:hAnsi="宋体" w:cs="宋体"/>
          <w:sz w:val="24"/>
          <w:szCs w:val="24"/>
        </w:rPr>
      </w:pPr>
      <w:r>
        <w:rPr>
          <w:rFonts w:hint="eastAsia" w:ascii="宋体" w:hAnsi="宋体" w:cs="宋体"/>
          <w:sz w:val="24"/>
          <w:szCs w:val="24"/>
        </w:rPr>
        <w:t>附件：</w:t>
      </w:r>
      <w:r>
        <w:rPr>
          <w:rFonts w:ascii="宋体" w:hAnsi="宋体" w:cs="宋体"/>
          <w:sz w:val="24"/>
          <w:szCs w:val="24"/>
        </w:rPr>
        <w:t>1</w:t>
      </w:r>
      <w:r>
        <w:rPr>
          <w:rFonts w:hint="eastAsia" w:ascii="宋体" w:hAnsi="宋体" w:cs="宋体"/>
          <w:sz w:val="24"/>
          <w:szCs w:val="24"/>
        </w:rPr>
        <w:t>.中标通知书</w:t>
      </w:r>
      <w:r>
        <w:rPr>
          <w:rFonts w:ascii="宋体" w:hAnsi="宋体" w:cs="宋体"/>
          <w:sz w:val="24"/>
          <w:szCs w:val="24"/>
        </w:rPr>
        <w:t>/</w:t>
      </w:r>
      <w:r>
        <w:rPr>
          <w:rFonts w:hint="eastAsia" w:ascii="宋体" w:hAnsi="宋体" w:cs="宋体"/>
          <w:sz w:val="24"/>
          <w:szCs w:val="24"/>
        </w:rPr>
        <w:t>发包通知书/成交通知书（如有）</w:t>
      </w:r>
    </w:p>
    <w:p>
      <w:pPr>
        <w:spacing w:line="460" w:lineRule="exact"/>
        <w:ind w:left="1200"/>
        <w:rPr>
          <w:rFonts w:ascii="宋体" w:hAnsi="宋体" w:cs="宋体"/>
          <w:sz w:val="24"/>
          <w:szCs w:val="24"/>
        </w:rPr>
      </w:pPr>
      <w:r>
        <w:rPr>
          <w:rFonts w:hint="eastAsia" w:ascii="宋体" w:hAnsi="宋体" w:cs="宋体"/>
          <w:sz w:val="24"/>
          <w:szCs w:val="24"/>
        </w:rPr>
        <w:t>2.廉洁协议</w:t>
      </w:r>
    </w:p>
    <w:p>
      <w:pPr>
        <w:spacing w:line="360" w:lineRule="auto"/>
        <w:ind w:firstLine="1200" w:firstLineChars="500"/>
        <w:rPr>
          <w:rFonts w:ascii="宋体" w:hAnsi="宋体" w:eastAsia="宋体" w:cs="宋体"/>
          <w:sz w:val="24"/>
          <w:szCs w:val="24"/>
        </w:rPr>
      </w:pPr>
      <w:r>
        <w:rPr>
          <w:rFonts w:hint="eastAsia" w:ascii="宋体" w:hAnsi="宋体" w:cs="宋体"/>
          <w:sz w:val="24"/>
          <w:szCs w:val="24"/>
        </w:rPr>
        <w:t>4.物品采购安全协议书（具体以安全办通知为准）</w:t>
      </w:r>
    </w:p>
    <w:p>
      <w:pPr>
        <w:spacing w:line="360" w:lineRule="auto"/>
        <w:ind w:firstLine="1200" w:firstLineChars="500"/>
        <w:rPr>
          <w:rFonts w:ascii="宋体" w:hAnsi="宋体" w:cs="宋体"/>
          <w:kern w:val="0"/>
          <w:sz w:val="24"/>
          <w:szCs w:val="24"/>
          <w:lang w:val="zh-CN"/>
        </w:rPr>
      </w:pPr>
      <w:r>
        <w:rPr>
          <w:rFonts w:hint="eastAsia" w:ascii="宋体" w:hAnsi="宋体" w:cs="宋体"/>
          <w:kern w:val="0"/>
          <w:sz w:val="24"/>
          <w:szCs w:val="24"/>
        </w:rPr>
        <w:t>5</w:t>
      </w:r>
      <w:r>
        <w:rPr>
          <w:rFonts w:hint="eastAsia" w:ascii="宋体" w:hAnsi="宋体" w:cs="宋体"/>
          <w:kern w:val="0"/>
          <w:sz w:val="24"/>
          <w:szCs w:val="24"/>
          <w:lang w:val="zh-CN"/>
        </w:rPr>
        <w:t>.技术需求（如需）</w:t>
      </w:r>
    </w:p>
    <w:p>
      <w:pPr>
        <w:spacing w:line="360" w:lineRule="auto"/>
        <w:ind w:firstLine="1200" w:firstLineChars="500"/>
        <w:rPr>
          <w:rFonts w:ascii="宋体" w:hAnsi="宋体" w:cs="宋体"/>
          <w:kern w:val="0"/>
          <w:sz w:val="24"/>
          <w:szCs w:val="24"/>
        </w:rPr>
      </w:pPr>
      <w:r>
        <w:rPr>
          <w:rFonts w:hint="eastAsia" w:ascii="宋体" w:hAnsi="宋体" w:cs="宋体"/>
          <w:kern w:val="0"/>
          <w:sz w:val="24"/>
          <w:szCs w:val="24"/>
        </w:rPr>
        <w:t>6.授权委托证明（如需）</w:t>
      </w:r>
    </w:p>
    <w:p>
      <w:pPr>
        <w:spacing w:line="360" w:lineRule="auto"/>
        <w:ind w:firstLine="1200" w:firstLineChars="500"/>
        <w:rPr>
          <w:rFonts w:ascii="宋体" w:hAnsi="宋体" w:eastAsia="宋体" w:cs="宋体"/>
          <w:kern w:val="0"/>
          <w:sz w:val="24"/>
          <w:szCs w:val="24"/>
        </w:rPr>
      </w:pPr>
    </w:p>
    <w:tbl>
      <w:tblPr>
        <w:tblStyle w:val="23"/>
        <w:tblpPr w:leftFromText="180" w:rightFromText="180" w:vertAnchor="text" w:horzAnchor="page" w:tblpX="1597" w:tblpY="129"/>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360" w:lineRule="auto"/>
              <w:rPr>
                <w:rFonts w:ascii="宋体" w:hAnsi="宋体" w:cs="宋体"/>
                <w:sz w:val="24"/>
                <w:szCs w:val="24"/>
              </w:rPr>
            </w:pPr>
            <w:r>
              <w:rPr>
                <w:rFonts w:hint="eastAsia" w:ascii="宋体" w:hAnsi="宋体" w:cs="宋体"/>
                <w:b/>
                <w:sz w:val="24"/>
                <w:szCs w:val="24"/>
              </w:rPr>
              <w:t>甲方</w:t>
            </w:r>
            <w:r>
              <w:rPr>
                <w:rFonts w:hint="eastAsia" w:ascii="宋体" w:hAnsi="宋体" w:cs="宋体"/>
                <w:sz w:val="24"/>
                <w:szCs w:val="24"/>
              </w:rPr>
              <w:t>：（章）广州市净水有限公司</w:t>
            </w:r>
          </w:p>
        </w:tc>
        <w:tc>
          <w:tcPr>
            <w:tcW w:w="4696" w:type="dxa"/>
            <w:tcBorders>
              <w:top w:val="nil"/>
              <w:left w:val="nil"/>
              <w:bottom w:val="nil"/>
              <w:right w:val="nil"/>
            </w:tcBorders>
          </w:tcPr>
          <w:p>
            <w:pPr>
              <w:adjustRightInd w:val="0"/>
              <w:snapToGrid w:val="0"/>
              <w:spacing w:line="360" w:lineRule="auto"/>
              <w:rPr>
                <w:rFonts w:ascii="宋体" w:hAnsi="宋体" w:cs="宋体"/>
                <w:sz w:val="24"/>
                <w:szCs w:val="24"/>
              </w:rPr>
            </w:pPr>
            <w:r>
              <w:rPr>
                <w:rFonts w:hint="eastAsia" w:ascii="宋体" w:hAnsi="宋体" w:cs="宋体"/>
                <w:b/>
                <w:sz w:val="24"/>
                <w:szCs w:val="24"/>
              </w:rPr>
              <w:t>乙方</w:t>
            </w: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sz w:val="24"/>
                <w:szCs w:val="24"/>
              </w:rPr>
            </w:pPr>
            <w:r>
              <w:rPr>
                <w:rFonts w:hint="eastAsia" w:ascii="宋体" w:hAnsi="宋体" w:cs="宋体"/>
                <w:sz w:val="24"/>
                <w:szCs w:val="24"/>
              </w:rPr>
              <w:t>法定代表人或授权代理人：</w:t>
            </w:r>
          </w:p>
        </w:tc>
        <w:tc>
          <w:tcPr>
            <w:tcW w:w="4696" w:type="dxa"/>
            <w:tcBorders>
              <w:top w:val="nil"/>
              <w:left w:val="nil"/>
              <w:bottom w:val="nil"/>
              <w:right w:val="nil"/>
            </w:tcBorders>
          </w:tcPr>
          <w:p>
            <w:pPr>
              <w:adjustRightInd w:val="0"/>
              <w:snapToGrid w:val="0"/>
              <w:spacing w:line="360" w:lineRule="auto"/>
              <w:rPr>
                <w:rFonts w:ascii="宋体" w:hAnsi="宋体" w:cs="宋体"/>
                <w:sz w:val="24"/>
                <w:szCs w:val="24"/>
              </w:rPr>
            </w:pPr>
            <w:r>
              <w:rPr>
                <w:rFonts w:hint="eastAsia" w:ascii="宋体" w:hAnsi="宋体" w:cs="宋体"/>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sz w:val="24"/>
                <w:szCs w:val="24"/>
              </w:rPr>
            </w:pPr>
            <w:r>
              <w:rPr>
                <w:rFonts w:hint="eastAsia" w:ascii="宋体" w:hAnsi="宋体" w:cs="宋体"/>
                <w:sz w:val="24"/>
                <w:szCs w:val="24"/>
              </w:rPr>
              <w:t>经办人：</w:t>
            </w:r>
          </w:p>
        </w:tc>
        <w:tc>
          <w:tcPr>
            <w:tcW w:w="4696" w:type="dxa"/>
            <w:tcBorders>
              <w:top w:val="nil"/>
              <w:left w:val="nil"/>
              <w:bottom w:val="nil"/>
              <w:right w:val="nil"/>
            </w:tcBorders>
          </w:tcPr>
          <w:p>
            <w:pPr>
              <w:adjustRightInd w:val="0"/>
              <w:snapToGrid w:val="0"/>
              <w:spacing w:line="360" w:lineRule="auto"/>
              <w:rPr>
                <w:rFonts w:ascii="宋体" w:hAnsi="宋体" w:cs="宋体"/>
                <w:sz w:val="24"/>
                <w:szCs w:val="24"/>
              </w:rPr>
            </w:pPr>
            <w:r>
              <w:rPr>
                <w:rFonts w:hint="eastAsia" w:ascii="宋体" w:hAnsi="宋体" w:cs="宋体"/>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sz w:val="24"/>
                <w:szCs w:val="24"/>
              </w:rPr>
            </w:pPr>
            <w:r>
              <w:rPr>
                <w:rFonts w:hint="eastAsia" w:ascii="宋体" w:hAnsi="宋体" w:cs="宋体"/>
                <w:sz w:val="24"/>
                <w:szCs w:val="24"/>
              </w:rPr>
              <w:t>电话：</w:t>
            </w:r>
          </w:p>
        </w:tc>
        <w:tc>
          <w:tcPr>
            <w:tcW w:w="4696" w:type="dxa"/>
            <w:tcBorders>
              <w:top w:val="nil"/>
              <w:left w:val="nil"/>
              <w:bottom w:val="nil"/>
              <w:right w:val="nil"/>
            </w:tcBorders>
          </w:tcPr>
          <w:p>
            <w:pPr>
              <w:adjustRightInd w:val="0"/>
              <w:snapToGrid w:val="0"/>
              <w:spacing w:line="360" w:lineRule="auto"/>
              <w:rPr>
                <w:rFonts w:ascii="宋体" w:hAnsi="宋体" w:cs="宋体"/>
                <w:sz w:val="24"/>
                <w:szCs w:val="24"/>
              </w:rPr>
            </w:pPr>
            <w:r>
              <w:rPr>
                <w:rFonts w:hint="eastAsia" w:ascii="宋体" w:hAnsi="宋体" w:cs="宋体"/>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rPr>
                <w:rFonts w:ascii="宋体" w:hAnsi="宋体" w:cs="宋体"/>
                <w:sz w:val="24"/>
                <w:szCs w:val="24"/>
              </w:rPr>
            </w:pPr>
            <w:r>
              <w:rPr>
                <w:rFonts w:hint="eastAsia" w:ascii="宋体" w:hAnsi="宋体" w:cs="宋体"/>
                <w:sz w:val="24"/>
                <w:szCs w:val="24"/>
              </w:rPr>
              <w:t>传真：</w:t>
            </w:r>
          </w:p>
        </w:tc>
        <w:tc>
          <w:tcPr>
            <w:tcW w:w="4696" w:type="dxa"/>
            <w:tcBorders>
              <w:top w:val="nil"/>
              <w:left w:val="nil"/>
              <w:bottom w:val="nil"/>
              <w:right w:val="nil"/>
            </w:tcBorders>
          </w:tcPr>
          <w:p>
            <w:pPr>
              <w:adjustRightInd w:val="0"/>
              <w:snapToGrid w:val="0"/>
              <w:spacing w:line="360" w:lineRule="auto"/>
              <w:rPr>
                <w:rFonts w:ascii="宋体" w:hAnsi="宋体" w:cs="宋体"/>
                <w:sz w:val="24"/>
                <w:szCs w:val="24"/>
              </w:rPr>
            </w:pPr>
            <w:r>
              <w:rPr>
                <w:rFonts w:hint="eastAsia" w:ascii="宋体" w:hAnsi="宋体" w:cs="宋体"/>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360" w:lineRule="auto"/>
              <w:ind w:left="240" w:hanging="240" w:hangingChars="100"/>
              <w:rPr>
                <w:rFonts w:ascii="宋体" w:hAnsi="宋体" w:cs="宋体"/>
                <w:sz w:val="24"/>
                <w:szCs w:val="24"/>
              </w:rPr>
            </w:pPr>
            <w:r>
              <w:rPr>
                <w:rFonts w:hint="eastAsia" w:ascii="宋体" w:hAnsi="宋体" w:cs="宋体"/>
                <w:sz w:val="24"/>
                <w:szCs w:val="24"/>
              </w:rPr>
              <w:t>签订日期：</w:t>
            </w:r>
            <w:r>
              <w:rPr>
                <w:rFonts w:ascii="宋体" w:hAnsi="宋体" w:cs="宋体"/>
                <w:sz w:val="24"/>
                <w:szCs w:val="24"/>
              </w:rPr>
              <w:t xml:space="preserve">                                                     </w:t>
            </w:r>
          </w:p>
        </w:tc>
        <w:tc>
          <w:tcPr>
            <w:tcW w:w="4696" w:type="dxa"/>
            <w:tcBorders>
              <w:top w:val="nil"/>
              <w:left w:val="nil"/>
              <w:bottom w:val="nil"/>
              <w:right w:val="nil"/>
            </w:tcBorders>
          </w:tcPr>
          <w:p>
            <w:pPr>
              <w:adjustRightInd w:val="0"/>
              <w:snapToGrid w:val="0"/>
              <w:spacing w:line="360" w:lineRule="auto"/>
              <w:ind w:left="4181" w:hanging="4180" w:hangingChars="1742"/>
              <w:rPr>
                <w:rFonts w:ascii="宋体" w:hAnsi="宋体" w:cs="宋体"/>
                <w:sz w:val="24"/>
                <w:szCs w:val="24"/>
              </w:rPr>
            </w:pPr>
            <w:r>
              <w:rPr>
                <w:rFonts w:hint="eastAsia" w:ascii="宋体" w:hAnsi="宋体" w:cs="宋体"/>
                <w:sz w:val="24"/>
                <w:szCs w:val="24"/>
              </w:rPr>
              <w:t>签订日期</w:t>
            </w:r>
            <w:r>
              <w:rPr>
                <w:rFonts w:ascii="宋体" w:hAnsi="宋体" w:cs="宋体"/>
                <w:sz w:val="24"/>
                <w:szCs w:val="24"/>
              </w:rPr>
              <w:t>:</w:t>
            </w:r>
          </w:p>
        </w:tc>
      </w:tr>
    </w:tbl>
    <w:p>
      <w:pPr>
        <w:pStyle w:val="2"/>
      </w:pPr>
    </w:p>
    <w:p>
      <w:pPr>
        <w:spacing w:line="360" w:lineRule="auto"/>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pStyle w:val="2"/>
        <w:rPr>
          <w:rFonts w:ascii="宋体" w:hAnsi="宋体" w:cs="宋体"/>
          <w:sz w:val="24"/>
          <w:szCs w:val="24"/>
        </w:rPr>
      </w:pPr>
    </w:p>
    <w:p>
      <w:pPr>
        <w:spacing w:line="360" w:lineRule="auto"/>
        <w:rPr>
          <w:rFonts w:ascii="宋体" w:hAnsi="宋体" w:cs="宋体"/>
          <w:b/>
          <w:bCs/>
          <w:szCs w:val="21"/>
        </w:rPr>
      </w:pPr>
      <w:r>
        <w:rPr>
          <w:rFonts w:hint="eastAsia" w:ascii="宋体" w:hAnsi="宋体" w:cs="宋体"/>
          <w:b/>
          <w:bCs/>
          <w:szCs w:val="21"/>
        </w:rPr>
        <w:t>附件</w:t>
      </w:r>
      <w:r>
        <w:rPr>
          <w:rFonts w:ascii="宋体" w:hAnsi="宋体" w:cs="宋体"/>
          <w:b/>
          <w:bCs/>
          <w:szCs w:val="21"/>
        </w:rPr>
        <w:t>2</w:t>
      </w:r>
      <w:r>
        <w:rPr>
          <w:rFonts w:hint="eastAsia" w:ascii="宋体" w:hAnsi="宋体" w:cs="宋体"/>
          <w:b/>
          <w:bCs/>
          <w:szCs w:val="21"/>
        </w:rPr>
        <w:t>：廉洁协议</w:t>
      </w:r>
    </w:p>
    <w:p>
      <w:pPr>
        <w:widowControl/>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廉洁协议</w:t>
      </w:r>
    </w:p>
    <w:p>
      <w:pPr>
        <w:spacing w:line="520" w:lineRule="exact"/>
        <w:ind w:firstLine="630" w:firstLineChars="225"/>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rPr>
        <w:t>(以下称甲方)与(以下称乙方)，特此订立本协议共同遵照执行。</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第一条 甲乙双方的权利和义务</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（一）甲乙双方严格遵守国家关于市场准入、项目招标投标、市场经营活动等有关法律、法规相关政策及廉政建设的各项规定。</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（二）严格执行</w:t>
      </w:r>
      <w:r>
        <w:rPr>
          <w:rFonts w:hint="eastAsia" w:ascii="仿宋_GB2312" w:hAnsi="仿宋_GB2312" w:eastAsia="仿宋_GB2312" w:cs="仿宋_GB2312"/>
          <w:bCs/>
          <w:sz w:val="28"/>
          <w:szCs w:val="28"/>
          <w:u w:val="single"/>
        </w:rPr>
        <w:t xml:space="preserve">  广州市净水有限公司超融合设备采购项目 </w:t>
      </w:r>
      <w:r>
        <w:rPr>
          <w:rFonts w:hint="eastAsia" w:ascii="仿宋_GB2312" w:hAnsi="仿宋_GB2312" w:eastAsia="仿宋_GB2312" w:cs="仿宋_GB2312"/>
          <w:bCs/>
          <w:sz w:val="28"/>
          <w:szCs w:val="28"/>
        </w:rPr>
        <w:t>合同（以下简称：主合同），自觉履行合同约定的相关义务。</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（三）在业务活动中坚持公开、公正、诚信、透明的原则，不得损害国家、集体利益。</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（四）建立健全廉洁从业制度，开展廉洁教育，公布举报电话，监督并认真查处不廉洁及违法违纪行为。</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（五）发现对方在业务活动中有不廉洁行为，应及时提醒对方纠正。情节严重的，应向其有关监督部门检举。</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第二条甲方的义务</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（一）甲方及其工作人员不得索要或接受乙方的礼金、有价证券和贵重物品，不得在乙方报销任何应由甲方或个人支付的费用等。</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（七）甲方工作人员不得接受乙方给予或赠送的干股或红利。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第三条乙方的义务</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（一）乙方不得以任何理由向甲方及其工作人员行贿或馈赠礼金、有价证券、贵重礼品。</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（二)乙方不得以任何名义为甲方及其工作人员报销应由甲方单位或个人支付的任何费用。</w:t>
      </w:r>
    </w:p>
    <w:p>
      <w:pPr>
        <w:spacing w:line="520" w:lineRule="exact"/>
        <w:ind w:left="25" w:leftChars="12"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（三）乙方不得以任何理由安排甲方工作人员参加可能影响相关业务公开、公正、公平性的宴请及娱乐活动。</w:t>
      </w:r>
    </w:p>
    <w:p>
      <w:pPr>
        <w:pStyle w:val="15"/>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（四）乙方不得为甲方单位和个人购置或提供通讯工具和高档办公用品等物品，也不得为甲方提供与工作无关的房屋、汽车等。</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（五）乙方不得擅自与甲方工作人员就主合同中的质量、数量、价格、工程量、验收等条款进行私下商谈或者达成默契。</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（六）乙方不得以回扣、手续费、加班费、咨询费、劳务费、协调费、辛苦费等各种名义向甲方工作人员给予或赠送钱物。</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（七）乙方不得向甲方工作人员提供干股或红利。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第四条违约责任</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甲方举报投诉联系部门：广州市净水有限公司</w:t>
      </w:r>
      <w:r>
        <w:rPr>
          <w:rFonts w:hint="eastAsia" w:ascii="仿宋_GB2312" w:hAnsi="仿宋_GB2312" w:eastAsia="仿宋_GB2312" w:cs="仿宋_GB2312"/>
          <w:bCs/>
          <w:sz w:val="28"/>
          <w:szCs w:val="28"/>
          <w:u w:val="single"/>
        </w:rPr>
        <w:t>纪检室</w:t>
      </w: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sz w:val="28"/>
          <w:szCs w:val="28"/>
          <w:u w:val="single"/>
        </w:rPr>
        <w:t xml:space="preserve"> 020-38890265 </w:t>
      </w:r>
      <w:r>
        <w:rPr>
          <w:rFonts w:hint="eastAsia" w:ascii="仿宋_GB2312" w:hAnsi="仿宋_GB2312" w:eastAsia="仿宋_GB2312" w:cs="仿宋_GB2312"/>
          <w:bCs/>
          <w:sz w:val="28"/>
          <w:szCs w:val="28"/>
        </w:rPr>
        <w:t>。</w:t>
      </w:r>
    </w:p>
    <w:p>
      <w:pPr>
        <w:pStyle w:val="21"/>
        <w:widowControl/>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1"/>
        <w:widowControl/>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1、扣除主合同的全部履约保证金；</w:t>
      </w:r>
    </w:p>
    <w:p>
      <w:pPr>
        <w:pStyle w:val="21"/>
        <w:widowControl/>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2、解除主合同；</w:t>
      </w:r>
    </w:p>
    <w:p>
      <w:pPr>
        <w:pStyle w:val="21"/>
        <w:widowControl/>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3、追究乙方其他违约责任；</w:t>
      </w:r>
    </w:p>
    <w:p>
      <w:pPr>
        <w:pStyle w:val="21"/>
        <w:widowControl/>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4、根据甲方的有关规章制度，在一定时间内暂停乙方参与甲方及下属单位所有项目的交易资格；</w:t>
      </w:r>
    </w:p>
    <w:p>
      <w:pPr>
        <w:pStyle w:val="21"/>
        <w:widowControl/>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5、根据甲方的有关规章制度，将乙方清退出甲方相关企业库；</w:t>
      </w:r>
    </w:p>
    <w:p>
      <w:pPr>
        <w:pStyle w:val="21"/>
        <w:widowControl/>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6、根据甲方上级单位、行政主管部门的意见、决定执行；</w:t>
      </w:r>
    </w:p>
    <w:p>
      <w:pPr>
        <w:pStyle w:val="21"/>
        <w:widowControl/>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7、按规定向有关行政监督部门、乙方业务管理部门进行投诉、报告。</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乙方无条件接受甲方的处理决定并承担给甲方造成的损失，全额返还通过不正当手段获取的非法所得，并承担相应的法律责任。</w:t>
      </w:r>
    </w:p>
    <w:p>
      <w:pPr>
        <w:spacing w:line="520" w:lineRule="exact"/>
        <w:ind w:firstLine="560" w:firstLineChars="200"/>
        <w:rPr>
          <w:rFonts w:ascii="仿宋_GB2312" w:hAnsi="仿宋_GB2312" w:eastAsia="仿宋_GB2312" w:cs="仿宋_GB2312"/>
          <w:bCs/>
          <w:kern w:val="0"/>
          <w:sz w:val="28"/>
          <w:szCs w:val="28"/>
        </w:rPr>
      </w:pPr>
      <w:r>
        <w:rPr>
          <w:rFonts w:hint="eastAsia" w:ascii="仿宋_GB2312" w:hAnsi="仿宋_GB2312" w:eastAsia="仿宋_GB2312" w:cs="仿宋_GB2312"/>
          <w:bCs/>
          <w:sz w:val="28"/>
          <w:szCs w:val="28"/>
        </w:rPr>
        <w:t xml:space="preserve">第五条 </w:t>
      </w:r>
      <w:r>
        <w:rPr>
          <w:rFonts w:hint="eastAsia" w:ascii="仿宋_GB2312" w:hAnsi="仿宋_GB2312" w:eastAsia="仿宋_GB2312" w:cs="仿宋_GB2312"/>
          <w:bCs/>
          <w:kern w:val="0"/>
          <w:sz w:val="28"/>
          <w:szCs w:val="28"/>
        </w:rPr>
        <w:t xml:space="preserve">本协议执行情况，接受有管辖权的纪检、监察部门的监督，双方应予以配合检查调查。 </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第六条本协议作为</w:t>
      </w:r>
      <w:r>
        <w:rPr>
          <w:rFonts w:hint="eastAsia" w:ascii="仿宋_GB2312" w:eastAsia="仿宋_GB2312"/>
          <w:color w:val="auto"/>
          <w:sz w:val="28"/>
          <w:szCs w:val="28"/>
          <w:highlight w:val="none"/>
          <w:u w:val="single"/>
        </w:rPr>
        <w:t>广州市净水有限公司超融合设备采购项目</w:t>
      </w:r>
      <w:r>
        <w:rPr>
          <w:rFonts w:hint="eastAsia" w:ascii="仿宋_GB2312" w:hAnsi="仿宋_GB2312" w:eastAsia="仿宋_GB2312" w:cs="仿宋_GB2312"/>
          <w:bCs/>
          <w:sz w:val="28"/>
          <w:szCs w:val="28"/>
        </w:rPr>
        <w:t>合同的附件，并具有同等的法律效力，本协议自双方签字盖章之日起生效，与主合同同时终止。</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第七条本协议一式</w:t>
      </w:r>
      <w:r>
        <w:rPr>
          <w:rFonts w:hint="eastAsia" w:ascii="仿宋_GB2312" w:hAnsi="仿宋_GB2312" w:eastAsia="仿宋_GB2312" w:cs="仿宋_GB2312"/>
          <w:bCs/>
          <w:sz w:val="28"/>
          <w:szCs w:val="28"/>
          <w:u w:val="single"/>
        </w:rPr>
        <w:t>5</w:t>
      </w:r>
      <w:r>
        <w:rPr>
          <w:rFonts w:hint="eastAsia" w:ascii="仿宋_GB2312" w:hAnsi="仿宋_GB2312" w:eastAsia="仿宋_GB2312" w:cs="仿宋_GB2312"/>
          <w:bCs/>
          <w:sz w:val="28"/>
          <w:szCs w:val="28"/>
        </w:rPr>
        <w:t>份，甲方</w:t>
      </w:r>
      <w:r>
        <w:rPr>
          <w:rFonts w:hint="eastAsia" w:ascii="仿宋_GB2312" w:hAnsi="仿宋_GB2312" w:eastAsia="仿宋_GB2312" w:cs="仿宋_GB2312"/>
          <w:bCs/>
          <w:sz w:val="28"/>
          <w:szCs w:val="28"/>
          <w:u w:val="single"/>
        </w:rPr>
        <w:t>3</w:t>
      </w:r>
      <w:r>
        <w:rPr>
          <w:rFonts w:hint="eastAsia" w:ascii="仿宋_GB2312" w:hAnsi="仿宋_GB2312" w:eastAsia="仿宋_GB2312" w:cs="仿宋_GB2312"/>
          <w:bCs/>
          <w:sz w:val="28"/>
          <w:szCs w:val="28"/>
        </w:rPr>
        <w:t>份，乙方</w:t>
      </w:r>
      <w:r>
        <w:rPr>
          <w:rFonts w:hint="eastAsia" w:ascii="仿宋_GB2312" w:hAnsi="仿宋_GB2312" w:eastAsia="仿宋_GB2312" w:cs="仿宋_GB2312"/>
          <w:bCs/>
          <w:sz w:val="28"/>
          <w:szCs w:val="28"/>
          <w:u w:val="single"/>
        </w:rPr>
        <w:t>2</w:t>
      </w:r>
      <w:r>
        <w:rPr>
          <w:rFonts w:hint="eastAsia" w:ascii="仿宋_GB2312" w:hAnsi="仿宋_GB2312" w:eastAsia="仿宋_GB2312" w:cs="仿宋_GB2312"/>
          <w:bCs/>
          <w:sz w:val="28"/>
          <w:szCs w:val="28"/>
        </w:rPr>
        <w:t>份。</w:t>
      </w:r>
    </w:p>
    <w:p>
      <w:pPr>
        <w:spacing w:line="520" w:lineRule="exact"/>
        <w:ind w:firstLine="560" w:firstLineChars="200"/>
        <w:rPr>
          <w:rFonts w:ascii="仿宋_GB2312" w:hAnsi="仿宋_GB2312" w:eastAsia="仿宋_GB2312" w:cs="仿宋_GB2312"/>
          <w:bCs/>
          <w:sz w:val="28"/>
          <w:szCs w:val="28"/>
        </w:rPr>
      </w:pPr>
    </w:p>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甲方（盖章）：                     乙方（盖章）：</w:t>
      </w:r>
    </w:p>
    <w:p>
      <w:pPr>
        <w:pStyle w:val="32"/>
        <w:tabs>
          <w:tab w:val="left" w:pos="5100"/>
        </w:tabs>
        <w:spacing w:line="520" w:lineRule="exact"/>
        <w:ind w:left="7200" w:firstLine="0" w:firstLineChars="0"/>
        <w:jc w:val="left"/>
        <w:rPr>
          <w:rFonts w:ascii="仿宋_GB2312" w:hAnsi="仿宋_GB2312" w:eastAsia="仿宋_GB2312" w:cs="仿宋_GB2312"/>
          <w:bCs/>
          <w:sz w:val="28"/>
          <w:szCs w:val="28"/>
        </w:rPr>
      </w:pPr>
    </w:p>
    <w:p>
      <w:pPr>
        <w:tabs>
          <w:tab w:val="left" w:pos="5100"/>
        </w:tabs>
        <w:spacing w:line="520" w:lineRule="exact"/>
        <w:ind w:left="8400" w:hanging="8400" w:hangingChars="30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签约代表：                         签约代表：</w:t>
      </w:r>
    </w:p>
    <w:p>
      <w:pPr>
        <w:tabs>
          <w:tab w:val="left" w:pos="4170"/>
        </w:tabs>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日期:    年  月  日</w:t>
      </w:r>
      <w:r>
        <w:rPr>
          <w:rFonts w:hint="eastAsia" w:ascii="仿宋_GB2312" w:hAnsi="仿宋_GB2312" w:eastAsia="仿宋_GB2312" w:cs="仿宋_GB2312"/>
          <w:bCs/>
          <w:sz w:val="28"/>
          <w:szCs w:val="28"/>
        </w:rPr>
        <w:tab/>
      </w:r>
      <w:r>
        <w:rPr>
          <w:rFonts w:hint="eastAsia" w:ascii="仿宋_GB2312" w:hAnsi="仿宋_GB2312" w:eastAsia="仿宋_GB2312" w:cs="仿宋_GB2312"/>
          <w:bCs/>
          <w:sz w:val="28"/>
          <w:szCs w:val="28"/>
        </w:rPr>
        <w:t>日期：  年  月  日</w:t>
      </w:r>
    </w:p>
    <w:p>
      <w:pPr>
        <w:adjustRightInd w:val="0"/>
        <w:snapToGrid w:val="0"/>
        <w:rPr>
          <w:rFonts w:ascii="宋体" w:hAnsi="宋体" w:eastAsia="宋体" w:cs="宋体"/>
          <w:b/>
          <w:bCs/>
          <w:szCs w:val="21"/>
        </w:rPr>
      </w:pPr>
    </w:p>
    <w:p>
      <w:pPr>
        <w:adjustRightInd w:val="0"/>
        <w:snapToGrid w:val="0"/>
        <w:rPr>
          <w:rFonts w:ascii="宋体" w:hAnsi="宋体" w:eastAsia="宋体" w:cs="宋体"/>
          <w:b/>
          <w:bCs/>
          <w:szCs w:val="21"/>
        </w:rPr>
      </w:pPr>
    </w:p>
    <w:p>
      <w:pPr>
        <w:adjustRightInd w:val="0"/>
        <w:snapToGrid w:val="0"/>
        <w:rPr>
          <w:rFonts w:ascii="宋体" w:hAnsi="宋体" w:eastAsia="宋体" w:cs="宋体"/>
          <w:b/>
          <w:bCs/>
          <w:szCs w:val="21"/>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adjustRightInd w:val="0"/>
        <w:snapToGrid w:val="0"/>
        <w:rPr>
          <w:rFonts w:hint="eastAsia" w:ascii="宋体" w:hAnsi="宋体" w:eastAsia="宋体" w:cs="宋体"/>
          <w:b/>
          <w:bCs/>
          <w:szCs w:val="21"/>
        </w:rPr>
      </w:pPr>
    </w:p>
    <w:p>
      <w:pPr>
        <w:adjustRightInd w:val="0"/>
        <w:snapToGrid w:val="0"/>
        <w:rPr>
          <w:rFonts w:hint="eastAsia" w:ascii="宋体" w:hAnsi="宋体" w:eastAsia="宋体" w:cs="宋体"/>
          <w:b/>
          <w:bCs/>
          <w:szCs w:val="21"/>
        </w:rPr>
      </w:pPr>
    </w:p>
    <w:p>
      <w:pPr>
        <w:adjustRightInd w:val="0"/>
        <w:snapToGrid w:val="0"/>
        <w:rPr>
          <w:rFonts w:hint="eastAsia" w:ascii="宋体" w:hAnsi="宋体" w:eastAsia="宋体" w:cs="宋体"/>
          <w:b/>
          <w:bCs/>
          <w:szCs w:val="21"/>
        </w:rPr>
      </w:pPr>
    </w:p>
    <w:p>
      <w:pPr>
        <w:spacing w:line="360" w:lineRule="auto"/>
        <w:rPr>
          <w:rFonts w:ascii="宋体" w:hAnsi="宋体" w:cs="宋体"/>
          <w:b/>
          <w:szCs w:val="21"/>
        </w:rPr>
      </w:pPr>
      <w:r>
        <w:rPr>
          <w:rFonts w:hint="eastAsia" w:ascii="宋体" w:hAnsi="宋体" w:cs="宋体"/>
          <w:b/>
          <w:szCs w:val="21"/>
        </w:rPr>
        <w:t>附件4：安全管理协议书</w:t>
      </w:r>
    </w:p>
    <w:p>
      <w:pPr>
        <w:spacing w:line="560" w:lineRule="exact"/>
        <w:jc w:val="center"/>
        <w:rPr>
          <w:rFonts w:ascii="黑体" w:hAnsi="宋体" w:eastAsia="黑体" w:cs="宋体"/>
          <w:bCs/>
          <w:kern w:val="0"/>
          <w:sz w:val="44"/>
          <w:szCs w:val="44"/>
        </w:rPr>
      </w:pPr>
      <w:r>
        <w:rPr>
          <w:rFonts w:hint="eastAsia" w:ascii="黑体" w:hAnsi="宋体" w:eastAsia="黑体" w:cs="宋体"/>
          <w:bCs/>
          <w:kern w:val="0"/>
          <w:sz w:val="44"/>
          <w:szCs w:val="44"/>
        </w:rPr>
        <w:t>物品采购</w:t>
      </w:r>
      <w:r>
        <w:rPr>
          <w:rFonts w:hint="eastAsia" w:ascii="黑体" w:hAnsi="Batang" w:eastAsia="黑体" w:cs="Batang"/>
          <w:bCs/>
          <w:kern w:val="0"/>
          <w:sz w:val="44"/>
          <w:szCs w:val="44"/>
        </w:rPr>
        <w:t>安全协议</w:t>
      </w:r>
      <w:r>
        <w:rPr>
          <w:rFonts w:hint="eastAsia" w:ascii="黑体" w:hAnsi="宋体" w:eastAsia="黑体" w:cs="宋体"/>
          <w:bCs/>
          <w:kern w:val="0"/>
          <w:sz w:val="44"/>
          <w:szCs w:val="44"/>
        </w:rPr>
        <w:t>书</w:t>
      </w:r>
    </w:p>
    <w:p>
      <w:pPr>
        <w:spacing w:line="560" w:lineRule="exact"/>
        <w:rPr>
          <w:rFonts w:ascii="宋体" w:hAnsi="宋体" w:cs="Arial"/>
          <w:kern w:val="0"/>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rPr>
          <w:rFonts w:ascii="宋体" w:hAnsi="宋体" w:cs="Arial"/>
          <w:kern w:val="0"/>
          <w:sz w:val="24"/>
        </w:rPr>
      </w:pPr>
    </w:p>
    <w:p>
      <w:pPr>
        <w:spacing w:line="560" w:lineRule="exact"/>
        <w:ind w:firstLine="480" w:firstLineChars="200"/>
        <w:rPr>
          <w:rFonts w:ascii="宋体" w:hAnsi="宋体" w:cs="Arial"/>
          <w:kern w:val="0"/>
          <w:sz w:val="24"/>
        </w:rPr>
      </w:pPr>
      <w:r>
        <w:rPr>
          <w:rFonts w:hint="eastAsia" w:ascii="宋体" w:hAnsi="宋体" w:cs="Arial"/>
          <w:kern w:val="0"/>
          <w:sz w:val="24"/>
        </w:rPr>
        <w:t>为加强物品采购过程安全管理，根据《中华人民共和国安全生产法》、《生产安全事故报告和调查处理条例》等国家及地方有关安全生产法律法规</w:t>
      </w:r>
      <w:r>
        <w:rPr>
          <w:rFonts w:ascii="宋体" w:hAnsi="宋体" w:cs="Arial"/>
          <w:kern w:val="0"/>
          <w:sz w:val="24"/>
        </w:rPr>
        <w:t>，甲乙双方就</w:t>
      </w:r>
      <w:r>
        <w:rPr>
          <w:rFonts w:hint="eastAsia" w:ascii="宋体" w:hAnsi="宋体" w:cs="Arial"/>
          <w:kern w:val="0"/>
          <w:sz w:val="24"/>
        </w:rPr>
        <w:t>物品采购的安全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一、本协议与主合同的关系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本协议作为</w:t>
      </w:r>
      <w:r>
        <w:rPr>
          <w:rFonts w:hint="eastAsia" w:ascii="仿宋_GB2312" w:eastAsia="仿宋_GB2312"/>
          <w:color w:val="auto"/>
          <w:sz w:val="28"/>
          <w:szCs w:val="28"/>
          <w:highlight w:val="none"/>
          <w:u w:val="single"/>
        </w:rPr>
        <w:t>广州市净水有限公司超融合设备采购项目</w:t>
      </w:r>
      <w:r>
        <w:rPr>
          <w:rFonts w:hint="eastAsia" w:asciiTheme="minorEastAsia" w:hAnsiTheme="minorEastAsia"/>
          <w:sz w:val="24"/>
        </w:rPr>
        <w:t>的组成部分，与主合同具有同等法律效力。</w:t>
      </w:r>
    </w:p>
    <w:p>
      <w:pPr>
        <w:spacing w:line="560" w:lineRule="exact"/>
        <w:ind w:firstLine="482" w:firstLineChars="200"/>
        <w:rPr>
          <w:rFonts w:ascii="宋体" w:hAnsi="宋体" w:cs="Arial"/>
          <w:b/>
          <w:kern w:val="0"/>
          <w:sz w:val="24"/>
        </w:rPr>
      </w:pPr>
      <w:r>
        <w:rPr>
          <w:rFonts w:hint="eastAsia" w:ascii="宋体" w:hAnsi="宋体" w:cs="Arial"/>
          <w:b/>
          <w:kern w:val="0"/>
          <w:sz w:val="24"/>
        </w:rPr>
        <w:t>二、甲方权责</w:t>
      </w:r>
    </w:p>
    <w:p>
      <w:pPr>
        <w:spacing w:line="560" w:lineRule="exact"/>
        <w:ind w:firstLine="480" w:firstLineChars="200"/>
        <w:rPr>
          <w:rFonts w:ascii="宋体" w:hAnsi="宋体" w:cs="Arial"/>
          <w:kern w:val="0"/>
          <w:sz w:val="24"/>
        </w:rPr>
      </w:pPr>
      <w:r>
        <w:rPr>
          <w:rFonts w:hint="eastAsia" w:ascii="宋体" w:hAnsi="宋体" w:cs="Arial"/>
          <w:kern w:val="0"/>
          <w:sz w:val="24"/>
        </w:rPr>
        <w:t>（一）甲方进行物品采购时，应贯彻落实国家、地方有关安全管理的法律法规和规章制度。</w:t>
      </w:r>
    </w:p>
    <w:p>
      <w:pPr>
        <w:spacing w:line="560" w:lineRule="exact"/>
        <w:ind w:firstLine="480" w:firstLineChars="200"/>
        <w:rPr>
          <w:rFonts w:ascii="宋体" w:hAnsi="宋体" w:cs="Arial"/>
          <w:kern w:val="0"/>
          <w:sz w:val="24"/>
        </w:rPr>
      </w:pPr>
      <w:r>
        <w:rPr>
          <w:rFonts w:hint="eastAsia" w:ascii="宋体" w:hAnsi="宋体" w:cs="Arial"/>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rPr>
      </w:pPr>
      <w:r>
        <w:rPr>
          <w:rFonts w:hint="eastAsia" w:ascii="宋体" w:hAnsi="宋体" w:cs="Arial"/>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rPr>
      </w:pPr>
      <w:r>
        <w:rPr>
          <w:rFonts w:hint="eastAsia" w:ascii="宋体" w:hAnsi="宋体" w:cs="Arial"/>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rPr>
      </w:pPr>
      <w:r>
        <w:rPr>
          <w:rFonts w:hint="eastAsia" w:ascii="宋体" w:hAnsi="宋体" w:cs="Arial"/>
          <w:kern w:val="0"/>
          <w:sz w:val="24"/>
        </w:rPr>
        <w:t>（五）告知乙方在甲方应当遵守的安全管理要求。</w:t>
      </w:r>
    </w:p>
    <w:p>
      <w:pPr>
        <w:spacing w:line="560" w:lineRule="exact"/>
        <w:ind w:firstLine="482" w:firstLineChars="200"/>
        <w:rPr>
          <w:rFonts w:ascii="宋体" w:hAnsi="宋体" w:cs="Arial"/>
          <w:b/>
          <w:kern w:val="0"/>
          <w:sz w:val="24"/>
        </w:rPr>
      </w:pPr>
      <w:r>
        <w:rPr>
          <w:rFonts w:hint="eastAsia" w:ascii="宋体" w:hAnsi="宋体" w:cs="Arial"/>
          <w:b/>
          <w:kern w:val="0"/>
          <w:sz w:val="24"/>
        </w:rPr>
        <w:t>三、乙方权责</w:t>
      </w:r>
    </w:p>
    <w:p>
      <w:pPr>
        <w:spacing w:line="560" w:lineRule="exact"/>
        <w:ind w:firstLine="480" w:firstLineChars="200"/>
        <w:rPr>
          <w:rFonts w:ascii="宋体" w:hAnsi="宋体" w:cs="Arial"/>
          <w:kern w:val="0"/>
          <w:sz w:val="24"/>
        </w:rPr>
      </w:pPr>
      <w:r>
        <w:rPr>
          <w:rFonts w:hint="eastAsia" w:ascii="宋体" w:hAnsi="宋体" w:cs="Arial"/>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rPr>
      </w:pPr>
      <w:r>
        <w:rPr>
          <w:rFonts w:hint="eastAsia" w:ascii="宋体" w:hAnsi="宋体" w:cs="Arial"/>
          <w:kern w:val="0"/>
          <w:sz w:val="24"/>
        </w:rPr>
        <w:t>（二）</w:t>
      </w:r>
      <w:r>
        <w:rPr>
          <w:rFonts w:hint="eastAsia" w:ascii="宋体" w:hAnsi="宋体" w:cs="宋体"/>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rPr>
        <w:t>物品</w:t>
      </w:r>
      <w:r>
        <w:rPr>
          <w:rFonts w:hint="eastAsia" w:ascii="宋体" w:hAnsi="宋体" w:cs="宋体"/>
          <w:kern w:val="0"/>
          <w:sz w:val="24"/>
        </w:rPr>
        <w:t>安全运输责任人，负责安全运输和装卸及安全教育工作，同时督促检查，确保</w:t>
      </w:r>
      <w:r>
        <w:rPr>
          <w:rFonts w:hint="eastAsia" w:ascii="宋体" w:hAnsi="宋体" w:cs="Arial"/>
          <w:kern w:val="0"/>
          <w:sz w:val="24"/>
        </w:rPr>
        <w:t>物品</w:t>
      </w:r>
      <w:r>
        <w:rPr>
          <w:rFonts w:hint="eastAsia" w:ascii="宋体" w:hAnsi="宋体" w:cs="宋体"/>
          <w:kern w:val="0"/>
          <w:sz w:val="24"/>
        </w:rPr>
        <w:t>的安全送运。</w:t>
      </w:r>
    </w:p>
    <w:p>
      <w:pPr>
        <w:spacing w:line="560" w:lineRule="exact"/>
        <w:ind w:firstLine="480" w:firstLineChars="200"/>
        <w:rPr>
          <w:rFonts w:ascii="宋体" w:hAnsi="宋体" w:cs="宋体"/>
          <w:kern w:val="0"/>
          <w:sz w:val="24"/>
        </w:rPr>
      </w:pPr>
      <w:r>
        <w:rPr>
          <w:rFonts w:hint="eastAsia" w:ascii="宋体" w:hAnsi="宋体" w:cs="宋体"/>
          <w:kern w:val="0"/>
          <w:sz w:val="24"/>
        </w:rPr>
        <w:t>（三）乙方应承诺所售</w:t>
      </w:r>
      <w:r>
        <w:rPr>
          <w:rFonts w:hint="eastAsia" w:ascii="宋体" w:hAnsi="宋体" w:cs="Arial"/>
          <w:kern w:val="0"/>
          <w:sz w:val="24"/>
        </w:rPr>
        <w:t>物品</w:t>
      </w:r>
      <w:r>
        <w:rPr>
          <w:rFonts w:hint="eastAsia" w:ascii="宋体" w:hAnsi="宋体" w:cs="宋体"/>
          <w:kern w:val="0"/>
          <w:sz w:val="24"/>
        </w:rPr>
        <w:t>质量符合现行国家规范要求，保证</w:t>
      </w:r>
      <w:r>
        <w:rPr>
          <w:rFonts w:hint="eastAsia" w:ascii="宋体" w:hAnsi="宋体" w:cs="Arial"/>
          <w:kern w:val="0"/>
          <w:sz w:val="24"/>
        </w:rPr>
        <w:t>所售物品为正品。设备类物品应提供与设备型号一致的使用说明书（进口设备应有中文说明书），如物品有保质期要求的应在保质期范围内，</w:t>
      </w:r>
      <w:r>
        <w:rPr>
          <w:rFonts w:hint="eastAsia" w:ascii="宋体" w:hAnsi="宋体" w:cs="宋体"/>
          <w:kern w:val="0"/>
          <w:sz w:val="24"/>
        </w:rPr>
        <w:t>特殊设备应在运输前做好定检工作，包装要完整完好。</w:t>
      </w:r>
    </w:p>
    <w:p>
      <w:pPr>
        <w:spacing w:line="560" w:lineRule="exact"/>
        <w:ind w:firstLine="480" w:firstLineChars="200"/>
        <w:rPr>
          <w:rFonts w:ascii="宋体" w:hAnsi="宋体" w:cs="宋体"/>
          <w:kern w:val="0"/>
          <w:sz w:val="24"/>
        </w:rPr>
      </w:pPr>
      <w:r>
        <w:rPr>
          <w:rFonts w:hint="eastAsia" w:ascii="宋体" w:hAnsi="宋体" w:cs="宋体"/>
          <w:kern w:val="0"/>
          <w:sz w:val="24"/>
        </w:rPr>
        <w:t>（四）乙方对</w:t>
      </w:r>
      <w:r>
        <w:rPr>
          <w:rFonts w:hint="eastAsia" w:ascii="宋体" w:hAnsi="宋体" w:cs="Arial"/>
          <w:kern w:val="0"/>
          <w:sz w:val="24"/>
        </w:rPr>
        <w:t>物品</w:t>
      </w:r>
      <w:r>
        <w:rPr>
          <w:rFonts w:hint="eastAsia" w:ascii="宋体" w:hAnsi="宋体" w:cs="宋体"/>
          <w:kern w:val="0"/>
          <w:sz w:val="24"/>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rPr>
      </w:pPr>
      <w:r>
        <w:rPr>
          <w:rFonts w:hint="eastAsia" w:ascii="宋体" w:hAnsi="宋体" w:cs="宋体"/>
          <w:kern w:val="0"/>
          <w:sz w:val="24"/>
        </w:rPr>
        <w:t>（五）乙方须加强物品运输车辆的安全管理，用于运输</w:t>
      </w:r>
      <w:r>
        <w:rPr>
          <w:rFonts w:hint="eastAsia" w:ascii="宋体" w:hAnsi="宋体" w:cs="Arial"/>
          <w:kern w:val="0"/>
          <w:sz w:val="24"/>
        </w:rPr>
        <w:t>物品</w:t>
      </w:r>
      <w:r>
        <w:rPr>
          <w:rFonts w:hint="eastAsia" w:ascii="宋体" w:hAnsi="宋体" w:cs="宋体"/>
          <w:kern w:val="0"/>
          <w:sz w:val="24"/>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rPr>
      </w:pPr>
      <w:r>
        <w:rPr>
          <w:rFonts w:hint="eastAsia" w:ascii="宋体" w:hAnsi="宋体" w:cs="宋体"/>
          <w:kern w:val="0"/>
          <w:sz w:val="24"/>
        </w:rPr>
        <w:t>（六）人员管理</w:t>
      </w:r>
    </w:p>
    <w:p>
      <w:pPr>
        <w:spacing w:line="560" w:lineRule="exact"/>
        <w:ind w:firstLine="480" w:firstLineChars="200"/>
        <w:rPr>
          <w:rFonts w:ascii="宋体" w:hAnsi="宋体" w:cs="宋体"/>
          <w:kern w:val="0"/>
          <w:sz w:val="24"/>
        </w:rPr>
      </w:pPr>
      <w:r>
        <w:rPr>
          <w:rFonts w:hint="eastAsia" w:ascii="宋体" w:hAnsi="宋体" w:cs="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rPr>
      </w:pPr>
      <w:r>
        <w:rPr>
          <w:rFonts w:hint="eastAsia" w:ascii="宋体" w:hAnsi="宋体" w:cs="宋体"/>
          <w:kern w:val="0"/>
          <w:sz w:val="24"/>
        </w:rPr>
        <w:t>乙方聘请其他单位运输的，乙方应对运输单位的安全管理负责。</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u w:val="single"/>
        </w:rPr>
        <w:t xml:space="preserve"> </w:t>
      </w:r>
      <w:r>
        <w:rPr>
          <w:rFonts w:hint="eastAsia" w:ascii="宋体" w:hAnsi="宋体" w:cs="宋体"/>
          <w:kern w:val="0"/>
          <w:sz w:val="24"/>
          <w:u w:val="single"/>
        </w:rPr>
        <w:t>5000</w:t>
      </w:r>
      <w:r>
        <w:rPr>
          <w:rFonts w:ascii="宋体" w:hAnsi="宋体" w:cs="宋体"/>
          <w:kern w:val="0"/>
          <w:sz w:val="24"/>
          <w:u w:val="single"/>
        </w:rPr>
        <w:t xml:space="preserve"> </w:t>
      </w:r>
      <w:r>
        <w:rPr>
          <w:rFonts w:hint="eastAsia" w:ascii="宋体" w:hAnsi="宋体" w:cs="宋体"/>
          <w:kern w:val="0"/>
          <w:sz w:val="24"/>
        </w:rPr>
        <w:t>元/次。</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kern w:val="0"/>
          <w:sz w:val="24"/>
        </w:rPr>
      </w:pPr>
      <w:r>
        <w:rPr>
          <w:rFonts w:hint="eastAsia" w:ascii="宋体" w:hAnsi="宋体" w:cs="宋体"/>
          <w:kern w:val="0"/>
          <w:sz w:val="24"/>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rPr>
      </w:pPr>
      <w:r>
        <w:rPr>
          <w:rFonts w:hint="eastAsia" w:ascii="宋体" w:hAnsi="宋体" w:cs="宋体"/>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rPr>
      </w:pPr>
      <w:r>
        <w:rPr>
          <w:rFonts w:hint="eastAsia" w:ascii="宋体" w:hAnsi="宋体" w:cs="宋体"/>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rPr>
      </w:pPr>
      <w:r>
        <w:rPr>
          <w:rFonts w:hint="eastAsia" w:ascii="宋体" w:hAnsi="宋体" w:cs="宋体"/>
          <w:kern w:val="0"/>
          <w:sz w:val="24"/>
        </w:rPr>
        <w:t>（十）乙方委托的第三方运输单位或个人，违反本协议的，全部责任均由乙方承担。</w:t>
      </w:r>
    </w:p>
    <w:p>
      <w:pPr>
        <w:pStyle w:val="35"/>
        <w:spacing w:line="560" w:lineRule="exact"/>
        <w:ind w:firstLine="482" w:firstLineChars="200"/>
        <w:rPr>
          <w:rFonts w:asciiTheme="minorEastAsia" w:hAnsiTheme="minorEastAsia"/>
          <w:sz w:val="24"/>
        </w:rPr>
      </w:pPr>
      <w:r>
        <w:rPr>
          <w:rFonts w:hint="eastAsia" w:asciiTheme="minorEastAsia" w:hAnsiTheme="minorEastAsia"/>
          <w:b/>
          <w:sz w:val="24"/>
        </w:rPr>
        <w:t>四、补充条款：</w:t>
      </w:r>
      <w:r>
        <w:rPr>
          <w:rFonts w:hint="eastAsia" w:asciiTheme="minorEastAsia" w:hAnsiTheme="minorEastAsia"/>
          <w:sz w:val="24"/>
          <w:u w:val="single"/>
        </w:rPr>
        <w:t xml:space="preserve">      /   </w:t>
      </w:r>
      <w:r>
        <w:rPr>
          <w:rFonts w:asciiTheme="minorEastAsia" w:hAnsiTheme="minorEastAsia"/>
          <w:sz w:val="24"/>
          <w:u w:val="single"/>
        </w:rPr>
        <w:t xml:space="preserve"> </w:t>
      </w:r>
      <w:r>
        <w:rPr>
          <w:rFonts w:hint="eastAsia" w:asciiTheme="minorEastAsia" w:hAnsiTheme="minorEastAsia"/>
          <w:sz w:val="24"/>
          <w:u w:val="single"/>
        </w:rPr>
        <w:t xml:space="preserve">       </w:t>
      </w:r>
      <w:r>
        <w:rPr>
          <w:rFonts w:hint="eastAsia" w:asciiTheme="minorEastAsia" w:hAnsiTheme="minorEastAsia"/>
          <w:sz w:val="24"/>
        </w:rPr>
        <w:t>。</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五、附则</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sz w:val="24"/>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textAlignment w:val="baseline"/>
              <w:rPr>
                <w:rFonts w:asciiTheme="minorEastAsia" w:hAnsiTheme="minorEastAsia"/>
                <w:sz w:val="24"/>
              </w:rPr>
            </w:pPr>
            <w:r>
              <w:rPr>
                <w:rFonts w:hint="eastAsia" w:asciiTheme="minorEastAsia" w:hAnsiTheme="minorEastAsia"/>
                <w:sz w:val="24"/>
              </w:rPr>
              <w:t>甲方：</w:t>
            </w:r>
          </w:p>
          <w:p>
            <w:pPr>
              <w:adjustRightInd w:val="0"/>
              <w:snapToGrid w:val="0"/>
              <w:spacing w:line="560" w:lineRule="exact"/>
              <w:textAlignment w:val="baseline"/>
              <w:rPr>
                <w:rFonts w:asciiTheme="minorEastAsia" w:hAnsiTheme="minorEastAsia"/>
                <w:sz w:val="24"/>
              </w:rPr>
            </w:pPr>
            <w:r>
              <w:rPr>
                <w:rFonts w:hint="eastAsia" w:asciiTheme="minorEastAsia" w:hAnsiTheme="minorEastAsia"/>
                <w:sz w:val="24"/>
              </w:rPr>
              <w:t>签约代表：</w:t>
            </w:r>
          </w:p>
          <w:p>
            <w:pPr>
              <w:adjustRightInd w:val="0"/>
              <w:snapToGrid w:val="0"/>
              <w:spacing w:line="560" w:lineRule="exact"/>
              <w:textAlignment w:val="baseline"/>
              <w:rPr>
                <w:rFonts w:asciiTheme="minorEastAsia" w:hAnsiTheme="minorEastAsia"/>
                <w:sz w:val="24"/>
              </w:rPr>
            </w:pPr>
            <w:r>
              <w:rPr>
                <w:rFonts w:hint="eastAsia" w:asciiTheme="minorEastAsia" w:hAnsiTheme="minorEastAsia"/>
                <w:sz w:val="24"/>
              </w:rPr>
              <w:t>联系电话：</w:t>
            </w:r>
          </w:p>
          <w:p>
            <w:pPr>
              <w:adjustRightInd w:val="0"/>
              <w:snapToGrid w:val="0"/>
              <w:spacing w:line="560" w:lineRule="exact"/>
              <w:ind w:firstLine="240" w:firstLineChars="100"/>
              <w:jc w:val="right"/>
              <w:textAlignment w:val="baseline"/>
              <w:rPr>
                <w:rFonts w:asciiTheme="minorEastAsia" w:hAnsiTheme="minorEastAsia"/>
                <w:sz w:val="24"/>
              </w:rPr>
            </w:pPr>
            <w:r>
              <w:rPr>
                <w:rFonts w:hint="eastAsia" w:asciiTheme="minorEastAsia" w:hAnsiTheme="minorEastAsia"/>
                <w:sz w:val="24"/>
              </w:rPr>
              <w:t>年</w:t>
            </w:r>
            <w:r>
              <w:rPr>
                <w:rFonts w:asciiTheme="minorEastAsia" w:hAnsiTheme="minorEastAsia"/>
                <w:sz w:val="24"/>
              </w:rPr>
              <w:t xml:space="preserve">    </w:t>
            </w:r>
            <w:r>
              <w:rPr>
                <w:rFonts w:hint="eastAsia" w:asciiTheme="minorEastAsia" w:hAnsiTheme="minorEastAsia"/>
                <w:sz w:val="24"/>
              </w:rPr>
              <w:t>月</w:t>
            </w:r>
            <w:r>
              <w:rPr>
                <w:rFonts w:asciiTheme="minorEastAsia" w:hAnsiTheme="minorEastAsia"/>
                <w:sz w:val="24"/>
              </w:rPr>
              <w:t xml:space="preserve">    </w:t>
            </w:r>
            <w:r>
              <w:rPr>
                <w:rFonts w:hint="eastAsia" w:asciiTheme="minorEastAsia" w:hAnsiTheme="minorEastAsia"/>
                <w:sz w:val="24"/>
              </w:rPr>
              <w:t>日</w:t>
            </w:r>
          </w:p>
        </w:tc>
        <w:tc>
          <w:tcPr>
            <w:tcW w:w="4474" w:type="dxa"/>
          </w:tcPr>
          <w:p>
            <w:pPr>
              <w:adjustRightInd w:val="0"/>
              <w:snapToGrid w:val="0"/>
              <w:spacing w:line="560" w:lineRule="exact"/>
              <w:textAlignment w:val="baseline"/>
              <w:rPr>
                <w:rFonts w:asciiTheme="minorEastAsia" w:hAnsiTheme="minorEastAsia"/>
                <w:sz w:val="24"/>
              </w:rPr>
            </w:pPr>
            <w:r>
              <w:rPr>
                <w:rFonts w:hint="eastAsia" w:asciiTheme="minorEastAsia" w:hAnsiTheme="minorEastAsia"/>
                <w:sz w:val="24"/>
              </w:rPr>
              <w:t>乙方：</w:t>
            </w:r>
          </w:p>
          <w:p>
            <w:pPr>
              <w:adjustRightInd w:val="0"/>
              <w:snapToGrid w:val="0"/>
              <w:spacing w:line="560" w:lineRule="exact"/>
              <w:textAlignment w:val="baseline"/>
              <w:rPr>
                <w:rFonts w:asciiTheme="minorEastAsia" w:hAnsiTheme="minorEastAsia"/>
                <w:sz w:val="24"/>
              </w:rPr>
            </w:pPr>
            <w:r>
              <w:rPr>
                <w:rFonts w:hint="eastAsia" w:asciiTheme="minorEastAsia" w:hAnsiTheme="minorEastAsia"/>
                <w:sz w:val="24"/>
              </w:rPr>
              <w:t>签约代表：</w:t>
            </w:r>
          </w:p>
          <w:p>
            <w:pPr>
              <w:adjustRightInd w:val="0"/>
              <w:snapToGrid w:val="0"/>
              <w:spacing w:line="560" w:lineRule="exact"/>
              <w:textAlignment w:val="baseline"/>
              <w:rPr>
                <w:rFonts w:asciiTheme="minorEastAsia" w:hAnsiTheme="minorEastAsia"/>
                <w:sz w:val="24"/>
              </w:rPr>
            </w:pPr>
            <w:r>
              <w:rPr>
                <w:rFonts w:hint="eastAsia" w:asciiTheme="minorEastAsia" w:hAnsiTheme="minorEastAsia"/>
                <w:sz w:val="24"/>
              </w:rPr>
              <w:t>联系电话：</w:t>
            </w:r>
          </w:p>
          <w:p>
            <w:pPr>
              <w:adjustRightInd w:val="0"/>
              <w:snapToGrid w:val="0"/>
              <w:spacing w:line="560" w:lineRule="exact"/>
              <w:jc w:val="right"/>
              <w:textAlignment w:val="baseline"/>
              <w:rPr>
                <w:rFonts w:asciiTheme="minorEastAsia" w:hAnsiTheme="minorEastAsia"/>
                <w:sz w:val="24"/>
              </w:rPr>
            </w:pPr>
            <w:r>
              <w:rPr>
                <w:rFonts w:hint="eastAsia" w:asciiTheme="minorEastAsia" w:hAnsiTheme="minorEastAsia"/>
                <w:sz w:val="24"/>
              </w:rPr>
              <w:t>年</w:t>
            </w:r>
            <w:r>
              <w:rPr>
                <w:rFonts w:asciiTheme="minorEastAsia" w:hAnsiTheme="minorEastAsia"/>
                <w:sz w:val="24"/>
              </w:rPr>
              <w:t xml:space="preserve">    </w:t>
            </w:r>
            <w:r>
              <w:rPr>
                <w:rFonts w:hint="eastAsia" w:asciiTheme="minorEastAsia" w:hAnsiTheme="minorEastAsia"/>
                <w:sz w:val="24"/>
              </w:rPr>
              <w:t>月</w:t>
            </w:r>
            <w:r>
              <w:rPr>
                <w:rFonts w:asciiTheme="minorEastAsia" w:hAnsiTheme="minorEastAsia"/>
                <w:sz w:val="24"/>
              </w:rPr>
              <w:t xml:space="preserve">    </w:t>
            </w:r>
            <w:r>
              <w:rPr>
                <w:rFonts w:hint="eastAsia" w:asciiTheme="minorEastAsia" w:hAnsiTheme="minorEastAsia"/>
                <w:sz w:val="24"/>
              </w:rPr>
              <w:t>日</w:t>
            </w:r>
          </w:p>
        </w:tc>
      </w:tr>
    </w:tbl>
    <w:p>
      <w:pPr>
        <w:spacing w:line="360" w:lineRule="auto"/>
        <w:rPr>
          <w:rFonts w:ascii="宋体" w:hAnsi="宋体" w:cs="宋体"/>
          <w:sz w:val="24"/>
          <w:szCs w:val="24"/>
        </w:rPr>
      </w:pPr>
    </w:p>
    <w:p>
      <w:pPr>
        <w:jc w:val="center"/>
        <w:rPr>
          <w:rFonts w:ascii="宋体" w:hAnsi="宋体" w:cs="宋体"/>
          <w:sz w:val="24"/>
          <w:szCs w:val="24"/>
        </w:rPr>
      </w:pPr>
    </w:p>
    <w:p>
      <w:pPr>
        <w:pStyle w:val="22"/>
        <w:spacing w:after="156"/>
        <w:ind w:firstLine="560"/>
        <w:rPr>
          <w:rFonts w:hint="eastAsia" w:ascii="方正小标宋简体" w:eastAsia="方正小标宋简体"/>
          <w:sz w:val="28"/>
          <w:szCs w:val="28"/>
          <w:lang w:val="en-US" w:eastAsia="zh-CN"/>
        </w:rPr>
      </w:pPr>
      <w:r>
        <w:rPr>
          <w:rFonts w:hint="eastAsia" w:ascii="方正小标宋简体" w:eastAsia="方正小标宋简体"/>
          <w:sz w:val="28"/>
          <w:szCs w:val="28"/>
          <w:lang w:val="en-US" w:eastAsia="zh-CN"/>
        </w:rPr>
        <w:t>附件5需求：</w:t>
      </w:r>
    </w:p>
    <w:p>
      <w:pPr>
        <w:pStyle w:val="5"/>
        <w:jc w:val="left"/>
        <w:rPr>
          <w:rFonts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一、目标需求：</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本项目为广州市净水有限公司的信息化发展提供保障，通过采购超融合设备以满足扩充数据资源的需求，主要达成的目标如下：</w:t>
      </w:r>
    </w:p>
    <w:p>
      <w:p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1.通过本次项目实施，解决现有虚拟化建设的不足，并达到技术服务要求；</w:t>
      </w:r>
    </w:p>
    <w:p>
      <w:pPr>
        <w:ind w:firstLine="560" w:firstLineChars="200"/>
        <w:rPr>
          <w:rFonts w:ascii="仿宋_GB2312" w:hAnsi="仿宋_GB2312" w:eastAsia="仿宋_GB2312" w:cs="仿宋_GB2312"/>
        </w:rPr>
      </w:pPr>
      <w:r>
        <w:rPr>
          <w:rFonts w:hint="eastAsia" w:ascii="仿宋_GB2312" w:hAnsi="仿宋_GB2312" w:eastAsia="仿宋_GB2312" w:cs="仿宋_GB2312"/>
          <w:sz w:val="28"/>
          <w:szCs w:val="28"/>
        </w:rPr>
        <w:t>2.保障现有虚拟化系统整体运行稳定、数据安全。</w:t>
      </w:r>
    </w:p>
    <w:p>
      <w:pPr>
        <w:pStyle w:val="5"/>
        <w:jc w:val="left"/>
        <w:rPr>
          <w:rFonts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二、技术服务要求</w:t>
      </w:r>
    </w:p>
    <w:p>
      <w:pPr>
        <w:pStyle w:val="6"/>
        <w:rPr>
          <w:rFonts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（一）技术要求：</w:t>
      </w:r>
    </w:p>
    <w:p>
      <w:pPr>
        <w:spacing w:before="120" w:after="120"/>
        <w:ind w:firstLine="596" w:firstLineChars="213"/>
        <w:rPr>
          <w:rFonts w:ascii="宋体" w:hAnsi="宋体" w:cs="微软雅黑"/>
          <w:color w:val="000000"/>
          <w:kern w:val="0"/>
        </w:rPr>
      </w:pPr>
      <w:r>
        <w:rPr>
          <w:rFonts w:hint="eastAsia" w:ascii="仿宋_GB2312" w:hAnsi="仿宋_GB2312" w:eastAsia="仿宋_GB2312" w:cs="仿宋_GB2312"/>
          <w:sz w:val="28"/>
          <w:szCs w:val="28"/>
        </w:rPr>
        <w:t>使用超融合技术完成基础架构升级改造，通过计算节点提供计算资源，形成系统高可用部署架构，保证性能充足、弹性资源调度，使得资源使用分配更合理。可以将原有物理机虚拟化平台上的应用系统无缝在线迁移至新的超融合虚拟资源池平台上，可支持原有的虚拟化资源池和新建的超融合虚拟化资源池之间在</w:t>
      </w:r>
      <w:r>
        <w:rPr>
          <w:rFonts w:hint="eastAsia" w:ascii="仿宋_GB2312" w:hAnsi="仿宋_GB2312" w:eastAsia="仿宋_GB2312" w:cs="仿宋_GB2312"/>
          <w:sz w:val="28"/>
          <w:szCs w:val="28"/>
          <w:lang w:val="en-US" w:eastAsia="zh-CN"/>
        </w:rPr>
        <w:t>不停机情况下</w:t>
      </w:r>
      <w:r>
        <w:rPr>
          <w:rFonts w:hint="eastAsia" w:ascii="仿宋_GB2312" w:hAnsi="仿宋_GB2312" w:eastAsia="仿宋_GB2312" w:cs="仿宋_GB2312"/>
          <w:sz w:val="28"/>
          <w:szCs w:val="28"/>
        </w:rPr>
        <w:t>线热迁移虚拟机，保证业务不受迁移影响，继续稳定提供服务。</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通过本项目采购实施部署安装，结合现有的虚拟化集群，充分利用服务器资源，建设一个弹性可扩展、稳定、可靠的基础架构平台。</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超融合平台建设完成后应达到以下功能：</w:t>
      </w:r>
    </w:p>
    <w:p>
      <w:pPr>
        <w:pStyle w:val="3"/>
        <w:numPr>
          <w:ilvl w:val="0"/>
          <w:numId w:val="4"/>
        </w:numPr>
        <w:spacing w:line="360" w:lineRule="auto"/>
        <w:ind w:firstLine="565" w:firstLineChars="202"/>
        <w:rPr>
          <w:rFonts w:ascii="仿宋_GB2312" w:hAnsi="仿宋_GB2312" w:eastAsia="仿宋_GB2312" w:cs="仿宋_GB2312"/>
          <w:sz w:val="28"/>
          <w:szCs w:val="28"/>
        </w:rPr>
      </w:pPr>
      <w:r>
        <w:rPr>
          <w:rFonts w:hint="eastAsia" w:ascii="仿宋_GB2312" w:hAnsi="仿宋_GB2312" w:eastAsia="仿宋_GB2312" w:cs="仿宋_GB2312"/>
          <w:sz w:val="28"/>
          <w:szCs w:val="28"/>
        </w:rPr>
        <w:t>保障业务系统稳定运行，</w:t>
      </w:r>
      <w:r>
        <w:rPr>
          <w:rFonts w:hint="eastAsia" w:ascii="仿宋_GB2312" w:hAnsi="仿宋_GB2312" w:eastAsia="仿宋_GB2312" w:cs="仿宋_GB2312"/>
          <w:bCs/>
          <w:color w:val="000000" w:themeColor="text1"/>
          <w:sz w:val="28"/>
          <w:szCs w:val="28"/>
          <w14:textFill>
            <w14:solidFill>
              <w14:schemeClr w14:val="tx1"/>
            </w14:solidFill>
          </w14:textFill>
        </w:rPr>
        <w:t>可实现现有虚拟化平台内服务、系统的在线平稳及无障迁移，实现服务延伸；</w:t>
      </w:r>
      <w:r>
        <w:rPr>
          <w:rFonts w:hint="eastAsia" w:ascii="仿宋_GB2312" w:hAnsi="仿宋_GB2312" w:eastAsia="仿宋_GB2312" w:cs="仿宋_GB2312"/>
          <w:sz w:val="28"/>
          <w:szCs w:val="28"/>
        </w:rPr>
        <w:t>不因硬件故障或性能瓶颈问题，导致影响业务系统正常使用与业务系统数据安全、稳定；</w:t>
      </w:r>
    </w:p>
    <w:p>
      <w:pPr>
        <w:pStyle w:val="3"/>
        <w:numPr>
          <w:ilvl w:val="0"/>
          <w:numId w:val="4"/>
        </w:numPr>
        <w:spacing w:line="360" w:lineRule="auto"/>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服务器资源可充分利用，新超融合平台兼容现有虚拟化平台，通过虚拟化技术对服务器资源实现弹性调用，保证满足原有业务系统资源使用需求；</w:t>
      </w:r>
    </w:p>
    <w:p>
      <w:pPr>
        <w:pStyle w:val="3"/>
        <w:numPr>
          <w:ilvl w:val="0"/>
          <w:numId w:val="4"/>
        </w:numPr>
        <w:spacing w:line="360" w:lineRule="auto"/>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超融合平台架构具备可扩展性，根据未来发展需求，实现可简单方便地扩展平台架构资源，满足资源使用需求；</w:t>
      </w:r>
    </w:p>
    <w:p>
      <w:pPr>
        <w:pStyle w:val="3"/>
        <w:numPr>
          <w:ilvl w:val="0"/>
          <w:numId w:val="4"/>
        </w:numPr>
        <w:spacing w:line="360" w:lineRule="auto"/>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建设的超融合平台必须支持结合V</w:t>
      </w:r>
      <w:r>
        <w:rPr>
          <w:rFonts w:ascii="仿宋_GB2312" w:hAnsi="仿宋_GB2312" w:eastAsia="仿宋_GB2312" w:cs="仿宋_GB2312"/>
          <w:sz w:val="28"/>
          <w:szCs w:val="28"/>
        </w:rPr>
        <w:t>M</w:t>
      </w:r>
      <w:r>
        <w:rPr>
          <w:rFonts w:hint="eastAsia" w:ascii="仿宋_GB2312" w:hAnsi="仿宋_GB2312" w:eastAsia="仿宋_GB2312" w:cs="仿宋_GB2312"/>
          <w:sz w:val="28"/>
          <w:szCs w:val="28"/>
        </w:rPr>
        <w:t>ware虚拟化平台集成部署的超融合架构，能通过原有vCenter统一管理原有VMware虚拟化资源池和新建的 VMware 超融合虚拟化资源池。通过统一运维管理平台实现监控虚拟化资源池状态，提高运维效率；</w:t>
      </w:r>
    </w:p>
    <w:p>
      <w:pPr>
        <w:pStyle w:val="3"/>
        <w:numPr>
          <w:ilvl w:val="0"/>
          <w:numId w:val="4"/>
        </w:numPr>
        <w:spacing w:line="360" w:lineRule="auto"/>
        <w:ind w:firstLine="420" w:firstLineChars="150"/>
        <w:rPr>
          <w:rFonts w:ascii="仿宋_GB2312" w:hAnsi="仿宋_GB2312" w:eastAsia="仿宋_GB2312" w:cs="仿宋_GB2312"/>
          <w:sz w:val="28"/>
          <w:szCs w:val="28"/>
        </w:rPr>
      </w:pPr>
      <w:r>
        <w:rPr>
          <w:rFonts w:hint="eastAsia" w:ascii="仿宋_GB2312" w:hAnsi="仿宋_GB2312" w:eastAsia="仿宋_GB2312" w:cs="仿宋_GB2312"/>
          <w:sz w:val="28"/>
          <w:szCs w:val="28"/>
        </w:rPr>
        <w:t>整个超融合资源能实现集群支持硬件异构、集群内自动数据恢复、自动感知业务压力静态或智能调节资源等功能。</w:t>
      </w:r>
    </w:p>
    <w:p>
      <w:pPr>
        <w:spacing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△拟采购的设备如下（以下指标若出现负偏离，则视无效报价处理）：</w:t>
      </w:r>
    </w:p>
    <w:tbl>
      <w:tblPr>
        <w:tblStyle w:val="23"/>
        <w:tblW w:w="8951" w:type="dxa"/>
        <w:tblInd w:w="-5" w:type="dxa"/>
        <w:tblLayout w:type="fixed"/>
        <w:tblCellMar>
          <w:top w:w="0" w:type="dxa"/>
          <w:left w:w="0" w:type="dxa"/>
          <w:bottom w:w="0" w:type="dxa"/>
          <w:right w:w="0" w:type="dxa"/>
        </w:tblCellMar>
      </w:tblPr>
      <w:tblGrid>
        <w:gridCol w:w="709"/>
        <w:gridCol w:w="1276"/>
        <w:gridCol w:w="6257"/>
        <w:gridCol w:w="709"/>
      </w:tblGrid>
      <w:tr>
        <w:trPr>
          <w:trHeight w:val="401" w:hRule="atLeast"/>
        </w:trPr>
        <w:tc>
          <w:tcPr>
            <w:tcW w:w="709" w:type="dxa"/>
            <w:tcBorders>
              <w:top w:val="single" w:color="8497B0" w:sz="4" w:space="0"/>
              <w:left w:val="single" w:color="8497B0" w:sz="4" w:space="0"/>
              <w:bottom w:val="nil"/>
              <w:right w:val="single" w:color="8497B0" w:sz="4" w:space="0"/>
            </w:tcBorders>
            <w:shd w:val="clear" w:color="auto" w:fill="44546A"/>
            <w:noWrap/>
            <w:tcMar>
              <w:top w:w="15" w:type="dxa"/>
              <w:left w:w="15" w:type="dxa"/>
              <w:right w:w="15" w:type="dxa"/>
            </w:tcMar>
            <w:vAlign w:val="center"/>
          </w:tcPr>
          <w:p>
            <w:pPr>
              <w:widowControl/>
              <w:jc w:val="center"/>
              <w:textAlignment w:val="center"/>
              <w:rPr>
                <w:rFonts w:ascii="仿宋" w:hAnsi="仿宋" w:eastAsia="仿宋" w:cs="微软雅黑"/>
                <w:b/>
                <w:bCs/>
                <w:color w:val="FFFFFF"/>
                <w:sz w:val="20"/>
                <w:szCs w:val="20"/>
              </w:rPr>
            </w:pPr>
            <w:r>
              <w:rPr>
                <w:rFonts w:hint="eastAsia" w:ascii="仿宋" w:hAnsi="仿宋" w:eastAsia="仿宋" w:cs="微软雅黑"/>
                <w:b/>
                <w:bCs/>
                <w:color w:val="FFFFFF"/>
                <w:kern w:val="0"/>
                <w:sz w:val="20"/>
                <w:szCs w:val="20"/>
                <w:lang w:bidi="ar"/>
              </w:rPr>
              <w:t>序号</w:t>
            </w:r>
          </w:p>
        </w:tc>
        <w:tc>
          <w:tcPr>
            <w:tcW w:w="1276" w:type="dxa"/>
            <w:tcBorders>
              <w:top w:val="single" w:color="8497B0" w:sz="4" w:space="0"/>
              <w:left w:val="single" w:color="8497B0" w:sz="4" w:space="0"/>
              <w:bottom w:val="nil"/>
              <w:right w:val="single" w:color="8497B0" w:sz="4" w:space="0"/>
            </w:tcBorders>
            <w:shd w:val="clear" w:color="auto" w:fill="44546A"/>
            <w:vAlign w:val="center"/>
          </w:tcPr>
          <w:p>
            <w:pPr>
              <w:widowControl/>
              <w:jc w:val="center"/>
              <w:textAlignment w:val="center"/>
              <w:rPr>
                <w:rFonts w:ascii="仿宋" w:hAnsi="仿宋" w:eastAsia="仿宋" w:cs="微软雅黑"/>
                <w:b/>
                <w:bCs/>
                <w:color w:val="FFFFFF"/>
                <w:sz w:val="20"/>
                <w:szCs w:val="20"/>
              </w:rPr>
            </w:pPr>
            <w:r>
              <w:rPr>
                <w:rFonts w:hint="eastAsia" w:ascii="仿宋" w:hAnsi="仿宋" w:eastAsia="仿宋" w:cs="微软雅黑"/>
                <w:b/>
                <w:bCs/>
                <w:color w:val="FFFFFF"/>
                <w:sz w:val="20"/>
                <w:szCs w:val="20"/>
              </w:rPr>
              <w:t>产品名称</w:t>
            </w:r>
          </w:p>
        </w:tc>
        <w:tc>
          <w:tcPr>
            <w:tcW w:w="6257" w:type="dxa"/>
            <w:tcBorders>
              <w:top w:val="single" w:color="8497B0" w:sz="4" w:space="0"/>
              <w:left w:val="single" w:color="8497B0" w:sz="4" w:space="0"/>
              <w:bottom w:val="nil"/>
              <w:right w:val="single" w:color="8497B0" w:sz="4" w:space="0"/>
            </w:tcBorders>
            <w:shd w:val="clear" w:color="auto" w:fill="44546A"/>
            <w:noWrap/>
            <w:tcMar>
              <w:top w:w="15" w:type="dxa"/>
              <w:left w:w="15" w:type="dxa"/>
              <w:right w:w="15" w:type="dxa"/>
            </w:tcMar>
            <w:vAlign w:val="center"/>
          </w:tcPr>
          <w:p>
            <w:pPr>
              <w:widowControl/>
              <w:jc w:val="center"/>
              <w:textAlignment w:val="center"/>
              <w:rPr>
                <w:rFonts w:ascii="仿宋" w:hAnsi="仿宋" w:eastAsia="仿宋" w:cs="微软雅黑"/>
                <w:b/>
                <w:bCs/>
                <w:color w:val="FFFFFF"/>
                <w:sz w:val="20"/>
                <w:szCs w:val="20"/>
              </w:rPr>
            </w:pPr>
            <w:r>
              <w:rPr>
                <w:rFonts w:hint="eastAsia" w:ascii="仿宋" w:hAnsi="仿宋" w:eastAsia="仿宋" w:cs="微软雅黑"/>
                <w:b/>
                <w:bCs/>
                <w:color w:val="FFFFFF"/>
                <w:sz w:val="20"/>
                <w:szCs w:val="20"/>
              </w:rPr>
              <w:t>技术指标要求</w:t>
            </w:r>
          </w:p>
        </w:tc>
        <w:tc>
          <w:tcPr>
            <w:tcW w:w="709" w:type="dxa"/>
            <w:tcBorders>
              <w:top w:val="single" w:color="8497B0" w:sz="4" w:space="0"/>
              <w:left w:val="single" w:color="8497B0" w:sz="4" w:space="0"/>
              <w:bottom w:val="nil"/>
              <w:right w:val="single" w:color="8497B0" w:sz="4" w:space="0"/>
            </w:tcBorders>
            <w:shd w:val="clear" w:color="auto" w:fill="44546A"/>
            <w:noWrap/>
            <w:tcMar>
              <w:top w:w="15" w:type="dxa"/>
              <w:left w:w="15" w:type="dxa"/>
              <w:right w:w="15" w:type="dxa"/>
            </w:tcMar>
            <w:vAlign w:val="center"/>
          </w:tcPr>
          <w:p>
            <w:pPr>
              <w:widowControl/>
              <w:jc w:val="center"/>
              <w:textAlignment w:val="center"/>
              <w:rPr>
                <w:rFonts w:ascii="仿宋" w:hAnsi="仿宋" w:eastAsia="仿宋" w:cs="微软雅黑"/>
                <w:b/>
                <w:bCs/>
                <w:color w:val="FFFFFF"/>
                <w:sz w:val="20"/>
                <w:szCs w:val="20"/>
              </w:rPr>
            </w:pPr>
            <w:r>
              <w:rPr>
                <w:rFonts w:hint="eastAsia" w:ascii="仿宋" w:hAnsi="仿宋" w:eastAsia="仿宋" w:cs="微软雅黑"/>
                <w:b/>
                <w:bCs/>
                <w:color w:val="FFFFFF"/>
                <w:sz w:val="20"/>
                <w:szCs w:val="20"/>
              </w:rPr>
              <w:t>数量</w:t>
            </w:r>
          </w:p>
        </w:tc>
      </w:tr>
      <w:tr>
        <w:tblPrEx>
          <w:tblCellMar>
            <w:top w:w="0" w:type="dxa"/>
            <w:left w:w="0" w:type="dxa"/>
            <w:bottom w:w="0" w:type="dxa"/>
            <w:right w:w="0" w:type="dxa"/>
          </w:tblCellMar>
        </w:tblPrEx>
        <w:trPr>
          <w:trHeight w:val="16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szCs w:val="21"/>
              </w:rPr>
            </w:pPr>
            <w:r>
              <w:rPr>
                <w:rFonts w:hint="eastAsia" w:ascii="仿宋" w:hAnsi="仿宋" w:eastAsia="仿宋"/>
                <w:szCs w:val="21"/>
              </w:rPr>
              <w:t>1</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仿宋" w:hAnsi="仿宋" w:eastAsia="仿宋"/>
                <w:szCs w:val="21"/>
              </w:rPr>
            </w:pPr>
            <w:r>
              <w:rPr>
                <w:rFonts w:hint="eastAsia" w:ascii="仿宋" w:hAnsi="仿宋" w:eastAsia="仿宋"/>
                <w:szCs w:val="21"/>
              </w:rPr>
              <w:t>超融合一体机</w:t>
            </w:r>
          </w:p>
        </w:tc>
        <w:tc>
          <w:tcPr>
            <w:tcW w:w="6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rPr>
                <w:rFonts w:ascii="仿宋" w:hAnsi="仿宋" w:eastAsia="仿宋"/>
              </w:rPr>
            </w:pPr>
            <w:r>
              <w:rPr>
                <w:rFonts w:ascii="仿宋" w:hAnsi="仿宋" w:eastAsia="仿宋"/>
              </w:rPr>
              <w:t>1.</w:t>
            </w:r>
            <w:r>
              <w:rPr>
                <w:rFonts w:hint="eastAsia" w:ascii="仿宋" w:hAnsi="仿宋" w:eastAsia="仿宋"/>
              </w:rPr>
              <w:t>每个节点配置要求：CPU：2路36核CPU（主频2.4或以上）；内存：18*32G DDR4；磁盘：2*480 GB，10*4TB SATA HDD，2*1.92TB SAS SSD；</w:t>
            </w:r>
          </w:p>
          <w:p>
            <w:pPr>
              <w:spacing w:line="360" w:lineRule="auto"/>
              <w:rPr>
                <w:rFonts w:ascii="仿宋" w:hAnsi="仿宋" w:eastAsia="仿宋"/>
              </w:rPr>
            </w:pPr>
            <w:r>
              <w:rPr>
                <w:rFonts w:hint="eastAsia" w:ascii="仿宋" w:hAnsi="仿宋" w:eastAsia="仿宋"/>
              </w:rPr>
              <w:t>网口：2个千兆电口；4个10GE SFP+（含光模块）；双冗余电源；</w:t>
            </w:r>
            <w:r>
              <w:rPr>
                <w:rFonts w:hint="eastAsia" w:ascii="仿宋" w:hAnsi="仿宋" w:eastAsia="仿宋" w:cs="仿宋"/>
                <w:szCs w:val="21"/>
              </w:rPr>
              <w:t>提供超融合软件永久使用授权，非订阅版授权</w:t>
            </w:r>
            <w:r>
              <w:rPr>
                <w:rFonts w:hint="eastAsia" w:ascii="仿宋" w:hAnsi="仿宋" w:eastAsia="仿宋"/>
              </w:rPr>
              <w:t>，含</w:t>
            </w:r>
            <w:r>
              <w:rPr>
                <w:rFonts w:hint="eastAsia" w:ascii="仿宋" w:hAnsi="仿宋" w:eastAsia="仿宋" w:cs="仿宋"/>
                <w:kern w:val="0"/>
                <w:szCs w:val="21"/>
              </w:rPr>
              <w:t>故障诊</w:t>
            </w:r>
            <w:r>
              <w:rPr>
                <w:rFonts w:hint="eastAsia" w:ascii="仿宋" w:hAnsi="仿宋" w:eastAsia="仿宋" w:cs="仿宋"/>
                <w:bCs/>
                <w:kern w:val="0"/>
                <w:szCs w:val="21"/>
              </w:rPr>
              <w:t>断功能，可实现对关键部件的故障诊断。</w:t>
            </w:r>
          </w:p>
          <w:p>
            <w:pPr>
              <w:spacing w:line="360" w:lineRule="auto"/>
              <w:rPr>
                <w:rFonts w:ascii="仿宋" w:hAnsi="仿宋" w:eastAsia="仿宋"/>
              </w:rPr>
            </w:pPr>
            <w:r>
              <w:rPr>
                <w:rFonts w:hint="eastAsia" w:ascii="仿宋" w:hAnsi="仿宋" w:eastAsia="仿宋"/>
              </w:rPr>
              <w:t>2</w:t>
            </w:r>
            <w:r>
              <w:rPr>
                <w:rFonts w:ascii="仿宋" w:hAnsi="仿宋" w:eastAsia="仿宋"/>
              </w:rPr>
              <w:t>.</w:t>
            </w:r>
            <w:r>
              <w:rPr>
                <w:rFonts w:hint="eastAsia" w:ascii="仿宋" w:hAnsi="仿宋" w:eastAsia="仿宋" w:cs="仿宋"/>
                <w:bCs/>
                <w:szCs w:val="21"/>
              </w:rPr>
              <w:t>为保证服务器硬件的资源利用率，在超融合软件中，分布式存储组件的资源占用量不应超过8vCPU，20GB内存，剩余硬件资源可被用于运行业务系统，提供技术白皮书的相关原理说明、资源占用量。</w:t>
            </w:r>
          </w:p>
          <w:p>
            <w:pPr>
              <w:spacing w:line="360" w:lineRule="auto"/>
              <w:rPr>
                <w:rFonts w:ascii="仿宋" w:hAnsi="仿宋" w:eastAsia="仿宋"/>
              </w:rPr>
            </w:pPr>
            <w:r>
              <w:rPr>
                <w:rFonts w:hint="eastAsia" w:ascii="仿宋" w:hAnsi="仿宋" w:eastAsia="仿宋"/>
              </w:rPr>
              <w:t>3</w:t>
            </w:r>
            <w:r>
              <w:rPr>
                <w:rFonts w:ascii="仿宋" w:hAnsi="仿宋" w:eastAsia="仿宋"/>
              </w:rPr>
              <w:t>.</w:t>
            </w:r>
            <w:r>
              <w:rPr>
                <w:rFonts w:hint="eastAsia" w:ascii="仿宋" w:hAnsi="仿宋" w:eastAsia="仿宋"/>
              </w:rPr>
              <w:t>为保证用户后续对硬件品牌选择的灵活性，应支持纯软件和软硬件一体机两种交付方式，可以适配市面上主流的服务器，同一集群支持异构硬件（不同品牌不同配置），至少包含：戴尔、联想、HPE、浪潮、华为、新华三</w:t>
            </w:r>
            <w:r>
              <w:rPr>
                <w:rFonts w:hint="eastAsia" w:ascii="仿宋" w:hAnsi="仿宋" w:eastAsia="仿宋"/>
                <w:lang w:eastAsia="zh-CN"/>
              </w:rPr>
              <w:t>、</w:t>
            </w:r>
            <w:r>
              <w:rPr>
                <w:rFonts w:hint="eastAsia" w:ascii="仿宋" w:hAnsi="仿宋" w:eastAsia="仿宋"/>
              </w:rPr>
              <w:t>超微</w:t>
            </w:r>
            <w:r>
              <w:rPr>
                <w:rFonts w:hint="eastAsia" w:ascii="仿宋" w:hAnsi="仿宋" w:eastAsia="仿宋"/>
                <w:lang w:val="en-US" w:eastAsia="zh-CN"/>
              </w:rPr>
              <w:t>等</w:t>
            </w:r>
            <w:r>
              <w:rPr>
                <w:rFonts w:hint="eastAsia" w:ascii="仿宋" w:hAnsi="仿宋" w:eastAsia="仿宋"/>
              </w:rPr>
              <w:t>，提供融合软件支持的硬件兼容性列表。</w:t>
            </w:r>
          </w:p>
          <w:p>
            <w:pPr>
              <w:spacing w:line="360" w:lineRule="auto"/>
              <w:rPr>
                <w:rFonts w:ascii="仿宋" w:hAnsi="仿宋" w:eastAsia="仿宋"/>
              </w:rPr>
            </w:pPr>
            <w:r>
              <w:rPr>
                <w:rFonts w:ascii="仿宋" w:hAnsi="仿宋" w:eastAsia="仿宋"/>
              </w:rPr>
              <w:t>4.</w:t>
            </w:r>
            <w:r>
              <w:rPr>
                <w:rFonts w:hint="eastAsia" w:ascii="仿宋" w:hAnsi="仿宋" w:eastAsia="仿宋"/>
              </w:rPr>
              <w:t>产品应为成熟稳定的产品，可有效保障数据中心的稳定运行，产品经工信部下属检测机构的全面测试，测试通过率为1</w:t>
            </w:r>
            <w:r>
              <w:rPr>
                <w:rFonts w:ascii="仿宋" w:hAnsi="仿宋" w:eastAsia="仿宋"/>
              </w:rPr>
              <w:t>00%</w:t>
            </w:r>
            <w:r>
              <w:rPr>
                <w:rFonts w:hint="eastAsia" w:ascii="仿宋" w:hAnsi="仿宋" w:eastAsia="仿宋"/>
              </w:rPr>
              <w:t>，测试内容包括不限于功能、安全性、可靠性、性能、兼容性、易用性等，提供测试检测机构盖章的测试结论。</w:t>
            </w:r>
          </w:p>
          <w:p>
            <w:pPr>
              <w:spacing w:line="360" w:lineRule="auto"/>
              <w:rPr>
                <w:rFonts w:ascii="仿宋" w:hAnsi="仿宋" w:eastAsia="仿宋"/>
              </w:rPr>
            </w:pPr>
            <w:r>
              <w:rPr>
                <w:rFonts w:ascii="仿宋" w:hAnsi="仿宋" w:eastAsia="仿宋"/>
              </w:rPr>
              <w:t>5.</w:t>
            </w:r>
            <w:r>
              <w:rPr>
                <w:rFonts w:hint="eastAsia" w:ascii="仿宋" w:hAnsi="仿宋" w:eastAsia="仿宋" w:cs="仿宋"/>
                <w:bCs/>
                <w:szCs w:val="21"/>
              </w:rPr>
              <w:t>支持结合超融合自带 KVM虚拟化平台、VMware虚拟化平台等主流虚拟化软件集成部署超融合架构，而非支持纳管VMware 虚拟化平台，便于未来虚拟化平台灵活变更，提供VMware 官网可查询的兼容性认证列表证明。</w:t>
            </w:r>
          </w:p>
          <w:p>
            <w:pPr>
              <w:spacing w:line="360" w:lineRule="auto"/>
              <w:rPr>
                <w:rFonts w:ascii="仿宋" w:hAnsi="仿宋" w:eastAsia="仿宋"/>
              </w:rPr>
            </w:pPr>
            <w:r>
              <w:rPr>
                <w:rFonts w:ascii="仿宋" w:hAnsi="仿宋" w:eastAsia="仿宋"/>
              </w:rPr>
              <w:t>7.</w:t>
            </w:r>
            <w:r>
              <w:rPr>
                <w:rFonts w:hint="eastAsia" w:ascii="仿宋" w:hAnsi="仿宋" w:eastAsia="仿宋" w:cs="仿宋"/>
                <w:bCs/>
                <w:szCs w:val="21"/>
              </w:rPr>
              <w:t>支持虚拟机CPU兼容性功能。在管理界面中，具备支持对集群和虚拟机设置 CPU 兼容性，可设置为 CPU 物理透传以及Skylake-Server、Skylake-Client、Broadwell、Haswell、IvyBridge等5种 CPU 模型兼容性设置，以便灵活指定集群和虚拟机的 CPU 兼容模型，充分利用 CPU 性能。</w:t>
            </w:r>
          </w:p>
          <w:p>
            <w:pPr>
              <w:spacing w:line="360" w:lineRule="auto"/>
              <w:rPr>
                <w:rFonts w:ascii="仿宋" w:hAnsi="仿宋" w:eastAsia="仿宋"/>
              </w:rPr>
            </w:pPr>
            <w:r>
              <w:rPr>
                <w:rFonts w:ascii="仿宋" w:hAnsi="仿宋" w:eastAsia="仿宋"/>
              </w:rPr>
              <w:t>8.</w:t>
            </w:r>
            <w:r>
              <w:rPr>
                <w:rFonts w:hint="eastAsia" w:ascii="仿宋" w:hAnsi="仿宋" w:eastAsia="仿宋"/>
              </w:rPr>
              <w:t>支持操作系统O</w:t>
            </w:r>
            <w:r>
              <w:rPr>
                <w:rFonts w:ascii="仿宋" w:hAnsi="仿宋" w:eastAsia="仿宋"/>
              </w:rPr>
              <w:t>S</w:t>
            </w:r>
            <w:r>
              <w:rPr>
                <w:rFonts w:hint="eastAsia" w:ascii="仿宋" w:hAnsi="仿宋" w:eastAsia="仿宋"/>
              </w:rPr>
              <w:t>的快速配置。从超融合web管理界面中直接修改虚拟机的内部客户机操作系统的IP地址、DNS地址、主机名、任意用户密码、NTP 服务器参数。</w:t>
            </w:r>
          </w:p>
          <w:p>
            <w:pPr>
              <w:spacing w:line="360" w:lineRule="auto"/>
              <w:rPr>
                <w:rFonts w:ascii="仿宋" w:hAnsi="仿宋" w:eastAsia="仿宋" w:cs="仿宋"/>
                <w:bCs/>
                <w:color w:val="000000" w:themeColor="text1"/>
                <w:szCs w:val="21"/>
                <w14:textFill>
                  <w14:solidFill>
                    <w14:schemeClr w14:val="tx1"/>
                  </w14:solidFill>
                </w14:textFill>
              </w:rPr>
            </w:pPr>
            <w:r>
              <w:rPr>
                <w:rFonts w:hint="eastAsia" w:ascii="仿宋" w:hAnsi="仿宋" w:eastAsia="仿宋"/>
              </w:rPr>
              <w:t>9</w:t>
            </w:r>
            <w:r>
              <w:rPr>
                <w:rFonts w:ascii="仿宋" w:hAnsi="仿宋" w:eastAsia="仿宋"/>
              </w:rPr>
              <w:t>.</w:t>
            </w:r>
            <w:r>
              <w:rPr>
                <w:rFonts w:hint="eastAsia" w:ascii="仿宋" w:hAnsi="仿宋" w:eastAsia="仿宋" w:cs="仿宋"/>
                <w:bCs/>
                <w:szCs w:val="21"/>
              </w:rPr>
              <w:t xml:space="preserve"> 支持在超融合管理界面中，支持以模板创建相应的虚拟机。在以模板创建虚拟机过程中，web界面支持自定义客户机操作系统的主机名、默认用户密码、SSH公钥、IP地址、静态路由、DNS参数，方便用户快速创建和交付虚拟机给业务部门使用，无需手工进入虚拟机内部进行修</w:t>
            </w:r>
            <w:r>
              <w:rPr>
                <w:rFonts w:hint="eastAsia" w:ascii="仿宋" w:hAnsi="仿宋" w:eastAsia="仿宋" w:cs="仿宋"/>
                <w:bCs/>
                <w:color w:val="000000" w:themeColor="text1"/>
                <w:szCs w:val="21"/>
                <w14:textFill>
                  <w14:solidFill>
                    <w14:schemeClr w14:val="tx1"/>
                  </w14:solidFill>
                </w14:textFill>
              </w:rPr>
              <w:t>改。</w:t>
            </w:r>
          </w:p>
          <w:p>
            <w:pPr>
              <w:spacing w:line="360" w:lineRule="auto"/>
              <w:rPr>
                <w:rFonts w:ascii="仿宋" w:hAnsi="仿宋" w:eastAsia="仿宋" w:cs="仿宋"/>
                <w:bCs/>
                <w:color w:val="000000" w:themeColor="text1"/>
                <w:szCs w:val="21"/>
                <w14:textFill>
                  <w14:solidFill>
                    <w14:schemeClr w14:val="tx1"/>
                  </w14:solidFill>
                </w14:textFill>
              </w:rPr>
            </w:pPr>
            <w:r>
              <w:rPr>
                <w:rFonts w:ascii="仿宋" w:hAnsi="仿宋" w:eastAsia="仿宋" w:cs="仿宋"/>
                <w:bCs/>
                <w:color w:val="000000" w:themeColor="text1"/>
                <w:szCs w:val="21"/>
                <w14:textFill>
                  <w14:solidFill>
                    <w14:schemeClr w14:val="tx1"/>
                  </w14:solidFill>
                </w14:textFill>
              </w:rPr>
              <w:t>10.</w:t>
            </w:r>
            <w:r>
              <w:rPr>
                <w:rFonts w:hint="eastAsia" w:ascii="仿宋" w:hAnsi="仿宋" w:eastAsia="仿宋" w:cs="仿宋"/>
                <w:bCs/>
                <w:color w:val="000000" w:themeColor="text1"/>
                <w:szCs w:val="21"/>
                <w14:textFill>
                  <w14:solidFill>
                    <w14:schemeClr w14:val="tx1"/>
                  </w14:solidFill>
                </w14:textFill>
              </w:rPr>
              <w:t xml:space="preserve"> 为保证业务体验，超融合软件应支持在界面中开启R</w:t>
            </w:r>
            <w:r>
              <w:rPr>
                <w:rFonts w:ascii="仿宋" w:hAnsi="仿宋" w:eastAsia="仿宋" w:cs="仿宋"/>
                <w:bCs/>
                <w:color w:val="000000" w:themeColor="text1"/>
                <w:szCs w:val="21"/>
                <w14:textFill>
                  <w14:solidFill>
                    <w14:schemeClr w14:val="tx1"/>
                  </w14:solidFill>
                </w14:textFill>
              </w:rPr>
              <w:t>DMA</w:t>
            </w:r>
            <w:r>
              <w:rPr>
                <w:rFonts w:hint="eastAsia" w:ascii="仿宋" w:hAnsi="仿宋" w:eastAsia="仿宋" w:cs="仿宋"/>
                <w:bCs/>
                <w:color w:val="000000" w:themeColor="text1"/>
                <w:szCs w:val="21"/>
                <w14:textFill>
                  <w14:solidFill>
                    <w14:schemeClr w14:val="tx1"/>
                  </w14:solidFill>
                </w14:textFill>
              </w:rPr>
              <w:t>、boo</w:t>
            </w:r>
            <w:r>
              <w:rPr>
                <w:rFonts w:ascii="仿宋" w:hAnsi="仿宋" w:eastAsia="仿宋" w:cs="仿宋"/>
                <w:bCs/>
                <w:color w:val="000000" w:themeColor="text1"/>
                <w:szCs w:val="21"/>
                <w14:textFill>
                  <w14:solidFill>
                    <w14:schemeClr w14:val="tx1"/>
                  </w14:solidFill>
                </w14:textFill>
              </w:rPr>
              <w:t>st</w:t>
            </w:r>
            <w:r>
              <w:rPr>
                <w:rFonts w:hint="eastAsia" w:ascii="仿宋" w:hAnsi="仿宋" w:eastAsia="仿宋" w:cs="仿宋"/>
                <w:bCs/>
                <w:color w:val="000000" w:themeColor="text1"/>
                <w:szCs w:val="21"/>
                <w14:textFill>
                  <w14:solidFill>
                    <w14:schemeClr w14:val="tx1"/>
                  </w14:solidFill>
                </w14:textFill>
              </w:rPr>
              <w:t>功能，以适配当代高速x86服务器硬件，发挥更高的IO性能。</w:t>
            </w:r>
          </w:p>
          <w:p>
            <w:pPr>
              <w:spacing w:line="360" w:lineRule="auto"/>
              <w:rPr>
                <w:rFonts w:ascii="仿宋" w:hAnsi="仿宋" w:eastAsia="仿宋"/>
              </w:rPr>
            </w:pPr>
            <w:r>
              <w:rPr>
                <w:rFonts w:hint="eastAsia" w:ascii="仿宋" w:hAnsi="仿宋" w:eastAsia="仿宋" w:cs="仿宋"/>
                <w:bCs/>
                <w:szCs w:val="21"/>
              </w:rPr>
              <w:t>1</w:t>
            </w:r>
            <w:r>
              <w:rPr>
                <w:rFonts w:ascii="仿宋" w:hAnsi="仿宋" w:eastAsia="仿宋" w:cs="仿宋"/>
                <w:bCs/>
                <w:szCs w:val="21"/>
              </w:rPr>
              <w:t>1.</w:t>
            </w:r>
            <w:r>
              <w:rPr>
                <w:rFonts w:hint="eastAsia" w:ascii="仿宋" w:hAnsi="仿宋" w:eastAsia="仿宋" w:cs="仿宋"/>
                <w:bCs/>
                <w:szCs w:val="21"/>
              </w:rPr>
              <w:t>支持虚拟机的网络隔离。管理员可以在管理界面中将可疑、被感染虚拟机设置为“隔离”状态，且任何网络策略无法对此虚拟机生效，避免被隔离虚拟机上的安全威胁扩散。</w:t>
            </w:r>
          </w:p>
          <w:p>
            <w:pPr>
              <w:spacing w:line="360" w:lineRule="auto"/>
              <w:rPr>
                <w:rFonts w:ascii="仿宋" w:hAnsi="仿宋" w:eastAsia="仿宋"/>
              </w:rPr>
            </w:pPr>
            <w:r>
              <w:rPr>
                <w:rFonts w:hint="eastAsia" w:ascii="仿宋" w:hAnsi="仿宋" w:eastAsia="仿宋"/>
              </w:rPr>
              <w:t>1</w:t>
            </w:r>
            <w:r>
              <w:rPr>
                <w:rFonts w:ascii="仿宋" w:hAnsi="仿宋" w:eastAsia="仿宋"/>
              </w:rPr>
              <w:t>2.</w:t>
            </w:r>
            <w:r>
              <w:rPr>
                <w:rFonts w:hint="eastAsia" w:ascii="仿宋" w:hAnsi="仿宋" w:eastAsia="仿宋"/>
              </w:rPr>
              <w:t>所投产品应为安全可控的产品，且具备完全的自主研发能力, 核心组件代码自研开发，提供全国信息标准化技术委员会云计算标准工作组成员单位颁发的代码开源率检查报告，并且核心分布式存储的组件代码自主率必须&gt;80%。</w:t>
            </w:r>
          </w:p>
          <w:p>
            <w:pPr>
              <w:spacing w:line="360" w:lineRule="auto"/>
              <w:rPr>
                <w:rFonts w:ascii="仿宋" w:hAnsi="仿宋" w:eastAsia="仿宋" w:cs="仿宋"/>
                <w:bCs/>
                <w:szCs w:val="21"/>
              </w:rPr>
            </w:pPr>
            <w:r>
              <w:rPr>
                <w:rFonts w:ascii="仿宋" w:hAnsi="仿宋" w:eastAsia="仿宋"/>
              </w:rPr>
              <w:t>13</w:t>
            </w:r>
            <w:r>
              <w:rPr>
                <w:rFonts w:hint="eastAsia" w:ascii="仿宋" w:hAnsi="仿宋" w:eastAsia="仿宋"/>
              </w:rPr>
              <w:t>.</w:t>
            </w:r>
            <w:r>
              <w:rPr>
                <w:rFonts w:hint="eastAsia" w:ascii="仿宋" w:hAnsi="仿宋" w:eastAsia="仿宋" w:cs="仿宋"/>
                <w:bCs/>
                <w:szCs w:val="21"/>
              </w:rPr>
              <w:t>提供自定义监控分析功能。在管理界面可对集群、主机、磁盘、虚拟机、虚拟卷等对像设置监控图表。监控的性能指标包含 CPU、内存、磁盘、虚拟卷、网络等的性能参数。用户可根据需求设置监控图表，实时了解集群和业务系统的运行状态。监控信息的时间跨度也可灵活选择2小时、1天、7天、1个月或半年，便于长时间系统运行状态监控，方便故障分析排查。</w:t>
            </w:r>
          </w:p>
          <w:p>
            <w:pPr>
              <w:pStyle w:val="32"/>
              <w:spacing w:line="360" w:lineRule="auto"/>
              <w:ind w:firstLine="0" w:firstLineChars="0"/>
              <w:rPr>
                <w:rFonts w:ascii="仿宋" w:hAnsi="仿宋" w:eastAsia="仿宋" w:cs="仿宋"/>
                <w:bCs/>
                <w:color w:val="000000" w:themeColor="text1"/>
                <w:szCs w:val="21"/>
                <w14:textFill>
                  <w14:solidFill>
                    <w14:schemeClr w14:val="tx1"/>
                  </w14:solidFill>
                </w14:textFill>
              </w:rPr>
            </w:pPr>
            <w:r>
              <w:rPr>
                <w:rFonts w:hint="eastAsia" w:ascii="仿宋" w:hAnsi="仿宋" w:eastAsia="仿宋"/>
                <w:color w:val="000000" w:themeColor="text1"/>
                <w14:textFill>
                  <w14:solidFill>
                    <w14:schemeClr w14:val="tx1"/>
                  </w14:solidFill>
                </w14:textFill>
              </w:rPr>
              <w:t>1</w:t>
            </w:r>
            <w:r>
              <w:rPr>
                <w:rFonts w:ascii="仿宋" w:hAnsi="仿宋" w:eastAsia="仿宋"/>
                <w:color w:val="000000" w:themeColor="text1"/>
                <w14:textFill>
                  <w14:solidFill>
                    <w14:schemeClr w14:val="tx1"/>
                  </w14:solidFill>
                </w14:textFill>
              </w:rPr>
              <w:t>4.</w:t>
            </w:r>
            <w:r>
              <w:rPr>
                <w:rFonts w:hint="eastAsia" w:ascii="仿宋" w:hAnsi="仿宋" w:eastAsia="仿宋" w:cs="仿宋"/>
                <w:bCs/>
                <w:color w:val="000000" w:themeColor="text1"/>
                <w:szCs w:val="21"/>
                <w14:textFill>
                  <w14:solidFill>
                    <w14:schemeClr w14:val="tx1"/>
                  </w14:solidFill>
                </w14:textFill>
              </w:rPr>
              <w:t>资源分析能力: 支持资源优化功能。在管理中通过设置判断条件。通过判断条件，用户至少可以筛选出：</w:t>
            </w:r>
          </w:p>
          <w:p>
            <w:pPr>
              <w:spacing w:line="360" w:lineRule="auto"/>
              <w:rPr>
                <w:rFonts w:ascii="仿宋" w:hAnsi="仿宋" w:eastAsia="仿宋" w:cs="仿宋"/>
                <w:bCs/>
                <w:color w:val="000000" w:themeColor="text1"/>
                <w:szCs w:val="21"/>
                <w14:textFill>
                  <w14:solidFill>
                    <w14:schemeClr w14:val="tx1"/>
                  </w14:solidFill>
                </w14:textFill>
              </w:rPr>
            </w:pPr>
            <w:r>
              <w:rPr>
                <w:rFonts w:ascii="仿宋" w:hAnsi="仿宋" w:eastAsia="仿宋" w:cs="仿宋"/>
                <w:bCs/>
                <w:color w:val="000000" w:themeColor="text1"/>
                <w:szCs w:val="21"/>
                <w14:textFill>
                  <w14:solidFill>
                    <w14:schemeClr w14:val="tx1"/>
                  </w14:solidFill>
                </w14:textFill>
              </w:rPr>
              <w:t>(1)</w:t>
            </w:r>
            <w:r>
              <w:rPr>
                <w:rFonts w:hint="eastAsia" w:ascii="仿宋" w:hAnsi="仿宋" w:eastAsia="仿宋" w:cs="仿宋"/>
                <w:bCs/>
                <w:color w:val="000000" w:themeColor="text1"/>
                <w:szCs w:val="21"/>
                <w14:textFill>
                  <w14:solidFill>
                    <w14:schemeClr w14:val="tx1"/>
                  </w14:solidFill>
                </w14:textFill>
              </w:rPr>
              <w:t>30天内电源状态都是关机状态；</w:t>
            </w:r>
          </w:p>
          <w:p>
            <w:pPr>
              <w:spacing w:line="360" w:lineRule="auto"/>
              <w:rPr>
                <w:rFonts w:ascii="仿宋" w:hAnsi="仿宋" w:eastAsia="仿宋" w:cs="仿宋"/>
                <w:bCs/>
                <w:color w:val="000000" w:themeColor="text1"/>
                <w:szCs w:val="21"/>
                <w14:textFill>
                  <w14:solidFill>
                    <w14:schemeClr w14:val="tx1"/>
                  </w14:solidFill>
                </w14:textFill>
              </w:rPr>
            </w:pPr>
            <w:r>
              <w:rPr>
                <w:rFonts w:ascii="仿宋" w:hAnsi="仿宋" w:eastAsia="仿宋" w:cs="仿宋"/>
                <w:bCs/>
                <w:color w:val="000000" w:themeColor="text1"/>
                <w:szCs w:val="21"/>
                <w14:textFill>
                  <w14:solidFill>
                    <w14:schemeClr w14:val="tx1"/>
                  </w14:solidFill>
                </w14:textFill>
              </w:rPr>
              <w:t>(2)</w:t>
            </w:r>
            <w:r>
              <w:rPr>
                <w:rFonts w:hint="eastAsia" w:ascii="仿宋" w:hAnsi="仿宋" w:eastAsia="仿宋" w:cs="仿宋"/>
                <w:bCs/>
                <w:color w:val="000000" w:themeColor="text1"/>
                <w:szCs w:val="21"/>
                <w14:textFill>
                  <w14:solidFill>
                    <w14:schemeClr w14:val="tx1"/>
                  </w14:solidFill>
                </w14:textFill>
              </w:rPr>
              <w:t>30 天内每天读写 I/O 最大值 &lt; 100；</w:t>
            </w:r>
          </w:p>
          <w:p>
            <w:pPr>
              <w:spacing w:line="360" w:lineRule="auto"/>
              <w:rPr>
                <w:rFonts w:ascii="仿宋" w:hAnsi="仿宋" w:eastAsia="仿宋" w:cs="仿宋"/>
                <w:bCs/>
                <w:color w:val="000000" w:themeColor="text1"/>
                <w:szCs w:val="21"/>
                <w14:textFill>
                  <w14:solidFill>
                    <w14:schemeClr w14:val="tx1"/>
                  </w14:solidFill>
                </w14:textFill>
              </w:rPr>
            </w:pPr>
            <w:r>
              <w:rPr>
                <w:rFonts w:ascii="仿宋" w:hAnsi="仿宋" w:eastAsia="仿宋" w:cs="仿宋"/>
                <w:bCs/>
                <w:color w:val="000000" w:themeColor="text1"/>
                <w:szCs w:val="21"/>
                <w14:textFill>
                  <w14:solidFill>
                    <w14:schemeClr w14:val="tx1"/>
                  </w14:solidFill>
                </w14:textFill>
              </w:rPr>
              <w:t>(3)</w:t>
            </w:r>
            <w:r>
              <w:rPr>
                <w:rFonts w:hint="eastAsia" w:ascii="仿宋" w:hAnsi="仿宋" w:eastAsia="仿宋" w:cs="仿宋"/>
                <w:bCs/>
                <w:color w:val="000000" w:themeColor="text1"/>
                <w:szCs w:val="21"/>
                <w14:textFill>
                  <w14:solidFill>
                    <w14:schemeClr w14:val="tx1"/>
                  </w14:solidFill>
                </w14:textFill>
              </w:rPr>
              <w:t>30 天内9</w:t>
            </w:r>
            <w:r>
              <w:rPr>
                <w:rFonts w:ascii="仿宋" w:hAnsi="仿宋" w:eastAsia="仿宋" w:cs="仿宋"/>
                <w:bCs/>
                <w:color w:val="000000" w:themeColor="text1"/>
                <w:szCs w:val="21"/>
                <w14:textFill>
                  <w14:solidFill>
                    <w14:schemeClr w14:val="tx1"/>
                  </w14:solidFill>
                </w14:textFill>
              </w:rPr>
              <w:t>5%</w:t>
            </w:r>
            <w:r>
              <w:rPr>
                <w:rFonts w:hint="eastAsia" w:ascii="仿宋" w:hAnsi="仿宋" w:eastAsia="仿宋" w:cs="仿宋"/>
                <w:bCs/>
                <w:color w:val="000000" w:themeColor="text1"/>
                <w:szCs w:val="21"/>
                <w14:textFill>
                  <w14:solidFill>
                    <w14:schemeClr w14:val="tx1"/>
                  </w14:solidFill>
                </w14:textFill>
              </w:rPr>
              <w:t>情况下vCPU 使用率&lt; 15%</w:t>
            </w:r>
          </w:p>
          <w:p>
            <w:pPr>
              <w:spacing w:line="360" w:lineRule="auto"/>
              <w:rPr>
                <w:rFonts w:ascii="仿宋" w:hAnsi="仿宋" w:eastAsia="仿宋" w:cs="仿宋"/>
                <w:bCs/>
                <w:color w:val="000000" w:themeColor="text1"/>
                <w:szCs w:val="21"/>
                <w14:textFill>
                  <w14:solidFill>
                    <w14:schemeClr w14:val="tx1"/>
                  </w14:solidFill>
                </w14:textFill>
              </w:rPr>
            </w:pPr>
            <w:r>
              <w:rPr>
                <w:rFonts w:hint="eastAsia" w:ascii="仿宋" w:hAnsi="仿宋" w:eastAsia="仿宋" w:cs="仿宋"/>
                <w:bCs/>
                <w:color w:val="000000" w:themeColor="text1"/>
                <w:szCs w:val="21"/>
                <w14:textFill>
                  <w14:solidFill>
                    <w14:schemeClr w14:val="tx1"/>
                  </w14:solidFill>
                </w14:textFill>
              </w:rPr>
              <w:t>30 天内95% 情况下 vCPU 使用率 &gt; 70%</w:t>
            </w:r>
          </w:p>
          <w:p>
            <w:pPr>
              <w:spacing w:line="360" w:lineRule="auto"/>
              <w:rPr>
                <w:rFonts w:ascii="仿宋" w:hAnsi="仿宋" w:eastAsia="仿宋"/>
              </w:rPr>
            </w:pPr>
            <w:r>
              <w:rPr>
                <w:rFonts w:hint="eastAsia" w:ascii="仿宋" w:hAnsi="仿宋" w:eastAsia="仿宋" w:cs="仿宋"/>
                <w:bCs/>
                <w:color w:val="000000" w:themeColor="text1"/>
                <w:szCs w:val="21"/>
                <w14:textFill>
                  <w14:solidFill>
                    <w14:schemeClr w14:val="tx1"/>
                  </w14:solidFill>
                </w14:textFill>
              </w:rPr>
              <w:t>等状态的虚拟机，便于管理员进行资源调整。</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szCs w:val="21"/>
              </w:rPr>
            </w:pPr>
            <w:r>
              <w:rPr>
                <w:rFonts w:hint="eastAsia" w:ascii="仿宋" w:hAnsi="仿宋" w:eastAsia="仿宋"/>
                <w:szCs w:val="21"/>
              </w:rPr>
              <w:t>3套</w:t>
            </w:r>
          </w:p>
        </w:tc>
      </w:tr>
      <w:tr>
        <w:tblPrEx>
          <w:tblCellMar>
            <w:top w:w="0" w:type="dxa"/>
            <w:left w:w="0" w:type="dxa"/>
            <w:bottom w:w="0" w:type="dxa"/>
            <w:right w:w="0" w:type="dxa"/>
          </w:tblCellMar>
        </w:tblPrEx>
        <w:trPr>
          <w:trHeight w:val="168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仿宋" w:hAnsi="仿宋" w:eastAsia="仿宋"/>
                <w:szCs w:val="21"/>
              </w:rPr>
            </w:pPr>
            <w:r>
              <w:rPr>
                <w:rFonts w:ascii="仿宋" w:hAnsi="仿宋" w:eastAsia="仿宋"/>
                <w:szCs w:val="21"/>
              </w:rPr>
              <w:t>2</w:t>
            </w:r>
          </w:p>
        </w:tc>
        <w:tc>
          <w:tcPr>
            <w:tcW w:w="127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rPr>
            </w:pPr>
            <w:r>
              <w:rPr>
                <w:rFonts w:hint="eastAsia" w:ascii="仿宋" w:hAnsi="仿宋" w:eastAsia="仿宋"/>
              </w:rPr>
              <w:t>虚拟化平台</w:t>
            </w:r>
          </w:p>
        </w:tc>
        <w:tc>
          <w:tcPr>
            <w:tcW w:w="62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60" w:lineRule="auto"/>
              <w:rPr>
                <w:rFonts w:ascii="仿宋" w:hAnsi="仿宋" w:eastAsia="仿宋"/>
              </w:rPr>
            </w:pPr>
            <w:r>
              <w:rPr>
                <w:rFonts w:hint="eastAsia" w:ascii="仿宋" w:hAnsi="仿宋" w:eastAsia="仿宋"/>
              </w:rPr>
              <w:t>提供一套服务器虚拟化解决方案，实现计算、网络、存储资源的虚拟化；</w:t>
            </w:r>
          </w:p>
          <w:p>
            <w:pPr>
              <w:spacing w:line="360" w:lineRule="auto"/>
              <w:rPr>
                <w:rFonts w:ascii="仿宋" w:hAnsi="仿宋" w:eastAsia="仿宋"/>
              </w:rPr>
            </w:pPr>
            <w:r>
              <w:rPr>
                <w:rFonts w:hint="eastAsia" w:ascii="仿宋" w:hAnsi="仿宋" w:eastAsia="仿宋"/>
              </w:rPr>
              <w:t>服务器虚拟化套件必须与本次采购中超融合软件兼容，并能与现有虚拟化平台vCenter实现统一管理。</w:t>
            </w:r>
          </w:p>
          <w:p>
            <w:pPr>
              <w:spacing w:line="360" w:lineRule="auto"/>
              <w:rPr>
                <w:rFonts w:ascii="仿宋" w:hAnsi="仿宋" w:eastAsia="仿宋"/>
              </w:rPr>
            </w:pPr>
            <w:r>
              <w:rPr>
                <w:rFonts w:hint="eastAsia" w:ascii="仿宋" w:hAnsi="仿宋" w:eastAsia="仿宋"/>
              </w:rPr>
              <w:t>支持vMotion功能；支持HA功能；</w:t>
            </w:r>
          </w:p>
          <w:p>
            <w:pPr>
              <w:spacing w:line="360" w:lineRule="auto"/>
              <w:rPr>
                <w:rFonts w:ascii="仿宋" w:hAnsi="仿宋" w:eastAsia="仿宋"/>
              </w:rPr>
            </w:pPr>
            <w:r>
              <w:rPr>
                <w:rFonts w:hint="eastAsia" w:ascii="仿宋" w:hAnsi="仿宋" w:eastAsia="仿宋"/>
              </w:rPr>
              <w:t>支持Storage vMotion；</w:t>
            </w:r>
          </w:p>
          <w:p>
            <w:pPr>
              <w:spacing w:line="360" w:lineRule="auto"/>
              <w:rPr>
                <w:rFonts w:ascii="仿宋" w:hAnsi="仿宋" w:eastAsia="仿宋"/>
              </w:rPr>
            </w:pPr>
            <w:r>
              <w:rPr>
                <w:rFonts w:hint="eastAsia" w:ascii="仿宋" w:hAnsi="仿宋" w:eastAsia="仿宋"/>
              </w:rPr>
              <w:t>支持vSphere Replication；</w:t>
            </w:r>
          </w:p>
          <w:p>
            <w:pPr>
              <w:spacing w:line="360" w:lineRule="auto"/>
              <w:rPr>
                <w:rFonts w:ascii="仿宋" w:hAnsi="仿宋" w:eastAsia="仿宋"/>
              </w:rPr>
            </w:pPr>
            <w:r>
              <w:rPr>
                <w:rFonts w:hint="eastAsia" w:ascii="仿宋" w:hAnsi="仿宋" w:eastAsia="仿宋"/>
              </w:rPr>
              <w:t>提供VMware vSphere 7 Standard授权（8 CPU授权）；</w:t>
            </w:r>
          </w:p>
          <w:p>
            <w:pPr>
              <w:spacing w:line="360" w:lineRule="auto"/>
              <w:rPr>
                <w:rFonts w:ascii="仿宋" w:hAnsi="仿宋" w:eastAsia="仿宋"/>
              </w:rPr>
            </w:pPr>
            <w:r>
              <w:rPr>
                <w:rFonts w:hint="eastAsia" w:ascii="仿宋" w:hAnsi="仿宋" w:eastAsia="仿宋"/>
              </w:rPr>
              <w:t>提供Vmware vSphere vCenter Standard（1个授权）。</w:t>
            </w:r>
          </w:p>
        </w:tc>
        <w:tc>
          <w:tcPr>
            <w:tcW w:w="7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szCs w:val="21"/>
              </w:rPr>
            </w:pPr>
            <w:r>
              <w:rPr>
                <w:rFonts w:hint="eastAsia" w:ascii="仿宋" w:hAnsi="仿宋" w:eastAsia="仿宋"/>
                <w:szCs w:val="21"/>
              </w:rPr>
              <w:t>1套</w:t>
            </w:r>
          </w:p>
        </w:tc>
      </w:tr>
    </w:tbl>
    <w:p>
      <w:pPr>
        <w:rPr>
          <w:rFonts w:ascii="仿宋_GB2312" w:hAnsi="仿宋_GB2312" w:eastAsia="仿宋_GB2312" w:cs="仿宋_GB2312"/>
          <w:sz w:val="28"/>
          <w:szCs w:val="28"/>
        </w:rPr>
      </w:pPr>
      <w:r>
        <w:rPr>
          <w:rFonts w:hint="eastAsia" w:ascii="仿宋_GB2312" w:hAnsi="仿宋_GB2312" w:eastAsia="仿宋_GB2312" w:cs="仿宋_GB2312"/>
          <w:sz w:val="28"/>
          <w:szCs w:val="28"/>
        </w:rPr>
        <w:t>项目交付中所需线材等辅助性材料、施工的其他费用包含在报价中。</w:t>
      </w:r>
    </w:p>
    <w:p>
      <w:pPr>
        <w:pStyle w:val="2"/>
        <w:ind w:firstLine="560" w:firstLineChars="200"/>
        <w:rPr>
          <w:u w:val="single"/>
        </w:rPr>
      </w:pPr>
      <w:r>
        <w:rPr>
          <w:rFonts w:hint="eastAsia" w:ascii="仿宋_GB2312" w:hAnsi="仿宋_GB2312" w:eastAsia="仿宋_GB2312" w:cs="仿宋_GB2312"/>
          <w:color w:val="auto"/>
          <w:kern w:val="2"/>
          <w:sz w:val="28"/>
          <w:szCs w:val="28"/>
          <w:u w:val="single"/>
        </w:rPr>
        <w:t>△</w:t>
      </w:r>
      <w:r>
        <w:rPr>
          <w:rFonts w:hint="eastAsia" w:ascii="仿宋_GB2312" w:hAnsi="仿宋_GB2312" w:eastAsia="仿宋_GB2312" w:cs="仿宋_GB2312"/>
          <w:color w:val="auto"/>
          <w:kern w:val="2"/>
          <w:sz w:val="28"/>
          <w:szCs w:val="28"/>
          <w:u w:val="single"/>
          <w:lang w:val="en-US" w:eastAsia="zh-CN"/>
        </w:rPr>
        <w:t>设备参数响应：</w:t>
      </w:r>
      <w:r>
        <w:rPr>
          <w:rFonts w:hint="eastAsia" w:ascii="仿宋_GB2312" w:hAnsi="仿宋_GB2312" w:eastAsia="仿宋_GB2312" w:cs="仿宋_GB2312"/>
          <w:color w:val="auto"/>
          <w:kern w:val="2"/>
          <w:sz w:val="28"/>
          <w:szCs w:val="28"/>
          <w:u w:val="single"/>
        </w:rPr>
        <w:t>为证明技术响应的真实性，报价单位递交响应文件时须提供本项目超融合一体机</w:t>
      </w:r>
      <w:r>
        <w:rPr>
          <w:rFonts w:hint="eastAsia" w:ascii="仿宋_GB2312" w:hAnsi="仿宋_GB2312" w:eastAsia="仿宋_GB2312" w:cs="仿宋_GB2312"/>
          <w:color w:val="auto"/>
          <w:kern w:val="2"/>
          <w:sz w:val="28"/>
          <w:szCs w:val="28"/>
          <w:u w:val="single"/>
          <w:lang w:val="en-US" w:eastAsia="zh-CN"/>
        </w:rPr>
        <w:t>技术指标要求1至14点</w:t>
      </w:r>
      <w:r>
        <w:rPr>
          <w:rFonts w:hint="eastAsia" w:ascii="仿宋_GB2312" w:hAnsi="仿宋_GB2312" w:eastAsia="仿宋_GB2312" w:cs="仿宋_GB2312"/>
          <w:color w:val="auto"/>
          <w:kern w:val="2"/>
          <w:sz w:val="28"/>
          <w:szCs w:val="28"/>
          <w:u w:val="single"/>
        </w:rPr>
        <w:t>的技术参数证明材料（</w:t>
      </w:r>
      <w:r>
        <w:rPr>
          <w:rFonts w:hint="eastAsia" w:ascii="仿宋_GB2312" w:hAnsi="仿宋_GB2312" w:eastAsia="仿宋_GB2312" w:cs="仿宋_GB2312"/>
          <w:color w:val="auto"/>
          <w:kern w:val="2"/>
          <w:sz w:val="28"/>
          <w:szCs w:val="28"/>
          <w:u w:val="single"/>
          <w:lang w:val="en-US" w:eastAsia="zh-CN"/>
        </w:rPr>
        <w:t>相关</w:t>
      </w:r>
      <w:r>
        <w:rPr>
          <w:rFonts w:hint="eastAsia" w:ascii="仿宋_GB2312" w:hAnsi="仿宋_GB2312" w:eastAsia="仿宋_GB2312" w:cs="仿宋_GB2312"/>
          <w:color w:val="auto"/>
          <w:kern w:val="2"/>
          <w:sz w:val="28"/>
          <w:szCs w:val="28"/>
          <w:u w:val="single"/>
        </w:rPr>
        <w:t>截图或相关证明材料，加盖原厂公章），未提供或相关证明材料无法完整证明或者不清晰的，视为无效响应。</w:t>
      </w:r>
    </w:p>
    <w:p>
      <w:pPr>
        <w:pStyle w:val="2"/>
        <w:rPr>
          <w:rFonts w:ascii="仿宋_GB2312" w:eastAsia="仿宋_GB2312"/>
          <w:sz w:val="28"/>
          <w:szCs w:val="28"/>
          <w:u w:val="single"/>
        </w:rPr>
      </w:pPr>
      <w:r>
        <w:rPr>
          <w:rFonts w:hint="eastAsia" w:ascii="仿宋_GB2312" w:hAnsi="仿宋_GB2312" w:eastAsia="仿宋_GB2312" w:cs="仿宋_GB2312"/>
          <w:color w:val="auto"/>
          <w:kern w:val="2"/>
          <w:sz w:val="28"/>
          <w:szCs w:val="28"/>
          <w:u w:val="single"/>
        </w:rPr>
        <w:t>△超融合资</w:t>
      </w:r>
      <w:r>
        <w:rPr>
          <w:rFonts w:hint="eastAsia" w:ascii="仿宋_GB2312" w:eastAsia="仿宋_GB2312"/>
          <w:sz w:val="28"/>
          <w:szCs w:val="28"/>
          <w:u w:val="single"/>
        </w:rPr>
        <w:t>源</w:t>
      </w:r>
      <w:r>
        <w:rPr>
          <w:rFonts w:hint="eastAsia" w:ascii="仿宋_GB2312" w:eastAsia="仿宋_GB2312"/>
          <w:sz w:val="28"/>
          <w:szCs w:val="28"/>
          <w:u w:val="single"/>
          <w:lang w:val="en-US" w:eastAsia="zh-CN"/>
        </w:rPr>
        <w:t>兼容性</w:t>
      </w:r>
      <w:r>
        <w:rPr>
          <w:rFonts w:hint="eastAsia" w:ascii="仿宋_GB2312" w:eastAsia="仿宋_GB2312"/>
          <w:sz w:val="28"/>
          <w:szCs w:val="28"/>
          <w:u w:val="single"/>
        </w:rPr>
        <w:t>：为保证设备及系统</w:t>
      </w:r>
      <w:r>
        <w:rPr>
          <w:rFonts w:hint="eastAsia" w:ascii="仿宋_GB2312" w:eastAsia="仿宋_GB2312"/>
          <w:sz w:val="28"/>
          <w:szCs w:val="28"/>
          <w:u w:val="single"/>
          <w:lang w:val="en-US" w:eastAsia="zh-CN"/>
        </w:rPr>
        <w:t>与现有平台的</w:t>
      </w:r>
      <w:r>
        <w:rPr>
          <w:rFonts w:hint="eastAsia" w:ascii="仿宋_GB2312" w:eastAsia="仿宋_GB2312"/>
          <w:sz w:val="28"/>
          <w:szCs w:val="28"/>
          <w:u w:val="single"/>
        </w:rPr>
        <w:t>兼容性，所投产品的存储空间能与现有集群的存储空间构成统一的存储池，且在单一管理界面中，进行统一管理。虚拟机可在不关机状态下在该集群的新、旧超融合节点之间无障碍在线迁移、切换，报价单位递交响应文件时须提供本项目相关的实现原理的描述或者证明材料，相关证明材料加盖原厂公章，未提供或相关证明材料无法完整证明或者不清晰的，视为无效响应。</w:t>
      </w:r>
    </w:p>
    <w:p>
      <w:pPr>
        <w:pStyle w:val="2"/>
        <w:rPr>
          <w:rFonts w:hint="eastAsia" w:ascii="仿宋_GB2312" w:hAnsi="仿宋_GB2312" w:eastAsia="仿宋_GB2312" w:cs="仿宋_GB2312"/>
          <w:color w:val="auto"/>
          <w:kern w:val="2"/>
          <w:sz w:val="28"/>
          <w:szCs w:val="28"/>
          <w:u w:val="single"/>
        </w:rPr>
      </w:pPr>
      <w:r>
        <w:rPr>
          <w:rFonts w:hint="eastAsia" w:ascii="仿宋_GB2312" w:hAnsi="仿宋_GB2312" w:eastAsia="仿宋_GB2312" w:cs="仿宋_GB2312"/>
          <w:color w:val="auto"/>
          <w:kern w:val="2"/>
          <w:sz w:val="28"/>
          <w:szCs w:val="28"/>
          <w:u w:val="single"/>
        </w:rPr>
        <w:t>△</w:t>
      </w:r>
      <w:r>
        <w:rPr>
          <w:rFonts w:hint="eastAsia" w:ascii="仿宋_GB2312" w:eastAsia="仿宋_GB2312"/>
          <w:sz w:val="28"/>
          <w:szCs w:val="28"/>
          <w:u w:val="single"/>
        </w:rPr>
        <w:t>平台升级与迁移服务：</w:t>
      </w:r>
      <w:r>
        <w:rPr>
          <w:rFonts w:hint="eastAsia" w:ascii="仿宋_GB2312" w:hAnsi="仿宋_GB2312" w:eastAsia="仿宋_GB2312" w:cs="仿宋_GB2312"/>
          <w:color w:val="auto"/>
          <w:kern w:val="2"/>
          <w:sz w:val="28"/>
          <w:szCs w:val="28"/>
          <w:u w:val="single"/>
        </w:rPr>
        <w:t>报价单位负责为</w:t>
      </w:r>
      <w:r>
        <w:rPr>
          <w:rFonts w:hint="eastAsia" w:ascii="仿宋_GB2312" w:eastAsia="仿宋_GB2312"/>
          <w:sz w:val="28"/>
          <w:szCs w:val="28"/>
          <w:u w:val="single"/>
        </w:rPr>
        <w:t>采购人</w:t>
      </w:r>
      <w:r>
        <w:rPr>
          <w:rFonts w:hint="eastAsia" w:ascii="仿宋_GB2312" w:hAnsi="仿宋_GB2312" w:eastAsia="仿宋_GB2312" w:cs="仿宋_GB2312"/>
          <w:color w:val="auto"/>
          <w:kern w:val="2"/>
          <w:sz w:val="28"/>
          <w:szCs w:val="28"/>
          <w:u w:val="single"/>
        </w:rPr>
        <w:t>提供原虚拟化</w:t>
      </w:r>
      <w:r>
        <w:rPr>
          <w:rFonts w:hint="eastAsia" w:ascii="仿宋_GB2312" w:eastAsia="仿宋_GB2312"/>
          <w:sz w:val="28"/>
          <w:szCs w:val="28"/>
          <w:u w:val="single"/>
        </w:rPr>
        <w:t>平台升级及迁移服务，并保证虚拟化平台升级与系统迁移期间的</w:t>
      </w:r>
      <w:r>
        <w:rPr>
          <w:rFonts w:hint="eastAsia" w:ascii="仿宋_GB2312" w:eastAsia="仿宋_GB2312"/>
          <w:sz w:val="28"/>
          <w:szCs w:val="28"/>
          <w:u w:val="single"/>
          <w:lang w:val="en-US" w:eastAsia="zh-CN"/>
        </w:rPr>
        <w:t>原有</w:t>
      </w:r>
      <w:r>
        <w:rPr>
          <w:rFonts w:hint="eastAsia" w:ascii="仿宋_GB2312" w:eastAsia="仿宋_GB2312"/>
          <w:sz w:val="28"/>
          <w:szCs w:val="28"/>
          <w:u w:val="single"/>
        </w:rPr>
        <w:t>系统及数据的可用性和完整性。</w:t>
      </w:r>
      <w:r>
        <w:rPr>
          <w:rFonts w:hint="eastAsia" w:ascii="仿宋_GB2312" w:hAnsi="仿宋_GB2312" w:eastAsia="仿宋_GB2312" w:cs="仿宋_GB2312"/>
          <w:color w:val="auto"/>
          <w:kern w:val="2"/>
          <w:sz w:val="28"/>
          <w:szCs w:val="28"/>
          <w:u w:val="single"/>
        </w:rPr>
        <w:t>报价单位递交响应文件时须提供详细的平台升级与</w:t>
      </w:r>
      <w:r>
        <w:rPr>
          <w:rFonts w:hint="eastAsia" w:ascii="仿宋_GB2312" w:eastAsia="仿宋_GB2312"/>
          <w:sz w:val="28"/>
          <w:szCs w:val="28"/>
          <w:u w:val="single"/>
        </w:rPr>
        <w:t>系统迁移方案，重点阐述升级与迁移过程及风险管控措施，未提供相关方案或者方案可行性不足的，视为无效响应。</w:t>
      </w:r>
    </w:p>
    <w:p>
      <w:pPr>
        <w:pStyle w:val="6"/>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（二）服务要求：</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项目必须提供的具体服务内容如下：</w:t>
      </w:r>
    </w:p>
    <w:p>
      <w:pP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质保期服务内容</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1.项目验收后1年为项目质保期。</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2.承包人报价产品属于国家规定“三包”范围的，其产品质量保证期不得低于“三包”规定。</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3.承包人的质量保证期承诺优于国家“三包”规定的，按承包人实际承诺执行。</w:t>
      </w:r>
    </w:p>
    <w:p>
      <w:pP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售后服务内容</w:t>
      </w:r>
    </w:p>
    <w:p>
      <w:pPr>
        <w:ind w:firstLine="560" w:firstLineChars="200"/>
      </w:pPr>
      <w:r>
        <w:rPr>
          <w:rFonts w:hint="eastAsia" w:ascii="仿宋_GB2312" w:hAnsi="仿宋_GB2312" w:eastAsia="仿宋_GB2312" w:cs="仿宋_GB2312"/>
          <w:color w:val="000000" w:themeColor="text1"/>
          <w:sz w:val="28"/>
          <w:szCs w:val="28"/>
          <w14:textFill>
            <w14:solidFill>
              <w14:schemeClr w14:val="tx1"/>
            </w14:solidFill>
          </w14:textFill>
        </w:rPr>
        <w:t>1.承包人明确承诺:本项目内涉及软件部分提供不低于1年的免费升级服务及技术支持（指协助甲方按照产品原厂标准应享有的售后服务），免费升级服务期及技术支持由产品成功激活之日起计算。</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2.承包人在质量保证期内应当为询价人提供以下技术支持和服务:</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A、电话咨询</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承包人应当为询价人提供其单位以及原厂的技术援助电话，解答询价人在使用中遇到的问题，及时为询价人提出解决问题的建议。</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B、现场响应</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询价人遇到使用及技术问题，电话咨询不能解决的，承包人应在1小时内到达现场进行处理，确保产品正常工作﹔无法在2小时内解决的，应在2小时内提供备用产品，使询价人能够正常使用。</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C、技术升级</w:t>
      </w:r>
    </w:p>
    <w:p>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在质保期内，如果承包人销售的产品发现</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包括但不限于</w:t>
      </w:r>
      <w:r>
        <w:rPr>
          <w:rFonts w:hint="eastAsia" w:ascii="仿宋_GB2312" w:hAnsi="仿宋_GB2312" w:eastAsia="仿宋_GB2312" w:cs="仿宋_GB2312"/>
          <w:color w:val="000000" w:themeColor="text1"/>
          <w:sz w:val="28"/>
          <w:szCs w:val="28"/>
          <w14:textFill>
            <w14:solidFill>
              <w14:schemeClr w14:val="tx1"/>
            </w14:solidFill>
          </w14:textFill>
        </w:rPr>
        <w:t>漏洞</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技术升级</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等</w:t>
      </w:r>
      <w:r>
        <w:rPr>
          <w:rFonts w:hint="eastAsia" w:ascii="仿宋_GB2312" w:hAnsi="仿宋_GB2312" w:eastAsia="仿宋_GB2312" w:cs="仿宋_GB2312"/>
          <w:color w:val="000000" w:themeColor="text1"/>
          <w:sz w:val="28"/>
          <w:szCs w:val="28"/>
          <w14:textFill>
            <w14:solidFill>
              <w14:schemeClr w14:val="tx1"/>
            </w14:solidFill>
          </w14:textFill>
        </w:rPr>
        <w:t>，承包人应及时通知询价人</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并及时处理相关事宜</w:t>
      </w:r>
      <w:r>
        <w:rPr>
          <w:rFonts w:hint="eastAsia" w:ascii="仿宋_GB2312" w:hAnsi="仿宋_GB2312" w:eastAsia="仿宋_GB2312" w:cs="仿宋_GB2312"/>
          <w:color w:val="000000" w:themeColor="text1"/>
          <w:sz w:val="28"/>
          <w:szCs w:val="28"/>
          <w14:textFill>
            <w14:solidFill>
              <w14:schemeClr w14:val="tx1"/>
            </w14:solidFill>
          </w14:textFill>
        </w:rPr>
        <w:t>，如询价人有相应要求，承包人应对询价人购买的产品进行升级服务。</w:t>
      </w:r>
    </w:p>
    <w:p>
      <w:pPr>
        <w:snapToGrid w:val="0"/>
        <w:spacing w:line="36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3.质量保证期过后，承包人应同样提供免费电话咨询服务，并应承诺提供产品上门维护服务。</w:t>
      </w:r>
    </w:p>
    <w:p>
      <w:pP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建设服务其他要求</w:t>
      </w:r>
    </w:p>
    <w:p>
      <w:pPr>
        <w:pStyle w:val="3"/>
        <w:spacing w:line="360" w:lineRule="auto"/>
        <w:ind w:left="560" w:firstLine="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1.项目相关设备到货后，需提供本项目具体建设方案。</w:t>
      </w:r>
    </w:p>
    <w:p>
      <w:pPr>
        <w:pStyle w:val="3"/>
        <w:spacing w:line="360" w:lineRule="auto"/>
        <w:ind w:left="560" w:firstLine="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2.项目施工完工后需提供整体项目完整的施工报告，及维护手册。</w:t>
      </w:r>
    </w:p>
    <w:p>
      <w:pPr>
        <w:rPr>
          <w:rFonts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验收要求</w:t>
      </w:r>
    </w:p>
    <w:p>
      <w:pPr>
        <w:snapToGrid w:val="0"/>
        <w:spacing w:line="360" w:lineRule="auto"/>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报价单位应对技术要求如实、具体、明确响应，不得含糊不清、不确认或伪造、变造证明材料，系统上线后，将进行功能性指标测试，如不符合投标文件中所应答的逐条功能，将作退货处理并要求补偿经济损失，同时追究法律责任。</w:t>
      </w:r>
    </w:p>
    <w:p>
      <w:pPr>
        <w:pStyle w:val="5"/>
        <w:jc w:val="left"/>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三、培训要求</w:t>
      </w:r>
    </w:p>
    <w:p>
      <w:pPr>
        <w:pStyle w:val="46"/>
        <w:autoSpaceDE w:val="0"/>
        <w:autoSpaceDN w:val="0"/>
        <w:adjustRightInd w:val="0"/>
        <w:spacing w:line="360" w:lineRule="auto"/>
        <w:ind w:firstLine="560"/>
        <w:textAlignment w:val="baseline"/>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承包单位应根据项目实施的计划、进度和需要与询价人的合理要求，及时安排对询价人的相关人员进行培训。</w:t>
      </w:r>
    </w:p>
    <w:p>
      <w:pPr>
        <w:pStyle w:val="46"/>
        <w:autoSpaceDE w:val="0"/>
        <w:autoSpaceDN w:val="0"/>
        <w:adjustRightInd w:val="0"/>
        <w:spacing w:line="360" w:lineRule="auto"/>
        <w:ind w:left="-134" w:leftChars="-64" w:firstLine="560"/>
        <w:textAlignment w:val="baseline"/>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培训目标为使受训者能够独立、熟练地完成操作，实现本项目所有设备的基本操作。具体如下：</w:t>
      </w:r>
    </w:p>
    <w:p>
      <w:pPr>
        <w:pStyle w:val="46"/>
        <w:autoSpaceDE w:val="0"/>
        <w:autoSpaceDN w:val="0"/>
        <w:adjustRightInd w:val="0"/>
        <w:spacing w:line="360" w:lineRule="auto"/>
        <w:ind w:left="-142" w:firstLine="560"/>
        <w:textAlignment w:val="baseline"/>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由承包单位组织正式培训，采用准备好的注释、讲义、讨论会、视听演示以及在现场进行实际操作示范，培训人员应做好操作、管理、维护的充分准备，承包单位应提交一份培训计划给询价人以获批准。</w:t>
      </w:r>
    </w:p>
    <w:p>
      <w:pPr>
        <w:pStyle w:val="46"/>
        <w:numPr>
          <w:ilvl w:val="0"/>
          <w:numId w:val="5"/>
        </w:numPr>
        <w:autoSpaceDE w:val="0"/>
        <w:autoSpaceDN w:val="0"/>
        <w:adjustRightInd w:val="0"/>
        <w:spacing w:line="360" w:lineRule="auto"/>
        <w:ind w:firstLineChars="0"/>
        <w:textAlignment w:val="baseline"/>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培训范围：超融合维护</w:t>
      </w:r>
    </w:p>
    <w:p>
      <w:pPr>
        <w:pStyle w:val="46"/>
        <w:numPr>
          <w:ilvl w:val="0"/>
          <w:numId w:val="5"/>
        </w:numPr>
        <w:autoSpaceDE w:val="0"/>
        <w:autoSpaceDN w:val="0"/>
        <w:adjustRightInd w:val="0"/>
        <w:spacing w:line="360" w:lineRule="auto"/>
        <w:ind w:firstLineChars="0"/>
        <w:textAlignment w:val="baseline"/>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培训地点：广州市净水有限公司</w:t>
      </w:r>
    </w:p>
    <w:p>
      <w:pPr>
        <w:pStyle w:val="46"/>
        <w:numPr>
          <w:ilvl w:val="0"/>
          <w:numId w:val="5"/>
        </w:numPr>
        <w:autoSpaceDE w:val="0"/>
        <w:autoSpaceDN w:val="0"/>
        <w:adjustRightInd w:val="0"/>
        <w:spacing w:line="360" w:lineRule="auto"/>
        <w:ind w:firstLineChars="0"/>
        <w:textAlignment w:val="baseline"/>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培训时间：在项目施工完成后进行培训</w:t>
      </w:r>
    </w:p>
    <w:p>
      <w:pPr>
        <w:pStyle w:val="46"/>
        <w:numPr>
          <w:ilvl w:val="0"/>
          <w:numId w:val="5"/>
        </w:numPr>
        <w:autoSpaceDE w:val="0"/>
        <w:autoSpaceDN w:val="0"/>
        <w:adjustRightInd w:val="0"/>
        <w:spacing w:line="360" w:lineRule="auto"/>
        <w:ind w:firstLineChars="0"/>
        <w:textAlignment w:val="baseline"/>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培训内容：超融合涉及的技术、应用、操作、维护技巧</w:t>
      </w:r>
    </w:p>
    <w:p>
      <w:pPr>
        <w:pStyle w:val="46"/>
        <w:autoSpaceDE w:val="0"/>
        <w:autoSpaceDN w:val="0"/>
        <w:adjustRightInd w:val="0"/>
        <w:spacing w:line="360" w:lineRule="auto"/>
        <w:ind w:firstLine="560"/>
        <w:textAlignment w:val="baseline"/>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根据用户整体使用、日常维护需求提供相关的知识进行培训及答疑，次数不少于1次。</w:t>
      </w:r>
    </w:p>
    <w:p>
      <w:pPr>
        <w:pStyle w:val="46"/>
        <w:autoSpaceDE w:val="0"/>
        <w:autoSpaceDN w:val="0"/>
        <w:adjustRightInd w:val="0"/>
        <w:spacing w:line="360" w:lineRule="auto"/>
        <w:ind w:firstLine="560"/>
        <w:textAlignment w:val="baseline"/>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若用户日常维护管理及使用仍存在疑问，在运行和维护期间乙方必须持续提供咨询服务。</w:t>
      </w:r>
    </w:p>
    <w:p>
      <w:pPr>
        <w:pStyle w:val="22"/>
        <w:spacing w:after="156"/>
        <w:ind w:firstLine="560"/>
        <w:rPr>
          <w:rFonts w:hint="default" w:ascii="方正小标宋简体" w:eastAsia="方正小标宋简体"/>
          <w:sz w:val="28"/>
          <w:szCs w:val="28"/>
          <w:lang w:val="en-US" w:eastAsia="zh-CN"/>
        </w:rPr>
      </w:pPr>
    </w:p>
    <w:p>
      <w:pPr>
        <w:adjustRightInd w:val="0"/>
        <w:snapToGrid w:val="0"/>
        <w:spacing w:before="156" w:beforeLines="50" w:after="156" w:afterLines="50" w:line="600" w:lineRule="exact"/>
        <w:jc w:val="center"/>
        <w:rPr>
          <w:rFonts w:ascii="方正小标宋简体" w:eastAsia="方正小标宋简体"/>
          <w:sz w:val="44"/>
          <w:szCs w:val="44"/>
        </w:rPr>
      </w:pPr>
    </w:p>
    <w:p>
      <w:pPr>
        <w:pStyle w:val="2"/>
        <w:rPr>
          <w:rFonts w:ascii="仿宋_GB2312" w:eastAsia="仿宋_GB2312"/>
          <w:color w:val="auto"/>
          <w:sz w:val="28"/>
          <w:szCs w:val="28"/>
          <w:highlight w:val="none"/>
        </w:rPr>
      </w:pPr>
    </w:p>
    <w:p>
      <w:pPr>
        <w:pStyle w:val="4"/>
        <w:rPr>
          <w:color w:val="auto"/>
          <w:highlight w:val="none"/>
        </w:rPr>
      </w:pPr>
      <w:bookmarkStart w:id="146" w:name="_Toc21847"/>
      <w:bookmarkStart w:id="147" w:name="_Toc23515"/>
      <w:bookmarkStart w:id="148" w:name="_Toc16552"/>
      <w:bookmarkStart w:id="149" w:name="_Toc1563"/>
      <w:bookmarkStart w:id="150" w:name="_Toc3723"/>
      <w:bookmarkStart w:id="151" w:name="_Toc6230"/>
      <w:bookmarkStart w:id="152" w:name="_Toc12169"/>
      <w:bookmarkStart w:id="153" w:name="_Toc28358"/>
      <w:bookmarkStart w:id="154" w:name="_Toc5129"/>
      <w:bookmarkStart w:id="155" w:name="_Toc8147"/>
      <w:bookmarkStart w:id="156" w:name="_Toc30824"/>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146"/>
      <w:bookmarkEnd w:id="147"/>
      <w:bookmarkEnd w:id="148"/>
      <w:bookmarkEnd w:id="149"/>
      <w:bookmarkEnd w:id="150"/>
      <w:bookmarkEnd w:id="151"/>
      <w:bookmarkEnd w:id="152"/>
      <w:bookmarkEnd w:id="153"/>
      <w:bookmarkEnd w:id="154"/>
      <w:bookmarkEnd w:id="155"/>
      <w:bookmarkEnd w:id="156"/>
    </w:p>
    <w:p>
      <w:pPr>
        <w:pStyle w:val="35"/>
        <w:rPr>
          <w:color w:val="auto"/>
          <w:highlight w:val="none"/>
        </w:rPr>
      </w:pPr>
    </w:p>
    <w:p>
      <w:pPr>
        <w:pStyle w:val="4"/>
        <w:rPr>
          <w:color w:val="auto"/>
          <w:highlight w:val="none"/>
        </w:rPr>
      </w:pPr>
      <w:bookmarkStart w:id="157" w:name="_Toc5342"/>
      <w:bookmarkStart w:id="158" w:name="_Toc88209951"/>
      <w:bookmarkStart w:id="159" w:name="_Toc87616388"/>
      <w:bookmarkStart w:id="160" w:name="_Toc24815"/>
      <w:bookmarkStart w:id="161" w:name="_Toc31564"/>
      <w:bookmarkStart w:id="162" w:name="_Toc22764"/>
      <w:bookmarkStart w:id="163" w:name="_Toc21675"/>
      <w:bookmarkStart w:id="164" w:name="_Toc30157"/>
      <w:bookmarkStart w:id="165" w:name="_Toc24490"/>
      <w:bookmarkStart w:id="166" w:name="_Toc12769"/>
      <w:bookmarkStart w:id="167" w:name="_Toc17119"/>
      <w:bookmarkStart w:id="168" w:name="_Toc12610"/>
      <w:bookmarkStart w:id="169" w:name="_Toc10840"/>
      <w:r>
        <w:rPr>
          <w:rFonts w:hint="eastAsia"/>
          <w:color w:val="auto"/>
          <w:highlight w:val="none"/>
        </w:rPr>
        <w:t>响应文件</w:t>
      </w:r>
      <w:r>
        <w:rPr>
          <w:rFonts w:hint="eastAsia"/>
          <w:color w:val="auto"/>
          <w:highlight w:val="none"/>
          <w:lang w:val="en-US" w:eastAsia="zh-CN"/>
        </w:rPr>
        <w:t>格式要求</w:t>
      </w:r>
      <w:bookmarkEnd w:id="157"/>
      <w:bookmarkEnd w:id="158"/>
      <w:bookmarkEnd w:id="159"/>
      <w:bookmarkEnd w:id="160"/>
      <w:bookmarkEnd w:id="161"/>
      <w:bookmarkEnd w:id="162"/>
      <w:bookmarkEnd w:id="163"/>
      <w:bookmarkEnd w:id="164"/>
      <w:bookmarkEnd w:id="165"/>
      <w:bookmarkEnd w:id="166"/>
      <w:bookmarkEnd w:id="167"/>
      <w:bookmarkEnd w:id="168"/>
      <w:bookmarkEnd w:id="169"/>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70" w:name="_Toc88209952"/>
      <w:bookmarkStart w:id="171" w:name="_Toc87616389"/>
      <w:r>
        <w:rPr>
          <w:rFonts w:hint="eastAsia" w:ascii="仿宋_GB2312" w:eastAsia="仿宋_GB2312"/>
          <w:color w:val="auto"/>
          <w:sz w:val="28"/>
          <w:szCs w:val="28"/>
          <w:highlight w:val="none"/>
        </w:rPr>
        <w:t>1.响应函</w:t>
      </w:r>
      <w:bookmarkEnd w:id="170"/>
      <w:bookmarkEnd w:id="171"/>
    </w:p>
    <w:p>
      <w:pPr>
        <w:spacing w:line="600" w:lineRule="exact"/>
        <w:rPr>
          <w:rFonts w:hint="eastAsia" w:ascii="仿宋_GB2312" w:eastAsia="仿宋_GB2312"/>
          <w:color w:val="auto"/>
          <w:sz w:val="28"/>
          <w:szCs w:val="28"/>
          <w:highlight w:val="none"/>
        </w:rPr>
      </w:pPr>
      <w:bookmarkStart w:id="172" w:name="_Toc87616390"/>
      <w:bookmarkStart w:id="173" w:name="_Toc88209953"/>
      <w:r>
        <w:rPr>
          <w:rFonts w:hint="eastAsia" w:ascii="仿宋_GB2312" w:eastAsia="仿宋_GB2312"/>
          <w:color w:val="auto"/>
          <w:sz w:val="28"/>
          <w:szCs w:val="28"/>
          <w:highlight w:val="none"/>
        </w:rPr>
        <w:t>2.法定代表人证明或授权委托书</w:t>
      </w:r>
      <w:bookmarkEnd w:id="172"/>
      <w:bookmarkEnd w:id="173"/>
      <w:bookmarkStart w:id="174" w:name="_Toc88209956"/>
      <w:bookmarkStart w:id="175"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74"/>
      <w:bookmarkEnd w:id="175"/>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76" w:name="_Toc87616394"/>
      <w:bookmarkStart w:id="177" w:name="_Toc6313"/>
      <w:bookmarkStart w:id="178" w:name="_Toc12665"/>
      <w:bookmarkStart w:id="179" w:name="_Toc88209957"/>
      <w:bookmarkStart w:id="180" w:name="_Toc28619645"/>
      <w:r>
        <w:rPr>
          <w:rFonts w:hint="eastAsia" w:asciiTheme="minorEastAsia" w:hAnsiTheme="minorEastAsia" w:eastAsiaTheme="minorEastAsia"/>
          <w:color w:val="auto"/>
          <w:sz w:val="28"/>
          <w:szCs w:val="28"/>
          <w:highlight w:val="none"/>
        </w:rPr>
        <w:t>1.响应函</w:t>
      </w:r>
      <w:bookmarkEnd w:id="176"/>
      <w:bookmarkEnd w:id="177"/>
      <w:bookmarkEnd w:id="178"/>
      <w:bookmarkEnd w:id="179"/>
      <w:bookmarkEnd w:id="18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 xml:space="preserve">1.我方已仔细研究了（项目名称、项目编号、标段/标包号）   采购文件的全部内容，愿意以含税价人民币（大写）     (¥      ）的报价完成/提供本项目□工程 </w:t>
      </w:r>
      <w:r>
        <w:rPr>
          <w:rFonts w:hint="eastAsia" w:ascii="仿宋_GB2312" w:hAnsi="黑体" w:eastAsia="仿宋_GB2312"/>
          <w:color w:val="auto"/>
          <w:sz w:val="28"/>
          <w:szCs w:val="28"/>
          <w:highlight w:val="none"/>
        </w:rPr>
        <w:sym w:font="Wingdings 2" w:char="0052"/>
      </w:r>
      <w:r>
        <w:rPr>
          <w:rFonts w:hint="eastAsia" w:ascii="仿宋_GB2312" w:hAnsi="黑体" w:eastAsia="仿宋_GB2312"/>
          <w:color w:val="auto"/>
          <w:sz w:val="28"/>
          <w:szCs w:val="28"/>
          <w:highlight w:val="none"/>
        </w:rPr>
        <w:t>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81" w:name="_Toc29833"/>
      <w:bookmarkStart w:id="182" w:name="_Toc88209958"/>
      <w:bookmarkStart w:id="183" w:name="_Toc22527"/>
      <w:bookmarkStart w:id="184" w:name="_Toc87616395"/>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81"/>
      <w:bookmarkEnd w:id="182"/>
      <w:bookmarkEnd w:id="183"/>
      <w:bookmarkEnd w:id="184"/>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7"/>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6"/>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35"/>
        <w:numPr>
          <w:ilvl w:val="0"/>
          <w:numId w:val="0"/>
        </w:numPr>
        <w:adjustRightInd w:val="0"/>
        <w:snapToGrid w:val="0"/>
        <w:spacing w:line="600" w:lineRule="exact"/>
        <w:ind w:firstLine="600" w:firstLineChars="200"/>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35"/>
        <w:numPr>
          <w:ilvl w:val="-1"/>
          <w:numId w:val="0"/>
        </w:numPr>
        <w:ind w:left="0" w:leftChars="0" w:firstLine="600" w:firstLineChars="2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35"/>
        <w:numPr>
          <w:ilvl w:val="-1"/>
          <w:numId w:val="0"/>
        </w:numPr>
        <w:ind w:left="0" w:leftChars="0" w:firstLine="0" w:firstLineChars="0"/>
        <w:rPr>
          <w:rFonts w:hint="eastAsia" w:ascii="仿宋_GB2312" w:hAnsi="宋体" w:eastAsia="仿宋_GB2312"/>
          <w:color w:val="auto"/>
          <w:sz w:val="30"/>
          <w:szCs w:val="30"/>
          <w:highlight w:val="none"/>
          <w:lang w:val="en-US" w:eastAsia="zh-CN"/>
        </w:rPr>
      </w:pP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bookmarkStart w:id="185" w:name="_Toc19830"/>
      <w:bookmarkStart w:id="186" w:name="_Toc8086"/>
      <w:bookmarkStart w:id="187" w:name="_Toc88209963"/>
      <w:bookmarkStart w:id="188" w:name="_Toc8761640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85"/>
      <w:bookmarkEnd w:id="186"/>
      <w:bookmarkEnd w:id="187"/>
      <w:bookmarkEnd w:id="188"/>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89"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89"/>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pStyle w:val="7"/>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eastAsia"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如有：</w:t>
      </w:r>
    </w:p>
    <w:tbl>
      <w:tblPr>
        <w:tblStyle w:val="23"/>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bookmarkStart w:id="190" w:name="_Toc32430"/>
            <w:bookmarkStart w:id="191" w:name="_Toc19423"/>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bl>
    <w:p>
      <w:pPr>
        <w:pStyle w:val="6"/>
        <w:rPr>
          <w:rFonts w:hint="eastAsia" w:ascii="仿宋_GB2312" w:eastAsia="仿宋_GB2312" w:hAnsiTheme="minorEastAsia"/>
          <w:color w:val="auto"/>
          <w:sz w:val="28"/>
          <w:szCs w:val="28"/>
          <w:highlight w:val="none"/>
          <w:lang w:val="en-US" w:eastAsia="zh-CN"/>
        </w:rPr>
      </w:pPr>
    </w:p>
    <w:bookmarkEnd w:id="190"/>
    <w:bookmarkEnd w:id="191"/>
    <w:p>
      <w:pPr>
        <w:pStyle w:val="6"/>
        <w:rPr>
          <w:rFonts w:asciiTheme="minorEastAsia" w:hAnsiTheme="minorEastAsia" w:eastAsiaTheme="minorEastAsia"/>
          <w:sz w:val="28"/>
          <w:szCs w:val="28"/>
        </w:rPr>
      </w:pPr>
      <w:r>
        <w:rPr>
          <w:rFonts w:hint="eastAsia" w:ascii="仿宋_GB2312" w:eastAsia="仿宋_GB2312" w:hAnsiTheme="minorEastAsia"/>
          <w:sz w:val="28"/>
          <w:szCs w:val="28"/>
        </w:rPr>
        <w:t>5</w:t>
      </w:r>
      <w:r>
        <w:rPr>
          <w:rFonts w:hint="eastAsia" w:asciiTheme="minorEastAsia" w:hAnsiTheme="minorEastAsia" w:eastAsiaTheme="minorEastAsia"/>
          <w:sz w:val="28"/>
          <w:szCs w:val="28"/>
        </w:rPr>
        <w:t>.报价表</w:t>
      </w:r>
    </w:p>
    <w:tbl>
      <w:tblPr>
        <w:tblStyle w:val="23"/>
        <w:tblW w:w="0" w:type="auto"/>
        <w:tblInd w:w="0" w:type="dxa"/>
        <w:tblLayout w:type="fixed"/>
        <w:tblCellMar>
          <w:top w:w="0" w:type="dxa"/>
          <w:left w:w="108" w:type="dxa"/>
          <w:bottom w:w="0" w:type="dxa"/>
          <w:right w:w="108" w:type="dxa"/>
        </w:tblCellMar>
      </w:tblPr>
      <w:tblGrid>
        <w:gridCol w:w="779"/>
        <w:gridCol w:w="832"/>
        <w:gridCol w:w="1056"/>
        <w:gridCol w:w="701"/>
        <w:gridCol w:w="683"/>
        <w:gridCol w:w="900"/>
        <w:gridCol w:w="1046"/>
        <w:gridCol w:w="828"/>
        <w:gridCol w:w="1142"/>
        <w:gridCol w:w="925"/>
      </w:tblGrid>
      <w:tr>
        <w:tblPrEx>
          <w:tblCellMar>
            <w:top w:w="0" w:type="dxa"/>
            <w:left w:w="108" w:type="dxa"/>
            <w:bottom w:w="0" w:type="dxa"/>
            <w:right w:w="108" w:type="dxa"/>
          </w:tblCellMar>
        </w:tblPrEx>
        <w:trPr>
          <w:trHeight w:val="621" w:hRule="atLeast"/>
        </w:trPr>
        <w:tc>
          <w:tcPr>
            <w:tcW w:w="779"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24"/>
                <w:szCs w:val="24"/>
                <w:lang w:val="zh-CN"/>
              </w:rPr>
            </w:pPr>
            <w:r>
              <w:rPr>
                <w:rFonts w:hint="eastAsia" w:ascii="宋体" w:hAnsi="宋体" w:cs="宋体"/>
                <w:kern w:val="0"/>
                <w:sz w:val="24"/>
                <w:szCs w:val="24"/>
                <w:lang w:val="zh-CN"/>
              </w:rPr>
              <w:t>序号</w:t>
            </w:r>
          </w:p>
        </w:tc>
        <w:tc>
          <w:tcPr>
            <w:tcW w:w="832"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24"/>
                <w:szCs w:val="24"/>
                <w:lang w:val="zh-CN"/>
              </w:rPr>
            </w:pPr>
            <w:r>
              <w:rPr>
                <w:rFonts w:hint="eastAsia" w:ascii="宋体" w:hAnsi="宋体" w:cs="宋体"/>
                <w:kern w:val="0"/>
                <w:sz w:val="24"/>
                <w:szCs w:val="24"/>
                <w:lang w:val="zh-CN"/>
              </w:rPr>
              <w:t>名称</w:t>
            </w:r>
          </w:p>
        </w:tc>
        <w:tc>
          <w:tcPr>
            <w:tcW w:w="1056"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24"/>
                <w:szCs w:val="24"/>
                <w:lang w:val="zh-CN"/>
              </w:rPr>
            </w:pPr>
            <w:r>
              <w:rPr>
                <w:rFonts w:hint="eastAsia" w:ascii="宋体" w:hAnsi="宋体" w:cs="宋体"/>
                <w:kern w:val="0"/>
                <w:sz w:val="24"/>
                <w:szCs w:val="24"/>
                <w:lang w:val="zh-CN"/>
              </w:rPr>
              <w:t>生产厂家及品牌</w:t>
            </w:r>
          </w:p>
        </w:tc>
        <w:tc>
          <w:tcPr>
            <w:tcW w:w="701"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24"/>
                <w:szCs w:val="24"/>
                <w:lang w:val="zh-CN"/>
              </w:rPr>
            </w:pPr>
            <w:r>
              <w:rPr>
                <w:rFonts w:hint="eastAsia" w:ascii="宋体" w:hAnsi="宋体" w:cs="宋体"/>
                <w:kern w:val="0"/>
                <w:sz w:val="24"/>
                <w:szCs w:val="24"/>
                <w:lang w:val="zh-CN"/>
              </w:rPr>
              <w:t>单位</w:t>
            </w:r>
          </w:p>
        </w:tc>
        <w:tc>
          <w:tcPr>
            <w:tcW w:w="683"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24"/>
                <w:szCs w:val="24"/>
                <w:lang w:val="zh-CN"/>
              </w:rPr>
            </w:pPr>
            <w:r>
              <w:rPr>
                <w:rFonts w:hint="eastAsia" w:ascii="宋体" w:hAnsi="宋体" w:cs="宋体"/>
                <w:kern w:val="0"/>
                <w:sz w:val="24"/>
                <w:szCs w:val="24"/>
                <w:lang w:val="zh-CN"/>
              </w:rPr>
              <w:t>数量</w:t>
            </w:r>
          </w:p>
        </w:tc>
        <w:tc>
          <w:tcPr>
            <w:tcW w:w="1946"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24"/>
                <w:szCs w:val="24"/>
                <w:lang w:val="zh-CN"/>
              </w:rPr>
            </w:pPr>
            <w:r>
              <w:rPr>
                <w:rFonts w:hint="eastAsia" w:ascii="宋体" w:hAnsi="宋体" w:cs="宋体"/>
                <w:kern w:val="0"/>
                <w:sz w:val="24"/>
                <w:szCs w:val="24"/>
                <w:lang w:val="zh-CN"/>
              </w:rPr>
              <w:t>单价（万元）</w:t>
            </w:r>
          </w:p>
        </w:tc>
        <w:tc>
          <w:tcPr>
            <w:tcW w:w="1970" w:type="dxa"/>
            <w:gridSpan w:val="2"/>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24"/>
                <w:szCs w:val="24"/>
                <w:lang w:val="zh-CN"/>
              </w:rPr>
            </w:pPr>
            <w:r>
              <w:rPr>
                <w:rFonts w:hint="eastAsia" w:ascii="宋体" w:hAnsi="宋体" w:cs="宋体"/>
                <w:kern w:val="0"/>
                <w:sz w:val="24"/>
                <w:szCs w:val="24"/>
                <w:lang w:val="zh-CN"/>
              </w:rPr>
              <w:t>金额（万元）</w:t>
            </w:r>
          </w:p>
        </w:tc>
        <w:tc>
          <w:tcPr>
            <w:tcW w:w="925" w:type="dxa"/>
            <w:vMerge w:val="restart"/>
            <w:tcBorders>
              <w:top w:val="single" w:color="000000" w:sz="2" w:space="0"/>
              <w:left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24"/>
                <w:szCs w:val="24"/>
                <w:lang w:val="zh-CN"/>
              </w:rPr>
            </w:pPr>
            <w:r>
              <w:rPr>
                <w:rFonts w:hint="eastAsia" w:ascii="宋体" w:hAnsi="宋体" w:cs="宋体"/>
                <w:kern w:val="0"/>
                <w:sz w:val="24"/>
                <w:szCs w:val="24"/>
                <w:lang w:val="zh-CN"/>
              </w:rPr>
              <w:t>备注</w:t>
            </w:r>
          </w:p>
        </w:tc>
      </w:tr>
      <w:tr>
        <w:tblPrEx>
          <w:tblCellMar>
            <w:top w:w="0" w:type="dxa"/>
            <w:left w:w="108" w:type="dxa"/>
            <w:bottom w:w="0" w:type="dxa"/>
            <w:right w:w="108" w:type="dxa"/>
          </w:tblCellMar>
        </w:tblPrEx>
        <w:trPr>
          <w:trHeight w:val="347" w:hRule="atLeast"/>
        </w:trPr>
        <w:tc>
          <w:tcPr>
            <w:tcW w:w="779"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sz w:val="24"/>
                <w:szCs w:val="24"/>
              </w:rPr>
            </w:pPr>
          </w:p>
        </w:tc>
        <w:tc>
          <w:tcPr>
            <w:tcW w:w="832"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sz w:val="24"/>
                <w:szCs w:val="24"/>
              </w:rPr>
            </w:pPr>
          </w:p>
        </w:tc>
        <w:tc>
          <w:tcPr>
            <w:tcW w:w="1056"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sz w:val="24"/>
                <w:szCs w:val="24"/>
              </w:rPr>
            </w:pPr>
          </w:p>
        </w:tc>
        <w:tc>
          <w:tcPr>
            <w:tcW w:w="701"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sz w:val="24"/>
                <w:szCs w:val="24"/>
              </w:rPr>
            </w:pPr>
          </w:p>
        </w:tc>
        <w:tc>
          <w:tcPr>
            <w:tcW w:w="683"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sz w:val="24"/>
                <w:szCs w:val="24"/>
              </w:rPr>
            </w:pPr>
          </w:p>
        </w:tc>
        <w:tc>
          <w:tcPr>
            <w:tcW w:w="900"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szCs w:val="24"/>
                <w:lang w:val="zh-CN"/>
              </w:rPr>
            </w:pPr>
            <w:r>
              <w:rPr>
                <w:rFonts w:hint="eastAsia" w:ascii="宋体" w:hAnsi="宋体" w:cs="宋体"/>
                <w:kern w:val="0"/>
                <w:sz w:val="24"/>
                <w:szCs w:val="24"/>
                <w:lang w:val="zh-CN"/>
              </w:rPr>
              <w:t>含税</w:t>
            </w:r>
          </w:p>
        </w:tc>
        <w:tc>
          <w:tcPr>
            <w:tcW w:w="1046"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szCs w:val="24"/>
                <w:lang w:val="zh-CN"/>
              </w:rPr>
            </w:pPr>
            <w:r>
              <w:rPr>
                <w:rFonts w:hint="eastAsia" w:ascii="宋体" w:hAnsi="宋体" w:cs="宋体"/>
                <w:kern w:val="0"/>
                <w:sz w:val="24"/>
                <w:szCs w:val="24"/>
                <w:lang w:val="zh-CN"/>
              </w:rPr>
              <w:t>不含税</w:t>
            </w:r>
          </w:p>
        </w:tc>
        <w:tc>
          <w:tcPr>
            <w:tcW w:w="828"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szCs w:val="24"/>
                <w:lang w:val="zh-CN"/>
              </w:rPr>
            </w:pPr>
            <w:r>
              <w:rPr>
                <w:rFonts w:hint="eastAsia" w:ascii="宋体" w:hAnsi="宋体" w:cs="宋体"/>
                <w:kern w:val="0"/>
                <w:sz w:val="24"/>
                <w:szCs w:val="24"/>
                <w:lang w:val="zh-CN"/>
              </w:rPr>
              <w:t>含税</w:t>
            </w:r>
          </w:p>
        </w:tc>
        <w:tc>
          <w:tcPr>
            <w:tcW w:w="1142"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szCs w:val="24"/>
                <w:lang w:val="zh-CN"/>
              </w:rPr>
            </w:pPr>
            <w:r>
              <w:rPr>
                <w:rFonts w:hint="eastAsia" w:ascii="宋体" w:hAnsi="宋体" w:cs="宋体"/>
                <w:kern w:val="0"/>
                <w:sz w:val="24"/>
                <w:szCs w:val="24"/>
                <w:lang w:val="zh-CN"/>
              </w:rPr>
              <w:t>不含税</w:t>
            </w:r>
          </w:p>
        </w:tc>
        <w:tc>
          <w:tcPr>
            <w:tcW w:w="925" w:type="dxa"/>
            <w:vMerge w:val="continue"/>
            <w:tcBorders>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rPr>
                <w:rFonts w:ascii="宋体" w:hAnsi="宋体" w:cs="宋体"/>
                <w:kern w:val="0"/>
                <w:sz w:val="24"/>
                <w:szCs w:val="24"/>
                <w:lang w:val="zh-CN"/>
              </w:rPr>
            </w:pPr>
          </w:p>
        </w:tc>
      </w:tr>
      <w:tr>
        <w:tblPrEx>
          <w:tblCellMar>
            <w:top w:w="0" w:type="dxa"/>
            <w:left w:w="108" w:type="dxa"/>
            <w:bottom w:w="0" w:type="dxa"/>
            <w:right w:w="108" w:type="dxa"/>
          </w:tblCellMar>
        </w:tblPrEx>
        <w:trPr>
          <w:trHeight w:val="314" w:hRule="atLeast"/>
        </w:trPr>
        <w:tc>
          <w:tcPr>
            <w:tcW w:w="77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24"/>
                <w:szCs w:val="24"/>
                <w:lang w:val="zh-CN"/>
              </w:rPr>
            </w:pPr>
            <w:r>
              <w:rPr>
                <w:rFonts w:ascii="宋体" w:hAnsi="宋体" w:cs="宋体"/>
                <w:kern w:val="0"/>
                <w:sz w:val="24"/>
                <w:szCs w:val="24"/>
                <w:lang w:val="zh-CN"/>
              </w:rPr>
              <w:t>1</w:t>
            </w:r>
          </w:p>
        </w:tc>
        <w:tc>
          <w:tcPr>
            <w:tcW w:w="83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24"/>
                <w:szCs w:val="24"/>
                <w:lang w:val="zh-CN"/>
              </w:rPr>
            </w:pPr>
            <w:r>
              <w:rPr>
                <w:rFonts w:hint="eastAsia" w:ascii="宋体" w:hAnsi="宋体" w:cs="宋体"/>
                <w:kern w:val="0"/>
                <w:sz w:val="18"/>
                <w:szCs w:val="18"/>
                <w:lang w:val="zh-CN"/>
              </w:rPr>
              <w:t>超融合一体机</w:t>
            </w:r>
          </w:p>
        </w:tc>
        <w:tc>
          <w:tcPr>
            <w:tcW w:w="105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24"/>
                <w:szCs w:val="24"/>
                <w:lang w:val="zh-CN"/>
              </w:rPr>
            </w:pPr>
          </w:p>
        </w:tc>
        <w:tc>
          <w:tcPr>
            <w:tcW w:w="7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rPr>
            </w:pPr>
            <w:r>
              <w:rPr>
                <w:rFonts w:hint="eastAsia" w:ascii="宋体" w:hAnsi="宋体" w:cs="宋体"/>
                <w:kern w:val="0"/>
                <w:sz w:val="18"/>
                <w:szCs w:val="18"/>
              </w:rPr>
              <w:t>套</w:t>
            </w:r>
          </w:p>
        </w:tc>
        <w:tc>
          <w:tcPr>
            <w:tcW w:w="68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rPr>
            </w:pPr>
            <w:r>
              <w:rPr>
                <w:rFonts w:hint="eastAsia" w:ascii="宋体" w:hAnsi="宋体" w:cs="宋体"/>
                <w:kern w:val="0"/>
                <w:sz w:val="18"/>
                <w:szCs w:val="18"/>
              </w:rPr>
              <w:t>3</w:t>
            </w:r>
          </w:p>
        </w:tc>
        <w:tc>
          <w:tcPr>
            <w:tcW w:w="9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24"/>
                <w:szCs w:val="24"/>
                <w:lang w:val="zh-CN"/>
              </w:rPr>
            </w:pPr>
          </w:p>
        </w:tc>
        <w:tc>
          <w:tcPr>
            <w:tcW w:w="10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24"/>
                <w:szCs w:val="24"/>
                <w:lang w:val="zh-CN"/>
              </w:rPr>
            </w:pPr>
          </w:p>
        </w:tc>
        <w:tc>
          <w:tcPr>
            <w:tcW w:w="8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24"/>
                <w:szCs w:val="24"/>
                <w:lang w:val="zh-CN"/>
              </w:rPr>
            </w:pPr>
          </w:p>
        </w:tc>
        <w:tc>
          <w:tcPr>
            <w:tcW w:w="11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24"/>
                <w:szCs w:val="24"/>
                <w:lang w:val="zh-CN"/>
              </w:rPr>
            </w:pPr>
          </w:p>
        </w:tc>
        <w:tc>
          <w:tcPr>
            <w:tcW w:w="9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24"/>
                <w:szCs w:val="24"/>
                <w:lang w:val="zh-CN"/>
              </w:rPr>
            </w:pPr>
          </w:p>
        </w:tc>
      </w:tr>
      <w:tr>
        <w:tblPrEx>
          <w:tblCellMar>
            <w:top w:w="0" w:type="dxa"/>
            <w:left w:w="108" w:type="dxa"/>
            <w:bottom w:w="0" w:type="dxa"/>
            <w:right w:w="108" w:type="dxa"/>
          </w:tblCellMar>
        </w:tblPrEx>
        <w:trPr>
          <w:trHeight w:val="347" w:hRule="atLeast"/>
        </w:trPr>
        <w:tc>
          <w:tcPr>
            <w:tcW w:w="77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24"/>
                <w:szCs w:val="24"/>
                <w:lang w:val="zh-CN"/>
              </w:rPr>
            </w:pPr>
            <w:r>
              <w:rPr>
                <w:rFonts w:ascii="宋体" w:hAnsi="宋体" w:cs="宋体"/>
                <w:kern w:val="0"/>
                <w:sz w:val="24"/>
                <w:szCs w:val="24"/>
                <w:lang w:val="zh-CN"/>
              </w:rPr>
              <w:t>2</w:t>
            </w:r>
          </w:p>
        </w:tc>
        <w:tc>
          <w:tcPr>
            <w:tcW w:w="83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24"/>
                <w:szCs w:val="24"/>
                <w:lang w:val="zh-CN"/>
              </w:rPr>
            </w:pPr>
            <w:r>
              <w:rPr>
                <w:rFonts w:hint="eastAsia" w:ascii="宋体" w:hAnsi="宋体" w:eastAsia="宋体"/>
                <w:sz w:val="18"/>
                <w:szCs w:val="18"/>
              </w:rPr>
              <w:t>直连服务器</w:t>
            </w:r>
          </w:p>
        </w:tc>
        <w:tc>
          <w:tcPr>
            <w:tcW w:w="105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24"/>
                <w:szCs w:val="24"/>
                <w:lang w:val="zh-CN"/>
              </w:rPr>
            </w:pPr>
          </w:p>
        </w:tc>
        <w:tc>
          <w:tcPr>
            <w:tcW w:w="70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rPr>
            </w:pPr>
            <w:r>
              <w:rPr>
                <w:rFonts w:hint="eastAsia" w:ascii="宋体" w:hAnsi="宋体" w:cs="宋体"/>
                <w:kern w:val="0"/>
                <w:sz w:val="18"/>
                <w:szCs w:val="18"/>
              </w:rPr>
              <w:t>套</w:t>
            </w:r>
          </w:p>
        </w:tc>
        <w:tc>
          <w:tcPr>
            <w:tcW w:w="683"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18"/>
                <w:szCs w:val="18"/>
              </w:rPr>
            </w:pPr>
            <w:r>
              <w:rPr>
                <w:rFonts w:hint="eastAsia" w:ascii="宋体" w:hAnsi="宋体" w:cs="宋体"/>
                <w:kern w:val="0"/>
                <w:sz w:val="18"/>
                <w:szCs w:val="18"/>
              </w:rPr>
              <w:t>2</w:t>
            </w:r>
          </w:p>
        </w:tc>
        <w:tc>
          <w:tcPr>
            <w:tcW w:w="9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24"/>
                <w:szCs w:val="24"/>
                <w:lang w:val="zh-CN"/>
              </w:rPr>
            </w:pPr>
          </w:p>
        </w:tc>
        <w:tc>
          <w:tcPr>
            <w:tcW w:w="104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24"/>
                <w:szCs w:val="24"/>
                <w:lang w:val="zh-CN"/>
              </w:rPr>
            </w:pPr>
          </w:p>
        </w:tc>
        <w:tc>
          <w:tcPr>
            <w:tcW w:w="82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24"/>
                <w:szCs w:val="24"/>
                <w:lang w:val="zh-CN"/>
              </w:rPr>
            </w:pPr>
          </w:p>
        </w:tc>
        <w:tc>
          <w:tcPr>
            <w:tcW w:w="1142"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24"/>
                <w:szCs w:val="24"/>
                <w:lang w:val="zh-CN"/>
              </w:rPr>
            </w:pPr>
          </w:p>
        </w:tc>
        <w:tc>
          <w:tcPr>
            <w:tcW w:w="92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360" w:lineRule="auto"/>
              <w:jc w:val="center"/>
              <w:rPr>
                <w:rFonts w:ascii="宋体" w:hAnsi="宋体" w:cs="宋体"/>
                <w:kern w:val="0"/>
                <w:sz w:val="24"/>
                <w:szCs w:val="24"/>
                <w:lang w:val="zh-CN"/>
              </w:rPr>
            </w:pPr>
          </w:p>
        </w:tc>
      </w:tr>
      <w:tr>
        <w:tblPrEx>
          <w:tblCellMar>
            <w:top w:w="0" w:type="dxa"/>
            <w:left w:w="108" w:type="dxa"/>
            <w:bottom w:w="0" w:type="dxa"/>
            <w:right w:w="108" w:type="dxa"/>
          </w:tblCellMar>
        </w:tblPrEx>
        <w:trPr>
          <w:trHeight w:val="231" w:hRule="atLeast"/>
        </w:trPr>
        <w:tc>
          <w:tcPr>
            <w:tcW w:w="5997" w:type="dxa"/>
            <w:gridSpan w:val="7"/>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24"/>
                <w:szCs w:val="24"/>
                <w:lang w:val="zh-CN"/>
              </w:rPr>
            </w:pPr>
            <w:r>
              <w:rPr>
                <w:rFonts w:hint="eastAsia" w:ascii="宋体" w:hAnsi="宋体" w:cs="宋体"/>
                <w:kern w:val="0"/>
                <w:sz w:val="24"/>
                <w:szCs w:val="24"/>
              </w:rPr>
              <w:t>总价</w:t>
            </w:r>
          </w:p>
        </w:tc>
        <w:tc>
          <w:tcPr>
            <w:tcW w:w="828"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right"/>
              <w:rPr>
                <w:rFonts w:ascii="宋体" w:hAnsi="宋体" w:cs="宋体"/>
                <w:kern w:val="0"/>
                <w:sz w:val="24"/>
                <w:szCs w:val="24"/>
                <w:lang w:val="zh-CN"/>
              </w:rPr>
            </w:pPr>
          </w:p>
        </w:tc>
        <w:tc>
          <w:tcPr>
            <w:tcW w:w="1142" w:type="dxa"/>
            <w:tcBorders>
              <w:top w:val="single" w:color="000000" w:sz="2" w:space="0"/>
              <w:left w:val="single" w:color="000000" w:sz="2" w:space="0"/>
              <w:bottom w:val="single" w:color="000000" w:sz="2" w:space="0"/>
              <w:right w:val="single" w:color="000000" w:sz="2" w:space="0"/>
            </w:tcBorders>
            <w:shd w:val="clear" w:color="000000" w:fill="FFFFFF"/>
            <w:vAlign w:val="bottom"/>
          </w:tcPr>
          <w:p>
            <w:pPr>
              <w:autoSpaceDE w:val="0"/>
              <w:autoSpaceDN w:val="0"/>
              <w:adjustRightInd w:val="0"/>
              <w:spacing w:line="360" w:lineRule="auto"/>
              <w:jc w:val="center"/>
              <w:rPr>
                <w:rFonts w:ascii="宋体" w:hAnsi="宋体" w:cs="宋体"/>
                <w:kern w:val="0"/>
                <w:sz w:val="24"/>
                <w:szCs w:val="24"/>
              </w:rPr>
            </w:pPr>
          </w:p>
        </w:tc>
        <w:tc>
          <w:tcPr>
            <w:tcW w:w="925" w:type="dxa"/>
            <w:tcBorders>
              <w:top w:val="single" w:color="000000" w:sz="2" w:space="0"/>
              <w:left w:val="single" w:color="000000" w:sz="2" w:space="0"/>
              <w:bottom w:val="single" w:color="000000" w:sz="2" w:space="0"/>
              <w:right w:val="single" w:color="000000" w:sz="2" w:space="0"/>
            </w:tcBorders>
            <w:shd w:val="clear" w:color="000000" w:fill="FFFFFF"/>
          </w:tcPr>
          <w:p>
            <w:pPr>
              <w:autoSpaceDE w:val="0"/>
              <w:autoSpaceDN w:val="0"/>
              <w:adjustRightInd w:val="0"/>
              <w:spacing w:line="360" w:lineRule="auto"/>
              <w:jc w:val="center"/>
              <w:rPr>
                <w:rFonts w:ascii="宋体" w:hAnsi="宋体" w:cs="宋体"/>
                <w:kern w:val="0"/>
                <w:sz w:val="24"/>
                <w:szCs w:val="24"/>
                <w:lang w:val="zh-CN"/>
              </w:rPr>
            </w:pPr>
          </w:p>
        </w:tc>
      </w:tr>
    </w:tbl>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600" w:lineRule="exact"/>
        <w:ind w:firstLine="570"/>
        <w:rPr>
          <w:rFonts w:ascii="仿宋_GB2312" w:eastAsia="仿宋_GB2312" w:hAnsiTheme="minorEastAsia"/>
          <w:sz w:val="28"/>
          <w:szCs w:val="28"/>
        </w:rPr>
      </w:pPr>
    </w:p>
    <w:p>
      <w:pPr>
        <w:pStyle w:val="6"/>
        <w:rPr>
          <w:rFonts w:asciiTheme="majorEastAsia" w:hAnsiTheme="majorEastAsia" w:eastAsiaTheme="majorEastAsia"/>
          <w:sz w:val="28"/>
          <w:szCs w:val="28"/>
        </w:rPr>
      </w:pPr>
      <w:bookmarkStart w:id="192" w:name="_Toc88209965"/>
      <w:bookmarkStart w:id="193" w:name="_Toc6058"/>
      <w:bookmarkStart w:id="194" w:name="_Toc87616402"/>
      <w:bookmarkStart w:id="195" w:name="_Toc16386"/>
      <w:r>
        <w:rPr>
          <w:rFonts w:hint="eastAsia" w:eastAsiaTheme="majorEastAsia"/>
        </w:rPr>
        <w:t>6</w:t>
      </w:r>
      <w:r>
        <w:rPr>
          <w:rFonts w:hint="eastAsia" w:asciiTheme="majorEastAsia" w:hAnsiTheme="majorEastAsia" w:eastAsiaTheme="majorEastAsia"/>
          <w:sz w:val="28"/>
          <w:szCs w:val="28"/>
        </w:rPr>
        <w:t>.其他资料</w:t>
      </w:r>
      <w:bookmarkEnd w:id="192"/>
      <w:bookmarkEnd w:id="193"/>
      <w:bookmarkEnd w:id="194"/>
      <w:bookmarkEnd w:id="195"/>
    </w:p>
    <w:p>
      <w:pPr>
        <w:adjustRightInd w:val="0"/>
        <w:snapToGrid w:val="0"/>
        <w:spacing w:line="360" w:lineRule="auto"/>
        <w:ind w:firstLine="570"/>
        <w:rPr>
          <w:rFonts w:ascii="仿宋_GB2312" w:eastAsia="仿宋_GB2312" w:hAnsiTheme="minorEastAsia"/>
          <w:sz w:val="28"/>
          <w:szCs w:val="28"/>
        </w:rPr>
      </w:pPr>
      <w:r>
        <w:rPr>
          <w:rFonts w:ascii="仿宋_GB2312" w:eastAsia="仿宋_GB2312" w:hAnsiTheme="minorEastAsia"/>
          <w:sz w:val="28"/>
          <w:szCs w:val="28"/>
        </w:rPr>
        <w:t>供应商须提交的其他资料</w:t>
      </w:r>
      <w:r>
        <w:rPr>
          <w:rFonts w:hint="eastAsia" w:ascii="仿宋_GB2312" w:eastAsia="仿宋_GB2312" w:hAnsiTheme="minorEastAsia"/>
          <w:sz w:val="28"/>
          <w:szCs w:val="28"/>
        </w:rPr>
        <w:t>。</w:t>
      </w:r>
    </w:p>
    <w:p>
      <w:pPr>
        <w:pStyle w:val="2"/>
        <w:ind w:firstLine="560" w:firstLineChars="200"/>
        <w:rPr>
          <w:u w:val="single"/>
        </w:rPr>
      </w:pPr>
      <w:r>
        <w:rPr>
          <w:rFonts w:hint="eastAsia" w:ascii="仿宋_GB2312" w:hAnsi="仿宋_GB2312" w:eastAsia="仿宋_GB2312" w:cs="仿宋_GB2312"/>
          <w:color w:val="auto"/>
          <w:kern w:val="2"/>
          <w:sz w:val="28"/>
          <w:szCs w:val="28"/>
          <w:u w:val="single"/>
        </w:rPr>
        <w:t>△</w:t>
      </w:r>
      <w:r>
        <w:rPr>
          <w:rFonts w:hint="eastAsia" w:ascii="仿宋_GB2312" w:hAnsi="仿宋_GB2312" w:eastAsia="仿宋_GB2312" w:cs="仿宋_GB2312"/>
          <w:color w:val="auto"/>
          <w:kern w:val="2"/>
          <w:sz w:val="28"/>
          <w:szCs w:val="28"/>
          <w:u w:val="single"/>
          <w:lang w:val="en-US" w:eastAsia="zh-CN"/>
        </w:rPr>
        <w:t>设备参数响应：</w:t>
      </w:r>
      <w:r>
        <w:rPr>
          <w:rFonts w:hint="eastAsia" w:ascii="仿宋_GB2312" w:hAnsi="仿宋_GB2312" w:eastAsia="仿宋_GB2312" w:cs="仿宋_GB2312"/>
          <w:color w:val="auto"/>
          <w:kern w:val="2"/>
          <w:sz w:val="28"/>
          <w:szCs w:val="28"/>
          <w:u w:val="single"/>
        </w:rPr>
        <w:t>为证明技术响应的真实性，报价单位递交响应文件时须提供本项目超融合一体机</w:t>
      </w:r>
      <w:r>
        <w:rPr>
          <w:rFonts w:hint="eastAsia" w:ascii="仿宋_GB2312" w:hAnsi="仿宋_GB2312" w:eastAsia="仿宋_GB2312" w:cs="仿宋_GB2312"/>
          <w:color w:val="auto"/>
          <w:kern w:val="2"/>
          <w:sz w:val="28"/>
          <w:szCs w:val="28"/>
          <w:u w:val="single"/>
          <w:lang w:val="en-US" w:eastAsia="zh-CN"/>
        </w:rPr>
        <w:t>技术指标要求1至14点</w:t>
      </w:r>
      <w:r>
        <w:rPr>
          <w:rFonts w:hint="eastAsia" w:ascii="仿宋_GB2312" w:hAnsi="仿宋_GB2312" w:eastAsia="仿宋_GB2312" w:cs="仿宋_GB2312"/>
          <w:color w:val="auto"/>
          <w:kern w:val="2"/>
          <w:sz w:val="28"/>
          <w:szCs w:val="28"/>
          <w:u w:val="single"/>
        </w:rPr>
        <w:t>的技术参数证明材料（</w:t>
      </w:r>
      <w:r>
        <w:rPr>
          <w:rFonts w:hint="eastAsia" w:ascii="仿宋_GB2312" w:hAnsi="仿宋_GB2312" w:eastAsia="仿宋_GB2312" w:cs="仿宋_GB2312"/>
          <w:color w:val="auto"/>
          <w:kern w:val="2"/>
          <w:sz w:val="28"/>
          <w:szCs w:val="28"/>
          <w:u w:val="single"/>
          <w:lang w:val="en-US" w:eastAsia="zh-CN"/>
        </w:rPr>
        <w:t>相关</w:t>
      </w:r>
      <w:r>
        <w:rPr>
          <w:rFonts w:hint="eastAsia" w:ascii="仿宋_GB2312" w:hAnsi="仿宋_GB2312" w:eastAsia="仿宋_GB2312" w:cs="仿宋_GB2312"/>
          <w:color w:val="auto"/>
          <w:kern w:val="2"/>
          <w:sz w:val="28"/>
          <w:szCs w:val="28"/>
          <w:u w:val="single"/>
        </w:rPr>
        <w:t>截图或相关证明材料，加盖原厂公章），未提供或相关证明材料无法完整证明或者不清晰的，视为无效响应。</w:t>
      </w:r>
    </w:p>
    <w:p>
      <w:pPr>
        <w:pStyle w:val="2"/>
        <w:rPr>
          <w:rFonts w:ascii="仿宋_GB2312" w:eastAsia="仿宋_GB2312"/>
          <w:sz w:val="28"/>
          <w:szCs w:val="28"/>
        </w:rPr>
      </w:pPr>
      <w:r>
        <w:rPr>
          <w:rFonts w:hint="eastAsia" w:ascii="仿宋_GB2312" w:hAnsi="仿宋_GB2312" w:eastAsia="仿宋_GB2312" w:cs="仿宋_GB2312"/>
          <w:color w:val="auto"/>
          <w:kern w:val="2"/>
          <w:sz w:val="28"/>
          <w:szCs w:val="28"/>
        </w:rPr>
        <w:t>△超融合资</w:t>
      </w:r>
      <w:r>
        <w:rPr>
          <w:rFonts w:hint="eastAsia" w:ascii="仿宋_GB2312" w:eastAsia="仿宋_GB2312"/>
          <w:sz w:val="28"/>
          <w:szCs w:val="28"/>
        </w:rPr>
        <w:t>源</w:t>
      </w:r>
      <w:r>
        <w:rPr>
          <w:rFonts w:hint="eastAsia" w:ascii="仿宋_GB2312" w:eastAsia="仿宋_GB2312"/>
          <w:sz w:val="28"/>
          <w:szCs w:val="28"/>
          <w:lang w:val="en-US" w:eastAsia="zh-CN"/>
        </w:rPr>
        <w:t>兼容性</w:t>
      </w:r>
      <w:r>
        <w:rPr>
          <w:rFonts w:hint="eastAsia" w:ascii="仿宋_GB2312" w:eastAsia="仿宋_GB2312"/>
          <w:sz w:val="28"/>
          <w:szCs w:val="28"/>
        </w:rPr>
        <w:t>：为保证设备及系统</w:t>
      </w:r>
      <w:r>
        <w:rPr>
          <w:rFonts w:hint="eastAsia" w:ascii="仿宋_GB2312" w:eastAsia="仿宋_GB2312"/>
          <w:sz w:val="28"/>
          <w:szCs w:val="28"/>
          <w:lang w:val="en-US" w:eastAsia="zh-CN"/>
        </w:rPr>
        <w:t>与现有平台的</w:t>
      </w:r>
      <w:r>
        <w:rPr>
          <w:rFonts w:hint="eastAsia" w:ascii="仿宋_GB2312" w:eastAsia="仿宋_GB2312"/>
          <w:sz w:val="28"/>
          <w:szCs w:val="28"/>
        </w:rPr>
        <w:t>兼容性，所投产品的存储空间能与现有集群的存储空间构成统一的存储池，且在单一管理界面中，进行统一管理。虚拟机可在不关机状态下在该集群的新、旧超融合节点之间无障碍在线迁移、切换，报价单位递交响应文件时须提供本项目相关的实现原理的描述或者证明材料，相关证明材料加盖原厂公章，未提供或相关证明材料无法完整证明或者不清晰的，视为无效响应。</w:t>
      </w:r>
    </w:p>
    <w:p>
      <w:pPr>
        <w:pStyle w:val="2"/>
        <w:rPr>
          <w:rFonts w:hint="eastAsia" w:ascii="仿宋_GB2312" w:hAnsi="仿宋_GB2312" w:eastAsia="仿宋_GB2312" w:cs="仿宋_GB2312"/>
          <w:color w:val="auto"/>
          <w:kern w:val="2"/>
          <w:sz w:val="28"/>
          <w:szCs w:val="28"/>
        </w:rPr>
      </w:pPr>
      <w:r>
        <w:rPr>
          <w:rFonts w:hint="eastAsia" w:ascii="仿宋_GB2312" w:hAnsi="仿宋_GB2312" w:eastAsia="仿宋_GB2312" w:cs="仿宋_GB2312"/>
          <w:color w:val="auto"/>
          <w:kern w:val="2"/>
          <w:sz w:val="28"/>
          <w:szCs w:val="28"/>
        </w:rPr>
        <w:t>△</w:t>
      </w:r>
      <w:r>
        <w:rPr>
          <w:rFonts w:hint="eastAsia" w:ascii="仿宋_GB2312" w:eastAsia="仿宋_GB2312"/>
          <w:sz w:val="28"/>
          <w:szCs w:val="28"/>
        </w:rPr>
        <w:t>平台升级与迁移服务：</w:t>
      </w:r>
      <w:r>
        <w:rPr>
          <w:rFonts w:hint="eastAsia" w:ascii="仿宋_GB2312" w:hAnsi="仿宋_GB2312" w:eastAsia="仿宋_GB2312" w:cs="仿宋_GB2312"/>
          <w:color w:val="auto"/>
          <w:kern w:val="2"/>
          <w:sz w:val="28"/>
          <w:szCs w:val="28"/>
        </w:rPr>
        <w:t>报价单位负责为</w:t>
      </w:r>
      <w:r>
        <w:rPr>
          <w:rFonts w:hint="eastAsia" w:ascii="仿宋_GB2312" w:eastAsia="仿宋_GB2312"/>
          <w:sz w:val="28"/>
          <w:szCs w:val="28"/>
        </w:rPr>
        <w:t>采购人</w:t>
      </w:r>
      <w:r>
        <w:rPr>
          <w:rFonts w:hint="eastAsia" w:ascii="仿宋_GB2312" w:hAnsi="仿宋_GB2312" w:eastAsia="仿宋_GB2312" w:cs="仿宋_GB2312"/>
          <w:color w:val="auto"/>
          <w:kern w:val="2"/>
          <w:sz w:val="28"/>
          <w:szCs w:val="28"/>
        </w:rPr>
        <w:t>提供原虚拟化</w:t>
      </w:r>
      <w:r>
        <w:rPr>
          <w:rFonts w:hint="eastAsia" w:ascii="仿宋_GB2312" w:eastAsia="仿宋_GB2312"/>
          <w:sz w:val="28"/>
          <w:szCs w:val="28"/>
        </w:rPr>
        <w:t>平台升级及迁移服务，并保证虚拟化平台升级与系统迁移期间的</w:t>
      </w:r>
      <w:r>
        <w:rPr>
          <w:rFonts w:hint="eastAsia" w:ascii="仿宋_GB2312" w:eastAsia="仿宋_GB2312"/>
          <w:sz w:val="28"/>
          <w:szCs w:val="28"/>
          <w:lang w:val="en-US" w:eastAsia="zh-CN"/>
        </w:rPr>
        <w:t>原有</w:t>
      </w:r>
      <w:r>
        <w:rPr>
          <w:rFonts w:hint="eastAsia" w:ascii="仿宋_GB2312" w:eastAsia="仿宋_GB2312"/>
          <w:sz w:val="28"/>
          <w:szCs w:val="28"/>
        </w:rPr>
        <w:t>系统及数据的可用性和完整性。</w:t>
      </w:r>
      <w:r>
        <w:rPr>
          <w:rFonts w:hint="eastAsia" w:ascii="仿宋_GB2312" w:hAnsi="仿宋_GB2312" w:eastAsia="仿宋_GB2312" w:cs="仿宋_GB2312"/>
          <w:color w:val="auto"/>
          <w:kern w:val="2"/>
          <w:sz w:val="28"/>
          <w:szCs w:val="28"/>
        </w:rPr>
        <w:t>报价单位递交响应文件时须提供详细的平台升级与</w:t>
      </w:r>
      <w:r>
        <w:rPr>
          <w:rFonts w:hint="eastAsia" w:ascii="仿宋_GB2312" w:eastAsia="仿宋_GB2312"/>
          <w:sz w:val="28"/>
          <w:szCs w:val="28"/>
        </w:rPr>
        <w:t>系统迁移方案，重点阐述升级与迁移过程及风险管控措施，未提供相关方案或者方案可行性不足的，视为无效响应。</w:t>
      </w:r>
    </w:p>
    <w:p>
      <w:pPr>
        <w:rPr>
          <w:color w:val="auto"/>
          <w:highlight w:val="none"/>
        </w:rPr>
      </w:pPr>
    </w:p>
    <w:sectPr>
      <w:footerReference r:id="rId7" w:type="first"/>
      <w:footerReference r:id="rId6"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aZJksk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YOIep9V7Yo14Pw7pCwidJbrjDCToVxZIXdtF55J/68l6ynX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pkmS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14V/s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XhX+yQEAAJoDAAAOAAAAAAAAAAEAIAAAAB4BAABkcnMvZTJvRG9j&#10;LnhtbFBLBQYAAAAABgAGAFkBAABZBQAAAAA=&#10;">
              <v:fill on="f" focussize="0,0"/>
              <v:stroke on="f"/>
              <v:imagedata o:title=""/>
              <o:lock v:ext="edit" aspectratio="f"/>
              <v:textbox inset="0mm,0mm,0mm,0mm" style="mso-fit-shape-to-text:t;">
                <w:txbxContent>
                  <w:p>
                    <w:pPr>
                      <w:pStyle w:val="17"/>
                    </w:pPr>
                  </w:p>
                  <w:p/>
                </w:txbxContent>
              </v:textbox>
            </v:shape>
          </w:pict>
        </mc:Fallback>
      </mc:AlternateContent>
    </w:r>
  </w:p>
  <w:p>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9ayf9yQEAAJo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51019E9A"/>
    <w:multiLevelType w:val="singleLevel"/>
    <w:tmpl w:val="51019E9A"/>
    <w:lvl w:ilvl="0" w:tentative="0">
      <w:start w:val="1"/>
      <w:numFmt w:val="decimal"/>
      <w:suff w:val="nothing"/>
      <w:lvlText w:val="%1、"/>
      <w:lvlJc w:val="left"/>
    </w:lvl>
  </w:abstractNum>
  <w:abstractNum w:abstractNumId="3">
    <w:nsid w:val="6C164A68"/>
    <w:multiLevelType w:val="multilevel"/>
    <w:tmpl w:val="6C164A6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3D60BA"/>
    <w:rsid w:val="00411689"/>
    <w:rsid w:val="005D618A"/>
    <w:rsid w:val="00911ECD"/>
    <w:rsid w:val="00A042E0"/>
    <w:rsid w:val="00B26BB1"/>
    <w:rsid w:val="00B26E21"/>
    <w:rsid w:val="00B741D7"/>
    <w:rsid w:val="00CB3927"/>
    <w:rsid w:val="00D4533C"/>
    <w:rsid w:val="00F83B64"/>
    <w:rsid w:val="013E3461"/>
    <w:rsid w:val="01BB0F13"/>
    <w:rsid w:val="02090C75"/>
    <w:rsid w:val="02A23A3C"/>
    <w:rsid w:val="02FB196F"/>
    <w:rsid w:val="035D130A"/>
    <w:rsid w:val="039110A9"/>
    <w:rsid w:val="03AC246A"/>
    <w:rsid w:val="03AE6061"/>
    <w:rsid w:val="03B23056"/>
    <w:rsid w:val="03DA023E"/>
    <w:rsid w:val="03DC3EBA"/>
    <w:rsid w:val="03F9794D"/>
    <w:rsid w:val="046A2461"/>
    <w:rsid w:val="051C2970"/>
    <w:rsid w:val="060C3611"/>
    <w:rsid w:val="06314567"/>
    <w:rsid w:val="067852A9"/>
    <w:rsid w:val="06C64829"/>
    <w:rsid w:val="070E7B6E"/>
    <w:rsid w:val="071D62B7"/>
    <w:rsid w:val="077D16D2"/>
    <w:rsid w:val="082A69F3"/>
    <w:rsid w:val="08675FC8"/>
    <w:rsid w:val="093F13C9"/>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D794204"/>
    <w:rsid w:val="0D9D13BC"/>
    <w:rsid w:val="0DAE3559"/>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0A4333"/>
    <w:rsid w:val="111703D2"/>
    <w:rsid w:val="112B101A"/>
    <w:rsid w:val="11877731"/>
    <w:rsid w:val="119B53FC"/>
    <w:rsid w:val="1215733B"/>
    <w:rsid w:val="12424CDC"/>
    <w:rsid w:val="129A2738"/>
    <w:rsid w:val="12B56BF1"/>
    <w:rsid w:val="12CB1A89"/>
    <w:rsid w:val="131840FB"/>
    <w:rsid w:val="13467417"/>
    <w:rsid w:val="136E76CF"/>
    <w:rsid w:val="1424395D"/>
    <w:rsid w:val="145F08C6"/>
    <w:rsid w:val="148872AA"/>
    <w:rsid w:val="14E43F59"/>
    <w:rsid w:val="15776308"/>
    <w:rsid w:val="15973CBB"/>
    <w:rsid w:val="15BC6B3C"/>
    <w:rsid w:val="15EC2C59"/>
    <w:rsid w:val="162714E3"/>
    <w:rsid w:val="16360A7B"/>
    <w:rsid w:val="164D40B0"/>
    <w:rsid w:val="166C42AD"/>
    <w:rsid w:val="1694429A"/>
    <w:rsid w:val="17635326"/>
    <w:rsid w:val="178D4AD1"/>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4D5548"/>
    <w:rsid w:val="1B9015B7"/>
    <w:rsid w:val="1B950DA6"/>
    <w:rsid w:val="1BF54245"/>
    <w:rsid w:val="1C136791"/>
    <w:rsid w:val="1C762AA7"/>
    <w:rsid w:val="1D0E6976"/>
    <w:rsid w:val="1D5A79EE"/>
    <w:rsid w:val="1D6E5F4C"/>
    <w:rsid w:val="1E0E2CD0"/>
    <w:rsid w:val="1E164317"/>
    <w:rsid w:val="1E831280"/>
    <w:rsid w:val="1EBC4704"/>
    <w:rsid w:val="1EE522C8"/>
    <w:rsid w:val="1F172EB5"/>
    <w:rsid w:val="1F22070B"/>
    <w:rsid w:val="1F94592D"/>
    <w:rsid w:val="1FB860DE"/>
    <w:rsid w:val="203C5A02"/>
    <w:rsid w:val="209D4C94"/>
    <w:rsid w:val="20B44FCD"/>
    <w:rsid w:val="20E84705"/>
    <w:rsid w:val="218400BA"/>
    <w:rsid w:val="21AB1E2F"/>
    <w:rsid w:val="21D40498"/>
    <w:rsid w:val="22493963"/>
    <w:rsid w:val="22767047"/>
    <w:rsid w:val="23181BFA"/>
    <w:rsid w:val="23A05588"/>
    <w:rsid w:val="240476A1"/>
    <w:rsid w:val="24E953B9"/>
    <w:rsid w:val="24FD1356"/>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EB149D"/>
    <w:rsid w:val="27FD3E52"/>
    <w:rsid w:val="284130B3"/>
    <w:rsid w:val="28E11370"/>
    <w:rsid w:val="294A756A"/>
    <w:rsid w:val="29781BF8"/>
    <w:rsid w:val="297939E2"/>
    <w:rsid w:val="29C33ED0"/>
    <w:rsid w:val="29D5322D"/>
    <w:rsid w:val="2A025DD9"/>
    <w:rsid w:val="2A2619CB"/>
    <w:rsid w:val="2A7317D3"/>
    <w:rsid w:val="2A7C2231"/>
    <w:rsid w:val="2A920E4F"/>
    <w:rsid w:val="2ABB753D"/>
    <w:rsid w:val="2AFE6EC4"/>
    <w:rsid w:val="2B345DDC"/>
    <w:rsid w:val="2B7A49FA"/>
    <w:rsid w:val="2C077F97"/>
    <w:rsid w:val="2C615D26"/>
    <w:rsid w:val="2CB679ED"/>
    <w:rsid w:val="2CB73169"/>
    <w:rsid w:val="2CE83C37"/>
    <w:rsid w:val="2CEB2FFC"/>
    <w:rsid w:val="2D173C07"/>
    <w:rsid w:val="2D424A8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391569E"/>
    <w:rsid w:val="341E3434"/>
    <w:rsid w:val="34BB4442"/>
    <w:rsid w:val="3584136B"/>
    <w:rsid w:val="35FF5AA4"/>
    <w:rsid w:val="360B7EBA"/>
    <w:rsid w:val="36416867"/>
    <w:rsid w:val="367D5DD4"/>
    <w:rsid w:val="369C32FD"/>
    <w:rsid w:val="373E2626"/>
    <w:rsid w:val="37666E72"/>
    <w:rsid w:val="38081EA3"/>
    <w:rsid w:val="38167A04"/>
    <w:rsid w:val="381C3783"/>
    <w:rsid w:val="394B167A"/>
    <w:rsid w:val="39AD34EA"/>
    <w:rsid w:val="39DA2868"/>
    <w:rsid w:val="39DF6BF2"/>
    <w:rsid w:val="3A055F4B"/>
    <w:rsid w:val="3A4E4336"/>
    <w:rsid w:val="3A6007FE"/>
    <w:rsid w:val="3A802587"/>
    <w:rsid w:val="3A852164"/>
    <w:rsid w:val="3AF93D6C"/>
    <w:rsid w:val="3AFD06C8"/>
    <w:rsid w:val="3B477B26"/>
    <w:rsid w:val="3B7C2CE4"/>
    <w:rsid w:val="3BAF716B"/>
    <w:rsid w:val="3C0B5355"/>
    <w:rsid w:val="3CD4176B"/>
    <w:rsid w:val="3D1F44D9"/>
    <w:rsid w:val="3D5C38CD"/>
    <w:rsid w:val="3E5070F1"/>
    <w:rsid w:val="3E7569E0"/>
    <w:rsid w:val="3EC370CB"/>
    <w:rsid w:val="3F6C3589"/>
    <w:rsid w:val="3F850180"/>
    <w:rsid w:val="3F9004D6"/>
    <w:rsid w:val="3FEE7CFA"/>
    <w:rsid w:val="400E4D5E"/>
    <w:rsid w:val="40E1138C"/>
    <w:rsid w:val="413814BA"/>
    <w:rsid w:val="413E755D"/>
    <w:rsid w:val="41872511"/>
    <w:rsid w:val="41A575DC"/>
    <w:rsid w:val="41DF1251"/>
    <w:rsid w:val="424236D9"/>
    <w:rsid w:val="42466655"/>
    <w:rsid w:val="42C82F57"/>
    <w:rsid w:val="435707E5"/>
    <w:rsid w:val="439927E1"/>
    <w:rsid w:val="43C76AF7"/>
    <w:rsid w:val="43D54C8A"/>
    <w:rsid w:val="43E97E4A"/>
    <w:rsid w:val="440D65DA"/>
    <w:rsid w:val="446828F0"/>
    <w:rsid w:val="45093E85"/>
    <w:rsid w:val="450B3BFA"/>
    <w:rsid w:val="45C13B4D"/>
    <w:rsid w:val="46054BCA"/>
    <w:rsid w:val="464C6AFC"/>
    <w:rsid w:val="467C4DAF"/>
    <w:rsid w:val="468B0091"/>
    <w:rsid w:val="46A107C3"/>
    <w:rsid w:val="46B15CE2"/>
    <w:rsid w:val="46BE113D"/>
    <w:rsid w:val="46E44B13"/>
    <w:rsid w:val="4703508A"/>
    <w:rsid w:val="475023F8"/>
    <w:rsid w:val="479A1E7B"/>
    <w:rsid w:val="479D361E"/>
    <w:rsid w:val="47B74789"/>
    <w:rsid w:val="47C87B80"/>
    <w:rsid w:val="48032A55"/>
    <w:rsid w:val="480F2B9D"/>
    <w:rsid w:val="48102176"/>
    <w:rsid w:val="48282920"/>
    <w:rsid w:val="483D7BA5"/>
    <w:rsid w:val="483E1347"/>
    <w:rsid w:val="485321E0"/>
    <w:rsid w:val="48546AD3"/>
    <w:rsid w:val="48CA4868"/>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B9761E7"/>
    <w:rsid w:val="4C675605"/>
    <w:rsid w:val="4CD200BA"/>
    <w:rsid w:val="4D2044E7"/>
    <w:rsid w:val="4D916BA6"/>
    <w:rsid w:val="4DC44169"/>
    <w:rsid w:val="4DE24E21"/>
    <w:rsid w:val="4E1B19A3"/>
    <w:rsid w:val="4E48787F"/>
    <w:rsid w:val="4E8D5680"/>
    <w:rsid w:val="4EF0709E"/>
    <w:rsid w:val="4F0469A4"/>
    <w:rsid w:val="4F672375"/>
    <w:rsid w:val="4FBF5D0D"/>
    <w:rsid w:val="500E56F4"/>
    <w:rsid w:val="50540C73"/>
    <w:rsid w:val="50752AF8"/>
    <w:rsid w:val="513C6A7B"/>
    <w:rsid w:val="517300C9"/>
    <w:rsid w:val="51AE6039"/>
    <w:rsid w:val="51B31D16"/>
    <w:rsid w:val="525E180D"/>
    <w:rsid w:val="52EC6EC2"/>
    <w:rsid w:val="532D486F"/>
    <w:rsid w:val="5333545B"/>
    <w:rsid w:val="538D0E89"/>
    <w:rsid w:val="53FD7B54"/>
    <w:rsid w:val="5450213C"/>
    <w:rsid w:val="545D2A7F"/>
    <w:rsid w:val="546711F3"/>
    <w:rsid w:val="546C3825"/>
    <w:rsid w:val="54D062C6"/>
    <w:rsid w:val="54D24048"/>
    <w:rsid w:val="54D64CD5"/>
    <w:rsid w:val="5532287C"/>
    <w:rsid w:val="55887D69"/>
    <w:rsid w:val="55EE5D11"/>
    <w:rsid w:val="561A0928"/>
    <w:rsid w:val="56423872"/>
    <w:rsid w:val="569E06BC"/>
    <w:rsid w:val="56B279F0"/>
    <w:rsid w:val="56F20F86"/>
    <w:rsid w:val="579D710E"/>
    <w:rsid w:val="57CC7219"/>
    <w:rsid w:val="581F22F6"/>
    <w:rsid w:val="586E1E17"/>
    <w:rsid w:val="58862C35"/>
    <w:rsid w:val="58C14957"/>
    <w:rsid w:val="58CC23D2"/>
    <w:rsid w:val="58E66050"/>
    <w:rsid w:val="596B36B6"/>
    <w:rsid w:val="59E63F07"/>
    <w:rsid w:val="59FC7994"/>
    <w:rsid w:val="5AE83A50"/>
    <w:rsid w:val="5B353193"/>
    <w:rsid w:val="5BAB2917"/>
    <w:rsid w:val="5BFC33FA"/>
    <w:rsid w:val="5C3107A4"/>
    <w:rsid w:val="5C337866"/>
    <w:rsid w:val="5C3B1B93"/>
    <w:rsid w:val="5C5872CD"/>
    <w:rsid w:val="5C9220DF"/>
    <w:rsid w:val="5D4A15F3"/>
    <w:rsid w:val="5D69542A"/>
    <w:rsid w:val="5D783B72"/>
    <w:rsid w:val="5E0930EF"/>
    <w:rsid w:val="5E3D4D53"/>
    <w:rsid w:val="5E4717E6"/>
    <w:rsid w:val="5E55774C"/>
    <w:rsid w:val="5E8A70FF"/>
    <w:rsid w:val="5FE61094"/>
    <w:rsid w:val="60045F96"/>
    <w:rsid w:val="60104DDC"/>
    <w:rsid w:val="605C0804"/>
    <w:rsid w:val="60913E6F"/>
    <w:rsid w:val="61733C3E"/>
    <w:rsid w:val="6189617B"/>
    <w:rsid w:val="61B52BB6"/>
    <w:rsid w:val="61B749C2"/>
    <w:rsid w:val="62280D20"/>
    <w:rsid w:val="62B4786E"/>
    <w:rsid w:val="62CA2457"/>
    <w:rsid w:val="631303F2"/>
    <w:rsid w:val="638240A1"/>
    <w:rsid w:val="63833423"/>
    <w:rsid w:val="63A5257B"/>
    <w:rsid w:val="63BD3DCC"/>
    <w:rsid w:val="63C61741"/>
    <w:rsid w:val="64560967"/>
    <w:rsid w:val="648C03D8"/>
    <w:rsid w:val="656B1D10"/>
    <w:rsid w:val="65B841F9"/>
    <w:rsid w:val="66022B28"/>
    <w:rsid w:val="664A38E2"/>
    <w:rsid w:val="66581E87"/>
    <w:rsid w:val="666F1DE3"/>
    <w:rsid w:val="66766EBB"/>
    <w:rsid w:val="66FA11D5"/>
    <w:rsid w:val="674302C7"/>
    <w:rsid w:val="67CB09D8"/>
    <w:rsid w:val="67EE3B0F"/>
    <w:rsid w:val="680A5986"/>
    <w:rsid w:val="680D5F4B"/>
    <w:rsid w:val="68113F51"/>
    <w:rsid w:val="68B272C7"/>
    <w:rsid w:val="68D20407"/>
    <w:rsid w:val="68E86149"/>
    <w:rsid w:val="68E94770"/>
    <w:rsid w:val="68EC1CEF"/>
    <w:rsid w:val="68F949C9"/>
    <w:rsid w:val="695A4290"/>
    <w:rsid w:val="696F3649"/>
    <w:rsid w:val="69937B96"/>
    <w:rsid w:val="6A267606"/>
    <w:rsid w:val="6A334932"/>
    <w:rsid w:val="6A3353FF"/>
    <w:rsid w:val="6A5D63E6"/>
    <w:rsid w:val="6A5F24D1"/>
    <w:rsid w:val="6ACA70C4"/>
    <w:rsid w:val="6AE347EB"/>
    <w:rsid w:val="6B330365"/>
    <w:rsid w:val="6B434AF0"/>
    <w:rsid w:val="6B57675A"/>
    <w:rsid w:val="6B87098A"/>
    <w:rsid w:val="6BDD7B4D"/>
    <w:rsid w:val="6D52013C"/>
    <w:rsid w:val="6EBC0B3A"/>
    <w:rsid w:val="6EED597D"/>
    <w:rsid w:val="6EF51C7D"/>
    <w:rsid w:val="6F143527"/>
    <w:rsid w:val="6F8363E5"/>
    <w:rsid w:val="6F841DCF"/>
    <w:rsid w:val="6FA80CCD"/>
    <w:rsid w:val="6FAC3CC5"/>
    <w:rsid w:val="6FC746F5"/>
    <w:rsid w:val="6FE33EF5"/>
    <w:rsid w:val="70317AC6"/>
    <w:rsid w:val="704B26F7"/>
    <w:rsid w:val="70697B21"/>
    <w:rsid w:val="70863262"/>
    <w:rsid w:val="70A76ED3"/>
    <w:rsid w:val="71860B17"/>
    <w:rsid w:val="723B27CC"/>
    <w:rsid w:val="72565C05"/>
    <w:rsid w:val="72687227"/>
    <w:rsid w:val="72A03FD9"/>
    <w:rsid w:val="73406CFF"/>
    <w:rsid w:val="7383028C"/>
    <w:rsid w:val="73A25E44"/>
    <w:rsid w:val="741F68CF"/>
    <w:rsid w:val="74FE3429"/>
    <w:rsid w:val="75252DF3"/>
    <w:rsid w:val="75621536"/>
    <w:rsid w:val="75BF3154"/>
    <w:rsid w:val="75DA4A2D"/>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BFC5A6F"/>
    <w:rsid w:val="7C0C3F6D"/>
    <w:rsid w:val="7C22163C"/>
    <w:rsid w:val="7C457B4B"/>
    <w:rsid w:val="7C595075"/>
    <w:rsid w:val="7C6B07B2"/>
    <w:rsid w:val="7D133243"/>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9"/>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adjustRightInd w:val="0"/>
      <w:spacing w:after="120" w:line="480" w:lineRule="auto"/>
      <w:ind w:left="420"/>
      <w:textAlignment w:val="baseline"/>
    </w:pPr>
    <w:rPr>
      <w:rFonts w:ascii="Times New Roman" w:hAnsi="Times New Roman" w:cs="Times New Roman"/>
      <w:kern w:val="0"/>
      <w:szCs w:val="20"/>
    </w:rPr>
  </w:style>
  <w:style w:type="paragraph" w:styleId="16">
    <w:name w:val="Balloon Text"/>
    <w:basedOn w:val="1"/>
    <w:link w:val="34"/>
    <w:semiHidden/>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99"/>
    <w:pPr>
      <w:spacing w:before="100" w:beforeAutospacing="1" w:after="100" w:afterAutospacing="1"/>
    </w:pPr>
    <w:rPr>
      <w:rFonts w:ascii="宋体" w:hAnsi="宋体" w:cs="Times New Roman"/>
      <w:kern w:val="0"/>
      <w:sz w:val="24"/>
      <w:szCs w:val="24"/>
    </w:rPr>
  </w:style>
  <w:style w:type="paragraph" w:styleId="22">
    <w:name w:val="Body Text First Indent"/>
    <w:basedOn w:val="9"/>
    <w:qFormat/>
    <w:uiPriority w:val="0"/>
    <w:pPr>
      <w:spacing w:afterLines="50" w:line="360" w:lineRule="auto"/>
      <w:ind w:firstLine="200" w:firstLineChars="200"/>
    </w:pPr>
    <w:rPr>
      <w:rFonts w:ascii="Calibri" w:hAnsi="Calibri" w:eastAsia="宋体"/>
      <w:sz w:val="24"/>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Hyperlink"/>
    <w:basedOn w:val="25"/>
    <w:unhideWhenUsed/>
    <w:qFormat/>
    <w:uiPriority w:val="99"/>
    <w:rPr>
      <w:color w:val="0000FF" w:themeColor="hyperlink"/>
      <w:u w:val="single"/>
      <w14:textFill>
        <w14:solidFill>
          <w14:schemeClr w14:val="hlink"/>
        </w14:solidFill>
      </w14:textFill>
    </w:rPr>
  </w:style>
  <w:style w:type="character" w:customStyle="1" w:styleId="27">
    <w:name w:val="页眉 Char"/>
    <w:basedOn w:val="25"/>
    <w:link w:val="18"/>
    <w:semiHidden/>
    <w:qFormat/>
    <w:uiPriority w:val="99"/>
    <w:rPr>
      <w:sz w:val="18"/>
      <w:szCs w:val="18"/>
    </w:rPr>
  </w:style>
  <w:style w:type="character" w:customStyle="1" w:styleId="28">
    <w:name w:val="页脚 Char"/>
    <w:basedOn w:val="25"/>
    <w:link w:val="17"/>
    <w:qFormat/>
    <w:uiPriority w:val="99"/>
    <w:rPr>
      <w:sz w:val="18"/>
      <w:szCs w:val="18"/>
    </w:rPr>
  </w:style>
  <w:style w:type="character" w:customStyle="1" w:styleId="29">
    <w:name w:val="标题 1 Char"/>
    <w:basedOn w:val="25"/>
    <w:link w:val="4"/>
    <w:qFormat/>
    <w:uiPriority w:val="9"/>
    <w:rPr>
      <w:rFonts w:eastAsia="方正小标宋简体"/>
      <w:bCs/>
      <w:kern w:val="44"/>
      <w:sz w:val="44"/>
      <w:szCs w:val="44"/>
    </w:rPr>
  </w:style>
  <w:style w:type="character" w:customStyle="1" w:styleId="30">
    <w:name w:val="标题 2 Char"/>
    <w:basedOn w:val="25"/>
    <w:link w:val="5"/>
    <w:qFormat/>
    <w:uiPriority w:val="9"/>
    <w:rPr>
      <w:rFonts w:eastAsia="方正小标宋简体" w:asciiTheme="majorHAnsi" w:hAnsiTheme="majorHAnsi" w:cstheme="majorBidi"/>
      <w:bCs/>
      <w:sz w:val="36"/>
      <w:szCs w:val="32"/>
    </w:rPr>
  </w:style>
  <w:style w:type="character" w:customStyle="1" w:styleId="31">
    <w:name w:val="标题 3 Char"/>
    <w:basedOn w:val="25"/>
    <w:link w:val="6"/>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25"/>
    <w:link w:val="16"/>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3"/>
    <w:next w:val="13"/>
    <w:qFormat/>
    <w:uiPriority w:val="0"/>
    <w:pPr>
      <w:spacing w:after="373"/>
    </w:pPr>
    <w:rPr>
      <w:color w:val="auto"/>
    </w:rPr>
  </w:style>
  <w:style w:type="paragraph" w:customStyle="1" w:styleId="37">
    <w:name w:val="CM91"/>
    <w:basedOn w:val="13"/>
    <w:next w:val="13"/>
    <w:qFormat/>
    <w:uiPriority w:val="0"/>
    <w:pPr>
      <w:spacing w:after="160"/>
    </w:pPr>
    <w:rPr>
      <w:color w:val="auto"/>
    </w:rPr>
  </w:style>
  <w:style w:type="character" w:customStyle="1" w:styleId="38">
    <w:name w:val="正文文本 3 Char"/>
    <w:link w:val="8"/>
    <w:qFormat/>
    <w:uiPriority w:val="99"/>
    <w:rPr>
      <w:sz w:val="16"/>
      <w:szCs w:val="16"/>
    </w:rPr>
  </w:style>
  <w:style w:type="character" w:customStyle="1" w:styleId="39">
    <w:name w:val="正文文本 3 Char1"/>
    <w:basedOn w:val="25"/>
    <w:link w:val="8"/>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2"/>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 w:type="paragraph" w:customStyle="1" w:styleId="4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6">
    <w:name w:val="z-窗体顶端1"/>
    <w:basedOn w:val="1"/>
    <w:qFormat/>
    <w:uiPriority w:val="34"/>
    <w:pPr>
      <w:ind w:firstLine="420" w:firstLineChars="200"/>
    </w:pPr>
    <w:rPr>
      <w:rFonts w:ascii="Calibri" w:hAnsi="Calibri"/>
    </w:rPr>
  </w:style>
  <w:style w:type="paragraph" w:customStyle="1" w:styleId="47">
    <w:name w:val="_Style 4"/>
    <w:basedOn w:val="4"/>
    <w:next w:val="1"/>
    <w:qFormat/>
    <w:uiPriority w:val="0"/>
    <w:pPr>
      <w:keepNext w:val="0"/>
      <w:keepLines w:val="0"/>
      <w:spacing w:after="0" w:line="576" w:lineRule="auto"/>
      <w:jc w:val="left"/>
      <w:outlineLvl w:val="9"/>
    </w:pPr>
    <w:rPr>
      <w:rFonts w:ascii="Calibri" w:hAnsi="Calibri" w:cs="Times New Roman"/>
      <w:kern w:val="0"/>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75</Pages>
  <Words>26561</Words>
  <Characters>28018</Characters>
  <Lines>300</Lines>
  <Paragraphs>84</Paragraphs>
  <TotalTime>1</TotalTime>
  <ScaleCrop>false</ScaleCrop>
  <LinksUpToDate>false</LinksUpToDate>
  <CharactersWithSpaces>30169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2023-03-23T07:04:00Z</cp:lastPrinted>
  <dcterms:modified xsi:type="dcterms:W3CDTF">2023-04-10T08:10:22Z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7409920BFC0F4628A77D711B7A73B6AC</vt:lpwstr>
  </property>
</Properties>
</file>