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7" w:name="_GoBack"/>
      <w:bookmarkEnd w:id="137"/>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广州市净水有限公司2023年</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草酸采购项目</w:t>
      </w:r>
    </w:p>
    <w:p>
      <w:pPr>
        <w:jc w:val="center"/>
        <w:rPr>
          <w:rFonts w:hint="eastAsia"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pPr>
    </w:p>
    <w:p>
      <w:pPr>
        <w:pStyle w:val="2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6"/>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6"/>
        <w:numPr>
          <w:ilvl w:val="0"/>
          <w:numId w:val="1"/>
        </w:numPr>
        <w:tabs>
          <w:tab w:val="right" w:pos="8844"/>
        </w:tabs>
        <w:rPr>
          <w:color w:val="auto"/>
          <w:highlight w:val="none"/>
        </w:rPr>
      </w:pPr>
      <w:r>
        <w:rPr>
          <w:rFonts w:hint="eastAsia"/>
          <w:color w:val="auto"/>
          <w:highlight w:val="none"/>
          <w:lang w:val="en-US" w:eastAsia="zh-CN"/>
        </w:rPr>
        <w:t>供应商须知</w:t>
      </w:r>
    </w:p>
    <w:p>
      <w:pPr>
        <w:pStyle w:val="16"/>
        <w:numPr>
          <w:ilvl w:val="0"/>
          <w:numId w:val="1"/>
        </w:numPr>
        <w:tabs>
          <w:tab w:val="right" w:pos="8844"/>
        </w:tabs>
        <w:rPr>
          <w:color w:val="auto"/>
          <w:highlight w:val="none"/>
        </w:rPr>
      </w:pPr>
      <w:r>
        <w:rPr>
          <w:rFonts w:hint="eastAsia"/>
          <w:color w:val="auto"/>
          <w:highlight w:val="none"/>
          <w:lang w:val="en-US" w:eastAsia="zh-CN"/>
        </w:rPr>
        <w:t>采购方法</w:t>
      </w:r>
    </w:p>
    <w:p>
      <w:pPr>
        <w:pStyle w:val="16"/>
        <w:numPr>
          <w:ilvl w:val="0"/>
          <w:numId w:val="1"/>
        </w:numPr>
        <w:tabs>
          <w:tab w:val="right" w:pos="8844"/>
        </w:tabs>
        <w:rPr>
          <w:color w:val="auto"/>
          <w:highlight w:val="none"/>
        </w:rPr>
      </w:pPr>
      <w:r>
        <w:rPr>
          <w:rFonts w:hint="eastAsia"/>
          <w:color w:val="auto"/>
          <w:highlight w:val="none"/>
          <w:lang w:val="en-US" w:eastAsia="zh-CN"/>
        </w:rPr>
        <w:t>评审方法</w:t>
      </w:r>
    </w:p>
    <w:p>
      <w:pPr>
        <w:pStyle w:val="16"/>
        <w:numPr>
          <w:ilvl w:val="0"/>
          <w:numId w:val="1"/>
        </w:numPr>
        <w:tabs>
          <w:tab w:val="right" w:pos="8844"/>
        </w:tabs>
        <w:rPr>
          <w:color w:val="auto"/>
          <w:highlight w:val="none"/>
        </w:rPr>
      </w:pPr>
      <w:r>
        <w:rPr>
          <w:rFonts w:hint="eastAsia"/>
          <w:color w:val="auto"/>
          <w:highlight w:val="none"/>
          <w:lang w:val="en-US" w:eastAsia="zh-CN"/>
        </w:rPr>
        <w:t>采购需求</w:t>
      </w:r>
    </w:p>
    <w:p>
      <w:pPr>
        <w:pStyle w:val="16"/>
        <w:numPr>
          <w:ilvl w:val="0"/>
          <w:numId w:val="1"/>
        </w:numPr>
        <w:tabs>
          <w:tab w:val="right" w:pos="8844"/>
        </w:tabs>
        <w:rPr>
          <w:color w:val="auto"/>
          <w:highlight w:val="none"/>
        </w:rPr>
      </w:pPr>
      <w:r>
        <w:rPr>
          <w:rFonts w:hint="eastAsia"/>
          <w:color w:val="auto"/>
          <w:highlight w:val="none"/>
        </w:rPr>
        <w:t>合同草案</w:t>
      </w:r>
    </w:p>
    <w:p>
      <w:pPr>
        <w:pStyle w:val="16"/>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6"/>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6"/>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1322"/>
      <w:bookmarkStart w:id="5" w:name="_Toc19609"/>
      <w:bookmarkStart w:id="6" w:name="_Toc4275"/>
      <w:bookmarkStart w:id="7" w:name="_Toc17801"/>
      <w:bookmarkStart w:id="8" w:name="_Toc7519"/>
      <w:bookmarkStart w:id="9" w:name="_Toc1669"/>
      <w:bookmarkStart w:id="10" w:name="_Toc31938"/>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2361565</wp:posOffset>
                </wp:positionH>
                <wp:positionV relativeFrom="paragraph">
                  <wp:posOffset>40640</wp:posOffset>
                </wp:positionV>
                <wp:extent cx="958850" cy="0"/>
                <wp:effectExtent l="0" t="0" r="0" b="0"/>
                <wp:wrapNone/>
                <wp:docPr id="8" name="直接箭头连接符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5.95pt;margin-top:3.2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K2LetYAAAAJAQAADwAAAAAAAAABACAAAAAiAAAAZHJzL2Rvd25yZXYueG1s&#10;UEsBAhQAFAAAAAgAh07iQPC4X0L6AQAA6wMAAA4AAAAAAAAAAQAgAAAAJQEAAGRycy9lMm9Eb2Mu&#10;eG1sUEsFBgAAAAAGAAYAWQEAAJE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517525</wp:posOffset>
                </wp:positionV>
                <wp:extent cx="958850" cy="0"/>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40.75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zYCxHXAAAACwEAAA8AAAAAAAAAAQAgAAAAIgAAAGRycy9kb3ducmV2Lnht&#10;bFBLAQIUABQAAAAIAIdO4kAwbIqF+gEAAOsDAAAOAAAAAAAAAAEAIAAAACYBAABkcnMvZTJvRG9j&#10;LnhtbFBLBQYAAAAABgAGAFkBAACSBQ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25"/>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广州市净水有限公司2023年草酸采购项目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广州市净水有限公司2023年草酸采购项目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XJ-20230407-1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单价5500元/吨</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，总价为</w:t>
      </w:r>
      <w:r>
        <w:rPr>
          <w:rFonts w:hint="eastAsia" w:ascii="仿宋_GB2312" w:eastAsia="仿宋_GB2312"/>
          <w:color w:val="auto"/>
          <w:sz w:val="28"/>
          <w:szCs w:val="28"/>
          <w:highlight w:val="none"/>
          <w:u w:val="single"/>
          <w:lang w:val="en-US" w:eastAsia="zh-CN"/>
        </w:rPr>
        <w:t>82.5</w:t>
      </w:r>
      <w:r>
        <w:rPr>
          <w:rFonts w:hint="eastAsia" w:ascii="仿宋_GB2312" w:eastAsia="仿宋_GB2312"/>
          <w:color w:val="auto"/>
          <w:sz w:val="28"/>
          <w:szCs w:val="28"/>
          <w:highlight w:val="none"/>
          <w:u w:val="single"/>
          <w:lang w:eastAsia="zh-CN"/>
        </w:rPr>
        <w:t>万元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采购量150吨</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自合同签订之日起1年</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广州市净水有限公司各净水厂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草酸</w:t>
      </w:r>
      <w:r>
        <w:rPr>
          <w:rFonts w:hint="eastAsia" w:ascii="仿宋_GB2312" w:hAnsi="仿宋_GB2312" w:eastAsia="仿宋_GB2312" w:cs="仿宋_GB2312"/>
          <w:i w:val="0"/>
          <w:iCs w:val="0"/>
          <w:caps w:val="0"/>
          <w:color w:val="333333"/>
          <w:spacing w:val="0"/>
          <w:sz w:val="28"/>
          <w:szCs w:val="28"/>
          <w:u w:val="single"/>
          <w:shd w:val="clear" w:fill="FFFFFF"/>
        </w:rPr>
        <w:t>制造商（含制造商的唯一法人股东或制造商下属的全资子公司，须提供供应商与报价货物制造商的关系说明文件原件或证明文件复印件）或代理商</w:t>
      </w:r>
      <w:r>
        <w:rPr>
          <w:rFonts w:hint="eastAsia" w:ascii="仿宋_GB2312" w:hAnsi="仿宋_GB2312" w:eastAsia="仿宋_GB2312" w:cs="仿宋_GB2312"/>
          <w:color w:val="auto"/>
          <w:sz w:val="28"/>
          <w:szCs w:val="28"/>
          <w:highlight w:val="none"/>
          <w:u w:val="single"/>
        </w:rPr>
        <w:t>资质</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项目的业绩。（提供合同复印件证明，包括但不限于项目名称、金额及实施内容、合同盖章、签订日期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w:t>
      </w:r>
      <w:r>
        <w:rPr>
          <w:rFonts w:hint="eastAsia" w:ascii="仿宋_GB2312" w:hAnsi="仿宋_GB2312" w:eastAsia="仿宋_GB2312" w:cs="仿宋_GB2312"/>
          <w:color w:val="auto"/>
          <w:sz w:val="28"/>
          <w:szCs w:val="28"/>
          <w:highlight w:val="none"/>
        </w:rPr>
        <w:t>求</w:t>
      </w:r>
      <w:r>
        <w:rPr>
          <w:rFonts w:hint="eastAsia" w:ascii="仿宋_GB2312" w:hAnsi="仿宋_GB2312" w:eastAsia="仿宋_GB2312" w:cs="仿宋_GB2312"/>
          <w:i w:val="0"/>
          <w:iCs w:val="0"/>
          <w:caps w:val="0"/>
          <w:color w:val="333333"/>
          <w:spacing w:val="0"/>
          <w:sz w:val="28"/>
          <w:szCs w:val="28"/>
          <w:u w:val="single"/>
          <w:shd w:val="clear" w:fill="FFFFFF"/>
        </w:rPr>
        <w:t>供应商提供的</w:t>
      </w:r>
      <w:r>
        <w:rPr>
          <w:rFonts w:hint="eastAsia" w:ascii="仿宋_GB2312" w:hAnsi="仿宋_GB2312" w:eastAsia="仿宋_GB2312" w:cs="仿宋_GB2312"/>
          <w:i w:val="0"/>
          <w:iCs w:val="0"/>
          <w:caps w:val="0"/>
          <w:color w:val="333333"/>
          <w:spacing w:val="0"/>
          <w:sz w:val="28"/>
          <w:szCs w:val="28"/>
          <w:u w:val="single"/>
          <w:shd w:val="clear" w:fill="FFFFFF"/>
          <w:lang w:val="en-US" w:eastAsia="zh-CN"/>
        </w:rPr>
        <w:t>草酸</w:t>
      </w:r>
      <w:r>
        <w:rPr>
          <w:rFonts w:hint="eastAsia" w:ascii="仿宋_GB2312" w:hAnsi="仿宋_GB2312" w:eastAsia="仿宋_GB2312" w:cs="仿宋_GB2312"/>
          <w:i w:val="0"/>
          <w:iCs w:val="0"/>
          <w:caps w:val="0"/>
          <w:color w:val="333333"/>
          <w:spacing w:val="0"/>
          <w:sz w:val="28"/>
          <w:szCs w:val="28"/>
          <w:u w:val="single"/>
          <w:shd w:val="clear" w:fill="FFFFFF"/>
        </w:rPr>
        <w:t>具有质量技术监督部门出具的</w:t>
      </w:r>
      <w:r>
        <w:rPr>
          <w:rFonts w:hint="eastAsia" w:ascii="仿宋_GB2312" w:hAnsi="仿宋_GB2312" w:eastAsia="仿宋_GB2312" w:cs="仿宋_GB2312"/>
          <w:i w:val="0"/>
          <w:iCs w:val="0"/>
          <w:caps w:val="0"/>
          <w:color w:val="333333"/>
          <w:spacing w:val="0"/>
          <w:sz w:val="28"/>
          <w:szCs w:val="28"/>
          <w:u w:val="single"/>
          <w:shd w:val="clear" w:fill="FFFFFF"/>
          <w:lang w:val="en-US" w:eastAsia="zh-CN"/>
        </w:rPr>
        <w:t>近三年</w:t>
      </w:r>
      <w:r>
        <w:rPr>
          <w:rFonts w:hint="eastAsia" w:ascii="仿宋_GB2312" w:hAnsi="仿宋_GB2312" w:eastAsia="仿宋_GB2312" w:cs="仿宋_GB2312"/>
          <w:i w:val="0"/>
          <w:iCs w:val="0"/>
          <w:caps w:val="0"/>
          <w:color w:val="333333"/>
          <w:spacing w:val="0"/>
          <w:sz w:val="28"/>
          <w:szCs w:val="28"/>
          <w:u w:val="single"/>
          <w:shd w:val="clear" w:fill="FFFFFF"/>
        </w:rPr>
        <w:t>（2021年、2022年、2023年）任意一年</w:t>
      </w:r>
      <w:r>
        <w:rPr>
          <w:rFonts w:hint="eastAsia" w:ascii="仿宋_GB2312" w:hAnsi="仿宋_GB2312" w:eastAsia="仿宋_GB2312" w:cs="仿宋_GB2312"/>
          <w:i w:val="0"/>
          <w:iCs w:val="0"/>
          <w:caps w:val="0"/>
          <w:color w:val="333333"/>
          <w:spacing w:val="0"/>
          <w:sz w:val="28"/>
          <w:szCs w:val="28"/>
          <w:u w:val="single"/>
          <w:shd w:val="clear" w:fill="FFFFFF"/>
          <w:lang w:val="en-US" w:eastAsia="zh-CN"/>
        </w:rPr>
        <w:t>的</w:t>
      </w:r>
      <w:r>
        <w:rPr>
          <w:rFonts w:hint="eastAsia" w:ascii="仿宋_GB2312" w:hAnsi="仿宋_GB2312" w:eastAsia="仿宋_GB2312" w:cs="仿宋_GB2312"/>
          <w:i w:val="0"/>
          <w:iCs w:val="0"/>
          <w:caps w:val="0"/>
          <w:color w:val="333333"/>
          <w:spacing w:val="0"/>
          <w:sz w:val="28"/>
          <w:szCs w:val="28"/>
          <w:u w:val="single"/>
          <w:shd w:val="clear" w:fill="FFFFFF"/>
        </w:rPr>
        <w:t>质量合格检测报告，且产品质量符合</w:t>
      </w:r>
      <w:r>
        <w:rPr>
          <w:rFonts w:hint="eastAsia" w:ascii="仿宋_GB2312" w:hAnsi="仿宋_GB2312" w:eastAsia="仿宋_GB2312" w:cs="仿宋_GB2312"/>
          <w:i w:val="0"/>
          <w:iCs w:val="0"/>
          <w:caps w:val="0"/>
          <w:color w:val="333333"/>
          <w:spacing w:val="0"/>
          <w:sz w:val="28"/>
          <w:szCs w:val="28"/>
          <w:u w:val="single"/>
          <w:shd w:val="clear" w:fill="FFFFFF"/>
          <w:lang w:val="en-US" w:eastAsia="zh-CN"/>
        </w:rPr>
        <w:t>GB/T 1626-2008</w:t>
      </w:r>
      <w:r>
        <w:rPr>
          <w:rFonts w:hint="eastAsia" w:ascii="仿宋_GB2312" w:hAnsi="仿宋_GB2312" w:eastAsia="仿宋_GB2312" w:cs="仿宋_GB2312"/>
          <w:i w:val="0"/>
          <w:iCs w:val="0"/>
          <w:caps w:val="0"/>
          <w:color w:val="333333"/>
          <w:spacing w:val="0"/>
          <w:sz w:val="28"/>
          <w:szCs w:val="28"/>
          <w:u w:val="single"/>
          <w:shd w:val="clear" w:fill="FFFFFF"/>
        </w:rPr>
        <w:t>标准的证明。</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rPr>
        <w:t>递交响应文件集合时间：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4</w:t>
      </w:r>
      <w:r>
        <w:rPr>
          <w:rFonts w:hint="eastAsia" w:ascii="仿宋_GB2312" w:eastAsia="仿宋_GB2312"/>
          <w:sz w:val="28"/>
          <w:szCs w:val="28"/>
          <w:u w:val="single"/>
        </w:rPr>
        <w:t> </w:t>
      </w:r>
      <w:r>
        <w:rPr>
          <w:rFonts w:hint="eastAsia" w:ascii="仿宋_GB2312" w:eastAsia="仿宋_GB2312"/>
          <w:sz w:val="28"/>
          <w:szCs w:val="28"/>
        </w:rPr>
        <w:t>月</w:t>
      </w:r>
      <w:r>
        <w:rPr>
          <w:rFonts w:hint="eastAsia" w:ascii="仿宋_GB2312" w:eastAsia="仿宋_GB2312"/>
          <w:sz w:val="28"/>
          <w:szCs w:val="28"/>
          <w:u w:val="single"/>
          <w:lang w:val="en-US" w:eastAsia="zh-CN"/>
        </w:rPr>
        <w:t>13</w:t>
      </w:r>
      <w:r>
        <w:rPr>
          <w:rFonts w:hint="eastAsia" w:ascii="仿宋_GB2312" w:eastAsia="仿宋_GB2312"/>
          <w:sz w:val="28"/>
          <w:szCs w:val="28"/>
        </w:rPr>
        <w:t> 日</w:t>
      </w:r>
      <w:r>
        <w:rPr>
          <w:rFonts w:hint="eastAsia" w:ascii="仿宋_GB2312" w:eastAsia="仿宋_GB2312"/>
          <w:sz w:val="28"/>
          <w:szCs w:val="28"/>
          <w:u w:val="single"/>
        </w:rPr>
        <w:t>9</w:t>
      </w:r>
      <w:r>
        <w:rPr>
          <w:rFonts w:hint="eastAsia" w:ascii="仿宋_GB2312" w:eastAsia="仿宋_GB2312"/>
          <w:sz w:val="28"/>
          <w:szCs w:val="28"/>
        </w:rPr>
        <w:t>时</w:t>
      </w:r>
      <w:r>
        <w:rPr>
          <w:rFonts w:hint="eastAsia" w:ascii="仿宋_GB2312" w:eastAsia="仿宋_GB2312"/>
          <w:sz w:val="28"/>
          <w:szCs w:val="28"/>
          <w:u w:val="single"/>
          <w:lang w:val="en-US" w:eastAsia="zh-CN"/>
        </w:rPr>
        <w:t>30</w:t>
      </w:r>
      <w:r>
        <w:rPr>
          <w:rFonts w:hint="eastAsia" w:ascii="仿宋_GB2312" w:eastAsia="仿宋_GB2312"/>
          <w:sz w:val="28"/>
          <w:szCs w:val="28"/>
        </w:rPr>
        <w:t>分至</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4</w:t>
      </w:r>
      <w:r>
        <w:rPr>
          <w:rFonts w:hint="eastAsia" w:ascii="仿宋_GB2312" w:eastAsia="仿宋_GB2312"/>
          <w:sz w:val="28"/>
          <w:szCs w:val="28"/>
        </w:rPr>
        <w:t>月</w:t>
      </w:r>
      <w:r>
        <w:rPr>
          <w:rFonts w:hint="eastAsia" w:ascii="仿宋_GB2312" w:eastAsia="仿宋_GB2312"/>
          <w:sz w:val="28"/>
          <w:szCs w:val="28"/>
          <w:u w:val="single"/>
          <w:lang w:val="en-US" w:eastAsia="zh-CN"/>
        </w:rPr>
        <w:t>13</w:t>
      </w:r>
      <w:r>
        <w:rPr>
          <w:rFonts w:hint="eastAsia" w:ascii="仿宋_GB2312" w:eastAsia="仿宋_GB2312"/>
          <w:sz w:val="28"/>
          <w:szCs w:val="28"/>
        </w:rPr>
        <w:t>日</w:t>
      </w:r>
      <w:r>
        <w:rPr>
          <w:rFonts w:hint="eastAsia" w:ascii="仿宋_GB2312" w:eastAsia="仿宋_GB2312"/>
          <w:sz w:val="28"/>
          <w:szCs w:val="28"/>
          <w:u w:val="single"/>
        </w:rPr>
        <w:t>10</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分（北京时间）。截止时间：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4</w:t>
      </w:r>
      <w:r>
        <w:rPr>
          <w:rFonts w:hint="eastAsia" w:ascii="仿宋_GB2312" w:eastAsia="仿宋_GB2312"/>
          <w:sz w:val="28"/>
          <w:szCs w:val="28"/>
        </w:rPr>
        <w:t>月</w:t>
      </w:r>
      <w:r>
        <w:rPr>
          <w:rFonts w:hint="eastAsia" w:ascii="仿宋_GB2312" w:eastAsia="仿宋_GB2312"/>
          <w:sz w:val="28"/>
          <w:szCs w:val="28"/>
          <w:u w:val="single"/>
          <w:lang w:val="en-US" w:eastAsia="zh-CN"/>
        </w:rPr>
        <w:t>13</w:t>
      </w:r>
      <w:r>
        <w:rPr>
          <w:rFonts w:hint="eastAsia" w:ascii="仿宋_GB2312" w:eastAsia="仿宋_GB2312"/>
          <w:sz w:val="28"/>
          <w:szCs w:val="28"/>
        </w:rPr>
        <w:t>日</w:t>
      </w:r>
      <w:r>
        <w:rPr>
          <w:rFonts w:hint="eastAsia" w:ascii="仿宋_GB2312" w:eastAsia="仿宋_GB2312"/>
          <w:sz w:val="28"/>
          <w:szCs w:val="28"/>
          <w:u w:val="single"/>
        </w:rPr>
        <w:t>10</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rPr>
        <w:t>递交地址：广州市天河区临江大道501号广州市净水有限公司6楼招标部。</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（3）“被访人员”选择“招标部”，“手机号”：“62315524”。</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2324"/>
      <w:bookmarkStart w:id="15" w:name="_Toc23749"/>
      <w:bookmarkStart w:id="16" w:name="_Toc32588"/>
      <w:bookmarkStart w:id="17" w:name="_Toc25603"/>
      <w:bookmarkStart w:id="18" w:name="_Toc9448"/>
      <w:bookmarkStart w:id="19" w:name="_Toc16705"/>
      <w:bookmarkStart w:id="20" w:name="_Toc19295"/>
      <w:bookmarkStart w:id="21" w:name="_Toc7340"/>
      <w:bookmarkStart w:id="22" w:name="_Toc16557"/>
      <w:bookmarkStart w:id="23" w:name="_Toc2331"/>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504190</wp:posOffset>
                </wp:positionV>
                <wp:extent cx="958850" cy="0"/>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39.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421b1+g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ASSxIKh&#10;P3774frn+8+337/9+HT96+Zjir9+YZQnsXqPJdWs7CYcV+g3ITHfN8GkL3Fi+yzw4SSw3EcmaPPZ&#10;bD6fUR9xlyru63zA+EI6w1JQcYwBVNvFlbOW/qILk6wv7F5ipM5UeFeQmmrL+gQ/nRE4kCsbcgOF&#10;xhMztG2uRadVfam0ThUY2u1KB7aD5Iz8JH6E+9ex1GQN2A3ncmrwTCehfm5rFg+eJLN0VXgawcia&#10;My3pZqWIAKGMoPQ5J6m1tjRBkngQNUVbVx+y1nmfXJBnPDo22ezPda6+v6X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zYCxHXAAAACwEAAA8AAAAAAAAAAQAgAAAAIgAAAGRycy9kb3ducmV2Lnht&#10;bFBLAQIUABQAAAAIAIdO4kA421b1+gEAAO0DAAAOAAAAAAAAAAEAIAAAACYBAABkcnMvZTJvRG9j&#10;LnhtbFBLBQYAAAAABgAGAFkBAACS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Cti3rWAAAACQEAAA8AAAAAAAAAAQAgAAAAIgAAAGRycy9kb3ducmV2Lnht&#10;bFBLAQIUABQAAAAIAIdO4kBhkTJp+wEAAO0DAAAOAAAAAAAAAAEAIAAAACUBAABkcnMvZTJvRG9j&#10;LnhtbFBLBQYAAAAABgAGAFkBAACS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0"/>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pStyle w:val="23"/>
        <w:rPr>
          <w:rFonts w:hint="default" w:eastAsia="仿宋_GB2312"/>
          <w:lang w:val="en-US" w:eastAsia="zh-CN"/>
        </w:rPr>
      </w:pPr>
      <w:r>
        <w:rPr>
          <w:rFonts w:hint="eastAsia" w:ascii="仿宋_GB2312"/>
          <w:color w:val="auto"/>
          <w:sz w:val="28"/>
          <w:szCs w:val="28"/>
          <w:highlight w:val="none"/>
          <w:lang w:val="en-US" w:eastAsia="zh-CN"/>
        </w:rPr>
        <w:t xml:space="preserve">    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2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0"/>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2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2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25"/>
        <w:rPr>
          <w:color w:val="auto"/>
          <w:highlight w:val="none"/>
        </w:rPr>
      </w:pPr>
    </w:p>
    <w:p>
      <w:pPr>
        <w:pStyle w:val="2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pStyle w:val="23"/>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hAnsi="仿宋"/>
          <w:sz w:val="24"/>
          <w:highlight w:val="none"/>
        </w:rPr>
        <w:t>（</w:t>
      </w:r>
      <w:r>
        <w:rPr>
          <w:rFonts w:hAnsi="仿宋"/>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2298065</wp:posOffset>
                </wp:positionH>
                <wp:positionV relativeFrom="paragraph">
                  <wp:posOffset>687705</wp:posOffset>
                </wp:positionV>
                <wp:extent cx="958850" cy="0"/>
                <wp:effectExtent l="0" t="0" r="0" b="0"/>
                <wp:wrapNone/>
                <wp:docPr id="14" name="直接箭头连接符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0.95pt;margin-top:54.1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lhFO3WAAAACQEAAA8AAAAAAAAAAQAgAAAAIgAAAGRycy9kb3ducmV2Lnht&#10;bFBLAQIUABQAAAAIAIdO4kCf+FTp+wEAAO0DAAAOAAAAAAAAAAEAIAAAACUBAABkcnMvZTJvRG9j&#10;LnhtbFBLBQYAAAAABgAGAFkBAACS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C0PytYAAAAJAQAADwAAAAAAAAABACAAAAAiAAAAZHJzL2Rvd25yZXYueG1s&#10;UEsBAhQAFAAAAAgAh07iQPeKJKT6AQAA6wMAAA4AAAAAAAAAAQAgAAAAJQEAAGRycy9lMm9Eb2Mu&#10;eG1sUEsFBgAAAAAGAAYAWQEAAJE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25"/>
        <w:rPr>
          <w:color w:val="auto"/>
          <w:highlight w:val="none"/>
        </w:rPr>
      </w:pPr>
    </w:p>
    <w:p>
      <w:pPr>
        <w:pStyle w:val="5"/>
        <w:rPr>
          <w:color w:val="auto"/>
          <w:highlight w:val="none"/>
        </w:rPr>
      </w:pPr>
      <w:bookmarkStart w:id="28" w:name="_Toc87616371"/>
      <w:bookmarkStart w:id="29" w:name="_Toc7303"/>
      <w:bookmarkStart w:id="30" w:name="_Toc88209934"/>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0"/>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4552"/>
      <w:bookmarkStart w:id="35" w:name="_Toc7118"/>
      <w:bookmarkStart w:id="36" w:name="_Toc23581"/>
      <w:bookmarkStart w:id="37" w:name="_Toc10930"/>
      <w:bookmarkStart w:id="38" w:name="_Toc20594"/>
      <w:bookmarkStart w:id="39" w:name="_Toc3156"/>
      <w:bookmarkStart w:id="40" w:name="_Toc7437"/>
      <w:bookmarkStart w:id="41" w:name="_Toc4952"/>
      <w:bookmarkStart w:id="42" w:name="_Toc19759"/>
      <w:bookmarkStart w:id="43" w:name="_Toc19050"/>
      <w:bookmarkStart w:id="44" w:name="_Toc14870"/>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2" name="直接箭头连接符 1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LSe8W+w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IQpZxYM&#10;/fHbD9c/33++/f7tx6frXzcfU/z1C6M8idV7LKlmZTfhuEK/CYn5vgkmfYkT22eBDyeB5T4yQZvP&#10;ZvP5jKQXd6nivs4HjC+kMywFFccYQLVdXDlr6S+6MMn6wu4lRupMhXcFqam2rE/w0xmBA7myITdQ&#10;aDwxQ9vmWnRa1ZdK61SBod2udGA7SM7IT+JHuH8dS03WgN1wLqcGz3QS6ue2ZvHgSTJLV4WnEYys&#10;OdOSblaKCBDKCEqfc5Jaa0sTJIkHUVO0dfUha533yQV5xqNjk83+XOfq+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y0nvFv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3" name="直接箭头连接符 1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kgOLi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25"/>
        <w:rPr>
          <w:color w:val="auto"/>
          <w:highlight w:val="none"/>
        </w:rPr>
      </w:pPr>
    </w:p>
    <w:p>
      <w:pPr>
        <w:pStyle w:val="4"/>
        <w:rPr>
          <w:color w:val="auto"/>
          <w:highlight w:val="none"/>
        </w:rPr>
      </w:pPr>
      <w:bookmarkStart w:id="45" w:name="_Toc21840"/>
      <w:bookmarkStart w:id="46" w:name="_Toc32607"/>
      <w:bookmarkStart w:id="47" w:name="_Toc88209941"/>
      <w:bookmarkStart w:id="48" w:name="_Toc29345"/>
      <w:bookmarkStart w:id="49" w:name="_Toc29484"/>
      <w:bookmarkStart w:id="50" w:name="_Toc22212"/>
      <w:bookmarkStart w:id="51" w:name="_Toc87616378"/>
      <w:bookmarkStart w:id="52" w:name="_Toc6308"/>
      <w:bookmarkStart w:id="53" w:name="_Toc12177"/>
      <w:bookmarkStart w:id="54" w:name="_Toc30530"/>
      <w:bookmarkStart w:id="55" w:name="_Toc21079"/>
      <w:bookmarkStart w:id="56" w:name="_Toc13898"/>
      <w:bookmarkStart w:id="57" w:name="_Toc783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A3"/>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0"/>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2361565</wp:posOffset>
                </wp:positionH>
                <wp:positionV relativeFrom="paragraph">
                  <wp:posOffset>228600</wp:posOffset>
                </wp:positionV>
                <wp:extent cx="9588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5.95pt;margin-top:18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K2LetYAAAAJAQAADwAAAAAAAAABACAAAAAiAAAAZHJzL2Rvd25yZXYueG1s&#10;UEsBAhQAFAAAAAgAh07iQPbxKzf6AQAA6wMAAA4AAAAAAAAAAQAgAAAAJQEAAGRycy9lMm9Eb2Mu&#10;eG1sUEsFBgAAAAAGAAYAWQEAAJE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2AsR1wAAAAsBAAAPAAAAAAAAAAEAIAAAACIAAABkcnMvZG93bnJldi54&#10;bWxQSwECFAAUAAAACACHTuJANiX+8PsBAADr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bookmarkEnd w:id="60"/>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pStyle w:val="23"/>
        <w:rPr>
          <w:rFonts w:hint="eastAsia" w:ascii="仿宋" w:hAnsi="仿宋" w:eastAsia="仿宋"/>
          <w:b/>
          <w:sz w:val="32"/>
          <w:szCs w:val="32"/>
        </w:rPr>
      </w:pPr>
    </w:p>
    <w:p>
      <w:pPr>
        <w:pStyle w:val="23"/>
        <w:rPr>
          <w:rFonts w:hint="eastAsia" w:ascii="仿宋" w:hAnsi="仿宋" w:eastAsia="仿宋"/>
          <w:b/>
          <w:sz w:val="32"/>
          <w:szCs w:val="32"/>
        </w:rPr>
      </w:pPr>
    </w:p>
    <w:p>
      <w:pPr>
        <w:pStyle w:val="23"/>
        <w:rPr>
          <w:rFonts w:hint="eastAsia" w:ascii="仿宋" w:hAnsi="仿宋" w:eastAsia="仿宋"/>
          <w:b/>
          <w:sz w:val="32"/>
          <w:szCs w:val="32"/>
        </w:rPr>
      </w:pPr>
    </w:p>
    <w:p>
      <w:pPr>
        <w:ind w:firstLine="0" w:firstLineChars="0"/>
        <w:rPr>
          <w:rFonts w:hint="eastAsia" w:ascii="仿宋" w:hAnsi="仿宋" w:eastAsia="仿宋"/>
          <w:b/>
          <w:sz w:val="32"/>
          <w:szCs w:val="32"/>
        </w:rPr>
      </w:pPr>
    </w:p>
    <w:p>
      <w:pPr>
        <w:ind w:firstLine="643" w:firstLineChars="200"/>
        <w:rPr>
          <w:rFonts w:ascii="方正小标宋简体" w:eastAsia="方正小标宋简体"/>
          <w:sz w:val="36"/>
          <w:szCs w:val="36"/>
        </w:rPr>
      </w:pPr>
      <w:r>
        <w:rPr>
          <w:rFonts w:hint="eastAsia" w:ascii="仿宋" w:hAnsi="仿宋" w:eastAsia="仿宋"/>
          <w:b/>
          <w:sz w:val="32"/>
          <w:szCs w:val="32"/>
        </w:rPr>
        <w:t>一、项目概况</w:t>
      </w:r>
      <w:r>
        <w:rPr>
          <w:rFonts w:hint="eastAsia" w:ascii="仿宋" w:hAnsi="仿宋" w:eastAsia="仿宋"/>
          <w:sz w:val="32"/>
          <w:szCs w:val="32"/>
        </w:rPr>
        <w:t>：</w:t>
      </w:r>
    </w:p>
    <w:p>
      <w:pPr>
        <w:numPr>
          <w:ilvl w:val="0"/>
          <w:numId w:val="0"/>
        </w:numPr>
        <w:ind w:firstLine="642"/>
        <w:rPr>
          <w:rFonts w:ascii="仿宋" w:hAnsi="仿宋" w:eastAsia="仿宋"/>
          <w:bCs/>
          <w:sz w:val="32"/>
          <w:szCs w:val="32"/>
          <w:highlight w:val="none"/>
        </w:rPr>
      </w:pPr>
      <w:r>
        <w:rPr>
          <w:rFonts w:hint="eastAsia" w:ascii="仿宋" w:hAnsi="仿宋" w:eastAsia="仿宋"/>
          <w:bCs/>
          <w:sz w:val="32"/>
          <w:szCs w:val="32"/>
        </w:rPr>
        <w:t>本次</w:t>
      </w:r>
      <w:r>
        <w:rPr>
          <w:rFonts w:hint="eastAsia" w:ascii="仿宋" w:hAnsi="仿宋" w:eastAsia="仿宋"/>
          <w:bCs/>
          <w:sz w:val="32"/>
          <w:szCs w:val="32"/>
          <w:lang w:val="en-US" w:eastAsia="zh-CN"/>
        </w:rPr>
        <w:t>采购</w:t>
      </w:r>
      <w:r>
        <w:rPr>
          <w:rFonts w:hint="eastAsia" w:ascii="仿宋" w:hAnsi="仿宋" w:eastAsia="仿宋"/>
          <w:bCs/>
          <w:sz w:val="32"/>
          <w:szCs w:val="32"/>
        </w:rPr>
        <w:t>项目的服务对象为</w:t>
      </w:r>
      <w:r>
        <w:rPr>
          <w:rFonts w:hint="eastAsia" w:ascii="仿宋_GB2312" w:eastAsia="仿宋_GB2312"/>
          <w:sz w:val="32"/>
          <w:szCs w:val="32"/>
          <w:lang w:val="en-US" w:eastAsia="zh-CN"/>
        </w:rPr>
        <w:t>公司江高、龙归、从化净水厂膜清洗试点使用</w:t>
      </w:r>
      <w:r>
        <w:rPr>
          <w:rFonts w:hint="eastAsia" w:ascii="仿宋" w:hAnsi="仿宋" w:eastAsia="仿宋"/>
          <w:bCs/>
          <w:sz w:val="32"/>
          <w:szCs w:val="32"/>
        </w:rPr>
        <w:t>。</w:t>
      </w:r>
      <w:r>
        <w:rPr>
          <w:rFonts w:hint="eastAsia" w:ascii="仿宋_GB2312" w:hAnsi="仿宋_GB2312" w:eastAsia="仿宋_GB2312" w:cs="仿宋_GB2312"/>
          <w:sz w:val="32"/>
          <w:szCs w:val="32"/>
          <w:lang w:val="en-US" w:eastAsia="zh-CN"/>
        </w:rPr>
        <w:t>根据膜清洗服务单位中信环境技术（广州）有限公司提出的草酸用量方案以及</w:t>
      </w:r>
      <w:r>
        <w:rPr>
          <w:rFonts w:hint="eastAsia" w:ascii="仿宋_GB2312" w:eastAsia="仿宋_GB2312"/>
          <w:sz w:val="32"/>
          <w:szCs w:val="32"/>
          <w:lang w:val="en-US" w:eastAsia="zh-CN"/>
        </w:rPr>
        <w:t>江高、龙归，从化膜池体积及数量，最终得出草酸需求量约为150吨。</w:t>
      </w:r>
      <w:r>
        <w:rPr>
          <w:rFonts w:hint="eastAsia" w:ascii="仿宋" w:hAnsi="仿宋" w:eastAsia="仿宋"/>
          <w:bCs/>
          <w:sz w:val="32"/>
          <w:szCs w:val="32"/>
          <w:highlight w:val="none"/>
        </w:rPr>
        <w:t>需求期限</w:t>
      </w:r>
      <w:r>
        <w:rPr>
          <w:rFonts w:hint="eastAsia" w:ascii="仿宋" w:hAnsi="仿宋" w:eastAsia="仿宋"/>
          <w:bCs/>
          <w:sz w:val="32"/>
          <w:szCs w:val="32"/>
          <w:highlight w:val="none"/>
          <w:lang w:val="en-US" w:eastAsia="zh-CN"/>
        </w:rPr>
        <w:t>暂定为</w:t>
      </w:r>
      <w:r>
        <w:rPr>
          <w:rFonts w:hint="eastAsia" w:ascii="仿宋" w:hAnsi="仿宋" w:eastAsia="仿宋"/>
          <w:bCs/>
          <w:sz w:val="32"/>
          <w:szCs w:val="32"/>
          <w:highlight w:val="none"/>
        </w:rPr>
        <w:t>202</w:t>
      </w:r>
      <w:r>
        <w:rPr>
          <w:rFonts w:hint="eastAsia" w:ascii="仿宋" w:hAnsi="仿宋" w:eastAsia="仿宋"/>
          <w:bCs/>
          <w:sz w:val="32"/>
          <w:szCs w:val="32"/>
          <w:highlight w:val="none"/>
          <w:lang w:val="en-US" w:eastAsia="zh-CN"/>
        </w:rPr>
        <w:t>3</w:t>
      </w:r>
      <w:r>
        <w:rPr>
          <w:rFonts w:hint="eastAsia" w:ascii="仿宋" w:hAnsi="仿宋" w:eastAsia="仿宋"/>
          <w:bCs/>
          <w:sz w:val="32"/>
          <w:szCs w:val="32"/>
          <w:highlight w:val="none"/>
        </w:rPr>
        <w:t>年</w:t>
      </w:r>
      <w:r>
        <w:rPr>
          <w:rFonts w:hint="eastAsia" w:ascii="仿宋" w:hAnsi="仿宋" w:eastAsia="仿宋"/>
          <w:bCs/>
          <w:sz w:val="32"/>
          <w:szCs w:val="32"/>
          <w:highlight w:val="none"/>
          <w:lang w:val="en-US" w:eastAsia="zh-CN"/>
        </w:rPr>
        <w:t>4</w:t>
      </w:r>
      <w:r>
        <w:rPr>
          <w:rFonts w:hint="eastAsia" w:ascii="仿宋" w:hAnsi="仿宋" w:eastAsia="仿宋"/>
          <w:bCs/>
          <w:sz w:val="32"/>
          <w:szCs w:val="32"/>
          <w:highlight w:val="none"/>
        </w:rPr>
        <w:t>月至202</w:t>
      </w:r>
      <w:r>
        <w:rPr>
          <w:rFonts w:hint="eastAsia" w:ascii="仿宋" w:hAnsi="仿宋" w:eastAsia="仿宋"/>
          <w:bCs/>
          <w:sz w:val="32"/>
          <w:szCs w:val="32"/>
          <w:highlight w:val="none"/>
          <w:lang w:val="en-US" w:eastAsia="zh-CN"/>
        </w:rPr>
        <w:t>4</w:t>
      </w:r>
      <w:r>
        <w:rPr>
          <w:rFonts w:hint="eastAsia" w:ascii="仿宋" w:hAnsi="仿宋" w:eastAsia="仿宋"/>
          <w:bCs/>
          <w:sz w:val="32"/>
          <w:szCs w:val="32"/>
          <w:highlight w:val="none"/>
        </w:rPr>
        <w:t>年</w:t>
      </w:r>
      <w:r>
        <w:rPr>
          <w:rFonts w:hint="eastAsia" w:ascii="仿宋" w:hAnsi="仿宋" w:eastAsia="仿宋"/>
          <w:bCs/>
          <w:sz w:val="32"/>
          <w:szCs w:val="32"/>
          <w:highlight w:val="none"/>
          <w:lang w:val="en-US" w:eastAsia="zh-CN"/>
        </w:rPr>
        <w:t>3</w:t>
      </w:r>
      <w:r>
        <w:rPr>
          <w:rFonts w:hint="eastAsia" w:ascii="仿宋" w:hAnsi="仿宋" w:eastAsia="仿宋"/>
          <w:bCs/>
          <w:sz w:val="32"/>
          <w:szCs w:val="32"/>
          <w:highlight w:val="none"/>
        </w:rPr>
        <w:t>月</w:t>
      </w:r>
      <w:r>
        <w:rPr>
          <w:rFonts w:hint="eastAsia" w:ascii="仿宋" w:hAnsi="仿宋" w:eastAsia="仿宋"/>
          <w:bCs/>
          <w:sz w:val="32"/>
          <w:szCs w:val="32"/>
          <w:highlight w:val="none"/>
          <w:lang w:eastAsia="zh-CN"/>
        </w:rPr>
        <w:t>（</w:t>
      </w:r>
      <w:r>
        <w:rPr>
          <w:rFonts w:hint="eastAsia" w:ascii="仿宋" w:hAnsi="仿宋" w:eastAsia="仿宋"/>
          <w:bCs/>
          <w:sz w:val="32"/>
          <w:szCs w:val="32"/>
          <w:highlight w:val="none"/>
          <w:lang w:val="en-US" w:eastAsia="zh-CN"/>
        </w:rPr>
        <w:t>以合同签订为准）</w:t>
      </w:r>
      <w:r>
        <w:rPr>
          <w:rFonts w:hint="eastAsia" w:ascii="仿宋" w:hAnsi="仿宋" w:eastAsia="仿宋"/>
          <w:bCs/>
          <w:sz w:val="32"/>
          <w:szCs w:val="32"/>
          <w:highlight w:val="none"/>
        </w:rPr>
        <w:t>。</w:t>
      </w:r>
    </w:p>
    <w:p>
      <w:pPr>
        <w:numPr>
          <w:ilvl w:val="0"/>
          <w:numId w:val="4"/>
        </w:numPr>
        <w:spacing w:line="360" w:lineRule="auto"/>
        <w:ind w:firstLine="643" w:firstLineChars="200"/>
        <w:rPr>
          <w:rFonts w:hint="eastAsia" w:ascii="仿宋" w:hAnsi="仿宋" w:eastAsia="仿宋"/>
          <w:b/>
          <w:bCs/>
          <w:sz w:val="32"/>
          <w:szCs w:val="32"/>
        </w:rPr>
      </w:pPr>
      <w:r>
        <w:rPr>
          <w:rFonts w:hint="eastAsia" w:ascii="仿宋" w:hAnsi="仿宋" w:eastAsia="仿宋"/>
          <w:b/>
          <w:bCs/>
          <w:sz w:val="32"/>
          <w:szCs w:val="32"/>
        </w:rPr>
        <w:t>招标范围：</w:t>
      </w:r>
    </w:p>
    <w:p>
      <w:pPr>
        <w:widowControl w:val="0"/>
        <w:numPr>
          <w:ilvl w:val="0"/>
          <w:numId w:val="0"/>
        </w:num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报价单位须为草酸的制造商（含制造商的唯一法人股东或制造商下属的全资子公司，需提供报价人与报价货物的制造商的关系的说明文件原件或证明文件复印件）或代理商。</w:t>
      </w:r>
    </w:p>
    <w:p>
      <w:pPr>
        <w:widowControl w:val="0"/>
        <w:numPr>
          <w:ilvl w:val="0"/>
          <w:numId w:val="0"/>
        </w:numPr>
        <w:spacing w:line="360" w:lineRule="auto"/>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膜清洗需求：</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1"/>
        <w:gridCol w:w="3021"/>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vAlign w:val="center"/>
          </w:tcPr>
          <w:p>
            <w:pPr>
              <w:spacing w:line="360" w:lineRule="auto"/>
              <w:jc w:val="center"/>
              <w:rPr>
                <w:rFonts w:ascii="仿宋" w:hAnsi="仿宋" w:eastAsia="仿宋"/>
                <w:bCs/>
                <w:sz w:val="32"/>
                <w:szCs w:val="32"/>
              </w:rPr>
            </w:pPr>
            <w:r>
              <w:rPr>
                <w:rFonts w:ascii="仿宋" w:hAnsi="仿宋" w:eastAsia="仿宋"/>
                <w:bCs/>
                <w:sz w:val="32"/>
                <w:szCs w:val="32"/>
              </w:rPr>
              <w:t>污水厂</w:t>
            </w:r>
          </w:p>
        </w:tc>
        <w:tc>
          <w:tcPr>
            <w:tcW w:w="3021" w:type="dxa"/>
            <w:vAlign w:val="center"/>
          </w:tcPr>
          <w:p>
            <w:pPr>
              <w:spacing w:line="360" w:lineRule="auto"/>
              <w:jc w:val="center"/>
              <w:rPr>
                <w:rFonts w:ascii="仿宋" w:hAnsi="仿宋" w:eastAsia="仿宋"/>
                <w:bCs/>
                <w:sz w:val="32"/>
                <w:szCs w:val="32"/>
              </w:rPr>
            </w:pPr>
            <w:r>
              <w:rPr>
                <w:rFonts w:ascii="仿宋" w:hAnsi="仿宋" w:eastAsia="仿宋"/>
                <w:bCs/>
                <w:sz w:val="32"/>
                <w:szCs w:val="32"/>
              </w:rPr>
              <w:t>合同期</w:t>
            </w:r>
          </w:p>
        </w:tc>
        <w:tc>
          <w:tcPr>
            <w:tcW w:w="2460" w:type="dxa"/>
            <w:vAlign w:val="center"/>
          </w:tcPr>
          <w:p>
            <w:pPr>
              <w:spacing w:line="360" w:lineRule="auto"/>
              <w:jc w:val="center"/>
              <w:rPr>
                <w:rFonts w:ascii="仿宋" w:hAnsi="仿宋" w:eastAsia="仿宋"/>
                <w:bCs/>
                <w:sz w:val="32"/>
                <w:szCs w:val="32"/>
              </w:rPr>
            </w:pPr>
            <w:r>
              <w:rPr>
                <w:rFonts w:ascii="仿宋" w:hAnsi="仿宋" w:eastAsia="仿宋"/>
                <w:bCs/>
                <w:sz w:val="32"/>
                <w:szCs w:val="32"/>
              </w:rPr>
              <w:t>供货量</w:t>
            </w:r>
            <w:r>
              <w:rPr>
                <w:rFonts w:hint="eastAsia" w:ascii="仿宋" w:hAnsi="仿宋" w:eastAsia="仿宋"/>
                <w:bCs/>
                <w:sz w:val="32"/>
                <w:szCs w:val="32"/>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3041" w:type="dxa"/>
            <w:vAlign w:val="center"/>
          </w:tcPr>
          <w:p>
            <w:pPr>
              <w:spacing w:line="360" w:lineRule="auto"/>
              <w:jc w:val="center"/>
              <w:rPr>
                <w:rFonts w:hint="default" w:ascii="仿宋_GB2312" w:hAnsi="仿宋_GB2312" w:eastAsia="仿宋_GB2312" w:cs="仿宋_GB2312"/>
                <w:bCs/>
                <w:sz w:val="28"/>
                <w:szCs w:val="28"/>
                <w:lang w:val="en-US"/>
              </w:rPr>
            </w:pPr>
            <w:r>
              <w:rPr>
                <w:rFonts w:hint="eastAsia" w:ascii="仿宋_GB2312" w:hAnsi="仿宋_GB2312" w:eastAsia="仿宋_GB2312" w:cs="仿宋_GB2312"/>
                <w:sz w:val="28"/>
                <w:szCs w:val="28"/>
                <w:lang w:val="en-US" w:eastAsia="zh-CN"/>
              </w:rPr>
              <w:t>江高分公司</w:t>
            </w:r>
          </w:p>
        </w:tc>
        <w:tc>
          <w:tcPr>
            <w:tcW w:w="3021" w:type="dxa"/>
            <w:vAlign w:val="center"/>
          </w:tcPr>
          <w:p>
            <w:pPr>
              <w:spacing w:line="36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月至202</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3月</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12</w:t>
            </w:r>
            <w:r>
              <w:rPr>
                <w:rFonts w:hint="eastAsia" w:ascii="仿宋_GB2312" w:hAnsi="仿宋_GB2312" w:eastAsia="仿宋_GB2312" w:cs="仿宋_GB2312"/>
                <w:bCs/>
                <w:sz w:val="28"/>
                <w:szCs w:val="28"/>
              </w:rPr>
              <w:t>个月）</w:t>
            </w:r>
          </w:p>
        </w:tc>
        <w:tc>
          <w:tcPr>
            <w:tcW w:w="2460" w:type="dxa"/>
            <w:vAlign w:val="center"/>
          </w:tcPr>
          <w:p>
            <w:pPr>
              <w:spacing w:line="360" w:lineRule="auto"/>
              <w:jc w:val="center"/>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3041"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龙归分公司</w:t>
            </w:r>
          </w:p>
        </w:tc>
        <w:tc>
          <w:tcPr>
            <w:tcW w:w="3021" w:type="dxa"/>
            <w:vAlign w:val="center"/>
          </w:tcPr>
          <w:p>
            <w:pPr>
              <w:spacing w:line="36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月至202</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3月</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12</w:t>
            </w:r>
            <w:r>
              <w:rPr>
                <w:rFonts w:hint="eastAsia" w:ascii="仿宋_GB2312" w:hAnsi="仿宋_GB2312" w:eastAsia="仿宋_GB2312" w:cs="仿宋_GB2312"/>
                <w:bCs/>
                <w:sz w:val="28"/>
                <w:szCs w:val="28"/>
              </w:rPr>
              <w:t>个月）</w:t>
            </w:r>
          </w:p>
        </w:tc>
        <w:tc>
          <w:tcPr>
            <w:tcW w:w="2460" w:type="dxa"/>
            <w:vAlign w:val="center"/>
          </w:tcPr>
          <w:p>
            <w:pPr>
              <w:spacing w:line="360" w:lineRule="auto"/>
              <w:jc w:val="center"/>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3041"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从化子公司</w:t>
            </w:r>
          </w:p>
        </w:tc>
        <w:tc>
          <w:tcPr>
            <w:tcW w:w="3021" w:type="dxa"/>
            <w:vAlign w:val="center"/>
          </w:tcPr>
          <w:p>
            <w:pPr>
              <w:spacing w:line="360" w:lineRule="auto"/>
              <w:jc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月至202</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3月</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12</w:t>
            </w:r>
            <w:r>
              <w:rPr>
                <w:rFonts w:hint="eastAsia" w:ascii="仿宋_GB2312" w:hAnsi="仿宋_GB2312" w:eastAsia="仿宋_GB2312" w:cs="仿宋_GB2312"/>
                <w:bCs/>
                <w:sz w:val="28"/>
                <w:szCs w:val="28"/>
              </w:rPr>
              <w:t>个月）</w:t>
            </w:r>
          </w:p>
        </w:tc>
        <w:tc>
          <w:tcPr>
            <w:tcW w:w="2460" w:type="dxa"/>
            <w:vAlign w:val="center"/>
          </w:tcPr>
          <w:p>
            <w:pPr>
              <w:spacing w:line="360" w:lineRule="auto"/>
              <w:jc w:val="center"/>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w:t>
            </w:r>
          </w:p>
        </w:tc>
      </w:tr>
    </w:tbl>
    <w:p>
      <w:pPr>
        <w:spacing w:line="360" w:lineRule="auto"/>
        <w:rPr>
          <w:rFonts w:ascii="仿宋" w:hAnsi="仿宋" w:eastAsia="仿宋"/>
          <w:bCs/>
          <w:sz w:val="32"/>
          <w:szCs w:val="32"/>
        </w:rPr>
      </w:pPr>
      <w:r>
        <w:rPr>
          <w:rFonts w:hint="eastAsia" w:ascii="仿宋" w:hAnsi="仿宋" w:eastAsia="仿宋"/>
          <w:bCs/>
          <w:sz w:val="32"/>
          <w:szCs w:val="32"/>
        </w:rPr>
        <w:t>注：1.合同期以实际签订为准，并以供货量或合同期期限先到者为合同截止时间。</w:t>
      </w:r>
    </w:p>
    <w:p>
      <w:pPr>
        <w:spacing w:line="360" w:lineRule="auto"/>
        <w:ind w:firstLine="640" w:firstLineChars="200"/>
        <w:rPr>
          <w:rFonts w:ascii="仿宋" w:hAnsi="仿宋" w:eastAsia="仿宋"/>
          <w:bCs/>
          <w:sz w:val="32"/>
          <w:szCs w:val="32"/>
        </w:rPr>
      </w:pPr>
      <w:r>
        <w:rPr>
          <w:rFonts w:hint="eastAsia" w:ascii="仿宋" w:hAnsi="仿宋" w:eastAsia="仿宋"/>
          <w:bCs/>
          <w:sz w:val="32"/>
          <w:szCs w:val="32"/>
          <w:lang w:val="en-US" w:eastAsia="zh-CN"/>
        </w:rPr>
        <w:t>2</w:t>
      </w:r>
      <w:r>
        <w:rPr>
          <w:rFonts w:hint="eastAsia" w:ascii="仿宋" w:hAnsi="仿宋" w:eastAsia="仿宋"/>
          <w:bCs/>
          <w:sz w:val="32"/>
          <w:szCs w:val="32"/>
        </w:rPr>
        <w:t>.供货期：项目预计实施时间为202</w:t>
      </w:r>
      <w:r>
        <w:rPr>
          <w:rFonts w:hint="eastAsia" w:ascii="仿宋" w:hAnsi="仿宋" w:eastAsia="仿宋"/>
          <w:bCs/>
          <w:sz w:val="32"/>
          <w:szCs w:val="32"/>
          <w:lang w:val="en-US" w:eastAsia="zh-CN"/>
        </w:rPr>
        <w:t>3</w:t>
      </w:r>
      <w:r>
        <w:rPr>
          <w:rFonts w:hint="eastAsia" w:ascii="仿宋" w:hAnsi="仿宋" w:eastAsia="仿宋"/>
          <w:bCs/>
          <w:sz w:val="32"/>
          <w:szCs w:val="32"/>
        </w:rPr>
        <w:t>年</w:t>
      </w:r>
      <w:r>
        <w:rPr>
          <w:rFonts w:hint="eastAsia" w:ascii="仿宋" w:hAnsi="仿宋" w:eastAsia="仿宋"/>
          <w:bCs/>
          <w:sz w:val="32"/>
          <w:szCs w:val="32"/>
          <w:lang w:val="en-US" w:eastAsia="zh-CN"/>
        </w:rPr>
        <w:t>4</w:t>
      </w:r>
      <w:r>
        <w:rPr>
          <w:rFonts w:hint="eastAsia" w:ascii="仿宋" w:hAnsi="仿宋" w:eastAsia="仿宋"/>
          <w:bCs/>
          <w:sz w:val="32"/>
          <w:szCs w:val="32"/>
        </w:rPr>
        <w:t>月至202</w:t>
      </w:r>
      <w:r>
        <w:rPr>
          <w:rFonts w:hint="eastAsia" w:ascii="仿宋" w:hAnsi="仿宋" w:eastAsia="仿宋"/>
          <w:bCs/>
          <w:sz w:val="32"/>
          <w:szCs w:val="32"/>
          <w:lang w:val="en-US" w:eastAsia="zh-CN"/>
        </w:rPr>
        <w:t>4</w:t>
      </w:r>
      <w:r>
        <w:rPr>
          <w:rFonts w:hint="eastAsia" w:ascii="仿宋" w:hAnsi="仿宋" w:eastAsia="仿宋"/>
          <w:bCs/>
          <w:sz w:val="32"/>
          <w:szCs w:val="32"/>
        </w:rPr>
        <w:t>年</w:t>
      </w:r>
      <w:r>
        <w:rPr>
          <w:rFonts w:hint="eastAsia" w:ascii="仿宋" w:hAnsi="仿宋" w:eastAsia="仿宋"/>
          <w:bCs/>
          <w:sz w:val="32"/>
          <w:szCs w:val="32"/>
          <w:lang w:val="en-US" w:eastAsia="zh-CN"/>
        </w:rPr>
        <w:t>3月</w:t>
      </w:r>
      <w:r>
        <w:rPr>
          <w:rFonts w:hint="eastAsia" w:ascii="仿宋" w:hAnsi="仿宋" w:eastAsia="仿宋"/>
          <w:bCs/>
          <w:sz w:val="32"/>
          <w:szCs w:val="32"/>
        </w:rPr>
        <w:t>（</w:t>
      </w:r>
      <w:r>
        <w:rPr>
          <w:rFonts w:hint="eastAsia" w:ascii="仿宋" w:hAnsi="仿宋" w:eastAsia="仿宋"/>
          <w:bCs/>
          <w:sz w:val="32"/>
          <w:szCs w:val="32"/>
          <w:lang w:val="en-US" w:eastAsia="zh-CN"/>
        </w:rPr>
        <w:t>1</w:t>
      </w:r>
      <w:r>
        <w:rPr>
          <w:rFonts w:hint="eastAsia" w:ascii="仿宋" w:hAnsi="仿宋" w:eastAsia="仿宋"/>
          <w:bCs/>
          <w:sz w:val="32"/>
          <w:szCs w:val="32"/>
        </w:rPr>
        <w:t>年），供货起始时间和截止时间具体以甲方通知为准，按实际到货药剂吨数进行结算。</w:t>
      </w:r>
    </w:p>
    <w:p>
      <w:pPr>
        <w:spacing w:line="360" w:lineRule="auto"/>
        <w:ind w:firstLine="469" w:firstLineChars="146"/>
        <w:rPr>
          <w:rFonts w:ascii="仿宋" w:hAnsi="仿宋" w:eastAsia="仿宋"/>
          <w:b/>
          <w:bCs/>
          <w:sz w:val="32"/>
          <w:szCs w:val="32"/>
        </w:rPr>
      </w:pPr>
      <w:r>
        <w:rPr>
          <w:rFonts w:hint="eastAsia" w:ascii="仿宋" w:hAnsi="仿宋" w:eastAsia="仿宋"/>
          <w:b/>
          <w:bCs/>
          <w:sz w:val="32"/>
          <w:szCs w:val="32"/>
        </w:rPr>
        <w:t>三、技术指标要求：</w:t>
      </w:r>
    </w:p>
    <w:p>
      <w:pPr>
        <w:spacing w:line="360" w:lineRule="auto"/>
        <w:ind w:firstLine="560" w:firstLineChars="200"/>
        <w:rPr>
          <w:sz w:val="28"/>
          <w:szCs w:val="28"/>
        </w:rPr>
      </w:pPr>
      <w:r>
        <w:rPr>
          <w:rFonts w:hint="eastAsia"/>
          <w:sz w:val="28"/>
          <w:szCs w:val="28"/>
        </w:rPr>
        <w:t>★货物质量必须符合</w:t>
      </w:r>
      <w:r>
        <w:rPr>
          <w:rFonts w:hint="eastAsia"/>
          <w:sz w:val="28"/>
          <w:szCs w:val="28"/>
          <w:lang w:val="en-US" w:eastAsia="zh-CN"/>
        </w:rPr>
        <w:t>采购</w:t>
      </w:r>
      <w:r>
        <w:rPr>
          <w:rFonts w:hint="eastAsia"/>
          <w:sz w:val="28"/>
          <w:szCs w:val="28"/>
        </w:rPr>
        <w:t>方确认的标准：</w:t>
      </w:r>
    </w:p>
    <w:tbl>
      <w:tblPr>
        <w:tblStyle w:val="19"/>
        <w:tblW w:w="38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2"/>
        <w:gridCol w:w="3791"/>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987"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药剂名称</w:t>
            </w:r>
          </w:p>
        </w:tc>
        <w:tc>
          <w:tcPr>
            <w:tcW w:w="4012" w:type="pct"/>
            <w:gridSpan w:val="2"/>
            <w:tcBorders>
              <w:top w:val="single" w:color="000000" w:sz="8" w:space="0"/>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技术指标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87" w:type="pct"/>
            <w:vMerge w:val="restart"/>
            <w:tcBorders>
              <w:top w:val="nil"/>
              <w:left w:val="single" w:color="000000" w:sz="8" w:space="0"/>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草酸</w:t>
            </w:r>
          </w:p>
        </w:tc>
        <w:tc>
          <w:tcPr>
            <w:tcW w:w="2708"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需求指标名称</w:t>
            </w:r>
          </w:p>
        </w:tc>
        <w:tc>
          <w:tcPr>
            <w:tcW w:w="1303" w:type="pct"/>
            <w:tcBorders>
              <w:top w:val="single" w:color="000000" w:sz="8" w:space="0"/>
              <w:left w:val="nil"/>
              <w:bottom w:val="single" w:color="000000" w:sz="8" w:space="0"/>
              <w:right w:val="single" w:color="000000" w:sz="8" w:space="0"/>
            </w:tcBorders>
            <w:shd w:val="clear" w:color="auto" w:fill="auto"/>
            <w:vAlign w:val="top"/>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需求指标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87" w:type="pct"/>
            <w:vMerge w:val="continue"/>
            <w:tcBorders>
              <w:top w:val="nil"/>
              <w:left w:val="single" w:color="000000" w:sz="8" w:space="0"/>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p>
        </w:tc>
        <w:tc>
          <w:tcPr>
            <w:tcW w:w="2708"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★草酸（以H</w:t>
            </w:r>
            <w:r>
              <w:rPr>
                <w:rFonts w:hint="eastAsia" w:ascii="宋体" w:hAnsi="宋体" w:cs="宋体"/>
                <w:kern w:val="0"/>
                <w:sz w:val="24"/>
                <w:szCs w:val="24"/>
                <w:highlight w:val="none"/>
                <w:vertAlign w:val="subscript"/>
                <w:lang w:val="en-US" w:eastAsia="zh-CN"/>
              </w:rPr>
              <w:t>2</w:t>
            </w:r>
            <w:r>
              <w:rPr>
                <w:rFonts w:hint="eastAsia" w:ascii="宋体" w:hAnsi="宋体" w:cs="宋体"/>
                <w:kern w:val="0"/>
                <w:sz w:val="24"/>
                <w:szCs w:val="24"/>
                <w:highlight w:val="none"/>
                <w:lang w:val="en-US" w:eastAsia="zh-CN"/>
              </w:rPr>
              <w:t>C</w:t>
            </w:r>
            <w:r>
              <w:rPr>
                <w:rFonts w:hint="eastAsia" w:ascii="宋体" w:hAnsi="宋体" w:cs="宋体"/>
                <w:kern w:val="0"/>
                <w:sz w:val="24"/>
                <w:szCs w:val="24"/>
                <w:highlight w:val="none"/>
                <w:vertAlign w:val="subscript"/>
                <w:lang w:val="en-US" w:eastAsia="zh-CN"/>
              </w:rPr>
              <w:t>2</w:t>
            </w:r>
            <w:r>
              <w:rPr>
                <w:rFonts w:hint="eastAsia" w:ascii="宋体" w:hAnsi="宋体" w:cs="宋体"/>
                <w:kern w:val="0"/>
                <w:sz w:val="24"/>
                <w:szCs w:val="24"/>
                <w:highlight w:val="none"/>
                <w:lang w:val="en-US" w:eastAsia="zh-CN"/>
              </w:rPr>
              <w:t>O</w:t>
            </w:r>
            <w:r>
              <w:rPr>
                <w:rFonts w:hint="eastAsia" w:ascii="宋体" w:hAnsi="宋体" w:cs="宋体"/>
                <w:kern w:val="0"/>
                <w:sz w:val="24"/>
                <w:szCs w:val="24"/>
                <w:highlight w:val="none"/>
                <w:vertAlign w:val="subscript"/>
                <w:lang w:val="en-US" w:eastAsia="zh-CN"/>
              </w:rPr>
              <w:t>4</w:t>
            </w:r>
            <w:r>
              <w:rPr>
                <w:rFonts w:hint="eastAsia" w:ascii="宋体" w:hAnsi="宋体" w:cs="宋体"/>
                <w:kern w:val="0"/>
                <w:sz w:val="24"/>
                <w:szCs w:val="24"/>
                <w:highlight w:val="none"/>
                <w:lang w:val="en-US" w:eastAsia="zh-CN"/>
              </w:rPr>
              <w:t>.2H</w:t>
            </w:r>
            <w:r>
              <w:rPr>
                <w:rFonts w:hint="eastAsia" w:ascii="宋体" w:hAnsi="宋体" w:cs="宋体"/>
                <w:kern w:val="0"/>
                <w:sz w:val="24"/>
                <w:szCs w:val="24"/>
                <w:highlight w:val="none"/>
                <w:vertAlign w:val="subscript"/>
                <w:lang w:val="en-US" w:eastAsia="zh-CN"/>
              </w:rPr>
              <w:t>2</w:t>
            </w:r>
            <w:r>
              <w:rPr>
                <w:rFonts w:hint="eastAsia" w:ascii="宋体" w:hAnsi="宋体" w:cs="宋体"/>
                <w:kern w:val="0"/>
                <w:sz w:val="24"/>
                <w:szCs w:val="24"/>
                <w:highlight w:val="none"/>
                <w:lang w:val="en-US" w:eastAsia="zh-CN"/>
              </w:rPr>
              <w:t>0计）的质量分数（%）</w:t>
            </w:r>
          </w:p>
        </w:tc>
        <w:tc>
          <w:tcPr>
            <w:tcW w:w="1303"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87" w:type="pct"/>
            <w:vMerge w:val="continue"/>
            <w:tcBorders>
              <w:top w:val="nil"/>
              <w:left w:val="single" w:color="000000" w:sz="8" w:space="0"/>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p>
        </w:tc>
        <w:tc>
          <w:tcPr>
            <w:tcW w:w="2708"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硫酸根（以SO4计）的质量分数</w:t>
            </w:r>
          </w:p>
        </w:tc>
        <w:tc>
          <w:tcPr>
            <w:tcW w:w="1303"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987" w:type="pct"/>
            <w:vMerge w:val="continue"/>
            <w:tcBorders>
              <w:top w:val="nil"/>
              <w:left w:val="single" w:color="000000" w:sz="8" w:space="0"/>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p>
        </w:tc>
        <w:tc>
          <w:tcPr>
            <w:tcW w:w="2708"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灼烧残渣的质量分数</w:t>
            </w:r>
          </w:p>
        </w:tc>
        <w:tc>
          <w:tcPr>
            <w:tcW w:w="1303"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987" w:type="pct"/>
            <w:vMerge w:val="continue"/>
            <w:tcBorders>
              <w:top w:val="nil"/>
              <w:left w:val="single" w:color="000000" w:sz="8" w:space="0"/>
              <w:bottom w:val="nil"/>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p>
        </w:tc>
        <w:tc>
          <w:tcPr>
            <w:tcW w:w="2708"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重金属（以Pb计）的质量分数</w:t>
            </w:r>
          </w:p>
        </w:tc>
        <w:tc>
          <w:tcPr>
            <w:tcW w:w="1303"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987" w:type="pct"/>
            <w:tcBorders>
              <w:top w:val="nil"/>
              <w:left w:val="single" w:color="000000" w:sz="8" w:space="0"/>
              <w:bottom w:val="nil"/>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p>
        </w:tc>
        <w:tc>
          <w:tcPr>
            <w:tcW w:w="2708" w:type="pct"/>
            <w:tcBorders>
              <w:top w:val="single" w:color="000000" w:sz="8" w:space="0"/>
              <w:left w:val="nil"/>
              <w:bottom w:val="single" w:color="000000" w:sz="8" w:space="0"/>
              <w:right w:val="single" w:color="000000" w:sz="8" w:space="0"/>
            </w:tcBorders>
            <w:shd w:val="clear" w:color="auto" w:fill="auto"/>
            <w:vAlign w:val="center"/>
          </w:tcPr>
          <w:p>
            <w:pPr>
              <w:spacing w:line="520" w:lineRule="exact"/>
              <w:jc w:val="center"/>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铁（以Fe计）的质量分数</w:t>
            </w:r>
          </w:p>
        </w:tc>
        <w:tc>
          <w:tcPr>
            <w:tcW w:w="1303" w:type="pct"/>
            <w:tcBorders>
              <w:top w:val="single" w:color="000000" w:sz="8" w:space="0"/>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87" w:type="pct"/>
            <w:tcBorders>
              <w:top w:val="nil"/>
              <w:left w:val="single" w:color="000000" w:sz="8" w:space="0"/>
              <w:bottom w:val="nil"/>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p>
        </w:tc>
        <w:tc>
          <w:tcPr>
            <w:tcW w:w="2708" w:type="pct"/>
            <w:tcBorders>
              <w:top w:val="single" w:color="000000" w:sz="8" w:space="0"/>
              <w:left w:val="nil"/>
              <w:bottom w:val="single" w:color="000000" w:sz="8" w:space="0"/>
              <w:right w:val="single" w:color="000000" w:sz="8" w:space="0"/>
            </w:tcBorders>
            <w:shd w:val="clear" w:color="auto" w:fill="auto"/>
            <w:vAlign w:val="center"/>
          </w:tcPr>
          <w:p>
            <w:pPr>
              <w:spacing w:line="520" w:lineRule="exact"/>
              <w:jc w:val="center"/>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氯化物（以Cl计）的质量分数</w:t>
            </w:r>
          </w:p>
        </w:tc>
        <w:tc>
          <w:tcPr>
            <w:tcW w:w="1303" w:type="pct"/>
            <w:tcBorders>
              <w:top w:val="single" w:color="000000" w:sz="8" w:space="0"/>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987" w:type="pct"/>
            <w:tcBorders>
              <w:top w:val="nil"/>
              <w:left w:val="single" w:color="000000" w:sz="8" w:space="0"/>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p>
        </w:tc>
        <w:tc>
          <w:tcPr>
            <w:tcW w:w="2708" w:type="pct"/>
            <w:tcBorders>
              <w:top w:val="single" w:color="000000" w:sz="8" w:space="0"/>
              <w:left w:val="nil"/>
              <w:bottom w:val="single" w:color="000000" w:sz="8" w:space="0"/>
              <w:right w:val="single" w:color="000000" w:sz="8" w:space="0"/>
            </w:tcBorders>
            <w:shd w:val="clear" w:color="auto" w:fill="auto"/>
            <w:vAlign w:val="center"/>
          </w:tcPr>
          <w:p>
            <w:pPr>
              <w:spacing w:line="520" w:lineRule="exact"/>
              <w:jc w:val="center"/>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钙（以Ca计）的质量分数</w:t>
            </w:r>
          </w:p>
        </w:tc>
        <w:tc>
          <w:tcPr>
            <w:tcW w:w="1303" w:type="pct"/>
            <w:tcBorders>
              <w:top w:val="single" w:color="000000" w:sz="8" w:space="0"/>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≤0.0005%</w:t>
            </w:r>
          </w:p>
        </w:tc>
      </w:tr>
    </w:tbl>
    <w:p>
      <w:pPr>
        <w:tabs>
          <w:tab w:val="left" w:pos="3060"/>
        </w:tabs>
        <w:spacing w:line="360" w:lineRule="auto"/>
        <w:ind w:firstLine="643" w:firstLineChars="200"/>
        <w:rPr>
          <w:rFonts w:ascii="仿宋_GB2312" w:eastAsia="仿宋_GB2312"/>
          <w:b/>
          <w:sz w:val="28"/>
          <w:szCs w:val="28"/>
        </w:rPr>
      </w:pPr>
      <w:r>
        <w:rPr>
          <w:rFonts w:hint="eastAsia" w:ascii="仿宋_GB2312" w:eastAsia="仿宋_GB2312"/>
          <w:b/>
          <w:sz w:val="32"/>
          <w:szCs w:val="32"/>
        </w:rPr>
        <w:t>四、供货要求</w:t>
      </w:r>
    </w:p>
    <w:p>
      <w:pPr>
        <w:spacing w:line="360" w:lineRule="auto"/>
        <w:rPr>
          <w:rFonts w:ascii="仿宋" w:hAnsi="仿宋" w:eastAsia="仿宋"/>
          <w:bCs/>
          <w:sz w:val="32"/>
          <w:szCs w:val="32"/>
        </w:rPr>
      </w:pPr>
      <w:r>
        <w:rPr>
          <w:rFonts w:hint="eastAsia"/>
          <w:sz w:val="28"/>
          <w:szCs w:val="28"/>
        </w:rPr>
        <w:t xml:space="preserve">    </w:t>
      </w:r>
      <w:r>
        <w:rPr>
          <w:rFonts w:hint="eastAsia" w:ascii="仿宋" w:hAnsi="仿宋" w:eastAsia="仿宋"/>
          <w:bCs/>
          <w:sz w:val="32"/>
          <w:szCs w:val="32"/>
        </w:rPr>
        <w:t xml:space="preserve">1、交货地点：市净水公司所属各污水处理厂厂内。中标人负责货物的运输和装卸，并在采购人指定地点交货、存储。中标人需服从采购人及市净水公司的合理调配供货。 </w:t>
      </w:r>
    </w:p>
    <w:p>
      <w:pPr>
        <w:spacing w:line="360" w:lineRule="auto"/>
        <w:ind w:firstLine="640" w:firstLineChars="200"/>
        <w:rPr>
          <w:rFonts w:ascii="仿宋" w:hAnsi="仿宋" w:eastAsia="仿宋"/>
          <w:sz w:val="32"/>
          <w:szCs w:val="32"/>
        </w:rPr>
      </w:pPr>
      <w:r>
        <w:rPr>
          <w:rFonts w:hint="eastAsia" w:ascii="仿宋" w:hAnsi="仿宋" w:eastAsia="仿宋"/>
          <w:bCs/>
          <w:sz w:val="32"/>
          <w:szCs w:val="32"/>
        </w:rPr>
        <w:t>2、供货时间：合同期内必须按采购人</w:t>
      </w:r>
      <w:r>
        <w:rPr>
          <w:rFonts w:hint="eastAsia" w:ascii="仿宋" w:hAnsi="仿宋" w:eastAsia="仿宋"/>
          <w:sz w:val="32"/>
          <w:szCs w:val="32"/>
        </w:rPr>
        <w:t>生产</w:t>
      </w:r>
      <w:r>
        <w:rPr>
          <w:rFonts w:hint="eastAsia" w:ascii="仿宋" w:hAnsi="仿宋" w:eastAsia="仿宋"/>
          <w:bCs/>
          <w:sz w:val="32"/>
          <w:szCs w:val="32"/>
        </w:rPr>
        <w:t>需求</w:t>
      </w:r>
      <w:r>
        <w:rPr>
          <w:rFonts w:hint="eastAsia" w:ascii="仿宋" w:hAnsi="仿宋" w:eastAsia="仿宋"/>
          <w:sz w:val="32"/>
          <w:szCs w:val="32"/>
        </w:rPr>
        <w:t>准时供货。如有特殊情况，买方提前24小时通知供方。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交货要求：在货物出厂前，卖方应该对每批（次）所供货物进行详细检验，并出具每批（次）所供货物的质量检验证明材料，该证明材料仅作为交货时双方进行交货现场检验的参考。若卖方供货时不能出具该批（次）所供货物的检验证明材料，买方有权拒绝该批（次）所供货物的签收，并有权要求卖方无条件退货并更换该批（次）所供货物，由此给买方所造成的一切经济损失由卖方承担。</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计量方式：以甲方地磅数的实际重量结算，若甲方地磅数大于乙方出厂送货单地磅数，甲乙双方需进行核对，并以重量小的一方地磅数为结算。甲方与乙方按照实际供货量结算，甲方按实际中标单价每月与乙方结算一次。</w:t>
      </w:r>
    </w:p>
    <w:p>
      <w:pPr>
        <w:tabs>
          <w:tab w:val="left" w:pos="3060"/>
        </w:tabs>
        <w:spacing w:line="360" w:lineRule="auto"/>
        <w:ind w:firstLine="640" w:firstLineChars="200"/>
        <w:rPr>
          <w:sz w:val="28"/>
          <w:szCs w:val="28"/>
        </w:rPr>
      </w:pPr>
      <w:r>
        <w:rPr>
          <w:rFonts w:hint="eastAsia" w:ascii="仿宋" w:hAnsi="仿宋" w:eastAsia="仿宋"/>
          <w:sz w:val="32"/>
          <w:szCs w:val="32"/>
        </w:rPr>
        <w:t>5、必须使用专用容器装载，汽车运输，包装方式及运输应符合相关法律法规规定要求。</w:t>
      </w:r>
    </w:p>
    <w:p/>
    <w:p>
      <w:pPr>
        <w:ind w:firstLine="643" w:firstLineChars="200"/>
        <w:rPr>
          <w:rFonts w:hint="eastAsia" w:ascii="仿宋" w:hAnsi="仿宋" w:eastAsia="仿宋"/>
          <w:b/>
          <w:sz w:val="32"/>
          <w:szCs w:val="32"/>
        </w:rPr>
      </w:pPr>
    </w:p>
    <w:p>
      <w:pPr>
        <w:ind w:firstLine="643" w:firstLineChars="200"/>
        <w:rPr>
          <w:rFonts w:hint="eastAsia" w:ascii="仿宋" w:hAnsi="仿宋" w:eastAsia="仿宋"/>
          <w:b/>
          <w:sz w:val="32"/>
          <w:szCs w:val="32"/>
        </w:rPr>
      </w:pPr>
    </w:p>
    <w:p>
      <w:pPr>
        <w:pStyle w:val="2"/>
        <w:ind w:left="0" w:leftChars="0" w:firstLine="0" w:firstLineChars="0"/>
        <w:rPr>
          <w:color w:val="auto"/>
          <w:highlight w:val="none"/>
        </w:rPr>
      </w:pPr>
    </w:p>
    <w:p>
      <w:pPr>
        <w:rPr>
          <w:color w:val="auto"/>
          <w:highlight w:val="none"/>
        </w:rPr>
      </w:pPr>
      <w:r>
        <w:rPr>
          <w:color w:val="auto"/>
          <w:highlight w:val="none"/>
        </w:rPr>
        <w:br w:type="page"/>
      </w: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1" w:name="_Toc12135"/>
      <w:bookmarkStart w:id="62" w:name="_Toc1496"/>
      <w:bookmarkStart w:id="63" w:name="_Toc18538"/>
      <w:bookmarkStart w:id="64" w:name="_Toc4680"/>
      <w:bookmarkStart w:id="65" w:name="_Toc29835"/>
      <w:bookmarkStart w:id="66" w:name="_Toc25925"/>
      <w:bookmarkStart w:id="67" w:name="_Toc537"/>
      <w:bookmarkStart w:id="68" w:name="_Toc1284"/>
      <w:bookmarkStart w:id="69" w:name="_Toc23353"/>
      <w:bookmarkStart w:id="70" w:name="_Toc15570"/>
      <w:bookmarkStart w:id="71" w:name="_Toc2333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5" name="直接箭头连接符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GsjB1+w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IQZZxYM&#10;/fHbD9c/33++/f7tx6frXzcfU/z1C6M8idV7LKlmZTfhuEK/CYn5vgkmfYkT22eBDyeB5T4yQZvP&#10;ZvP5jKQXd6nivs4HjC+kMywFFccYQLVdXDlr6S+6MMn6wu4lRupMhXcFqam2rE/wUyIhgFzZkBso&#10;NJ6YoW1zLTqt6kuldarA0G5XOrAdJGfkJ/Ej3L+OpSZrwG44l1ODZzoJ9XNbs3jwJJmlq8LTCEbW&#10;nGlJNytFBAhlBKXPOUmttaUJksSDqCnauvqQtc775II849GxyWZ/rnP1/S1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xrIwdf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6" name="直接箭头连接符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bGrtC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25"/>
        <w:rPr>
          <w:color w:val="auto"/>
          <w:highlight w:val="none"/>
        </w:rPr>
      </w:pPr>
    </w:p>
    <w:p>
      <w:pPr>
        <w:pStyle w:val="4"/>
        <w:rPr>
          <w:color w:val="auto"/>
          <w:highlight w:val="none"/>
        </w:rPr>
      </w:pPr>
      <w:bookmarkStart w:id="72" w:name="_Toc87616386"/>
      <w:bookmarkStart w:id="73" w:name="_Toc1375"/>
      <w:bookmarkStart w:id="74" w:name="_Toc19088"/>
      <w:bookmarkStart w:id="75" w:name="_Toc22501"/>
      <w:bookmarkStart w:id="76" w:name="_Toc12980"/>
      <w:bookmarkStart w:id="77" w:name="_Toc19686"/>
      <w:bookmarkStart w:id="78" w:name="_Toc88209949"/>
      <w:bookmarkStart w:id="79" w:name="_Toc12721"/>
      <w:bookmarkStart w:id="80" w:name="_Toc22797"/>
      <w:bookmarkStart w:id="81" w:name="_Toc13309"/>
      <w:bookmarkStart w:id="82" w:name="_Toc8183"/>
      <w:bookmarkStart w:id="83" w:name="_Toc323"/>
      <w:bookmarkStart w:id="84" w:name="_Toc12968"/>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snapToGrid/>
        <w:spacing w:beforeLines="-2147483648" w:afterLines="-2147483648" w:line="240" w:lineRule="auto"/>
        <w:jc w:val="left"/>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jc w:val="center"/>
        <w:rPr>
          <w:rFonts w:ascii="宋体" w:hAnsi="宋体"/>
          <w:b/>
          <w:sz w:val="52"/>
          <w:szCs w:val="52"/>
          <w:highlight w:val="none"/>
        </w:rPr>
      </w:pPr>
    </w:p>
    <w:p>
      <w:pPr>
        <w:pStyle w:val="2"/>
      </w:pPr>
    </w:p>
    <w:p>
      <w:pPr>
        <w:jc w:val="center"/>
        <w:rPr>
          <w:rFonts w:hint="eastAsia" w:ascii="宋体" w:hAnsi="宋体" w:cs="宋体"/>
          <w:b/>
          <w:bCs/>
          <w:sz w:val="48"/>
          <w:szCs w:val="48"/>
          <w:highlight w:val="none"/>
          <w:lang w:val="en-US" w:eastAsia="zh-CN"/>
        </w:rPr>
      </w:pPr>
      <w:r>
        <w:rPr>
          <w:rFonts w:hint="eastAsia" w:ascii="宋体" w:hAnsi="宋体" w:cs="宋体"/>
          <w:b/>
          <w:bCs/>
          <w:sz w:val="48"/>
          <w:szCs w:val="48"/>
          <w:highlight w:val="none"/>
        </w:rPr>
        <w:t>广州市净水有限公司</w:t>
      </w:r>
      <w:r>
        <w:rPr>
          <w:rFonts w:hint="eastAsia" w:ascii="宋体" w:hAnsi="宋体" w:cs="宋体"/>
          <w:b/>
          <w:bCs/>
          <w:sz w:val="48"/>
          <w:szCs w:val="48"/>
          <w:highlight w:val="none"/>
          <w:u w:val="none"/>
          <w:lang w:val="en-US" w:eastAsia="zh-CN"/>
        </w:rPr>
        <w:t>2023</w:t>
      </w:r>
      <w:r>
        <w:rPr>
          <w:rFonts w:hint="eastAsia" w:ascii="宋体" w:hAnsi="宋体" w:cs="宋体"/>
          <w:b/>
          <w:bCs/>
          <w:sz w:val="48"/>
          <w:szCs w:val="48"/>
          <w:highlight w:val="none"/>
        </w:rPr>
        <w:t>年</w:t>
      </w:r>
      <w:r>
        <w:rPr>
          <w:rFonts w:hint="eastAsia" w:ascii="宋体" w:hAnsi="宋体" w:cs="宋体"/>
          <w:b/>
          <w:bCs/>
          <w:sz w:val="48"/>
          <w:szCs w:val="48"/>
          <w:highlight w:val="none"/>
          <w:lang w:val="en-US" w:eastAsia="zh-CN"/>
        </w:rPr>
        <w:t>草酸</w:t>
      </w:r>
    </w:p>
    <w:p>
      <w:pPr>
        <w:jc w:val="center"/>
        <w:rPr>
          <w:rFonts w:ascii="宋体" w:hAnsi="宋体"/>
          <w:sz w:val="48"/>
          <w:szCs w:val="48"/>
          <w:highlight w:val="none"/>
          <w:u w:val="single"/>
        </w:rPr>
      </w:pPr>
      <w:r>
        <w:rPr>
          <w:rFonts w:hint="eastAsia" w:ascii="宋体" w:hAnsi="宋体" w:cs="宋体"/>
          <w:b/>
          <w:bCs/>
          <w:sz w:val="48"/>
          <w:szCs w:val="48"/>
          <w:highlight w:val="none"/>
        </w:rPr>
        <w:t>采购</w:t>
      </w:r>
      <w:r>
        <w:rPr>
          <w:rFonts w:hint="eastAsia" w:ascii="宋体" w:hAnsi="宋体" w:cs="宋体"/>
          <w:b/>
          <w:bCs/>
          <w:sz w:val="48"/>
          <w:szCs w:val="48"/>
          <w:highlight w:val="none"/>
          <w:lang w:val="en-US" w:eastAsia="zh-CN"/>
        </w:rPr>
        <w:t>项目采购</w:t>
      </w:r>
      <w:r>
        <w:rPr>
          <w:rFonts w:hint="eastAsia" w:ascii="宋体" w:hAnsi="宋体" w:cs="宋体"/>
          <w:b/>
          <w:bCs/>
          <w:sz w:val="48"/>
          <w:szCs w:val="48"/>
          <w:highlight w:val="none"/>
        </w:rPr>
        <w:t>合同</w:t>
      </w: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spacing w:line="480" w:lineRule="auto"/>
        <w:ind w:left="1506" w:hanging="1506" w:hangingChars="500"/>
        <w:rPr>
          <w:rFonts w:hint="eastAsia" w:ascii="宋体" w:hAnsi="宋体" w:cs="宋体"/>
          <w:b/>
          <w:bCs/>
          <w:sz w:val="30"/>
          <w:highlight w:val="none"/>
        </w:rPr>
      </w:pPr>
      <w:r>
        <w:rPr>
          <w:rFonts w:hint="eastAsia" w:ascii="宋体" w:hAnsi="宋体" w:cs="宋体"/>
          <w:b/>
          <w:bCs/>
          <w:sz w:val="30"/>
          <w:highlight w:val="none"/>
        </w:rPr>
        <w:t>项目名称：广州市净水有限公司</w:t>
      </w:r>
      <w:r>
        <w:rPr>
          <w:rFonts w:hint="eastAsia" w:ascii="宋体" w:hAnsi="宋体" w:cs="宋体"/>
          <w:b/>
          <w:bCs/>
          <w:sz w:val="30"/>
          <w:highlight w:val="none"/>
          <w:lang w:val="en-US" w:eastAsia="zh-CN"/>
        </w:rPr>
        <w:t>2023</w:t>
      </w:r>
      <w:r>
        <w:rPr>
          <w:rFonts w:hint="eastAsia" w:ascii="宋体" w:hAnsi="宋体" w:cs="宋体"/>
          <w:b/>
          <w:bCs/>
          <w:sz w:val="30"/>
          <w:highlight w:val="none"/>
        </w:rPr>
        <w:t>年</w:t>
      </w:r>
      <w:r>
        <w:rPr>
          <w:rFonts w:hint="eastAsia" w:ascii="宋体" w:hAnsi="宋体" w:cs="宋体"/>
          <w:b/>
          <w:bCs/>
          <w:sz w:val="30"/>
          <w:highlight w:val="none"/>
          <w:lang w:val="en-US" w:eastAsia="zh-CN"/>
        </w:rPr>
        <w:t>草酸</w:t>
      </w:r>
      <w:r>
        <w:rPr>
          <w:rFonts w:hint="eastAsia" w:ascii="宋体" w:hAnsi="宋体" w:cs="宋体"/>
          <w:b/>
          <w:bCs/>
          <w:sz w:val="30"/>
          <w:highlight w:val="none"/>
        </w:rPr>
        <w:t>采购</w:t>
      </w:r>
      <w:r>
        <w:rPr>
          <w:rFonts w:hint="eastAsia" w:ascii="宋体" w:hAnsi="宋体" w:cs="宋体"/>
          <w:b/>
          <w:bCs/>
          <w:sz w:val="30"/>
          <w:highlight w:val="none"/>
          <w:lang w:val="en-US" w:eastAsia="zh-CN"/>
        </w:rPr>
        <w:t>项目</w:t>
      </w:r>
    </w:p>
    <w:p>
      <w:pPr>
        <w:spacing w:line="480" w:lineRule="auto"/>
        <w:rPr>
          <w:rFonts w:ascii="宋体" w:hAnsi="宋体" w:cs="宋体"/>
          <w:b/>
          <w:bCs/>
          <w:sz w:val="30"/>
          <w:highlight w:val="none"/>
        </w:rPr>
      </w:pPr>
    </w:p>
    <w:p>
      <w:pPr>
        <w:spacing w:line="480" w:lineRule="auto"/>
        <w:rPr>
          <w:rFonts w:ascii="宋体" w:hAnsi="宋体" w:cs="宋体"/>
          <w:b/>
          <w:bCs/>
          <w:sz w:val="30"/>
          <w:szCs w:val="30"/>
          <w:highlight w:val="none"/>
        </w:rPr>
      </w:pPr>
      <w:r>
        <w:rPr>
          <w:rFonts w:hint="eastAsia" w:ascii="宋体" w:hAnsi="宋体" w:cs="宋体"/>
          <w:b/>
          <w:bCs/>
          <w:sz w:val="30"/>
          <w:highlight w:val="none"/>
        </w:rPr>
        <w:t>合同编号：</w:t>
      </w:r>
      <w:r>
        <w:rPr>
          <w:rFonts w:hint="eastAsia" w:ascii="宋体" w:hAnsi="宋体" w:cs="宋体"/>
          <w:b/>
          <w:bCs/>
          <w:sz w:val="30"/>
          <w:szCs w:val="30"/>
          <w:highlight w:val="none"/>
        </w:rPr>
        <w:t>穗净水合[     ]    号</w:t>
      </w:r>
    </w:p>
    <w:p>
      <w:pPr>
        <w:ind w:firstLine="1600" w:firstLineChars="500"/>
        <w:rPr>
          <w:rFonts w:ascii="宋体" w:hAnsi="宋体"/>
          <w:sz w:val="32"/>
          <w:highlight w:val="none"/>
        </w:rPr>
      </w:pPr>
    </w:p>
    <w:p>
      <w:pPr>
        <w:ind w:firstLine="1760" w:firstLineChars="550"/>
        <w:rPr>
          <w:rFonts w:ascii="宋体" w:hAnsi="宋体"/>
          <w:sz w:val="32"/>
          <w:highlight w:val="none"/>
        </w:rPr>
      </w:pPr>
    </w:p>
    <w:p>
      <w:pPr>
        <w:rPr>
          <w:rFonts w:ascii="宋体" w:hAnsi="宋体"/>
          <w:b/>
          <w:bCs/>
          <w:sz w:val="32"/>
          <w:highlight w:val="none"/>
          <w:u w:val="single"/>
        </w:rPr>
      </w:pPr>
      <w:r>
        <w:rPr>
          <w:rFonts w:hint="eastAsia" w:ascii="宋体" w:hAnsi="宋体"/>
          <w:b/>
          <w:bCs/>
          <w:sz w:val="32"/>
          <w:highlight w:val="none"/>
        </w:rPr>
        <w:t>甲方：</w:t>
      </w:r>
      <w:r>
        <w:rPr>
          <w:rFonts w:hint="eastAsia" w:ascii="宋体" w:hAnsi="宋体"/>
          <w:b/>
          <w:bCs/>
          <w:sz w:val="32"/>
          <w:highlight w:val="none"/>
          <w:u w:val="single"/>
        </w:rPr>
        <w:t>广州市净水有限公司</w:t>
      </w:r>
    </w:p>
    <w:p>
      <w:pPr>
        <w:ind w:firstLine="1767" w:firstLineChars="550"/>
        <w:rPr>
          <w:rFonts w:ascii="宋体" w:hAnsi="宋体"/>
          <w:b/>
          <w:bCs/>
          <w:sz w:val="32"/>
          <w:highlight w:val="none"/>
        </w:rPr>
      </w:pPr>
    </w:p>
    <w:p>
      <w:pPr>
        <w:rPr>
          <w:rFonts w:hint="default" w:ascii="宋体" w:hAnsi="宋体" w:eastAsia="宋体"/>
          <w:b/>
          <w:bCs/>
          <w:highlight w:val="none"/>
          <w:u w:val="single"/>
          <w:lang w:val="en-US" w:eastAsia="zh-CN"/>
        </w:rPr>
      </w:pPr>
      <w:r>
        <w:rPr>
          <w:rFonts w:hint="eastAsia" w:ascii="宋体" w:hAnsi="宋体"/>
          <w:b/>
          <w:bCs/>
          <w:sz w:val="32"/>
          <w:highlight w:val="none"/>
        </w:rPr>
        <w:t>乙方：</w:t>
      </w:r>
    </w:p>
    <w:p>
      <w:pPr>
        <w:spacing w:line="520" w:lineRule="exact"/>
        <w:rPr>
          <w:rFonts w:ascii="宋体" w:hAnsi="宋体"/>
          <w:sz w:val="30"/>
          <w:highlight w:val="none"/>
        </w:rPr>
      </w:pPr>
    </w:p>
    <w:p>
      <w:pPr>
        <w:spacing w:line="520" w:lineRule="exact"/>
        <w:rPr>
          <w:rFonts w:ascii="宋体" w:hAnsi="宋体"/>
          <w:sz w:val="30"/>
          <w:highlight w:val="none"/>
        </w:rPr>
      </w:pPr>
    </w:p>
    <w:p>
      <w:pPr>
        <w:spacing w:line="520" w:lineRule="exact"/>
        <w:rPr>
          <w:rFonts w:ascii="宋体" w:hAnsi="宋体"/>
          <w:b/>
          <w:bCs/>
          <w:sz w:val="30"/>
          <w:highlight w:val="none"/>
        </w:rPr>
      </w:pPr>
      <w:r>
        <w:rPr>
          <w:rFonts w:hint="eastAsia" w:ascii="宋体" w:hAnsi="宋体"/>
          <w:b/>
          <w:bCs/>
          <w:sz w:val="30"/>
          <w:highlight w:val="none"/>
        </w:rPr>
        <w:t>签订日期：</w:t>
      </w:r>
      <w:r>
        <w:rPr>
          <w:rFonts w:hint="eastAsia" w:ascii="宋体" w:hAnsi="宋体"/>
          <w:b/>
          <w:bCs/>
          <w:sz w:val="30"/>
          <w:highlight w:val="none"/>
          <w:u w:val="single"/>
        </w:rPr>
        <w:t xml:space="preserve">     </w:t>
      </w:r>
      <w:r>
        <w:rPr>
          <w:rFonts w:hint="eastAsia" w:ascii="宋体" w:hAnsi="宋体"/>
          <w:b/>
          <w:bCs/>
          <w:sz w:val="30"/>
          <w:highlight w:val="none"/>
        </w:rPr>
        <w:t>年</w:t>
      </w:r>
      <w:r>
        <w:rPr>
          <w:rFonts w:hint="eastAsia" w:ascii="宋体" w:hAnsi="宋体"/>
          <w:b/>
          <w:bCs/>
          <w:sz w:val="30"/>
          <w:highlight w:val="none"/>
          <w:u w:val="single"/>
        </w:rPr>
        <w:t xml:space="preserve">    </w:t>
      </w:r>
      <w:r>
        <w:rPr>
          <w:rFonts w:hint="eastAsia" w:ascii="宋体" w:hAnsi="宋体"/>
          <w:b/>
          <w:bCs/>
          <w:sz w:val="30"/>
          <w:highlight w:val="none"/>
        </w:rPr>
        <w:t>月</w:t>
      </w:r>
      <w:r>
        <w:rPr>
          <w:rFonts w:hint="eastAsia" w:ascii="宋体" w:hAnsi="宋体"/>
          <w:b/>
          <w:bCs/>
          <w:sz w:val="30"/>
          <w:highlight w:val="none"/>
          <w:u w:val="single"/>
        </w:rPr>
        <w:t xml:space="preserve">    </w:t>
      </w:r>
      <w:r>
        <w:rPr>
          <w:rFonts w:hint="eastAsia" w:ascii="宋体" w:hAnsi="宋体"/>
          <w:b/>
          <w:bCs/>
          <w:sz w:val="30"/>
          <w:highlight w:val="none"/>
        </w:rPr>
        <w:t>日</w:t>
      </w:r>
    </w:p>
    <w:p>
      <w:pPr>
        <w:pStyle w:val="1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20" w:lineRule="exact"/>
        <w:rPr>
          <w:rFonts w:hint="eastAsia" w:ascii="宋体" w:hAnsi="宋体" w:eastAsia="宋体"/>
          <w:b/>
          <w:bCs/>
          <w:sz w:val="30"/>
          <w:highlight w:val="none"/>
        </w:rPr>
      </w:pPr>
    </w:p>
    <w:p>
      <w:pPr>
        <w:pStyle w:val="17"/>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20" w:lineRule="exact"/>
        <w:rPr>
          <w:rFonts w:ascii="宋体" w:hAnsi="宋体" w:eastAsia="宋体"/>
          <w:b/>
          <w:bCs/>
          <w:sz w:val="24"/>
          <w:szCs w:val="24"/>
          <w:highlight w:val="none"/>
        </w:rPr>
      </w:pPr>
      <w:r>
        <w:rPr>
          <w:rFonts w:hint="eastAsia" w:ascii="宋体" w:hAnsi="宋体" w:eastAsia="宋体"/>
          <w:b/>
          <w:bCs/>
          <w:sz w:val="30"/>
          <w:highlight w:val="none"/>
        </w:rPr>
        <w:t>签约地点：广州市</w:t>
      </w:r>
    </w:p>
    <w:p>
      <w:pPr>
        <w:pStyle w:val="3"/>
        <w:spacing w:line="520" w:lineRule="exact"/>
        <w:ind w:firstLine="588" w:firstLineChars="245"/>
        <w:rPr>
          <w:rFonts w:cs="宋体"/>
          <w:color w:val="auto"/>
          <w:sz w:val="24"/>
          <w:highlight w:val="none"/>
        </w:rPr>
      </w:pPr>
      <w:r>
        <w:rPr>
          <w:rFonts w:hint="eastAsia" w:cs="宋体"/>
          <w:color w:val="auto"/>
          <w:sz w:val="24"/>
          <w:highlight w:val="none"/>
        </w:rPr>
        <w:t>根据《中华人民共和国民法典》及其他有关法律、行政法规，</w:t>
      </w:r>
      <w:r>
        <w:rPr>
          <w:rFonts w:hint="eastAsia" w:cs="宋体"/>
          <w:color w:val="auto"/>
          <w:sz w:val="24"/>
          <w:highlight w:val="none"/>
          <w:u w:val="single"/>
        </w:rPr>
        <w:t>广州市净水有限公司</w:t>
      </w:r>
      <w:r>
        <w:rPr>
          <w:rFonts w:cs="宋体"/>
          <w:color w:val="auto"/>
          <w:sz w:val="24"/>
          <w:highlight w:val="none"/>
        </w:rPr>
        <w:t xml:space="preserve"> </w:t>
      </w:r>
      <w:r>
        <w:rPr>
          <w:rFonts w:hint="eastAsia" w:cs="宋体"/>
          <w:color w:val="auto"/>
          <w:sz w:val="24"/>
          <w:highlight w:val="none"/>
        </w:rPr>
        <w:t>（以下简称“甲方”）</w:t>
      </w:r>
      <w:r>
        <w:rPr>
          <w:rFonts w:hint="eastAsia" w:cs="宋体"/>
          <w:color w:val="auto"/>
          <w:sz w:val="24"/>
          <w:highlight w:val="none"/>
          <w:u w:val="single"/>
        </w:rPr>
        <w:t>与</w:t>
      </w:r>
      <w:r>
        <w:rPr>
          <w:rFonts w:hint="eastAsia" w:cs="宋体"/>
          <w:color w:val="auto"/>
          <w:sz w:val="24"/>
          <w:highlight w:val="none"/>
          <w:u w:val="single"/>
          <w:lang w:val="en-US" w:eastAsia="zh-CN"/>
        </w:rPr>
        <w:t xml:space="preserve">        </w:t>
      </w:r>
      <w:r>
        <w:rPr>
          <w:rFonts w:hint="eastAsia" w:cs="宋体"/>
          <w:color w:val="auto"/>
          <w:sz w:val="24"/>
          <w:highlight w:val="none"/>
        </w:rPr>
        <w:t>（以下简称“乙方”）就</w:t>
      </w:r>
      <w:r>
        <w:rPr>
          <w:rFonts w:cs="宋体"/>
          <w:color w:val="auto"/>
          <w:sz w:val="24"/>
          <w:highlight w:val="none"/>
        </w:rPr>
        <w:t xml:space="preserve"> </w:t>
      </w:r>
      <w:r>
        <w:rPr>
          <w:rFonts w:hint="eastAsia" w:cs="宋体"/>
          <w:color w:val="auto"/>
          <w:sz w:val="24"/>
          <w:highlight w:val="none"/>
          <w:u w:val="single"/>
          <w:lang w:val="en-US" w:eastAsia="zh-CN"/>
        </w:rPr>
        <w:t>草酸</w:t>
      </w:r>
      <w:r>
        <w:rPr>
          <w:rFonts w:hint="eastAsia" w:cs="宋体"/>
          <w:color w:val="auto"/>
          <w:sz w:val="24"/>
          <w:highlight w:val="none"/>
        </w:rPr>
        <w:t>采购和相应技术服务事宜，遵循平等、自愿、公平和诚实信用的原则，双方协商一致，订立本合同。</w:t>
      </w:r>
    </w:p>
    <w:p>
      <w:pPr>
        <w:pStyle w:val="8"/>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第一条</w:t>
      </w:r>
      <w:r>
        <w:rPr>
          <w:rFonts w:hint="eastAsia" w:ascii="宋体" w:hAnsi="宋体" w:cs="宋体"/>
          <w:color w:val="auto"/>
          <w:sz w:val="24"/>
          <w:highlight w:val="none"/>
        </w:rPr>
        <w:t xml:space="preserve"> </w:t>
      </w:r>
      <w:r>
        <w:rPr>
          <w:rFonts w:hint="eastAsia" w:ascii="宋体" w:hAnsi="宋体" w:cs="宋体"/>
          <w:b/>
          <w:bCs/>
          <w:color w:val="auto"/>
          <w:sz w:val="24"/>
          <w:highlight w:val="none"/>
        </w:rPr>
        <w:t>组成合同的文件及优先顺序</w:t>
      </w:r>
    </w:p>
    <w:p>
      <w:pPr>
        <w:tabs>
          <w:tab w:val="left" w:pos="720"/>
        </w:tabs>
        <w:spacing w:line="520" w:lineRule="exact"/>
        <w:ind w:firstLine="480" w:firstLineChars="200"/>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下列文件</w:t>
      </w:r>
      <w:r>
        <w:rPr>
          <w:rFonts w:hint="eastAsia" w:asciiTheme="minorEastAsia" w:hAnsiTheme="minorEastAsia" w:eastAsiaTheme="minorEastAsia"/>
          <w:sz w:val="24"/>
          <w:highlight w:val="none"/>
        </w:rPr>
        <w:t>（如有）</w:t>
      </w:r>
      <w:r>
        <w:rPr>
          <w:rFonts w:hint="eastAsia" w:cs="宋体" w:asciiTheme="minorEastAsia" w:hAnsiTheme="minorEastAsia" w:eastAsiaTheme="minorEastAsia"/>
          <w:bCs/>
          <w:sz w:val="24"/>
          <w:highlight w:val="none"/>
        </w:rPr>
        <w:t>均为本合同的组成部分，可视为能相互说明和补充的，如果合同文件存在歧义或相矛盾的地方，则根据以下次序判断：</w:t>
      </w:r>
    </w:p>
    <w:p>
      <w:pPr>
        <w:spacing w:line="520" w:lineRule="exact"/>
        <w:ind w:firstLine="482"/>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520" w:lineRule="exact"/>
        <w:ind w:firstLine="482"/>
        <w:rPr>
          <w:rFonts w:ascii="宋体" w:hAnsi="宋体" w:cs="宋体"/>
          <w:bCs/>
          <w:sz w:val="24"/>
          <w:highlight w:val="none"/>
        </w:rPr>
      </w:pPr>
      <w:r>
        <w:rPr>
          <w:rFonts w:hint="eastAsia" w:ascii="宋体" w:hAnsi="宋体" w:cs="宋体"/>
          <w:bCs/>
          <w:sz w:val="24"/>
          <w:highlight w:val="none"/>
        </w:rPr>
        <w:t>⑵ 本合同书；</w:t>
      </w:r>
    </w:p>
    <w:p>
      <w:pPr>
        <w:spacing w:line="520" w:lineRule="exact"/>
        <w:ind w:firstLine="482"/>
        <w:rPr>
          <w:rFonts w:ascii="宋体" w:hAnsi="宋体" w:cs="宋体"/>
          <w:bCs/>
          <w:sz w:val="24"/>
          <w:highlight w:val="none"/>
        </w:rPr>
      </w:pPr>
      <w:r>
        <w:rPr>
          <w:rFonts w:hint="eastAsia" w:ascii="宋体" w:hAnsi="宋体" w:cs="宋体"/>
          <w:bCs/>
          <w:sz w:val="24"/>
          <w:highlight w:val="none"/>
        </w:rPr>
        <w:t>⑶ 中标通知书/发包通知书/委托函；</w:t>
      </w:r>
    </w:p>
    <w:p>
      <w:pPr>
        <w:spacing w:line="520" w:lineRule="exact"/>
        <w:ind w:firstLine="482"/>
        <w:rPr>
          <w:rFonts w:ascii="宋体" w:hAnsi="宋体" w:cs="宋体"/>
          <w:bCs/>
          <w:sz w:val="24"/>
          <w:highlight w:val="none"/>
        </w:rPr>
      </w:pPr>
      <w:r>
        <w:rPr>
          <w:rFonts w:hint="eastAsia" w:ascii="宋体" w:hAnsi="宋体" w:cs="宋体"/>
          <w:bCs/>
          <w:sz w:val="24"/>
          <w:highlight w:val="none"/>
        </w:rPr>
        <w:t>⑷ 招标文件/询价文件；</w:t>
      </w:r>
    </w:p>
    <w:p>
      <w:pPr>
        <w:spacing w:line="520" w:lineRule="exact"/>
        <w:ind w:firstLine="482"/>
        <w:rPr>
          <w:rFonts w:ascii="宋体" w:hAnsi="宋体" w:cs="宋体"/>
          <w:bCs/>
          <w:sz w:val="24"/>
          <w:highlight w:val="none"/>
        </w:rPr>
      </w:pPr>
      <w:r>
        <w:rPr>
          <w:rFonts w:hint="eastAsia" w:ascii="宋体" w:hAnsi="宋体" w:cs="宋体"/>
          <w:bCs/>
          <w:sz w:val="24"/>
          <w:highlight w:val="none"/>
        </w:rPr>
        <w:t>⑸ 投标文件/响应文件；</w:t>
      </w:r>
    </w:p>
    <w:p>
      <w:pPr>
        <w:spacing w:line="520" w:lineRule="exact"/>
        <w:ind w:firstLine="482"/>
        <w:rPr>
          <w:rFonts w:ascii="宋体" w:hAnsi="宋体" w:cs="宋体"/>
          <w:bCs/>
          <w:sz w:val="24"/>
          <w:highlight w:val="none"/>
        </w:rPr>
      </w:pPr>
      <w:r>
        <w:rPr>
          <w:rFonts w:hint="eastAsia" w:ascii="宋体" w:hAnsi="宋体" w:cs="宋体"/>
          <w:bCs/>
          <w:sz w:val="24"/>
          <w:highlight w:val="none"/>
        </w:rPr>
        <w:t>⑹ 标准、规范及有关技术性文件；</w:t>
      </w:r>
    </w:p>
    <w:p>
      <w:pPr>
        <w:spacing w:line="520" w:lineRule="exact"/>
        <w:ind w:firstLine="482"/>
        <w:rPr>
          <w:rFonts w:ascii="宋体" w:hAnsi="宋体" w:cs="宋体"/>
          <w:bCs/>
          <w:sz w:val="24"/>
          <w:highlight w:val="none"/>
        </w:rPr>
      </w:pPr>
      <w:r>
        <w:rPr>
          <w:rFonts w:hint="eastAsia" w:ascii="宋体" w:hAnsi="宋体" w:cs="宋体"/>
          <w:bCs/>
          <w:sz w:val="24"/>
          <w:highlight w:val="none"/>
        </w:rPr>
        <w:t xml:space="preserve">⑺ </w:t>
      </w:r>
      <w:r>
        <w:rPr>
          <w:rFonts w:hint="eastAsia" w:ascii="宋体" w:hAnsi="宋体" w:cs="宋体"/>
          <w:sz w:val="24"/>
          <w:highlight w:val="none"/>
        </w:rPr>
        <w:t>工程报价单</w:t>
      </w:r>
      <w:r>
        <w:rPr>
          <w:rFonts w:hint="eastAsia" w:ascii="宋体" w:hAnsi="宋体" w:cs="宋体"/>
          <w:bCs/>
          <w:sz w:val="24"/>
          <w:highlight w:val="none"/>
        </w:rPr>
        <w:t>；</w:t>
      </w:r>
    </w:p>
    <w:p>
      <w:pPr>
        <w:spacing w:line="520" w:lineRule="exact"/>
        <w:ind w:firstLine="482"/>
        <w:rPr>
          <w:rFonts w:ascii="宋体" w:hAnsi="宋体" w:cs="宋体"/>
          <w:b/>
          <w:sz w:val="24"/>
          <w:highlight w:val="none"/>
        </w:rPr>
      </w:pPr>
      <w:r>
        <w:rPr>
          <w:rFonts w:hint="eastAsia" w:ascii="宋体" w:hAnsi="宋体" w:cs="宋体"/>
          <w:bCs/>
          <w:sz w:val="24"/>
          <w:highlight w:val="none"/>
        </w:rPr>
        <w:t>⑻ 本合同其他附件</w:t>
      </w:r>
      <w:r>
        <w:rPr>
          <w:rFonts w:hint="eastAsia" w:ascii="宋体" w:hAnsi="宋体" w:cs="宋体"/>
          <w:sz w:val="24"/>
          <w:highlight w:val="none"/>
        </w:rPr>
        <w:t>；</w:t>
      </w:r>
    </w:p>
    <w:p>
      <w:pPr>
        <w:spacing w:line="520" w:lineRule="exact"/>
        <w:rPr>
          <w:rFonts w:ascii="宋体" w:hAnsi="宋体" w:cs="宋体"/>
          <w:b/>
          <w:sz w:val="24"/>
          <w:highlight w:val="none"/>
        </w:rPr>
      </w:pPr>
      <w:r>
        <w:rPr>
          <w:rFonts w:hint="eastAsia" w:ascii="宋体" w:hAnsi="宋体" w:cs="宋体"/>
          <w:b/>
          <w:sz w:val="24"/>
          <w:highlight w:val="none"/>
        </w:rPr>
        <w:tab/>
      </w:r>
      <w:r>
        <w:rPr>
          <w:rFonts w:hint="eastAsia" w:ascii="宋体" w:hAnsi="宋体" w:cs="宋体"/>
          <w:b/>
          <w:sz w:val="24"/>
          <w:highlight w:val="none"/>
        </w:rPr>
        <w:t>第二条 货物信息</w:t>
      </w:r>
    </w:p>
    <w:p>
      <w:pPr>
        <w:spacing w:line="520" w:lineRule="exact"/>
        <w:ind w:firstLine="480" w:firstLineChars="200"/>
        <w:rPr>
          <w:rFonts w:ascii="宋体" w:hAnsi="宋体" w:cs="宋体"/>
          <w:b/>
          <w:sz w:val="24"/>
          <w:highlight w:val="none"/>
        </w:rPr>
      </w:pPr>
      <w:r>
        <w:rPr>
          <w:rFonts w:hint="eastAsia" w:ascii="宋体" w:hAnsi="宋体" w:cs="宋体"/>
          <w:sz w:val="24"/>
          <w:highlight w:val="none"/>
        </w:rPr>
        <w:t>2.1合同标的</w:t>
      </w:r>
    </w:p>
    <w:tbl>
      <w:tblPr>
        <w:tblStyle w:val="19"/>
        <w:tblpPr w:leftFromText="180" w:rightFromText="180" w:vertAnchor="text" w:horzAnchor="page" w:tblpX="971" w:tblpY="554"/>
        <w:tblOverlap w:val="never"/>
        <w:tblW w:w="9955" w:type="dxa"/>
        <w:tblInd w:w="0" w:type="dxa"/>
        <w:tblLayout w:type="fixed"/>
        <w:tblCellMar>
          <w:top w:w="0" w:type="dxa"/>
          <w:left w:w="108" w:type="dxa"/>
          <w:bottom w:w="0" w:type="dxa"/>
          <w:right w:w="108" w:type="dxa"/>
        </w:tblCellMar>
      </w:tblPr>
      <w:tblGrid>
        <w:gridCol w:w="680"/>
        <w:gridCol w:w="828"/>
        <w:gridCol w:w="797"/>
        <w:gridCol w:w="1000"/>
        <w:gridCol w:w="833"/>
        <w:gridCol w:w="764"/>
        <w:gridCol w:w="931"/>
        <w:gridCol w:w="736"/>
        <w:gridCol w:w="931"/>
        <w:gridCol w:w="1209"/>
        <w:gridCol w:w="1246"/>
      </w:tblGrid>
      <w:tr>
        <w:trPr>
          <w:trHeight w:val="261" w:hRule="atLeast"/>
        </w:trPr>
        <w:tc>
          <w:tcPr>
            <w:tcW w:w="680" w:type="dxa"/>
            <w:vMerge w:val="restart"/>
            <w:tcBorders>
              <w:top w:val="single" w:color="000000" w:sz="2" w:space="0"/>
              <w:left w:val="single" w:color="000000" w:sz="2" w:space="0"/>
              <w:bottom w:val="nil"/>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r>
              <w:rPr>
                <w:rFonts w:hint="eastAsia" w:ascii="宋体" w:hAnsi="宋体" w:cs="宋体"/>
                <w:b/>
                <w:bCs/>
                <w:kern w:val="0"/>
                <w:sz w:val="24"/>
                <w:highlight w:val="none"/>
                <w:lang w:val="zh-CN"/>
              </w:rPr>
              <w:t>序号</w:t>
            </w:r>
          </w:p>
        </w:tc>
        <w:tc>
          <w:tcPr>
            <w:tcW w:w="828" w:type="dxa"/>
            <w:vMerge w:val="restart"/>
            <w:tcBorders>
              <w:top w:val="single" w:color="000000" w:sz="2" w:space="0"/>
              <w:left w:val="single" w:color="000000" w:sz="2" w:space="0"/>
              <w:bottom w:val="nil"/>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r>
              <w:rPr>
                <w:rFonts w:hint="eastAsia" w:ascii="宋体" w:hAnsi="宋体" w:cs="宋体"/>
                <w:b/>
                <w:bCs/>
                <w:kern w:val="0"/>
                <w:sz w:val="24"/>
                <w:highlight w:val="none"/>
                <w:lang w:val="zh-CN"/>
              </w:rPr>
              <w:t>名称</w:t>
            </w:r>
          </w:p>
        </w:tc>
        <w:tc>
          <w:tcPr>
            <w:tcW w:w="797" w:type="dxa"/>
            <w:vMerge w:val="restart"/>
            <w:tcBorders>
              <w:top w:val="single" w:color="000000" w:sz="2" w:space="0"/>
              <w:left w:val="single" w:color="000000" w:sz="2" w:space="0"/>
              <w:bottom w:val="nil"/>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r>
              <w:rPr>
                <w:rFonts w:hint="eastAsia" w:ascii="宋体" w:hAnsi="宋体" w:cs="宋体"/>
                <w:b/>
                <w:bCs/>
                <w:kern w:val="0"/>
                <w:sz w:val="24"/>
                <w:highlight w:val="none"/>
                <w:lang w:val="zh-CN"/>
              </w:rPr>
              <w:t>型号</w:t>
            </w:r>
          </w:p>
        </w:tc>
        <w:tc>
          <w:tcPr>
            <w:tcW w:w="1000" w:type="dxa"/>
            <w:vMerge w:val="restart"/>
            <w:tcBorders>
              <w:top w:val="single" w:color="000000" w:sz="2" w:space="0"/>
              <w:left w:val="single" w:color="000000" w:sz="2" w:space="0"/>
              <w:bottom w:val="nil"/>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r>
              <w:rPr>
                <w:rFonts w:hint="eastAsia" w:ascii="宋体" w:hAnsi="宋体" w:cs="宋体"/>
                <w:b/>
                <w:bCs/>
                <w:kern w:val="0"/>
                <w:sz w:val="24"/>
                <w:highlight w:val="none"/>
                <w:lang w:val="zh-CN"/>
              </w:rPr>
              <w:t>规格</w:t>
            </w:r>
          </w:p>
        </w:tc>
        <w:tc>
          <w:tcPr>
            <w:tcW w:w="833" w:type="dxa"/>
            <w:vMerge w:val="restart"/>
            <w:tcBorders>
              <w:top w:val="single" w:color="000000" w:sz="2" w:space="0"/>
              <w:left w:val="single" w:color="000000" w:sz="2" w:space="0"/>
              <w:bottom w:val="nil"/>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r>
              <w:rPr>
                <w:rFonts w:hint="eastAsia" w:ascii="宋体" w:hAnsi="宋体" w:cs="宋体"/>
                <w:b/>
                <w:bCs/>
                <w:kern w:val="0"/>
                <w:sz w:val="24"/>
                <w:highlight w:val="none"/>
                <w:lang w:val="zh-CN"/>
              </w:rPr>
              <w:t>数量（</w:t>
            </w:r>
            <w:r>
              <w:rPr>
                <w:rFonts w:hint="eastAsia" w:ascii="宋体" w:hAnsi="宋体" w:cs="宋体"/>
                <w:b/>
                <w:bCs/>
                <w:kern w:val="0"/>
                <w:sz w:val="24"/>
                <w:highlight w:val="none"/>
                <w:lang w:val="en-US" w:eastAsia="zh-CN"/>
              </w:rPr>
              <w:t>吨</w:t>
            </w:r>
            <w:r>
              <w:rPr>
                <w:rFonts w:hint="eastAsia" w:ascii="宋体" w:hAnsi="宋体" w:cs="宋体"/>
                <w:b/>
                <w:bCs/>
                <w:kern w:val="0"/>
                <w:sz w:val="24"/>
                <w:highlight w:val="none"/>
                <w:lang w:val="zh-CN"/>
              </w:rPr>
              <w:t>）</w:t>
            </w:r>
          </w:p>
        </w:tc>
        <w:tc>
          <w:tcPr>
            <w:tcW w:w="169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r>
              <w:rPr>
                <w:rFonts w:hint="eastAsia" w:ascii="宋体" w:hAnsi="宋体" w:cs="宋体"/>
                <w:b/>
                <w:bCs/>
                <w:kern w:val="0"/>
                <w:sz w:val="24"/>
                <w:highlight w:val="none"/>
                <w:lang w:val="zh-CN"/>
              </w:rPr>
              <w:t>单价（元</w:t>
            </w:r>
            <w:r>
              <w:rPr>
                <w:rFonts w:hint="eastAsia" w:ascii="宋体" w:hAnsi="宋体" w:cs="宋体"/>
                <w:b/>
                <w:bCs/>
                <w:kern w:val="0"/>
                <w:sz w:val="24"/>
                <w:highlight w:val="none"/>
                <w:lang w:val="en-US" w:eastAsia="zh-CN"/>
              </w:rPr>
              <w:t>/吨</w:t>
            </w:r>
            <w:r>
              <w:rPr>
                <w:rFonts w:hint="eastAsia" w:ascii="宋体" w:hAnsi="宋体" w:cs="宋体"/>
                <w:b/>
                <w:bCs/>
                <w:kern w:val="0"/>
                <w:sz w:val="24"/>
                <w:highlight w:val="none"/>
                <w:lang w:val="zh-CN"/>
              </w:rPr>
              <w:t>）</w:t>
            </w:r>
          </w:p>
        </w:tc>
        <w:tc>
          <w:tcPr>
            <w:tcW w:w="166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r>
              <w:rPr>
                <w:rFonts w:hint="eastAsia" w:ascii="宋体" w:hAnsi="宋体" w:cs="宋体"/>
                <w:b/>
                <w:bCs/>
                <w:kern w:val="0"/>
                <w:sz w:val="24"/>
                <w:highlight w:val="none"/>
                <w:lang w:val="zh-CN"/>
              </w:rPr>
              <w:t>金额（万元）</w:t>
            </w:r>
          </w:p>
        </w:tc>
        <w:tc>
          <w:tcPr>
            <w:tcW w:w="1209" w:type="dxa"/>
            <w:vMerge w:val="restart"/>
            <w:tcBorders>
              <w:top w:val="single" w:color="000000" w:sz="2" w:space="0"/>
              <w:left w:val="single" w:color="000000" w:sz="2" w:space="0"/>
              <w:bottom w:val="nil"/>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r>
              <w:rPr>
                <w:rFonts w:hint="eastAsia" w:ascii="宋体" w:hAnsi="宋体" w:cs="宋体"/>
                <w:b/>
                <w:bCs/>
                <w:kern w:val="0"/>
                <w:sz w:val="24"/>
                <w:highlight w:val="none"/>
                <w:lang w:val="zh-CN"/>
              </w:rPr>
              <w:t>交货期</w:t>
            </w:r>
          </w:p>
        </w:tc>
        <w:tc>
          <w:tcPr>
            <w:tcW w:w="1246" w:type="dxa"/>
            <w:tcBorders>
              <w:top w:val="single" w:color="000000" w:sz="2" w:space="0"/>
              <w:left w:val="single" w:color="000000" w:sz="2" w:space="0"/>
              <w:bottom w:val="nil"/>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r>
              <w:rPr>
                <w:rFonts w:hint="eastAsia" w:ascii="宋体" w:hAnsi="宋体" w:cs="宋体"/>
                <w:b/>
                <w:bCs/>
                <w:kern w:val="0"/>
                <w:sz w:val="24"/>
                <w:highlight w:val="none"/>
                <w:lang w:val="zh-CN"/>
              </w:rPr>
              <w:t>备注</w:t>
            </w:r>
          </w:p>
        </w:tc>
      </w:tr>
      <w:tr>
        <w:tblPrEx>
          <w:tblCellMar>
            <w:top w:w="0" w:type="dxa"/>
            <w:left w:w="108" w:type="dxa"/>
            <w:bottom w:w="0" w:type="dxa"/>
            <w:right w:w="108" w:type="dxa"/>
          </w:tblCellMar>
        </w:tblPrEx>
        <w:trPr>
          <w:trHeight w:val="261" w:hRule="atLeast"/>
        </w:trPr>
        <w:tc>
          <w:tcPr>
            <w:tcW w:w="680" w:type="dxa"/>
            <w:vMerge w:val="continue"/>
            <w:tcBorders>
              <w:top w:val="nil"/>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sz w:val="24"/>
                <w:highlight w:val="none"/>
              </w:rPr>
            </w:pPr>
          </w:p>
        </w:tc>
        <w:tc>
          <w:tcPr>
            <w:tcW w:w="828" w:type="dxa"/>
            <w:vMerge w:val="continue"/>
            <w:tcBorders>
              <w:top w:val="nil"/>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sz w:val="24"/>
                <w:highlight w:val="none"/>
              </w:rPr>
            </w:pPr>
          </w:p>
        </w:tc>
        <w:tc>
          <w:tcPr>
            <w:tcW w:w="797" w:type="dxa"/>
            <w:vMerge w:val="continue"/>
            <w:tcBorders>
              <w:top w:val="nil"/>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sz w:val="24"/>
                <w:highlight w:val="none"/>
              </w:rPr>
            </w:pPr>
          </w:p>
        </w:tc>
        <w:tc>
          <w:tcPr>
            <w:tcW w:w="1000" w:type="dxa"/>
            <w:vMerge w:val="continue"/>
            <w:tcBorders>
              <w:top w:val="nil"/>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sz w:val="24"/>
                <w:highlight w:val="none"/>
              </w:rPr>
            </w:pPr>
          </w:p>
        </w:tc>
        <w:tc>
          <w:tcPr>
            <w:tcW w:w="833" w:type="dxa"/>
            <w:vMerge w:val="continue"/>
            <w:tcBorders>
              <w:top w:val="nil"/>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sz w:val="24"/>
                <w:highlight w:val="none"/>
              </w:rPr>
            </w:pPr>
          </w:p>
        </w:tc>
        <w:tc>
          <w:tcPr>
            <w:tcW w:w="7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r>
              <w:rPr>
                <w:rFonts w:hint="eastAsia" w:ascii="宋体" w:hAnsi="宋体" w:cs="宋体"/>
                <w:b/>
                <w:bCs/>
                <w:kern w:val="0"/>
                <w:sz w:val="24"/>
                <w:highlight w:val="none"/>
                <w:lang w:val="zh-CN"/>
              </w:rPr>
              <w:t>含税</w:t>
            </w:r>
          </w:p>
        </w:tc>
        <w:tc>
          <w:tcPr>
            <w:tcW w:w="9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r>
              <w:rPr>
                <w:rFonts w:hint="eastAsia" w:ascii="宋体" w:hAnsi="宋体" w:cs="宋体"/>
                <w:b/>
                <w:bCs/>
                <w:kern w:val="0"/>
                <w:sz w:val="24"/>
                <w:highlight w:val="none"/>
                <w:lang w:val="zh-CN"/>
              </w:rPr>
              <w:t>不含税</w:t>
            </w:r>
          </w:p>
        </w:tc>
        <w:tc>
          <w:tcPr>
            <w:tcW w:w="73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r>
              <w:rPr>
                <w:rFonts w:hint="eastAsia" w:ascii="宋体" w:hAnsi="宋体" w:cs="宋体"/>
                <w:b/>
                <w:bCs/>
                <w:kern w:val="0"/>
                <w:sz w:val="24"/>
                <w:highlight w:val="none"/>
                <w:lang w:val="zh-CN"/>
              </w:rPr>
              <w:t>含税</w:t>
            </w:r>
          </w:p>
        </w:tc>
        <w:tc>
          <w:tcPr>
            <w:tcW w:w="9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r>
              <w:rPr>
                <w:rFonts w:hint="eastAsia" w:ascii="宋体" w:hAnsi="宋体" w:cs="宋体"/>
                <w:b/>
                <w:bCs/>
                <w:kern w:val="0"/>
                <w:sz w:val="24"/>
                <w:highlight w:val="none"/>
                <w:lang w:val="zh-CN"/>
              </w:rPr>
              <w:t>不含税</w:t>
            </w:r>
          </w:p>
        </w:tc>
        <w:tc>
          <w:tcPr>
            <w:tcW w:w="1209" w:type="dxa"/>
            <w:vMerge w:val="continue"/>
            <w:tcBorders>
              <w:top w:val="nil"/>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p>
        </w:tc>
        <w:tc>
          <w:tcPr>
            <w:tcW w:w="1246" w:type="dxa"/>
            <w:tcBorders>
              <w:top w:val="nil"/>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20" w:lineRule="exact"/>
              <w:jc w:val="both"/>
              <w:rPr>
                <w:rFonts w:ascii="宋体" w:hAnsi="宋体" w:cs="宋体"/>
                <w:b/>
                <w:bCs/>
                <w:kern w:val="0"/>
                <w:sz w:val="24"/>
                <w:highlight w:val="none"/>
                <w:lang w:val="zh-CN"/>
              </w:rPr>
            </w:pPr>
          </w:p>
        </w:tc>
      </w:tr>
      <w:tr>
        <w:tblPrEx>
          <w:tblCellMar>
            <w:top w:w="0" w:type="dxa"/>
            <w:left w:w="108" w:type="dxa"/>
            <w:bottom w:w="0" w:type="dxa"/>
            <w:right w:w="108" w:type="dxa"/>
          </w:tblCellMar>
        </w:tblPrEx>
        <w:trPr>
          <w:trHeight w:val="1305" w:hRule="atLeast"/>
        </w:trPr>
        <w:tc>
          <w:tcPr>
            <w:tcW w:w="680"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520" w:lineRule="exact"/>
              <w:jc w:val="left"/>
              <w:rPr>
                <w:rFonts w:ascii="宋体" w:hAnsi="宋体" w:cs="宋体"/>
                <w:kern w:val="0"/>
                <w:sz w:val="24"/>
                <w:highlight w:val="none"/>
                <w:lang w:val="zh-CN"/>
              </w:rPr>
            </w:pPr>
            <w:r>
              <w:rPr>
                <w:rFonts w:ascii="宋体" w:hAnsi="宋体" w:cs="宋体"/>
                <w:kern w:val="0"/>
                <w:sz w:val="24"/>
                <w:highlight w:val="none"/>
                <w:lang w:val="zh-CN"/>
              </w:rPr>
              <w:t>1</w:t>
            </w:r>
          </w:p>
        </w:tc>
        <w:tc>
          <w:tcPr>
            <w:tcW w:w="828"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520" w:lineRule="exact"/>
              <w:jc w:val="left"/>
              <w:rPr>
                <w:rFonts w:hint="eastAsia" w:ascii="宋体" w:hAnsi="宋体" w:eastAsia="宋体" w:cs="宋体"/>
                <w:kern w:val="0"/>
                <w:sz w:val="24"/>
                <w:highlight w:val="none"/>
                <w:lang w:val="en-US" w:eastAsia="zh-CN"/>
              </w:rPr>
            </w:pPr>
            <w:r>
              <w:rPr>
                <w:rFonts w:hint="eastAsia" w:cs="宋体"/>
                <w:color w:val="auto"/>
                <w:sz w:val="24"/>
                <w:highlight w:val="none"/>
                <w:u w:val="single"/>
                <w:lang w:val="en-US" w:eastAsia="zh-CN"/>
              </w:rPr>
              <w:t xml:space="preserve">草酸 </w:t>
            </w:r>
          </w:p>
        </w:tc>
        <w:tc>
          <w:tcPr>
            <w:tcW w:w="797"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520" w:lineRule="exact"/>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固态</w:t>
            </w:r>
          </w:p>
        </w:tc>
        <w:tc>
          <w:tcPr>
            <w:tcW w:w="1000"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520" w:lineRule="exact"/>
              <w:jc w:val="left"/>
              <w:rPr>
                <w:rFonts w:hint="default" w:ascii="宋体" w:hAnsi="宋体" w:cs="宋体" w:eastAsiaTheme="minorEastAsia"/>
                <w:kern w:val="0"/>
                <w:sz w:val="24"/>
                <w:highlight w:val="none"/>
                <w:lang w:val="en-US" w:eastAsia="zh-CN"/>
              </w:rPr>
            </w:pPr>
          </w:p>
        </w:tc>
        <w:tc>
          <w:tcPr>
            <w:tcW w:w="833"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520" w:lineRule="exact"/>
              <w:jc w:val="left"/>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150</w:t>
            </w:r>
          </w:p>
        </w:tc>
        <w:tc>
          <w:tcPr>
            <w:tcW w:w="764"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520" w:lineRule="exact"/>
              <w:jc w:val="left"/>
              <w:rPr>
                <w:rFonts w:hint="default" w:ascii="宋体" w:hAnsi="宋体" w:eastAsia="宋体" w:cs="宋体"/>
                <w:kern w:val="0"/>
                <w:sz w:val="24"/>
                <w:highlight w:val="none"/>
                <w:lang w:val="en-US" w:eastAsia="zh-CN"/>
              </w:rPr>
            </w:pPr>
          </w:p>
        </w:tc>
        <w:tc>
          <w:tcPr>
            <w:tcW w:w="931"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520" w:lineRule="exact"/>
              <w:jc w:val="left"/>
              <w:rPr>
                <w:rFonts w:hint="default" w:ascii="宋体" w:hAnsi="宋体" w:eastAsia="宋体" w:cs="宋体"/>
                <w:kern w:val="0"/>
                <w:sz w:val="24"/>
                <w:highlight w:val="none"/>
                <w:lang w:val="en-US" w:eastAsia="zh-CN"/>
              </w:rPr>
            </w:pPr>
          </w:p>
        </w:tc>
        <w:tc>
          <w:tcPr>
            <w:tcW w:w="736"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520" w:lineRule="exact"/>
              <w:jc w:val="left"/>
              <w:rPr>
                <w:rFonts w:hint="default" w:ascii="宋体" w:hAnsi="宋体" w:eastAsia="宋体" w:cs="宋体"/>
                <w:kern w:val="0"/>
                <w:sz w:val="24"/>
                <w:highlight w:val="none"/>
                <w:lang w:val="en-US" w:eastAsia="zh-CN"/>
              </w:rPr>
            </w:pPr>
          </w:p>
        </w:tc>
        <w:tc>
          <w:tcPr>
            <w:tcW w:w="931"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520" w:lineRule="exact"/>
              <w:jc w:val="left"/>
              <w:rPr>
                <w:rFonts w:hint="default" w:ascii="宋体" w:hAnsi="宋体" w:eastAsia="宋体" w:cs="宋体"/>
                <w:kern w:val="0"/>
                <w:sz w:val="24"/>
                <w:highlight w:val="none"/>
                <w:lang w:val="en-US" w:eastAsia="zh-CN"/>
              </w:rPr>
            </w:pPr>
          </w:p>
        </w:tc>
        <w:tc>
          <w:tcPr>
            <w:tcW w:w="1209" w:type="dxa"/>
            <w:tcBorders>
              <w:top w:val="single" w:color="000000" w:sz="2" w:space="0"/>
              <w:left w:val="single" w:color="000000" w:sz="2" w:space="0"/>
              <w:bottom w:val="single" w:color="000000" w:sz="2" w:space="0"/>
              <w:right w:val="single" w:color="000000" w:sz="2" w:space="0"/>
            </w:tcBorders>
            <w:shd w:val="clear" w:color="000000" w:fill="FFFFFF"/>
            <w:vAlign w:val="top"/>
          </w:tcPr>
          <w:p>
            <w:pPr>
              <w:autoSpaceDE w:val="0"/>
              <w:autoSpaceDN w:val="0"/>
              <w:adjustRightInd w:val="0"/>
              <w:spacing w:line="520" w:lineRule="exact"/>
              <w:jc w:val="left"/>
              <w:rPr>
                <w:rFonts w:hint="default" w:ascii="宋体" w:hAnsi="宋体" w:eastAsia="宋体" w:cs="宋体"/>
                <w:kern w:val="0"/>
                <w:sz w:val="24"/>
                <w:highlight w:val="none"/>
                <w:lang w:val="en-US" w:eastAsia="zh-CN"/>
              </w:rPr>
            </w:pPr>
          </w:p>
        </w:tc>
        <w:tc>
          <w:tcPr>
            <w:tcW w:w="1246" w:type="dxa"/>
            <w:tcBorders>
              <w:top w:val="single" w:color="000000" w:sz="2" w:space="0"/>
              <w:left w:val="single" w:color="000000" w:sz="2" w:space="0"/>
              <w:bottom w:val="single" w:color="000000" w:sz="2" w:space="0"/>
              <w:right w:val="single" w:color="000000" w:sz="2" w:space="0"/>
            </w:tcBorders>
            <w:shd w:val="clear" w:color="000000" w:fill="FFFFFF"/>
            <w:vAlign w:val="top"/>
          </w:tcPr>
          <w:p>
            <w:pPr>
              <w:spacing w:line="520" w:lineRule="exact"/>
              <w:jc w:val="left"/>
              <w:rPr>
                <w:rFonts w:ascii="宋体" w:hAnsi="宋体" w:cs="宋体"/>
                <w:sz w:val="24"/>
                <w:highlight w:val="none"/>
              </w:rPr>
            </w:pPr>
            <w:r>
              <w:rPr>
                <w:rFonts w:hint="eastAsia" w:ascii="宋体" w:hAnsi="宋体" w:cs="宋体"/>
                <w:sz w:val="24"/>
                <w:highlight w:val="none"/>
              </w:rPr>
              <w:sym w:font="Wingdings 2" w:char="0052"/>
            </w:r>
            <w:r>
              <w:rPr>
                <w:rFonts w:hint="eastAsia" w:ascii="宋体" w:hAnsi="宋体" w:cs="宋体"/>
                <w:sz w:val="24"/>
                <w:highlight w:val="none"/>
              </w:rPr>
              <w:t>无；</w:t>
            </w:r>
          </w:p>
          <w:p>
            <w:pPr>
              <w:autoSpaceDE w:val="0"/>
              <w:autoSpaceDN w:val="0"/>
              <w:adjustRightInd w:val="0"/>
              <w:spacing w:line="520" w:lineRule="exact"/>
              <w:jc w:val="left"/>
              <w:rPr>
                <w:rFonts w:ascii="宋体" w:hAnsi="宋体" w:cs="宋体"/>
                <w:kern w:val="0"/>
                <w:sz w:val="24"/>
                <w:highlight w:val="none"/>
                <w:lang w:val="zh-CN"/>
              </w:rPr>
            </w:pPr>
            <w:r>
              <w:rPr>
                <w:rFonts w:hint="eastAsia" w:ascii="宋体" w:hAnsi="宋体" w:cs="宋体"/>
                <w:sz w:val="24"/>
                <w:highlight w:val="none"/>
              </w:rPr>
              <w:sym w:font="Wingdings 2" w:char="00A3"/>
            </w:r>
            <w:r>
              <w:rPr>
                <w:rFonts w:hint="eastAsia" w:ascii="宋体" w:hAnsi="宋体" w:cs="宋体"/>
                <w:sz w:val="24"/>
                <w:highlight w:val="none"/>
              </w:rPr>
              <w:t>按折算纯干污泥结算</w:t>
            </w:r>
          </w:p>
        </w:tc>
      </w:tr>
    </w:tbl>
    <w:p>
      <w:pPr>
        <w:spacing w:line="520" w:lineRule="exact"/>
        <w:ind w:firstLine="480" w:firstLineChars="200"/>
        <w:rPr>
          <w:rFonts w:ascii="宋体" w:hAnsi="宋体" w:cs="宋体"/>
          <w:sz w:val="24"/>
          <w:highlight w:val="none"/>
        </w:rPr>
      </w:pPr>
      <w:r>
        <w:rPr>
          <w:rFonts w:hint="eastAsia" w:ascii="宋体" w:hAnsi="宋体" w:cs="宋体"/>
          <w:sz w:val="24"/>
          <w:highlight w:val="none"/>
        </w:rPr>
        <w:t>2.2供货范围必须符合</w:t>
      </w:r>
      <w:r>
        <w:rPr>
          <w:rFonts w:hint="eastAsia" w:ascii="宋体" w:hAnsi="宋体" w:cs="宋体"/>
          <w:sz w:val="24"/>
          <w:highlight w:val="none"/>
          <w:u w:val="single"/>
        </w:rPr>
        <w:t>招标文件/询价文件</w:t>
      </w:r>
      <w:r>
        <w:rPr>
          <w:rFonts w:hint="eastAsia" w:ascii="宋体" w:hAnsi="宋体" w:cs="宋体"/>
          <w:sz w:val="24"/>
          <w:highlight w:val="none"/>
        </w:rPr>
        <w:t>的要求, 交货地点和日期要求如下：</w:t>
      </w:r>
    </w:p>
    <w:p>
      <w:pPr>
        <w:pStyle w:val="7"/>
        <w:spacing w:line="520" w:lineRule="exact"/>
        <w:ind w:firstLine="540" w:firstLineChars="225"/>
        <w:jc w:val="left"/>
        <w:rPr>
          <w:rFonts w:ascii="宋体" w:hAnsi="宋体" w:cs="宋体"/>
          <w:sz w:val="24"/>
          <w:szCs w:val="24"/>
          <w:highlight w:val="none"/>
          <w:u w:val="single"/>
        </w:rPr>
      </w:pPr>
      <w:r>
        <w:rPr>
          <w:rFonts w:hint="eastAsia" w:ascii="宋体" w:hAnsi="宋体" w:cs="宋体"/>
          <w:sz w:val="24"/>
          <w:szCs w:val="24"/>
          <w:highlight w:val="none"/>
        </w:rPr>
        <w:t>2.2.1交货地点：甲方辖下分/子公司，具体以甲方通知为准。</w:t>
      </w:r>
    </w:p>
    <w:p>
      <w:pPr>
        <w:pStyle w:val="7"/>
        <w:spacing w:line="520" w:lineRule="exact"/>
        <w:ind w:firstLine="540" w:firstLineChars="225"/>
        <w:rPr>
          <w:rFonts w:ascii="宋体" w:hAnsi="宋体" w:cs="宋体"/>
          <w:sz w:val="24"/>
          <w:szCs w:val="24"/>
          <w:highlight w:val="none"/>
          <w:u w:val="single"/>
        </w:rPr>
      </w:pPr>
      <w:r>
        <w:rPr>
          <w:rFonts w:hint="eastAsia" w:ascii="宋体" w:hAnsi="宋体" w:cs="宋体"/>
          <w:sz w:val="24"/>
          <w:szCs w:val="24"/>
          <w:highlight w:val="none"/>
        </w:rPr>
        <w:t>2.2.2交货日期：</w:t>
      </w:r>
      <w:r>
        <w:rPr>
          <w:rFonts w:hint="eastAsia" w:ascii="宋体" w:hAnsi="宋体" w:cs="宋体"/>
          <w:sz w:val="24"/>
          <w:szCs w:val="24"/>
          <w:highlight w:val="none"/>
          <w:u w:val="single"/>
        </w:rPr>
        <w:t>按甲方要求，按指定时间计划逐批（次）供货。所供货物的供货时间及数量以甲方书面通知为准。</w:t>
      </w:r>
    </w:p>
    <w:p>
      <w:pPr>
        <w:spacing w:line="520" w:lineRule="exact"/>
        <w:rPr>
          <w:rFonts w:ascii="宋体" w:hAnsi="宋体" w:cs="宋体"/>
          <w:sz w:val="24"/>
          <w:highlight w:val="none"/>
        </w:rPr>
      </w:pPr>
      <w:r>
        <w:rPr>
          <w:rFonts w:hint="eastAsia" w:ascii="宋体" w:hAnsi="宋体" w:cs="宋体"/>
          <w:sz w:val="24"/>
          <w:highlight w:val="none"/>
        </w:rPr>
        <w:t xml:space="preserve">    2.3合同有效期为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w:t>
      </w:r>
      <w:r>
        <w:rPr>
          <w:rFonts w:hint="eastAsia" w:ascii="宋体" w:hAnsi="宋体" w:cs="宋体"/>
          <w:sz w:val="24"/>
          <w:highlight w:val="none"/>
          <w:u w:val="single"/>
        </w:rPr>
        <w:t xml:space="preserve">  </w:t>
      </w:r>
      <w:r>
        <w:rPr>
          <w:rFonts w:hint="eastAsia" w:ascii="宋体" w:hAnsi="宋体" w:cs="宋体"/>
          <w:sz w:val="24"/>
          <w:highlight w:val="none"/>
        </w:rPr>
        <w:t>年，自合同签订之日起算。若合同到期前乙方供货总量达到</w:t>
      </w:r>
      <w:r>
        <w:rPr>
          <w:rFonts w:hint="eastAsia" w:ascii="宋体" w:hAnsi="宋体" w:cs="宋体"/>
          <w:sz w:val="24"/>
          <w:highlight w:val="none"/>
          <w:u w:val="single"/>
          <w:lang w:val="en-US" w:eastAsia="zh-CN"/>
        </w:rPr>
        <w:t>150</w:t>
      </w:r>
      <w:r>
        <w:rPr>
          <w:rFonts w:hint="eastAsia" w:ascii="宋体" w:hAnsi="宋体" w:cs="宋体"/>
          <w:sz w:val="24"/>
          <w:highlight w:val="none"/>
        </w:rPr>
        <w:t>吨的，合同提前终止。如</w:t>
      </w:r>
      <w:r>
        <w:rPr>
          <w:rFonts w:hint="eastAsia" w:ascii="宋体" w:hAnsi="宋体" w:cs="宋体"/>
          <w:sz w:val="24"/>
          <w:highlight w:val="none"/>
          <w:u w:val="single"/>
        </w:rPr>
        <w:t>需要调增供货量的，</w:t>
      </w:r>
      <w:r>
        <w:rPr>
          <w:rFonts w:hint="eastAsia" w:ascii="宋体" w:hAnsi="宋体" w:cs="宋体"/>
          <w:sz w:val="24"/>
          <w:highlight w:val="none"/>
        </w:rPr>
        <w:t>以甲方另行通知为准。</w:t>
      </w:r>
    </w:p>
    <w:p>
      <w:pPr>
        <w:spacing w:line="520" w:lineRule="exact"/>
        <w:ind w:firstLine="480" w:firstLineChars="200"/>
        <w:rPr>
          <w:rFonts w:ascii="宋体" w:hAnsi="宋体" w:cs="宋体"/>
          <w:sz w:val="24"/>
          <w:highlight w:val="none"/>
        </w:rPr>
      </w:pPr>
      <w:r>
        <w:rPr>
          <w:rFonts w:hint="eastAsia" w:ascii="宋体" w:hAnsi="宋体" w:cs="宋体"/>
          <w:kern w:val="0"/>
          <w:sz w:val="24"/>
          <w:highlight w:val="none"/>
        </w:rPr>
        <w:t>2.4甲方有权单方解除合同，但需提前</w:t>
      </w:r>
      <w:r>
        <w:rPr>
          <w:rFonts w:hint="eastAsia" w:ascii="宋体" w:hAnsi="宋体" w:cs="宋体"/>
          <w:kern w:val="0"/>
          <w:sz w:val="24"/>
          <w:highlight w:val="none"/>
          <w:u w:val="single"/>
        </w:rPr>
        <w:t>7</w:t>
      </w:r>
      <w:r>
        <w:rPr>
          <w:rFonts w:hint="eastAsia" w:ascii="宋体" w:hAnsi="宋体" w:cs="宋体"/>
          <w:kern w:val="0"/>
          <w:sz w:val="24"/>
          <w:highlight w:val="none"/>
        </w:rPr>
        <w:t>天通知乙方。</w:t>
      </w:r>
    </w:p>
    <w:p>
      <w:pPr>
        <w:numPr>
          <w:ilvl w:val="0"/>
          <w:numId w:val="5"/>
        </w:numPr>
        <w:spacing w:line="520" w:lineRule="exact"/>
        <w:ind w:firstLine="482" w:firstLineChars="200"/>
        <w:rPr>
          <w:rFonts w:ascii="宋体" w:hAnsi="宋体" w:cs="宋体"/>
          <w:b/>
          <w:sz w:val="24"/>
          <w:highlight w:val="none"/>
        </w:rPr>
      </w:pPr>
      <w:r>
        <w:rPr>
          <w:rFonts w:hint="eastAsia" w:ascii="宋体" w:hAnsi="宋体" w:cs="宋体"/>
          <w:b/>
          <w:sz w:val="24"/>
          <w:highlight w:val="none"/>
        </w:rPr>
        <w:t>货物标准及质量控制</w:t>
      </w:r>
    </w:p>
    <w:p>
      <w:pPr>
        <w:spacing w:line="520" w:lineRule="exact"/>
        <w:ind w:firstLine="480" w:firstLineChars="200"/>
        <w:rPr>
          <w:rFonts w:ascii="宋体" w:hAnsi="宋体" w:cs="宋体"/>
          <w:kern w:val="0"/>
          <w:sz w:val="24"/>
          <w:highlight w:val="none"/>
        </w:rPr>
      </w:pPr>
      <w:r>
        <w:rPr>
          <w:rFonts w:hint="eastAsia" w:ascii="宋体" w:hAnsi="宋体" w:cs="宋体"/>
          <w:sz w:val="24"/>
          <w:highlight w:val="none"/>
        </w:rPr>
        <w:t>3.1</w:t>
      </w:r>
      <w:r>
        <w:rPr>
          <w:rFonts w:hint="eastAsia" w:ascii="宋体" w:hAnsi="宋体" w:cs="宋体"/>
          <w:kern w:val="0"/>
          <w:sz w:val="24"/>
          <w:highlight w:val="none"/>
        </w:rPr>
        <w:t>货物使用效果需满足甲方污泥脱水后含水率低于</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pPr>
        <w:spacing w:line="52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3.2货物质量应符合或优于本合同的要求。货物必须符合国家标准或化工行业相关最新标准，以最新发布的标准为准。主要执行技术指标如下：</w:t>
      </w:r>
    </w:p>
    <w:tbl>
      <w:tblPr>
        <w:tblStyle w:val="19"/>
        <w:tblW w:w="38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2"/>
        <w:gridCol w:w="3791"/>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987"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药剂名称</w:t>
            </w:r>
          </w:p>
        </w:tc>
        <w:tc>
          <w:tcPr>
            <w:tcW w:w="4012" w:type="pct"/>
            <w:gridSpan w:val="2"/>
            <w:tcBorders>
              <w:top w:val="single" w:color="000000" w:sz="8" w:space="0"/>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技术指标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jc w:val="center"/>
        </w:trPr>
        <w:tc>
          <w:tcPr>
            <w:tcW w:w="987" w:type="pct"/>
            <w:vMerge w:val="restart"/>
            <w:tcBorders>
              <w:top w:val="nil"/>
              <w:left w:val="single" w:color="000000" w:sz="8" w:space="0"/>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草酸</w:t>
            </w:r>
          </w:p>
        </w:tc>
        <w:tc>
          <w:tcPr>
            <w:tcW w:w="2708"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需求指标名称</w:t>
            </w:r>
          </w:p>
        </w:tc>
        <w:tc>
          <w:tcPr>
            <w:tcW w:w="1303" w:type="pct"/>
            <w:tcBorders>
              <w:top w:val="single" w:color="000000" w:sz="8" w:space="0"/>
              <w:left w:val="nil"/>
              <w:bottom w:val="single" w:color="000000" w:sz="8" w:space="0"/>
              <w:right w:val="single" w:color="000000" w:sz="8" w:space="0"/>
            </w:tcBorders>
            <w:shd w:val="clear" w:color="auto" w:fill="auto"/>
            <w:vAlign w:val="top"/>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需求指标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987" w:type="pct"/>
            <w:vMerge w:val="continue"/>
            <w:tcBorders>
              <w:top w:val="nil"/>
              <w:left w:val="single" w:color="000000" w:sz="8" w:space="0"/>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p>
        </w:tc>
        <w:tc>
          <w:tcPr>
            <w:tcW w:w="2708"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★草酸（以H</w:t>
            </w:r>
            <w:r>
              <w:rPr>
                <w:rFonts w:hint="eastAsia" w:ascii="宋体" w:hAnsi="宋体" w:cs="宋体"/>
                <w:kern w:val="0"/>
                <w:sz w:val="24"/>
                <w:szCs w:val="24"/>
                <w:highlight w:val="none"/>
                <w:vertAlign w:val="subscript"/>
                <w:lang w:val="en-US" w:eastAsia="zh-CN"/>
              </w:rPr>
              <w:t>2</w:t>
            </w:r>
            <w:r>
              <w:rPr>
                <w:rFonts w:hint="eastAsia" w:ascii="宋体" w:hAnsi="宋体" w:cs="宋体"/>
                <w:kern w:val="0"/>
                <w:sz w:val="24"/>
                <w:szCs w:val="24"/>
                <w:highlight w:val="none"/>
                <w:lang w:val="en-US" w:eastAsia="zh-CN"/>
              </w:rPr>
              <w:t>C</w:t>
            </w:r>
            <w:r>
              <w:rPr>
                <w:rFonts w:hint="eastAsia" w:ascii="宋体" w:hAnsi="宋体" w:cs="宋体"/>
                <w:kern w:val="0"/>
                <w:sz w:val="24"/>
                <w:szCs w:val="24"/>
                <w:highlight w:val="none"/>
                <w:vertAlign w:val="subscript"/>
                <w:lang w:val="en-US" w:eastAsia="zh-CN"/>
              </w:rPr>
              <w:t>2</w:t>
            </w:r>
            <w:r>
              <w:rPr>
                <w:rFonts w:hint="eastAsia" w:ascii="宋体" w:hAnsi="宋体" w:cs="宋体"/>
                <w:kern w:val="0"/>
                <w:sz w:val="24"/>
                <w:szCs w:val="24"/>
                <w:highlight w:val="none"/>
                <w:lang w:val="en-US" w:eastAsia="zh-CN"/>
              </w:rPr>
              <w:t>O</w:t>
            </w:r>
            <w:r>
              <w:rPr>
                <w:rFonts w:hint="eastAsia" w:ascii="宋体" w:hAnsi="宋体" w:cs="宋体"/>
                <w:kern w:val="0"/>
                <w:sz w:val="24"/>
                <w:szCs w:val="24"/>
                <w:highlight w:val="none"/>
                <w:vertAlign w:val="subscript"/>
                <w:lang w:val="en-US" w:eastAsia="zh-CN"/>
              </w:rPr>
              <w:t>4</w:t>
            </w:r>
            <w:r>
              <w:rPr>
                <w:rFonts w:hint="eastAsia" w:ascii="宋体" w:hAnsi="宋体" w:cs="宋体"/>
                <w:kern w:val="0"/>
                <w:sz w:val="24"/>
                <w:szCs w:val="24"/>
                <w:highlight w:val="none"/>
                <w:lang w:val="en-US" w:eastAsia="zh-CN"/>
              </w:rPr>
              <w:t>.2H</w:t>
            </w:r>
            <w:r>
              <w:rPr>
                <w:rFonts w:hint="eastAsia" w:ascii="宋体" w:hAnsi="宋体" w:cs="宋体"/>
                <w:kern w:val="0"/>
                <w:sz w:val="24"/>
                <w:szCs w:val="24"/>
                <w:highlight w:val="none"/>
                <w:vertAlign w:val="subscript"/>
                <w:lang w:val="en-US" w:eastAsia="zh-CN"/>
              </w:rPr>
              <w:t>2</w:t>
            </w:r>
            <w:r>
              <w:rPr>
                <w:rFonts w:hint="eastAsia" w:ascii="宋体" w:hAnsi="宋体" w:cs="宋体"/>
                <w:kern w:val="0"/>
                <w:sz w:val="24"/>
                <w:szCs w:val="24"/>
                <w:highlight w:val="none"/>
                <w:lang w:val="en-US" w:eastAsia="zh-CN"/>
              </w:rPr>
              <w:t>0计）的质量分数（%）</w:t>
            </w:r>
          </w:p>
        </w:tc>
        <w:tc>
          <w:tcPr>
            <w:tcW w:w="1303"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987" w:type="pct"/>
            <w:vMerge w:val="continue"/>
            <w:tcBorders>
              <w:top w:val="nil"/>
              <w:left w:val="single" w:color="000000" w:sz="8" w:space="0"/>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p>
        </w:tc>
        <w:tc>
          <w:tcPr>
            <w:tcW w:w="2708"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硫酸根（以SO4计）的质量分数</w:t>
            </w:r>
          </w:p>
        </w:tc>
        <w:tc>
          <w:tcPr>
            <w:tcW w:w="1303"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987" w:type="pct"/>
            <w:vMerge w:val="continue"/>
            <w:tcBorders>
              <w:top w:val="nil"/>
              <w:left w:val="single" w:color="000000" w:sz="8" w:space="0"/>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p>
        </w:tc>
        <w:tc>
          <w:tcPr>
            <w:tcW w:w="2708"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灼烧残渣的质量分数</w:t>
            </w:r>
          </w:p>
        </w:tc>
        <w:tc>
          <w:tcPr>
            <w:tcW w:w="1303"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987" w:type="pct"/>
            <w:vMerge w:val="continue"/>
            <w:tcBorders>
              <w:top w:val="nil"/>
              <w:left w:val="single" w:color="000000" w:sz="8" w:space="0"/>
              <w:bottom w:val="nil"/>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p>
        </w:tc>
        <w:tc>
          <w:tcPr>
            <w:tcW w:w="2708"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重金属（以Pb计）的质量分数</w:t>
            </w:r>
          </w:p>
        </w:tc>
        <w:tc>
          <w:tcPr>
            <w:tcW w:w="1303" w:type="pct"/>
            <w:tcBorders>
              <w:top w:val="nil"/>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987" w:type="pct"/>
            <w:tcBorders>
              <w:top w:val="nil"/>
              <w:left w:val="single" w:color="000000" w:sz="8" w:space="0"/>
              <w:bottom w:val="nil"/>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p>
        </w:tc>
        <w:tc>
          <w:tcPr>
            <w:tcW w:w="2708" w:type="pct"/>
            <w:tcBorders>
              <w:top w:val="single" w:color="000000" w:sz="8" w:space="0"/>
              <w:left w:val="nil"/>
              <w:bottom w:val="single" w:color="000000" w:sz="8" w:space="0"/>
              <w:right w:val="single" w:color="000000" w:sz="8" w:space="0"/>
            </w:tcBorders>
            <w:shd w:val="clear" w:color="auto" w:fill="auto"/>
            <w:vAlign w:val="center"/>
          </w:tcPr>
          <w:p>
            <w:pPr>
              <w:spacing w:line="520" w:lineRule="exact"/>
              <w:jc w:val="center"/>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铁（以Fe计）的质量分数</w:t>
            </w:r>
          </w:p>
        </w:tc>
        <w:tc>
          <w:tcPr>
            <w:tcW w:w="1303" w:type="pct"/>
            <w:tcBorders>
              <w:top w:val="single" w:color="000000" w:sz="8" w:space="0"/>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jc w:val="center"/>
        </w:trPr>
        <w:tc>
          <w:tcPr>
            <w:tcW w:w="987" w:type="pct"/>
            <w:tcBorders>
              <w:top w:val="nil"/>
              <w:left w:val="single" w:color="000000" w:sz="8" w:space="0"/>
              <w:bottom w:val="nil"/>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p>
        </w:tc>
        <w:tc>
          <w:tcPr>
            <w:tcW w:w="2708" w:type="pct"/>
            <w:tcBorders>
              <w:top w:val="single" w:color="000000" w:sz="8" w:space="0"/>
              <w:left w:val="nil"/>
              <w:bottom w:val="single" w:color="000000" w:sz="8" w:space="0"/>
              <w:right w:val="single" w:color="000000" w:sz="8" w:space="0"/>
            </w:tcBorders>
            <w:shd w:val="clear" w:color="auto" w:fill="auto"/>
            <w:vAlign w:val="center"/>
          </w:tcPr>
          <w:p>
            <w:pPr>
              <w:spacing w:line="520" w:lineRule="exact"/>
              <w:jc w:val="center"/>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氯化物（以Cl计）的质量分数</w:t>
            </w:r>
          </w:p>
        </w:tc>
        <w:tc>
          <w:tcPr>
            <w:tcW w:w="1303" w:type="pct"/>
            <w:tcBorders>
              <w:top w:val="single" w:color="000000" w:sz="8" w:space="0"/>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jc w:val="center"/>
        </w:trPr>
        <w:tc>
          <w:tcPr>
            <w:tcW w:w="987" w:type="pct"/>
            <w:tcBorders>
              <w:top w:val="nil"/>
              <w:left w:val="single" w:color="000000" w:sz="8" w:space="0"/>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rPr>
            </w:pPr>
          </w:p>
        </w:tc>
        <w:tc>
          <w:tcPr>
            <w:tcW w:w="2708" w:type="pct"/>
            <w:tcBorders>
              <w:top w:val="single" w:color="000000" w:sz="8" w:space="0"/>
              <w:left w:val="nil"/>
              <w:bottom w:val="single" w:color="000000" w:sz="8" w:space="0"/>
              <w:right w:val="single" w:color="000000" w:sz="8" w:space="0"/>
            </w:tcBorders>
            <w:shd w:val="clear" w:color="auto" w:fill="auto"/>
            <w:vAlign w:val="center"/>
          </w:tcPr>
          <w:p>
            <w:pPr>
              <w:spacing w:line="520" w:lineRule="exact"/>
              <w:jc w:val="center"/>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钙（以Ca计）的质量分数</w:t>
            </w:r>
          </w:p>
        </w:tc>
        <w:tc>
          <w:tcPr>
            <w:tcW w:w="1303" w:type="pct"/>
            <w:tcBorders>
              <w:top w:val="single" w:color="000000" w:sz="8" w:space="0"/>
              <w:left w:val="nil"/>
              <w:bottom w:val="single" w:color="000000" w:sz="8" w:space="0"/>
              <w:right w:val="single" w:color="000000" w:sz="8" w:space="0"/>
            </w:tcBorders>
            <w:shd w:val="clear" w:color="auto" w:fill="auto"/>
            <w:vAlign w:val="center"/>
          </w:tcPr>
          <w:p>
            <w:pPr>
              <w:spacing w:line="520" w:lineRule="exact"/>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≤0.0005%</w:t>
            </w:r>
          </w:p>
        </w:tc>
      </w:tr>
    </w:tbl>
    <w:p>
      <w:pPr>
        <w:spacing w:line="520" w:lineRule="exact"/>
        <w:ind w:firstLine="480" w:firstLineChars="200"/>
        <w:rPr>
          <w:rFonts w:ascii="宋体" w:hAnsi="宋体" w:cs="宋体"/>
          <w:kern w:val="0"/>
          <w:sz w:val="24"/>
          <w:highlight w:val="none"/>
          <w:u w:val="single"/>
        </w:rPr>
      </w:pPr>
      <w:r>
        <w:rPr>
          <w:rFonts w:hint="eastAsia" w:ascii="宋体" w:hAnsi="宋体" w:cs="宋体"/>
          <w:kern w:val="0"/>
          <w:sz w:val="24"/>
          <w:highlight w:val="none"/>
        </w:rPr>
        <w:t>3.3</w:t>
      </w:r>
      <w:r>
        <w:rPr>
          <w:rFonts w:hint="eastAsia" w:ascii="宋体" w:hAnsi="宋体" w:cs="宋体"/>
          <w:sz w:val="24"/>
          <w:highlight w:val="none"/>
        </w:rPr>
        <w:t>在产品出厂前，乙方应该对产品进行详细检验，并出具检验证明材料，该证明材料不作为货物质量最终是否</w:t>
      </w:r>
      <w:r>
        <w:rPr>
          <w:rFonts w:hint="eastAsia" w:ascii="宋体" w:hAnsi="宋体" w:cs="宋体"/>
          <w:sz w:val="24"/>
          <w:highlight w:val="none"/>
          <w:lang w:val="en-US" w:eastAsia="zh-CN"/>
        </w:rPr>
        <w:t>达标</w:t>
      </w:r>
      <w:r>
        <w:rPr>
          <w:rFonts w:hint="eastAsia" w:ascii="宋体" w:hAnsi="宋体" w:cs="宋体"/>
          <w:sz w:val="24"/>
          <w:highlight w:val="none"/>
        </w:rPr>
        <w:t>的依据，但可作为交货时双方进行交货现场检验的参考。</w:t>
      </w:r>
    </w:p>
    <w:p>
      <w:pPr>
        <w:spacing w:line="520" w:lineRule="exact"/>
        <w:ind w:firstLine="480" w:firstLineChars="200"/>
        <w:rPr>
          <w:rFonts w:ascii="宋体" w:hAnsi="宋体" w:cs="宋体"/>
          <w:kern w:val="0"/>
          <w:sz w:val="24"/>
          <w:highlight w:val="none"/>
        </w:rPr>
      </w:pPr>
      <w:r>
        <w:rPr>
          <w:rFonts w:hint="eastAsia" w:ascii="宋体" w:hAnsi="宋体" w:cs="宋体"/>
          <w:sz w:val="24"/>
          <w:highlight w:val="none"/>
        </w:rPr>
        <w:t>3.4</w:t>
      </w:r>
      <w:r>
        <w:rPr>
          <w:rFonts w:hint="eastAsia" w:ascii="宋体" w:hAnsi="宋体" w:cs="宋体"/>
          <w:kern w:val="0"/>
          <w:sz w:val="24"/>
          <w:highlight w:val="none"/>
        </w:rPr>
        <w:t>甲方有权对乙方提供的每车次货物进行抽样检测，</w:t>
      </w:r>
      <w:r>
        <w:rPr>
          <w:rFonts w:hint="eastAsia" w:ascii="宋体" w:hAnsi="宋体" w:cs="宋体"/>
          <w:sz w:val="24"/>
          <w:highlight w:val="none"/>
        </w:rPr>
        <w:t>检测按照下列方式进行：</w:t>
      </w:r>
    </w:p>
    <w:p>
      <w:pPr>
        <w:spacing w:line="520" w:lineRule="exact"/>
        <w:ind w:firstLine="489" w:firstLineChars="204"/>
        <w:rPr>
          <w:rFonts w:ascii="宋体" w:hAnsi="宋体" w:cs="宋体"/>
          <w:sz w:val="24"/>
          <w:highlight w:val="none"/>
        </w:rPr>
      </w:pPr>
      <w:r>
        <w:rPr>
          <w:rFonts w:hint="eastAsia" w:ascii="宋体" w:hAnsi="宋体" w:cs="宋体"/>
          <w:sz w:val="24"/>
          <w:highlight w:val="none"/>
        </w:rPr>
        <w:t>3.4.1执行检验方法：</w:t>
      </w:r>
      <w:r>
        <w:rPr>
          <w:rFonts w:hint="eastAsia" w:ascii="宋体" w:hAnsi="宋体" w:cs="宋体"/>
          <w:sz w:val="24"/>
          <w:highlight w:val="none"/>
          <w:u w:val="single"/>
          <w:lang w:val="en-US" w:eastAsia="zh-CN"/>
        </w:rPr>
        <w:t>GB/T 1626-2008</w:t>
      </w:r>
      <w:r>
        <w:rPr>
          <w:rFonts w:hint="eastAsia" w:ascii="宋体" w:hAnsi="宋体" w:cs="宋体"/>
          <w:sz w:val="24"/>
          <w:highlight w:val="none"/>
        </w:rPr>
        <w:t>，若检验方法变更，则执行新的国家标准。</w:t>
      </w:r>
    </w:p>
    <w:p>
      <w:pPr>
        <w:spacing w:line="520" w:lineRule="exact"/>
        <w:ind w:firstLine="489" w:firstLineChars="204"/>
        <w:rPr>
          <w:rFonts w:ascii="宋体" w:hAnsi="宋体" w:cs="宋体"/>
          <w:sz w:val="24"/>
          <w:highlight w:val="none"/>
        </w:rPr>
      </w:pPr>
      <w:r>
        <w:rPr>
          <w:rFonts w:hint="eastAsia" w:ascii="宋体" w:hAnsi="宋体" w:cs="宋体"/>
          <w:sz w:val="24"/>
          <w:highlight w:val="none"/>
        </w:rPr>
        <w:t>3.4.2送货记录需经甲、乙双方在场共同确认完成并签字。</w:t>
      </w:r>
    </w:p>
    <w:p>
      <w:pPr>
        <w:spacing w:line="520" w:lineRule="exact"/>
        <w:ind w:firstLine="489" w:firstLineChars="204"/>
        <w:rPr>
          <w:rFonts w:ascii="宋体" w:hAnsi="宋体" w:cs="宋体"/>
          <w:sz w:val="24"/>
          <w:highlight w:val="none"/>
        </w:rPr>
      </w:pPr>
      <w:r>
        <w:rPr>
          <w:rFonts w:hint="eastAsia" w:ascii="宋体" w:hAnsi="宋体" w:cs="宋体"/>
          <w:sz w:val="24"/>
          <w:highlight w:val="none"/>
        </w:rPr>
        <w:t>3.4.3抽样检测：甲方化验室对</w:t>
      </w:r>
      <w:r>
        <w:rPr>
          <w:rFonts w:hint="eastAsia" w:ascii="宋体" w:hAnsi="宋体" w:cs="宋体"/>
          <w:kern w:val="0"/>
          <w:sz w:val="24"/>
          <w:highlight w:val="none"/>
        </w:rPr>
        <w:t>乙方提供并</w:t>
      </w:r>
      <w:r>
        <w:rPr>
          <w:rFonts w:hint="eastAsia" w:ascii="宋体" w:hAnsi="宋体" w:cs="宋体"/>
          <w:sz w:val="24"/>
          <w:highlight w:val="none"/>
        </w:rPr>
        <w:t>交货</w:t>
      </w:r>
      <w:r>
        <w:rPr>
          <w:rFonts w:hint="eastAsia" w:ascii="宋体" w:hAnsi="宋体" w:cs="宋体"/>
          <w:kern w:val="0"/>
          <w:sz w:val="24"/>
          <w:highlight w:val="none"/>
        </w:rPr>
        <w:t>的货物进行抽样检测</w:t>
      </w:r>
      <w:r>
        <w:rPr>
          <w:rFonts w:hint="eastAsia" w:ascii="宋体" w:hAnsi="宋体" w:cs="宋体"/>
          <w:sz w:val="24"/>
          <w:highlight w:val="none"/>
        </w:rPr>
        <w:t>。</w:t>
      </w:r>
    </w:p>
    <w:p>
      <w:pPr>
        <w:spacing w:line="520" w:lineRule="exact"/>
        <w:ind w:firstLine="489" w:firstLineChars="204"/>
        <w:rPr>
          <w:rFonts w:ascii="宋体" w:hAnsi="宋体" w:cs="宋体"/>
          <w:sz w:val="24"/>
          <w:highlight w:val="none"/>
        </w:rPr>
      </w:pPr>
      <w:r>
        <w:rPr>
          <w:rFonts w:hint="eastAsia" w:ascii="宋体" w:hAnsi="宋体" w:cs="宋体"/>
          <w:sz w:val="24"/>
          <w:highlight w:val="none"/>
        </w:rPr>
        <w:t>3.4.4抽样方法：必须在槽车上或卸货过程中，以甲方辖下分/子公司确认的：</w:t>
      </w:r>
      <w:r>
        <w:rPr>
          <w:rFonts w:hint="eastAsia" w:ascii="宋体" w:hAnsi="宋体" w:cs="宋体"/>
          <w:sz w:val="24"/>
          <w:highlight w:val="none"/>
          <w:u w:val="single"/>
          <w:lang w:val="en-US" w:eastAsia="zh-CN"/>
        </w:rPr>
        <w:t>GB/T 1626-2008</w:t>
      </w:r>
      <w:r>
        <w:rPr>
          <w:rFonts w:hint="eastAsia" w:ascii="宋体" w:hAnsi="宋体" w:cs="宋体"/>
          <w:sz w:val="24"/>
          <w:highlight w:val="none"/>
        </w:rPr>
        <w:t>取样方法进行货物样品采集（如使用桶、袋装的药剂，随机抽取），抽取3份混合后平行样品，3份样品按照规定保存于甲方辖下各分（子）公司化验室，乙方如需留存该车次样品，须按照上述确定的取样方法进行现场同步取样。</w:t>
      </w:r>
    </w:p>
    <w:p>
      <w:pPr>
        <w:spacing w:line="520" w:lineRule="exact"/>
        <w:ind w:firstLine="489" w:firstLineChars="204"/>
        <w:rPr>
          <w:rFonts w:ascii="宋体" w:hAnsi="宋体" w:cs="宋体"/>
          <w:sz w:val="24"/>
          <w:highlight w:val="none"/>
        </w:rPr>
      </w:pPr>
      <w:r>
        <w:rPr>
          <w:rFonts w:hint="eastAsia" w:ascii="宋体" w:hAnsi="宋体" w:cs="宋体"/>
          <w:sz w:val="24"/>
          <w:highlight w:val="none"/>
        </w:rPr>
        <w:t>3.4.5甲方分析和保存样品的分样与储存：分装于清洁、干燥的取样瓶（袋）中。取样瓶（袋）应用标签将封口密封，标签上应标明生产厂家、批号、采集日期，甲方辖下</w:t>
      </w:r>
      <w:r>
        <w:rPr>
          <w:rFonts w:hint="eastAsia" w:ascii="宋体" w:hAnsi="宋体" w:cs="宋体"/>
          <w:sz w:val="24"/>
          <w:highlight w:val="none"/>
          <w:u w:val="single"/>
        </w:rPr>
        <w:t>子/分公司</w:t>
      </w:r>
      <w:r>
        <w:rPr>
          <w:rFonts w:hint="eastAsia" w:ascii="宋体" w:hAnsi="宋体" w:cs="宋体"/>
          <w:sz w:val="24"/>
          <w:highlight w:val="none"/>
        </w:rPr>
        <w:t>和乙方共同在标签上签名确认。</w:t>
      </w:r>
    </w:p>
    <w:p>
      <w:pPr>
        <w:spacing w:line="520" w:lineRule="exact"/>
        <w:ind w:firstLine="489" w:firstLineChars="204"/>
        <w:rPr>
          <w:rFonts w:ascii="宋体" w:hAnsi="宋体" w:cs="宋体"/>
          <w:sz w:val="24"/>
          <w:highlight w:val="none"/>
        </w:rPr>
      </w:pPr>
      <w:r>
        <w:rPr>
          <w:rFonts w:hint="eastAsia" w:ascii="宋体" w:hAnsi="宋体" w:cs="宋体"/>
          <w:sz w:val="24"/>
          <w:highlight w:val="none"/>
        </w:rPr>
        <w:t>3.4.6留样：采集的三份留样样品由甲方化验室按规定留存。</w:t>
      </w:r>
    </w:p>
    <w:p>
      <w:pPr>
        <w:spacing w:line="520" w:lineRule="exact"/>
        <w:ind w:firstLine="480" w:firstLineChars="200"/>
        <w:rPr>
          <w:rFonts w:ascii="宋体" w:hAnsi="宋体" w:cs="宋体"/>
          <w:bCs/>
          <w:sz w:val="24"/>
          <w:highlight w:val="none"/>
        </w:rPr>
      </w:pPr>
      <w:r>
        <w:rPr>
          <w:rFonts w:hint="eastAsia" w:ascii="宋体" w:hAnsi="宋体" w:cs="宋体"/>
          <w:bCs/>
          <w:sz w:val="24"/>
          <w:highlight w:val="none"/>
        </w:rPr>
        <w:t>3.5</w:t>
      </w:r>
      <w:r>
        <w:rPr>
          <w:rFonts w:hint="eastAsia" w:ascii="宋体" w:hAnsi="宋体" w:cs="宋体"/>
          <w:sz w:val="24"/>
          <w:highlight w:val="none"/>
        </w:rPr>
        <w:t>第三方检测机构检测</w:t>
      </w:r>
    </w:p>
    <w:p>
      <w:pPr>
        <w:spacing w:line="520" w:lineRule="exact"/>
        <w:ind w:firstLine="480" w:firstLineChars="200"/>
        <w:rPr>
          <w:rFonts w:ascii="宋体" w:hAnsi="宋体" w:cs="宋体"/>
          <w:bCs/>
          <w:sz w:val="24"/>
          <w:highlight w:val="none"/>
        </w:rPr>
      </w:pPr>
      <w:r>
        <w:rPr>
          <w:rFonts w:hint="eastAsia" w:ascii="宋体" w:hAnsi="宋体" w:cs="宋体"/>
          <w:bCs/>
          <w:sz w:val="24"/>
          <w:highlight w:val="none"/>
        </w:rPr>
        <w:t>3.5.1对于</w:t>
      </w:r>
      <w:r>
        <w:rPr>
          <w:rFonts w:hint="eastAsia" w:ascii="宋体" w:hAnsi="宋体" w:cs="宋体"/>
          <w:sz w:val="24"/>
          <w:highlight w:val="none"/>
        </w:rPr>
        <w:t>乙方在本合同签订后送至甲方辖下分/子公司的第一车次的货物，由甲方将甲、乙双方共同确认的该车次乙方货物样品送至具有CMA资格认证的第三方检测机构进行检测，此外，</w:t>
      </w:r>
      <w:r>
        <w:rPr>
          <w:rFonts w:hint="eastAsia" w:ascii="宋体" w:hAnsi="宋体" w:cs="宋体"/>
          <w:bCs/>
          <w:sz w:val="24"/>
          <w:highlight w:val="none"/>
        </w:rPr>
        <w:t>甲方还有权不定期将乙方的药剂抽样送至具有CMA资格认证的第三方检测机构进行检测</w:t>
      </w:r>
      <w:r>
        <w:rPr>
          <w:rFonts w:hint="eastAsia" w:ascii="宋体" w:hAnsi="宋体" w:cs="宋体"/>
          <w:sz w:val="24"/>
          <w:highlight w:val="none"/>
        </w:rPr>
        <w:t>。如乙方货物样品检测结果不符合</w:t>
      </w:r>
      <w:r>
        <w:rPr>
          <w:rFonts w:hint="eastAsia" w:ascii="宋体" w:hAnsi="宋体" w:cs="宋体"/>
          <w:kern w:val="0"/>
          <w:sz w:val="24"/>
          <w:highlight w:val="none"/>
        </w:rPr>
        <w:t>本合同要求、国家标准或化工行业相关最新标准，相关检测费用由甲方垫付，并在乙方结算货款内扣除。</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若甲方化验室检测某一车次乙方货物样品不</w:t>
      </w:r>
      <w:r>
        <w:rPr>
          <w:rFonts w:hint="eastAsia" w:ascii="宋体" w:hAnsi="宋体" w:cs="宋体"/>
          <w:kern w:val="0"/>
          <w:sz w:val="24"/>
          <w:highlight w:val="none"/>
        </w:rPr>
        <w:t>符合本合同要求、国家标准或化工行业相关最新标准</w:t>
      </w:r>
      <w:r>
        <w:rPr>
          <w:rFonts w:hint="eastAsia" w:ascii="宋体" w:hAnsi="宋体" w:cs="宋体"/>
          <w:sz w:val="24"/>
          <w:highlight w:val="none"/>
        </w:rPr>
        <w:t xml:space="preserve">，则由甲方将甲、乙双方共同确认的该车次乙方货物样品，送至具有CMA资格认证的第三方检测机构进行检测，相关检测费用由甲方垫付，并在乙方结算货款内扣除。 </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3.5.2甲乙双方对第三方检测机构的检测结果均不得提出异议。</w:t>
      </w:r>
    </w:p>
    <w:p>
      <w:pPr>
        <w:spacing w:line="520" w:lineRule="exact"/>
        <w:ind w:firstLine="480" w:firstLineChars="200"/>
        <w:jc w:val="left"/>
        <w:rPr>
          <w:rFonts w:ascii="宋体" w:hAnsi="宋体" w:cs="宋体"/>
          <w:sz w:val="24"/>
          <w:highlight w:val="none"/>
        </w:rPr>
      </w:pPr>
      <w:r>
        <w:rPr>
          <w:rFonts w:hint="eastAsia" w:ascii="宋体" w:hAnsi="宋体" w:cs="宋体"/>
          <w:sz w:val="24"/>
          <w:highlight w:val="none"/>
        </w:rPr>
        <w:t>3.5.3若第三方检测机构对所供货物检测的结果不符合本合同约定的，则检测结果视为</w:t>
      </w:r>
      <w:r>
        <w:rPr>
          <w:rFonts w:hint="eastAsia" w:ascii="宋体" w:hAnsi="宋体" w:cs="宋体"/>
          <w:sz w:val="24"/>
          <w:highlight w:val="none"/>
          <w:lang w:val="en-US" w:eastAsia="zh-CN"/>
        </w:rPr>
        <w:t>不达标</w:t>
      </w:r>
      <w:r>
        <w:rPr>
          <w:rFonts w:hint="eastAsia" w:ascii="宋体" w:hAnsi="宋体" w:cs="宋体"/>
          <w:sz w:val="24"/>
          <w:highlight w:val="none"/>
        </w:rPr>
        <w:t>，甲方可要求乙方对产品进行改善并按以下</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1</w:t>
      </w:r>
      <w:r>
        <w:rPr>
          <w:rFonts w:hint="eastAsia" w:ascii="宋体" w:hAnsi="宋体" w:cs="宋体"/>
          <w:sz w:val="24"/>
          <w:highlight w:val="none"/>
          <w:u w:val="single"/>
          <w:lang w:eastAsia="zh-CN"/>
        </w:rPr>
        <w:t>）</w:t>
      </w:r>
      <w:r>
        <w:rPr>
          <w:rFonts w:hint="eastAsia" w:ascii="宋体" w:hAnsi="宋体" w:cs="宋体"/>
          <w:sz w:val="24"/>
          <w:highlight w:val="none"/>
        </w:rPr>
        <w:t>种方式进行扣罚：</w:t>
      </w:r>
    </w:p>
    <w:p>
      <w:pPr>
        <w:spacing w:line="520" w:lineRule="exact"/>
        <w:ind w:firstLine="480" w:firstLineChars="200"/>
        <w:jc w:val="left"/>
        <w:rPr>
          <w:rFonts w:ascii="宋体" w:hAnsi="宋体" w:cs="宋体"/>
          <w:sz w:val="24"/>
          <w:highlight w:val="none"/>
        </w:rPr>
      </w:pPr>
      <w:r>
        <w:rPr>
          <w:rFonts w:hint="eastAsia" w:ascii="宋体" w:hAnsi="宋体" w:cs="宋体"/>
          <w:sz w:val="24"/>
          <w:highlight w:val="none"/>
        </w:rPr>
        <w:t>（1） 当次车次检测</w:t>
      </w:r>
      <w:r>
        <w:rPr>
          <w:rFonts w:hint="eastAsia" w:ascii="宋体" w:hAnsi="宋体" w:cs="宋体"/>
          <w:sz w:val="24"/>
          <w:highlight w:val="none"/>
          <w:lang w:val="en-US" w:eastAsia="zh-CN"/>
        </w:rPr>
        <w:t>不达标</w:t>
      </w:r>
      <w:r>
        <w:rPr>
          <w:rFonts w:hint="eastAsia" w:ascii="宋体" w:hAnsi="宋体" w:cs="宋体"/>
          <w:sz w:val="24"/>
          <w:highlight w:val="none"/>
        </w:rPr>
        <w:t>，扣除该车次的药剂费用，并扣罚乙方10000元作为违约金。年度累计检测</w:t>
      </w:r>
      <w:r>
        <w:rPr>
          <w:rFonts w:hint="eastAsia" w:ascii="宋体" w:hAnsi="宋体" w:cs="宋体"/>
          <w:sz w:val="24"/>
          <w:highlight w:val="none"/>
          <w:lang w:val="en-US" w:eastAsia="zh-CN"/>
        </w:rPr>
        <w:t>不达标</w:t>
      </w:r>
      <w:r>
        <w:rPr>
          <w:rFonts w:hint="eastAsia" w:ascii="宋体" w:hAnsi="宋体" w:cs="宋体"/>
          <w:sz w:val="24"/>
          <w:highlight w:val="none"/>
        </w:rPr>
        <w:t>车次达5次，甲方有权扣除乙方100%合同履约保证金并单方即时解除本合同。</w:t>
      </w:r>
    </w:p>
    <w:p>
      <w:pPr>
        <w:spacing w:line="520" w:lineRule="exact"/>
        <w:ind w:firstLine="480" w:firstLineChars="200"/>
        <w:jc w:val="left"/>
        <w:rPr>
          <w:rFonts w:ascii="宋体" w:hAnsi="宋体" w:cs="宋体"/>
          <w:sz w:val="24"/>
          <w:highlight w:val="none"/>
        </w:rPr>
      </w:pPr>
      <w:r>
        <w:rPr>
          <w:rFonts w:hint="eastAsia" w:ascii="宋体" w:hAnsi="宋体" w:cs="宋体"/>
          <w:sz w:val="24"/>
          <w:highlight w:val="none"/>
        </w:rPr>
        <w:t xml:space="preserve"> 违约金优先在结算货款内扣除，如当月货款无法抵销违约金扣罚的，将在次月的结算货款内扣除；     </w:t>
      </w:r>
    </w:p>
    <w:p>
      <w:pPr>
        <w:numPr>
          <w:ilvl w:val="255"/>
          <w:numId w:val="0"/>
        </w:numPr>
        <w:spacing w:line="520" w:lineRule="exact"/>
        <w:ind w:firstLine="480" w:firstLineChars="200"/>
        <w:rPr>
          <w:rFonts w:ascii="宋体" w:hAnsi="宋体" w:cs="宋体"/>
          <w:kern w:val="0"/>
          <w:sz w:val="24"/>
          <w:highlight w:val="none"/>
        </w:rPr>
      </w:pPr>
      <w:r>
        <w:rPr>
          <w:rFonts w:hint="eastAsia" w:ascii="宋体" w:hAnsi="宋体" w:cs="宋体"/>
          <w:kern w:val="0"/>
          <w:sz w:val="24"/>
          <w:highlight w:val="none"/>
        </w:rPr>
        <w:t>（2）当次车次检测</w:t>
      </w:r>
      <w:r>
        <w:rPr>
          <w:rFonts w:hint="eastAsia" w:ascii="宋体" w:hAnsi="宋体" w:cs="宋体"/>
          <w:sz w:val="24"/>
          <w:highlight w:val="none"/>
          <w:lang w:val="en-US" w:eastAsia="zh-CN"/>
        </w:rPr>
        <w:t>不达标</w:t>
      </w:r>
      <w:r>
        <w:rPr>
          <w:rFonts w:hint="eastAsia" w:ascii="宋体" w:hAnsi="宋体" w:cs="宋体"/>
          <w:kern w:val="0"/>
          <w:sz w:val="24"/>
          <w:highlight w:val="none"/>
        </w:rPr>
        <w:t>，扣除该车次的药剂费用，并扣罚乙方2000元作为违约金。</w:t>
      </w:r>
    </w:p>
    <w:p>
      <w:pPr>
        <w:numPr>
          <w:ilvl w:val="255"/>
          <w:numId w:val="0"/>
        </w:numPr>
        <w:spacing w:line="520" w:lineRule="exact"/>
        <w:ind w:firstLine="480" w:firstLineChars="200"/>
        <w:rPr>
          <w:rFonts w:ascii="宋体" w:hAnsi="宋体" w:cs="宋体"/>
          <w:kern w:val="0"/>
          <w:sz w:val="24"/>
          <w:highlight w:val="none"/>
        </w:rPr>
      </w:pPr>
      <w:r>
        <w:rPr>
          <w:rFonts w:hint="eastAsia" w:ascii="宋体" w:hAnsi="宋体" w:cs="宋体"/>
          <w:kern w:val="0"/>
          <w:sz w:val="24"/>
          <w:highlight w:val="none"/>
        </w:rPr>
        <w:t>年度累计检测不</w:t>
      </w:r>
      <w:r>
        <w:rPr>
          <w:rFonts w:hint="eastAsia" w:ascii="宋体" w:hAnsi="宋体" w:cs="宋体"/>
          <w:kern w:val="0"/>
          <w:sz w:val="24"/>
          <w:highlight w:val="none"/>
          <w:lang w:val="en-US" w:eastAsia="zh-CN"/>
        </w:rPr>
        <w:t>达标</w:t>
      </w:r>
      <w:r>
        <w:rPr>
          <w:rFonts w:hint="eastAsia" w:ascii="宋体" w:hAnsi="宋体" w:cs="宋体"/>
          <w:kern w:val="0"/>
          <w:sz w:val="24"/>
          <w:highlight w:val="none"/>
        </w:rPr>
        <w:t>车次达5次，甲方有权扣除乙方100%合同履约保证金并单方即时解除本合同。</w:t>
      </w:r>
    </w:p>
    <w:p>
      <w:pPr>
        <w:numPr>
          <w:ilvl w:val="255"/>
          <w:numId w:val="0"/>
        </w:numPr>
        <w:spacing w:line="520" w:lineRule="exact"/>
        <w:ind w:firstLine="480" w:firstLineChars="200"/>
        <w:rPr>
          <w:rFonts w:ascii="宋体" w:hAnsi="宋体" w:cs="宋体"/>
          <w:kern w:val="0"/>
          <w:sz w:val="24"/>
          <w:highlight w:val="none"/>
        </w:rPr>
      </w:pPr>
      <w:r>
        <w:rPr>
          <w:rFonts w:hint="eastAsia" w:ascii="宋体" w:hAnsi="宋体" w:cs="宋体"/>
          <w:kern w:val="0"/>
          <w:sz w:val="24"/>
          <w:highlight w:val="none"/>
        </w:rPr>
        <w:t>违约金优先在结算货款内扣除，如当月货款无法抵销违约金扣罚的，将在次月的结算货款内扣除；</w:t>
      </w:r>
    </w:p>
    <w:p>
      <w:pPr>
        <w:numPr>
          <w:ilvl w:val="255"/>
          <w:numId w:val="0"/>
        </w:numPr>
        <w:spacing w:line="52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（适用针对需求量较少的生产类药剂，合同总金额低于30万元）</w:t>
      </w:r>
    </w:p>
    <w:p>
      <w:pPr>
        <w:numPr>
          <w:ilvl w:val="0"/>
          <w:numId w:val="0"/>
        </w:numPr>
        <w:spacing w:line="520" w:lineRule="exact"/>
        <w:ind w:firstLine="480" w:firstLineChars="200"/>
        <w:jc w:val="left"/>
        <w:rPr>
          <w:rFonts w:ascii="宋体" w:hAnsi="宋体" w:cs="宋体"/>
          <w:kern w:val="2"/>
          <w:sz w:val="24"/>
          <w:highlight w:val="none"/>
        </w:rPr>
      </w:pPr>
      <w:r>
        <w:rPr>
          <w:rFonts w:hint="eastAsia" w:ascii="宋体" w:hAnsi="宋体" w:cs="宋体"/>
          <w:kern w:val="0"/>
          <w:sz w:val="24"/>
          <w:highlight w:val="none"/>
        </w:rPr>
        <w:t>3.5.4</w:t>
      </w:r>
      <w:r>
        <w:rPr>
          <w:rFonts w:hint="eastAsia" w:ascii="宋体" w:hAnsi="宋体" w:cs="宋体"/>
          <w:sz w:val="24"/>
          <w:highlight w:val="none"/>
        </w:rPr>
        <w:t>乙方可于收到甲方通知后</w:t>
      </w:r>
      <w:r>
        <w:rPr>
          <w:rFonts w:hint="eastAsia" w:ascii="宋体" w:hAnsi="宋体" w:cs="宋体"/>
          <w:sz w:val="24"/>
          <w:highlight w:val="none"/>
          <w:u w:val="single"/>
          <w:lang w:eastAsia="zh-CN"/>
        </w:rPr>
        <w:t>2</w:t>
      </w:r>
      <w:r>
        <w:rPr>
          <w:rFonts w:hint="eastAsia" w:ascii="宋体" w:hAnsi="宋体" w:cs="宋体"/>
          <w:sz w:val="24"/>
          <w:highlight w:val="none"/>
          <w:u w:val="single"/>
          <w:lang w:val="en-US" w:eastAsia="zh-CN"/>
        </w:rPr>
        <w:t>4小时</w:t>
      </w:r>
      <w:r>
        <w:rPr>
          <w:rFonts w:hint="eastAsia" w:ascii="宋体" w:hAnsi="宋体" w:cs="宋体"/>
          <w:sz w:val="24"/>
          <w:highlight w:val="none"/>
        </w:rPr>
        <w:t>内，自行取回甲方尚未使用的</w:t>
      </w:r>
      <w:r>
        <w:rPr>
          <w:rFonts w:hint="eastAsia" w:ascii="宋体" w:hAnsi="宋体" w:cs="宋体"/>
          <w:sz w:val="24"/>
          <w:highlight w:val="none"/>
          <w:lang w:val="en-US" w:eastAsia="zh-CN"/>
        </w:rPr>
        <w:t>不达标</w:t>
      </w:r>
      <w:r>
        <w:rPr>
          <w:rFonts w:hint="eastAsia" w:ascii="宋体" w:hAnsi="宋体" w:cs="宋体"/>
          <w:sz w:val="24"/>
          <w:highlight w:val="none"/>
        </w:rPr>
        <w:t>药剂并承担全部所需费用；逾期未取回的，视为放弃该药剂的所有权，甲方有权自行处置。</w:t>
      </w:r>
    </w:p>
    <w:p>
      <w:pPr>
        <w:numPr>
          <w:ilvl w:val="255"/>
          <w:numId w:val="0"/>
        </w:numPr>
        <w:spacing w:line="520" w:lineRule="exact"/>
        <w:ind w:firstLine="480" w:firstLineChars="200"/>
        <w:rPr>
          <w:rFonts w:ascii="宋体" w:hAnsi="宋体" w:cs="宋体"/>
          <w:b/>
          <w:sz w:val="24"/>
          <w:highlight w:val="none"/>
        </w:rPr>
      </w:pPr>
      <w:r>
        <w:rPr>
          <w:rFonts w:hint="eastAsia" w:ascii="宋体" w:hAnsi="宋体" w:cs="宋体"/>
          <w:sz w:val="24"/>
          <w:highlight w:val="none"/>
        </w:rPr>
        <w:t xml:space="preserve"> </w:t>
      </w:r>
      <w:r>
        <w:rPr>
          <w:rFonts w:hint="eastAsia" w:ascii="宋体" w:hAnsi="宋体" w:cs="宋体"/>
          <w:b/>
          <w:sz w:val="24"/>
          <w:highlight w:val="none"/>
        </w:rPr>
        <w:t>第四条 考核办法</w:t>
      </w:r>
    </w:p>
    <w:p>
      <w:pPr>
        <w:spacing w:line="520" w:lineRule="exact"/>
        <w:rPr>
          <w:rFonts w:ascii="宋体" w:hAnsi="宋体" w:cs="宋体"/>
          <w:b/>
          <w:sz w:val="24"/>
          <w:highlight w:val="none"/>
        </w:rPr>
      </w:pPr>
      <w:r>
        <w:rPr>
          <w:rFonts w:hint="eastAsia" w:ascii="宋体" w:hAnsi="宋体" w:cs="宋体"/>
          <w:bCs/>
          <w:sz w:val="24"/>
          <w:highlight w:val="none"/>
        </w:rPr>
        <w:t xml:space="preserve">    4.1本合同考核评价按附表</w:t>
      </w:r>
      <w:r>
        <w:rPr>
          <w:rFonts w:hint="eastAsia" w:ascii="宋体" w:hAnsi="宋体" w:cs="宋体"/>
          <w:bCs/>
          <w:sz w:val="24"/>
          <w:highlight w:val="none"/>
          <w:u w:val="single"/>
        </w:rPr>
        <w:t xml:space="preserve">   </w:t>
      </w:r>
      <w:r>
        <w:rPr>
          <w:rFonts w:hint="eastAsia" w:ascii="宋体" w:hAnsi="宋体" w:cs="宋体"/>
          <w:bCs/>
          <w:sz w:val="24"/>
          <w:highlight w:val="none"/>
          <w:u w:val="single"/>
          <w:lang w:val="en-US" w:eastAsia="zh-CN"/>
        </w:rPr>
        <w:t>1</w:t>
      </w:r>
      <w:r>
        <w:rPr>
          <w:rFonts w:hint="eastAsia" w:ascii="宋体" w:hAnsi="宋体" w:cs="宋体"/>
          <w:bCs/>
          <w:sz w:val="24"/>
          <w:highlight w:val="none"/>
          <w:u w:val="single"/>
        </w:rPr>
        <w:t xml:space="preserve">   </w:t>
      </w:r>
      <w:r>
        <w:rPr>
          <w:rFonts w:hint="eastAsia" w:ascii="宋体" w:hAnsi="宋体" w:cs="宋体"/>
          <w:bCs/>
          <w:sz w:val="24"/>
          <w:highlight w:val="none"/>
        </w:rPr>
        <w:t>为标准。</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4.2考核期限</w:t>
      </w:r>
      <w:r>
        <w:rPr>
          <w:rFonts w:hint="eastAsia" w:ascii="宋体" w:hAnsi="宋体" w:cs="宋体"/>
          <w:sz w:val="24"/>
          <w:highlight w:val="none"/>
        </w:rPr>
        <w:br w:type="textWrapping"/>
      </w:r>
      <w:r>
        <w:rPr>
          <w:rFonts w:hint="eastAsia" w:ascii="宋体" w:hAnsi="宋体" w:cs="宋体"/>
          <w:sz w:val="24"/>
          <w:highlight w:val="none"/>
        </w:rPr>
        <w:t xml:space="preserve">    供货期间甲方辖下各分（子）公司将对乙方的供货服务及货物质量进行不定期的考核，考核时间以甲方辖下各分（子）公司确认为准，考核次数为每6个月考核不少于1次；若合同签订期限未满6个月，则合同期内考核不少于1次。</w:t>
      </w:r>
    </w:p>
    <w:p>
      <w:pPr>
        <w:spacing w:line="520" w:lineRule="exact"/>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4.3考核评价办法</w:t>
      </w:r>
    </w:p>
    <w:p>
      <w:pPr>
        <w:spacing w:line="520" w:lineRule="exact"/>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考核得分在80分以上为合格（不含80分）。若等于或者低于80分，甲方有权立即解除合同，并扣除乙方全部履约保证金，同时根据损失情况可要求乙方承担赔偿责任。</w:t>
      </w:r>
    </w:p>
    <w:p>
      <w:pPr>
        <w:spacing w:line="520" w:lineRule="exact"/>
        <w:rPr>
          <w:rFonts w:ascii="宋体" w:hAnsi="宋体" w:cs="宋体"/>
          <w:kern w:val="0"/>
          <w:sz w:val="24"/>
          <w:highlight w:val="none"/>
        </w:rPr>
      </w:pPr>
      <w:r>
        <w:rPr>
          <w:rFonts w:hint="eastAsia" w:ascii="宋体" w:hAnsi="宋体" w:cs="宋体"/>
          <w:sz w:val="24"/>
          <w:highlight w:val="none"/>
        </w:rPr>
        <w:tab/>
      </w:r>
      <w:r>
        <w:rPr>
          <w:rFonts w:hint="eastAsia" w:ascii="宋体" w:hAnsi="宋体" w:cs="宋体"/>
          <w:b/>
          <w:sz w:val="24"/>
          <w:highlight w:val="none"/>
        </w:rPr>
        <w:t>第五条 双方的权利和义务</w:t>
      </w:r>
    </w:p>
    <w:p>
      <w:pPr>
        <w:spacing w:line="520" w:lineRule="exact"/>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5.1甲方的权利和义务</w:t>
      </w:r>
    </w:p>
    <w:p>
      <w:pPr>
        <w:spacing w:line="520" w:lineRule="exact"/>
        <w:ind w:firstLine="420" w:firstLineChars="175"/>
        <w:rPr>
          <w:rFonts w:ascii="宋体" w:hAnsi="宋体" w:cs="宋体"/>
          <w:sz w:val="24"/>
          <w:highlight w:val="none"/>
        </w:rPr>
      </w:pPr>
      <w:r>
        <w:rPr>
          <w:rFonts w:hint="eastAsia" w:ascii="宋体" w:hAnsi="宋体" w:cs="宋体"/>
          <w:sz w:val="24"/>
          <w:highlight w:val="none"/>
        </w:rPr>
        <w:t>5.1.1有权对乙方提供产品进行督导，对于乙方不履行合同、不正确履行合同、不完全履行合同等行为，甲方有权要求乙方立即更正，并采取其他补救措施。</w:t>
      </w:r>
    </w:p>
    <w:p>
      <w:pPr>
        <w:spacing w:line="520" w:lineRule="exact"/>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5.1.2有权到乙方生产现场校验未交接货物。</w:t>
      </w:r>
    </w:p>
    <w:p>
      <w:pPr>
        <w:spacing w:line="520" w:lineRule="exact"/>
        <w:ind w:firstLine="420" w:firstLineChars="175"/>
        <w:rPr>
          <w:rFonts w:ascii="宋体" w:hAnsi="宋体" w:cs="宋体"/>
          <w:sz w:val="24"/>
          <w:highlight w:val="none"/>
        </w:rPr>
      </w:pPr>
      <w:r>
        <w:rPr>
          <w:rFonts w:hint="eastAsia" w:ascii="宋体" w:hAnsi="宋体" w:cs="宋体"/>
          <w:sz w:val="24"/>
          <w:highlight w:val="none"/>
        </w:rPr>
        <w:t>5.1.3甲方有权不定期将货物样品送至具有CMA资格认证的第三方检测机构进行检测，如检测结果不符合本合同约定的，甲方将按本合同3.5条款对乙方进行处罚。</w:t>
      </w:r>
    </w:p>
    <w:p>
      <w:pPr>
        <w:spacing w:line="520" w:lineRule="exact"/>
        <w:ind w:firstLine="424" w:firstLineChars="177"/>
        <w:rPr>
          <w:rFonts w:ascii="宋体" w:hAnsi="宋体" w:cs="宋体"/>
          <w:sz w:val="24"/>
          <w:highlight w:val="none"/>
        </w:rPr>
      </w:pPr>
      <w:r>
        <w:rPr>
          <w:rFonts w:hint="eastAsia" w:ascii="宋体" w:hAnsi="宋体" w:cs="宋体"/>
          <w:sz w:val="24"/>
          <w:highlight w:val="none"/>
        </w:rPr>
        <w:t>5.1.4有权调配供货量至甲方下属各分/子公司。</w:t>
      </w:r>
    </w:p>
    <w:p>
      <w:pPr>
        <w:spacing w:line="520" w:lineRule="exact"/>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5.1.5按合同规定的其他权利和义务。</w:t>
      </w:r>
    </w:p>
    <w:p>
      <w:pPr>
        <w:spacing w:line="520" w:lineRule="exact"/>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5.2乙方的权利和义务</w:t>
      </w:r>
    </w:p>
    <w:p>
      <w:pPr>
        <w:spacing w:line="520" w:lineRule="exact"/>
        <w:ind w:firstLine="424" w:firstLineChars="177"/>
        <w:rPr>
          <w:rFonts w:ascii="宋体" w:hAnsi="宋体" w:cs="宋体"/>
          <w:sz w:val="24"/>
          <w:highlight w:val="none"/>
        </w:rPr>
      </w:pPr>
      <w:r>
        <w:rPr>
          <w:rFonts w:hint="eastAsia" w:ascii="宋体" w:hAnsi="宋体" w:cs="宋体"/>
          <w:sz w:val="24"/>
          <w:highlight w:val="none"/>
        </w:rPr>
        <w:t>5.2.1乙方须保证供货量能达到甲方（招标文件/询价文件）要求的标的（包括标段</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）总供货需求量。</w:t>
      </w:r>
    </w:p>
    <w:p>
      <w:pPr>
        <w:spacing w:line="520" w:lineRule="exact"/>
        <w:ind w:firstLine="424" w:firstLineChars="177"/>
        <w:rPr>
          <w:rFonts w:ascii="宋体" w:hAnsi="宋体" w:cs="宋体"/>
          <w:sz w:val="24"/>
          <w:highlight w:val="none"/>
        </w:rPr>
      </w:pPr>
      <w:r>
        <w:rPr>
          <w:rFonts w:hint="eastAsia" w:ascii="宋体" w:hAnsi="宋体" w:cs="宋体"/>
          <w:sz w:val="24"/>
          <w:highlight w:val="none"/>
        </w:rPr>
        <w:t>5.2.2按照合同约定对货物进行包装、装运和运输，服从甲方安排，在厂区指定位置，按时保质交付货物。</w:t>
      </w:r>
    </w:p>
    <w:p>
      <w:pPr>
        <w:spacing w:line="520" w:lineRule="exact"/>
        <w:ind w:firstLine="424" w:firstLineChars="177"/>
        <w:rPr>
          <w:rFonts w:ascii="宋体" w:hAnsi="宋体" w:cs="宋体"/>
          <w:sz w:val="24"/>
          <w:highlight w:val="none"/>
        </w:rPr>
      </w:pPr>
      <w:r>
        <w:rPr>
          <w:rFonts w:hint="eastAsia" w:ascii="宋体" w:hAnsi="宋体" w:cs="宋体"/>
          <w:sz w:val="24"/>
          <w:highlight w:val="none"/>
        </w:rPr>
        <w:t>5.2.3乙方按照合同要求提供技术人员进行技术支持服务。</w:t>
      </w:r>
    </w:p>
    <w:p>
      <w:pPr>
        <w:spacing w:line="520" w:lineRule="exact"/>
        <w:ind w:firstLine="424" w:firstLineChars="177"/>
        <w:rPr>
          <w:rFonts w:ascii="宋体" w:hAnsi="宋体" w:cs="宋体"/>
          <w:sz w:val="24"/>
          <w:highlight w:val="none"/>
        </w:rPr>
      </w:pPr>
      <w:r>
        <w:rPr>
          <w:rFonts w:hint="eastAsia" w:ascii="宋体" w:hAnsi="宋体" w:cs="宋体"/>
          <w:sz w:val="24"/>
          <w:highlight w:val="none"/>
        </w:rPr>
        <w:t>5.2.4乙方提供每批货物的生产厂家出厂合格证书及有关供货说明文件。</w:t>
      </w:r>
    </w:p>
    <w:p>
      <w:pPr>
        <w:spacing w:line="520" w:lineRule="exact"/>
        <w:ind w:firstLine="424" w:firstLineChars="177"/>
        <w:rPr>
          <w:rFonts w:ascii="宋体" w:hAnsi="宋体" w:cs="宋体"/>
          <w:sz w:val="24"/>
          <w:highlight w:val="none"/>
        </w:rPr>
      </w:pPr>
      <w:r>
        <w:rPr>
          <w:rFonts w:hint="eastAsia" w:ascii="宋体" w:hAnsi="宋体" w:cs="宋体"/>
          <w:sz w:val="24"/>
          <w:highlight w:val="none"/>
        </w:rPr>
        <w:t>5.2.5接受甲方监督，接受支付款项。</w:t>
      </w:r>
    </w:p>
    <w:p>
      <w:pPr>
        <w:spacing w:line="520" w:lineRule="exact"/>
        <w:ind w:firstLine="424" w:firstLineChars="177"/>
        <w:rPr>
          <w:rFonts w:ascii="宋体" w:hAnsi="宋体" w:cs="宋体"/>
          <w:sz w:val="24"/>
          <w:highlight w:val="none"/>
        </w:rPr>
      </w:pPr>
      <w:r>
        <w:rPr>
          <w:rFonts w:hint="eastAsia" w:ascii="宋体" w:hAnsi="宋体" w:cs="宋体"/>
          <w:sz w:val="24"/>
          <w:highlight w:val="none"/>
        </w:rPr>
        <w:t>5.2.6本合同规定的其他权利和义务。</w:t>
      </w:r>
    </w:p>
    <w:p>
      <w:pPr>
        <w:spacing w:line="520" w:lineRule="exact"/>
        <w:rPr>
          <w:rFonts w:ascii="宋体" w:hAnsi="宋体" w:cs="宋体"/>
          <w:b/>
          <w:sz w:val="24"/>
          <w:highlight w:val="none"/>
        </w:rPr>
      </w:pPr>
      <w:r>
        <w:rPr>
          <w:rFonts w:hint="eastAsia" w:ascii="宋体" w:hAnsi="宋体" w:cs="宋体"/>
          <w:b/>
          <w:sz w:val="24"/>
          <w:highlight w:val="none"/>
        </w:rPr>
        <w:tab/>
      </w:r>
      <w:r>
        <w:rPr>
          <w:rFonts w:hint="eastAsia" w:ascii="宋体" w:hAnsi="宋体" w:cs="宋体"/>
          <w:b/>
          <w:sz w:val="24"/>
          <w:highlight w:val="none"/>
        </w:rPr>
        <w:t>第六条 合同总价及结算方式</w:t>
      </w:r>
    </w:p>
    <w:p>
      <w:pPr>
        <w:tabs>
          <w:tab w:val="left" w:pos="851"/>
        </w:tabs>
        <w:adjustRightInd w:val="0"/>
        <w:snapToGrid w:val="0"/>
        <w:spacing w:line="520" w:lineRule="exact"/>
        <w:ind w:firstLine="480" w:firstLineChars="200"/>
        <w:rPr>
          <w:rFonts w:ascii="宋体" w:hAnsi="宋体" w:cs="宋体"/>
          <w:sz w:val="24"/>
          <w:highlight w:val="none"/>
        </w:rPr>
      </w:pPr>
      <w:r>
        <w:rPr>
          <w:rFonts w:hint="eastAsia" w:ascii="宋体" w:hAnsi="宋体" w:cs="宋体"/>
          <w:sz w:val="24"/>
          <w:highlight w:val="none"/>
        </w:rPr>
        <w:t>6.1合同暂定总价为</w:t>
      </w:r>
      <w:r>
        <w:rPr>
          <w:rFonts w:hint="eastAsia" w:ascii="宋体" w:hAnsi="宋体" w:cs="宋体"/>
          <w:i w:val="0"/>
          <w:iCs w:val="0"/>
          <w:sz w:val="24"/>
          <w:highlight w:val="none"/>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元（大写：</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p>
    <w:p>
      <w:pPr>
        <w:tabs>
          <w:tab w:val="left" w:pos="851"/>
        </w:tabs>
        <w:adjustRightInd w:val="0"/>
        <w:snapToGrid w:val="0"/>
        <w:spacing w:line="520" w:lineRule="exact"/>
        <w:ind w:firstLine="480" w:firstLineChars="200"/>
        <w:rPr>
          <w:rFonts w:ascii="宋体" w:hAnsi="宋体" w:cs="宋体"/>
          <w:sz w:val="24"/>
          <w:highlight w:val="none"/>
        </w:rPr>
      </w:pPr>
      <w:r>
        <w:rPr>
          <w:rFonts w:hint="eastAsia" w:ascii="宋体" w:hAnsi="宋体" w:cs="宋体"/>
          <w:sz w:val="24"/>
          <w:highlight w:val="none"/>
        </w:rPr>
        <w:t xml:space="preserve">本合同约定的价格为含税价价格（税率 </w:t>
      </w:r>
      <w:r>
        <w:rPr>
          <w:rFonts w:hint="eastAsia" w:ascii="宋体" w:hAnsi="宋体" w:cs="宋体"/>
          <w:sz w:val="24"/>
          <w:highlight w:val="none"/>
          <w:u w:val="single"/>
          <w:lang w:val="en-US" w:eastAsia="zh-CN"/>
        </w:rPr>
        <w:t>13</w:t>
      </w:r>
      <w:r>
        <w:rPr>
          <w:rFonts w:hint="eastAsia" w:ascii="宋体" w:hAnsi="宋体" w:cs="宋体"/>
          <w:sz w:val="24"/>
          <w:highlight w:val="none"/>
          <w:u w:val="single"/>
        </w:rPr>
        <w:t>%</w:t>
      </w:r>
      <w:r>
        <w:rPr>
          <w:rFonts w:hint="eastAsia" w:ascii="宋体" w:hAnsi="宋体" w:cs="宋体"/>
          <w:sz w:val="24"/>
          <w:highlight w:val="none"/>
        </w:rPr>
        <w:t>），合同履行期间国家税率调整或乙方开票的实际税率与前述税率不一致的，不含税价不变，价税合计按实际税率相应调整，以开具发票的时间为准。</w:t>
      </w:r>
    </w:p>
    <w:p>
      <w:pPr>
        <w:spacing w:line="520" w:lineRule="exact"/>
        <w:ind w:firstLine="424" w:firstLineChars="177"/>
        <w:rPr>
          <w:rFonts w:ascii="宋体" w:hAnsi="宋体" w:cs="宋体"/>
          <w:sz w:val="24"/>
          <w:highlight w:val="none"/>
        </w:rPr>
      </w:pPr>
      <w:r>
        <w:rPr>
          <w:rFonts w:hint="eastAsia" w:ascii="宋体" w:hAnsi="宋体" w:cs="宋体"/>
          <w:sz w:val="24"/>
          <w:highlight w:val="none"/>
        </w:rPr>
        <w:t>6.2本合同计价按以下</w:t>
      </w:r>
      <w:r>
        <w:rPr>
          <w:rFonts w:hint="eastAsia" w:ascii="宋体" w:hAnsi="宋体" w:cs="宋体"/>
          <w:sz w:val="24"/>
          <w:highlight w:val="none"/>
          <w:u w:val="single"/>
          <w:lang w:val="en-US" w:eastAsia="zh-CN"/>
        </w:rPr>
        <w:t>(1)</w:t>
      </w:r>
      <w:r>
        <w:rPr>
          <w:rFonts w:hint="eastAsia" w:ascii="宋体" w:hAnsi="宋体" w:cs="宋体"/>
          <w:sz w:val="24"/>
          <w:highlight w:val="none"/>
        </w:rPr>
        <w:t>方式：</w:t>
      </w:r>
    </w:p>
    <w:p>
      <w:pPr>
        <w:spacing w:line="520" w:lineRule="exact"/>
        <w:ind w:firstLine="424" w:firstLineChars="177"/>
        <w:rPr>
          <w:rFonts w:ascii="宋体" w:hAnsi="宋体" w:cs="宋体"/>
          <w:sz w:val="24"/>
          <w:highlight w:val="none"/>
        </w:rPr>
      </w:pPr>
      <w:r>
        <w:rPr>
          <w:rFonts w:hint="eastAsia" w:ascii="宋体" w:hAnsi="宋体" w:cs="宋体"/>
          <w:sz w:val="24"/>
          <w:highlight w:val="none"/>
        </w:rPr>
        <w:t>（1）乙方按每吨（药剂）计价，单价为</w:t>
      </w:r>
      <w:r>
        <w:rPr>
          <w:rFonts w:hint="eastAsia" w:ascii="宋体" w:hAnsi="宋体" w:cs="宋体"/>
          <w:color w:val="auto"/>
          <w:sz w:val="24"/>
          <w:highlight w:val="none"/>
          <w:u w:val="single"/>
          <w:lang w:val="en-US" w:eastAsia="zh-CN"/>
        </w:rPr>
        <w:t xml:space="preserve">草酸    </w:t>
      </w:r>
      <w:r>
        <w:rPr>
          <w:rFonts w:hint="eastAsia" w:ascii="宋体" w:hAnsi="宋体" w:cs="宋体"/>
          <w:sz w:val="24"/>
          <w:highlight w:val="none"/>
        </w:rPr>
        <w:t>元/吨。单价应包括：货物出厂价、运至合同指定地点的包装费、运输及保险费、装卸入仓的费用（甲方免费提供仓储服务）、人工服务费、检测费、调试检验费及需向政府缴纳的各项税费等，若为进口货物还应包含进口环节税费。合同单价在合同有效期内为不变价。乙方已经充分考虑本合同履行期间的市场风险和国家政策性调整风险系数并已计入报价，因此合同单价在合同有效期内不因任何因素而作调整。</w:t>
      </w:r>
    </w:p>
    <w:p>
      <w:pPr>
        <w:spacing w:line="520" w:lineRule="exact"/>
        <w:ind w:firstLine="424" w:firstLineChars="177"/>
        <w:rPr>
          <w:rFonts w:ascii="宋体" w:hAnsi="宋体" w:cs="宋体"/>
          <w:sz w:val="24"/>
          <w:highlight w:val="none"/>
        </w:rPr>
      </w:pPr>
      <w:r>
        <w:rPr>
          <w:rFonts w:hint="eastAsia" w:ascii="宋体" w:hAnsi="宋体" w:cs="宋体"/>
          <w:sz w:val="24"/>
          <w:highlight w:val="none"/>
        </w:rPr>
        <w:t>（2）乙方按每吨干污泥的单价包干报价，单价为_______元/吨。该报价应包括：货物出厂价、运至合同指定地点的包装费、运输费、装卸入仓的费用（甲方辖下分/子公司免费提供仓储服务）、乙方服务小组的驻场服务费、调试检验费及需向政府缴纳的各项税费。（</w:t>
      </w:r>
      <w:r>
        <w:rPr>
          <w:rFonts w:hint="eastAsia" w:ascii="宋体" w:hAnsi="宋体" w:cs="宋体"/>
          <w:b/>
          <w:bCs/>
          <w:sz w:val="24"/>
          <w:highlight w:val="none"/>
        </w:rPr>
        <w:t>适用阳离子药剂</w:t>
      </w:r>
      <w:r>
        <w:rPr>
          <w:rFonts w:hint="eastAsia" w:ascii="宋体" w:hAnsi="宋体" w:cs="宋体"/>
          <w:sz w:val="24"/>
          <w:highlight w:val="none"/>
        </w:rPr>
        <w:t>）</w:t>
      </w:r>
    </w:p>
    <w:p>
      <w:pPr>
        <w:spacing w:line="520" w:lineRule="exact"/>
        <w:ind w:firstLine="424" w:firstLineChars="177"/>
        <w:jc w:val="left"/>
        <w:rPr>
          <w:rFonts w:ascii="宋体" w:hAnsi="宋体" w:cs="宋体"/>
          <w:sz w:val="24"/>
          <w:highlight w:val="none"/>
        </w:rPr>
      </w:pPr>
      <w:r>
        <w:rPr>
          <w:rFonts w:hint="eastAsia" w:ascii="宋体" w:hAnsi="宋体" w:cs="宋体"/>
          <w:sz w:val="24"/>
          <w:highlight w:val="none"/>
        </w:rPr>
        <w:t>6.3由甲方/</w:t>
      </w:r>
      <w:r>
        <w:rPr>
          <w:rFonts w:hint="eastAsia" w:ascii="宋体" w:hAnsi="宋体" w:cs="宋体"/>
          <w:sz w:val="24"/>
          <w:highlight w:val="none"/>
          <w:lang w:val="en-US" w:eastAsia="zh-CN"/>
        </w:rPr>
        <w:t>甲方</w:t>
      </w:r>
      <w:r>
        <w:rPr>
          <w:rFonts w:hint="eastAsia" w:ascii="宋体" w:hAnsi="宋体" w:cs="宋体"/>
          <w:sz w:val="24"/>
          <w:highlight w:val="none"/>
        </w:rPr>
        <w:t>子公司进行本合同药剂费用支付。</w:t>
      </w:r>
    </w:p>
    <w:p>
      <w:pPr>
        <w:spacing w:line="520" w:lineRule="exact"/>
        <w:ind w:firstLine="465"/>
        <w:rPr>
          <w:rFonts w:ascii="宋体" w:hAnsi="宋体" w:cs="宋体"/>
          <w:sz w:val="24"/>
          <w:highlight w:val="none"/>
        </w:rPr>
      </w:pPr>
      <w:r>
        <w:rPr>
          <w:rFonts w:hint="eastAsia" w:ascii="宋体" w:hAnsi="宋体" w:cs="宋体"/>
          <w:sz w:val="24"/>
          <w:highlight w:val="none"/>
        </w:rPr>
        <w:t>6.4本合同结算按以下</w:t>
      </w:r>
      <w:r>
        <w:rPr>
          <w:rFonts w:hint="eastAsia" w:ascii="宋体" w:hAnsi="宋体" w:cs="宋体"/>
          <w:sz w:val="24"/>
          <w:highlight w:val="none"/>
          <w:u w:val="single"/>
          <w:lang w:val="en-US" w:eastAsia="zh-CN"/>
        </w:rPr>
        <w:t>(1)</w:t>
      </w:r>
      <w:r>
        <w:rPr>
          <w:rFonts w:hint="eastAsia" w:ascii="宋体" w:hAnsi="宋体" w:cs="宋体"/>
          <w:sz w:val="24"/>
          <w:highlight w:val="none"/>
        </w:rPr>
        <w:t>方式：</w:t>
      </w:r>
    </w:p>
    <w:p>
      <w:pPr>
        <w:numPr>
          <w:ilvl w:val="0"/>
          <w:numId w:val="6"/>
        </w:numPr>
        <w:spacing w:line="520" w:lineRule="exact"/>
        <w:ind w:firstLine="465"/>
        <w:rPr>
          <w:rFonts w:ascii="宋体" w:hAnsi="宋体" w:cs="宋体"/>
          <w:sz w:val="24"/>
          <w:highlight w:val="none"/>
        </w:rPr>
      </w:pPr>
      <w:r>
        <w:rPr>
          <w:rFonts w:hint="eastAsia" w:ascii="宋体" w:hAnsi="宋体" w:cs="宋体"/>
          <w:sz w:val="24"/>
          <w:highlight w:val="none"/>
        </w:rPr>
        <w:t>以甲方地磅数的实际重量结算，若甲方地磅数大于乙方出厂送货单地磅数，以乙方出厂送货单地磅数结算。</w:t>
      </w:r>
    </w:p>
    <w:p>
      <w:pPr>
        <w:numPr>
          <w:ilvl w:val="0"/>
          <w:numId w:val="6"/>
        </w:numPr>
        <w:spacing w:line="520" w:lineRule="exact"/>
        <w:ind w:firstLine="465"/>
        <w:rPr>
          <w:rFonts w:ascii="宋体" w:hAnsi="宋体" w:cs="宋体"/>
          <w:sz w:val="24"/>
          <w:highlight w:val="none"/>
        </w:rPr>
      </w:pPr>
      <w:r>
        <w:rPr>
          <w:rFonts w:hint="eastAsia" w:ascii="宋体" w:hAnsi="宋体" w:cs="宋体"/>
          <w:sz w:val="24"/>
          <w:highlight w:val="none"/>
        </w:rPr>
        <w:t>以当月外运污泥总数*（乘以）当月甲方化验室检测平均含水率结果折算成纯干污泥量进行结算支付，甲方按合同单价乘以纯干污泥量每月与乙方结算一次。乙方根据结算金额开具等额增值税专用发票（或经甲方认可的国家合法的商品发票），交甲方办理付款手续。（干污泥的计算方法详见招标文件投标人须知的有关规定）</w:t>
      </w:r>
      <w:r>
        <w:rPr>
          <w:rFonts w:hint="eastAsia" w:ascii="宋体" w:hAnsi="宋体" w:cs="宋体"/>
          <w:b/>
          <w:bCs/>
          <w:sz w:val="24"/>
          <w:highlight w:val="none"/>
        </w:rPr>
        <w:t>（适用阳离子药剂）</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6.5甲方与乙方按照实际供货量结算，甲方按合同单价每月与乙方结算一次。乙方应在每月</w:t>
      </w:r>
      <w:r>
        <w:rPr>
          <w:rFonts w:hint="eastAsia" w:ascii="宋体" w:hAnsi="宋体" w:cs="宋体"/>
          <w:sz w:val="24"/>
          <w:highlight w:val="none"/>
          <w:u w:val="single"/>
        </w:rPr>
        <w:t xml:space="preserve"> 10 </w:t>
      </w:r>
      <w:r>
        <w:rPr>
          <w:rFonts w:hint="eastAsia" w:ascii="宋体" w:hAnsi="宋体" w:cs="宋体"/>
          <w:sz w:val="24"/>
          <w:highlight w:val="none"/>
        </w:rPr>
        <w:t>日前将结算表以书面形式交付甲方，若甲方对结算内容有异议，应书面回复乙方。乙方根据甲方确认的结算金额开具等额</w:t>
      </w:r>
      <w:r>
        <w:rPr>
          <w:rFonts w:hint="eastAsia" w:ascii="宋体" w:hAnsi="宋体" w:cs="宋体"/>
          <w:sz w:val="24"/>
          <w:highlight w:val="none"/>
          <w:u w:val="single"/>
        </w:rPr>
        <w:t>增值税专用发票</w:t>
      </w:r>
      <w:r>
        <w:rPr>
          <w:rFonts w:hint="eastAsia" w:ascii="宋体" w:hAnsi="宋体" w:cs="宋体"/>
          <w:sz w:val="24"/>
          <w:highlight w:val="none"/>
        </w:rPr>
        <w:t>（或经甲方认可的国家合法的商品发票），交甲方办理付款手续。</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6.6乙方收款账户：</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 xml:space="preserve">开户行：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收款账号：</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乙方在收款前需向甲方提交等额增值税专用发票，增值税专用发票信息：</w:t>
      </w:r>
    </w:p>
    <w:p>
      <w:pPr>
        <w:spacing w:line="520" w:lineRule="exact"/>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名称：广州市净水有限公司</w:t>
      </w:r>
    </w:p>
    <w:p>
      <w:pPr>
        <w:spacing w:line="520" w:lineRule="exact"/>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纳税人识别号：91440101755584729Q</w:t>
      </w:r>
    </w:p>
    <w:p>
      <w:pPr>
        <w:spacing w:line="520" w:lineRule="exact"/>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地址、电话：广州市天河区临江大道501号；020-38890283</w:t>
      </w:r>
    </w:p>
    <w:p>
      <w:pPr>
        <w:spacing w:line="520" w:lineRule="exact"/>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开户行：民生银行广州分行</w:t>
      </w:r>
    </w:p>
    <w:p>
      <w:pPr>
        <w:spacing w:line="520" w:lineRule="exact"/>
        <w:ind w:firstLine="480" w:firstLineChars="200"/>
        <w:rPr>
          <w:rFonts w:hint="default" w:ascii="宋体" w:hAnsi="宋体" w:cs="宋体"/>
          <w:sz w:val="24"/>
          <w:highlight w:val="none"/>
          <w:u w:val="single"/>
          <w:lang w:val="en-US" w:eastAsia="zh-CN"/>
        </w:rPr>
      </w:pPr>
      <w:r>
        <w:rPr>
          <w:rFonts w:hint="eastAsia" w:ascii="宋体" w:hAnsi="宋体" w:cs="宋体"/>
          <w:sz w:val="24"/>
          <w:highlight w:val="none"/>
          <w:u w:val="single"/>
          <w:lang w:val="en-US" w:eastAsia="zh-CN"/>
        </w:rPr>
        <w:t>账号：0301014140006932</w:t>
      </w:r>
    </w:p>
    <w:p>
      <w:pPr>
        <w:spacing w:line="520" w:lineRule="exact"/>
        <w:ind w:firstLine="482" w:firstLineChars="200"/>
        <w:rPr>
          <w:rFonts w:ascii="宋体" w:hAnsi="宋体" w:cs="宋体"/>
          <w:sz w:val="24"/>
          <w:highlight w:val="none"/>
        </w:rPr>
      </w:pPr>
      <w:r>
        <w:rPr>
          <w:rFonts w:hint="eastAsia" w:ascii="宋体" w:hAnsi="宋体" w:cs="宋体"/>
          <w:b/>
          <w:bCs/>
          <w:sz w:val="24"/>
          <w:highlight w:val="none"/>
        </w:rPr>
        <w:t>第七条 包装、装运和运输</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7.1乙方负责把货物安全运到交货地点。</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7.2包装必须与运输方式相适应，包装上应附有产品合格证书，内容包括：产品名称、生产厂家名称、批号、净含量、生产日期及标准编号等。考虑运输和储存中的各种情况（如暴露于恶劣天气等），包装必须满足运输、转运、装卸和储存的要求。</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7.3包装方式由乙方负责，因包装方式不当对货物造成损坏的（包括货物质量、安全责任、财产损失等），均由乙方负责。</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7.4乙方运输过程应防止药剂雨淋、受潮，并避免有毒物品的污染。投药过程需做好无缝对接措施，确保药液不外泄。交货期间所需办理的所有手续及费用由乙方自行负责，甲方不提供任何文件及协助。</w:t>
      </w:r>
    </w:p>
    <w:p>
      <w:pPr>
        <w:spacing w:line="520" w:lineRule="exact"/>
        <w:ind w:firstLine="410"/>
        <w:rPr>
          <w:rFonts w:ascii="宋体" w:hAnsi="宋体" w:cs="宋体"/>
          <w:sz w:val="24"/>
          <w:highlight w:val="none"/>
        </w:rPr>
      </w:pPr>
      <w:r>
        <w:rPr>
          <w:rFonts w:hint="eastAsia" w:ascii="宋体" w:hAnsi="宋体" w:cs="宋体"/>
          <w:sz w:val="24"/>
          <w:highlight w:val="none"/>
        </w:rPr>
        <w:t>7.5乙方车辆运输</w:t>
      </w:r>
      <w:r>
        <w:rPr>
          <w:rFonts w:hint="eastAsia" w:ascii="宋体" w:hAnsi="宋体" w:cs="宋体"/>
          <w:sz w:val="24"/>
          <w:highlight w:val="none"/>
          <w:u w:val="single"/>
          <w:lang w:val="en-US" w:eastAsia="zh-CN"/>
        </w:rPr>
        <w:t xml:space="preserve"> </w:t>
      </w:r>
      <w:r>
        <w:rPr>
          <w:rFonts w:hint="eastAsia" w:ascii="宋体" w:hAnsi="宋体" w:cs="宋体"/>
          <w:color w:val="auto"/>
          <w:sz w:val="24"/>
          <w:highlight w:val="none"/>
          <w:u w:val="single"/>
          <w:lang w:val="en-US" w:eastAsia="zh-CN"/>
        </w:rPr>
        <w:t>草酸</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产品时必须合法合规，其运输荷载要根据甲方现场情况调整，因乙方原因造成的甲方或第三方损失的一切责任由乙方承担。</w:t>
      </w:r>
    </w:p>
    <w:p>
      <w:pPr>
        <w:spacing w:line="520" w:lineRule="exact"/>
        <w:rPr>
          <w:rFonts w:ascii="宋体" w:hAnsi="宋体" w:cs="宋体"/>
          <w:b/>
          <w:sz w:val="24"/>
          <w:highlight w:val="none"/>
        </w:rPr>
      </w:pPr>
      <w:r>
        <w:rPr>
          <w:rFonts w:hint="eastAsia" w:ascii="宋体" w:hAnsi="宋体" w:cs="宋体"/>
          <w:b/>
          <w:sz w:val="24"/>
          <w:highlight w:val="none"/>
        </w:rPr>
        <w:tab/>
      </w:r>
      <w:r>
        <w:rPr>
          <w:rFonts w:hint="eastAsia" w:ascii="宋体" w:hAnsi="宋体" w:cs="宋体"/>
          <w:b/>
          <w:sz w:val="24"/>
          <w:highlight w:val="none"/>
        </w:rPr>
        <w:t>第八条 交货要求</w:t>
      </w:r>
    </w:p>
    <w:p>
      <w:pPr>
        <w:spacing w:line="520" w:lineRule="exact"/>
        <w:rPr>
          <w:rFonts w:ascii="宋体" w:hAnsi="宋体" w:cs="宋体"/>
          <w:b/>
          <w:sz w:val="24"/>
          <w:highlight w:val="none"/>
        </w:rPr>
      </w:pPr>
      <w:r>
        <w:rPr>
          <w:rFonts w:hint="eastAsia" w:ascii="宋体" w:hAnsi="宋体" w:cs="宋体"/>
          <w:b/>
          <w:sz w:val="24"/>
          <w:highlight w:val="none"/>
        </w:rPr>
        <w:tab/>
      </w:r>
      <w:r>
        <w:rPr>
          <w:rFonts w:hint="eastAsia" w:ascii="宋体" w:hAnsi="宋体" w:cs="宋体"/>
          <w:b/>
          <w:sz w:val="24"/>
          <w:highlight w:val="none"/>
        </w:rPr>
        <w:t xml:space="preserve"> </w:t>
      </w:r>
      <w:r>
        <w:rPr>
          <w:rFonts w:hint="eastAsia" w:ascii="宋体" w:hAnsi="宋体" w:cs="宋体"/>
          <w:sz w:val="24"/>
          <w:highlight w:val="none"/>
        </w:rPr>
        <w:t>8.1交货时间：</w:t>
      </w:r>
      <w:r>
        <w:rPr>
          <w:rFonts w:hint="eastAsia" w:ascii="宋体" w:hAnsi="宋体" w:cs="宋体"/>
          <w:bCs/>
          <w:sz w:val="24"/>
          <w:highlight w:val="none"/>
        </w:rPr>
        <w:t>合同期内甲方提前24小时以传真或电子邮件（短信或微信）等形式通知乙方交货时间、名称、型号、数量，乙方必须按要求送货。</w:t>
      </w:r>
    </w:p>
    <w:p>
      <w:pPr>
        <w:spacing w:line="520" w:lineRule="exact"/>
        <w:rPr>
          <w:rFonts w:ascii="宋体" w:hAnsi="宋体" w:cs="宋体"/>
          <w:b/>
          <w:sz w:val="24"/>
          <w:highlight w:val="none"/>
        </w:rPr>
      </w:pPr>
      <w:r>
        <w:rPr>
          <w:rFonts w:hint="eastAsia" w:ascii="宋体" w:hAnsi="宋体" w:cs="宋体"/>
          <w:b/>
          <w:sz w:val="24"/>
          <w:highlight w:val="none"/>
        </w:rPr>
        <w:tab/>
      </w:r>
      <w:r>
        <w:rPr>
          <w:rFonts w:hint="eastAsia" w:ascii="宋体" w:hAnsi="宋体" w:cs="宋体"/>
          <w:b/>
          <w:sz w:val="24"/>
          <w:highlight w:val="none"/>
        </w:rPr>
        <w:t xml:space="preserve"> </w:t>
      </w:r>
      <w:r>
        <w:rPr>
          <w:rFonts w:hint="eastAsia" w:ascii="宋体" w:hAnsi="宋体" w:cs="宋体"/>
          <w:sz w:val="24"/>
          <w:highlight w:val="none"/>
        </w:rPr>
        <w:t>8.2乙方必须在交货时一并提供每批货物的质量合格证书、使用说明书等附随资料，内容包括：生产名称、生产日期、净含量等，产品必须符合</w:t>
      </w:r>
      <w:r>
        <w:rPr>
          <w:rFonts w:hint="eastAsia" w:ascii="宋体" w:hAnsi="宋体" w:cs="宋体"/>
          <w:kern w:val="0"/>
          <w:sz w:val="24"/>
          <w:highlight w:val="none"/>
        </w:rPr>
        <w:t>国家标准或化工行业相关最新标准</w:t>
      </w:r>
      <w:r>
        <w:rPr>
          <w:rFonts w:hint="eastAsia" w:ascii="宋体" w:hAnsi="宋体" w:cs="宋体"/>
          <w:sz w:val="24"/>
          <w:highlight w:val="none"/>
        </w:rPr>
        <w:t>，证明及标准编号，经甲方检验货物的基本资料合格后方能交付。货物毁损、灭失的风险，在交付前由乙方承担。</w:t>
      </w:r>
    </w:p>
    <w:p>
      <w:pPr>
        <w:spacing w:line="520" w:lineRule="exact"/>
        <w:rPr>
          <w:rFonts w:ascii="宋体" w:hAnsi="宋体" w:cs="宋体"/>
          <w:b/>
          <w:sz w:val="24"/>
          <w:highlight w:val="none"/>
        </w:rPr>
      </w:pPr>
      <w:r>
        <w:rPr>
          <w:rFonts w:hint="eastAsia" w:ascii="宋体" w:hAnsi="宋体" w:cs="宋体"/>
          <w:b/>
          <w:sz w:val="24"/>
          <w:highlight w:val="none"/>
        </w:rPr>
        <w:tab/>
      </w:r>
      <w:r>
        <w:rPr>
          <w:rFonts w:hint="eastAsia" w:ascii="宋体" w:hAnsi="宋体" w:cs="宋体"/>
          <w:b/>
          <w:sz w:val="24"/>
          <w:highlight w:val="none"/>
        </w:rPr>
        <w:t xml:space="preserve"> </w:t>
      </w:r>
      <w:r>
        <w:rPr>
          <w:rFonts w:hint="eastAsia" w:ascii="宋体" w:hAnsi="宋体" w:cs="宋体"/>
          <w:sz w:val="24"/>
          <w:highlight w:val="none"/>
        </w:rPr>
        <w:t>8.3</w:t>
      </w:r>
      <w:r>
        <w:rPr>
          <w:rFonts w:hint="eastAsia" w:ascii="宋体" w:hAnsi="宋体" w:cs="宋体"/>
          <w:bCs/>
          <w:sz w:val="24"/>
          <w:highlight w:val="none"/>
        </w:rPr>
        <w:t>乙方随货开具送货单交甲方盖章或签字，送货单一式两份，双方各执一份。</w:t>
      </w:r>
    </w:p>
    <w:p>
      <w:pPr>
        <w:spacing w:line="520" w:lineRule="exact"/>
        <w:rPr>
          <w:rFonts w:ascii="宋体" w:hAnsi="宋体" w:cs="宋体"/>
          <w:b/>
          <w:sz w:val="24"/>
          <w:highlight w:val="none"/>
        </w:rPr>
      </w:pPr>
      <w:r>
        <w:rPr>
          <w:rFonts w:hint="eastAsia" w:ascii="宋体" w:hAnsi="宋体" w:cs="宋体"/>
          <w:b/>
          <w:sz w:val="24"/>
          <w:highlight w:val="none"/>
        </w:rPr>
        <w:t xml:space="preserve">    第九条 履约担保</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9.1履约担保提交时间按（1）执行。</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（1）乙方在签订合同前，应向甲方提交履约担保，担保金为合同暂定总价的</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，即人民币</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元（按招标文件或询价文件要求）。</w:t>
      </w:r>
    </w:p>
    <w:p>
      <w:pPr>
        <w:spacing w:line="520" w:lineRule="exact"/>
        <w:ind w:firstLine="480" w:firstLineChars="200"/>
        <w:jc w:val="left"/>
        <w:rPr>
          <w:rFonts w:ascii="宋体" w:hAnsi="宋体" w:cs="宋体"/>
          <w:kern w:val="0"/>
          <w:sz w:val="24"/>
          <w:highlight w:val="none"/>
        </w:rPr>
      </w:pPr>
      <w:r>
        <w:rPr>
          <w:rFonts w:hint="eastAsia" w:ascii="宋体" w:hAnsi="宋体" w:cs="宋体"/>
          <w:sz w:val="24"/>
          <w:highlight w:val="none"/>
        </w:rPr>
        <w:t>（2）</w:t>
      </w:r>
      <w:r>
        <w:rPr>
          <w:rFonts w:hint="eastAsia" w:ascii="宋体" w:hAnsi="宋体" w:cs="宋体"/>
          <w:kern w:val="0"/>
          <w:sz w:val="24"/>
          <w:highlight w:val="none"/>
        </w:rPr>
        <w:t>乙方在签订合同后15个工作日内提交履约担保，担保金为合同暂定总价的10%，即人民币</w:t>
      </w:r>
      <w:r>
        <w:rPr>
          <w:rFonts w:hint="eastAsia" w:ascii="宋体" w:hAnsi="宋体" w:cs="宋体"/>
          <w:kern w:val="0"/>
          <w:sz w:val="24"/>
          <w:highlight w:val="none"/>
          <w:u w:val="single"/>
        </w:rPr>
        <w:t xml:space="preserve">         </w:t>
      </w:r>
      <w:r>
        <w:rPr>
          <w:rFonts w:hint="eastAsia" w:ascii="宋体" w:hAnsi="宋体" w:cs="宋体"/>
          <w:kern w:val="0"/>
          <w:sz w:val="24"/>
          <w:highlight w:val="none"/>
        </w:rPr>
        <w:t>元。未按时提供的，甲方有权解除合同并要求乙方支付违约金</w:t>
      </w:r>
      <w:r>
        <w:rPr>
          <w:rFonts w:hint="eastAsia" w:ascii="宋体" w:hAnsi="宋体" w:cs="宋体"/>
          <w:kern w:val="0"/>
          <w:sz w:val="24"/>
          <w:highlight w:val="none"/>
          <w:u w:val="single"/>
        </w:rPr>
        <w:t xml:space="preserve">   </w:t>
      </w:r>
      <w:r>
        <w:rPr>
          <w:rFonts w:hint="eastAsia" w:ascii="宋体" w:hAnsi="宋体" w:cs="宋体"/>
          <w:kern w:val="0"/>
          <w:sz w:val="24"/>
          <w:highlight w:val="none"/>
        </w:rPr>
        <w:t>元（适用应急项目）。</w:t>
      </w:r>
    </w:p>
    <w:p>
      <w:pPr>
        <w:pStyle w:val="18"/>
        <w:spacing w:before="0" w:beforeAutospacing="0" w:after="0" w:afterAutospacing="0" w:line="520" w:lineRule="exact"/>
        <w:ind w:firstLine="480"/>
        <w:rPr>
          <w:highlight w:val="none"/>
        </w:rPr>
      </w:pPr>
      <w:r>
        <w:rPr>
          <w:rFonts w:hint="eastAsia"/>
          <w:highlight w:val="none"/>
        </w:rPr>
        <w:t>9.2</w:t>
      </w:r>
      <w:r>
        <w:rPr>
          <w:highlight w:val="none"/>
        </w:rPr>
        <w:t>履约担保</w:t>
      </w:r>
      <w:r>
        <w:rPr>
          <w:rFonts w:hint="eastAsia"/>
          <w:highlight w:val="none"/>
        </w:rPr>
        <w:t>按以下任一种形式提供</w:t>
      </w:r>
      <w:r>
        <w:rPr>
          <w:highlight w:val="none"/>
        </w:rPr>
        <w:t>：</w:t>
      </w:r>
    </w:p>
    <w:p>
      <w:pPr>
        <w:pStyle w:val="18"/>
        <w:spacing w:before="0" w:beforeAutospacing="0" w:after="0" w:afterAutospacing="0" w:line="520" w:lineRule="exact"/>
        <w:ind w:firstLine="480"/>
        <w:rPr>
          <w:highlight w:val="none"/>
        </w:rPr>
      </w:pPr>
      <w:r>
        <w:rPr>
          <w:rFonts w:hint="eastAsia"/>
          <w:highlight w:val="none"/>
        </w:rPr>
        <w:t>1、符合甲方要求（详见附件8保函格式）的银行独立保函，</w:t>
      </w:r>
    </w:p>
    <w:p>
      <w:pPr>
        <w:pStyle w:val="18"/>
        <w:spacing w:before="0" w:beforeAutospacing="0" w:after="0" w:afterAutospacing="0" w:line="520" w:lineRule="exact"/>
        <w:ind w:firstLine="480"/>
        <w:rPr>
          <w:highlight w:val="none"/>
        </w:rPr>
      </w:pPr>
      <w:r>
        <w:rPr>
          <w:rFonts w:hint="eastAsia"/>
          <w:highlight w:val="none"/>
        </w:rPr>
        <w:t>2、现金转账至甲方以下指定账户：</w:t>
      </w:r>
    </w:p>
    <w:p>
      <w:pPr>
        <w:tabs>
          <w:tab w:val="left" w:pos="1995"/>
        </w:tabs>
        <w:spacing w:line="520" w:lineRule="exact"/>
        <w:ind w:firstLine="480" w:firstLineChars="200"/>
        <w:rPr>
          <w:rFonts w:hint="eastAsia" w:ascii="宋体" w:hAnsi="宋体" w:cs="宋体"/>
          <w:bCs/>
          <w:sz w:val="24"/>
          <w:highlight w:val="none"/>
        </w:rPr>
      </w:pPr>
      <w:r>
        <w:rPr>
          <w:rFonts w:hint="eastAsia" w:ascii="宋体" w:hAnsi="宋体" w:cs="宋体"/>
          <w:bCs/>
          <w:sz w:val="24"/>
          <w:highlight w:val="none"/>
        </w:rPr>
        <w:t>户名：</w:t>
      </w:r>
    </w:p>
    <w:p>
      <w:pPr>
        <w:tabs>
          <w:tab w:val="left" w:pos="1995"/>
        </w:tabs>
        <w:spacing w:line="520" w:lineRule="exact"/>
        <w:ind w:firstLine="480" w:firstLineChars="200"/>
        <w:rPr>
          <w:rFonts w:hint="eastAsia" w:ascii="宋体" w:hAnsi="宋体" w:cs="宋体"/>
          <w:bCs/>
          <w:sz w:val="24"/>
          <w:highlight w:val="none"/>
        </w:rPr>
      </w:pPr>
      <w:r>
        <w:rPr>
          <w:rFonts w:hint="eastAsia" w:ascii="宋体" w:hAnsi="宋体" w:cs="宋体"/>
          <w:bCs/>
          <w:sz w:val="24"/>
          <w:highlight w:val="none"/>
        </w:rPr>
        <w:t>账号：</w:t>
      </w:r>
    </w:p>
    <w:p>
      <w:pPr>
        <w:tabs>
          <w:tab w:val="left" w:pos="1995"/>
        </w:tabs>
        <w:spacing w:line="520" w:lineRule="exact"/>
        <w:ind w:firstLine="480" w:firstLineChars="200"/>
      </w:pPr>
      <w:r>
        <w:rPr>
          <w:rFonts w:hint="eastAsia" w:ascii="宋体" w:hAnsi="宋体" w:cs="宋体"/>
          <w:bCs/>
          <w:sz w:val="24"/>
          <w:highlight w:val="none"/>
        </w:rPr>
        <w:t>开户行：</w:t>
      </w:r>
    </w:p>
    <w:p>
      <w:pPr>
        <w:spacing w:line="520" w:lineRule="exact"/>
        <w:ind w:firstLine="420"/>
        <w:rPr>
          <w:rFonts w:ascii="宋体" w:hAnsi="宋体" w:cs="宋体"/>
          <w:sz w:val="24"/>
          <w:highlight w:val="none"/>
        </w:rPr>
      </w:pPr>
      <w:r>
        <w:rPr>
          <w:rFonts w:hint="eastAsia" w:ascii="宋体" w:hAnsi="宋体" w:cs="宋体"/>
          <w:sz w:val="24"/>
          <w:highlight w:val="none"/>
        </w:rPr>
        <w:t>9.3履约担保的担保期限和返还</w:t>
      </w:r>
    </w:p>
    <w:p>
      <w:pPr>
        <w:spacing w:line="520" w:lineRule="exact"/>
        <w:ind w:firstLine="420" w:firstLineChars="175"/>
        <w:rPr>
          <w:rFonts w:ascii="宋体" w:hAnsi="宋体" w:cs="宋体"/>
          <w:sz w:val="24"/>
          <w:highlight w:val="none"/>
        </w:rPr>
      </w:pPr>
      <w:r>
        <w:rPr>
          <w:rFonts w:hint="eastAsia" w:ascii="宋体" w:hAnsi="宋体" w:cs="宋体"/>
          <w:sz w:val="24"/>
          <w:highlight w:val="none"/>
        </w:rPr>
        <w:t>9.3.1履约银行保函（或现金履约保证金）的担保期限：从提供履约担保（或转账成功）之日起至合同履行完成。</w:t>
      </w:r>
    </w:p>
    <w:p>
      <w:pPr>
        <w:spacing w:line="520" w:lineRule="exact"/>
        <w:ind w:firstLine="420" w:firstLineChars="175"/>
        <w:rPr>
          <w:rFonts w:ascii="宋体" w:hAnsi="宋体" w:cs="宋体"/>
          <w:sz w:val="24"/>
          <w:highlight w:val="none"/>
        </w:rPr>
      </w:pPr>
      <w:r>
        <w:rPr>
          <w:rFonts w:hint="eastAsia" w:ascii="宋体" w:hAnsi="宋体" w:cs="宋体"/>
          <w:sz w:val="24"/>
          <w:highlight w:val="none"/>
        </w:rPr>
        <w:t>9.3.2履约银行保函在合同履行完成后，由乙方提出申请，甲方在28日内返还，不支付利息；</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9.3.3现金转账形式：合同履行完成后，由乙方提出申请，甲方在28日内将保证金（无息）返还。</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9.3.4延长担保期限：乙方以履约银行保函形式提交履约保证金的，在银行保函到期前，乙方应提前7日向甲方提交新的保函以替换即将到期的保函。如乙方未及时提交的，甲方有权直接要求担保银行支付其担保的全部金额并解除合同。</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9.3.5甲方按本合同规定提取履约担保金额后，乙方应在收到甲方通知后</w:t>
      </w:r>
      <w:r>
        <w:rPr>
          <w:rFonts w:ascii="宋体" w:hAnsi="宋体" w:cs="宋体"/>
          <w:sz w:val="24"/>
          <w:highlight w:val="none"/>
          <w:u w:val="single"/>
        </w:rPr>
        <w:t xml:space="preserve"> 7</w:t>
      </w:r>
      <w:r>
        <w:rPr>
          <w:rFonts w:hint="eastAsia" w:ascii="宋体" w:hAnsi="宋体" w:cs="宋体"/>
          <w:sz w:val="24"/>
          <w:highlight w:val="none"/>
        </w:rPr>
        <w:t>日内补足数额，逾期未补足的，则甲方有权提取履约担保的全部余额，并有权解除合同。</w:t>
      </w:r>
    </w:p>
    <w:p>
      <w:pPr>
        <w:numPr>
          <w:ilvl w:val="255"/>
          <w:numId w:val="0"/>
        </w:numPr>
        <w:spacing w:line="520" w:lineRule="exact"/>
        <w:ind w:firstLine="482" w:firstLineChars="200"/>
        <w:rPr>
          <w:rFonts w:ascii="宋体" w:hAnsi="宋体" w:cs="宋体"/>
          <w:b/>
          <w:sz w:val="24"/>
          <w:highlight w:val="none"/>
        </w:rPr>
      </w:pPr>
      <w:r>
        <w:rPr>
          <w:rFonts w:hint="eastAsia" w:ascii="宋体" w:hAnsi="宋体" w:cs="宋体"/>
          <w:b/>
          <w:sz w:val="24"/>
          <w:highlight w:val="none"/>
        </w:rPr>
        <w:t>第十条 本合同技术服务按以下</w:t>
      </w:r>
      <w:r>
        <w:rPr>
          <w:rFonts w:hint="eastAsia" w:ascii="宋体" w:hAnsi="宋体" w:cs="宋体"/>
          <w:b/>
          <w:sz w:val="24"/>
          <w:highlight w:val="none"/>
          <w:u w:val="single"/>
        </w:rPr>
        <w:t>（1）</w:t>
      </w:r>
      <w:r>
        <w:rPr>
          <w:rFonts w:hint="eastAsia" w:ascii="宋体" w:hAnsi="宋体" w:cs="宋体"/>
          <w:b/>
          <w:sz w:val="24"/>
          <w:highlight w:val="none"/>
        </w:rPr>
        <w:t>方式执行：</w:t>
      </w:r>
    </w:p>
    <w:p>
      <w:pPr>
        <w:spacing w:line="520" w:lineRule="exact"/>
        <w:ind w:firstLine="482" w:firstLineChars="200"/>
        <w:rPr>
          <w:rFonts w:ascii="宋体" w:hAnsi="宋体" w:cs="宋体"/>
          <w:b/>
          <w:sz w:val="24"/>
          <w:highlight w:val="none"/>
        </w:rPr>
      </w:pPr>
      <w:r>
        <w:rPr>
          <w:rFonts w:hint="eastAsia" w:ascii="宋体" w:hAnsi="宋体" w:cs="宋体"/>
          <w:b/>
          <w:sz w:val="24"/>
          <w:highlight w:val="none"/>
        </w:rPr>
        <w:t>（1）适用常规生产药剂</w:t>
      </w:r>
    </w:p>
    <w:p>
      <w:pPr>
        <w:spacing w:line="520" w:lineRule="exact"/>
        <w:ind w:firstLine="480" w:firstLineChars="200"/>
        <w:rPr>
          <w:rFonts w:ascii="宋体" w:hAnsi="宋体" w:cs="宋体"/>
          <w:b/>
          <w:sz w:val="24"/>
          <w:highlight w:val="none"/>
        </w:rPr>
      </w:pPr>
      <w:r>
        <w:rPr>
          <w:rFonts w:hint="eastAsia" w:ascii="宋体" w:hAnsi="宋体" w:cs="宋体"/>
          <w:sz w:val="24"/>
          <w:highlight w:val="none"/>
        </w:rPr>
        <w:t>10.1供货期内，乙方需在生产现场提供装卸服务。要求保持甲方储存池内的安全库存。</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10.2供货期内，乙方提供相关技术服务和支持。</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1）包含不限于以下服务：</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①安全服务：按甲方需求，乙方协助联合突发抢险应急演练及培训。</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10.3供货期内，若甲方有相关需求，乙方应提供每6个月一次药剂容器清洗服务。</w:t>
      </w:r>
    </w:p>
    <w:p>
      <w:pPr>
        <w:spacing w:line="520" w:lineRule="exact"/>
        <w:ind w:firstLine="480" w:firstLineChars="200"/>
        <w:rPr>
          <w:rFonts w:ascii="宋体" w:hAnsi="宋体" w:cs="宋体"/>
          <w:kern w:val="0"/>
          <w:sz w:val="24"/>
          <w:highlight w:val="none"/>
        </w:rPr>
      </w:pPr>
      <w:r>
        <w:rPr>
          <w:rFonts w:hint="eastAsia" w:ascii="宋体" w:hAnsi="宋体" w:cs="宋体"/>
          <w:sz w:val="24"/>
          <w:highlight w:val="none"/>
        </w:rPr>
        <w:t>10.4</w:t>
      </w:r>
      <w:r>
        <w:rPr>
          <w:rFonts w:hint="eastAsia" w:ascii="宋体" w:hAnsi="宋体" w:cs="宋体"/>
          <w:kern w:val="0"/>
          <w:sz w:val="24"/>
          <w:highlight w:val="none"/>
        </w:rPr>
        <w:t>若乙方不能提供符合国家、省、市或行业标准的技术服务，甲方有权自行委托第三方提供服务，费用由乙方承担，在结算货款或履约保证金中扣除。</w:t>
      </w:r>
    </w:p>
    <w:p>
      <w:pPr>
        <w:spacing w:line="520" w:lineRule="exact"/>
        <w:ind w:firstLine="480" w:firstLineChars="200"/>
        <w:rPr>
          <w:rFonts w:ascii="宋体" w:hAnsi="宋体" w:cs="宋体"/>
          <w:sz w:val="24"/>
          <w:highlight w:val="none"/>
        </w:rPr>
      </w:pPr>
      <w:bookmarkStart w:id="85" w:name="OLE_LINK21"/>
      <w:r>
        <w:rPr>
          <w:rFonts w:hint="eastAsia" w:ascii="宋体" w:hAnsi="宋体" w:cs="宋体"/>
          <w:sz w:val="24"/>
          <w:highlight w:val="none"/>
        </w:rPr>
        <w:t>10.5供货期内，乙方需根据甲方需求，及时提供相关货品的技术支持（含咨询、技术交流等形式）。</w:t>
      </w:r>
    </w:p>
    <w:p>
      <w:pPr>
        <w:spacing w:line="520" w:lineRule="exact"/>
        <w:ind w:firstLine="482" w:firstLineChars="200"/>
        <w:rPr>
          <w:rFonts w:ascii="宋体" w:hAnsi="宋体" w:cs="宋体"/>
          <w:b/>
          <w:sz w:val="24"/>
          <w:highlight w:val="none"/>
        </w:rPr>
      </w:pPr>
      <w:r>
        <w:rPr>
          <w:rFonts w:hint="eastAsia" w:ascii="宋体" w:hAnsi="宋体" w:cs="宋体"/>
          <w:b/>
          <w:sz w:val="24"/>
          <w:highlight w:val="none"/>
        </w:rPr>
        <w:t>（2）适用阳离子药剂</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10.4.供货期内，乙方需安排固定工作人员为甲方辖下各分/子公司生产现场提供24小时药剂投加服务，同时应组建技术服务团队，为各厂提供24小时三班运转的技术和生产工艺咨询服务，以便及时根据污泥泥质、产泥量等的变化情况调整投加配方。服务小组人员的工资、保险及食宿等全部费用应已包含在乙方的报价内。</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10.5.若乙方技术人员不能提供符合国家、省、市或行业标准的技术服务或不服从甲方的安排，甲方有权按每人5000元收取违约金并自行聘请其他服务人员，上述违约金以及另行聘请所产生的费用甲方有权直接在货款或履约保证金中扣除。</w:t>
      </w:r>
    </w:p>
    <w:bookmarkEnd w:id="85"/>
    <w:p>
      <w:pPr>
        <w:spacing w:line="520" w:lineRule="exact"/>
        <w:ind w:firstLine="482" w:firstLineChars="200"/>
        <w:rPr>
          <w:rFonts w:ascii="宋体" w:hAnsi="宋体" w:cs="宋体"/>
          <w:b/>
          <w:sz w:val="24"/>
          <w:highlight w:val="none"/>
        </w:rPr>
      </w:pPr>
      <w:r>
        <w:rPr>
          <w:rFonts w:hint="eastAsia" w:ascii="宋体" w:hAnsi="宋体" w:cs="宋体"/>
          <w:b/>
          <w:sz w:val="24"/>
          <w:highlight w:val="none"/>
        </w:rPr>
        <w:t>第十一条 不可抗力</w:t>
      </w:r>
    </w:p>
    <w:p>
      <w:pPr>
        <w:widowControl/>
        <w:spacing w:line="520" w:lineRule="exact"/>
        <w:ind w:firstLine="480" w:firstLineChars="200"/>
        <w:rPr>
          <w:rFonts w:ascii="宋体" w:hAnsi="宋体" w:cs="宋体"/>
          <w:sz w:val="24"/>
          <w:highlight w:val="none"/>
        </w:rPr>
      </w:pPr>
      <w:r>
        <w:rPr>
          <w:rFonts w:ascii="宋体" w:hAnsi="宋体" w:cs="宋体"/>
          <w:sz w:val="24"/>
          <w:highlight w:val="none"/>
        </w:rPr>
        <w:t>11.1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spacing w:line="520" w:lineRule="exact"/>
        <w:ind w:firstLine="480" w:firstLineChars="200"/>
        <w:rPr>
          <w:rFonts w:ascii="宋体" w:hAnsi="宋体" w:cs="宋体"/>
          <w:sz w:val="24"/>
          <w:highlight w:val="none"/>
        </w:rPr>
      </w:pPr>
      <w:r>
        <w:rPr>
          <w:rFonts w:hint="eastAsia" w:ascii="宋体" w:hAnsi="宋体" w:cs="宋体"/>
          <w:sz w:val="24"/>
          <w:highlight w:val="none"/>
        </w:rPr>
        <w:t>⑴ 地震、火山爆发、滑坡、暴雨（橙色预警及以上）、台风（黄色预警及以上）、海啸、龙卷风、大面积流行病</w:t>
      </w:r>
      <w:r>
        <w:rPr>
          <w:rFonts w:ascii="宋体" w:hAnsi="宋体" w:cs="宋体"/>
          <w:sz w:val="24"/>
          <w:highlight w:val="none"/>
        </w:rPr>
        <w:t>(如：非典型性肺炎等)或瘟疫；</w:t>
      </w:r>
    </w:p>
    <w:p>
      <w:pPr>
        <w:widowControl/>
        <w:spacing w:line="520" w:lineRule="exact"/>
        <w:ind w:firstLine="480" w:firstLineChars="200"/>
        <w:rPr>
          <w:rFonts w:ascii="宋体" w:hAnsi="宋体" w:cs="宋体"/>
          <w:sz w:val="24"/>
          <w:highlight w:val="none"/>
        </w:rPr>
      </w:pPr>
      <w:r>
        <w:rPr>
          <w:rFonts w:hint="eastAsia" w:ascii="宋体" w:hAnsi="宋体" w:cs="宋体"/>
          <w:sz w:val="24"/>
          <w:highlight w:val="none"/>
        </w:rPr>
        <w:t>⑵ 战争行为、入侵、武装冲突或外敌行为、封锁、暴乱、恐怖行为或军事演习；</w:t>
      </w:r>
    </w:p>
    <w:p>
      <w:pPr>
        <w:widowControl/>
        <w:spacing w:line="520" w:lineRule="exact"/>
        <w:ind w:firstLine="480" w:firstLineChars="200"/>
        <w:rPr>
          <w:rFonts w:ascii="宋体" w:hAnsi="宋体" w:cs="宋体"/>
          <w:sz w:val="24"/>
          <w:highlight w:val="none"/>
        </w:rPr>
      </w:pPr>
      <w:r>
        <w:rPr>
          <w:rFonts w:ascii="宋体" w:hAnsi="宋体" w:cs="宋体"/>
          <w:sz w:val="24"/>
          <w:highlight w:val="none"/>
        </w:rPr>
        <w:t>11.2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spacing w:line="520" w:lineRule="exact"/>
        <w:ind w:firstLine="480" w:firstLineChars="200"/>
        <w:rPr>
          <w:rFonts w:ascii="宋体" w:hAnsi="宋体" w:cs="宋体"/>
          <w:sz w:val="24"/>
          <w:highlight w:val="none"/>
        </w:rPr>
      </w:pPr>
      <w:r>
        <w:rPr>
          <w:rFonts w:ascii="宋体" w:hAnsi="宋体" w:cs="宋体"/>
          <w:sz w:val="24"/>
          <w:highlight w:val="none"/>
        </w:rPr>
        <w:t>11.3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520" w:lineRule="exact"/>
        <w:ind w:firstLine="480" w:firstLineChars="200"/>
        <w:rPr>
          <w:rFonts w:ascii="宋体" w:hAnsi="宋体" w:cs="宋体"/>
          <w:sz w:val="24"/>
          <w:highlight w:val="none"/>
        </w:rPr>
      </w:pPr>
      <w:r>
        <w:rPr>
          <w:rFonts w:ascii="宋体" w:hAnsi="宋体" w:cs="宋体"/>
          <w:sz w:val="24"/>
          <w:highlight w:val="none"/>
        </w:rPr>
        <w:t>11.4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520" w:lineRule="exact"/>
        <w:ind w:firstLine="482" w:firstLineChars="200"/>
        <w:rPr>
          <w:rFonts w:ascii="宋体" w:hAnsi="宋体" w:cs="宋体"/>
          <w:b/>
          <w:sz w:val="24"/>
          <w:highlight w:val="none"/>
        </w:rPr>
      </w:pPr>
      <w:r>
        <w:rPr>
          <w:rFonts w:hint="eastAsia" w:ascii="宋体" w:hAnsi="宋体" w:cs="宋体"/>
          <w:b/>
          <w:sz w:val="24"/>
          <w:highlight w:val="none"/>
        </w:rPr>
        <w:t>第十二条 违约及索赔</w:t>
      </w:r>
    </w:p>
    <w:p>
      <w:pPr>
        <w:spacing w:line="520" w:lineRule="exact"/>
        <w:ind w:firstLine="360" w:firstLineChars="150"/>
        <w:rPr>
          <w:rFonts w:ascii="宋体" w:hAnsi="宋体" w:cs="宋体"/>
          <w:sz w:val="24"/>
          <w:highlight w:val="none"/>
        </w:rPr>
      </w:pPr>
      <w:r>
        <w:rPr>
          <w:rFonts w:hint="eastAsia" w:ascii="宋体" w:hAnsi="宋体" w:cs="宋体"/>
          <w:sz w:val="24"/>
          <w:highlight w:val="none"/>
        </w:rPr>
        <w:t>甲乙双方应该秉着诚实信用的原则履行合同。</w:t>
      </w:r>
    </w:p>
    <w:p>
      <w:pPr>
        <w:spacing w:line="520" w:lineRule="exact"/>
        <w:rPr>
          <w:rFonts w:ascii="宋体" w:hAnsi="宋体" w:cs="宋体"/>
          <w:b/>
          <w:sz w:val="24"/>
          <w:highlight w:val="none"/>
        </w:rPr>
      </w:pPr>
      <w:r>
        <w:rPr>
          <w:rFonts w:hint="eastAsia" w:ascii="宋体" w:hAnsi="宋体" w:cs="宋体"/>
          <w:sz w:val="24"/>
          <w:highlight w:val="none"/>
        </w:rPr>
        <w:tab/>
      </w:r>
      <w:r>
        <w:rPr>
          <w:rFonts w:hint="eastAsia" w:ascii="宋体" w:hAnsi="宋体" w:cs="宋体"/>
          <w:sz w:val="24"/>
          <w:highlight w:val="none"/>
        </w:rPr>
        <w:t>12.1若在供货期间乙方提供的货物不符合本合同要求的，</w:t>
      </w:r>
      <w:bookmarkStart w:id="86" w:name="OLE_LINK28"/>
      <w:r>
        <w:rPr>
          <w:rFonts w:hint="eastAsia" w:ascii="宋体" w:hAnsi="宋体" w:cs="宋体"/>
          <w:sz w:val="24"/>
          <w:highlight w:val="none"/>
        </w:rPr>
        <w:t>对甲方的设备造成损坏或对生产造成影响的，由乙方承担造成的损失。</w:t>
      </w:r>
      <w:bookmarkEnd w:id="86"/>
    </w:p>
    <w:p>
      <w:pPr>
        <w:spacing w:line="520" w:lineRule="exact"/>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12.2供货期内若乙方不能按时足额交货的，每逾期一天甲方有权扣除1万元违约金，所扣金额优先在当月结算货款内扣除。累计逾期</w:t>
      </w:r>
      <w:r>
        <w:rPr>
          <w:rFonts w:hint="eastAsia" w:ascii="宋体" w:hAnsi="宋体" w:cs="宋体"/>
          <w:sz w:val="24"/>
          <w:highlight w:val="none"/>
          <w:u w:val="single"/>
        </w:rPr>
        <w:t xml:space="preserve"> 10</w:t>
      </w:r>
      <w:r>
        <w:rPr>
          <w:rFonts w:hint="eastAsia" w:ascii="宋体" w:hAnsi="宋体" w:cs="宋体"/>
          <w:sz w:val="24"/>
          <w:highlight w:val="none"/>
        </w:rPr>
        <w:t>天以上或连续逾期</w:t>
      </w:r>
      <w:r>
        <w:rPr>
          <w:rFonts w:hint="eastAsia" w:ascii="宋体" w:hAnsi="宋体" w:cs="宋体"/>
          <w:sz w:val="24"/>
          <w:highlight w:val="none"/>
          <w:u w:val="single"/>
        </w:rPr>
        <w:t>5</w:t>
      </w:r>
      <w:r>
        <w:rPr>
          <w:rFonts w:hint="eastAsia" w:ascii="宋体" w:hAnsi="宋体" w:cs="宋体"/>
          <w:sz w:val="24"/>
          <w:highlight w:val="none"/>
        </w:rPr>
        <w:t>天以上，甲方有权单方解除本合同，扣除全部履约保证金，并要求乙方承担由此造成的损失。</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12.3由于乙方原因导致合同终止，甲方无需支付剩余货款，有权扣除全部履约保证金，并要求乙方承担由此造成的损失。</w:t>
      </w:r>
    </w:p>
    <w:p>
      <w:pPr>
        <w:spacing w:line="520" w:lineRule="exact"/>
        <w:ind w:firstLine="480" w:firstLineChars="200"/>
        <w:jc w:val="left"/>
        <w:rPr>
          <w:rFonts w:ascii="宋体" w:hAnsi="宋体" w:cs="宋体"/>
          <w:kern w:val="0"/>
          <w:sz w:val="24"/>
          <w:highlight w:val="none"/>
        </w:rPr>
      </w:pPr>
      <w:r>
        <w:rPr>
          <w:rFonts w:hint="eastAsia" w:ascii="宋体" w:hAnsi="宋体" w:cs="宋体"/>
          <w:sz w:val="24"/>
          <w:highlight w:val="none"/>
        </w:rPr>
        <w:t>12.4</w:t>
      </w:r>
      <w:r>
        <w:rPr>
          <w:rFonts w:hint="eastAsia" w:ascii="宋体" w:hAnsi="宋体" w:cs="宋体"/>
          <w:kern w:val="0"/>
          <w:sz w:val="24"/>
          <w:highlight w:val="none"/>
        </w:rPr>
        <w:t>甲方有权在结算货款及履约保证金中扣除乙方应支付的违约金，不足扣除的，乙方应另行支付。</w:t>
      </w:r>
    </w:p>
    <w:p>
      <w:pPr>
        <w:spacing w:line="520" w:lineRule="exact"/>
        <w:ind w:firstLine="480" w:firstLineChars="200"/>
        <w:jc w:val="left"/>
        <w:rPr>
          <w:rFonts w:ascii="宋体" w:hAnsi="宋体" w:cs="宋体"/>
          <w:sz w:val="24"/>
          <w:highlight w:val="none"/>
        </w:rPr>
      </w:pPr>
      <w:r>
        <w:rPr>
          <w:rFonts w:ascii="宋体" w:hAnsi="宋体" w:cs="宋体"/>
          <w:sz w:val="24"/>
          <w:highlight w:val="none"/>
        </w:rPr>
        <w:t>12.5乙方不履行合同义务、或履行合同义务不符合合同约定、或违反国家、省、市行业标准的，甲方有权要求乙方限期整改。乙方逾期未完成整改的，每项每超过1日支付违约金人民币1万元，超过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sz w:val="24"/>
          <w:highlight w:val="none"/>
          <w:u w:val="single"/>
          <w:lang w:val="en-US" w:eastAsia="zh-CN"/>
        </w:rPr>
        <w:t>15</w:t>
      </w:r>
      <w:r>
        <w:rPr>
          <w:rFonts w:ascii="宋体" w:hAnsi="宋体" w:cs="宋体"/>
          <w:sz w:val="24"/>
          <w:highlight w:val="none"/>
        </w:rPr>
        <w:t>日，甲方有权解除合同并要求乙方支付合同暂定总价的20%作为违约金</w:t>
      </w:r>
      <w:r>
        <w:rPr>
          <w:rFonts w:hint="eastAsia" w:asciiTheme="minorEastAsia" w:hAnsiTheme="minorEastAsia" w:eastAsiaTheme="minorEastAsia"/>
          <w:bCs/>
          <w:sz w:val="24"/>
          <w:highlight w:val="none"/>
        </w:rPr>
        <w:t>（</w:t>
      </w:r>
      <w:r>
        <w:rPr>
          <w:rFonts w:hint="eastAsia" w:cs="宋体"/>
          <w:sz w:val="24"/>
          <w:highlight w:val="none"/>
        </w:rPr>
        <w:t>如合同另行约定违约责任，从其约定</w:t>
      </w:r>
      <w:r>
        <w:rPr>
          <w:rFonts w:hint="eastAsia" w:asciiTheme="minorEastAsia" w:hAnsiTheme="minorEastAsia" w:eastAsiaTheme="minorEastAsia"/>
          <w:bCs/>
          <w:sz w:val="24"/>
          <w:highlight w:val="none"/>
        </w:rPr>
        <w:t>）</w:t>
      </w:r>
      <w:r>
        <w:rPr>
          <w:rFonts w:ascii="宋体" w:hAnsi="宋体" w:cs="宋体"/>
          <w:sz w:val="24"/>
          <w:highlight w:val="none"/>
        </w:rPr>
        <w:t>。</w:t>
      </w:r>
    </w:p>
    <w:p>
      <w:pPr>
        <w:spacing w:line="520" w:lineRule="exact"/>
        <w:rPr>
          <w:rFonts w:ascii="宋体" w:hAnsi="宋体" w:cs="宋体"/>
          <w:b/>
          <w:sz w:val="24"/>
          <w:highlight w:val="none"/>
        </w:rPr>
      </w:pPr>
      <w:r>
        <w:rPr>
          <w:rFonts w:hint="eastAsia" w:ascii="宋体" w:hAnsi="宋体" w:cs="宋体"/>
          <w:sz w:val="24"/>
          <w:highlight w:val="none"/>
        </w:rPr>
        <w:t xml:space="preserve">    </w:t>
      </w:r>
      <w:r>
        <w:rPr>
          <w:rFonts w:hint="eastAsia" w:ascii="宋体" w:hAnsi="宋体" w:cs="宋体"/>
          <w:b/>
          <w:sz w:val="24"/>
          <w:highlight w:val="none"/>
        </w:rPr>
        <w:t>第十三条 通讯和送达</w:t>
      </w:r>
    </w:p>
    <w:p>
      <w:pPr>
        <w:adjustRightInd w:val="0"/>
        <w:snapToGrid w:val="0"/>
        <w:spacing w:line="52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 xml:space="preserve">.1 </w:t>
      </w:r>
      <w:r>
        <w:rPr>
          <w:rFonts w:hint="eastAsia" w:ascii="宋体" w:hAnsi="宋体" w:cs="宋体"/>
          <w:sz w:val="24"/>
          <w:highlight w:val="none"/>
        </w:rPr>
        <w:t>通讯是指本合同各方依照本合同约定向另一方发出的通知、决定、指令、同意、证明等各类书面形式的函件。</w:t>
      </w:r>
    </w:p>
    <w:p>
      <w:pPr>
        <w:adjustRightInd w:val="0"/>
        <w:snapToGrid w:val="0"/>
        <w:spacing w:line="52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 xml:space="preserve">.2 </w:t>
      </w:r>
      <w:r>
        <w:rPr>
          <w:rFonts w:hint="eastAsia" w:ascii="宋体" w:hAnsi="宋体" w:cs="宋体"/>
          <w:sz w:val="24"/>
          <w:highlight w:val="none"/>
        </w:rPr>
        <w:t>通讯由专人递送的，各方签收之日为送达之日；由特快专递递送的，各方签收后视为已送达；由传真递送的，传真到达对方之日视为已送达；由电子邮件递送的，电子邮件成功发送时视为送达。</w:t>
      </w:r>
    </w:p>
    <w:p>
      <w:pPr>
        <w:adjustRightInd w:val="0"/>
        <w:snapToGrid w:val="0"/>
        <w:spacing w:line="52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 xml:space="preserve">.3 </w:t>
      </w:r>
      <w:r>
        <w:rPr>
          <w:rFonts w:hint="eastAsia" w:ascii="宋体" w:hAnsi="宋体" w:cs="宋体"/>
          <w:sz w:val="24"/>
          <w:highlight w:val="none"/>
        </w:rPr>
        <w:t>本合同各方变更通讯递送地址、联系人、电子邮件、传真的，应在变更之日起</w:t>
      </w:r>
      <w:r>
        <w:rPr>
          <w:rFonts w:hint="eastAsia" w:ascii="宋体" w:hAnsi="宋体"/>
          <w:sz w:val="24"/>
          <w:highlight w:val="none"/>
          <w:u w:val="single"/>
        </w:rPr>
        <w:t xml:space="preserve"> </w:t>
      </w:r>
      <w:r>
        <w:rPr>
          <w:rFonts w:hint="eastAsia"/>
          <w:sz w:val="24"/>
          <w:highlight w:val="none"/>
          <w:u w:val="single"/>
        </w:rPr>
        <w:t>7</w:t>
      </w:r>
      <w:r>
        <w:rPr>
          <w:rFonts w:hint="eastAsia" w:ascii="宋体" w:hAnsi="宋体"/>
          <w:sz w:val="24"/>
          <w:highlight w:val="none"/>
          <w:u w:val="single"/>
        </w:rPr>
        <w:t xml:space="preserve"> </w:t>
      </w:r>
      <w:r>
        <w:rPr>
          <w:rFonts w:hint="eastAsia" w:ascii="宋体" w:hAnsi="宋体" w:cs="宋体"/>
          <w:sz w:val="24"/>
          <w:highlight w:val="none"/>
        </w:rPr>
        <w:t>日内通知另一方。未通知的，另一方按本合同约定的通讯地址和联系方式发送的文件，均视为送达。</w:t>
      </w:r>
    </w:p>
    <w:p>
      <w:pPr>
        <w:spacing w:line="520" w:lineRule="exact"/>
        <w:ind w:firstLine="482" w:firstLineChars="200"/>
        <w:rPr>
          <w:rFonts w:ascii="宋体" w:hAnsi="宋体" w:cs="宋体"/>
          <w:b/>
          <w:sz w:val="24"/>
          <w:highlight w:val="none"/>
        </w:rPr>
      </w:pPr>
      <w:r>
        <w:rPr>
          <w:rFonts w:hint="eastAsia" w:ascii="宋体" w:hAnsi="宋体" w:cs="宋体"/>
          <w:b/>
          <w:bCs/>
          <w:sz w:val="24"/>
          <w:highlight w:val="none"/>
        </w:rPr>
        <w:t xml:space="preserve">第十四条 </w:t>
      </w:r>
      <w:r>
        <w:rPr>
          <w:rFonts w:hint="eastAsia" w:ascii="宋体" w:hAnsi="宋体" w:cs="宋体"/>
          <w:b/>
          <w:sz w:val="24"/>
          <w:highlight w:val="none"/>
        </w:rPr>
        <w:t>争端解决</w:t>
      </w:r>
    </w:p>
    <w:p>
      <w:pPr>
        <w:spacing w:line="520" w:lineRule="exact"/>
        <w:rPr>
          <w:rFonts w:ascii="宋体" w:hAnsi="宋体" w:cs="宋体"/>
          <w:b/>
          <w:sz w:val="24"/>
          <w:highlight w:val="none"/>
        </w:rPr>
      </w:pPr>
      <w:r>
        <w:rPr>
          <w:rFonts w:hint="eastAsia" w:ascii="宋体" w:hAnsi="宋体" w:cs="宋体"/>
          <w:b/>
          <w:sz w:val="24"/>
          <w:highlight w:val="none"/>
        </w:rPr>
        <w:tab/>
      </w:r>
      <w:r>
        <w:rPr>
          <w:rFonts w:hint="eastAsia" w:ascii="宋体" w:hAnsi="宋体" w:cs="宋体"/>
          <w:sz w:val="24"/>
          <w:highlight w:val="none"/>
        </w:rPr>
        <w:t>14.1双方应以协商的态度解决双方在执行本合同过程中产生的或与本合同有关的一切争端，双方协商不成，任何一方可依法向甲方所在地人民法院提起诉讼。</w:t>
      </w:r>
    </w:p>
    <w:p>
      <w:pPr>
        <w:spacing w:line="520" w:lineRule="exact"/>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14.2在甲方同意的情况下，除有争端之外的合同其它部分在争端解决前应继续执行。</w:t>
      </w:r>
    </w:p>
    <w:p>
      <w:pPr>
        <w:spacing w:line="520" w:lineRule="exact"/>
        <w:rPr>
          <w:rFonts w:ascii="宋体" w:hAnsi="宋体" w:cs="宋体"/>
          <w:b/>
          <w:sz w:val="24"/>
          <w:highlight w:val="none"/>
        </w:rPr>
      </w:pPr>
      <w:r>
        <w:rPr>
          <w:rFonts w:hint="eastAsia" w:ascii="宋体" w:hAnsi="宋体" w:cs="宋体"/>
          <w:b/>
          <w:sz w:val="24"/>
          <w:highlight w:val="none"/>
        </w:rPr>
        <w:tab/>
      </w:r>
      <w:r>
        <w:rPr>
          <w:rFonts w:hint="eastAsia" w:ascii="宋体" w:hAnsi="宋体" w:cs="宋体"/>
          <w:b/>
          <w:sz w:val="24"/>
          <w:highlight w:val="none"/>
        </w:rPr>
        <w:t>第十五条 合同生效</w:t>
      </w:r>
    </w:p>
    <w:p>
      <w:pPr>
        <w:spacing w:line="520" w:lineRule="exact"/>
        <w:ind w:firstLine="420"/>
        <w:rPr>
          <w:rFonts w:ascii="宋体" w:hAnsi="宋体" w:cs="宋体"/>
          <w:sz w:val="24"/>
          <w:highlight w:val="none"/>
        </w:rPr>
      </w:pPr>
      <w:r>
        <w:rPr>
          <w:rFonts w:hint="eastAsia" w:ascii="宋体" w:hAnsi="宋体" w:cs="宋体"/>
          <w:sz w:val="24"/>
          <w:highlight w:val="none"/>
        </w:rPr>
        <w:t>本合同由甲方与乙方签订，在满足以下条件后生效：</w:t>
      </w:r>
    </w:p>
    <w:p>
      <w:pPr>
        <w:spacing w:line="520" w:lineRule="exact"/>
        <w:ind w:left="420"/>
        <w:rPr>
          <w:rFonts w:ascii="宋体" w:hAnsi="宋体" w:cs="宋体"/>
          <w:sz w:val="24"/>
          <w:highlight w:val="none"/>
        </w:rPr>
      </w:pPr>
      <w:r>
        <w:rPr>
          <w:rFonts w:hint="eastAsia" w:ascii="宋体" w:hAnsi="宋体" w:cs="宋体"/>
          <w:sz w:val="24"/>
          <w:highlight w:val="none"/>
        </w:rPr>
        <w:t>15.1甲乙双方法定代表人或授权代理人签字并加盖公章。</w:t>
      </w:r>
    </w:p>
    <w:p>
      <w:pPr>
        <w:spacing w:line="520" w:lineRule="exact"/>
        <w:ind w:left="420"/>
        <w:rPr>
          <w:rFonts w:ascii="宋体" w:hAnsi="宋体" w:cs="宋体"/>
          <w:sz w:val="24"/>
          <w:highlight w:val="none"/>
        </w:rPr>
      </w:pPr>
      <w:r>
        <w:rPr>
          <w:rFonts w:hint="eastAsia" w:ascii="宋体" w:hAnsi="宋体" w:cs="宋体"/>
          <w:sz w:val="24"/>
          <w:highlight w:val="none"/>
        </w:rPr>
        <w:t>15.2甲方收到乙方提交的履约保证金。（如有）</w:t>
      </w:r>
    </w:p>
    <w:p>
      <w:pPr>
        <w:spacing w:line="520" w:lineRule="exact"/>
        <w:ind w:left="420"/>
        <w:rPr>
          <w:rFonts w:ascii="宋体" w:hAnsi="宋体" w:cs="宋体"/>
          <w:sz w:val="24"/>
          <w:highlight w:val="none"/>
        </w:rPr>
      </w:pPr>
      <w:r>
        <w:rPr>
          <w:rFonts w:hint="eastAsia" w:ascii="宋体" w:hAnsi="宋体" w:cs="宋体"/>
          <w:sz w:val="24"/>
          <w:highlight w:val="none"/>
        </w:rPr>
        <w:t>15.3与甲方子公司签订管理协议（详见附件1）、安全管理协议书（详见附件2）、廉洁协议（详见附件3）。</w:t>
      </w:r>
    </w:p>
    <w:p>
      <w:pPr>
        <w:spacing w:line="520" w:lineRule="exact"/>
        <w:rPr>
          <w:rFonts w:ascii="宋体" w:hAnsi="宋体" w:cs="宋体"/>
          <w:b/>
          <w:sz w:val="24"/>
          <w:highlight w:val="none"/>
        </w:rPr>
      </w:pPr>
      <w:r>
        <w:rPr>
          <w:rFonts w:hint="eastAsia" w:ascii="宋体" w:hAnsi="宋体" w:cs="宋体"/>
          <w:b/>
          <w:sz w:val="24"/>
          <w:highlight w:val="none"/>
        </w:rPr>
        <w:tab/>
      </w:r>
      <w:r>
        <w:rPr>
          <w:rFonts w:hint="eastAsia" w:ascii="宋体" w:hAnsi="宋体" w:cs="宋体"/>
          <w:b/>
          <w:sz w:val="24"/>
          <w:highlight w:val="none"/>
        </w:rPr>
        <w:t>第十六条 其他</w:t>
      </w:r>
    </w:p>
    <w:p>
      <w:pPr>
        <w:spacing w:line="520" w:lineRule="exact"/>
        <w:ind w:firstLine="360" w:firstLineChars="150"/>
        <w:rPr>
          <w:rFonts w:ascii="宋体" w:hAnsi="宋体" w:cs="宋体"/>
          <w:sz w:val="24"/>
          <w:highlight w:val="none"/>
        </w:rPr>
      </w:pPr>
      <w:r>
        <w:rPr>
          <w:rFonts w:hint="eastAsia" w:ascii="宋体" w:hAnsi="宋体" w:cs="宋体"/>
          <w:sz w:val="24"/>
          <w:highlight w:val="none"/>
        </w:rPr>
        <w:t>16.1甲方辖下各分/子公司负责本合同的具体执行。</w:t>
      </w:r>
    </w:p>
    <w:p>
      <w:pPr>
        <w:spacing w:line="520" w:lineRule="exact"/>
        <w:ind w:firstLine="360" w:firstLineChars="150"/>
        <w:rPr>
          <w:rFonts w:ascii="宋体" w:hAnsi="宋体" w:cs="宋体"/>
          <w:sz w:val="24"/>
          <w:highlight w:val="none"/>
        </w:rPr>
      </w:pPr>
      <w:r>
        <w:rPr>
          <w:rFonts w:hint="eastAsia" w:ascii="宋体" w:hAnsi="宋体" w:cs="宋体"/>
          <w:sz w:val="24"/>
          <w:highlight w:val="none"/>
        </w:rPr>
        <w:t>16.2除甲方书面同意外，乙方不得转让其合同项下的义务。</w:t>
      </w:r>
    </w:p>
    <w:p>
      <w:pPr>
        <w:spacing w:line="520" w:lineRule="exact"/>
        <w:ind w:firstLine="360" w:firstLineChars="150"/>
        <w:rPr>
          <w:rFonts w:ascii="宋体" w:hAnsi="宋体" w:cs="宋体"/>
          <w:sz w:val="24"/>
          <w:highlight w:val="none"/>
        </w:rPr>
      </w:pPr>
      <w:r>
        <w:rPr>
          <w:rFonts w:hint="eastAsia" w:ascii="宋体" w:hAnsi="宋体" w:cs="宋体"/>
          <w:sz w:val="24"/>
          <w:highlight w:val="none"/>
        </w:rPr>
        <w:t>16.3本合同一式_</w:t>
      </w:r>
      <w:r>
        <w:rPr>
          <w:rFonts w:hint="eastAsia" w:ascii="宋体" w:hAnsi="宋体" w:cs="宋体"/>
          <w:sz w:val="24"/>
          <w:highlight w:val="none"/>
          <w:lang w:val="en-US" w:eastAsia="zh-CN"/>
        </w:rPr>
        <w:t>5</w:t>
      </w:r>
      <w:r>
        <w:rPr>
          <w:rFonts w:hint="eastAsia" w:ascii="宋体" w:hAnsi="宋体" w:cs="宋体"/>
          <w:sz w:val="24"/>
          <w:highlight w:val="none"/>
        </w:rPr>
        <w:t>份，甲方__</w:t>
      </w:r>
      <w:r>
        <w:rPr>
          <w:rFonts w:hint="eastAsia" w:ascii="宋体" w:hAnsi="宋体" w:cs="宋体"/>
          <w:sz w:val="24"/>
          <w:highlight w:val="none"/>
          <w:lang w:val="en-US" w:eastAsia="zh-CN"/>
        </w:rPr>
        <w:t>4</w:t>
      </w:r>
      <w:r>
        <w:rPr>
          <w:rFonts w:hint="eastAsia" w:ascii="宋体" w:hAnsi="宋体" w:cs="宋体"/>
          <w:sz w:val="24"/>
          <w:highlight w:val="none"/>
        </w:rPr>
        <w:t>_份，乙方</w:t>
      </w:r>
      <w:r>
        <w:rPr>
          <w:rFonts w:hint="eastAsia" w:ascii="宋体" w:hAnsi="宋体" w:cs="宋体"/>
          <w:sz w:val="24"/>
          <w:highlight w:val="none"/>
          <w:lang w:val="en-US" w:eastAsia="zh-CN"/>
        </w:rPr>
        <w:t>1</w:t>
      </w:r>
      <w:r>
        <w:rPr>
          <w:rFonts w:hint="eastAsia" w:ascii="宋体" w:hAnsi="宋体" w:cs="宋体"/>
          <w:sz w:val="24"/>
          <w:highlight w:val="none"/>
        </w:rPr>
        <w:t>份。</w:t>
      </w:r>
    </w:p>
    <w:p>
      <w:pPr>
        <w:spacing w:line="520" w:lineRule="exact"/>
        <w:ind w:firstLine="360" w:firstLineChars="150"/>
        <w:rPr>
          <w:rFonts w:ascii="宋体" w:hAnsi="宋体" w:cs="宋体"/>
          <w:sz w:val="24"/>
          <w:highlight w:val="none"/>
        </w:rPr>
      </w:pPr>
      <w:r>
        <w:rPr>
          <w:rFonts w:hint="eastAsia" w:ascii="宋体" w:hAnsi="宋体" w:cs="宋体"/>
          <w:sz w:val="24"/>
          <w:highlight w:val="none"/>
        </w:rPr>
        <w:t>16.4本合同共__页A4纸张，缺页之合同为无效合同。</w:t>
      </w:r>
    </w:p>
    <w:p>
      <w:pPr>
        <w:spacing w:line="520" w:lineRule="exact"/>
        <w:ind w:firstLine="360" w:firstLineChars="150"/>
        <w:rPr>
          <w:rFonts w:ascii="宋体" w:hAnsi="宋体" w:cs="宋体"/>
          <w:sz w:val="24"/>
          <w:highlight w:val="none"/>
        </w:rPr>
      </w:pPr>
      <w:r>
        <w:rPr>
          <w:rFonts w:hint="eastAsia" w:ascii="宋体" w:hAnsi="宋体" w:cs="宋体"/>
          <w:sz w:val="24"/>
          <w:highlight w:val="none"/>
        </w:rPr>
        <w:t>16.5补充条款：</w:t>
      </w:r>
      <w:r>
        <w:rPr>
          <w:rFonts w:hint="eastAsia" w:ascii="宋体" w:hAnsi="宋体" w:cs="宋体"/>
          <w:sz w:val="24"/>
          <w:highlight w:val="none"/>
          <w:u w:val="single"/>
        </w:rPr>
        <w:t xml:space="preserve">               </w:t>
      </w:r>
    </w:p>
    <w:p>
      <w:pPr>
        <w:spacing w:line="520" w:lineRule="exact"/>
        <w:ind w:left="420"/>
        <w:rPr>
          <w:rFonts w:ascii="宋体" w:hAnsi="宋体"/>
          <w:bCs/>
          <w:sz w:val="24"/>
          <w:highlight w:val="none"/>
        </w:rPr>
      </w:pPr>
      <w:r>
        <w:rPr>
          <w:rFonts w:hint="eastAsia" w:ascii="宋体" w:hAnsi="宋体" w:cs="宋体"/>
          <w:sz w:val="24"/>
          <w:highlight w:val="none"/>
        </w:rPr>
        <w:t>附表：</w:t>
      </w:r>
      <w:r>
        <w:rPr>
          <w:rFonts w:hint="eastAsia" w:ascii="宋体" w:hAnsi="宋体"/>
          <w:bCs/>
          <w:sz w:val="24"/>
          <w:highlight w:val="none"/>
        </w:rPr>
        <w:t>1.考核评价标准</w:t>
      </w:r>
    </w:p>
    <w:p>
      <w:pPr>
        <w:numPr>
          <w:ilvl w:val="0"/>
          <w:numId w:val="7"/>
        </w:numPr>
        <w:spacing w:line="520" w:lineRule="exact"/>
        <w:rPr>
          <w:rFonts w:ascii="宋体" w:hAnsi="宋体"/>
          <w:bCs/>
          <w:sz w:val="24"/>
          <w:highlight w:val="none"/>
        </w:rPr>
      </w:pPr>
      <w:r>
        <w:rPr>
          <w:rFonts w:hint="eastAsia" w:ascii="宋体" w:hAnsi="宋体"/>
          <w:bCs/>
          <w:sz w:val="24"/>
          <w:highlight w:val="none"/>
        </w:rPr>
        <w:t>考核评价标准(阳离子适用）</w:t>
      </w:r>
    </w:p>
    <w:p>
      <w:pPr>
        <w:spacing w:line="520" w:lineRule="exact"/>
        <w:ind w:left="1260"/>
        <w:rPr>
          <w:rFonts w:ascii="宋体" w:hAnsi="宋体"/>
          <w:bCs/>
          <w:sz w:val="24"/>
          <w:highlight w:val="none"/>
        </w:rPr>
      </w:pPr>
      <w:r>
        <w:rPr>
          <w:rFonts w:hint="eastAsia" w:ascii="宋体" w:hAnsi="宋体"/>
          <w:bCs/>
          <w:sz w:val="24"/>
          <w:highlight w:val="none"/>
        </w:rPr>
        <w:t>3-1药剂安全情况自查表(普通化学品）</w:t>
      </w:r>
    </w:p>
    <w:p>
      <w:pPr>
        <w:spacing w:line="520" w:lineRule="exact"/>
        <w:ind w:left="1260"/>
        <w:rPr>
          <w:rFonts w:ascii="宋体" w:hAnsi="宋体"/>
          <w:bCs/>
          <w:sz w:val="24"/>
          <w:highlight w:val="none"/>
        </w:rPr>
      </w:pPr>
      <w:r>
        <w:rPr>
          <w:rFonts w:hint="eastAsia" w:ascii="宋体" w:hAnsi="宋体"/>
          <w:bCs/>
          <w:sz w:val="24"/>
          <w:highlight w:val="none"/>
        </w:rPr>
        <w:t>3-2药剂安全情况自查表(危险化学品）</w:t>
      </w:r>
    </w:p>
    <w:p>
      <w:pPr>
        <w:spacing w:line="520" w:lineRule="exact"/>
        <w:ind w:left="420"/>
        <w:rPr>
          <w:rFonts w:hint="default"/>
          <w:highlight w:val="yellow"/>
          <w:lang w:val="en-US" w:eastAsia="zh-CN"/>
        </w:rPr>
      </w:pPr>
      <w:r>
        <w:rPr>
          <w:rFonts w:hint="eastAsia" w:ascii="宋体" w:hAnsi="宋体" w:cs="宋体"/>
          <w:sz w:val="24"/>
          <w:highlight w:val="none"/>
        </w:rPr>
        <w:t>附件：1.子公司管理协议</w:t>
      </w:r>
      <w:r>
        <w:rPr>
          <w:rFonts w:hint="eastAsia" w:ascii="宋体" w:hAnsi="宋体" w:cs="宋体"/>
          <w:sz w:val="24"/>
          <w:highlight w:val="none"/>
          <w:lang w:val="en-US" w:eastAsia="zh-CN"/>
        </w:rPr>
        <w:t>(如需）</w:t>
      </w:r>
    </w:p>
    <w:p>
      <w:pPr>
        <w:spacing w:line="520" w:lineRule="exact"/>
        <w:ind w:firstLine="1200" w:firstLineChars="500"/>
        <w:rPr>
          <w:rFonts w:ascii="宋体" w:hAnsi="宋体" w:cs="宋体"/>
          <w:sz w:val="24"/>
          <w:highlight w:val="none"/>
        </w:rPr>
      </w:pPr>
      <w:r>
        <w:rPr>
          <w:rFonts w:hint="eastAsia" w:ascii="宋体" w:hAnsi="宋体" w:cs="宋体"/>
          <w:sz w:val="24"/>
          <w:highlight w:val="none"/>
        </w:rPr>
        <w:t>2.安全管理协议书</w:t>
      </w:r>
    </w:p>
    <w:p>
      <w:pPr>
        <w:spacing w:line="520" w:lineRule="exact"/>
        <w:ind w:firstLine="1200" w:firstLineChars="500"/>
        <w:rPr>
          <w:rFonts w:hint="eastAsia" w:ascii="宋体" w:hAnsi="宋体" w:cs="宋体"/>
          <w:sz w:val="24"/>
          <w:highlight w:val="none"/>
        </w:rPr>
      </w:pPr>
      <w:r>
        <w:rPr>
          <w:rFonts w:hint="eastAsia" w:ascii="宋体" w:hAnsi="宋体" w:cs="宋体"/>
          <w:sz w:val="24"/>
          <w:highlight w:val="none"/>
        </w:rPr>
        <w:t>3.廉洁协议</w:t>
      </w:r>
    </w:p>
    <w:p>
      <w:pPr>
        <w:spacing w:line="520" w:lineRule="exact"/>
        <w:ind w:firstLine="1200" w:firstLineChars="5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中标通知书/发包通知书（如有）</w:t>
      </w:r>
    </w:p>
    <w:p>
      <w:pPr>
        <w:spacing w:line="520" w:lineRule="exact"/>
        <w:ind w:firstLine="1200" w:firstLineChars="5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授权委托证明（如需）</w:t>
      </w:r>
    </w:p>
    <w:p>
      <w:pPr>
        <w:spacing w:line="520" w:lineRule="exact"/>
        <w:ind w:firstLine="1200" w:firstLineChars="5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报价单</w:t>
      </w:r>
    </w:p>
    <w:p>
      <w:pPr>
        <w:spacing w:line="520" w:lineRule="exact"/>
        <w:ind w:left="1197" w:leftChars="570" w:firstLine="0" w:firstLineChars="0"/>
        <w:rPr>
          <w:rFonts w:hint="default" w:ascii="宋体" w:hAnsi="宋体" w:cs="宋体" w:eastAsiaTheme="minorEastAsia"/>
          <w:sz w:val="24"/>
          <w:highlight w:val="none"/>
          <w:lang w:val="en-US" w:eastAsia="zh-CN"/>
        </w:rPr>
      </w:pPr>
      <w:r>
        <w:rPr>
          <w:rFonts w:hint="eastAsia" w:ascii="宋体" w:hAnsi="宋体" w:cs="宋体"/>
          <w:sz w:val="24"/>
          <w:highlight w:val="none"/>
          <w:lang w:val="en-US" w:eastAsia="zh-CN"/>
        </w:rPr>
        <w:t>7.</w:t>
      </w:r>
      <w:r>
        <w:rPr>
          <w:rFonts w:hint="eastAsia" w:ascii="宋体" w:hAnsi="宋体" w:cs="宋体"/>
          <w:sz w:val="24"/>
          <w:highlight w:val="none"/>
        </w:rPr>
        <w:t>履约保函（模板）</w:t>
      </w:r>
    </w:p>
    <w:p>
      <w:pPr>
        <w:spacing w:line="520" w:lineRule="exact"/>
      </w:pPr>
      <w:r>
        <w:rPr>
          <w:rFonts w:hint="eastAsia" w:ascii="宋体" w:hAnsi="宋体" w:cs="宋体"/>
          <w:sz w:val="24"/>
          <w:highlight w:val="none"/>
        </w:rPr>
        <w:t>甲方：广州市净水有限公司（盖章）         乙方：</w:t>
      </w:r>
    </w:p>
    <w:p>
      <w:pPr>
        <w:spacing w:line="520" w:lineRule="exact"/>
        <w:rPr>
          <w:rFonts w:ascii="宋体" w:hAnsi="宋体" w:cs="宋体"/>
          <w:sz w:val="24"/>
          <w:highlight w:val="none"/>
        </w:rPr>
      </w:pPr>
      <w:r>
        <w:rPr>
          <w:rFonts w:hint="eastAsia" w:ascii="宋体" w:hAnsi="宋体" w:cs="宋体"/>
          <w:sz w:val="24"/>
          <w:highlight w:val="none"/>
        </w:rPr>
        <w:t>法定代表人或                             法定代表人或</w:t>
      </w:r>
    </w:p>
    <w:p>
      <w:pPr>
        <w:spacing w:line="520" w:lineRule="exact"/>
        <w:rPr>
          <w:rFonts w:ascii="宋体" w:hAnsi="宋体" w:cs="宋体"/>
          <w:sz w:val="24"/>
          <w:highlight w:val="none"/>
        </w:rPr>
      </w:pPr>
      <w:r>
        <w:rPr>
          <w:rFonts w:hint="eastAsia" w:ascii="宋体" w:hAnsi="宋体" w:cs="宋体"/>
          <w:sz w:val="24"/>
          <w:highlight w:val="none"/>
        </w:rPr>
        <w:t>委托代理人：                             委托代理人：</w:t>
      </w:r>
    </w:p>
    <w:p>
      <w:pPr>
        <w:spacing w:line="520" w:lineRule="exact"/>
        <w:rPr>
          <w:rFonts w:hint="eastAsia"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地址：</w:t>
      </w:r>
    </w:p>
    <w:p>
      <w:pPr>
        <w:spacing w:line="520" w:lineRule="exact"/>
        <w:rPr>
          <w:rFonts w:ascii="宋体" w:hAnsi="宋体" w:cs="宋体"/>
          <w:sz w:val="24"/>
          <w:highlight w:val="none"/>
        </w:rPr>
      </w:pPr>
      <w:r>
        <w:rPr>
          <w:rFonts w:hint="eastAsia" w:ascii="宋体" w:hAnsi="宋体" w:cs="宋体"/>
          <w:sz w:val="24"/>
          <w:highlight w:val="none"/>
        </w:rPr>
        <w:t xml:space="preserve">经办人：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经办人：</w:t>
      </w:r>
    </w:p>
    <w:p>
      <w:pPr>
        <w:spacing w:line="520" w:lineRule="exact"/>
        <w:rPr>
          <w:rFonts w:hint="eastAsia"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联系电话：</w:t>
      </w:r>
    </w:p>
    <w:p>
      <w:pPr>
        <w:spacing w:line="520" w:lineRule="exact"/>
        <w:rPr>
          <w:rFonts w:ascii="宋体" w:hAnsi="宋体" w:cs="宋体"/>
          <w:sz w:val="24"/>
          <w:highlight w:val="none"/>
        </w:rPr>
      </w:pPr>
      <w:r>
        <w:rPr>
          <w:rFonts w:hint="eastAsia" w:ascii="宋体" w:hAnsi="宋体" w:cs="宋体"/>
          <w:sz w:val="24"/>
          <w:highlight w:val="none"/>
        </w:rPr>
        <w:t>传真：                                   传真：</w:t>
      </w:r>
    </w:p>
    <w:p>
      <w:pPr>
        <w:spacing w:line="520" w:lineRule="exact"/>
        <w:rPr>
          <w:rFonts w:ascii="宋体" w:hAnsi="宋体" w:cs="宋体"/>
          <w:sz w:val="24"/>
          <w:highlight w:val="none"/>
        </w:rPr>
      </w:pPr>
      <w:r>
        <w:rPr>
          <w:rFonts w:hint="eastAsia" w:ascii="宋体" w:hAnsi="宋体" w:cs="宋体"/>
          <w:sz w:val="24"/>
          <w:highlight w:val="none"/>
        </w:rPr>
        <w:t xml:space="preserve">签署日期：    年    月    日   </w:t>
      </w:r>
      <w:r>
        <w:rPr>
          <w:rFonts w:hint="eastAsia" w:ascii="宋体" w:hAnsi="宋体" w:cs="宋体"/>
          <w:sz w:val="24"/>
          <w:highlight w:val="none"/>
          <w:lang w:val="en-US" w:eastAsia="zh-CN"/>
        </w:rPr>
        <w:t xml:space="preserve">          </w:t>
      </w:r>
      <w:r>
        <w:rPr>
          <w:rFonts w:hint="eastAsia" w:ascii="宋体" w:hAnsi="宋体" w:cs="宋体"/>
          <w:sz w:val="24"/>
          <w:highlight w:val="none"/>
        </w:rPr>
        <w:t>统一社会信用代码：</w:t>
      </w:r>
    </w:p>
    <w:p>
      <w:pPr>
        <w:spacing w:line="480" w:lineRule="auto"/>
        <w:rPr>
          <w:rFonts w:ascii="宋体" w:hAnsi="宋体"/>
          <w:b/>
          <w:highlight w:val="none"/>
        </w:rPr>
      </w:pPr>
    </w:p>
    <w:p>
      <w:pPr>
        <w:spacing w:line="480" w:lineRule="auto"/>
        <w:rPr>
          <w:rFonts w:hint="eastAsia" w:ascii="宋体" w:hAnsi="宋体"/>
          <w:b/>
          <w:highlight w:val="none"/>
        </w:rPr>
      </w:pPr>
    </w:p>
    <w:p>
      <w:pPr>
        <w:spacing w:line="480" w:lineRule="auto"/>
        <w:rPr>
          <w:rFonts w:hint="eastAsia" w:ascii="宋体" w:hAnsi="宋体"/>
          <w:b/>
          <w:highlight w:val="none"/>
        </w:rPr>
      </w:pPr>
    </w:p>
    <w:p>
      <w:pPr>
        <w:spacing w:line="480" w:lineRule="auto"/>
        <w:rPr>
          <w:rFonts w:hint="eastAsia" w:ascii="宋体" w:hAnsi="宋体"/>
          <w:b/>
          <w:highlight w:val="none"/>
        </w:rPr>
      </w:pPr>
    </w:p>
    <w:p>
      <w:pPr>
        <w:spacing w:line="480" w:lineRule="auto"/>
        <w:rPr>
          <w:rFonts w:hint="eastAsia" w:ascii="宋体" w:hAnsi="宋体"/>
          <w:b/>
          <w:highlight w:val="none"/>
        </w:rPr>
      </w:pPr>
    </w:p>
    <w:p>
      <w:pPr>
        <w:spacing w:line="480" w:lineRule="auto"/>
        <w:rPr>
          <w:rFonts w:hint="eastAsia" w:ascii="宋体" w:hAnsi="宋体"/>
          <w:b/>
          <w:highlight w:val="none"/>
        </w:rPr>
      </w:pPr>
    </w:p>
    <w:p>
      <w:pPr>
        <w:spacing w:line="480" w:lineRule="auto"/>
        <w:rPr>
          <w:rFonts w:hint="eastAsia" w:ascii="宋体" w:hAnsi="宋体"/>
          <w:b/>
          <w:highlight w:val="none"/>
        </w:rPr>
      </w:pPr>
    </w:p>
    <w:p>
      <w:pPr>
        <w:spacing w:line="480" w:lineRule="auto"/>
        <w:rPr>
          <w:rFonts w:hint="eastAsia" w:ascii="宋体" w:hAnsi="宋体"/>
          <w:b/>
          <w:highlight w:val="none"/>
        </w:rPr>
      </w:pPr>
    </w:p>
    <w:p>
      <w:pPr>
        <w:spacing w:line="480" w:lineRule="auto"/>
        <w:rPr>
          <w:rFonts w:hint="eastAsia" w:ascii="宋体" w:hAnsi="宋体"/>
          <w:b/>
          <w:highlight w:val="none"/>
        </w:rPr>
      </w:pPr>
    </w:p>
    <w:p>
      <w:pPr>
        <w:spacing w:line="480" w:lineRule="auto"/>
        <w:rPr>
          <w:rFonts w:hint="eastAsia" w:ascii="宋体" w:hAnsi="宋体"/>
          <w:b/>
          <w:highlight w:val="none"/>
        </w:rPr>
      </w:pPr>
    </w:p>
    <w:p>
      <w:pPr>
        <w:spacing w:line="480" w:lineRule="auto"/>
        <w:rPr>
          <w:rFonts w:hint="eastAsia" w:ascii="宋体" w:hAnsi="宋体"/>
          <w:b/>
          <w:highlight w:val="none"/>
        </w:rPr>
      </w:pPr>
    </w:p>
    <w:p>
      <w:pPr>
        <w:spacing w:line="480" w:lineRule="auto"/>
        <w:rPr>
          <w:rFonts w:ascii="宋体" w:hAnsi="宋体"/>
          <w:b/>
          <w:highlight w:val="none"/>
        </w:rPr>
      </w:pPr>
      <w:r>
        <w:rPr>
          <w:rFonts w:hint="eastAsia" w:ascii="宋体" w:hAnsi="宋体"/>
          <w:b/>
          <w:highlight w:val="none"/>
        </w:rPr>
        <w:t>附表1：考核评价标准</w:t>
      </w:r>
    </w:p>
    <w:tbl>
      <w:tblPr>
        <w:tblStyle w:val="19"/>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3167"/>
        <w:gridCol w:w="3233"/>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373" w:type="dxa"/>
          </w:tcPr>
          <w:p>
            <w:pPr>
              <w:spacing w:line="440" w:lineRule="exact"/>
              <w:jc w:val="center"/>
              <w:rPr>
                <w:rFonts w:ascii="宋体" w:hAnsi="宋体" w:cs="宋体"/>
                <w:szCs w:val="21"/>
                <w:highlight w:val="none"/>
              </w:rPr>
            </w:pPr>
            <w:r>
              <w:rPr>
                <w:rFonts w:hint="eastAsia" w:ascii="宋体" w:hAnsi="宋体" w:cs="宋体"/>
                <w:szCs w:val="21"/>
                <w:highlight w:val="none"/>
              </w:rPr>
              <w:t>考核评价</w:t>
            </w:r>
          </w:p>
          <w:p>
            <w:pPr>
              <w:spacing w:line="440" w:lineRule="exact"/>
              <w:jc w:val="center"/>
              <w:rPr>
                <w:rFonts w:ascii="宋体" w:hAnsi="宋体" w:cs="宋体"/>
                <w:spacing w:val="8"/>
                <w:kern w:val="0"/>
                <w:szCs w:val="21"/>
                <w:highlight w:val="none"/>
              </w:rPr>
            </w:pPr>
            <w:r>
              <w:rPr>
                <w:rFonts w:hint="eastAsia" w:ascii="宋体" w:hAnsi="宋体" w:cs="宋体"/>
                <w:szCs w:val="21"/>
                <w:highlight w:val="none"/>
              </w:rPr>
              <w:t>标准</w:t>
            </w:r>
            <w:r>
              <w:rPr>
                <w:rFonts w:hint="eastAsia" w:ascii="宋体" w:hAnsi="宋体" w:cs="宋体"/>
                <w:spacing w:val="8"/>
                <w:kern w:val="0"/>
                <w:szCs w:val="21"/>
                <w:highlight w:val="none"/>
              </w:rPr>
              <w:t>内容</w:t>
            </w:r>
          </w:p>
        </w:tc>
        <w:tc>
          <w:tcPr>
            <w:tcW w:w="3167" w:type="dxa"/>
          </w:tcPr>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考核评价标准</w:t>
            </w:r>
          </w:p>
        </w:tc>
        <w:tc>
          <w:tcPr>
            <w:tcW w:w="3233" w:type="dxa"/>
          </w:tcPr>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考核评分</w:t>
            </w:r>
          </w:p>
        </w:tc>
        <w:tc>
          <w:tcPr>
            <w:tcW w:w="936" w:type="dxa"/>
          </w:tcPr>
          <w:p>
            <w:pPr>
              <w:widowControl/>
              <w:spacing w:line="440" w:lineRule="exact"/>
              <w:jc w:val="left"/>
              <w:rPr>
                <w:rFonts w:ascii="宋体" w:hAnsi="宋体" w:cs="宋体"/>
                <w:spacing w:val="8"/>
                <w:kern w:val="0"/>
                <w:szCs w:val="21"/>
                <w:highlight w:val="none"/>
              </w:rPr>
            </w:pPr>
            <w:r>
              <w:rPr>
                <w:rFonts w:hint="eastAsia" w:ascii="宋体" w:hAnsi="宋体" w:cs="宋体"/>
                <w:spacing w:val="8"/>
                <w:kern w:val="0"/>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3" w:type="dxa"/>
          </w:tcPr>
          <w:p>
            <w:pPr>
              <w:spacing w:line="440" w:lineRule="exact"/>
              <w:jc w:val="center"/>
              <w:rPr>
                <w:rFonts w:ascii="宋体" w:hAnsi="宋体" w:cs="宋体"/>
                <w:spacing w:val="8"/>
                <w:kern w:val="0"/>
                <w:szCs w:val="21"/>
                <w:highlight w:val="none"/>
              </w:rPr>
            </w:pPr>
          </w:p>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1.交货时效</w:t>
            </w:r>
          </w:p>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（30分）</w:t>
            </w:r>
          </w:p>
        </w:tc>
        <w:tc>
          <w:tcPr>
            <w:tcW w:w="3167" w:type="dxa"/>
          </w:tcPr>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交货准时</w:t>
            </w:r>
            <w:r>
              <w:rPr>
                <w:rFonts w:hint="eastAsia" w:ascii="宋体" w:hAnsi="宋体" w:cs="宋体"/>
                <w:szCs w:val="21"/>
                <w:highlight w:val="none"/>
                <w:vertAlign w:val="superscript"/>
              </w:rPr>
              <w:t>(1)</w:t>
            </w:r>
            <w:r>
              <w:rPr>
                <w:rFonts w:hint="eastAsia" w:ascii="宋体" w:hAnsi="宋体" w:cs="宋体"/>
                <w:spacing w:val="8"/>
                <w:kern w:val="0"/>
                <w:szCs w:val="21"/>
                <w:highlight w:val="none"/>
              </w:rPr>
              <w:t>，通知送货后按通知要求时限送达，且不影响厂内正常生产</w:t>
            </w:r>
          </w:p>
        </w:tc>
        <w:tc>
          <w:tcPr>
            <w:tcW w:w="3233" w:type="dxa"/>
          </w:tcPr>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1.出现迟送货一次扣3分；2.因送货迟影响厂区正常生产运行扣5分；扣完为止</w:t>
            </w:r>
          </w:p>
        </w:tc>
        <w:tc>
          <w:tcPr>
            <w:tcW w:w="936" w:type="dxa"/>
          </w:tcPr>
          <w:p>
            <w:pPr>
              <w:widowControl/>
              <w:spacing w:line="440" w:lineRule="exact"/>
              <w:jc w:val="left"/>
              <w:rPr>
                <w:rFonts w:ascii="宋体" w:hAnsi="宋体" w:cs="宋体"/>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3" w:type="dxa"/>
          </w:tcPr>
          <w:p>
            <w:pPr>
              <w:spacing w:line="440" w:lineRule="exact"/>
              <w:jc w:val="center"/>
              <w:rPr>
                <w:rFonts w:ascii="宋体" w:hAnsi="宋体" w:cs="宋体"/>
                <w:spacing w:val="8"/>
                <w:kern w:val="0"/>
                <w:szCs w:val="21"/>
                <w:highlight w:val="none"/>
              </w:rPr>
            </w:pPr>
          </w:p>
          <w:p>
            <w:pPr>
              <w:spacing w:line="440" w:lineRule="exact"/>
              <w:jc w:val="center"/>
              <w:rPr>
                <w:rFonts w:ascii="宋体" w:hAnsi="宋体" w:cs="宋体"/>
                <w:spacing w:val="8"/>
                <w:kern w:val="0"/>
                <w:szCs w:val="21"/>
                <w:highlight w:val="none"/>
              </w:rPr>
            </w:pPr>
          </w:p>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2.交货质量</w:t>
            </w:r>
          </w:p>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（30分）</w:t>
            </w:r>
          </w:p>
        </w:tc>
        <w:tc>
          <w:tcPr>
            <w:tcW w:w="3167" w:type="dxa"/>
          </w:tcPr>
          <w:p>
            <w:pPr>
              <w:spacing w:line="440" w:lineRule="exact"/>
              <w:ind w:firstLine="226"/>
              <w:rPr>
                <w:rFonts w:hint="eastAsia" w:ascii="宋体" w:hAnsi="宋体" w:cs="宋体"/>
                <w:spacing w:val="8"/>
                <w:kern w:val="0"/>
                <w:szCs w:val="21"/>
                <w:highlight w:val="none"/>
              </w:rPr>
            </w:pPr>
            <w:r>
              <w:rPr>
                <w:rFonts w:hint="eastAsia" w:ascii="宋体" w:hAnsi="宋体" w:cs="宋体"/>
                <w:spacing w:val="8"/>
                <w:kern w:val="0"/>
                <w:szCs w:val="21"/>
                <w:highlight w:val="none"/>
              </w:rPr>
              <w:t>1.每批货物品质均</w:t>
            </w:r>
            <w:r>
              <w:rPr>
                <w:rFonts w:hint="eastAsia" w:ascii="宋体" w:hAnsi="宋体" w:cs="宋体"/>
                <w:spacing w:val="8"/>
                <w:kern w:val="0"/>
                <w:szCs w:val="21"/>
                <w:highlight w:val="none"/>
                <w:lang w:val="en-US" w:eastAsia="zh-CN"/>
              </w:rPr>
              <w:t>达标</w:t>
            </w:r>
          </w:p>
          <w:p>
            <w:pPr>
              <w:spacing w:line="440" w:lineRule="exact"/>
              <w:ind w:firstLine="226"/>
              <w:rPr>
                <w:rFonts w:ascii="宋体" w:hAnsi="宋体" w:cs="宋体"/>
                <w:spacing w:val="8"/>
                <w:kern w:val="0"/>
                <w:szCs w:val="21"/>
                <w:highlight w:val="none"/>
              </w:rPr>
            </w:pPr>
            <w:r>
              <w:rPr>
                <w:rFonts w:hint="eastAsia" w:ascii="宋体" w:hAnsi="宋体" w:cs="宋体"/>
                <w:spacing w:val="8"/>
                <w:kern w:val="0"/>
                <w:szCs w:val="21"/>
                <w:highlight w:val="none"/>
              </w:rPr>
              <w:t>2.每车次货物所附资料齐全</w:t>
            </w:r>
          </w:p>
          <w:p>
            <w:pPr>
              <w:spacing w:line="440" w:lineRule="exact"/>
              <w:jc w:val="center"/>
              <w:rPr>
                <w:rFonts w:ascii="宋体" w:hAnsi="宋体" w:cs="宋体"/>
                <w:spacing w:val="8"/>
                <w:kern w:val="0"/>
                <w:szCs w:val="21"/>
                <w:highlight w:val="none"/>
              </w:rPr>
            </w:pPr>
          </w:p>
        </w:tc>
        <w:tc>
          <w:tcPr>
            <w:tcW w:w="3233" w:type="dxa"/>
          </w:tcPr>
          <w:p>
            <w:pPr>
              <w:spacing w:line="440" w:lineRule="exact"/>
              <w:ind w:firstLine="226"/>
              <w:jc w:val="left"/>
              <w:rPr>
                <w:rFonts w:ascii="宋体" w:hAnsi="宋体" w:cs="宋体"/>
                <w:spacing w:val="8"/>
                <w:kern w:val="0"/>
                <w:szCs w:val="21"/>
                <w:highlight w:val="none"/>
              </w:rPr>
            </w:pPr>
            <w:r>
              <w:rPr>
                <w:rFonts w:hint="eastAsia" w:ascii="宋体" w:hAnsi="宋体" w:cs="宋体"/>
                <w:spacing w:val="8"/>
                <w:kern w:val="0"/>
                <w:szCs w:val="21"/>
                <w:highlight w:val="none"/>
              </w:rPr>
              <w:t>1.不</w:t>
            </w:r>
            <w:r>
              <w:rPr>
                <w:rFonts w:hint="eastAsia" w:ascii="宋体" w:hAnsi="宋体" w:cs="宋体"/>
                <w:spacing w:val="8"/>
                <w:kern w:val="0"/>
                <w:szCs w:val="21"/>
                <w:highlight w:val="none"/>
                <w:lang w:val="en-US" w:eastAsia="zh-CN"/>
              </w:rPr>
              <w:t>达标</w:t>
            </w:r>
            <w:r>
              <w:rPr>
                <w:rFonts w:hint="eastAsia" w:ascii="宋体" w:hAnsi="宋体" w:cs="宋体"/>
                <w:spacing w:val="8"/>
                <w:kern w:val="0"/>
                <w:szCs w:val="21"/>
                <w:highlight w:val="none"/>
              </w:rPr>
              <w:t>次数总计≦3次，每出现一次扣6分；</w:t>
            </w:r>
          </w:p>
          <w:p>
            <w:pPr>
              <w:spacing w:line="440" w:lineRule="exact"/>
              <w:ind w:firstLine="226"/>
              <w:jc w:val="left"/>
              <w:rPr>
                <w:rFonts w:ascii="宋体" w:hAnsi="宋体" w:cs="宋体"/>
                <w:spacing w:val="8"/>
                <w:kern w:val="0"/>
                <w:szCs w:val="21"/>
                <w:highlight w:val="none"/>
              </w:rPr>
            </w:pPr>
            <w:r>
              <w:rPr>
                <w:rFonts w:hint="eastAsia" w:ascii="宋体" w:hAnsi="宋体" w:cs="宋体"/>
                <w:spacing w:val="8"/>
                <w:kern w:val="0"/>
                <w:szCs w:val="21"/>
                <w:highlight w:val="none"/>
              </w:rPr>
              <w:t>2.所附资料出现不齐全情况，出现一次扣2分；</w:t>
            </w:r>
          </w:p>
          <w:p>
            <w:pPr>
              <w:spacing w:line="440" w:lineRule="exact"/>
              <w:ind w:firstLine="226"/>
              <w:jc w:val="left"/>
              <w:rPr>
                <w:rFonts w:ascii="宋体" w:hAnsi="宋体" w:cs="宋体"/>
                <w:spacing w:val="8"/>
                <w:kern w:val="0"/>
                <w:szCs w:val="21"/>
                <w:highlight w:val="none"/>
              </w:rPr>
            </w:pPr>
            <w:r>
              <w:rPr>
                <w:rFonts w:hint="eastAsia" w:ascii="宋体" w:hAnsi="宋体" w:cs="宋体"/>
                <w:spacing w:val="8"/>
                <w:kern w:val="0"/>
                <w:szCs w:val="21"/>
                <w:highlight w:val="none"/>
              </w:rPr>
              <w:t>3.如出现不</w:t>
            </w:r>
            <w:r>
              <w:rPr>
                <w:rFonts w:hint="eastAsia" w:ascii="宋体" w:hAnsi="宋体" w:cs="宋体"/>
                <w:spacing w:val="8"/>
                <w:kern w:val="0"/>
                <w:szCs w:val="21"/>
                <w:highlight w:val="none"/>
                <w:lang w:val="en-US" w:eastAsia="zh-CN"/>
              </w:rPr>
              <w:t>达标</w:t>
            </w:r>
            <w:r>
              <w:rPr>
                <w:rFonts w:hint="eastAsia" w:ascii="宋体" w:hAnsi="宋体" w:cs="宋体"/>
                <w:spacing w:val="8"/>
                <w:kern w:val="0"/>
                <w:szCs w:val="21"/>
                <w:highlight w:val="none"/>
              </w:rPr>
              <w:t>次数﹥3次，本项考核不得分</w:t>
            </w:r>
          </w:p>
        </w:tc>
        <w:tc>
          <w:tcPr>
            <w:tcW w:w="936" w:type="dxa"/>
          </w:tcPr>
          <w:p>
            <w:pPr>
              <w:widowControl/>
              <w:spacing w:line="440" w:lineRule="exact"/>
              <w:jc w:val="left"/>
              <w:rPr>
                <w:rFonts w:ascii="宋体" w:hAnsi="宋体" w:cs="宋体"/>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373" w:type="dxa"/>
          </w:tcPr>
          <w:p>
            <w:pPr>
              <w:spacing w:line="440" w:lineRule="exact"/>
              <w:jc w:val="center"/>
              <w:rPr>
                <w:rFonts w:ascii="宋体" w:hAnsi="宋体" w:cs="宋体"/>
                <w:spacing w:val="8"/>
                <w:kern w:val="0"/>
                <w:szCs w:val="21"/>
                <w:highlight w:val="none"/>
              </w:rPr>
            </w:pPr>
          </w:p>
          <w:p>
            <w:pPr>
              <w:spacing w:line="440" w:lineRule="exact"/>
              <w:jc w:val="center"/>
              <w:rPr>
                <w:rFonts w:ascii="宋体" w:hAnsi="宋体" w:cs="宋体"/>
                <w:spacing w:val="8"/>
                <w:kern w:val="0"/>
                <w:szCs w:val="21"/>
                <w:highlight w:val="none"/>
              </w:rPr>
            </w:pPr>
          </w:p>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3.服务质量</w:t>
            </w:r>
          </w:p>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（20分）</w:t>
            </w:r>
          </w:p>
        </w:tc>
        <w:tc>
          <w:tcPr>
            <w:tcW w:w="3167" w:type="dxa"/>
          </w:tcPr>
          <w:p>
            <w:pPr>
              <w:spacing w:line="440" w:lineRule="exact"/>
              <w:ind w:firstLine="226"/>
              <w:rPr>
                <w:rFonts w:ascii="宋体" w:hAnsi="宋体" w:cs="宋体"/>
                <w:spacing w:val="8"/>
                <w:kern w:val="0"/>
                <w:szCs w:val="21"/>
                <w:highlight w:val="none"/>
              </w:rPr>
            </w:pPr>
            <w:r>
              <w:rPr>
                <w:rFonts w:hint="eastAsia" w:ascii="宋体" w:hAnsi="宋体" w:cs="宋体"/>
                <w:spacing w:val="8"/>
                <w:kern w:val="0"/>
                <w:szCs w:val="21"/>
                <w:highlight w:val="none"/>
              </w:rPr>
              <w:t>1.提供货物装卸服务</w:t>
            </w:r>
          </w:p>
          <w:p>
            <w:pPr>
              <w:spacing w:line="440" w:lineRule="exact"/>
              <w:ind w:firstLine="226"/>
              <w:rPr>
                <w:rFonts w:ascii="宋体" w:hAnsi="宋体" w:cs="宋体"/>
                <w:spacing w:val="8"/>
                <w:kern w:val="0"/>
                <w:szCs w:val="21"/>
                <w:highlight w:val="none"/>
              </w:rPr>
            </w:pPr>
            <w:r>
              <w:rPr>
                <w:rFonts w:hint="eastAsia" w:ascii="宋体" w:hAnsi="宋体" w:cs="宋体"/>
                <w:spacing w:val="8"/>
                <w:kern w:val="0"/>
                <w:szCs w:val="21"/>
                <w:highlight w:val="none"/>
              </w:rPr>
              <w:t>2.司机听从厂区人员指挥</w:t>
            </w:r>
          </w:p>
          <w:p>
            <w:pPr>
              <w:spacing w:line="440" w:lineRule="exact"/>
              <w:ind w:firstLine="226"/>
              <w:rPr>
                <w:rFonts w:ascii="宋体" w:hAnsi="宋体" w:cs="宋体"/>
                <w:spacing w:val="8"/>
                <w:kern w:val="0"/>
                <w:szCs w:val="21"/>
                <w:highlight w:val="none"/>
              </w:rPr>
            </w:pPr>
            <w:r>
              <w:rPr>
                <w:rFonts w:hint="eastAsia" w:ascii="宋体" w:hAnsi="宋体" w:cs="宋体"/>
                <w:spacing w:val="8"/>
                <w:kern w:val="0"/>
                <w:szCs w:val="21"/>
                <w:highlight w:val="none"/>
              </w:rPr>
              <w:t>3.货物投加过程合规，操作正确</w:t>
            </w:r>
          </w:p>
          <w:p>
            <w:pPr>
              <w:ind w:firstLine="226"/>
              <w:rPr>
                <w:rFonts w:ascii="宋体" w:hAnsi="宋体" w:cs="宋体"/>
                <w:kern w:val="0"/>
                <w:szCs w:val="21"/>
                <w:highlight w:val="none"/>
              </w:rPr>
            </w:pPr>
            <w:r>
              <w:rPr>
                <w:rFonts w:hint="eastAsia" w:ascii="宋体" w:hAnsi="宋体" w:cs="宋体"/>
                <w:spacing w:val="8"/>
                <w:kern w:val="0"/>
                <w:szCs w:val="21"/>
                <w:highlight w:val="none"/>
              </w:rPr>
              <w:t>4.不得损坏厂内设施设备</w:t>
            </w:r>
          </w:p>
        </w:tc>
        <w:tc>
          <w:tcPr>
            <w:tcW w:w="3233" w:type="dxa"/>
          </w:tcPr>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每项目分值为5分，第1、2项每出现一次不符合情况扣1分；第3、4项每出现一次不合格情况扣2分；扣完为止</w:t>
            </w:r>
          </w:p>
        </w:tc>
        <w:tc>
          <w:tcPr>
            <w:tcW w:w="936" w:type="dxa"/>
          </w:tcPr>
          <w:p>
            <w:pPr>
              <w:widowControl/>
              <w:spacing w:line="440" w:lineRule="exact"/>
              <w:jc w:val="left"/>
              <w:rPr>
                <w:rFonts w:ascii="宋体" w:hAnsi="宋体" w:cs="宋体"/>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8" w:hRule="atLeast"/>
          <w:jc w:val="center"/>
        </w:trPr>
        <w:tc>
          <w:tcPr>
            <w:tcW w:w="2373" w:type="dxa"/>
          </w:tcPr>
          <w:p>
            <w:pPr>
              <w:spacing w:line="440" w:lineRule="exact"/>
              <w:jc w:val="center"/>
              <w:rPr>
                <w:rFonts w:ascii="宋体" w:hAnsi="宋体" w:cs="宋体"/>
                <w:spacing w:val="8"/>
                <w:kern w:val="0"/>
                <w:szCs w:val="21"/>
                <w:highlight w:val="none"/>
              </w:rPr>
            </w:pPr>
          </w:p>
          <w:p>
            <w:pPr>
              <w:spacing w:line="440" w:lineRule="exact"/>
              <w:jc w:val="center"/>
              <w:rPr>
                <w:rFonts w:ascii="宋体" w:hAnsi="宋体" w:cs="宋体"/>
                <w:spacing w:val="8"/>
                <w:kern w:val="0"/>
                <w:szCs w:val="21"/>
                <w:highlight w:val="none"/>
              </w:rPr>
            </w:pPr>
          </w:p>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4.安全生产措施</w:t>
            </w:r>
          </w:p>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（20分）</w:t>
            </w:r>
          </w:p>
        </w:tc>
        <w:tc>
          <w:tcPr>
            <w:tcW w:w="3167" w:type="dxa"/>
          </w:tcPr>
          <w:p>
            <w:pPr>
              <w:ind w:firstLine="226"/>
              <w:rPr>
                <w:rFonts w:ascii="宋体" w:hAnsi="宋体" w:cs="宋体"/>
                <w:spacing w:val="8"/>
                <w:kern w:val="0"/>
                <w:szCs w:val="21"/>
                <w:highlight w:val="none"/>
              </w:rPr>
            </w:pPr>
            <w:r>
              <w:rPr>
                <w:rFonts w:hint="eastAsia" w:ascii="宋体" w:hAnsi="宋体" w:cs="宋体"/>
                <w:spacing w:val="8"/>
                <w:kern w:val="0"/>
                <w:szCs w:val="21"/>
                <w:highlight w:val="none"/>
              </w:rPr>
              <w:t>1.提供每季度药剂安全情况自查表（详见附表三）</w:t>
            </w:r>
          </w:p>
          <w:p>
            <w:pPr>
              <w:ind w:firstLine="226"/>
              <w:rPr>
                <w:rFonts w:ascii="宋体" w:hAnsi="宋体" w:cs="宋体"/>
                <w:spacing w:val="8"/>
                <w:kern w:val="0"/>
                <w:szCs w:val="21"/>
                <w:highlight w:val="none"/>
              </w:rPr>
            </w:pPr>
            <w:r>
              <w:rPr>
                <w:rFonts w:hint="eastAsia" w:ascii="宋体" w:hAnsi="宋体" w:cs="宋体"/>
                <w:spacing w:val="8"/>
                <w:kern w:val="0"/>
                <w:szCs w:val="21"/>
                <w:highlight w:val="none"/>
              </w:rPr>
              <w:t>2.合同期内提供不少于两次联合抢险演练及安全培训记录资料（针对危险化学品）</w:t>
            </w:r>
          </w:p>
          <w:p>
            <w:pPr>
              <w:ind w:firstLine="226"/>
              <w:rPr>
                <w:rFonts w:ascii="宋体" w:hAnsi="宋体" w:cs="宋体"/>
                <w:spacing w:val="8"/>
                <w:kern w:val="0"/>
                <w:szCs w:val="21"/>
                <w:highlight w:val="none"/>
              </w:rPr>
            </w:pPr>
            <w:r>
              <w:rPr>
                <w:rFonts w:hint="eastAsia" w:ascii="宋体" w:hAnsi="宋体" w:cs="宋体"/>
                <w:spacing w:val="8"/>
                <w:kern w:val="0"/>
                <w:szCs w:val="21"/>
                <w:highlight w:val="none"/>
              </w:rPr>
              <w:t>3.若发生抢险情况，是否有及时提供抢险物资及人员</w:t>
            </w:r>
          </w:p>
          <w:p>
            <w:pPr>
              <w:ind w:firstLine="226"/>
              <w:rPr>
                <w:rFonts w:ascii="宋体" w:hAnsi="宋体" w:cs="宋体"/>
                <w:b/>
                <w:kern w:val="0"/>
                <w:szCs w:val="21"/>
                <w:highlight w:val="none"/>
              </w:rPr>
            </w:pPr>
            <w:r>
              <w:rPr>
                <w:rFonts w:hint="eastAsia" w:ascii="宋体" w:hAnsi="宋体" w:cs="宋体"/>
                <w:spacing w:val="8"/>
                <w:kern w:val="0"/>
                <w:szCs w:val="21"/>
                <w:highlight w:val="none"/>
              </w:rPr>
              <w:t>4.每6个月提供至少一次药剂容器清洗服务（如供货期少于6个月的，供货期内需提供一次药剂容器清洗服务）（若甲方有清洗需求，则按实际情况进行评分；若甲方无清洗需求，则本项计满分）</w:t>
            </w:r>
          </w:p>
        </w:tc>
        <w:tc>
          <w:tcPr>
            <w:tcW w:w="3233" w:type="dxa"/>
          </w:tcPr>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每项目分值为5分，第1、2项每出现一次未按照要求提供资料扣2分；第3、4项出现一次扣5分</w:t>
            </w:r>
          </w:p>
        </w:tc>
        <w:tc>
          <w:tcPr>
            <w:tcW w:w="936" w:type="dxa"/>
          </w:tcPr>
          <w:p>
            <w:pPr>
              <w:widowControl/>
              <w:spacing w:line="440" w:lineRule="exact"/>
              <w:jc w:val="left"/>
              <w:rPr>
                <w:rFonts w:ascii="宋体" w:hAnsi="宋体" w:cs="宋体"/>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373" w:type="dxa"/>
          </w:tcPr>
          <w:p>
            <w:pPr>
              <w:spacing w:line="440" w:lineRule="exact"/>
              <w:jc w:val="center"/>
              <w:rPr>
                <w:rFonts w:ascii="宋体" w:hAnsi="宋体" w:cs="宋体"/>
                <w:spacing w:val="8"/>
                <w:kern w:val="0"/>
                <w:szCs w:val="21"/>
                <w:highlight w:val="none"/>
              </w:rPr>
            </w:pPr>
            <w:r>
              <w:rPr>
                <w:rFonts w:hint="eastAsia" w:ascii="宋体" w:hAnsi="宋体" w:cs="宋体"/>
                <w:spacing w:val="8"/>
                <w:kern w:val="0"/>
                <w:szCs w:val="21"/>
                <w:highlight w:val="none"/>
              </w:rPr>
              <w:t>（上述4项得分之和）</w:t>
            </w:r>
          </w:p>
        </w:tc>
        <w:tc>
          <w:tcPr>
            <w:tcW w:w="3167" w:type="dxa"/>
          </w:tcPr>
          <w:p>
            <w:pPr>
              <w:spacing w:line="440" w:lineRule="exact"/>
              <w:jc w:val="center"/>
              <w:rPr>
                <w:rFonts w:ascii="宋体" w:hAnsi="宋体" w:cs="宋体"/>
                <w:spacing w:val="8"/>
                <w:kern w:val="0"/>
                <w:szCs w:val="21"/>
                <w:highlight w:val="none"/>
              </w:rPr>
            </w:pPr>
          </w:p>
        </w:tc>
        <w:tc>
          <w:tcPr>
            <w:tcW w:w="3233" w:type="dxa"/>
          </w:tcPr>
          <w:p>
            <w:pPr>
              <w:spacing w:line="440" w:lineRule="exact"/>
              <w:jc w:val="center"/>
              <w:rPr>
                <w:rFonts w:ascii="宋体" w:hAnsi="宋体" w:cs="宋体"/>
                <w:spacing w:val="8"/>
                <w:kern w:val="0"/>
                <w:szCs w:val="21"/>
                <w:highlight w:val="none"/>
              </w:rPr>
            </w:pPr>
          </w:p>
        </w:tc>
        <w:tc>
          <w:tcPr>
            <w:tcW w:w="936" w:type="dxa"/>
          </w:tcPr>
          <w:p>
            <w:pPr>
              <w:widowControl/>
              <w:spacing w:line="440" w:lineRule="exact"/>
              <w:jc w:val="left"/>
              <w:rPr>
                <w:rFonts w:ascii="宋体" w:hAnsi="宋体" w:cs="宋体"/>
                <w:spacing w:val="8"/>
                <w:kern w:val="0"/>
                <w:szCs w:val="21"/>
                <w:highlight w:val="none"/>
              </w:rPr>
            </w:pPr>
          </w:p>
        </w:tc>
      </w:tr>
    </w:tbl>
    <w:p>
      <w:pPr>
        <w:spacing w:line="440" w:lineRule="exact"/>
        <w:ind w:left="791" w:hanging="791" w:hangingChars="350"/>
        <w:rPr>
          <w:rFonts w:ascii="宋体" w:hAnsi="宋体" w:cs="宋体"/>
          <w:szCs w:val="21"/>
          <w:highlight w:val="none"/>
        </w:rPr>
      </w:pPr>
      <w:r>
        <w:rPr>
          <w:rFonts w:hint="eastAsia" w:ascii="宋体" w:hAnsi="宋体" w:cs="宋体"/>
          <w:spacing w:val="8"/>
          <w:kern w:val="0"/>
          <w:szCs w:val="21"/>
          <w:highlight w:val="none"/>
        </w:rPr>
        <w:t>注：（1）</w:t>
      </w:r>
      <w:r>
        <w:rPr>
          <w:rFonts w:hint="eastAsia" w:ascii="宋体" w:hAnsi="宋体" w:cs="宋体"/>
          <w:szCs w:val="21"/>
          <w:highlight w:val="none"/>
        </w:rPr>
        <w:t>交货准时是指交货不延误或适当提前交货从而保证库存充足，但提前交货须以甲方可以存储的容量为限，若超过甲方的存储能力，甲方有权拒绝乙方提前交货。</w:t>
      </w:r>
    </w:p>
    <w:p>
      <w:pPr>
        <w:spacing w:line="440" w:lineRule="exact"/>
        <w:rPr>
          <w:rFonts w:hint="eastAsia" w:ascii="宋体" w:hAnsi="宋体"/>
          <w:b/>
          <w:highlight w:val="none"/>
        </w:rPr>
      </w:pPr>
    </w:p>
    <w:p>
      <w:pPr>
        <w:rPr>
          <w:rFonts w:hint="eastAsia" w:ascii="宋体" w:hAnsi="宋体"/>
          <w:b/>
          <w:highlight w:val="none"/>
        </w:rPr>
      </w:pPr>
      <w:r>
        <w:rPr>
          <w:rFonts w:hint="eastAsia" w:ascii="宋体" w:hAnsi="宋体"/>
          <w:b/>
          <w:highlight w:val="none"/>
        </w:rPr>
        <w:br w:type="page"/>
      </w:r>
    </w:p>
    <w:p>
      <w:pPr>
        <w:spacing w:line="440" w:lineRule="exact"/>
        <w:rPr>
          <w:rFonts w:ascii="宋体" w:hAnsi="宋体"/>
          <w:b/>
          <w:bCs/>
          <w:sz w:val="24"/>
          <w:highlight w:val="none"/>
        </w:rPr>
      </w:pPr>
      <w:r>
        <w:rPr>
          <w:rFonts w:hint="eastAsia" w:ascii="宋体" w:hAnsi="宋体"/>
          <w:b/>
          <w:highlight w:val="none"/>
        </w:rPr>
        <w:t>附表2、考核评价标准(阳离子适用）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914"/>
        <w:gridCol w:w="2069"/>
        <w:gridCol w:w="2070"/>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2" w:hRule="atLeast"/>
        </w:trPr>
        <w:tc>
          <w:tcPr>
            <w:tcW w:w="596" w:type="dxa"/>
            <w:vMerge w:val="restart"/>
            <w:tcBorders>
              <w:top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序号</w:t>
            </w:r>
          </w:p>
        </w:tc>
        <w:tc>
          <w:tcPr>
            <w:tcW w:w="1914" w:type="dxa"/>
            <w:vMerge w:val="restart"/>
            <w:tcBorders>
              <w:top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内容</w:t>
            </w:r>
          </w:p>
        </w:tc>
        <w:tc>
          <w:tcPr>
            <w:tcW w:w="6189" w:type="dxa"/>
            <w:gridSpan w:val="3"/>
            <w:tcBorders>
              <w:top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bCs/>
                <w:szCs w:val="21"/>
                <w:highlight w:val="none"/>
              </w:rPr>
              <w:t>考核评价标准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596" w:type="dxa"/>
            <w:vMerge w:val="continue"/>
            <w:vAlign w:val="center"/>
          </w:tcPr>
          <w:p>
            <w:pPr>
              <w:spacing w:line="360" w:lineRule="auto"/>
              <w:jc w:val="center"/>
              <w:rPr>
                <w:rFonts w:ascii="宋体" w:hAnsi="宋体" w:cs="宋体"/>
                <w:b/>
                <w:szCs w:val="21"/>
                <w:highlight w:val="none"/>
              </w:rPr>
            </w:pPr>
          </w:p>
        </w:tc>
        <w:tc>
          <w:tcPr>
            <w:tcW w:w="1914" w:type="dxa"/>
            <w:vMerge w:val="continue"/>
            <w:tcBorders>
              <w:bottom w:val="single" w:color="auto" w:sz="4" w:space="0"/>
            </w:tcBorders>
            <w:vAlign w:val="center"/>
          </w:tcPr>
          <w:p>
            <w:pPr>
              <w:spacing w:line="360" w:lineRule="auto"/>
              <w:jc w:val="center"/>
              <w:rPr>
                <w:rFonts w:ascii="宋体" w:hAnsi="宋体" w:cs="宋体"/>
                <w:b/>
                <w:szCs w:val="21"/>
                <w:highlight w:val="none"/>
              </w:rPr>
            </w:pPr>
          </w:p>
        </w:tc>
        <w:tc>
          <w:tcPr>
            <w:tcW w:w="2069" w:type="dxa"/>
            <w:tcBorders>
              <w:bottom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好</w:t>
            </w:r>
          </w:p>
        </w:tc>
        <w:tc>
          <w:tcPr>
            <w:tcW w:w="2070" w:type="dxa"/>
            <w:tcBorders>
              <w:bottom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中</w:t>
            </w:r>
          </w:p>
        </w:tc>
        <w:tc>
          <w:tcPr>
            <w:tcW w:w="2050" w:type="dxa"/>
            <w:tcBorders>
              <w:bottom w:val="single" w:color="auto" w:sz="4" w:space="0"/>
            </w:tcBorders>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8" w:hRule="atLeast"/>
        </w:trPr>
        <w:tc>
          <w:tcPr>
            <w:tcW w:w="596" w:type="dxa"/>
            <w:vMerge w:val="restart"/>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一、</w:t>
            </w:r>
          </w:p>
          <w:p>
            <w:pPr>
              <w:spacing w:line="360" w:lineRule="auto"/>
              <w:jc w:val="center"/>
              <w:rPr>
                <w:rFonts w:ascii="宋体" w:hAnsi="宋体" w:cs="宋体"/>
                <w:b/>
                <w:bCs/>
                <w:szCs w:val="21"/>
                <w:highlight w:val="none"/>
              </w:rPr>
            </w:pPr>
            <w:r>
              <w:rPr>
                <w:rFonts w:hint="eastAsia" w:ascii="宋体" w:hAnsi="宋体" w:cs="宋体"/>
                <w:b/>
                <w:bCs/>
                <w:szCs w:val="21"/>
                <w:highlight w:val="none"/>
              </w:rPr>
              <w:t>交货</w:t>
            </w:r>
          </w:p>
        </w:tc>
        <w:tc>
          <w:tcPr>
            <w:tcW w:w="1914" w:type="dxa"/>
            <w:vAlign w:val="center"/>
          </w:tcPr>
          <w:p>
            <w:pPr>
              <w:spacing w:line="360" w:lineRule="auto"/>
              <w:ind w:right="-170" w:rightChars="-81"/>
              <w:rPr>
                <w:rFonts w:ascii="宋体" w:hAnsi="宋体" w:cs="宋体"/>
                <w:b/>
                <w:szCs w:val="21"/>
                <w:highlight w:val="none"/>
              </w:rPr>
            </w:pPr>
            <w:r>
              <w:rPr>
                <w:rFonts w:hint="eastAsia" w:ascii="宋体" w:hAnsi="宋体" w:cs="宋体"/>
                <w:b/>
                <w:szCs w:val="21"/>
                <w:highlight w:val="none"/>
              </w:rPr>
              <w:t>1.交货衔接情况（5分）</w:t>
            </w:r>
          </w:p>
        </w:tc>
        <w:tc>
          <w:tcPr>
            <w:tcW w:w="2069"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交货及时确保库存</w:t>
            </w:r>
          </w:p>
          <w:p>
            <w:pPr>
              <w:spacing w:line="360" w:lineRule="auto"/>
              <w:jc w:val="center"/>
              <w:rPr>
                <w:rFonts w:ascii="宋体" w:hAnsi="宋体" w:cs="宋体"/>
                <w:szCs w:val="21"/>
                <w:highlight w:val="none"/>
              </w:rPr>
            </w:pPr>
            <w:r>
              <w:rPr>
                <w:rFonts w:hint="eastAsia" w:ascii="宋体" w:hAnsi="宋体" w:cs="宋体"/>
                <w:szCs w:val="21"/>
                <w:highlight w:val="none"/>
              </w:rPr>
              <w:t>（5分）</w:t>
            </w:r>
          </w:p>
        </w:tc>
        <w:tc>
          <w:tcPr>
            <w:tcW w:w="2070"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基本能按时交货</w:t>
            </w:r>
          </w:p>
          <w:p>
            <w:pPr>
              <w:spacing w:line="360" w:lineRule="auto"/>
              <w:jc w:val="center"/>
              <w:rPr>
                <w:rFonts w:ascii="宋体" w:hAnsi="宋体" w:cs="宋体"/>
                <w:szCs w:val="21"/>
                <w:highlight w:val="none"/>
              </w:rPr>
            </w:pPr>
            <w:r>
              <w:rPr>
                <w:rFonts w:hint="eastAsia" w:ascii="宋体" w:hAnsi="宋体" w:cs="宋体"/>
                <w:szCs w:val="21"/>
                <w:highlight w:val="none"/>
              </w:rPr>
              <w:t>（3分）</w:t>
            </w:r>
          </w:p>
        </w:tc>
        <w:tc>
          <w:tcPr>
            <w:tcW w:w="2050" w:type="dxa"/>
            <w:tcBorders>
              <w:bottom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不能按时交货</w:t>
            </w:r>
          </w:p>
          <w:p>
            <w:pPr>
              <w:spacing w:line="360" w:lineRule="auto"/>
              <w:jc w:val="center"/>
              <w:rPr>
                <w:rFonts w:ascii="宋体" w:hAnsi="宋体" w:cs="宋体"/>
                <w:szCs w:val="21"/>
                <w:highlight w:val="none"/>
              </w:rPr>
            </w:pPr>
            <w:r>
              <w:rPr>
                <w:rFonts w:hint="eastAsia" w:ascii="宋体" w:hAnsi="宋体" w:cs="宋体"/>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8" w:hRule="atLeast"/>
        </w:trPr>
        <w:tc>
          <w:tcPr>
            <w:tcW w:w="596" w:type="dxa"/>
            <w:vMerge w:val="continue"/>
            <w:vAlign w:val="center"/>
          </w:tcPr>
          <w:p>
            <w:pPr>
              <w:spacing w:line="360" w:lineRule="auto"/>
              <w:jc w:val="center"/>
              <w:rPr>
                <w:rFonts w:ascii="宋体" w:hAnsi="宋体" w:cs="宋体"/>
                <w:b/>
                <w:bCs/>
                <w:szCs w:val="21"/>
                <w:highlight w:val="none"/>
              </w:rPr>
            </w:pPr>
          </w:p>
        </w:tc>
        <w:tc>
          <w:tcPr>
            <w:tcW w:w="1914" w:type="dxa"/>
            <w:vAlign w:val="center"/>
          </w:tcPr>
          <w:p>
            <w:pPr>
              <w:spacing w:line="360" w:lineRule="auto"/>
              <w:rPr>
                <w:rFonts w:ascii="宋体" w:hAnsi="宋体" w:cs="宋体"/>
                <w:b/>
                <w:bCs/>
                <w:szCs w:val="21"/>
                <w:highlight w:val="none"/>
              </w:rPr>
            </w:pPr>
            <w:r>
              <w:rPr>
                <w:rFonts w:hint="eastAsia" w:ascii="宋体" w:hAnsi="宋体" w:cs="宋体"/>
                <w:b/>
                <w:bCs/>
                <w:szCs w:val="21"/>
                <w:highlight w:val="none"/>
              </w:rPr>
              <w:t>2.货物包装（5分）</w:t>
            </w:r>
          </w:p>
        </w:tc>
        <w:tc>
          <w:tcPr>
            <w:tcW w:w="2069" w:type="dxa"/>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货物包装完全符合要求</w:t>
            </w:r>
          </w:p>
          <w:p>
            <w:pPr>
              <w:spacing w:line="360" w:lineRule="auto"/>
              <w:jc w:val="center"/>
              <w:rPr>
                <w:rFonts w:ascii="宋体" w:hAnsi="宋体" w:cs="宋体"/>
                <w:bCs/>
                <w:szCs w:val="21"/>
                <w:highlight w:val="none"/>
              </w:rPr>
            </w:pPr>
            <w:r>
              <w:rPr>
                <w:rFonts w:hint="eastAsia" w:ascii="宋体" w:hAnsi="宋体" w:cs="宋体"/>
                <w:bCs/>
                <w:szCs w:val="21"/>
                <w:highlight w:val="none"/>
              </w:rPr>
              <w:t>（5</w:t>
            </w:r>
            <w:r>
              <w:rPr>
                <w:rFonts w:hint="eastAsia" w:ascii="宋体" w:hAnsi="宋体" w:cs="宋体"/>
                <w:szCs w:val="21"/>
                <w:highlight w:val="none"/>
              </w:rPr>
              <w:t>分）</w:t>
            </w:r>
          </w:p>
        </w:tc>
        <w:tc>
          <w:tcPr>
            <w:tcW w:w="2070" w:type="dxa"/>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货物包装基本符合要求</w:t>
            </w:r>
          </w:p>
          <w:p>
            <w:pPr>
              <w:spacing w:line="360" w:lineRule="auto"/>
              <w:jc w:val="center"/>
              <w:rPr>
                <w:rFonts w:ascii="宋体" w:hAnsi="宋体" w:cs="宋体"/>
                <w:bCs/>
                <w:szCs w:val="21"/>
                <w:highlight w:val="none"/>
              </w:rPr>
            </w:pPr>
            <w:r>
              <w:rPr>
                <w:rFonts w:hint="eastAsia" w:ascii="宋体" w:hAnsi="宋体" w:cs="宋体"/>
                <w:szCs w:val="21"/>
                <w:highlight w:val="none"/>
              </w:rPr>
              <w:t>（3分）</w:t>
            </w:r>
          </w:p>
        </w:tc>
        <w:tc>
          <w:tcPr>
            <w:tcW w:w="2050" w:type="dxa"/>
            <w:tcBorders>
              <w:bottom w:val="single" w:color="auto" w:sz="4" w:space="0"/>
            </w:tcBorders>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货物包装不符合要求</w:t>
            </w:r>
          </w:p>
          <w:p>
            <w:pPr>
              <w:spacing w:line="360" w:lineRule="auto"/>
              <w:jc w:val="center"/>
              <w:rPr>
                <w:rFonts w:ascii="宋体" w:hAnsi="宋体" w:cs="宋体"/>
                <w:bCs/>
                <w:szCs w:val="21"/>
                <w:highlight w:val="none"/>
              </w:rPr>
            </w:pPr>
            <w:r>
              <w:rPr>
                <w:rFonts w:hint="eastAsia" w:ascii="宋体" w:hAnsi="宋体" w:cs="宋体"/>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96" w:type="dxa"/>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二、质量标准</w:t>
            </w:r>
          </w:p>
        </w:tc>
        <w:tc>
          <w:tcPr>
            <w:tcW w:w="1914" w:type="dxa"/>
            <w:vAlign w:val="center"/>
          </w:tcPr>
          <w:p>
            <w:pPr>
              <w:spacing w:line="360" w:lineRule="auto"/>
              <w:rPr>
                <w:rFonts w:ascii="宋体" w:hAnsi="宋体" w:cs="宋体"/>
                <w:b/>
                <w:szCs w:val="21"/>
                <w:highlight w:val="none"/>
              </w:rPr>
            </w:pPr>
            <w:r>
              <w:rPr>
                <w:rFonts w:hint="eastAsia" w:ascii="宋体" w:hAnsi="宋体" w:cs="宋体"/>
                <w:b/>
                <w:bCs/>
                <w:szCs w:val="21"/>
                <w:highlight w:val="none"/>
              </w:rPr>
              <w:t>3. 货物质量标准（10分）</w:t>
            </w:r>
          </w:p>
        </w:tc>
        <w:tc>
          <w:tcPr>
            <w:tcW w:w="2069" w:type="dxa"/>
            <w:vAlign w:val="center"/>
          </w:tcPr>
          <w:p>
            <w:pPr>
              <w:spacing w:line="360" w:lineRule="auto"/>
              <w:jc w:val="center"/>
              <w:rPr>
                <w:rFonts w:ascii="宋体" w:hAnsi="宋体" w:cs="宋体"/>
                <w:bCs/>
                <w:szCs w:val="21"/>
                <w:highlight w:val="none"/>
              </w:rPr>
            </w:pPr>
            <w:r>
              <w:rPr>
                <w:rFonts w:hint="eastAsia" w:ascii="宋体" w:hAnsi="宋体" w:cs="宋体"/>
                <w:szCs w:val="21"/>
                <w:highlight w:val="none"/>
              </w:rPr>
              <w:t>提供的货物质量标准符合或优于最新行业标准或国家标准</w:t>
            </w:r>
            <w:r>
              <w:rPr>
                <w:rFonts w:hint="eastAsia" w:ascii="宋体" w:hAnsi="宋体" w:cs="宋体"/>
                <w:bCs/>
                <w:szCs w:val="21"/>
                <w:highlight w:val="none"/>
              </w:rPr>
              <w:t>（10</w:t>
            </w:r>
            <w:r>
              <w:rPr>
                <w:rFonts w:hint="eastAsia" w:ascii="宋体" w:hAnsi="宋体" w:cs="宋体"/>
                <w:szCs w:val="21"/>
                <w:highlight w:val="none"/>
              </w:rPr>
              <w:t>分）</w:t>
            </w:r>
          </w:p>
        </w:tc>
        <w:tc>
          <w:tcPr>
            <w:tcW w:w="2070" w:type="dxa"/>
            <w:vAlign w:val="center"/>
          </w:tcPr>
          <w:p>
            <w:pPr>
              <w:spacing w:line="360" w:lineRule="auto"/>
              <w:jc w:val="center"/>
              <w:rPr>
                <w:rFonts w:ascii="宋体" w:hAnsi="宋体" w:cs="宋体"/>
                <w:bCs/>
                <w:szCs w:val="21"/>
                <w:highlight w:val="none"/>
              </w:rPr>
            </w:pPr>
            <w:r>
              <w:rPr>
                <w:rFonts w:hint="eastAsia" w:ascii="宋体" w:hAnsi="宋体" w:cs="宋体"/>
                <w:szCs w:val="21"/>
                <w:highlight w:val="none"/>
              </w:rPr>
              <w:t>提供的货物质量标准基本符合最新行业标准或国家标准（6分）</w:t>
            </w:r>
          </w:p>
        </w:tc>
        <w:tc>
          <w:tcPr>
            <w:tcW w:w="2050" w:type="dxa"/>
            <w:tcBorders>
              <w:bottom w:val="single" w:color="auto" w:sz="4" w:space="0"/>
            </w:tcBorders>
            <w:vAlign w:val="center"/>
          </w:tcPr>
          <w:p>
            <w:pPr>
              <w:spacing w:line="360" w:lineRule="auto"/>
              <w:jc w:val="center"/>
              <w:rPr>
                <w:rFonts w:ascii="宋体" w:hAnsi="宋体" w:cs="宋体"/>
                <w:bCs/>
                <w:szCs w:val="21"/>
                <w:highlight w:val="none"/>
              </w:rPr>
            </w:pPr>
            <w:r>
              <w:rPr>
                <w:rFonts w:hint="eastAsia" w:ascii="宋体" w:hAnsi="宋体" w:cs="宋体"/>
                <w:szCs w:val="21"/>
                <w:highlight w:val="none"/>
              </w:rPr>
              <w:t>提供的货物质量标准不符合最新行业标准或国家标准（0分）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4" w:hRule="atLeast"/>
        </w:trPr>
        <w:tc>
          <w:tcPr>
            <w:tcW w:w="596" w:type="dxa"/>
            <w:vMerge w:val="restart"/>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三、使用效果</w:t>
            </w:r>
          </w:p>
        </w:tc>
        <w:tc>
          <w:tcPr>
            <w:tcW w:w="1914" w:type="dxa"/>
            <w:vAlign w:val="center"/>
          </w:tcPr>
          <w:p>
            <w:pPr>
              <w:spacing w:line="360" w:lineRule="auto"/>
              <w:rPr>
                <w:rFonts w:ascii="宋体" w:hAnsi="宋体" w:cs="宋体"/>
                <w:b/>
                <w:bCs/>
                <w:szCs w:val="21"/>
                <w:highlight w:val="none"/>
              </w:rPr>
            </w:pPr>
            <w:r>
              <w:rPr>
                <w:rFonts w:hint="eastAsia" w:ascii="宋体" w:hAnsi="宋体" w:cs="宋体"/>
                <w:b/>
                <w:szCs w:val="21"/>
                <w:highlight w:val="none"/>
              </w:rPr>
              <w:t>4.对设备的影响程度</w:t>
            </w:r>
            <w:r>
              <w:rPr>
                <w:rFonts w:hint="eastAsia" w:ascii="宋体" w:hAnsi="宋体" w:cs="宋体"/>
                <w:b/>
                <w:bCs/>
                <w:szCs w:val="21"/>
                <w:highlight w:val="none"/>
              </w:rPr>
              <w:t>（10分）</w:t>
            </w:r>
          </w:p>
        </w:tc>
        <w:tc>
          <w:tcPr>
            <w:tcW w:w="2069" w:type="dxa"/>
            <w:vAlign w:val="center"/>
          </w:tcPr>
          <w:p>
            <w:pPr>
              <w:spacing w:line="360" w:lineRule="auto"/>
              <w:jc w:val="center"/>
              <w:rPr>
                <w:rFonts w:ascii="宋体" w:hAnsi="宋体" w:cs="宋体"/>
                <w:szCs w:val="21"/>
                <w:highlight w:val="none"/>
              </w:rPr>
            </w:pPr>
            <w:r>
              <w:rPr>
                <w:rFonts w:hint="eastAsia" w:ascii="宋体" w:hAnsi="宋体" w:cs="宋体"/>
                <w:bCs/>
                <w:szCs w:val="21"/>
                <w:highlight w:val="none"/>
              </w:rPr>
              <w:t>加料后15天内给料顺畅，不</w:t>
            </w:r>
            <w:r>
              <w:rPr>
                <w:rFonts w:hint="eastAsia" w:ascii="宋体" w:hAnsi="宋体" w:cs="宋体"/>
                <w:szCs w:val="21"/>
                <w:highlight w:val="none"/>
              </w:rPr>
              <w:t>产生粘结或板结。</w:t>
            </w:r>
          </w:p>
          <w:p>
            <w:pPr>
              <w:spacing w:line="360" w:lineRule="auto"/>
              <w:jc w:val="center"/>
              <w:rPr>
                <w:rFonts w:ascii="宋体" w:hAnsi="宋体" w:cs="宋体"/>
                <w:bCs/>
                <w:szCs w:val="21"/>
                <w:highlight w:val="none"/>
              </w:rPr>
            </w:pPr>
            <w:r>
              <w:rPr>
                <w:rFonts w:hint="eastAsia" w:ascii="宋体" w:hAnsi="宋体" w:cs="宋体"/>
                <w:bCs/>
                <w:szCs w:val="21"/>
                <w:highlight w:val="none"/>
              </w:rPr>
              <w:t>（10</w:t>
            </w:r>
            <w:r>
              <w:rPr>
                <w:rFonts w:hint="eastAsia" w:ascii="宋体" w:hAnsi="宋体" w:cs="宋体"/>
                <w:szCs w:val="21"/>
                <w:highlight w:val="none"/>
              </w:rPr>
              <w:t>分）</w:t>
            </w:r>
          </w:p>
        </w:tc>
        <w:tc>
          <w:tcPr>
            <w:tcW w:w="2070" w:type="dxa"/>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加料后15天内出现给料不顺畅现象次数不超过3次。</w:t>
            </w:r>
            <w:r>
              <w:rPr>
                <w:rFonts w:hint="eastAsia" w:ascii="宋体" w:hAnsi="宋体" w:cs="宋体"/>
                <w:szCs w:val="21"/>
                <w:highlight w:val="none"/>
              </w:rPr>
              <w:t>（6分）</w:t>
            </w:r>
          </w:p>
        </w:tc>
        <w:tc>
          <w:tcPr>
            <w:tcW w:w="2050" w:type="dxa"/>
            <w:tcBorders>
              <w:bottom w:val="single" w:color="auto" w:sz="4" w:space="0"/>
            </w:tcBorders>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加料后15天内出现给料不顺畅现象次数超过3次的。</w:t>
            </w:r>
            <w:r>
              <w:rPr>
                <w:rFonts w:hint="eastAsia" w:ascii="宋体" w:hAnsi="宋体" w:cs="宋体"/>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8" w:hRule="atLeast"/>
        </w:trPr>
        <w:tc>
          <w:tcPr>
            <w:tcW w:w="596" w:type="dxa"/>
            <w:vMerge w:val="continue"/>
            <w:vAlign w:val="center"/>
          </w:tcPr>
          <w:p>
            <w:pPr>
              <w:spacing w:line="360" w:lineRule="auto"/>
              <w:jc w:val="center"/>
              <w:rPr>
                <w:rFonts w:ascii="宋体" w:hAnsi="宋体" w:cs="宋体"/>
                <w:b/>
                <w:bCs/>
                <w:szCs w:val="21"/>
                <w:highlight w:val="none"/>
              </w:rPr>
            </w:pPr>
          </w:p>
        </w:tc>
        <w:tc>
          <w:tcPr>
            <w:tcW w:w="1914" w:type="dxa"/>
            <w:vAlign w:val="center"/>
          </w:tcPr>
          <w:p>
            <w:pPr>
              <w:spacing w:line="360" w:lineRule="auto"/>
              <w:rPr>
                <w:rFonts w:ascii="宋体" w:hAnsi="宋体" w:cs="宋体"/>
                <w:b/>
                <w:szCs w:val="21"/>
                <w:highlight w:val="none"/>
              </w:rPr>
            </w:pPr>
            <w:r>
              <w:rPr>
                <w:rFonts w:hint="eastAsia" w:ascii="宋体" w:hAnsi="宋体" w:cs="宋体"/>
                <w:b/>
                <w:szCs w:val="21"/>
                <w:highlight w:val="none"/>
              </w:rPr>
              <w:t>5.脱水效果（50分）</w:t>
            </w:r>
          </w:p>
        </w:tc>
        <w:tc>
          <w:tcPr>
            <w:tcW w:w="2069" w:type="dxa"/>
            <w:vAlign w:val="center"/>
          </w:tcPr>
          <w:p>
            <w:pPr>
              <w:spacing w:line="360" w:lineRule="auto"/>
              <w:jc w:val="center"/>
              <w:rPr>
                <w:rFonts w:ascii="宋体" w:hAnsi="宋体" w:cs="宋体"/>
                <w:bCs/>
                <w:szCs w:val="21"/>
                <w:highlight w:val="none"/>
              </w:rPr>
            </w:pPr>
            <w:r>
              <w:rPr>
                <w:rFonts w:hint="eastAsia" w:ascii="宋体" w:hAnsi="宋体" w:cs="宋体"/>
                <w:szCs w:val="21"/>
                <w:highlight w:val="none"/>
              </w:rPr>
              <w:t>脱水后污泥的含水率稳定达到80%以下（50分）</w:t>
            </w:r>
          </w:p>
        </w:tc>
        <w:tc>
          <w:tcPr>
            <w:tcW w:w="2070" w:type="dxa"/>
            <w:vAlign w:val="center"/>
          </w:tcPr>
          <w:p>
            <w:pPr>
              <w:spacing w:line="360" w:lineRule="auto"/>
              <w:jc w:val="center"/>
              <w:rPr>
                <w:rFonts w:ascii="宋体" w:hAnsi="宋体" w:cs="宋体"/>
                <w:bCs/>
                <w:szCs w:val="21"/>
                <w:highlight w:val="none"/>
              </w:rPr>
            </w:pPr>
            <w:r>
              <w:rPr>
                <w:rFonts w:hint="eastAsia" w:ascii="宋体" w:hAnsi="宋体" w:cs="宋体"/>
                <w:szCs w:val="21"/>
                <w:highlight w:val="none"/>
              </w:rPr>
              <w:t>脱水后污泥出现过</w:t>
            </w:r>
            <w:r>
              <w:rPr>
                <w:rFonts w:hint="eastAsia" w:ascii="宋体" w:hAnsi="宋体" w:cs="宋体"/>
                <w:bCs/>
                <w:szCs w:val="21"/>
                <w:highlight w:val="none"/>
              </w:rPr>
              <w:t>小于5次含水率超80%</w:t>
            </w:r>
            <w:r>
              <w:rPr>
                <w:rFonts w:hint="eastAsia" w:ascii="宋体" w:hAnsi="宋体" w:cs="宋体"/>
                <w:szCs w:val="21"/>
                <w:highlight w:val="none"/>
              </w:rPr>
              <w:t>（30分）</w:t>
            </w:r>
          </w:p>
        </w:tc>
        <w:tc>
          <w:tcPr>
            <w:tcW w:w="2050" w:type="dxa"/>
            <w:tcBorders>
              <w:bottom w:val="single" w:color="auto" w:sz="4" w:space="0"/>
            </w:tcBorders>
            <w:vAlign w:val="center"/>
          </w:tcPr>
          <w:p>
            <w:pPr>
              <w:spacing w:line="360" w:lineRule="auto"/>
              <w:jc w:val="center"/>
              <w:rPr>
                <w:rFonts w:ascii="宋体" w:hAnsi="宋体" w:cs="宋体"/>
                <w:bCs/>
                <w:szCs w:val="21"/>
                <w:highlight w:val="none"/>
              </w:rPr>
            </w:pPr>
            <w:r>
              <w:rPr>
                <w:rFonts w:hint="eastAsia" w:ascii="宋体" w:hAnsi="宋体" w:cs="宋体"/>
                <w:szCs w:val="21"/>
                <w:highlight w:val="none"/>
              </w:rPr>
              <w:t>脱水后污泥出现过</w:t>
            </w:r>
            <w:r>
              <w:rPr>
                <w:rFonts w:hint="eastAsia" w:ascii="宋体" w:hAnsi="宋体" w:cs="宋体"/>
                <w:bCs/>
                <w:szCs w:val="21"/>
                <w:highlight w:val="none"/>
              </w:rPr>
              <w:t>超过5次含水率超80%</w:t>
            </w:r>
            <w:r>
              <w:rPr>
                <w:rFonts w:hint="eastAsia" w:ascii="宋体" w:hAnsi="宋体" w:cs="宋体"/>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596" w:type="dxa"/>
            <w:vMerge w:val="continue"/>
            <w:vAlign w:val="center"/>
          </w:tcPr>
          <w:p>
            <w:pPr>
              <w:spacing w:line="360" w:lineRule="auto"/>
              <w:jc w:val="center"/>
              <w:rPr>
                <w:rFonts w:ascii="宋体" w:hAnsi="宋体" w:cs="宋体"/>
                <w:b/>
                <w:bCs/>
                <w:szCs w:val="21"/>
                <w:highlight w:val="none"/>
              </w:rPr>
            </w:pPr>
          </w:p>
        </w:tc>
        <w:tc>
          <w:tcPr>
            <w:tcW w:w="1914" w:type="dxa"/>
            <w:vAlign w:val="center"/>
          </w:tcPr>
          <w:p>
            <w:pPr>
              <w:spacing w:line="360" w:lineRule="auto"/>
              <w:rPr>
                <w:rFonts w:ascii="宋体" w:hAnsi="宋体" w:cs="宋体"/>
                <w:b/>
                <w:bCs/>
                <w:szCs w:val="21"/>
                <w:highlight w:val="none"/>
              </w:rPr>
            </w:pPr>
            <w:r>
              <w:rPr>
                <w:rFonts w:hint="eastAsia" w:ascii="宋体" w:hAnsi="宋体" w:cs="宋体"/>
                <w:b/>
                <w:szCs w:val="21"/>
                <w:highlight w:val="none"/>
              </w:rPr>
              <w:t>6.澄清液固含量</w:t>
            </w:r>
            <w:r>
              <w:rPr>
                <w:rFonts w:hint="eastAsia" w:ascii="宋体" w:hAnsi="宋体" w:cs="宋体"/>
                <w:b/>
                <w:bCs/>
                <w:szCs w:val="21"/>
                <w:highlight w:val="none"/>
              </w:rPr>
              <w:t>（10分）</w:t>
            </w:r>
          </w:p>
        </w:tc>
        <w:tc>
          <w:tcPr>
            <w:tcW w:w="2069"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大于150mg/L不超过3次</w:t>
            </w:r>
          </w:p>
          <w:p>
            <w:pPr>
              <w:spacing w:line="360" w:lineRule="auto"/>
              <w:jc w:val="center"/>
              <w:rPr>
                <w:rFonts w:ascii="宋体" w:hAnsi="宋体" w:cs="宋体"/>
                <w:bCs/>
                <w:szCs w:val="21"/>
                <w:highlight w:val="none"/>
              </w:rPr>
            </w:pPr>
            <w:r>
              <w:rPr>
                <w:rFonts w:hint="eastAsia" w:ascii="宋体" w:hAnsi="宋体" w:cs="宋体"/>
                <w:bCs/>
                <w:szCs w:val="21"/>
                <w:highlight w:val="none"/>
              </w:rPr>
              <w:t>（10</w:t>
            </w:r>
            <w:r>
              <w:rPr>
                <w:rFonts w:hint="eastAsia" w:ascii="宋体" w:hAnsi="宋体" w:cs="宋体"/>
                <w:szCs w:val="21"/>
                <w:highlight w:val="none"/>
              </w:rPr>
              <w:t>分）</w:t>
            </w:r>
          </w:p>
        </w:tc>
        <w:tc>
          <w:tcPr>
            <w:tcW w:w="2070" w:type="dxa"/>
            <w:vAlign w:val="center"/>
          </w:tcPr>
          <w:p>
            <w:pPr>
              <w:spacing w:line="360" w:lineRule="auto"/>
              <w:jc w:val="center"/>
              <w:rPr>
                <w:rFonts w:ascii="宋体" w:hAnsi="宋体" w:cs="宋体"/>
                <w:bCs/>
                <w:szCs w:val="21"/>
                <w:highlight w:val="none"/>
              </w:rPr>
            </w:pPr>
            <w:r>
              <w:rPr>
                <w:rFonts w:hint="eastAsia" w:ascii="宋体" w:hAnsi="宋体" w:cs="宋体"/>
                <w:szCs w:val="21"/>
                <w:highlight w:val="none"/>
              </w:rPr>
              <w:t>大于150mg/L超过3次，不超过6次，其中大于160mg/L不超过3次（6分）</w:t>
            </w:r>
          </w:p>
        </w:tc>
        <w:tc>
          <w:tcPr>
            <w:tcW w:w="2050" w:type="dxa"/>
            <w:tcBorders>
              <w:bottom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bCs/>
                <w:szCs w:val="21"/>
                <w:highlight w:val="none"/>
              </w:rPr>
              <w:t>大于150mg/L超过6次或大于160mg/L的超过3次</w:t>
            </w:r>
          </w:p>
          <w:p>
            <w:pPr>
              <w:spacing w:line="360" w:lineRule="auto"/>
              <w:jc w:val="center"/>
              <w:rPr>
                <w:rFonts w:ascii="宋体" w:hAnsi="宋体" w:cs="宋体"/>
                <w:bCs/>
                <w:szCs w:val="21"/>
                <w:highlight w:val="none"/>
              </w:rPr>
            </w:pPr>
            <w:r>
              <w:rPr>
                <w:rFonts w:hint="eastAsia" w:ascii="宋体" w:hAnsi="宋体" w:cs="宋体"/>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 w:hRule="atLeast"/>
        </w:trPr>
        <w:tc>
          <w:tcPr>
            <w:tcW w:w="596" w:type="dxa"/>
            <w:vMerge w:val="restart"/>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四、服务质量</w:t>
            </w:r>
          </w:p>
        </w:tc>
        <w:tc>
          <w:tcPr>
            <w:tcW w:w="1914" w:type="dxa"/>
            <w:vAlign w:val="center"/>
          </w:tcPr>
          <w:p>
            <w:pPr>
              <w:spacing w:line="360" w:lineRule="auto"/>
              <w:rPr>
                <w:rFonts w:ascii="宋体" w:hAnsi="宋体" w:cs="宋体"/>
                <w:b/>
                <w:szCs w:val="21"/>
                <w:highlight w:val="none"/>
              </w:rPr>
            </w:pPr>
            <w:r>
              <w:rPr>
                <w:rFonts w:hint="eastAsia" w:ascii="宋体" w:hAnsi="宋体" w:cs="宋体"/>
                <w:b/>
                <w:szCs w:val="21"/>
                <w:highlight w:val="none"/>
              </w:rPr>
              <w:t>7.技术人员素质</w:t>
            </w:r>
            <w:r>
              <w:rPr>
                <w:rFonts w:hint="eastAsia" w:ascii="宋体" w:hAnsi="宋体" w:cs="宋体"/>
                <w:b/>
                <w:bCs/>
                <w:szCs w:val="21"/>
                <w:highlight w:val="none"/>
              </w:rPr>
              <w:t>（5分）</w:t>
            </w:r>
          </w:p>
        </w:tc>
        <w:tc>
          <w:tcPr>
            <w:tcW w:w="2069" w:type="dxa"/>
            <w:vAlign w:val="center"/>
          </w:tcPr>
          <w:p>
            <w:pPr>
              <w:spacing w:line="360" w:lineRule="auto"/>
              <w:rPr>
                <w:rFonts w:ascii="宋体" w:hAnsi="宋体" w:cs="宋体"/>
                <w:szCs w:val="21"/>
                <w:highlight w:val="none"/>
              </w:rPr>
            </w:pPr>
            <w:r>
              <w:rPr>
                <w:rFonts w:hint="eastAsia" w:ascii="宋体" w:hAnsi="宋体" w:cs="宋体"/>
                <w:szCs w:val="21"/>
                <w:highlight w:val="none"/>
              </w:rPr>
              <w:t xml:space="preserve">  7.技术人员素质（5分）                                      技术人员经验丰富，人员搭配合理，能按时按量满足厂区药剂投加需求。（5分）                                                                                                    </w:t>
            </w:r>
          </w:p>
        </w:tc>
        <w:tc>
          <w:tcPr>
            <w:tcW w:w="2070" w:type="dxa"/>
            <w:vAlign w:val="center"/>
          </w:tcPr>
          <w:p>
            <w:pPr>
              <w:spacing w:line="360" w:lineRule="auto"/>
              <w:rPr>
                <w:rFonts w:ascii="宋体" w:hAnsi="宋体" w:cs="宋体"/>
                <w:szCs w:val="21"/>
                <w:highlight w:val="none"/>
              </w:rPr>
            </w:pPr>
            <w:r>
              <w:rPr>
                <w:rFonts w:hint="eastAsia" w:ascii="宋体" w:hAnsi="宋体" w:cs="宋体"/>
                <w:szCs w:val="21"/>
                <w:highlight w:val="none"/>
              </w:rPr>
              <w:t xml:space="preserve">                                                技术人员经验一般，人员搭配尚可，能基本满足厂区药剂投加需求（3分）</w:t>
            </w:r>
          </w:p>
        </w:tc>
        <w:tc>
          <w:tcPr>
            <w:tcW w:w="2050" w:type="dxa"/>
            <w:tcBorders>
              <w:bottom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技术人员工作经验少，人员搭配不足，不能满足厂区药剂投加需求</w:t>
            </w:r>
          </w:p>
          <w:p>
            <w:pPr>
              <w:spacing w:line="360" w:lineRule="auto"/>
              <w:jc w:val="center"/>
              <w:rPr>
                <w:rFonts w:ascii="宋体" w:hAnsi="宋体" w:cs="宋体"/>
                <w:szCs w:val="21"/>
                <w:highlight w:val="none"/>
              </w:rPr>
            </w:pPr>
            <w:r>
              <w:rPr>
                <w:rFonts w:hint="eastAsia" w:ascii="宋体" w:hAnsi="宋体" w:cs="宋体"/>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596" w:type="dxa"/>
            <w:vMerge w:val="continue"/>
            <w:vAlign w:val="center"/>
          </w:tcPr>
          <w:p>
            <w:pPr>
              <w:spacing w:line="360" w:lineRule="auto"/>
              <w:jc w:val="center"/>
              <w:rPr>
                <w:rFonts w:ascii="宋体" w:hAnsi="宋体" w:cs="宋体"/>
                <w:b/>
                <w:bCs/>
                <w:szCs w:val="21"/>
                <w:highlight w:val="none"/>
              </w:rPr>
            </w:pPr>
          </w:p>
        </w:tc>
        <w:tc>
          <w:tcPr>
            <w:tcW w:w="1914" w:type="dxa"/>
            <w:vAlign w:val="center"/>
          </w:tcPr>
          <w:p>
            <w:pPr>
              <w:spacing w:line="360" w:lineRule="auto"/>
              <w:rPr>
                <w:rFonts w:ascii="宋体" w:hAnsi="宋体" w:cs="宋体"/>
                <w:b/>
                <w:szCs w:val="21"/>
                <w:highlight w:val="none"/>
              </w:rPr>
            </w:pPr>
            <w:r>
              <w:rPr>
                <w:rFonts w:hint="eastAsia" w:ascii="宋体" w:hAnsi="宋体" w:cs="宋体"/>
                <w:b/>
                <w:szCs w:val="21"/>
                <w:highlight w:val="none"/>
              </w:rPr>
              <w:t>8.其他售后服务措施</w:t>
            </w:r>
            <w:r>
              <w:rPr>
                <w:rFonts w:hint="eastAsia" w:ascii="宋体" w:hAnsi="宋体" w:cs="宋体"/>
                <w:b/>
                <w:bCs/>
                <w:szCs w:val="21"/>
                <w:highlight w:val="none"/>
              </w:rPr>
              <w:t>（5分）</w:t>
            </w:r>
          </w:p>
        </w:tc>
        <w:tc>
          <w:tcPr>
            <w:tcW w:w="2069"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1.有紧急应对措施合理具体充分；</w:t>
            </w:r>
          </w:p>
          <w:p>
            <w:pPr>
              <w:spacing w:line="360" w:lineRule="auto"/>
              <w:jc w:val="center"/>
              <w:rPr>
                <w:rFonts w:ascii="宋体" w:hAnsi="宋体" w:cs="宋体"/>
                <w:szCs w:val="21"/>
                <w:highlight w:val="none"/>
              </w:rPr>
            </w:pPr>
            <w:r>
              <w:rPr>
                <w:rFonts w:hint="eastAsia" w:ascii="宋体" w:hAnsi="宋体" w:cs="宋体"/>
                <w:szCs w:val="21"/>
                <w:highlight w:val="none"/>
              </w:rPr>
              <w:t>2.有利于买方的承诺。</w:t>
            </w:r>
          </w:p>
          <w:p>
            <w:pPr>
              <w:spacing w:line="360" w:lineRule="auto"/>
              <w:jc w:val="center"/>
              <w:rPr>
                <w:rFonts w:ascii="宋体" w:hAnsi="宋体" w:cs="宋体"/>
                <w:szCs w:val="21"/>
                <w:highlight w:val="none"/>
              </w:rPr>
            </w:pPr>
            <w:r>
              <w:rPr>
                <w:rFonts w:hint="eastAsia" w:ascii="宋体" w:hAnsi="宋体" w:cs="宋体"/>
                <w:bCs/>
                <w:szCs w:val="21"/>
                <w:highlight w:val="none"/>
              </w:rPr>
              <w:t>（5</w:t>
            </w:r>
            <w:r>
              <w:rPr>
                <w:rFonts w:hint="eastAsia" w:ascii="宋体" w:hAnsi="宋体" w:cs="宋体"/>
                <w:szCs w:val="21"/>
                <w:highlight w:val="none"/>
              </w:rPr>
              <w:t>分）</w:t>
            </w:r>
          </w:p>
        </w:tc>
        <w:tc>
          <w:tcPr>
            <w:tcW w:w="2070"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1.有紧急应对措施；</w:t>
            </w:r>
          </w:p>
          <w:p>
            <w:pPr>
              <w:spacing w:line="360" w:lineRule="auto"/>
              <w:jc w:val="center"/>
              <w:rPr>
                <w:rFonts w:ascii="宋体" w:hAnsi="宋体" w:cs="宋体"/>
                <w:szCs w:val="21"/>
                <w:highlight w:val="none"/>
              </w:rPr>
            </w:pPr>
            <w:r>
              <w:rPr>
                <w:rFonts w:hint="eastAsia" w:ascii="宋体" w:hAnsi="宋体" w:cs="宋体"/>
                <w:szCs w:val="21"/>
                <w:highlight w:val="none"/>
              </w:rPr>
              <w:t>2.有服务承诺。</w:t>
            </w:r>
          </w:p>
          <w:p>
            <w:pPr>
              <w:spacing w:line="360" w:lineRule="auto"/>
              <w:jc w:val="center"/>
              <w:rPr>
                <w:rFonts w:ascii="宋体" w:hAnsi="宋体" w:cs="宋体"/>
                <w:szCs w:val="21"/>
                <w:highlight w:val="none"/>
              </w:rPr>
            </w:pPr>
            <w:r>
              <w:rPr>
                <w:rFonts w:hint="eastAsia" w:ascii="宋体" w:hAnsi="宋体" w:cs="宋体"/>
                <w:szCs w:val="21"/>
                <w:highlight w:val="none"/>
              </w:rPr>
              <w:t>（3分）</w:t>
            </w:r>
          </w:p>
        </w:tc>
        <w:tc>
          <w:tcPr>
            <w:tcW w:w="2050"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紧急应对措施不足</w:t>
            </w:r>
          </w:p>
          <w:p>
            <w:pPr>
              <w:spacing w:line="360" w:lineRule="auto"/>
              <w:jc w:val="center"/>
              <w:rPr>
                <w:rFonts w:ascii="宋体" w:hAnsi="宋体" w:cs="宋体"/>
                <w:szCs w:val="21"/>
                <w:highlight w:val="none"/>
              </w:rPr>
            </w:pPr>
            <w:r>
              <w:rPr>
                <w:rFonts w:hint="eastAsia" w:ascii="宋体" w:hAnsi="宋体" w:cs="宋体"/>
                <w:szCs w:val="21"/>
                <w:highlight w:val="none"/>
              </w:rPr>
              <w:t>（0分）</w:t>
            </w:r>
          </w:p>
        </w:tc>
      </w:tr>
    </w:tbl>
    <w:p>
      <w:pPr>
        <w:spacing w:line="420" w:lineRule="exact"/>
        <w:ind w:left="696" w:leftChars="135" w:hanging="413" w:hangingChars="197"/>
        <w:rPr>
          <w:rFonts w:ascii="宋体" w:hAnsi="宋体"/>
          <w:b/>
          <w:bCs/>
          <w:szCs w:val="21"/>
          <w:highlight w:val="none"/>
        </w:rPr>
      </w:pPr>
      <w:r>
        <w:rPr>
          <w:rFonts w:hint="eastAsia" w:ascii="宋体" w:hAnsi="宋体"/>
          <w:szCs w:val="21"/>
          <w:highlight w:val="none"/>
        </w:rPr>
        <w:t>注：（1）由于不可抗力造成的交货延误，但没有影响生产的除外。</w:t>
      </w:r>
      <w:r>
        <w:rPr>
          <w:rFonts w:hint="eastAsia" w:ascii="宋体" w:hAnsi="宋体"/>
          <w:szCs w:val="21"/>
          <w:highlight w:val="none"/>
        </w:rPr>
        <w:cr/>
      </w:r>
      <w:r>
        <w:rPr>
          <w:rFonts w:hint="eastAsia" w:ascii="宋体" w:hAnsi="宋体"/>
          <w:szCs w:val="21"/>
          <w:highlight w:val="none"/>
        </w:rPr>
        <w:t>（2）交货准时是指交货不延误影响生产或过早而导致各厂库存过多。</w:t>
      </w:r>
    </w:p>
    <w:p>
      <w:pPr>
        <w:spacing w:line="420" w:lineRule="exact"/>
        <w:rPr>
          <w:rFonts w:ascii="宋体" w:hAnsi="宋体"/>
          <w:b/>
          <w:bCs/>
          <w:szCs w:val="21"/>
          <w:highlight w:val="none"/>
        </w:rPr>
      </w:pPr>
    </w:p>
    <w:p>
      <w:pPr>
        <w:spacing w:line="420" w:lineRule="exact"/>
        <w:rPr>
          <w:rFonts w:hint="eastAsia" w:ascii="宋体" w:hAnsi="宋体"/>
          <w:b/>
          <w:bCs/>
          <w:szCs w:val="21"/>
          <w:highlight w:val="none"/>
        </w:rPr>
      </w:pPr>
    </w:p>
    <w:p>
      <w:pPr>
        <w:spacing w:line="420" w:lineRule="exact"/>
        <w:rPr>
          <w:rFonts w:hint="eastAsia" w:ascii="宋体" w:hAnsi="宋体"/>
          <w:b/>
          <w:bCs/>
          <w:szCs w:val="21"/>
          <w:highlight w:val="none"/>
        </w:rPr>
      </w:pPr>
    </w:p>
    <w:p>
      <w:pPr>
        <w:spacing w:line="420" w:lineRule="exact"/>
        <w:rPr>
          <w:rFonts w:hint="eastAsia" w:ascii="宋体" w:hAnsi="宋体"/>
          <w:b/>
          <w:bCs/>
          <w:szCs w:val="21"/>
          <w:highlight w:val="none"/>
        </w:rPr>
      </w:pPr>
    </w:p>
    <w:p>
      <w:pPr>
        <w:rPr>
          <w:rFonts w:hint="eastAsia" w:ascii="宋体" w:hAnsi="宋体"/>
          <w:b/>
          <w:bCs/>
          <w:szCs w:val="21"/>
          <w:highlight w:val="none"/>
        </w:rPr>
      </w:pPr>
      <w:r>
        <w:rPr>
          <w:rFonts w:hint="eastAsia" w:ascii="宋体" w:hAnsi="宋体"/>
          <w:b/>
          <w:bCs/>
          <w:szCs w:val="21"/>
          <w:highlight w:val="none"/>
        </w:rPr>
        <w:br w:type="page"/>
      </w:r>
    </w:p>
    <w:p>
      <w:pPr>
        <w:spacing w:line="420" w:lineRule="exact"/>
        <w:rPr>
          <w:rFonts w:ascii="宋体" w:hAnsi="宋体"/>
          <w:szCs w:val="21"/>
          <w:highlight w:val="none"/>
        </w:rPr>
      </w:pPr>
      <w:r>
        <w:rPr>
          <w:rFonts w:hint="eastAsia" w:ascii="宋体" w:hAnsi="宋体"/>
          <w:b/>
          <w:bCs/>
          <w:szCs w:val="21"/>
          <w:highlight w:val="none"/>
        </w:rPr>
        <w:t>附表3-1、</w:t>
      </w:r>
      <w:r>
        <w:rPr>
          <w:rStyle w:val="27"/>
          <w:rFonts w:hint="default"/>
          <w:b/>
          <w:bCs/>
          <w:color w:val="auto"/>
          <w:sz w:val="21"/>
          <w:szCs w:val="21"/>
          <w:highlight w:val="none"/>
        </w:rPr>
        <w:t>药剂安全情况自查表（危险化学品）</w:t>
      </w:r>
    </w:p>
    <w:tbl>
      <w:tblPr>
        <w:tblStyle w:val="19"/>
        <w:tblpPr w:leftFromText="180" w:rightFromText="180" w:vertAnchor="text" w:horzAnchor="page" w:tblpX="692" w:tblpY="545"/>
        <w:tblOverlap w:val="never"/>
        <w:tblW w:w="9880" w:type="dxa"/>
        <w:tblInd w:w="0" w:type="dxa"/>
        <w:tblLayout w:type="autofit"/>
        <w:tblCellMar>
          <w:top w:w="0" w:type="dxa"/>
          <w:left w:w="0" w:type="dxa"/>
          <w:bottom w:w="0" w:type="dxa"/>
          <w:right w:w="0" w:type="dxa"/>
        </w:tblCellMar>
      </w:tblPr>
      <w:tblGrid>
        <w:gridCol w:w="1467"/>
        <w:gridCol w:w="1629"/>
        <w:gridCol w:w="2774"/>
        <w:gridCol w:w="1811"/>
        <w:gridCol w:w="2199"/>
      </w:tblGrid>
      <w:tr>
        <w:tblPrEx>
          <w:tblCellMar>
            <w:top w:w="0" w:type="dxa"/>
            <w:left w:w="0" w:type="dxa"/>
            <w:bottom w:w="0" w:type="dxa"/>
            <w:right w:w="0" w:type="dxa"/>
          </w:tblCellMar>
        </w:tblPrEx>
        <w:trPr>
          <w:trHeight w:val="1181" w:hRule="atLeast"/>
        </w:trPr>
        <w:tc>
          <w:tcPr>
            <w:tcW w:w="9880" w:type="dxa"/>
            <w:gridSpan w:val="5"/>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sz w:val="32"/>
                <w:szCs w:val="32"/>
                <w:highlight w:val="none"/>
                <w:u w:val="single"/>
              </w:rPr>
            </w:pPr>
            <w:r>
              <w:rPr>
                <w:rStyle w:val="28"/>
                <w:rFonts w:hint="default"/>
                <w:color w:val="auto"/>
                <w:highlight w:val="none"/>
              </w:rPr>
              <w:t xml:space="preserve">         </w:t>
            </w:r>
            <w:r>
              <w:rPr>
                <w:rStyle w:val="27"/>
                <w:rFonts w:hint="default"/>
                <w:color w:val="auto"/>
                <w:highlight w:val="none"/>
              </w:rPr>
              <w:t>年</w:t>
            </w:r>
            <w:r>
              <w:rPr>
                <w:rStyle w:val="28"/>
                <w:rFonts w:hint="default"/>
                <w:color w:val="auto"/>
                <w:highlight w:val="none"/>
              </w:rPr>
              <w:t xml:space="preserve">       </w:t>
            </w:r>
            <w:r>
              <w:rPr>
                <w:rStyle w:val="27"/>
                <w:rFonts w:hint="default"/>
                <w:color w:val="auto"/>
                <w:highlight w:val="none"/>
              </w:rPr>
              <w:t>药剂安全情况自查表（危险化学品）</w:t>
            </w:r>
          </w:p>
        </w:tc>
      </w:tr>
      <w:tr>
        <w:tblPrEx>
          <w:tblCellMar>
            <w:top w:w="0" w:type="dxa"/>
            <w:left w:w="0" w:type="dxa"/>
            <w:bottom w:w="0" w:type="dxa"/>
            <w:right w:w="0" w:type="dxa"/>
          </w:tblCellMar>
        </w:tblPrEx>
        <w:trPr>
          <w:trHeight w:val="675"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sz w:val="28"/>
                <w:szCs w:val="28"/>
                <w:highlight w:val="none"/>
              </w:rPr>
            </w:pPr>
            <w:r>
              <w:rPr>
                <w:rFonts w:hint="eastAsia" w:ascii="宋体" w:hAnsi="宋体" w:cs="宋体"/>
                <w:kern w:val="0"/>
                <w:sz w:val="28"/>
                <w:szCs w:val="28"/>
                <w:highlight w:val="none"/>
              </w:rPr>
              <w:t>自查单位（盖章）：</w:t>
            </w:r>
          </w:p>
        </w:tc>
      </w:tr>
      <w:tr>
        <w:tblPrEx>
          <w:tblCellMar>
            <w:top w:w="0" w:type="dxa"/>
            <w:left w:w="0" w:type="dxa"/>
            <w:bottom w:w="0" w:type="dxa"/>
            <w:right w:w="0" w:type="dxa"/>
          </w:tblCellMar>
        </w:tblPrEx>
        <w:trPr>
          <w:trHeight w:val="733"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sz w:val="28"/>
                <w:szCs w:val="28"/>
                <w:highlight w:val="none"/>
              </w:rPr>
            </w:pPr>
            <w:r>
              <w:rPr>
                <w:rFonts w:hint="eastAsia" w:ascii="宋体" w:hAnsi="宋体" w:cs="宋体"/>
                <w:kern w:val="0"/>
                <w:sz w:val="28"/>
                <w:szCs w:val="28"/>
                <w:highlight w:val="none"/>
              </w:rPr>
              <w:t>检查日期：</w:t>
            </w:r>
          </w:p>
        </w:tc>
      </w:tr>
      <w:tr>
        <w:tblPrEx>
          <w:tblCellMar>
            <w:top w:w="0" w:type="dxa"/>
            <w:left w:w="0" w:type="dxa"/>
            <w:bottom w:w="0" w:type="dxa"/>
            <w:right w:w="0" w:type="dxa"/>
          </w:tblCellMar>
        </w:tblPrEx>
        <w:trPr>
          <w:trHeight w:val="558" w:hRule="atLeast"/>
        </w:trPr>
        <w:tc>
          <w:tcPr>
            <w:tcW w:w="146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序号</w:t>
            </w:r>
          </w:p>
        </w:tc>
        <w:tc>
          <w:tcPr>
            <w:tcW w:w="1629"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内容</w:t>
            </w:r>
          </w:p>
        </w:tc>
        <w:tc>
          <w:tcPr>
            <w:tcW w:w="2774"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主要检查内容</w:t>
            </w:r>
          </w:p>
        </w:tc>
        <w:tc>
          <w:tcPr>
            <w:tcW w:w="1811"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检查结果</w:t>
            </w:r>
          </w:p>
        </w:tc>
        <w:tc>
          <w:tcPr>
            <w:tcW w:w="2199"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存在问题及整改措施</w:t>
            </w:r>
          </w:p>
        </w:tc>
      </w:tr>
      <w:tr>
        <w:tblPrEx>
          <w:tblCellMar>
            <w:top w:w="0" w:type="dxa"/>
            <w:left w:w="0" w:type="dxa"/>
            <w:bottom w:w="0" w:type="dxa"/>
            <w:right w:w="0" w:type="dxa"/>
          </w:tblCellMar>
        </w:tblPrEx>
        <w:trPr>
          <w:trHeight w:val="336" w:hRule="atLeast"/>
        </w:trPr>
        <w:tc>
          <w:tcPr>
            <w:tcW w:w="1467"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一、台账检查</w:t>
            </w:r>
          </w:p>
        </w:tc>
        <w:tc>
          <w:tcPr>
            <w:tcW w:w="1629"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rPr>
              <w:t xml:space="preserve">生产、经营资质     </w:t>
            </w:r>
          </w:p>
        </w:tc>
        <w:tc>
          <w:tcPr>
            <w:tcW w:w="2774"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sz w:val="24"/>
                <w:highlight w:val="none"/>
              </w:rPr>
            </w:pPr>
            <w:r>
              <w:rPr>
                <w:rFonts w:hint="eastAsia" w:ascii="宋体" w:hAnsi="宋体" w:cs="宋体"/>
                <w:kern w:val="0"/>
                <w:sz w:val="24"/>
                <w:highlight w:val="none"/>
              </w:rPr>
              <w:t>1、危险化学品安全使用许可证。                   2、危险化学品经营许可证3、营业执照。          4、危险化学品安全生产许可证</w:t>
            </w:r>
          </w:p>
        </w:tc>
        <w:tc>
          <w:tcPr>
            <w:tcW w:w="181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sz w:val="24"/>
                <w:highlight w:val="none"/>
              </w:rPr>
            </w:pPr>
            <w:r>
              <w:rPr>
                <w:rStyle w:val="29"/>
                <w:color w:val="auto"/>
                <w:highlight w:val="none"/>
              </w:rPr>
              <w:t></w:t>
            </w:r>
            <w:r>
              <w:rPr>
                <w:rStyle w:val="30"/>
                <w:rFonts w:hint="default"/>
                <w:color w:val="auto"/>
                <w:highlight w:val="none"/>
              </w:rPr>
              <w:t xml:space="preserve">有    </w:t>
            </w:r>
            <w:r>
              <w:rPr>
                <w:rStyle w:val="29"/>
                <w:color w:val="auto"/>
                <w:highlight w:val="none"/>
              </w:rPr>
              <w:t></w:t>
            </w:r>
            <w:r>
              <w:rPr>
                <w:rStyle w:val="30"/>
                <w:rFonts w:hint="default"/>
                <w:color w:val="auto"/>
                <w:highlight w:val="none"/>
              </w:rPr>
              <w:t>没有</w:t>
            </w:r>
          </w:p>
        </w:tc>
        <w:tc>
          <w:tcPr>
            <w:tcW w:w="2199"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sz w:val="24"/>
                <w:highlight w:val="none"/>
              </w:rPr>
            </w:pPr>
          </w:p>
        </w:tc>
      </w:tr>
      <w:tr>
        <w:tblPrEx>
          <w:tblCellMar>
            <w:top w:w="0" w:type="dxa"/>
            <w:left w:w="0" w:type="dxa"/>
            <w:bottom w:w="0" w:type="dxa"/>
            <w:right w:w="0" w:type="dxa"/>
          </w:tblCellMar>
        </w:tblPrEx>
        <w:trPr>
          <w:trHeight w:val="336"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6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2"/>
                <w:szCs w:val="22"/>
                <w:highlight w:val="none"/>
              </w:rPr>
            </w:pPr>
          </w:p>
        </w:tc>
        <w:tc>
          <w:tcPr>
            <w:tcW w:w="27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sz w:val="24"/>
                <w:highlight w:val="none"/>
              </w:rPr>
            </w:pPr>
          </w:p>
        </w:tc>
        <w:tc>
          <w:tcPr>
            <w:tcW w:w="2199"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sz w:val="24"/>
                <w:highlight w:val="none"/>
              </w:rPr>
            </w:pPr>
          </w:p>
        </w:tc>
      </w:tr>
      <w:tr>
        <w:tblPrEx>
          <w:tblCellMar>
            <w:top w:w="0" w:type="dxa"/>
            <w:left w:w="0" w:type="dxa"/>
            <w:bottom w:w="0" w:type="dxa"/>
            <w:right w:w="0" w:type="dxa"/>
          </w:tblCellMar>
        </w:tblPrEx>
        <w:trPr>
          <w:trHeight w:val="1022"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6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2"/>
                <w:szCs w:val="22"/>
                <w:highlight w:val="none"/>
              </w:rPr>
            </w:pPr>
          </w:p>
        </w:tc>
        <w:tc>
          <w:tcPr>
            <w:tcW w:w="27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sz w:val="24"/>
                <w:highlight w:val="none"/>
              </w:rPr>
            </w:pPr>
          </w:p>
        </w:tc>
        <w:tc>
          <w:tcPr>
            <w:tcW w:w="2199"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sz w:val="24"/>
                <w:highlight w:val="none"/>
              </w:rPr>
            </w:pPr>
          </w:p>
        </w:tc>
      </w:tr>
      <w:tr>
        <w:tblPrEx>
          <w:tblCellMar>
            <w:top w:w="0" w:type="dxa"/>
            <w:left w:w="0" w:type="dxa"/>
            <w:bottom w:w="0" w:type="dxa"/>
            <w:right w:w="0" w:type="dxa"/>
          </w:tblCellMar>
        </w:tblPrEx>
        <w:trPr>
          <w:trHeight w:val="336"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629" w:type="dxa"/>
            <w:vMerge w:val="restart"/>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 xml:space="preserve">运输资质及产品   </w:t>
            </w:r>
          </w:p>
        </w:tc>
        <w:tc>
          <w:tcPr>
            <w:tcW w:w="2774" w:type="dxa"/>
            <w:vMerge w:val="restart"/>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sz w:val="24"/>
                <w:highlight w:val="none"/>
              </w:rPr>
            </w:pPr>
            <w:r>
              <w:rPr>
                <w:rFonts w:hint="eastAsia" w:ascii="宋体" w:hAnsi="宋体" w:cs="宋体"/>
                <w:kern w:val="0"/>
                <w:sz w:val="24"/>
                <w:highlight w:val="none"/>
              </w:rPr>
              <w:t>1、</w:t>
            </w:r>
            <w:r>
              <w:rPr>
                <w:rFonts w:hint="eastAsia" w:ascii="宋体" w:hAnsi="宋体" w:cs="宋体"/>
                <w:kern w:val="0"/>
                <w:sz w:val="24"/>
                <w:highlight w:val="none"/>
                <w:lang w:val="en-US" w:eastAsia="zh-CN"/>
              </w:rPr>
              <w:t>危险化学品</w:t>
            </w:r>
            <w:r>
              <w:rPr>
                <w:rFonts w:hint="eastAsia" w:ascii="宋体" w:hAnsi="宋体" w:cs="宋体"/>
                <w:kern w:val="0"/>
                <w:sz w:val="24"/>
                <w:highlight w:val="none"/>
              </w:rPr>
              <w:t>车队的运输资质。                   2、剧毒化学品道路运输通行证。                 3、送货人员的证件资料及职业卫生相关资料。     4、运输产品的车辆需悬挂或喷涂符合国家标准的警示标志</w:t>
            </w:r>
          </w:p>
        </w:tc>
        <w:tc>
          <w:tcPr>
            <w:tcW w:w="181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sz w:val="24"/>
                <w:highlight w:val="none"/>
              </w:rPr>
            </w:pPr>
            <w:r>
              <w:rPr>
                <w:rStyle w:val="29"/>
                <w:color w:val="auto"/>
                <w:highlight w:val="none"/>
              </w:rPr>
              <w:t></w:t>
            </w:r>
            <w:r>
              <w:rPr>
                <w:rStyle w:val="30"/>
                <w:rFonts w:hint="default"/>
                <w:color w:val="auto"/>
                <w:highlight w:val="none"/>
              </w:rPr>
              <w:t xml:space="preserve">有    </w:t>
            </w:r>
            <w:r>
              <w:rPr>
                <w:rStyle w:val="29"/>
                <w:color w:val="auto"/>
                <w:highlight w:val="none"/>
              </w:rPr>
              <w:t></w:t>
            </w:r>
            <w:r>
              <w:rPr>
                <w:rStyle w:val="30"/>
                <w:rFonts w:hint="default"/>
                <w:color w:val="auto"/>
                <w:highlight w:val="none"/>
              </w:rPr>
              <w:t>没有</w:t>
            </w:r>
          </w:p>
        </w:tc>
        <w:tc>
          <w:tcPr>
            <w:tcW w:w="2199"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sz w:val="24"/>
                <w:highlight w:val="none"/>
              </w:rPr>
            </w:pPr>
          </w:p>
        </w:tc>
      </w:tr>
      <w:tr>
        <w:tblPrEx>
          <w:tblCellMar>
            <w:top w:w="0" w:type="dxa"/>
            <w:left w:w="0" w:type="dxa"/>
            <w:bottom w:w="0" w:type="dxa"/>
            <w:right w:w="0" w:type="dxa"/>
          </w:tblCellMar>
        </w:tblPrEx>
        <w:trPr>
          <w:trHeight w:val="2377"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629" w:type="dxa"/>
            <w:vMerge w:val="continue"/>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2774" w:type="dxa"/>
            <w:vMerge w:val="continue"/>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jc w:val="left"/>
              <w:rPr>
                <w:rFonts w:ascii="宋体" w:hAnsi="宋体" w:cs="宋体"/>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sz w:val="24"/>
                <w:highlight w:val="none"/>
              </w:rPr>
            </w:pPr>
          </w:p>
        </w:tc>
        <w:tc>
          <w:tcPr>
            <w:tcW w:w="2199"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sz w:val="24"/>
                <w:highlight w:val="none"/>
              </w:rPr>
            </w:pPr>
          </w:p>
        </w:tc>
      </w:tr>
      <w:tr>
        <w:tblPrEx>
          <w:tblCellMar>
            <w:top w:w="0" w:type="dxa"/>
            <w:left w:w="0" w:type="dxa"/>
            <w:bottom w:w="0" w:type="dxa"/>
            <w:right w:w="0" w:type="dxa"/>
          </w:tblCellMar>
        </w:tblPrEx>
        <w:trPr>
          <w:trHeight w:val="336"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629"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安全管理台账</w:t>
            </w:r>
          </w:p>
        </w:tc>
        <w:tc>
          <w:tcPr>
            <w:tcW w:w="2774"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sz w:val="24"/>
                <w:highlight w:val="none"/>
              </w:rPr>
            </w:pPr>
            <w:r>
              <w:rPr>
                <w:rFonts w:hint="eastAsia" w:ascii="宋体" w:hAnsi="宋体" w:cs="宋体"/>
                <w:kern w:val="0"/>
                <w:sz w:val="24"/>
                <w:highlight w:val="none"/>
              </w:rPr>
              <w:t>1、厂区安全生产规章制度。                     2、运送货物人员的安全培训资料、考核情况。     3、安全防护用品的购置和发放记录。             4、安全月度检查及整改情况台账。               5、应急预案、应急演练、应急救援器材、设备台账</w:t>
            </w:r>
          </w:p>
        </w:tc>
        <w:tc>
          <w:tcPr>
            <w:tcW w:w="181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sz w:val="24"/>
                <w:highlight w:val="none"/>
              </w:rPr>
            </w:pPr>
            <w:r>
              <w:rPr>
                <w:rStyle w:val="29"/>
                <w:color w:val="auto"/>
                <w:highlight w:val="none"/>
              </w:rPr>
              <w:t></w:t>
            </w:r>
            <w:r>
              <w:rPr>
                <w:rStyle w:val="30"/>
                <w:rFonts w:hint="default"/>
                <w:color w:val="auto"/>
                <w:highlight w:val="none"/>
              </w:rPr>
              <w:t xml:space="preserve">有   </w:t>
            </w:r>
            <w:r>
              <w:rPr>
                <w:rStyle w:val="29"/>
                <w:color w:val="auto"/>
                <w:highlight w:val="none"/>
              </w:rPr>
              <w:t></w:t>
            </w:r>
            <w:r>
              <w:rPr>
                <w:rStyle w:val="30"/>
                <w:rFonts w:hint="default"/>
                <w:color w:val="auto"/>
                <w:highlight w:val="none"/>
              </w:rPr>
              <w:t>没有</w:t>
            </w:r>
          </w:p>
        </w:tc>
        <w:tc>
          <w:tcPr>
            <w:tcW w:w="2199"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tcPr>
          <w:p>
            <w:pPr>
              <w:jc w:val="center"/>
              <w:rPr>
                <w:rFonts w:ascii="宋体" w:hAnsi="宋体" w:cs="宋体"/>
                <w:sz w:val="24"/>
                <w:highlight w:val="none"/>
              </w:rPr>
            </w:pPr>
          </w:p>
        </w:tc>
      </w:tr>
      <w:tr>
        <w:tblPrEx>
          <w:tblCellMar>
            <w:top w:w="0" w:type="dxa"/>
            <w:left w:w="0" w:type="dxa"/>
            <w:bottom w:w="0" w:type="dxa"/>
            <w:right w:w="0" w:type="dxa"/>
          </w:tblCellMar>
        </w:tblPrEx>
        <w:trPr>
          <w:trHeight w:val="2432"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6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27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sz w:val="24"/>
                <w:highlight w:val="none"/>
              </w:rPr>
            </w:pPr>
          </w:p>
        </w:tc>
        <w:tc>
          <w:tcPr>
            <w:tcW w:w="219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tcPr>
          <w:p>
            <w:pPr>
              <w:jc w:val="center"/>
              <w:rPr>
                <w:rFonts w:ascii="宋体" w:hAnsi="宋体" w:cs="宋体"/>
                <w:sz w:val="24"/>
                <w:highlight w:val="none"/>
              </w:rPr>
            </w:pPr>
          </w:p>
        </w:tc>
      </w:tr>
      <w:tr>
        <w:tblPrEx>
          <w:tblCellMar>
            <w:top w:w="0" w:type="dxa"/>
            <w:left w:w="0" w:type="dxa"/>
            <w:bottom w:w="0" w:type="dxa"/>
            <w:right w:w="0" w:type="dxa"/>
          </w:tblCellMar>
        </w:tblPrEx>
        <w:trPr>
          <w:trHeight w:val="336" w:hRule="atLeast"/>
        </w:trPr>
        <w:tc>
          <w:tcPr>
            <w:tcW w:w="1467"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二、现场检查</w:t>
            </w:r>
          </w:p>
        </w:tc>
        <w:tc>
          <w:tcPr>
            <w:tcW w:w="1629"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 xml:space="preserve">生产区域      </w:t>
            </w:r>
          </w:p>
        </w:tc>
        <w:tc>
          <w:tcPr>
            <w:tcW w:w="2774"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1、生产区域安全警示标示、、储存区域的安全警示标示、装卸区域的安全警示标示。               2、安全防护用品、救援物资的现场储备情况。</w:t>
            </w:r>
          </w:p>
        </w:tc>
        <w:tc>
          <w:tcPr>
            <w:tcW w:w="181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sz w:val="24"/>
                <w:highlight w:val="none"/>
              </w:rPr>
            </w:pPr>
            <w:r>
              <w:rPr>
                <w:rStyle w:val="29"/>
                <w:color w:val="auto"/>
                <w:highlight w:val="none"/>
              </w:rPr>
              <w:t></w:t>
            </w:r>
            <w:r>
              <w:rPr>
                <w:rStyle w:val="30"/>
                <w:rFonts w:hint="default"/>
                <w:color w:val="auto"/>
                <w:highlight w:val="none"/>
              </w:rPr>
              <w:t xml:space="preserve">有    </w:t>
            </w:r>
            <w:r>
              <w:rPr>
                <w:rStyle w:val="29"/>
                <w:color w:val="auto"/>
                <w:highlight w:val="none"/>
              </w:rPr>
              <w:t></w:t>
            </w:r>
            <w:r>
              <w:rPr>
                <w:rStyle w:val="30"/>
                <w:rFonts w:hint="default"/>
                <w:color w:val="auto"/>
                <w:highlight w:val="none"/>
              </w:rPr>
              <w:t>没有</w:t>
            </w:r>
          </w:p>
        </w:tc>
        <w:tc>
          <w:tcPr>
            <w:tcW w:w="2199"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sz w:val="24"/>
                <w:highlight w:val="none"/>
              </w:rPr>
            </w:pPr>
          </w:p>
        </w:tc>
      </w:tr>
      <w:tr>
        <w:tblPrEx>
          <w:tblCellMar>
            <w:top w:w="0" w:type="dxa"/>
            <w:left w:w="0" w:type="dxa"/>
            <w:bottom w:w="0" w:type="dxa"/>
            <w:right w:w="0" w:type="dxa"/>
          </w:tblCellMar>
        </w:tblPrEx>
        <w:trPr>
          <w:trHeight w:val="336"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6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27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sz w:val="24"/>
                <w:highlight w:val="none"/>
              </w:rPr>
            </w:pPr>
          </w:p>
        </w:tc>
        <w:tc>
          <w:tcPr>
            <w:tcW w:w="2199"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sz w:val="24"/>
                <w:highlight w:val="none"/>
              </w:rPr>
            </w:pPr>
          </w:p>
        </w:tc>
      </w:tr>
      <w:tr>
        <w:tblPrEx>
          <w:tblCellMar>
            <w:top w:w="0" w:type="dxa"/>
            <w:left w:w="0" w:type="dxa"/>
            <w:bottom w:w="0" w:type="dxa"/>
            <w:right w:w="0" w:type="dxa"/>
          </w:tblCellMar>
        </w:tblPrEx>
        <w:trPr>
          <w:trHeight w:val="881" w:hRule="atLeast"/>
        </w:trPr>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6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27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81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sz w:val="24"/>
                <w:highlight w:val="none"/>
              </w:rPr>
            </w:pPr>
          </w:p>
        </w:tc>
        <w:tc>
          <w:tcPr>
            <w:tcW w:w="2199"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sz w:val="24"/>
                <w:highlight w:val="none"/>
              </w:rPr>
            </w:pPr>
          </w:p>
        </w:tc>
      </w:tr>
      <w:tr>
        <w:tblPrEx>
          <w:tblCellMar>
            <w:top w:w="0" w:type="dxa"/>
            <w:left w:w="0" w:type="dxa"/>
            <w:bottom w:w="0" w:type="dxa"/>
            <w:right w:w="0" w:type="dxa"/>
          </w:tblCellMar>
        </w:tblPrEx>
        <w:trPr>
          <w:trHeight w:val="647" w:hRule="atLeast"/>
        </w:trPr>
        <w:tc>
          <w:tcPr>
            <w:tcW w:w="9880" w:type="dxa"/>
            <w:gridSpan w:val="5"/>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sz w:val="24"/>
                <w:highlight w:val="none"/>
              </w:rPr>
            </w:pPr>
            <w:r>
              <w:rPr>
                <w:rFonts w:hint="eastAsia" w:ascii="宋体" w:hAnsi="宋体" w:cs="宋体"/>
                <w:kern w:val="0"/>
                <w:sz w:val="24"/>
                <w:highlight w:val="none"/>
              </w:rPr>
              <w:t>备注：存在问题及整改措施需提供相关图片资料。自查表需按照合同约定及时提交至甲方辖下各分（子）公司进行考核评分</w:t>
            </w:r>
          </w:p>
        </w:tc>
      </w:tr>
    </w:tbl>
    <w:p>
      <w:pPr>
        <w:spacing w:line="420" w:lineRule="exact"/>
        <w:ind w:left="696" w:leftChars="135" w:hanging="413" w:hangingChars="197"/>
        <w:rPr>
          <w:rFonts w:ascii="宋体" w:hAnsi="宋体"/>
          <w:szCs w:val="21"/>
          <w:highlight w:val="none"/>
        </w:rPr>
      </w:pPr>
    </w:p>
    <w:p>
      <w:pPr>
        <w:spacing w:line="240" w:lineRule="auto"/>
        <w:rPr>
          <w:rFonts w:hint="eastAsia" w:ascii="宋体" w:hAnsi="宋体"/>
          <w:b/>
          <w:highlight w:val="none"/>
        </w:rPr>
      </w:pPr>
      <w:r>
        <w:rPr>
          <w:rFonts w:hint="eastAsia" w:ascii="宋体" w:hAnsi="宋体"/>
          <w:b/>
          <w:highlight w:val="none"/>
        </w:rPr>
        <w:br w:type="page"/>
      </w:r>
    </w:p>
    <w:p>
      <w:pPr>
        <w:spacing w:line="360" w:lineRule="auto"/>
        <w:rPr>
          <w:rFonts w:ascii="宋体" w:hAnsi="宋体"/>
          <w:b/>
          <w:highlight w:val="none"/>
        </w:rPr>
      </w:pPr>
      <w:r>
        <w:rPr>
          <w:rFonts w:hint="eastAsia" w:ascii="宋体" w:hAnsi="宋体"/>
          <w:b/>
          <w:highlight w:val="none"/>
        </w:rPr>
        <w:t>附表3-2、</w:t>
      </w:r>
      <w:r>
        <w:rPr>
          <w:rStyle w:val="27"/>
          <w:rFonts w:hint="default"/>
          <w:b/>
          <w:bCs/>
          <w:color w:val="auto"/>
          <w:sz w:val="21"/>
          <w:szCs w:val="21"/>
          <w:highlight w:val="none"/>
        </w:rPr>
        <w:t>药剂安全情况自查表（普通化学品）</w:t>
      </w:r>
    </w:p>
    <w:tbl>
      <w:tblPr>
        <w:tblStyle w:val="19"/>
        <w:tblW w:w="8700" w:type="dxa"/>
        <w:tblInd w:w="0" w:type="dxa"/>
        <w:tblLayout w:type="autofit"/>
        <w:tblCellMar>
          <w:top w:w="0" w:type="dxa"/>
          <w:left w:w="0" w:type="dxa"/>
          <w:bottom w:w="0" w:type="dxa"/>
          <w:right w:w="0" w:type="dxa"/>
        </w:tblCellMar>
      </w:tblPr>
      <w:tblGrid>
        <w:gridCol w:w="1453"/>
        <w:gridCol w:w="1254"/>
        <w:gridCol w:w="2085"/>
        <w:gridCol w:w="1631"/>
        <w:gridCol w:w="2277"/>
      </w:tblGrid>
      <w:tr>
        <w:tblPrEx>
          <w:tblCellMar>
            <w:top w:w="0" w:type="dxa"/>
            <w:left w:w="0" w:type="dxa"/>
            <w:bottom w:w="0" w:type="dxa"/>
            <w:right w:w="0" w:type="dxa"/>
          </w:tblCellMar>
        </w:tblPrEx>
        <w:trPr>
          <w:trHeight w:val="854" w:hRule="atLeast"/>
        </w:trPr>
        <w:tc>
          <w:tcPr>
            <w:tcW w:w="8700" w:type="dxa"/>
            <w:gridSpan w:val="5"/>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sz w:val="32"/>
                <w:szCs w:val="32"/>
                <w:highlight w:val="none"/>
                <w:u w:val="single"/>
              </w:rPr>
            </w:pPr>
            <w:r>
              <w:rPr>
                <w:rFonts w:hint="eastAsia" w:ascii="宋体" w:hAnsi="宋体" w:cs="宋体"/>
                <w:kern w:val="0"/>
                <w:sz w:val="32"/>
                <w:szCs w:val="32"/>
                <w:highlight w:val="none"/>
                <w:u w:val="single"/>
              </w:rPr>
              <w:t xml:space="preserve">         </w:t>
            </w:r>
            <w:r>
              <w:rPr>
                <w:rFonts w:hint="eastAsia" w:ascii="宋体" w:hAnsi="宋体" w:cs="宋体"/>
                <w:kern w:val="0"/>
                <w:sz w:val="32"/>
                <w:szCs w:val="32"/>
                <w:highlight w:val="none"/>
              </w:rPr>
              <w:t>年</w:t>
            </w:r>
            <w:r>
              <w:rPr>
                <w:rFonts w:hint="eastAsia" w:ascii="宋体" w:hAnsi="宋体" w:cs="宋体"/>
                <w:kern w:val="0"/>
                <w:sz w:val="32"/>
                <w:szCs w:val="32"/>
                <w:highlight w:val="none"/>
                <w:u w:val="single"/>
              </w:rPr>
              <w:t xml:space="preserve">       </w:t>
            </w:r>
            <w:r>
              <w:rPr>
                <w:rFonts w:hint="eastAsia" w:ascii="宋体" w:hAnsi="宋体" w:cs="宋体"/>
                <w:kern w:val="0"/>
                <w:sz w:val="32"/>
                <w:szCs w:val="32"/>
                <w:highlight w:val="none"/>
              </w:rPr>
              <w:t>药剂安全情况自查表（普通化学品）</w:t>
            </w:r>
          </w:p>
        </w:tc>
      </w:tr>
      <w:tr>
        <w:trPr>
          <w:trHeight w:val="615"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sz w:val="28"/>
                <w:szCs w:val="28"/>
                <w:highlight w:val="none"/>
              </w:rPr>
            </w:pPr>
            <w:r>
              <w:rPr>
                <w:rFonts w:hint="eastAsia" w:ascii="宋体" w:hAnsi="宋体" w:cs="宋体"/>
                <w:kern w:val="0"/>
                <w:sz w:val="28"/>
                <w:szCs w:val="28"/>
                <w:highlight w:val="none"/>
              </w:rPr>
              <w:t>自检单位：（盖章）</w:t>
            </w:r>
          </w:p>
        </w:tc>
      </w:tr>
      <w:tr>
        <w:trPr>
          <w:trHeight w:val="615"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sz w:val="28"/>
                <w:szCs w:val="28"/>
                <w:highlight w:val="none"/>
              </w:rPr>
            </w:pPr>
            <w:r>
              <w:rPr>
                <w:rFonts w:hint="eastAsia" w:ascii="宋体" w:hAnsi="宋体" w:cs="宋体"/>
                <w:kern w:val="0"/>
                <w:sz w:val="28"/>
                <w:szCs w:val="28"/>
                <w:highlight w:val="none"/>
              </w:rPr>
              <w:t>检查日期：</w:t>
            </w:r>
          </w:p>
        </w:tc>
      </w:tr>
      <w:tr>
        <w:trPr>
          <w:trHeight w:val="704" w:hRule="atLeast"/>
        </w:trPr>
        <w:tc>
          <w:tcPr>
            <w:tcW w:w="145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序号</w:t>
            </w:r>
          </w:p>
        </w:tc>
        <w:tc>
          <w:tcPr>
            <w:tcW w:w="1254"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内容</w:t>
            </w:r>
          </w:p>
        </w:tc>
        <w:tc>
          <w:tcPr>
            <w:tcW w:w="2085"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主要检查内容</w:t>
            </w:r>
          </w:p>
        </w:tc>
        <w:tc>
          <w:tcPr>
            <w:tcW w:w="1631"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检查结果</w:t>
            </w:r>
          </w:p>
        </w:tc>
        <w:tc>
          <w:tcPr>
            <w:tcW w:w="2277"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存在问题及整改措施</w:t>
            </w:r>
          </w:p>
        </w:tc>
      </w:tr>
      <w:tr>
        <w:tblPrEx>
          <w:tblCellMar>
            <w:top w:w="0" w:type="dxa"/>
            <w:left w:w="0" w:type="dxa"/>
            <w:bottom w:w="0" w:type="dxa"/>
            <w:right w:w="0" w:type="dxa"/>
          </w:tblCellMar>
        </w:tblPrEx>
        <w:trPr>
          <w:trHeight w:val="322" w:hRule="atLeast"/>
        </w:trPr>
        <w:tc>
          <w:tcPr>
            <w:tcW w:w="1453"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一、台账检查</w:t>
            </w:r>
          </w:p>
        </w:tc>
        <w:tc>
          <w:tcPr>
            <w:tcW w:w="1254"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rPr>
              <w:t xml:space="preserve">生产、经营资质     </w:t>
            </w:r>
          </w:p>
        </w:tc>
        <w:tc>
          <w:tcPr>
            <w:tcW w:w="2085"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sz w:val="24"/>
                <w:highlight w:val="none"/>
              </w:rPr>
            </w:pPr>
            <w:r>
              <w:rPr>
                <w:rFonts w:hint="eastAsia" w:ascii="宋体" w:hAnsi="宋体" w:cs="宋体"/>
                <w:kern w:val="0"/>
                <w:sz w:val="24"/>
                <w:highlight w:val="none"/>
              </w:rPr>
              <w:t>1、经营许可证。        2、营业执照。              3、安全生产许可证</w:t>
            </w:r>
          </w:p>
        </w:tc>
        <w:tc>
          <w:tcPr>
            <w:tcW w:w="163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sz w:val="24"/>
                <w:highlight w:val="none"/>
              </w:rPr>
            </w:pPr>
            <w:r>
              <w:rPr>
                <w:rFonts w:ascii="Wingdings 2" w:hAnsi="Wingdings 2" w:eastAsia="Wingdings 2" w:cs="Wingdings 2"/>
                <w:kern w:val="0"/>
                <w:sz w:val="24"/>
                <w:highlight w:val="none"/>
              </w:rPr>
              <w:t></w:t>
            </w:r>
            <w:r>
              <w:rPr>
                <w:rFonts w:hint="eastAsia" w:ascii="宋体" w:hAnsi="宋体" w:cs="宋体"/>
                <w:kern w:val="0"/>
                <w:sz w:val="24"/>
                <w:highlight w:val="none"/>
              </w:rPr>
              <w:t xml:space="preserve">有    </w:t>
            </w:r>
            <w:r>
              <w:rPr>
                <w:rFonts w:ascii="Wingdings 2" w:hAnsi="Wingdings 2" w:eastAsia="Wingdings 2" w:cs="Wingdings 2"/>
                <w:kern w:val="0"/>
                <w:sz w:val="24"/>
                <w:highlight w:val="none"/>
              </w:rPr>
              <w:t></w:t>
            </w:r>
            <w:r>
              <w:rPr>
                <w:rFonts w:hint="eastAsia" w:ascii="宋体" w:hAnsi="宋体" w:cs="宋体"/>
                <w:kern w:val="0"/>
                <w:sz w:val="24"/>
                <w:highlight w:val="none"/>
              </w:rPr>
              <w:t>没有</w:t>
            </w:r>
          </w:p>
        </w:tc>
        <w:tc>
          <w:tcPr>
            <w:tcW w:w="2277"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sz w:val="24"/>
                <w:highlight w:val="none"/>
              </w:rPr>
            </w:pPr>
          </w:p>
        </w:tc>
      </w:tr>
      <w:tr>
        <w:trPr>
          <w:trHeight w:val="322"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25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2"/>
                <w:szCs w:val="22"/>
                <w:highlight w:val="none"/>
              </w:rPr>
            </w:pPr>
          </w:p>
        </w:tc>
        <w:tc>
          <w:tcPr>
            <w:tcW w:w="208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sz w:val="24"/>
                <w:highlight w:val="none"/>
              </w:rPr>
            </w:pPr>
          </w:p>
        </w:tc>
        <w:tc>
          <w:tcPr>
            <w:tcW w:w="163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sz w:val="24"/>
                <w:highlight w:val="none"/>
              </w:rPr>
            </w:pPr>
          </w:p>
        </w:tc>
        <w:tc>
          <w:tcPr>
            <w:tcW w:w="2277"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sz w:val="24"/>
                <w:highlight w:val="none"/>
              </w:rPr>
            </w:pPr>
          </w:p>
        </w:tc>
      </w:tr>
      <w:tr>
        <w:tblPrEx>
          <w:tblCellMar>
            <w:top w:w="0" w:type="dxa"/>
            <w:left w:w="0" w:type="dxa"/>
            <w:bottom w:w="0" w:type="dxa"/>
            <w:right w:w="0" w:type="dxa"/>
          </w:tblCellMar>
        </w:tblPrEx>
        <w:trPr>
          <w:trHeight w:val="873"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254"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sz w:val="22"/>
                <w:szCs w:val="22"/>
                <w:highlight w:val="none"/>
              </w:rPr>
            </w:pPr>
          </w:p>
        </w:tc>
        <w:tc>
          <w:tcPr>
            <w:tcW w:w="208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sz w:val="24"/>
                <w:highlight w:val="none"/>
              </w:rPr>
            </w:pPr>
          </w:p>
        </w:tc>
        <w:tc>
          <w:tcPr>
            <w:tcW w:w="163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sz w:val="24"/>
                <w:highlight w:val="none"/>
              </w:rPr>
            </w:pPr>
          </w:p>
        </w:tc>
        <w:tc>
          <w:tcPr>
            <w:tcW w:w="2277"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sz w:val="24"/>
                <w:highlight w:val="none"/>
              </w:rPr>
            </w:pPr>
          </w:p>
        </w:tc>
      </w:tr>
      <w:tr>
        <w:trPr>
          <w:trHeight w:val="322"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254" w:type="dxa"/>
            <w:vMerge w:val="restart"/>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 xml:space="preserve">运输资质   </w:t>
            </w:r>
          </w:p>
        </w:tc>
        <w:tc>
          <w:tcPr>
            <w:tcW w:w="2085" w:type="dxa"/>
            <w:vMerge w:val="restart"/>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sz w:val="24"/>
                <w:highlight w:val="none"/>
              </w:rPr>
            </w:pPr>
            <w:r>
              <w:rPr>
                <w:rFonts w:hint="eastAsia" w:ascii="宋体" w:hAnsi="宋体" w:cs="宋体"/>
                <w:kern w:val="0"/>
                <w:sz w:val="24"/>
                <w:highlight w:val="none"/>
              </w:rPr>
              <w:t>1、</w:t>
            </w:r>
            <w:r>
              <w:rPr>
                <w:rFonts w:hint="eastAsia" w:ascii="宋体" w:hAnsi="宋体" w:cs="宋体"/>
                <w:kern w:val="0"/>
                <w:sz w:val="24"/>
                <w:highlight w:val="none"/>
                <w:lang w:val="en-US" w:eastAsia="zh-CN"/>
              </w:rPr>
              <w:t>草酸</w:t>
            </w:r>
            <w:r>
              <w:rPr>
                <w:rFonts w:hint="eastAsia" w:ascii="宋体" w:hAnsi="宋体" w:cs="宋体"/>
                <w:kern w:val="0"/>
                <w:sz w:val="24"/>
                <w:highlight w:val="none"/>
              </w:rPr>
              <w:t>车队的运输资质                     2、道路运输许可证。    3、送货人员的证件资料及职业卫生相关资料</w:t>
            </w:r>
          </w:p>
        </w:tc>
        <w:tc>
          <w:tcPr>
            <w:tcW w:w="163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sz w:val="24"/>
                <w:highlight w:val="none"/>
              </w:rPr>
            </w:pPr>
            <w:r>
              <w:rPr>
                <w:rFonts w:ascii="Wingdings 2" w:hAnsi="Wingdings 2" w:eastAsia="Wingdings 2" w:cs="Wingdings 2"/>
                <w:kern w:val="0"/>
                <w:sz w:val="24"/>
                <w:highlight w:val="none"/>
              </w:rPr>
              <w:t></w:t>
            </w:r>
            <w:r>
              <w:rPr>
                <w:rFonts w:hint="eastAsia" w:ascii="宋体" w:hAnsi="宋体" w:cs="宋体"/>
                <w:kern w:val="0"/>
                <w:sz w:val="24"/>
                <w:highlight w:val="none"/>
              </w:rPr>
              <w:t xml:space="preserve">有    </w:t>
            </w:r>
            <w:r>
              <w:rPr>
                <w:rFonts w:ascii="Wingdings 2" w:hAnsi="Wingdings 2" w:eastAsia="Wingdings 2" w:cs="Wingdings 2"/>
                <w:kern w:val="0"/>
                <w:sz w:val="24"/>
                <w:highlight w:val="none"/>
              </w:rPr>
              <w:t></w:t>
            </w:r>
            <w:r>
              <w:rPr>
                <w:rFonts w:hint="eastAsia" w:ascii="宋体" w:hAnsi="宋体" w:cs="宋体"/>
                <w:kern w:val="0"/>
                <w:sz w:val="24"/>
                <w:highlight w:val="none"/>
              </w:rPr>
              <w:t>没有</w:t>
            </w:r>
          </w:p>
        </w:tc>
        <w:tc>
          <w:tcPr>
            <w:tcW w:w="2277"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sz w:val="24"/>
                <w:highlight w:val="none"/>
              </w:rPr>
            </w:pPr>
          </w:p>
        </w:tc>
      </w:tr>
      <w:tr>
        <w:tblPrEx>
          <w:tblCellMar>
            <w:top w:w="0" w:type="dxa"/>
            <w:left w:w="0" w:type="dxa"/>
            <w:bottom w:w="0" w:type="dxa"/>
            <w:right w:w="0" w:type="dxa"/>
          </w:tblCellMar>
        </w:tblPrEx>
        <w:trPr>
          <w:trHeight w:val="1247"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254" w:type="dxa"/>
            <w:vMerge w:val="continue"/>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2085" w:type="dxa"/>
            <w:vMerge w:val="continue"/>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jc w:val="left"/>
              <w:rPr>
                <w:rFonts w:ascii="宋体" w:hAnsi="宋体" w:cs="宋体"/>
                <w:sz w:val="24"/>
                <w:highlight w:val="none"/>
              </w:rPr>
            </w:pPr>
          </w:p>
        </w:tc>
        <w:tc>
          <w:tcPr>
            <w:tcW w:w="163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sz w:val="24"/>
                <w:highlight w:val="none"/>
              </w:rPr>
            </w:pPr>
          </w:p>
        </w:tc>
        <w:tc>
          <w:tcPr>
            <w:tcW w:w="2277"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sz w:val="24"/>
                <w:highlight w:val="none"/>
              </w:rPr>
            </w:pPr>
          </w:p>
        </w:tc>
      </w:tr>
      <w:tr>
        <w:tblPrEx>
          <w:tblCellMar>
            <w:top w:w="0" w:type="dxa"/>
            <w:left w:w="0" w:type="dxa"/>
            <w:bottom w:w="0" w:type="dxa"/>
            <w:right w:w="0" w:type="dxa"/>
          </w:tblCellMar>
        </w:tblPrEx>
        <w:trPr>
          <w:trHeight w:val="322"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254"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安全管理台账</w:t>
            </w:r>
          </w:p>
        </w:tc>
        <w:tc>
          <w:tcPr>
            <w:tcW w:w="2085"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sz w:val="24"/>
                <w:highlight w:val="none"/>
              </w:rPr>
            </w:pPr>
            <w:r>
              <w:rPr>
                <w:rFonts w:hint="eastAsia" w:ascii="宋体" w:hAnsi="宋体" w:cs="宋体"/>
                <w:kern w:val="0"/>
                <w:sz w:val="24"/>
                <w:highlight w:val="none"/>
              </w:rPr>
              <w:t>1、厂区安全生产规章制度                     2、运送货物人员岗前培训资料。                 3、安全防护用品的购置和发放记录。             4、安全月度检查及整改情况台账。                 5、应急预案、应急演练记录</w:t>
            </w:r>
          </w:p>
        </w:tc>
        <w:tc>
          <w:tcPr>
            <w:tcW w:w="1631"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sz w:val="24"/>
                <w:highlight w:val="none"/>
              </w:rPr>
            </w:pPr>
            <w:r>
              <w:rPr>
                <w:rFonts w:ascii="Wingdings 2" w:hAnsi="Wingdings 2" w:eastAsia="Wingdings 2" w:cs="Wingdings 2"/>
                <w:kern w:val="0"/>
                <w:sz w:val="24"/>
                <w:highlight w:val="none"/>
              </w:rPr>
              <w:t></w:t>
            </w:r>
            <w:r>
              <w:rPr>
                <w:rFonts w:hint="eastAsia" w:ascii="宋体" w:hAnsi="宋体" w:cs="宋体"/>
                <w:kern w:val="0"/>
                <w:sz w:val="24"/>
                <w:highlight w:val="none"/>
              </w:rPr>
              <w:t xml:space="preserve">有     </w:t>
            </w:r>
            <w:r>
              <w:rPr>
                <w:rFonts w:ascii="Wingdings 2" w:hAnsi="Wingdings 2" w:eastAsia="Wingdings 2" w:cs="Wingdings 2"/>
                <w:kern w:val="0"/>
                <w:sz w:val="24"/>
                <w:highlight w:val="none"/>
              </w:rPr>
              <w:t></w:t>
            </w:r>
            <w:r>
              <w:rPr>
                <w:rFonts w:hint="eastAsia" w:ascii="宋体" w:hAnsi="宋体" w:cs="宋体"/>
                <w:kern w:val="0"/>
                <w:sz w:val="24"/>
                <w:highlight w:val="none"/>
              </w:rPr>
              <w:t>没有</w:t>
            </w:r>
          </w:p>
        </w:tc>
        <w:tc>
          <w:tcPr>
            <w:tcW w:w="2277"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sz w:val="24"/>
                <w:highlight w:val="none"/>
              </w:rPr>
            </w:pPr>
          </w:p>
        </w:tc>
      </w:tr>
      <w:tr>
        <w:tblPrEx>
          <w:tblCellMar>
            <w:top w:w="0" w:type="dxa"/>
            <w:left w:w="0" w:type="dxa"/>
            <w:bottom w:w="0" w:type="dxa"/>
            <w:right w:w="0" w:type="dxa"/>
          </w:tblCellMar>
        </w:tblPrEx>
        <w:trPr>
          <w:trHeight w:val="2629" w:hRule="atLeast"/>
        </w:trPr>
        <w:tc>
          <w:tcPr>
            <w:tcW w:w="1453"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254"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2085"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left"/>
              <w:rPr>
                <w:rFonts w:ascii="宋体" w:hAnsi="宋体" w:cs="宋体"/>
                <w:sz w:val="24"/>
                <w:highlight w:val="none"/>
              </w:rPr>
            </w:pPr>
          </w:p>
        </w:tc>
        <w:tc>
          <w:tcPr>
            <w:tcW w:w="1631"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sz w:val="24"/>
                <w:highlight w:val="none"/>
              </w:rPr>
            </w:pPr>
          </w:p>
        </w:tc>
        <w:tc>
          <w:tcPr>
            <w:tcW w:w="2277"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sz w:val="24"/>
                <w:highlight w:val="none"/>
              </w:rPr>
            </w:pPr>
          </w:p>
        </w:tc>
      </w:tr>
      <w:tr>
        <w:tblPrEx>
          <w:tblCellMar>
            <w:top w:w="0" w:type="dxa"/>
            <w:left w:w="0" w:type="dxa"/>
            <w:bottom w:w="0" w:type="dxa"/>
            <w:right w:w="0" w:type="dxa"/>
          </w:tblCellMar>
        </w:tblPrEx>
        <w:trPr>
          <w:trHeight w:val="322" w:hRule="atLeast"/>
        </w:trPr>
        <w:tc>
          <w:tcPr>
            <w:tcW w:w="1453" w:type="dxa"/>
            <w:vMerge w:val="restart"/>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二、现场检查</w:t>
            </w:r>
          </w:p>
        </w:tc>
        <w:tc>
          <w:tcPr>
            <w:tcW w:w="1254" w:type="dxa"/>
            <w:vMerge w:val="restart"/>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 xml:space="preserve">生产区域   </w:t>
            </w:r>
          </w:p>
        </w:tc>
        <w:tc>
          <w:tcPr>
            <w:tcW w:w="2085" w:type="dxa"/>
            <w:vMerge w:val="restart"/>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sz w:val="24"/>
                <w:highlight w:val="none"/>
              </w:rPr>
            </w:pPr>
            <w:r>
              <w:rPr>
                <w:rFonts w:hint="eastAsia" w:ascii="宋体" w:hAnsi="宋体" w:cs="宋体"/>
                <w:kern w:val="0"/>
                <w:sz w:val="24"/>
                <w:highlight w:val="none"/>
              </w:rPr>
              <w:t>1、生产、储存区域安全警示标示。               2、安全防护用品的现场储备情况</w:t>
            </w:r>
          </w:p>
        </w:tc>
        <w:tc>
          <w:tcPr>
            <w:tcW w:w="163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sz w:val="24"/>
                <w:highlight w:val="none"/>
              </w:rPr>
            </w:pPr>
            <w:r>
              <w:rPr>
                <w:rFonts w:ascii="Wingdings 2" w:hAnsi="Wingdings 2" w:eastAsia="Wingdings 2" w:cs="Wingdings 2"/>
                <w:kern w:val="0"/>
                <w:sz w:val="24"/>
                <w:highlight w:val="none"/>
              </w:rPr>
              <w:t></w:t>
            </w:r>
            <w:r>
              <w:rPr>
                <w:rFonts w:hint="eastAsia" w:ascii="宋体" w:hAnsi="宋体" w:cs="宋体"/>
                <w:kern w:val="0"/>
                <w:sz w:val="24"/>
                <w:highlight w:val="none"/>
              </w:rPr>
              <w:t xml:space="preserve">有    </w:t>
            </w:r>
            <w:r>
              <w:rPr>
                <w:rFonts w:ascii="Wingdings 2" w:hAnsi="Wingdings 2" w:eastAsia="Wingdings 2" w:cs="Wingdings 2"/>
                <w:kern w:val="0"/>
                <w:sz w:val="24"/>
                <w:highlight w:val="none"/>
              </w:rPr>
              <w:t></w:t>
            </w:r>
            <w:r>
              <w:rPr>
                <w:rFonts w:hint="eastAsia" w:ascii="宋体" w:hAnsi="宋体" w:cs="宋体"/>
                <w:kern w:val="0"/>
                <w:sz w:val="24"/>
                <w:highlight w:val="none"/>
              </w:rPr>
              <w:t>没有</w:t>
            </w:r>
          </w:p>
        </w:tc>
        <w:tc>
          <w:tcPr>
            <w:tcW w:w="2277" w:type="dxa"/>
            <w:vMerge w:val="restart"/>
            <w:tcBorders>
              <w:top w:val="single" w:color="000000" w:sz="8" w:space="0"/>
              <w:left w:val="single" w:color="000000" w:sz="4" w:space="0"/>
              <w:bottom w:val="single" w:color="000000" w:sz="4" w:space="0"/>
              <w:right w:val="single" w:color="000000" w:sz="8" w:space="0"/>
            </w:tcBorders>
            <w:shd w:val="clear" w:color="auto" w:fill="auto"/>
            <w:tcMar>
              <w:top w:w="12" w:type="dxa"/>
              <w:left w:w="12" w:type="dxa"/>
              <w:right w:w="12" w:type="dxa"/>
            </w:tcMar>
          </w:tcPr>
          <w:p>
            <w:pPr>
              <w:rPr>
                <w:rFonts w:ascii="宋体" w:hAnsi="宋体" w:cs="宋体"/>
                <w:sz w:val="24"/>
                <w:highlight w:val="none"/>
              </w:rPr>
            </w:pPr>
          </w:p>
        </w:tc>
      </w:tr>
      <w:tr>
        <w:tblPrEx>
          <w:tblCellMar>
            <w:top w:w="0" w:type="dxa"/>
            <w:left w:w="0" w:type="dxa"/>
            <w:bottom w:w="0" w:type="dxa"/>
            <w:right w:w="0" w:type="dxa"/>
          </w:tblCellMar>
        </w:tblPrEx>
        <w:trPr>
          <w:trHeight w:val="322" w:hRule="atLeast"/>
        </w:trPr>
        <w:tc>
          <w:tcPr>
            <w:tcW w:w="1453" w:type="dxa"/>
            <w:vMerge w:val="continue"/>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254"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2085"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cs="宋体"/>
                <w:sz w:val="24"/>
                <w:highlight w:val="none"/>
              </w:rPr>
            </w:pPr>
          </w:p>
        </w:tc>
        <w:tc>
          <w:tcPr>
            <w:tcW w:w="163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sz w:val="24"/>
                <w:highlight w:val="none"/>
              </w:rPr>
            </w:pPr>
          </w:p>
        </w:tc>
        <w:tc>
          <w:tcPr>
            <w:tcW w:w="2277" w:type="dxa"/>
            <w:vMerge w:val="continue"/>
            <w:tcBorders>
              <w:top w:val="single" w:color="000000" w:sz="8" w:space="0"/>
              <w:left w:val="single" w:color="000000" w:sz="4" w:space="0"/>
              <w:bottom w:val="single" w:color="000000" w:sz="4" w:space="0"/>
              <w:right w:val="single" w:color="000000" w:sz="8" w:space="0"/>
            </w:tcBorders>
            <w:shd w:val="clear" w:color="auto" w:fill="auto"/>
            <w:tcMar>
              <w:top w:w="12" w:type="dxa"/>
              <w:left w:w="12" w:type="dxa"/>
              <w:right w:w="12" w:type="dxa"/>
            </w:tcMar>
          </w:tcPr>
          <w:p>
            <w:pPr>
              <w:rPr>
                <w:rFonts w:ascii="宋体" w:hAnsi="宋体" w:cs="宋体"/>
                <w:sz w:val="24"/>
                <w:highlight w:val="none"/>
              </w:rPr>
            </w:pPr>
          </w:p>
        </w:tc>
      </w:tr>
      <w:tr>
        <w:tblPrEx>
          <w:tblCellMar>
            <w:top w:w="0" w:type="dxa"/>
            <w:left w:w="0" w:type="dxa"/>
            <w:bottom w:w="0" w:type="dxa"/>
            <w:right w:w="0" w:type="dxa"/>
          </w:tblCellMar>
        </w:tblPrEx>
        <w:trPr>
          <w:trHeight w:val="723" w:hRule="atLeast"/>
        </w:trPr>
        <w:tc>
          <w:tcPr>
            <w:tcW w:w="1453" w:type="dxa"/>
            <w:vMerge w:val="continue"/>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1254"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sz w:val="24"/>
                <w:highlight w:val="none"/>
              </w:rPr>
            </w:pPr>
          </w:p>
        </w:tc>
        <w:tc>
          <w:tcPr>
            <w:tcW w:w="2085"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cs="宋体"/>
                <w:sz w:val="24"/>
                <w:highlight w:val="none"/>
              </w:rPr>
            </w:pPr>
          </w:p>
        </w:tc>
        <w:tc>
          <w:tcPr>
            <w:tcW w:w="163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sz w:val="24"/>
                <w:highlight w:val="none"/>
              </w:rPr>
            </w:pPr>
          </w:p>
        </w:tc>
        <w:tc>
          <w:tcPr>
            <w:tcW w:w="2277" w:type="dxa"/>
            <w:vMerge w:val="continue"/>
            <w:tcBorders>
              <w:top w:val="single" w:color="000000" w:sz="8" w:space="0"/>
              <w:left w:val="single" w:color="000000" w:sz="4" w:space="0"/>
              <w:bottom w:val="single" w:color="000000" w:sz="4" w:space="0"/>
              <w:right w:val="single" w:color="000000" w:sz="8" w:space="0"/>
            </w:tcBorders>
            <w:shd w:val="clear" w:color="auto" w:fill="auto"/>
            <w:tcMar>
              <w:top w:w="12" w:type="dxa"/>
              <w:left w:w="12" w:type="dxa"/>
              <w:right w:w="12" w:type="dxa"/>
            </w:tcMar>
          </w:tcPr>
          <w:p>
            <w:pPr>
              <w:rPr>
                <w:rFonts w:ascii="宋体" w:hAnsi="宋体" w:cs="宋体"/>
                <w:sz w:val="24"/>
                <w:highlight w:val="none"/>
              </w:rPr>
            </w:pPr>
          </w:p>
        </w:tc>
      </w:tr>
      <w:tr>
        <w:trPr>
          <w:trHeight w:val="779" w:hRule="atLeast"/>
        </w:trPr>
        <w:tc>
          <w:tcPr>
            <w:tcW w:w="8700" w:type="dxa"/>
            <w:gridSpan w:val="5"/>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sz w:val="24"/>
                <w:highlight w:val="none"/>
              </w:rPr>
            </w:pPr>
            <w:r>
              <w:rPr>
                <w:rFonts w:hint="eastAsia" w:ascii="宋体" w:hAnsi="宋体" w:cs="宋体"/>
                <w:kern w:val="0"/>
                <w:sz w:val="24"/>
                <w:highlight w:val="none"/>
              </w:rPr>
              <w:t>备注：存在问题及整改措施需提供相关图片资料。自查表需按照合同约定及时提交至甲方辖下各分（子）公司进行考核评分</w:t>
            </w:r>
          </w:p>
        </w:tc>
      </w:tr>
    </w:tbl>
    <w:p>
      <w:pPr>
        <w:spacing w:line="360" w:lineRule="auto"/>
        <w:rPr>
          <w:rFonts w:ascii="宋体" w:hAnsi="宋体"/>
          <w:b/>
          <w:highlight w:val="none"/>
        </w:rPr>
      </w:pPr>
    </w:p>
    <w:p>
      <w:pPr>
        <w:spacing w:line="360" w:lineRule="auto"/>
        <w:rPr>
          <w:rFonts w:ascii="宋体" w:hAnsi="宋体"/>
          <w:b/>
          <w:highlight w:val="yellow"/>
        </w:rPr>
      </w:pPr>
      <w:r>
        <w:rPr>
          <w:rFonts w:hint="eastAsia" w:ascii="宋体" w:hAnsi="宋体"/>
          <w:b/>
          <w:highlight w:val="none"/>
        </w:rPr>
        <w:t>附件</w:t>
      </w:r>
      <w:r>
        <w:rPr>
          <w:rFonts w:ascii="宋体" w:hAnsi="宋体"/>
          <w:b/>
          <w:highlight w:val="none"/>
        </w:rPr>
        <w:t>1</w:t>
      </w:r>
      <w:r>
        <w:rPr>
          <w:rFonts w:hint="eastAsia" w:ascii="宋体" w:hAnsi="宋体"/>
          <w:b/>
          <w:highlight w:val="none"/>
        </w:rPr>
        <w:t>：子公司管理协议（格式）</w:t>
      </w:r>
    </w:p>
    <w:p>
      <w:pPr>
        <w:ind w:firstLine="1807" w:firstLineChars="600"/>
        <w:rPr>
          <w:rFonts w:ascii="宋体" w:hAnsi="宋体"/>
          <w:b/>
          <w:sz w:val="30"/>
          <w:szCs w:val="30"/>
          <w:highlight w:val="none"/>
        </w:rPr>
      </w:pPr>
    </w:p>
    <w:p>
      <w:pPr>
        <w:ind w:firstLine="2530" w:firstLineChars="900"/>
        <w:rPr>
          <w:rFonts w:ascii="宋体" w:hAnsi="宋体"/>
          <w:b/>
          <w:sz w:val="28"/>
          <w:szCs w:val="28"/>
          <w:highlight w:val="none"/>
        </w:rPr>
      </w:pPr>
      <w:r>
        <w:rPr>
          <w:rFonts w:hint="eastAsia" w:ascii="宋体" w:hAnsi="宋体"/>
          <w:b/>
          <w:sz w:val="28"/>
          <w:szCs w:val="28"/>
          <w:highlight w:val="none"/>
        </w:rPr>
        <w:t>广州市净水有限公司________</w:t>
      </w:r>
    </w:p>
    <w:p>
      <w:pPr>
        <w:ind w:firstLine="2811" w:firstLineChars="1000"/>
        <w:rPr>
          <w:rFonts w:ascii="宋体" w:hAnsi="宋体"/>
          <w:b/>
          <w:sz w:val="28"/>
          <w:szCs w:val="28"/>
          <w:highlight w:val="none"/>
        </w:rPr>
      </w:pPr>
      <w:r>
        <w:rPr>
          <w:rFonts w:hint="eastAsia" w:ascii="宋体" w:hAnsi="宋体"/>
          <w:b/>
          <w:sz w:val="28"/>
          <w:szCs w:val="28"/>
          <w:highlight w:val="none"/>
        </w:rPr>
        <w:t>关于__________的管理协议</w:t>
      </w:r>
    </w:p>
    <w:p>
      <w:pPr>
        <w:widowControl/>
        <w:spacing w:line="360" w:lineRule="auto"/>
        <w:jc w:val="left"/>
        <w:rPr>
          <w:rFonts w:ascii="宋体" w:hAnsi="宋体" w:cs="宋体"/>
          <w:sz w:val="24"/>
          <w:highlight w:val="none"/>
        </w:rPr>
      </w:pPr>
    </w:p>
    <w:p>
      <w:pPr>
        <w:widowControl/>
        <w:spacing w:line="360" w:lineRule="auto"/>
        <w:jc w:val="left"/>
        <w:rPr>
          <w:rFonts w:ascii="宋体" w:hAnsi="宋体" w:cs="宋体"/>
          <w:sz w:val="24"/>
          <w:highlight w:val="none"/>
        </w:rPr>
      </w:pPr>
      <w:r>
        <w:rPr>
          <w:rFonts w:hint="eastAsia" w:ascii="宋体" w:hAnsi="宋体" w:cs="宋体"/>
          <w:sz w:val="24"/>
          <w:highlight w:val="none"/>
        </w:rPr>
        <w:t>甲方：广州市净水有限公司xx（子公司）</w:t>
      </w:r>
    </w:p>
    <w:p>
      <w:pPr>
        <w:spacing w:line="360" w:lineRule="auto"/>
        <w:rPr>
          <w:rFonts w:ascii="宋体" w:hAnsi="宋体" w:cs="宋体"/>
          <w:sz w:val="24"/>
          <w:highlight w:val="none"/>
        </w:rPr>
      </w:pPr>
      <w:r>
        <w:rPr>
          <w:rFonts w:hint="eastAsia" w:ascii="宋体" w:hAnsi="宋体" w:cs="宋体"/>
          <w:sz w:val="24"/>
          <w:highlight w:val="none"/>
        </w:rPr>
        <w:t>乙方：</w:t>
      </w:r>
    </w:p>
    <w:p>
      <w:pPr>
        <w:spacing w:line="360" w:lineRule="auto"/>
        <w:rPr>
          <w:rFonts w:ascii="宋体" w:hAnsi="宋体" w:cs="宋体"/>
          <w:sz w:val="24"/>
          <w:highlight w:val="none"/>
        </w:rPr>
      </w:pPr>
    </w:p>
    <w:p>
      <w:pPr>
        <w:pStyle w:val="10"/>
        <w:spacing w:line="360" w:lineRule="auto"/>
        <w:ind w:left="120" w:leftChars="57" w:firstLine="360" w:firstLineChars="150"/>
        <w:jc w:val="left"/>
        <w:rPr>
          <w:rFonts w:hAnsi="宋体" w:cs="宋体"/>
          <w:sz w:val="24"/>
          <w:szCs w:val="24"/>
          <w:highlight w:val="none"/>
        </w:rPr>
      </w:pPr>
      <w:r>
        <w:rPr>
          <w:rFonts w:hint="eastAsia" w:hAnsi="宋体" w:cs="宋体"/>
          <w:sz w:val="24"/>
          <w:szCs w:val="24"/>
          <w:highlight w:val="none"/>
        </w:rPr>
        <w:t>本协议中的所用术语，除非另有说明，否则其定义与双方于____年__月__日签订合同编号为</w:t>
      </w:r>
      <w:r>
        <w:rPr>
          <w:rFonts w:hint="eastAsia" w:hAnsi="宋体" w:cs="宋体"/>
          <w:sz w:val="24"/>
          <w:szCs w:val="24"/>
          <w:highlight w:val="none"/>
          <w:u w:val="single"/>
        </w:rPr>
        <w:t xml:space="preserve">             《合同名称 》</w:t>
      </w:r>
      <w:r>
        <w:rPr>
          <w:rFonts w:hint="eastAsia" w:hAnsi="宋体" w:cs="宋体"/>
          <w:sz w:val="24"/>
          <w:szCs w:val="24"/>
          <w:highlight w:val="none"/>
        </w:rPr>
        <w:t>中的定义相同。</w:t>
      </w:r>
    </w:p>
    <w:p>
      <w:pPr>
        <w:spacing w:line="360" w:lineRule="auto"/>
        <w:ind w:left="120" w:leftChars="57" w:firstLine="600" w:firstLineChars="250"/>
        <w:rPr>
          <w:rFonts w:ascii="宋体" w:hAnsi="宋体" w:cs="宋体"/>
          <w:sz w:val="24"/>
          <w:highlight w:val="none"/>
        </w:rPr>
      </w:pPr>
      <w:r>
        <w:rPr>
          <w:rFonts w:hint="eastAsia" w:ascii="宋体" w:hAnsi="宋体" w:cs="宋体"/>
          <w:sz w:val="24"/>
          <w:highlight w:val="none"/>
        </w:rPr>
        <w:t>广州市净水有限公司  年药剂采购项目（以下称“本项目”）通过公开招标（或询价等）的方式，确定公司为本项目的中标单位。根据《中华人民共和国民法典》和国家其它法律法规，广州市净水有限公司与_______________公司双方协商一致，签订了</w:t>
      </w:r>
      <w:r>
        <w:rPr>
          <w:rFonts w:hint="eastAsia" w:ascii="宋体" w:hAnsi="宋体" w:cs="宋体"/>
          <w:sz w:val="24"/>
          <w:highlight w:val="none"/>
          <w:u w:val="single"/>
        </w:rPr>
        <w:t>《合同名称》+（合同编号）</w:t>
      </w:r>
      <w:r>
        <w:rPr>
          <w:rFonts w:hint="eastAsia" w:ascii="宋体" w:hAnsi="宋体" w:cs="宋体"/>
          <w:sz w:val="24"/>
          <w:highlight w:val="none"/>
        </w:rPr>
        <w:t>，经甲乙双方协商，签订本协议。</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一、药剂单价及付款</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1.1 ___________药剂单价按广州市净水有限公司与___________公司签订的合同单价为固定不变价，合同单价今后不因任何因素而作调整。</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1.2结算方式：按 </w:t>
      </w:r>
      <w:r>
        <w:rPr>
          <w:rFonts w:hint="eastAsia" w:ascii="宋体" w:hAnsi="宋体" w:cs="宋体"/>
          <w:sz w:val="24"/>
          <w:highlight w:val="none"/>
          <w:u w:val="single"/>
        </w:rPr>
        <w:t>《合同名称》+（合同编号）约定</w:t>
      </w:r>
      <w:r>
        <w:rPr>
          <w:rFonts w:hint="eastAsia" w:ascii="宋体" w:hAnsi="宋体" w:cs="宋体"/>
          <w:sz w:val="24"/>
          <w:highlight w:val="none"/>
        </w:rPr>
        <w:t>执行。</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1.3甲方</w:t>
      </w:r>
      <w:r>
        <w:rPr>
          <w:rFonts w:hint="eastAsia" w:ascii="宋体" w:hAnsi="宋体" w:cs="宋体"/>
          <w:sz w:val="24"/>
          <w:highlight w:val="none"/>
          <w:u w:val="single"/>
        </w:rPr>
        <w:t xml:space="preserve">    </w:t>
      </w:r>
      <w:r>
        <w:rPr>
          <w:rFonts w:hint="eastAsia" w:ascii="宋体" w:hAnsi="宋体" w:cs="宋体"/>
          <w:sz w:val="24"/>
          <w:highlight w:val="none"/>
        </w:rPr>
        <w:t>xx</w:t>
      </w:r>
      <w:r>
        <w:rPr>
          <w:rFonts w:hint="eastAsia" w:ascii="宋体" w:hAnsi="宋体" w:cs="宋体"/>
          <w:sz w:val="24"/>
          <w:highlight w:val="none"/>
          <w:lang w:val="en-US" w:eastAsia="zh-CN"/>
        </w:rPr>
        <w:t>(</w:t>
      </w:r>
      <w:r>
        <w:rPr>
          <w:rFonts w:hint="eastAsia" w:ascii="宋体" w:hAnsi="宋体" w:cs="宋体"/>
          <w:sz w:val="24"/>
          <w:highlight w:val="none"/>
        </w:rPr>
        <w:t>子公司</w:t>
      </w:r>
      <w:r>
        <w:rPr>
          <w:rFonts w:hint="eastAsia" w:ascii="宋体" w:hAnsi="宋体" w:cs="宋体"/>
          <w:sz w:val="24"/>
          <w:highlight w:val="none"/>
          <w:lang w:val="en-US" w:eastAsia="zh-CN"/>
        </w:rPr>
        <w:t>)</w:t>
      </w:r>
      <w:r>
        <w:rPr>
          <w:rFonts w:hint="eastAsia" w:ascii="宋体" w:hAnsi="宋体" w:cs="宋体"/>
          <w:sz w:val="24"/>
          <w:highlight w:val="none"/>
        </w:rPr>
        <w:t>与乙方按照实际供货量结算，甲方</w:t>
      </w:r>
      <w:r>
        <w:rPr>
          <w:rFonts w:hint="eastAsia" w:ascii="宋体" w:hAnsi="宋体" w:cs="宋体"/>
          <w:sz w:val="24"/>
          <w:highlight w:val="none"/>
          <w:u w:val="single"/>
        </w:rPr>
        <w:t xml:space="preserve">    </w:t>
      </w:r>
      <w:r>
        <w:rPr>
          <w:rFonts w:hint="eastAsia" w:ascii="宋体" w:hAnsi="宋体" w:cs="宋体"/>
          <w:sz w:val="24"/>
          <w:highlight w:val="none"/>
        </w:rPr>
        <w:t>xx</w:t>
      </w:r>
      <w:r>
        <w:rPr>
          <w:rFonts w:hint="eastAsia" w:ascii="宋体" w:hAnsi="宋体" w:cs="宋体"/>
          <w:sz w:val="24"/>
          <w:highlight w:val="none"/>
          <w:lang w:val="en-US" w:eastAsia="zh-CN"/>
        </w:rPr>
        <w:t>(</w:t>
      </w:r>
      <w:r>
        <w:rPr>
          <w:rFonts w:hint="eastAsia" w:ascii="宋体" w:hAnsi="宋体" w:cs="宋体"/>
          <w:sz w:val="24"/>
          <w:highlight w:val="none"/>
        </w:rPr>
        <w:t>子公司</w:t>
      </w:r>
      <w:r>
        <w:rPr>
          <w:rFonts w:hint="eastAsia" w:ascii="宋体" w:hAnsi="宋体" w:cs="宋体"/>
          <w:sz w:val="24"/>
          <w:highlight w:val="none"/>
          <w:lang w:val="en-US" w:eastAsia="zh-CN"/>
        </w:rPr>
        <w:t>)</w:t>
      </w:r>
      <w:r>
        <w:rPr>
          <w:rFonts w:hint="eastAsia" w:ascii="宋体" w:hAnsi="宋体" w:cs="宋体"/>
          <w:sz w:val="24"/>
          <w:highlight w:val="none"/>
        </w:rPr>
        <w:t>按合同单价每月与乙方结算一次。乙方应在每月</w:t>
      </w:r>
      <w:r>
        <w:rPr>
          <w:rFonts w:hint="eastAsia" w:ascii="宋体" w:hAnsi="宋体" w:cs="宋体"/>
          <w:sz w:val="24"/>
          <w:highlight w:val="none"/>
          <w:u w:val="single"/>
        </w:rPr>
        <w:t xml:space="preserve"> 10 </w:t>
      </w:r>
      <w:r>
        <w:rPr>
          <w:rFonts w:hint="eastAsia" w:ascii="宋体" w:hAnsi="宋体" w:cs="宋体"/>
          <w:sz w:val="24"/>
          <w:highlight w:val="none"/>
        </w:rPr>
        <w:t>日前将结算表以书面形式交付甲方</w:t>
      </w:r>
      <w:r>
        <w:rPr>
          <w:rFonts w:hint="eastAsia" w:ascii="宋体" w:hAnsi="宋体" w:cs="宋体"/>
          <w:sz w:val="24"/>
          <w:highlight w:val="none"/>
          <w:u w:val="single"/>
        </w:rPr>
        <w:t xml:space="preserve">    </w:t>
      </w:r>
      <w:r>
        <w:rPr>
          <w:rFonts w:hint="eastAsia" w:ascii="宋体" w:hAnsi="宋体" w:cs="宋体"/>
          <w:sz w:val="24"/>
          <w:highlight w:val="none"/>
        </w:rPr>
        <w:t>xx</w:t>
      </w:r>
      <w:r>
        <w:rPr>
          <w:rFonts w:hint="eastAsia" w:ascii="宋体" w:hAnsi="宋体" w:cs="宋体"/>
          <w:sz w:val="24"/>
          <w:highlight w:val="none"/>
          <w:lang w:val="en-US" w:eastAsia="zh-CN"/>
        </w:rPr>
        <w:t>(</w:t>
      </w:r>
      <w:r>
        <w:rPr>
          <w:rFonts w:hint="eastAsia" w:ascii="宋体" w:hAnsi="宋体" w:cs="宋体"/>
          <w:sz w:val="24"/>
          <w:highlight w:val="none"/>
        </w:rPr>
        <w:t>子公司</w:t>
      </w:r>
      <w:r>
        <w:rPr>
          <w:rFonts w:hint="eastAsia" w:ascii="宋体" w:hAnsi="宋体" w:cs="宋体"/>
          <w:sz w:val="24"/>
          <w:highlight w:val="none"/>
          <w:lang w:val="en-US" w:eastAsia="zh-CN"/>
        </w:rPr>
        <w:t>)</w:t>
      </w:r>
      <w:r>
        <w:rPr>
          <w:rFonts w:hint="eastAsia" w:ascii="宋体" w:hAnsi="宋体" w:cs="宋体"/>
          <w:sz w:val="24"/>
          <w:highlight w:val="none"/>
        </w:rPr>
        <w:t>，若甲方</w:t>
      </w:r>
      <w:r>
        <w:rPr>
          <w:rFonts w:hint="eastAsia" w:ascii="宋体" w:hAnsi="宋体" w:cs="宋体"/>
          <w:sz w:val="24"/>
          <w:highlight w:val="none"/>
          <w:u w:val="single"/>
        </w:rPr>
        <w:t xml:space="preserve">    </w:t>
      </w:r>
      <w:r>
        <w:rPr>
          <w:rFonts w:hint="eastAsia" w:ascii="宋体" w:hAnsi="宋体" w:cs="宋体"/>
          <w:sz w:val="24"/>
          <w:highlight w:val="none"/>
        </w:rPr>
        <w:t>xx</w:t>
      </w:r>
      <w:r>
        <w:rPr>
          <w:rFonts w:hint="eastAsia" w:ascii="宋体" w:hAnsi="宋体" w:cs="宋体"/>
          <w:sz w:val="24"/>
          <w:highlight w:val="none"/>
          <w:lang w:val="en-US" w:eastAsia="zh-CN"/>
        </w:rPr>
        <w:t>(</w:t>
      </w:r>
      <w:r>
        <w:rPr>
          <w:rFonts w:hint="eastAsia" w:ascii="宋体" w:hAnsi="宋体" w:cs="宋体"/>
          <w:sz w:val="24"/>
          <w:highlight w:val="none"/>
        </w:rPr>
        <w:t>子公司</w:t>
      </w:r>
      <w:r>
        <w:rPr>
          <w:rFonts w:hint="eastAsia" w:ascii="宋体" w:hAnsi="宋体" w:cs="宋体"/>
          <w:sz w:val="24"/>
          <w:highlight w:val="none"/>
          <w:lang w:val="en-US" w:eastAsia="zh-CN"/>
        </w:rPr>
        <w:t>)</w:t>
      </w:r>
      <w:r>
        <w:rPr>
          <w:rFonts w:hint="eastAsia" w:ascii="宋体" w:hAnsi="宋体" w:cs="宋体"/>
          <w:sz w:val="24"/>
          <w:highlight w:val="none"/>
        </w:rPr>
        <w:t>对结算内容有异议，应书面回复乙方。乙方根据甲方确认的结算金额开出国家合法的增值税专用发票，交甲方</w:t>
      </w:r>
      <w:r>
        <w:rPr>
          <w:rFonts w:hint="eastAsia" w:ascii="宋体" w:hAnsi="宋体" w:cs="宋体"/>
          <w:sz w:val="24"/>
          <w:highlight w:val="none"/>
          <w:u w:val="single"/>
        </w:rPr>
        <w:t xml:space="preserve">    </w:t>
      </w:r>
      <w:r>
        <w:rPr>
          <w:rFonts w:hint="eastAsia" w:ascii="宋体" w:hAnsi="宋体" w:cs="宋体"/>
          <w:sz w:val="24"/>
          <w:highlight w:val="none"/>
        </w:rPr>
        <w:t>xx</w:t>
      </w:r>
      <w:r>
        <w:rPr>
          <w:rFonts w:hint="eastAsia" w:ascii="宋体" w:hAnsi="宋体" w:cs="宋体"/>
          <w:sz w:val="24"/>
          <w:highlight w:val="none"/>
          <w:lang w:val="en-US" w:eastAsia="zh-CN"/>
        </w:rPr>
        <w:t>(</w:t>
      </w:r>
      <w:r>
        <w:rPr>
          <w:rFonts w:hint="eastAsia" w:ascii="宋体" w:hAnsi="宋体" w:cs="宋体"/>
          <w:sz w:val="24"/>
          <w:highlight w:val="none"/>
        </w:rPr>
        <w:t>子公司</w:t>
      </w:r>
      <w:r>
        <w:rPr>
          <w:rFonts w:hint="eastAsia" w:ascii="宋体" w:hAnsi="宋体" w:cs="宋体"/>
          <w:sz w:val="24"/>
          <w:highlight w:val="none"/>
          <w:lang w:val="en-US" w:eastAsia="zh-CN"/>
        </w:rPr>
        <w:t>)</w:t>
      </w:r>
      <w:r>
        <w:rPr>
          <w:rFonts w:hint="eastAsia" w:ascii="宋体" w:hAnsi="宋体" w:cs="宋体"/>
          <w:sz w:val="24"/>
          <w:highlight w:val="none"/>
        </w:rPr>
        <w:t>办理付款手续。</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二、药剂的检测、考核及处罚</w:t>
      </w:r>
    </w:p>
    <w:p>
      <w:pPr>
        <w:spacing w:line="360" w:lineRule="auto"/>
        <w:ind w:firstLine="489" w:firstLineChars="204"/>
        <w:rPr>
          <w:rFonts w:ascii="宋体" w:hAnsi="宋体" w:cs="宋体"/>
          <w:sz w:val="24"/>
          <w:highlight w:val="none"/>
        </w:rPr>
      </w:pPr>
      <w:r>
        <w:rPr>
          <w:rFonts w:hint="eastAsia" w:ascii="宋体" w:hAnsi="宋体" w:cs="宋体"/>
          <w:sz w:val="24"/>
          <w:highlight w:val="none"/>
        </w:rPr>
        <w:t>2.1甲方</w:t>
      </w:r>
      <w:r>
        <w:rPr>
          <w:rFonts w:hint="eastAsia" w:ascii="宋体" w:hAnsi="宋体" w:cs="宋体"/>
          <w:sz w:val="24"/>
          <w:highlight w:val="none"/>
          <w:u w:val="single"/>
        </w:rPr>
        <w:t xml:space="preserve">    </w:t>
      </w:r>
      <w:r>
        <w:rPr>
          <w:rFonts w:hint="eastAsia" w:ascii="宋体" w:hAnsi="宋体" w:cs="宋体"/>
          <w:sz w:val="24"/>
          <w:highlight w:val="none"/>
        </w:rPr>
        <w:t>xx</w:t>
      </w:r>
      <w:r>
        <w:rPr>
          <w:rFonts w:hint="eastAsia" w:ascii="宋体" w:hAnsi="宋体" w:cs="宋体"/>
          <w:sz w:val="24"/>
          <w:highlight w:val="none"/>
          <w:lang w:val="en-US" w:eastAsia="zh-CN"/>
        </w:rPr>
        <w:t>(</w:t>
      </w:r>
      <w:r>
        <w:rPr>
          <w:rFonts w:hint="eastAsia" w:ascii="宋体" w:hAnsi="宋体" w:cs="宋体"/>
          <w:sz w:val="24"/>
          <w:highlight w:val="none"/>
        </w:rPr>
        <w:t>子公司</w:t>
      </w:r>
      <w:r>
        <w:rPr>
          <w:rFonts w:hint="eastAsia" w:ascii="宋体" w:hAnsi="宋体" w:cs="宋体"/>
          <w:sz w:val="24"/>
          <w:highlight w:val="none"/>
          <w:lang w:val="en-US" w:eastAsia="zh-CN"/>
        </w:rPr>
        <w:t>)</w:t>
      </w:r>
      <w:r>
        <w:rPr>
          <w:rFonts w:hint="eastAsia" w:ascii="宋体" w:hAnsi="宋体" w:cs="宋体"/>
          <w:sz w:val="24"/>
          <w:highlight w:val="none"/>
        </w:rPr>
        <w:t>根据广州市净水有限公司与公司签订的合同</w:t>
      </w:r>
      <w:r>
        <w:rPr>
          <w:rFonts w:hint="eastAsia" w:ascii="宋体" w:hAnsi="宋体" w:cs="宋体"/>
          <w:sz w:val="24"/>
          <w:highlight w:val="none"/>
          <w:u w:val="single"/>
        </w:rPr>
        <w:t>《合同名称》+（合同编号）</w:t>
      </w:r>
      <w:r>
        <w:rPr>
          <w:rFonts w:hint="eastAsia" w:ascii="宋体" w:hAnsi="宋体" w:cs="宋体"/>
          <w:sz w:val="24"/>
          <w:highlight w:val="none"/>
        </w:rPr>
        <w:t>要求，对</w:t>
      </w:r>
      <w:r>
        <w:rPr>
          <w:rFonts w:hint="eastAsia" w:ascii="宋体" w:hAnsi="宋体" w:cs="宋体"/>
          <w:kern w:val="0"/>
          <w:sz w:val="24"/>
          <w:highlight w:val="none"/>
        </w:rPr>
        <w:t>乙方每车次货物进行取样检测，并根据检测结果进行处罚</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三、乙方须根据</w:t>
      </w:r>
      <w:r>
        <w:rPr>
          <w:rFonts w:hint="eastAsia" w:ascii="宋体" w:hAnsi="宋体" w:cs="宋体"/>
          <w:sz w:val="24"/>
          <w:highlight w:val="none"/>
          <w:u w:val="single"/>
        </w:rPr>
        <w:t>《合同名称》+（合同编号）</w:t>
      </w:r>
      <w:r>
        <w:rPr>
          <w:rFonts w:hint="eastAsia" w:ascii="宋体" w:hAnsi="宋体" w:cs="宋体"/>
          <w:sz w:val="24"/>
          <w:highlight w:val="none"/>
        </w:rPr>
        <w:t>，严格执行各项合同条款，执行相关权利和义务。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四、本协议生效后，即成为合同编号为</w:t>
      </w:r>
      <w:r>
        <w:rPr>
          <w:rFonts w:hint="eastAsia" w:ascii="宋体" w:hAnsi="宋体" w:cs="宋体"/>
          <w:sz w:val="24"/>
          <w:highlight w:val="none"/>
          <w:u w:val="single"/>
        </w:rPr>
        <w:t>《合同名称》+（合同编号）</w:t>
      </w:r>
      <w:r>
        <w:rPr>
          <w:rFonts w:hint="eastAsia" w:ascii="宋体" w:hAnsi="宋体" w:cs="宋体"/>
          <w:sz w:val="24"/>
          <w:highlight w:val="none"/>
        </w:rPr>
        <w:t>不可分割的组成部分，与其具有同等的法律效力。</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五、本协议一式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5</w:t>
      </w:r>
      <w:r>
        <w:rPr>
          <w:rFonts w:hint="eastAsia" w:ascii="宋体" w:hAnsi="宋体" w:cs="宋体"/>
          <w:sz w:val="24"/>
          <w:highlight w:val="none"/>
          <w:u w:val="single"/>
        </w:rPr>
        <w:t xml:space="preserve"> </w:t>
      </w:r>
      <w:r>
        <w:rPr>
          <w:rFonts w:hint="eastAsia" w:ascii="宋体" w:hAnsi="宋体" w:cs="宋体"/>
          <w:sz w:val="24"/>
          <w:highlight w:val="none"/>
        </w:rPr>
        <w:t>份，甲方执</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r>
        <w:rPr>
          <w:rFonts w:hint="eastAsia" w:ascii="宋体" w:hAnsi="宋体" w:cs="宋体"/>
          <w:sz w:val="24"/>
          <w:highlight w:val="none"/>
        </w:rPr>
        <w:t>份，乙方执</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w:t>
      </w:r>
      <w:r>
        <w:rPr>
          <w:rFonts w:hint="eastAsia" w:ascii="宋体" w:hAnsi="宋体" w:cs="宋体"/>
          <w:sz w:val="24"/>
          <w:highlight w:val="none"/>
          <w:u w:val="single"/>
        </w:rPr>
        <w:t xml:space="preserve"> </w:t>
      </w:r>
      <w:r>
        <w:rPr>
          <w:rFonts w:hint="eastAsia" w:ascii="宋体" w:hAnsi="宋体" w:cs="宋体"/>
          <w:sz w:val="24"/>
          <w:highlight w:val="none"/>
        </w:rPr>
        <w:t>份，具有同等法律效力，自双方签字盖章之日起生效。</w:t>
      </w:r>
    </w:p>
    <w:p>
      <w:pPr>
        <w:spacing w:line="360" w:lineRule="auto"/>
        <w:rPr>
          <w:rFonts w:ascii="宋体" w:hAnsi="宋体" w:cs="宋体"/>
          <w:sz w:val="24"/>
          <w:highlight w:val="none"/>
        </w:rPr>
      </w:pPr>
    </w:p>
    <w:p>
      <w:pPr>
        <w:spacing w:line="360" w:lineRule="auto"/>
        <w:ind w:firstLine="960" w:firstLineChars="400"/>
        <w:rPr>
          <w:rFonts w:ascii="宋体" w:hAnsi="宋体" w:cs="宋体"/>
          <w:sz w:val="24"/>
          <w:highlight w:val="none"/>
        </w:rPr>
      </w:pPr>
      <w:r>
        <w:rPr>
          <w:rFonts w:hint="eastAsia" w:ascii="宋体" w:hAnsi="宋体" w:cs="宋体"/>
          <w:sz w:val="24"/>
          <w:highlight w:val="none"/>
        </w:rPr>
        <w:t>甲方：广州市净水有限公司</w:t>
      </w:r>
      <w:r>
        <w:rPr>
          <w:rFonts w:hint="eastAsia" w:hAnsi="宋体" w:cs="宋体"/>
          <w:sz w:val="24"/>
          <w:highlight w:val="none"/>
        </w:rPr>
        <w:t>xx</w:t>
      </w:r>
      <w:r>
        <w:rPr>
          <w:rFonts w:hint="eastAsia" w:hAnsi="宋体" w:cs="宋体"/>
          <w:sz w:val="24"/>
          <w:highlight w:val="none"/>
          <w:lang w:val="en-US" w:eastAsia="zh-CN"/>
        </w:rPr>
        <w:t>(</w:t>
      </w:r>
      <w:r>
        <w:rPr>
          <w:rFonts w:hint="eastAsia" w:hAnsi="宋体" w:cs="宋体"/>
          <w:sz w:val="24"/>
          <w:highlight w:val="none"/>
        </w:rPr>
        <w:t>子公司</w:t>
      </w:r>
      <w:r>
        <w:rPr>
          <w:rFonts w:hint="eastAsia" w:hAnsi="宋体" w:cs="宋体"/>
          <w:sz w:val="24"/>
          <w:highlight w:val="none"/>
          <w:lang w:val="en-US" w:eastAsia="zh-CN"/>
        </w:rPr>
        <w:t>)</w:t>
      </w: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乙方：</w:t>
      </w:r>
    </w:p>
    <w:p>
      <w:pPr>
        <w:pStyle w:val="10"/>
        <w:spacing w:line="360" w:lineRule="auto"/>
        <w:rPr>
          <w:rFonts w:hint="eastAsia" w:hAnsi="宋体" w:eastAsia="宋体" w:cs="宋体"/>
          <w:sz w:val="24"/>
          <w:szCs w:val="24"/>
          <w:highlight w:val="none"/>
          <w:lang w:val="en-US" w:eastAsia="zh-CN"/>
        </w:rPr>
      </w:pPr>
      <w:r>
        <w:rPr>
          <w:rFonts w:hint="eastAsia" w:hAnsi="宋体" w:cs="宋体"/>
          <w:sz w:val="24"/>
          <w:szCs w:val="24"/>
          <w:highlight w:val="none"/>
        </w:rPr>
        <w:t xml:space="preserve">      </w:t>
      </w:r>
    </w:p>
    <w:p>
      <w:pPr>
        <w:pStyle w:val="10"/>
        <w:spacing w:line="360" w:lineRule="auto"/>
        <w:ind w:firstLine="960" w:firstLineChars="400"/>
        <w:rPr>
          <w:rFonts w:hAnsi="宋体" w:cs="宋体"/>
          <w:sz w:val="24"/>
          <w:szCs w:val="24"/>
          <w:highlight w:val="none"/>
        </w:rPr>
      </w:pPr>
      <w:r>
        <w:rPr>
          <w:rFonts w:hint="eastAsia" w:hAnsi="宋体" w:cs="宋体"/>
          <w:sz w:val="24"/>
          <w:szCs w:val="24"/>
          <w:highlight w:val="none"/>
        </w:rPr>
        <w:t>地址：                                   地址：</w:t>
      </w:r>
    </w:p>
    <w:p>
      <w:pPr>
        <w:pStyle w:val="10"/>
        <w:spacing w:line="360" w:lineRule="auto"/>
        <w:ind w:firstLine="960" w:firstLineChars="400"/>
        <w:rPr>
          <w:rFonts w:hAnsi="宋体" w:cs="宋体"/>
          <w:sz w:val="24"/>
          <w:szCs w:val="24"/>
          <w:highlight w:val="none"/>
        </w:rPr>
      </w:pPr>
      <w:r>
        <w:rPr>
          <w:rFonts w:hint="eastAsia" w:hAnsi="宋体" w:cs="宋体"/>
          <w:sz w:val="24"/>
          <w:szCs w:val="24"/>
          <w:highlight w:val="none"/>
        </w:rPr>
        <w:t>法定代表人（或项目经办人）：             法定代表人：</w:t>
      </w:r>
    </w:p>
    <w:p>
      <w:pPr>
        <w:pStyle w:val="10"/>
        <w:spacing w:line="360" w:lineRule="auto"/>
        <w:ind w:firstLine="960" w:firstLineChars="400"/>
        <w:rPr>
          <w:rFonts w:hAnsi="宋体" w:cs="宋体"/>
          <w:sz w:val="24"/>
          <w:szCs w:val="24"/>
          <w:highlight w:val="none"/>
        </w:rPr>
      </w:pPr>
      <w:r>
        <w:rPr>
          <w:rFonts w:hint="eastAsia" w:hAnsi="宋体" w:cs="宋体"/>
          <w:sz w:val="24"/>
          <w:szCs w:val="24"/>
          <w:highlight w:val="none"/>
        </w:rPr>
        <w:t xml:space="preserve">委托代理人：                             委托代理人：                 </w:t>
      </w:r>
    </w:p>
    <w:p>
      <w:pPr>
        <w:pStyle w:val="10"/>
        <w:spacing w:line="360" w:lineRule="auto"/>
        <w:ind w:firstLine="960" w:firstLineChars="400"/>
        <w:rPr>
          <w:rFonts w:hAnsi="宋体" w:cs="宋体"/>
          <w:sz w:val="24"/>
          <w:szCs w:val="24"/>
          <w:highlight w:val="none"/>
        </w:rPr>
      </w:pPr>
      <w:r>
        <w:rPr>
          <w:rFonts w:hint="eastAsia" w:hAnsi="宋体" w:cs="宋体"/>
          <w:sz w:val="24"/>
          <w:szCs w:val="24"/>
          <w:highlight w:val="none"/>
        </w:rPr>
        <w:t>电话：                                   电话：</w:t>
      </w:r>
    </w:p>
    <w:p>
      <w:pPr>
        <w:pStyle w:val="10"/>
        <w:spacing w:line="360" w:lineRule="auto"/>
        <w:ind w:firstLine="960" w:firstLineChars="400"/>
        <w:rPr>
          <w:rFonts w:hAnsi="宋体" w:cs="宋体"/>
          <w:sz w:val="24"/>
          <w:szCs w:val="24"/>
          <w:highlight w:val="none"/>
        </w:rPr>
      </w:pPr>
      <w:r>
        <w:rPr>
          <w:rFonts w:hint="eastAsia" w:hAnsi="宋体" w:cs="宋体"/>
          <w:sz w:val="24"/>
          <w:szCs w:val="24"/>
          <w:highlight w:val="none"/>
        </w:rPr>
        <w:t>传真：                                   传真：</w:t>
      </w:r>
    </w:p>
    <w:p>
      <w:pPr>
        <w:pStyle w:val="10"/>
        <w:spacing w:line="360" w:lineRule="auto"/>
        <w:ind w:firstLine="960" w:firstLineChars="400"/>
        <w:rPr>
          <w:rFonts w:hAnsi="宋体" w:cs="宋体"/>
          <w:sz w:val="24"/>
          <w:szCs w:val="24"/>
          <w:highlight w:val="none"/>
        </w:rPr>
      </w:pPr>
      <w:r>
        <w:rPr>
          <w:rFonts w:hint="eastAsia" w:hAnsi="宋体" w:cs="宋体"/>
          <w:sz w:val="24"/>
          <w:szCs w:val="24"/>
          <w:highlight w:val="none"/>
        </w:rPr>
        <w:t>开户银行：                               开户银行：</w:t>
      </w:r>
    </w:p>
    <w:p>
      <w:pPr>
        <w:pStyle w:val="10"/>
        <w:spacing w:line="360" w:lineRule="auto"/>
        <w:ind w:firstLine="960" w:firstLineChars="400"/>
        <w:rPr>
          <w:rFonts w:hAnsi="宋体" w:cs="宋体"/>
          <w:sz w:val="24"/>
          <w:szCs w:val="24"/>
          <w:highlight w:val="none"/>
        </w:rPr>
      </w:pPr>
      <w:r>
        <w:rPr>
          <w:rFonts w:hint="eastAsia" w:hAnsi="宋体" w:cs="宋体"/>
          <w:sz w:val="24"/>
          <w:szCs w:val="24"/>
          <w:highlight w:val="none"/>
        </w:rPr>
        <w:t>帐号：                                   帐号：</w:t>
      </w:r>
    </w:p>
    <w:p>
      <w:pPr>
        <w:pStyle w:val="10"/>
        <w:spacing w:line="360" w:lineRule="auto"/>
        <w:ind w:firstLine="960" w:firstLineChars="400"/>
        <w:rPr>
          <w:rFonts w:hAnsi="宋体" w:cs="宋体"/>
          <w:sz w:val="24"/>
          <w:szCs w:val="24"/>
          <w:highlight w:val="none"/>
        </w:rPr>
      </w:pPr>
      <w:r>
        <w:rPr>
          <w:rFonts w:hint="eastAsia" w:hAnsi="宋体" w:cs="宋体"/>
          <w:sz w:val="24"/>
          <w:szCs w:val="24"/>
          <w:highlight w:val="none"/>
        </w:rPr>
        <w:t>邮政编码：                               邮政编码：</w:t>
      </w:r>
    </w:p>
    <w:p>
      <w:pPr>
        <w:pStyle w:val="10"/>
        <w:spacing w:line="360" w:lineRule="auto"/>
        <w:ind w:firstLine="960" w:firstLineChars="400"/>
        <w:rPr>
          <w:rFonts w:hAnsi="宋体" w:cs="宋体"/>
          <w:sz w:val="24"/>
          <w:szCs w:val="24"/>
          <w:highlight w:val="none"/>
        </w:rPr>
      </w:pPr>
      <w:r>
        <w:rPr>
          <w:rFonts w:hint="eastAsia" w:hAnsi="宋体" w:cs="宋体"/>
          <w:sz w:val="24"/>
          <w:szCs w:val="24"/>
          <w:highlight w:val="none"/>
        </w:rPr>
        <w:t>邮箱地址：                               邮箱地址：</w:t>
      </w:r>
    </w:p>
    <w:p>
      <w:pPr>
        <w:pStyle w:val="10"/>
        <w:spacing w:line="360" w:lineRule="auto"/>
        <w:ind w:firstLine="960" w:firstLineChars="400"/>
        <w:rPr>
          <w:rFonts w:hAnsi="宋体" w:cs="宋体"/>
          <w:sz w:val="24"/>
          <w:szCs w:val="24"/>
          <w:highlight w:val="none"/>
        </w:rPr>
      </w:pPr>
      <w:r>
        <w:rPr>
          <w:rFonts w:hint="eastAsia" w:hAnsi="宋体" w:cs="宋体"/>
          <w:sz w:val="24"/>
          <w:szCs w:val="24"/>
          <w:highlight w:val="none"/>
        </w:rPr>
        <w:t>日期：                                   日期：</w:t>
      </w: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rPr>
          <w:rFonts w:ascii="宋体" w:hAnsi="宋体" w:cs="宋体"/>
          <w:b/>
          <w:sz w:val="28"/>
          <w:szCs w:val="28"/>
          <w:highlight w:val="none"/>
        </w:rPr>
      </w:pPr>
      <w:r>
        <w:rPr>
          <w:rFonts w:hint="eastAsia" w:ascii="宋体" w:hAnsi="宋体" w:cs="宋体"/>
          <w:b/>
          <w:szCs w:val="21"/>
          <w:highlight w:val="none"/>
        </w:rPr>
        <w:t>附件2：生产药剂采购安全协议书</w:t>
      </w:r>
    </w:p>
    <w:p>
      <w:pPr>
        <w:rPr>
          <w:rFonts w:ascii="宋体" w:hAnsi="宋体" w:cs="宋体"/>
          <w:b/>
          <w:sz w:val="28"/>
          <w:szCs w:val="28"/>
          <w:highlight w:val="none"/>
        </w:rPr>
      </w:pPr>
    </w:p>
    <w:p>
      <w:pPr>
        <w:spacing w:line="360" w:lineRule="auto"/>
        <w:jc w:val="center"/>
        <w:rPr>
          <w:rFonts w:ascii="宋体" w:hAnsi="宋体" w:cs="宋体"/>
          <w:bCs/>
          <w:kern w:val="0"/>
          <w:sz w:val="28"/>
          <w:szCs w:val="28"/>
          <w:highlight w:val="none"/>
        </w:rPr>
      </w:pPr>
      <w:r>
        <w:rPr>
          <w:rFonts w:hint="eastAsia" w:ascii="宋体" w:hAnsi="宋体" w:cs="宋体"/>
          <w:b/>
          <w:kern w:val="0"/>
          <w:sz w:val="28"/>
          <w:szCs w:val="28"/>
          <w:highlight w:val="none"/>
        </w:rPr>
        <w:t>生产药剂采购安全协议书</w:t>
      </w:r>
    </w:p>
    <w:p>
      <w:pPr>
        <w:spacing w:line="360" w:lineRule="auto"/>
        <w:jc w:val="center"/>
        <w:rPr>
          <w:rFonts w:ascii="宋体" w:hAnsi="宋体" w:cs="宋体"/>
          <w:bCs/>
          <w:kern w:val="0"/>
          <w:sz w:val="28"/>
          <w:szCs w:val="28"/>
          <w:highlight w:val="none"/>
        </w:rPr>
      </w:pPr>
    </w:p>
    <w:p>
      <w:pPr>
        <w:spacing w:line="360" w:lineRule="auto"/>
        <w:rPr>
          <w:rFonts w:ascii="宋体" w:hAnsi="宋体" w:cs="宋体"/>
          <w:kern w:val="0"/>
          <w:sz w:val="24"/>
          <w:highlight w:val="none"/>
        </w:rPr>
      </w:pPr>
      <w:r>
        <w:rPr>
          <w:rFonts w:hint="eastAsia" w:ascii="宋体" w:hAnsi="宋体" w:cs="宋体"/>
          <w:kern w:val="0"/>
          <w:sz w:val="24"/>
          <w:highlight w:val="none"/>
        </w:rPr>
        <w:t>甲方：</w:t>
      </w:r>
      <w:r>
        <w:rPr>
          <w:rFonts w:hint="eastAsia" w:ascii="宋体" w:hAnsi="宋体" w:cs="宋体"/>
          <w:sz w:val="24"/>
          <w:highlight w:val="none"/>
        </w:rPr>
        <w:t>广州市净水有限公司</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乙方：</w:t>
      </w:r>
    </w:p>
    <w:p>
      <w:pPr>
        <w:pStyle w:val="2"/>
      </w:pP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为促使生产药剂采购过程安全，根据《中华人民共和国安全生产法》、《生产安全事故报告和调查处理条例》和《广州市安全生产管理规定（试行）》等国家及地方有关安全生产法律法规，甲乙双方就生产药剂采购的安全事宜，</w:t>
      </w:r>
      <w:r>
        <w:rPr>
          <w:rFonts w:hint="eastAsia" w:ascii="宋体" w:hAnsi="宋体" w:cs="宋体"/>
          <w:sz w:val="24"/>
          <w:highlight w:val="none"/>
        </w:rPr>
        <w:t>经双方友好协商，达成如下协议</w:t>
      </w:r>
      <w:r>
        <w:rPr>
          <w:rFonts w:hint="eastAsia" w:ascii="宋体" w:hAnsi="宋体" w:cs="宋体"/>
          <w:kern w:val="0"/>
          <w:sz w:val="24"/>
          <w:highlight w:val="none"/>
        </w:rPr>
        <w:t>。</w:t>
      </w:r>
    </w:p>
    <w:p>
      <w:pPr>
        <w:spacing w:line="360" w:lineRule="auto"/>
        <w:ind w:firstLine="482" w:firstLineChars="200"/>
        <w:rPr>
          <w:rFonts w:ascii="宋体" w:hAnsi="宋体" w:cs="宋体"/>
          <w:b/>
          <w:kern w:val="0"/>
          <w:sz w:val="24"/>
          <w:highlight w:val="none"/>
        </w:rPr>
      </w:pPr>
      <w:r>
        <w:rPr>
          <w:rFonts w:hint="eastAsia" w:ascii="宋体" w:hAnsi="宋体" w:cs="宋体"/>
          <w:b/>
          <w:kern w:val="0"/>
          <w:sz w:val="24"/>
          <w:highlight w:val="none"/>
        </w:rPr>
        <w:t>一、甲方责任</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（一）甲方应贯彻落实国家、地方有关安全管理的法律法规和规章制度，进行生产药剂的采购。</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涉及受公安局管控危化品（易制毒、易制爆和剧毒化学品）的采购时，甲方应根据公安要求，落实备案工作，做好相关受管控化学药剂的网上申购备案。不得向未经许可从事危化品生产、经营活动的企业采购危化品。</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（三）甲方应审查乙方有关生产药剂的经营、运输的合法证照和资质条件，及相关运输车辆和人员的证件资料；涉及危化品的采购时，严格审查乙方的危化品经营许可、运输许可等资质。</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四）甲方应在其管辖区域对乙方的药剂运输、装卸的安全生产实行监督，及时纠正乙方人员违章指挥、违章驾驶、违反禁令等行为，并按照甲方的安全管理制度规定对乙方进行经济处罚；发现安全隐患，甲方应责令乙方立即整改，及时督促乙方消除事故隐患。针对非一次完成运输的项目，甲方应向乙方出具隐患整改通知，严禁乙方再犯同类问题。</w:t>
      </w:r>
    </w:p>
    <w:p>
      <w:pPr>
        <w:spacing w:line="360" w:lineRule="auto"/>
        <w:ind w:firstLine="482" w:firstLineChars="200"/>
        <w:rPr>
          <w:rFonts w:ascii="宋体" w:hAnsi="宋体" w:cs="宋体"/>
          <w:b/>
          <w:kern w:val="0"/>
          <w:sz w:val="24"/>
          <w:highlight w:val="none"/>
        </w:rPr>
      </w:pPr>
      <w:r>
        <w:rPr>
          <w:rFonts w:hint="eastAsia" w:ascii="宋体" w:hAnsi="宋体" w:cs="宋体"/>
          <w:b/>
          <w:kern w:val="0"/>
          <w:sz w:val="24"/>
          <w:highlight w:val="none"/>
        </w:rPr>
        <w:t>二、乙方责任</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（一）乙方应承诺具备所售生产药剂（尤其涉及危化品、受公安管控化学品）的许可资质，并提供相关证明材料，在药剂的销售、运输、装卸全过程须严格遵守国家及地方的法律的有关规定。</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乙方对药剂的运输、装卸过程的安全工作承担主体责任。应指定药剂安全运输责任人，负责药剂安全运输和装卸及安全教育工作，组织制订和实施药剂安全运输、装卸工作的各项管理制度和规定，同时督促检查，确保药剂的安全送运。</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（三）乙方负责明确自身岗位安全职责，将安全责任落实到人；加强教育工作，督促员工遵守安全生产规章制度；鼓励员工积极参与安全生产工作，及时发现和消除隐患。</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（四）乙方应承诺所售药剂质量符合规范要求且在有效期内，包装要完整完好，当涉及危化品时，还应向甲方提供与所售药剂相一致的技术说明书（MSDS）和安全标签。</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（五）乙方用于运输药剂的车辆、驾驶员应取得证照资质，涉及危化品时应取得相应运输资质，并自觉接受甲方的审查。乙方要建立完善安全管理基础资料台账。</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（六）乙方须加强药剂运输车辆的安全管理，严格执行车辆安全检验制度，确保车辆性能符合安全技术标准。</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（七）乙方必须严格按照国家相关规定雇佣人员，雇佣的人员必须经过体检，有岗位禁忌症的人员严禁从事相关运输岗位的工作。</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八）乙方应采取措施，加强人员管理，对需进入甲方管辖区域的人员要做好三级安全教育工作、安全技术交底和培训，严防驾驶人员在甲方管辖区内超速、超载、疲劳驾驶、违章操作等违法违章行为。一经发现，应严格按制度规定落实教育处理或罚款。</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（九）乙方人员及车辆进入甲方管辖区内应自觉遵守甲方的规章制度和有关安全规定，不得擅自进入甲方其他生产作业区域。如有违反，乙方应限期内整改；如整改仍存在问题，乙方须接受甲方的处罚。</w:t>
      </w:r>
    </w:p>
    <w:p>
      <w:pPr>
        <w:widowControl/>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（十）乙方应制定药剂运输安全操作规程，针对药剂运输特点严格按停车、装车、行驶、卸车等过程操作落实各项安全措施。</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（十一）乙方负责安全防护用品的购置和发放，严格按照药剂危害特性和安全操作规程配套劳动保护措施，督促员工必须正确佩戴使用个人劳保品。</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十二）乙方应结合实际情况，对药剂运输的全过程进行危险性源辨识，明确安全风险，制定相应安全措施，编制现场应急预案以及事故处置方案，落实应急处置、抢救、疏散等措施，并组织学习及应急演练。如在甲方管辖区内发生紧急情况时，乙方必须服从甲方的统一调度指挥。</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（十三）若发生人员、设备事故时，乙方须立即报警处理，在力所能及范围内采取补救措施，并在30分钟内将情况报告甲方。责任归属如下：</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1.乙方人员及车辆在甲方管辖区内发生的安全事故，经过调查被认定为责任方的将负全部责任。</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2.乙方人员及车辆在运输途中发生的安全事故，根据公安交警出具的事故责任认定结果，由乙方负全部或部分责任。</w:t>
      </w:r>
    </w:p>
    <w:p>
      <w:pPr>
        <w:spacing w:line="360" w:lineRule="auto"/>
        <w:ind w:left="359" w:leftChars="171" w:firstLine="289" w:firstLineChars="120"/>
        <w:rPr>
          <w:rFonts w:ascii="宋体" w:hAnsi="宋体" w:cs="宋体"/>
          <w:b/>
          <w:kern w:val="0"/>
          <w:sz w:val="24"/>
          <w:highlight w:val="none"/>
        </w:rPr>
      </w:pPr>
      <w:r>
        <w:rPr>
          <w:rFonts w:hint="eastAsia" w:ascii="宋体" w:hAnsi="宋体" w:cs="宋体"/>
          <w:b/>
          <w:kern w:val="0"/>
          <w:sz w:val="24"/>
          <w:highlight w:val="none"/>
        </w:rPr>
        <w:t>三、</w:t>
      </w:r>
      <w:r>
        <w:rPr>
          <w:rFonts w:ascii="宋体" w:hAnsi="宋体" w:cs="宋体"/>
          <w:b/>
          <w:kern w:val="0"/>
          <w:sz w:val="24"/>
          <w:highlight w:val="none"/>
        </w:rPr>
        <w:t>其他</w:t>
      </w:r>
      <w:r>
        <w:rPr>
          <w:rFonts w:hint="eastAsia" w:ascii="宋体" w:hAnsi="宋体" w:cs="宋体"/>
          <w:b/>
          <w:kern w:val="0"/>
          <w:sz w:val="24"/>
          <w:highlight w:val="none"/>
        </w:rPr>
        <w:t>事项</w:t>
      </w:r>
    </w:p>
    <w:p>
      <w:pPr>
        <w:spacing w:line="360" w:lineRule="auto"/>
        <w:ind w:left="359" w:leftChars="171" w:firstLine="288" w:firstLineChars="120"/>
        <w:rPr>
          <w:rFonts w:ascii="宋体" w:hAnsi="宋体" w:cs="宋体"/>
          <w:kern w:val="0"/>
          <w:sz w:val="24"/>
          <w:highlight w:val="none"/>
        </w:rPr>
      </w:pPr>
      <w:r>
        <w:rPr>
          <w:rFonts w:hint="eastAsia" w:ascii="宋体" w:hAnsi="宋体" w:cs="宋体"/>
          <w:kern w:val="0"/>
          <w:sz w:val="24"/>
          <w:highlight w:val="none"/>
        </w:rPr>
        <w:t>（一）</w:t>
      </w:r>
      <w:r>
        <w:rPr>
          <w:rFonts w:ascii="宋体" w:hAnsi="宋体" w:cs="宋体"/>
          <w:kern w:val="0"/>
          <w:sz w:val="24"/>
          <w:highlight w:val="none"/>
        </w:rPr>
        <w:t>本协议一式</w:t>
      </w:r>
      <w:r>
        <w:rPr>
          <w:rFonts w:hint="eastAsia" w:ascii="宋体" w:hAnsi="宋体" w:cs="宋体"/>
          <w:kern w:val="0"/>
          <w:sz w:val="24"/>
          <w:highlight w:val="none"/>
          <w:lang w:val="en-US" w:eastAsia="zh-CN"/>
        </w:rPr>
        <w:t>5</w:t>
      </w:r>
      <w:r>
        <w:rPr>
          <w:rFonts w:ascii="宋体" w:hAnsi="宋体" w:cs="宋体"/>
          <w:kern w:val="0"/>
          <w:sz w:val="24"/>
          <w:highlight w:val="none"/>
        </w:rPr>
        <w:t>份</w:t>
      </w:r>
      <w:r>
        <w:rPr>
          <w:rFonts w:hint="eastAsia" w:ascii="宋体" w:hAnsi="宋体" w:cs="宋体"/>
          <w:kern w:val="0"/>
          <w:sz w:val="24"/>
          <w:highlight w:val="none"/>
          <w:lang w:eastAsia="zh-CN"/>
        </w:rPr>
        <w:t>，</w:t>
      </w:r>
      <w:r>
        <w:rPr>
          <w:rFonts w:ascii="宋体" w:hAnsi="宋体" w:cs="宋体"/>
          <w:kern w:val="0"/>
          <w:sz w:val="24"/>
          <w:highlight w:val="none"/>
        </w:rPr>
        <w:t>甲</w:t>
      </w:r>
      <w:r>
        <w:rPr>
          <w:rFonts w:hint="eastAsia" w:ascii="宋体" w:hAnsi="宋体" w:cs="宋体"/>
          <w:kern w:val="0"/>
          <w:sz w:val="24"/>
          <w:highlight w:val="none"/>
          <w:lang w:val="en-US" w:eastAsia="zh-CN"/>
        </w:rPr>
        <w:t>方执</w:t>
      </w:r>
      <w:r>
        <w:rPr>
          <w:rFonts w:hint="eastAsia" w:ascii="宋体" w:hAnsi="宋体" w:cs="宋体"/>
          <w:kern w:val="0"/>
          <w:sz w:val="24"/>
          <w:highlight w:val="none"/>
          <w:u w:val="single"/>
          <w:lang w:val="en-US" w:eastAsia="zh-CN"/>
        </w:rPr>
        <w:t>4</w:t>
      </w:r>
      <w:r>
        <w:rPr>
          <w:rFonts w:hint="eastAsia" w:ascii="宋体" w:hAnsi="宋体" w:cs="宋体"/>
          <w:kern w:val="0"/>
          <w:sz w:val="24"/>
          <w:highlight w:val="none"/>
          <w:lang w:val="en-US" w:eastAsia="zh-CN"/>
        </w:rPr>
        <w:t>份，</w:t>
      </w:r>
      <w:r>
        <w:rPr>
          <w:rFonts w:ascii="宋体" w:hAnsi="宋体" w:cs="宋体"/>
          <w:kern w:val="0"/>
          <w:sz w:val="24"/>
          <w:highlight w:val="none"/>
        </w:rPr>
        <w:t>乙方执</w:t>
      </w:r>
      <w:r>
        <w:rPr>
          <w:rFonts w:hint="eastAsia" w:ascii="宋体" w:hAnsi="宋体" w:cs="宋体"/>
          <w:kern w:val="0"/>
          <w:sz w:val="24"/>
          <w:highlight w:val="none"/>
          <w:u w:val="single"/>
          <w:lang w:val="en-US" w:eastAsia="zh-CN"/>
        </w:rPr>
        <w:t>1</w:t>
      </w:r>
      <w:r>
        <w:rPr>
          <w:rFonts w:ascii="宋体" w:hAnsi="宋体" w:cs="宋体"/>
          <w:kern w:val="0"/>
          <w:sz w:val="24"/>
          <w:highlight w:val="none"/>
        </w:rPr>
        <w:t>份</w:t>
      </w:r>
      <w:r>
        <w:rPr>
          <w:rFonts w:hint="eastAsia" w:ascii="宋体" w:hAnsi="宋体" w:cs="宋体"/>
          <w:kern w:val="0"/>
          <w:sz w:val="24"/>
          <w:highlight w:val="none"/>
        </w:rPr>
        <w:t>，同等具有法律效力</w:t>
      </w:r>
      <w:r>
        <w:rPr>
          <w:rFonts w:ascii="宋体" w:hAnsi="宋体" w:cs="宋体"/>
          <w:kern w:val="0"/>
          <w:sz w:val="24"/>
          <w:highlight w:val="none"/>
        </w:rPr>
        <w:t>。</w:t>
      </w:r>
    </w:p>
    <w:p>
      <w:pPr>
        <w:widowControl/>
        <w:spacing w:line="360" w:lineRule="auto"/>
        <w:ind w:left="359" w:leftChars="171" w:firstLine="288" w:firstLineChars="120"/>
        <w:rPr>
          <w:rFonts w:ascii="宋体" w:hAnsi="宋体" w:cs="宋体"/>
          <w:kern w:val="0"/>
          <w:sz w:val="24"/>
          <w:highlight w:val="none"/>
        </w:rPr>
      </w:pPr>
      <w:r>
        <w:rPr>
          <w:rFonts w:hint="eastAsia" w:ascii="宋体" w:hAnsi="宋体" w:cs="宋体"/>
          <w:kern w:val="0"/>
          <w:sz w:val="24"/>
          <w:highlight w:val="none"/>
        </w:rPr>
        <w:t>（二）</w:t>
      </w:r>
      <w:r>
        <w:rPr>
          <w:rFonts w:ascii="宋体" w:hAnsi="宋体" w:cs="宋体"/>
          <w:kern w:val="0"/>
          <w:sz w:val="24"/>
          <w:highlight w:val="none"/>
        </w:rPr>
        <w:t>甲乙双方在履行</w:t>
      </w:r>
      <w:r>
        <w:rPr>
          <w:rFonts w:hint="eastAsia" w:ascii="宋体" w:hAnsi="宋体" w:cs="宋体"/>
          <w:kern w:val="0"/>
          <w:sz w:val="24"/>
          <w:highlight w:val="none"/>
        </w:rPr>
        <w:t>本</w:t>
      </w:r>
      <w:r>
        <w:rPr>
          <w:rFonts w:ascii="宋体" w:hAnsi="宋体" w:cs="宋体"/>
          <w:kern w:val="0"/>
          <w:sz w:val="24"/>
          <w:highlight w:val="none"/>
        </w:rPr>
        <w:t>协议的过程中如发生争议，协商不成的，可依法向</w:t>
      </w:r>
      <w:r>
        <w:rPr>
          <w:rFonts w:hint="eastAsia" w:ascii="宋体" w:hAnsi="宋体" w:cs="宋体"/>
          <w:kern w:val="0"/>
          <w:sz w:val="24"/>
          <w:highlight w:val="none"/>
        </w:rPr>
        <w:t>甲方</w:t>
      </w:r>
      <w:r>
        <w:rPr>
          <w:rFonts w:ascii="宋体" w:hAnsi="宋体" w:cs="宋体"/>
          <w:kern w:val="0"/>
          <w:sz w:val="24"/>
          <w:highlight w:val="none"/>
        </w:rPr>
        <w:t>所在地人民法院提起诉讼。</w:t>
      </w:r>
    </w:p>
    <w:p>
      <w:pPr>
        <w:spacing w:line="360" w:lineRule="auto"/>
        <w:ind w:left="359" w:leftChars="171" w:firstLine="288" w:firstLineChars="120"/>
        <w:rPr>
          <w:rFonts w:ascii="宋体" w:hAnsi="宋体" w:cs="宋体"/>
          <w:kern w:val="0"/>
          <w:sz w:val="24"/>
          <w:highlight w:val="none"/>
        </w:rPr>
      </w:pPr>
      <w:r>
        <w:rPr>
          <w:rFonts w:hint="eastAsia" w:ascii="宋体" w:hAnsi="宋体" w:cs="宋体"/>
          <w:kern w:val="0"/>
          <w:sz w:val="24"/>
          <w:highlight w:val="none"/>
        </w:rPr>
        <w:t>（三）</w:t>
      </w:r>
      <w:r>
        <w:rPr>
          <w:rFonts w:ascii="宋体" w:hAnsi="宋体" w:cs="宋体"/>
          <w:kern w:val="0"/>
          <w:sz w:val="24"/>
          <w:highlight w:val="none"/>
        </w:rPr>
        <w:t>本协议未尽事宜，双方另行协商解决。</w:t>
      </w:r>
    </w:p>
    <w:p>
      <w:pPr>
        <w:spacing w:line="360" w:lineRule="auto"/>
        <w:ind w:left="359" w:leftChars="171" w:firstLine="288" w:firstLineChars="120"/>
        <w:rPr>
          <w:rFonts w:ascii="宋体" w:hAnsi="宋体" w:cs="宋体"/>
          <w:kern w:val="0"/>
          <w:sz w:val="24"/>
          <w:highlight w:val="none"/>
        </w:rPr>
      </w:pPr>
    </w:p>
    <w:p>
      <w:pPr>
        <w:spacing w:line="360" w:lineRule="auto"/>
        <w:ind w:left="5490" w:leftChars="100" w:hanging="5280" w:hangingChars="2200"/>
        <w:rPr>
          <w:rFonts w:ascii="宋体" w:hAnsi="宋体" w:cs="宋体"/>
          <w:kern w:val="0"/>
          <w:sz w:val="24"/>
          <w:highlight w:val="none"/>
        </w:rPr>
      </w:pPr>
      <w:r>
        <w:rPr>
          <w:rFonts w:ascii="宋体" w:hAnsi="宋体" w:cs="宋体"/>
          <w:kern w:val="0"/>
          <w:sz w:val="24"/>
          <w:highlight w:val="none"/>
        </w:rPr>
        <w:t>甲方：</w:t>
      </w:r>
      <w:r>
        <w:rPr>
          <w:rFonts w:hint="eastAsia" w:ascii="宋体" w:hAnsi="宋体" w:cs="宋体"/>
          <w:sz w:val="24"/>
          <w:highlight w:val="none"/>
        </w:rPr>
        <w:t>广州市净水有限公司</w:t>
      </w:r>
      <w:r>
        <w:rPr>
          <w:rFonts w:hint="eastAsia" w:ascii="宋体" w:hAnsi="宋体" w:cs="宋体"/>
          <w:kern w:val="0"/>
          <w:sz w:val="24"/>
          <w:highlight w:val="none"/>
        </w:rPr>
        <w:t xml:space="preserve">　              </w:t>
      </w:r>
      <w:r>
        <w:rPr>
          <w:rFonts w:ascii="宋体" w:hAnsi="宋体" w:cs="宋体"/>
          <w:kern w:val="0"/>
          <w:sz w:val="24"/>
          <w:highlight w:val="none"/>
        </w:rPr>
        <w:t>乙方：</w:t>
      </w:r>
    </w:p>
    <w:p>
      <w:pPr>
        <w:widowControl/>
        <w:spacing w:line="360" w:lineRule="auto"/>
        <w:ind w:firstLine="240" w:firstLineChars="100"/>
        <w:jc w:val="left"/>
        <w:rPr>
          <w:rFonts w:ascii="宋体" w:hAnsi="宋体" w:cs="宋体"/>
          <w:kern w:val="0"/>
          <w:sz w:val="24"/>
          <w:highlight w:val="none"/>
        </w:rPr>
      </w:pPr>
      <w:r>
        <w:rPr>
          <w:rFonts w:ascii="宋体" w:hAnsi="宋体" w:cs="宋体"/>
          <w:kern w:val="0"/>
          <w:sz w:val="24"/>
          <w:highlight w:val="none"/>
        </w:rPr>
        <w:t xml:space="preserve">法定代表人 ：                   </w:t>
      </w:r>
      <w:r>
        <w:rPr>
          <w:rFonts w:hint="eastAsia" w:ascii="宋体" w:hAnsi="宋体" w:cs="宋体"/>
          <w:kern w:val="0"/>
          <w:sz w:val="24"/>
          <w:highlight w:val="none"/>
        </w:rPr>
        <w:t xml:space="preserve">　      </w:t>
      </w:r>
      <w:r>
        <w:rPr>
          <w:rFonts w:ascii="宋体" w:hAnsi="宋体" w:cs="宋体"/>
          <w:kern w:val="0"/>
          <w:sz w:val="24"/>
          <w:highlight w:val="none"/>
        </w:rPr>
        <w:t>法定代表人：</w:t>
      </w:r>
    </w:p>
    <w:p>
      <w:pPr>
        <w:widowControl/>
        <w:spacing w:line="360" w:lineRule="auto"/>
        <w:ind w:firstLine="240" w:firstLineChars="100"/>
        <w:jc w:val="left"/>
        <w:rPr>
          <w:rFonts w:ascii="宋体" w:hAnsi="宋体" w:cs="宋体"/>
          <w:kern w:val="0"/>
          <w:sz w:val="24"/>
          <w:highlight w:val="none"/>
        </w:rPr>
      </w:pPr>
      <w:r>
        <w:rPr>
          <w:rFonts w:ascii="宋体" w:hAnsi="宋体" w:cs="宋体"/>
          <w:kern w:val="0"/>
          <w:sz w:val="24"/>
          <w:highlight w:val="none"/>
        </w:rPr>
        <w:t>地址：</w:t>
      </w:r>
      <w:r>
        <w:rPr>
          <w:rFonts w:hint="eastAsia" w:ascii="宋体" w:hAnsi="宋体" w:cs="宋体"/>
          <w:sz w:val="24"/>
          <w:highlight w:val="none"/>
        </w:rPr>
        <w:t>广州市</w:t>
      </w:r>
      <w:r>
        <w:rPr>
          <w:rFonts w:hint="eastAsia" w:ascii="宋体" w:hAnsi="宋体" w:cs="宋体"/>
          <w:sz w:val="24"/>
          <w:highlight w:val="none"/>
          <w:lang w:val="en-US" w:eastAsia="zh-CN"/>
        </w:rPr>
        <w:t>天河区</w:t>
      </w:r>
      <w:r>
        <w:rPr>
          <w:rFonts w:hint="eastAsia" w:ascii="宋体" w:hAnsi="宋体" w:cs="宋体"/>
          <w:sz w:val="24"/>
          <w:highlight w:val="none"/>
        </w:rPr>
        <w:t>临江大道501号</w:t>
      </w:r>
      <w:r>
        <w:rPr>
          <w:rFonts w:hint="eastAsia" w:ascii="宋体" w:hAnsi="宋体" w:cs="宋体"/>
          <w:kern w:val="0"/>
          <w:sz w:val="24"/>
          <w:highlight w:val="none"/>
        </w:rPr>
        <w:t xml:space="preserve">    　  </w:t>
      </w:r>
      <w:r>
        <w:rPr>
          <w:rFonts w:ascii="宋体" w:hAnsi="宋体" w:cs="宋体"/>
          <w:kern w:val="0"/>
          <w:sz w:val="24"/>
          <w:highlight w:val="none"/>
        </w:rPr>
        <w:t>地址：</w:t>
      </w:r>
    </w:p>
    <w:p>
      <w:pPr>
        <w:widowControl/>
        <w:spacing w:line="360" w:lineRule="auto"/>
        <w:ind w:firstLine="240" w:firstLineChars="100"/>
        <w:jc w:val="left"/>
        <w:rPr>
          <w:rFonts w:ascii="宋体" w:hAnsi="宋体" w:cs="宋体"/>
          <w:kern w:val="0"/>
          <w:sz w:val="24"/>
          <w:highlight w:val="none"/>
        </w:rPr>
      </w:pPr>
      <w:r>
        <w:rPr>
          <w:rFonts w:ascii="宋体" w:hAnsi="宋体" w:cs="宋体"/>
          <w:kern w:val="0"/>
          <w:sz w:val="24"/>
          <w:highlight w:val="none"/>
        </w:rPr>
        <w:t xml:space="preserve">电话：                          </w:t>
      </w:r>
      <w:r>
        <w:rPr>
          <w:rFonts w:hint="eastAsia" w:ascii="宋体" w:hAnsi="宋体" w:cs="宋体"/>
          <w:kern w:val="0"/>
          <w:sz w:val="24"/>
          <w:highlight w:val="none"/>
        </w:rPr>
        <w:t xml:space="preserve"> 　     </w:t>
      </w:r>
      <w:r>
        <w:rPr>
          <w:rFonts w:ascii="宋体" w:hAnsi="宋体" w:cs="宋体"/>
          <w:kern w:val="0"/>
          <w:sz w:val="24"/>
          <w:highlight w:val="none"/>
        </w:rPr>
        <w:t>电话：</w:t>
      </w:r>
    </w:p>
    <w:p>
      <w:pPr>
        <w:widowControl/>
        <w:spacing w:line="360" w:lineRule="auto"/>
        <w:ind w:firstLine="1560" w:firstLineChars="650"/>
        <w:jc w:val="left"/>
        <w:rPr>
          <w:rFonts w:ascii="宋体" w:hAnsi="宋体" w:cs="宋体"/>
          <w:kern w:val="0"/>
          <w:sz w:val="24"/>
          <w:highlight w:val="none"/>
        </w:rPr>
      </w:pPr>
      <w:r>
        <w:rPr>
          <w:rFonts w:ascii="宋体" w:hAnsi="宋体" w:cs="宋体"/>
          <w:kern w:val="0"/>
          <w:sz w:val="24"/>
          <w:highlight w:val="none"/>
        </w:rPr>
        <w:t xml:space="preserve">年  月   日  </w:t>
      </w:r>
      <w:r>
        <w:rPr>
          <w:rFonts w:ascii="宋体" w:hAnsi="宋体" w:cs="宋体"/>
          <w:kern w:val="0"/>
          <w:sz w:val="24"/>
          <w:highlight w:val="none"/>
        </w:rPr>
        <w:tab/>
      </w:r>
      <w:r>
        <w:rPr>
          <w:rFonts w:hint="eastAsia" w:ascii="宋体" w:hAnsi="宋体" w:cs="宋体"/>
          <w:kern w:val="0"/>
          <w:sz w:val="24"/>
          <w:highlight w:val="none"/>
        </w:rPr>
        <w:t xml:space="preserve">                      </w:t>
      </w:r>
    </w:p>
    <w:p>
      <w:pPr>
        <w:widowControl/>
        <w:spacing w:line="360" w:lineRule="auto"/>
        <w:ind w:firstLine="2520" w:firstLineChars="1050"/>
        <w:jc w:val="left"/>
        <w:rPr>
          <w:rFonts w:ascii="宋体" w:hAnsi="宋体" w:cs="宋体"/>
          <w:kern w:val="0"/>
          <w:sz w:val="24"/>
          <w:highlight w:val="none"/>
        </w:rPr>
      </w:pPr>
    </w:p>
    <w:p>
      <w:pPr>
        <w:rPr>
          <w:rFonts w:ascii="宋体" w:hAnsi="宋体" w:cs="宋体"/>
          <w:sz w:val="24"/>
          <w:highlight w:val="none"/>
        </w:rPr>
      </w:pPr>
    </w:p>
    <w:p>
      <w:pPr>
        <w:ind w:right="-80"/>
        <w:rPr>
          <w:rFonts w:ascii="宋体" w:hAnsi="宋体" w:cs="宋体"/>
          <w:b/>
          <w:sz w:val="24"/>
          <w:highlight w:val="none"/>
        </w:rPr>
      </w:pPr>
    </w:p>
    <w:p>
      <w:pPr>
        <w:ind w:right="-80"/>
        <w:rPr>
          <w:rFonts w:ascii="宋体" w:hAnsi="宋体" w:cs="宋体"/>
          <w:b/>
          <w:sz w:val="24"/>
          <w:highlight w:val="none"/>
        </w:rPr>
      </w:pPr>
    </w:p>
    <w:p>
      <w:pPr>
        <w:ind w:right="-80"/>
        <w:rPr>
          <w:rFonts w:ascii="宋体" w:hAnsi="宋体" w:cs="宋体"/>
          <w:b/>
          <w:sz w:val="24"/>
          <w:highlight w:val="none"/>
        </w:rPr>
      </w:pPr>
    </w:p>
    <w:p>
      <w:pPr>
        <w:ind w:right="-80"/>
        <w:rPr>
          <w:rFonts w:ascii="宋体" w:hAnsi="宋体" w:cs="宋体"/>
          <w:b/>
          <w:szCs w:val="21"/>
          <w:highlight w:val="none"/>
        </w:rPr>
      </w:pPr>
      <w:r>
        <w:rPr>
          <w:rFonts w:hint="eastAsia" w:ascii="宋体" w:hAnsi="宋体" w:cs="宋体"/>
          <w:b/>
          <w:szCs w:val="21"/>
          <w:highlight w:val="none"/>
        </w:rPr>
        <w:t>附件3：廉洁协议书（格式）</w:t>
      </w:r>
    </w:p>
    <w:p>
      <w:pPr>
        <w:ind w:right="-80"/>
        <w:rPr>
          <w:rFonts w:ascii="宋体" w:hAnsi="宋体" w:cs="宋体"/>
          <w:b/>
          <w:szCs w:val="21"/>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3"/>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5</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1</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26"/>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签约代表：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宋体" w:hAnsi="宋体" w:cs="宋体" w:eastAsiaTheme="minorEastAsia"/>
          <w:b/>
          <w:bCs w:val="0"/>
          <w:color w:val="auto"/>
          <w:sz w:val="21"/>
          <w:szCs w:val="21"/>
          <w:highlight w:val="none"/>
          <w:lang w:val="en-US" w:eastAsia="zh-CN"/>
        </w:rPr>
        <w:t>附件6：报价清单（详见响应文件报价清单）</w:t>
      </w:r>
      <w:r>
        <w:rPr>
          <w:rFonts w:hint="eastAsia" w:ascii="仿宋_GB2312" w:hAnsi="仿宋_GB2312" w:eastAsia="仿宋_GB2312" w:cs="仿宋_GB2312"/>
          <w:b w:val="0"/>
          <w:bCs/>
          <w:color w:val="auto"/>
          <w:sz w:val="28"/>
          <w:szCs w:val="28"/>
          <w:highlight w:val="none"/>
        </w:rPr>
        <w:tab/>
      </w:r>
    </w:p>
    <w:p>
      <w:pPr>
        <w:ind w:right="-80"/>
        <w:rPr>
          <w:rFonts w:ascii="宋体" w:hAnsi="宋体" w:cs="宋体"/>
          <w:b/>
          <w:szCs w:val="21"/>
          <w:highlight w:val="none"/>
        </w:rPr>
      </w:pPr>
      <w:r>
        <w:rPr>
          <w:rFonts w:hint="eastAsia" w:ascii="宋体" w:hAnsi="宋体" w:cs="宋体"/>
          <w:b/>
          <w:szCs w:val="21"/>
          <w:highlight w:val="none"/>
        </w:rPr>
        <w:t>附件</w:t>
      </w:r>
      <w:r>
        <w:rPr>
          <w:rFonts w:hint="eastAsia" w:ascii="宋体" w:hAnsi="宋体" w:cs="宋体"/>
          <w:b/>
          <w:szCs w:val="21"/>
          <w:highlight w:val="none"/>
          <w:lang w:val="en-US" w:eastAsia="zh-CN"/>
        </w:rPr>
        <w:t>7</w:t>
      </w:r>
      <w:r>
        <w:rPr>
          <w:rFonts w:hint="eastAsia" w:ascii="宋体" w:hAnsi="宋体" w:cs="宋体"/>
          <w:b/>
          <w:szCs w:val="21"/>
          <w:highlight w:val="none"/>
        </w:rPr>
        <w:t>：履约保函（模板）</w:t>
      </w:r>
    </w:p>
    <w:p>
      <w:pPr>
        <w:spacing w:line="360" w:lineRule="auto"/>
        <w:rPr>
          <w:rFonts w:ascii="宋体" w:hAnsi="宋体"/>
          <w:sz w:val="44"/>
          <w:highlight w:val="none"/>
        </w:rPr>
      </w:pPr>
    </w:p>
    <w:p>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履约保函模板</w:t>
      </w:r>
    </w:p>
    <w:p>
      <w:pPr>
        <w:rPr>
          <w:rFonts w:asciiTheme="minorEastAsia" w:hAnsiTheme="minorEastAsia" w:eastAsiaTheme="minorEastAsia"/>
          <w:sz w:val="24"/>
          <w:highlight w:val="none"/>
        </w:rPr>
      </w:pPr>
    </w:p>
    <w:p>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致：</w:t>
      </w:r>
      <w:r>
        <w:rPr>
          <w:rFonts w:hint="eastAsia" w:asciiTheme="minorEastAsia" w:hAnsiTheme="minorEastAsia" w:eastAsiaTheme="minorEastAsia"/>
          <w:sz w:val="24"/>
          <w:highlight w:val="none"/>
          <w:u w:val="single"/>
        </w:rPr>
        <w:t xml:space="preserve">               （受益人）</w:t>
      </w:r>
      <w:r>
        <w:rPr>
          <w:rFonts w:asciiTheme="minorEastAsia" w:hAnsiTheme="minorEastAsia" w:eastAsiaTheme="minorEastAsia"/>
          <w:sz w:val="24"/>
          <w:highlight w:val="none"/>
        </w:rPr>
        <w:br w:type="textWrapping"/>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鉴于</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（以下简称“委托人”）与贵方于</w:t>
      </w:r>
      <w:r>
        <w:rPr>
          <w:rFonts w:hint="eastAsia" w:asciiTheme="minorEastAsia" w:hAnsiTheme="minorEastAsia" w:eastAsiaTheme="minorEastAsia"/>
          <w:sz w:val="24"/>
          <w:highlight w:val="none"/>
          <w:u w:val="single"/>
        </w:rPr>
        <w:t xml:space="preserve">   年  月  日</w:t>
      </w:r>
      <w:r>
        <w:rPr>
          <w:rFonts w:hint="eastAsia" w:asciiTheme="minorEastAsia" w:hAnsiTheme="minorEastAsia" w:eastAsiaTheme="minorEastAsia"/>
          <w:sz w:val="24"/>
          <w:highlight w:val="none"/>
        </w:rPr>
        <w:t>签订了</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一、我行保证在收到贵单位于保函有效期内送达的依本保函约定的索赔申请后，在个</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工作日内无条件和不可改变地向贵单位支付最高金额不超过人民币元</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（大写：</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 xml:space="preserve"> ）的履约保证金，并放弃向你方提出任何异议和追索的权利。</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二、贵单位的索赔申请应符合下述条件：</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（一）贵单位法定代表人或其授权代表签字并加盖单位公章；</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（二）在保函有效期内送达我行；</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（三）明确的索赔金额（不得超过本保函第一条所列之限额）。</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三、本保函自签发之日起生效，有效期至</w:t>
      </w:r>
      <w:r>
        <w:rPr>
          <w:rFonts w:hint="eastAsia" w:asciiTheme="minorEastAsia" w:hAnsiTheme="minorEastAsia" w:eastAsiaTheme="minorEastAsia"/>
          <w:sz w:val="24"/>
          <w:highlight w:val="none"/>
          <w:u w:val="single"/>
        </w:rPr>
        <w:t xml:space="preserve">  年  月  日</w:t>
      </w:r>
      <w:r>
        <w:rPr>
          <w:rFonts w:hint="eastAsia" w:asciiTheme="minorEastAsia" w:hAnsiTheme="minorEastAsia" w:eastAsiaTheme="minorEastAsia"/>
          <w:sz w:val="24"/>
          <w:highlight w:val="none"/>
        </w:rPr>
        <w:t>。本保函于下述任一事项发生之时立即失效，我行在本保函项下的保证义务即刻解除：</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（一）本保函有效期限届满；</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（二）我行保证的义务履行完毕。</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五、我行向你方支付索赔金额后，本保函担保金额即按贵方通知的索赔金额予以递减。</w:t>
      </w:r>
    </w:p>
    <w:p>
      <w:pPr>
        <w:ind w:firstLine="42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六、保函失效后请将保函退回我行注销，无论正本最终退回与否，不影响本保函依上述约定自动失效。</w:t>
      </w:r>
    </w:p>
    <w:p>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落款</w:t>
      </w:r>
    </w:p>
    <w:p>
      <w:pPr>
        <w:ind w:firstLine="420"/>
        <w:rPr>
          <w:rFonts w:asciiTheme="minorEastAsia" w:hAnsiTheme="minorEastAsia" w:eastAsiaTheme="minorEastAsia"/>
          <w:sz w:val="24"/>
          <w:highlight w:val="none"/>
        </w:rPr>
      </w:pPr>
    </w:p>
    <w:p>
      <w:pPr>
        <w:ind w:firstLine="64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保函说明：</w:t>
      </w:r>
    </w:p>
    <w:p>
      <w:pPr>
        <w:ind w:firstLine="645"/>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保函不得有下列或类似含义的表述：</w:t>
      </w:r>
    </w:p>
    <w:p>
      <w:pPr>
        <w:ind w:firstLine="645"/>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1.银行承担的为连带责任保证、一般保证。</w:t>
      </w:r>
    </w:p>
    <w:p>
      <w:pPr>
        <w:ind w:firstLine="645"/>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2.未经银行书面同意，受益人与申请人修改合同或其项下附件时，银行的保证义务解除。</w:t>
      </w:r>
    </w:p>
    <w:p>
      <w:pPr>
        <w:ind w:firstLine="645"/>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3.合同撤销或无效的，保函失效。</w:t>
      </w:r>
    </w:p>
    <w:p>
      <w:pPr>
        <w:ind w:firstLine="645"/>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4.申请人对受益人的抗辩，银行有权向受益人主张。</w:t>
      </w:r>
    </w:p>
    <w:p>
      <w:pPr>
        <w:ind w:firstLine="645"/>
        <w:rPr>
          <w:rFonts w:hint="eastAsia"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5.受益人请求付款的请款单据包含法院裁判文书、仲裁裁决、第三方单位出具的鉴定书等申请人违约的证明材料。</w:t>
      </w:r>
    </w:p>
    <w:p>
      <w:pPr>
        <w:pStyle w:val="23"/>
      </w:pPr>
    </w:p>
    <w:p>
      <w:pPr>
        <w:jc w:val="center"/>
        <w:rPr>
          <w:rFonts w:asciiTheme="minorEastAsia" w:hAnsiTheme="minorEastAsia" w:eastAsiaTheme="minorEastAsia"/>
          <w:sz w:val="24"/>
          <w:highlight w:val="none"/>
        </w:rPr>
      </w:pPr>
    </w:p>
    <w:p>
      <w:pPr>
        <w:adjustRightInd/>
        <w:snapToGrid/>
        <w:spacing w:beforeLines="-2147483648" w:afterLines="-2147483648" w:line="240" w:lineRule="auto"/>
        <w:jc w:val="left"/>
        <w:rPr>
          <w:rFonts w:ascii="方正小标宋简体" w:eastAsia="方正小标宋简体"/>
          <w:color w:val="auto"/>
          <w:sz w:val="44"/>
          <w:szCs w:val="44"/>
          <w:highlight w:val="none"/>
        </w:rPr>
      </w:pPr>
      <w:r>
        <w:br w:type="page"/>
      </w: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87" w:name="_Toc12169"/>
      <w:bookmarkStart w:id="88" w:name="_Toc8147"/>
      <w:bookmarkStart w:id="89" w:name="_Toc23515"/>
      <w:bookmarkStart w:id="90" w:name="_Toc6230"/>
      <w:bookmarkStart w:id="91" w:name="_Toc28358"/>
      <w:bookmarkStart w:id="92" w:name="_Toc30824"/>
      <w:bookmarkStart w:id="93" w:name="_Toc5129"/>
      <w:bookmarkStart w:id="94" w:name="_Toc3723"/>
      <w:bookmarkStart w:id="95" w:name="_Toc21847"/>
      <w:bookmarkStart w:id="96" w:name="_Toc1563"/>
      <w:bookmarkStart w:id="97" w:name="_Toc16552"/>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NSCJlv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8" name="直接箭头连接符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dpxSzf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25"/>
        <w:rPr>
          <w:color w:val="auto"/>
          <w:highlight w:val="none"/>
        </w:rPr>
      </w:pPr>
    </w:p>
    <w:p>
      <w:pPr>
        <w:pStyle w:val="4"/>
        <w:rPr>
          <w:color w:val="auto"/>
          <w:highlight w:val="none"/>
        </w:rPr>
      </w:pPr>
      <w:bookmarkStart w:id="98" w:name="_Toc12769"/>
      <w:bookmarkStart w:id="99" w:name="_Toc24815"/>
      <w:bookmarkStart w:id="100" w:name="_Toc22764"/>
      <w:bookmarkStart w:id="101" w:name="_Toc87616388"/>
      <w:bookmarkStart w:id="102" w:name="_Toc24490"/>
      <w:bookmarkStart w:id="103" w:name="_Toc21675"/>
      <w:bookmarkStart w:id="104" w:name="_Toc10840"/>
      <w:bookmarkStart w:id="105" w:name="_Toc88209951"/>
      <w:bookmarkStart w:id="106" w:name="_Toc5342"/>
      <w:bookmarkStart w:id="107" w:name="_Toc31564"/>
      <w:bookmarkStart w:id="108" w:name="_Toc12610"/>
      <w:bookmarkStart w:id="109" w:name="_Toc30157"/>
      <w:bookmarkStart w:id="110" w:name="_Toc17119"/>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1" w:name="_Toc87616389"/>
      <w:bookmarkStart w:id="112" w:name="_Toc88209952"/>
      <w:r>
        <w:rPr>
          <w:rFonts w:hint="eastAsia" w:ascii="仿宋_GB2312" w:eastAsia="仿宋_GB2312"/>
          <w:color w:val="auto"/>
          <w:sz w:val="28"/>
          <w:szCs w:val="28"/>
          <w:highlight w:val="none"/>
        </w:rPr>
        <w:t>1.响应函</w:t>
      </w:r>
      <w:bookmarkEnd w:id="111"/>
      <w:bookmarkEnd w:id="112"/>
    </w:p>
    <w:p>
      <w:pPr>
        <w:spacing w:line="600" w:lineRule="exact"/>
        <w:rPr>
          <w:rFonts w:hint="eastAsia" w:ascii="仿宋_GB2312" w:eastAsia="仿宋_GB2312"/>
          <w:color w:val="auto"/>
          <w:sz w:val="28"/>
          <w:szCs w:val="28"/>
          <w:highlight w:val="none"/>
        </w:rPr>
      </w:pPr>
      <w:bookmarkStart w:id="113" w:name="_Toc88209953"/>
      <w:bookmarkStart w:id="114" w:name="_Toc87616390"/>
      <w:r>
        <w:rPr>
          <w:rFonts w:hint="eastAsia" w:ascii="仿宋_GB2312" w:eastAsia="仿宋_GB2312"/>
          <w:color w:val="auto"/>
          <w:sz w:val="28"/>
          <w:szCs w:val="28"/>
          <w:highlight w:val="none"/>
        </w:rPr>
        <w:t>2.法定代表人证明或授权委托书</w:t>
      </w:r>
      <w:bookmarkEnd w:id="113"/>
      <w:bookmarkEnd w:id="114"/>
      <w:bookmarkStart w:id="115" w:name="_Toc87616393"/>
      <w:bookmarkStart w:id="116"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7" w:name="_Toc28619645"/>
      <w:bookmarkStart w:id="118" w:name="_Toc12665"/>
      <w:bookmarkStart w:id="119" w:name="_Toc88209957"/>
      <w:bookmarkStart w:id="120" w:name="_Toc6313"/>
      <w:bookmarkStart w:id="121" w:name="_Toc87616394"/>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2" w:name="_Toc29833"/>
      <w:bookmarkStart w:id="123" w:name="_Toc22527"/>
      <w:bookmarkStart w:id="124" w:name="_Toc87616395"/>
      <w:bookmarkStart w:id="125"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1"/>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1"/>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2"/>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1"/>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1"/>
        <w:snapToGrid w:val="0"/>
        <w:spacing w:line="600" w:lineRule="exact"/>
        <w:ind w:firstLine="3907" w:firstLineChars="1221"/>
        <w:rPr>
          <w:rFonts w:ascii="仿宋_GB2312" w:hAnsi="宋体" w:eastAsia="仿宋_GB2312" w:cs="Times New Roman"/>
          <w:color w:val="auto"/>
          <w:sz w:val="32"/>
          <w:szCs w:val="32"/>
          <w:highlight w:val="none"/>
        </w:rPr>
      </w:pPr>
    </w:p>
    <w:p>
      <w:pPr>
        <w:pStyle w:val="11"/>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Ni3UM1JAgAAmA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2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1"/>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1"/>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1"/>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eqxfOSQIAAJY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6" w:name="_Toc19830"/>
      <w:bookmarkStart w:id="127" w:name="_Toc87616400"/>
      <w:bookmarkStart w:id="128" w:name="_Toc88209963"/>
      <w:bookmarkStart w:id="129"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0"/>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0"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广州市净水有限公司202</w:t>
      </w:r>
      <w:r>
        <w:rPr>
          <w:rFonts w:hint="eastAsia" w:ascii="宋体" w:hAnsi="宋体" w:eastAsia="宋体" w:cs="宋体"/>
          <w:color w:val="auto"/>
          <w:kern w:val="2"/>
          <w:sz w:val="24"/>
          <w:szCs w:val="24"/>
          <w:highlight w:val="none"/>
          <w:u w:val="single"/>
          <w:lang w:val="en-US" w:eastAsia="zh-CN"/>
        </w:rPr>
        <w:t>3</w:t>
      </w:r>
      <w:r>
        <w:rPr>
          <w:rFonts w:hint="eastAsia" w:ascii="宋体" w:hAnsi="宋体" w:eastAsia="宋体" w:cs="宋体"/>
          <w:color w:val="auto"/>
          <w:kern w:val="2"/>
          <w:sz w:val="24"/>
          <w:szCs w:val="24"/>
          <w:highlight w:val="none"/>
          <w:u w:val="single"/>
          <w:lang w:val="en-GB" w:eastAsia="zh-CN"/>
        </w:rPr>
        <w:t>年</w:t>
      </w:r>
      <w:r>
        <w:rPr>
          <w:rFonts w:hint="eastAsia" w:ascii="宋体" w:hAnsi="宋体" w:eastAsia="宋体" w:cs="宋体"/>
          <w:color w:val="auto"/>
          <w:kern w:val="2"/>
          <w:sz w:val="24"/>
          <w:szCs w:val="24"/>
          <w:highlight w:val="none"/>
          <w:u w:val="single"/>
          <w:lang w:val="en-US" w:eastAsia="zh-CN"/>
        </w:rPr>
        <w:t>草酸</w:t>
      </w:r>
      <w:r>
        <w:rPr>
          <w:rFonts w:hint="eastAsia" w:ascii="宋体" w:hAnsi="宋体" w:eastAsia="宋体" w:cs="宋体"/>
          <w:color w:val="auto"/>
          <w:kern w:val="2"/>
          <w:sz w:val="24"/>
          <w:szCs w:val="24"/>
          <w:highlight w:val="none"/>
          <w:u w:val="single"/>
          <w:lang w:val="en-GB" w:eastAsia="zh-CN"/>
        </w:rPr>
        <w:t>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19"/>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hint="eastAsia" w:asciiTheme="minorEastAsia" w:hAnsiTheme="minorEastAsia" w:eastAsiaTheme="minorEastAsia"/>
          <w:color w:val="auto"/>
          <w:sz w:val="28"/>
          <w:szCs w:val="28"/>
          <w:highlight w:val="none"/>
          <w:lang w:eastAsia="zh-CN"/>
        </w:rPr>
      </w:pPr>
      <w:bookmarkStart w:id="131" w:name="_Toc19423"/>
      <w:bookmarkStart w:id="132"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1"/>
      <w:bookmarkEnd w:id="132"/>
    </w:p>
    <w:tbl>
      <w:tblPr>
        <w:tblStyle w:val="19"/>
        <w:tblpPr w:leftFromText="180" w:rightFromText="180" w:vertAnchor="text" w:horzAnchor="page" w:tblpXSpec="center" w:tblpY="631"/>
        <w:tblOverlap w:val="never"/>
        <w:tblW w:w="9436" w:type="dxa"/>
        <w:jc w:val="center"/>
        <w:tblLayout w:type="fixed"/>
        <w:tblCellMar>
          <w:top w:w="0" w:type="dxa"/>
          <w:left w:w="108" w:type="dxa"/>
          <w:bottom w:w="0" w:type="dxa"/>
          <w:right w:w="108" w:type="dxa"/>
        </w:tblCellMar>
      </w:tblPr>
      <w:tblGrid>
        <w:gridCol w:w="472"/>
        <w:gridCol w:w="906"/>
        <w:gridCol w:w="638"/>
        <w:gridCol w:w="881"/>
        <w:gridCol w:w="696"/>
        <w:gridCol w:w="746"/>
        <w:gridCol w:w="920"/>
        <w:gridCol w:w="804"/>
        <w:gridCol w:w="856"/>
        <w:gridCol w:w="1302"/>
        <w:gridCol w:w="1215"/>
      </w:tblGrid>
      <w:tr>
        <w:tblPrEx>
          <w:tblCellMar>
            <w:top w:w="0" w:type="dxa"/>
            <w:left w:w="108" w:type="dxa"/>
            <w:bottom w:w="0" w:type="dxa"/>
            <w:right w:w="108" w:type="dxa"/>
          </w:tblCellMar>
        </w:tblPrEx>
        <w:trPr>
          <w:trHeight w:val="492" w:hRule="atLeast"/>
          <w:jc w:val="center"/>
        </w:trPr>
        <w:tc>
          <w:tcPr>
            <w:tcW w:w="472"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序号</w:t>
            </w:r>
          </w:p>
        </w:tc>
        <w:tc>
          <w:tcPr>
            <w:tcW w:w="90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名称</w:t>
            </w:r>
          </w:p>
        </w:tc>
        <w:tc>
          <w:tcPr>
            <w:tcW w:w="638"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型号</w:t>
            </w:r>
          </w:p>
        </w:tc>
        <w:tc>
          <w:tcPr>
            <w:tcW w:w="881"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规格</w:t>
            </w:r>
          </w:p>
        </w:tc>
        <w:tc>
          <w:tcPr>
            <w:tcW w:w="69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数量（</w:t>
            </w:r>
            <w:r>
              <w:rPr>
                <w:rFonts w:hint="eastAsia" w:ascii="宋体" w:hAnsi="宋体" w:cs="宋体"/>
                <w:b/>
                <w:bCs/>
                <w:kern w:val="0"/>
                <w:sz w:val="24"/>
                <w:lang w:val="en-US" w:eastAsia="zh-CN"/>
              </w:rPr>
              <w:t>吨</w:t>
            </w:r>
            <w:r>
              <w:rPr>
                <w:rFonts w:hint="eastAsia" w:ascii="宋体" w:hAnsi="宋体" w:cs="宋体"/>
                <w:b/>
                <w:bCs/>
                <w:kern w:val="0"/>
                <w:sz w:val="24"/>
                <w:lang w:val="zh-CN"/>
              </w:rPr>
              <w:t>）</w:t>
            </w:r>
          </w:p>
        </w:tc>
        <w:tc>
          <w:tcPr>
            <w:tcW w:w="1666"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单价（</w:t>
            </w:r>
            <w:r>
              <w:rPr>
                <w:rFonts w:hint="eastAsia" w:ascii="宋体" w:hAnsi="宋体" w:cs="宋体"/>
                <w:b/>
                <w:bCs/>
                <w:kern w:val="0"/>
                <w:sz w:val="24"/>
                <w:lang w:val="en-US" w:eastAsia="zh-CN"/>
              </w:rPr>
              <w:t>元/吨</w:t>
            </w:r>
            <w:r>
              <w:rPr>
                <w:rFonts w:hint="eastAsia" w:ascii="宋体" w:hAnsi="宋体" w:cs="宋体"/>
                <w:b/>
                <w:bCs/>
                <w:kern w:val="0"/>
                <w:sz w:val="24"/>
                <w:lang w:val="zh-CN"/>
              </w:rPr>
              <w:t>）</w:t>
            </w:r>
          </w:p>
        </w:tc>
        <w:tc>
          <w:tcPr>
            <w:tcW w:w="1660"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金额（万元）</w:t>
            </w:r>
          </w:p>
        </w:tc>
        <w:tc>
          <w:tcPr>
            <w:tcW w:w="1302"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交货期</w:t>
            </w:r>
          </w:p>
        </w:tc>
        <w:tc>
          <w:tcPr>
            <w:tcW w:w="1215" w:type="dxa"/>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备注</w:t>
            </w:r>
          </w:p>
        </w:tc>
      </w:tr>
      <w:tr>
        <w:tblPrEx>
          <w:tblCellMar>
            <w:top w:w="0" w:type="dxa"/>
            <w:left w:w="108" w:type="dxa"/>
            <w:bottom w:w="0" w:type="dxa"/>
            <w:right w:w="108" w:type="dxa"/>
          </w:tblCellMar>
        </w:tblPrEx>
        <w:trPr>
          <w:trHeight w:val="492" w:hRule="atLeast"/>
          <w:jc w:val="center"/>
        </w:trPr>
        <w:tc>
          <w:tcPr>
            <w:tcW w:w="472"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sz w:val="24"/>
              </w:rPr>
            </w:pPr>
          </w:p>
        </w:tc>
        <w:tc>
          <w:tcPr>
            <w:tcW w:w="906"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sz w:val="24"/>
              </w:rPr>
            </w:pPr>
          </w:p>
        </w:tc>
        <w:tc>
          <w:tcPr>
            <w:tcW w:w="638"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sz w:val="24"/>
              </w:rPr>
            </w:pPr>
          </w:p>
        </w:tc>
        <w:tc>
          <w:tcPr>
            <w:tcW w:w="881"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sz w:val="24"/>
              </w:rPr>
            </w:pPr>
          </w:p>
        </w:tc>
        <w:tc>
          <w:tcPr>
            <w:tcW w:w="696"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sz w:val="24"/>
              </w:rPr>
            </w:pPr>
          </w:p>
        </w:tc>
        <w:tc>
          <w:tcPr>
            <w:tcW w:w="74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含税</w:t>
            </w:r>
          </w:p>
        </w:tc>
        <w:tc>
          <w:tcPr>
            <w:tcW w:w="92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不含税</w:t>
            </w:r>
          </w:p>
        </w:tc>
        <w:tc>
          <w:tcPr>
            <w:tcW w:w="80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含税</w:t>
            </w:r>
          </w:p>
        </w:tc>
        <w:tc>
          <w:tcPr>
            <w:tcW w:w="85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不含税</w:t>
            </w:r>
          </w:p>
        </w:tc>
        <w:tc>
          <w:tcPr>
            <w:tcW w:w="1302"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p>
        </w:tc>
        <w:tc>
          <w:tcPr>
            <w:tcW w:w="1215" w:type="dxa"/>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kern w:val="0"/>
                <w:sz w:val="24"/>
                <w:lang w:val="zh-CN"/>
              </w:rPr>
            </w:pPr>
          </w:p>
        </w:tc>
      </w:tr>
      <w:tr>
        <w:tblPrEx>
          <w:tblCellMar>
            <w:top w:w="0" w:type="dxa"/>
            <w:left w:w="108" w:type="dxa"/>
            <w:bottom w:w="0" w:type="dxa"/>
            <w:right w:w="108" w:type="dxa"/>
          </w:tblCellMar>
        </w:tblPrEx>
        <w:trPr>
          <w:trHeight w:val="1842" w:hRule="atLeast"/>
          <w:jc w:val="center"/>
        </w:trPr>
        <w:tc>
          <w:tcPr>
            <w:tcW w:w="47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kern w:val="0"/>
                <w:sz w:val="24"/>
                <w:lang w:val="zh-CN"/>
              </w:rPr>
            </w:pPr>
            <w:r>
              <w:rPr>
                <w:rFonts w:ascii="宋体" w:hAnsi="宋体" w:cs="宋体"/>
                <w:kern w:val="0"/>
                <w:sz w:val="24"/>
                <w:lang w:val="zh-CN"/>
              </w:rPr>
              <w:t>1</w:t>
            </w:r>
          </w:p>
        </w:tc>
        <w:tc>
          <w:tcPr>
            <w:tcW w:w="90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eastAsiaTheme="minorEastAsia"/>
                <w:kern w:val="0"/>
                <w:sz w:val="24"/>
                <w:lang w:eastAsia="zh-CN"/>
              </w:rPr>
            </w:pPr>
            <w:r>
              <w:rPr>
                <w:rFonts w:hint="eastAsia" w:ascii="宋体" w:hAnsi="宋体" w:cs="宋体"/>
                <w:color w:val="auto"/>
                <w:sz w:val="24"/>
                <w:highlight w:val="none"/>
                <w:u w:val="single"/>
                <w:lang w:val="en-US" w:eastAsia="zh-CN"/>
              </w:rPr>
              <w:t>草酸</w:t>
            </w:r>
          </w:p>
        </w:tc>
        <w:tc>
          <w:tcPr>
            <w:tcW w:w="63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固体</w:t>
            </w:r>
          </w:p>
        </w:tc>
        <w:tc>
          <w:tcPr>
            <w:tcW w:w="88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eastAsiaTheme="minorEastAsia"/>
                <w:kern w:val="0"/>
                <w:sz w:val="24"/>
                <w:lang w:val="en-US" w:eastAsia="zh-CN"/>
              </w:rPr>
            </w:pPr>
          </w:p>
        </w:tc>
        <w:tc>
          <w:tcPr>
            <w:tcW w:w="6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cs="宋体"/>
                <w:kern w:val="0"/>
                <w:sz w:val="24"/>
                <w:lang w:val="en-US"/>
              </w:rPr>
            </w:pPr>
            <w:r>
              <w:rPr>
                <w:rFonts w:hint="eastAsia" w:ascii="宋体" w:hAnsi="宋体" w:cs="宋体"/>
                <w:kern w:val="0"/>
                <w:sz w:val="24"/>
                <w:lang w:val="en-US" w:eastAsia="zh-CN"/>
              </w:rPr>
              <w:t>150</w:t>
            </w:r>
          </w:p>
        </w:tc>
        <w:tc>
          <w:tcPr>
            <w:tcW w:w="74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kern w:val="0"/>
                <w:sz w:val="24"/>
                <w:lang w:val="zh-CN"/>
              </w:rPr>
            </w:pPr>
          </w:p>
        </w:tc>
        <w:tc>
          <w:tcPr>
            <w:tcW w:w="92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kern w:val="0"/>
                <w:sz w:val="24"/>
                <w:lang w:val="zh-CN"/>
              </w:rPr>
            </w:pPr>
          </w:p>
        </w:tc>
        <w:tc>
          <w:tcPr>
            <w:tcW w:w="80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kern w:val="0"/>
                <w:sz w:val="24"/>
                <w:lang w:val="zh-CN"/>
              </w:rPr>
            </w:pPr>
          </w:p>
        </w:tc>
        <w:tc>
          <w:tcPr>
            <w:tcW w:w="85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kern w:val="0"/>
                <w:sz w:val="24"/>
                <w:lang w:val="zh-CN"/>
              </w:rPr>
            </w:pPr>
          </w:p>
        </w:tc>
        <w:tc>
          <w:tcPr>
            <w:tcW w:w="1302" w:type="dxa"/>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自合同签订日起</w:t>
            </w:r>
            <w:r>
              <w:rPr>
                <w:rFonts w:hint="eastAsia" w:ascii="宋体" w:hAnsi="宋体" w:cs="宋体"/>
                <w:kern w:val="0"/>
                <w:sz w:val="24"/>
                <w:lang w:val="en-US" w:eastAsia="zh-CN"/>
              </w:rPr>
              <w:t>一年</w:t>
            </w:r>
            <w:r>
              <w:rPr>
                <w:rFonts w:hint="eastAsia" w:ascii="宋体" w:hAnsi="宋体" w:cs="宋体"/>
                <w:kern w:val="0"/>
                <w:sz w:val="24"/>
                <w:lang w:val="zh-CN"/>
              </w:rPr>
              <w:t>，具体以甲方通知为准</w:t>
            </w:r>
          </w:p>
        </w:tc>
        <w:tc>
          <w:tcPr>
            <w:tcW w:w="1215" w:type="dxa"/>
            <w:tcBorders>
              <w:top w:val="single" w:color="000000" w:sz="2" w:space="0"/>
              <w:left w:val="single" w:color="000000" w:sz="2" w:space="0"/>
              <w:right w:val="single" w:color="000000" w:sz="2" w:space="0"/>
            </w:tcBorders>
            <w:shd w:val="clear" w:color="000000" w:fill="FFFFFF"/>
            <w:noWrap w:val="0"/>
            <w:vAlign w:val="top"/>
          </w:tcPr>
          <w:p>
            <w:pPr>
              <w:spacing w:line="360" w:lineRule="auto"/>
              <w:rPr>
                <w:rFonts w:ascii="宋体" w:hAnsi="宋体" w:cs="宋体"/>
                <w:sz w:val="24"/>
              </w:rPr>
            </w:pPr>
          </w:p>
          <w:p>
            <w:pPr>
              <w:autoSpaceDE w:val="0"/>
              <w:autoSpaceDN w:val="0"/>
              <w:adjustRightInd w:val="0"/>
              <w:spacing w:line="360" w:lineRule="auto"/>
              <w:rPr>
                <w:rFonts w:ascii="宋体" w:hAnsi="宋体" w:cs="宋体"/>
                <w:kern w:val="0"/>
                <w:sz w:val="24"/>
                <w:lang w:val="zh-CN"/>
              </w:rPr>
            </w:pPr>
          </w:p>
        </w:tc>
      </w:tr>
      <w:tr>
        <w:tblPrEx>
          <w:tblCellMar>
            <w:top w:w="0" w:type="dxa"/>
            <w:left w:w="108" w:type="dxa"/>
            <w:bottom w:w="0" w:type="dxa"/>
            <w:right w:w="108" w:type="dxa"/>
          </w:tblCellMar>
        </w:tblPrEx>
        <w:trPr>
          <w:trHeight w:val="376" w:hRule="atLeast"/>
          <w:jc w:val="center"/>
        </w:trPr>
        <w:tc>
          <w:tcPr>
            <w:tcW w:w="2897" w:type="dxa"/>
            <w:gridSpan w:val="4"/>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合计</w:t>
            </w:r>
          </w:p>
        </w:tc>
        <w:tc>
          <w:tcPr>
            <w:tcW w:w="69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autoSpaceDE w:val="0"/>
              <w:autoSpaceDN w:val="0"/>
              <w:adjustRightInd w:val="0"/>
              <w:spacing w:line="360" w:lineRule="auto"/>
              <w:jc w:val="right"/>
              <w:rPr>
                <w:rFonts w:ascii="宋体" w:hAnsi="宋体" w:cs="宋体"/>
                <w:kern w:val="0"/>
                <w:sz w:val="24"/>
                <w:lang w:val="zh-CN"/>
              </w:rPr>
            </w:pPr>
          </w:p>
        </w:tc>
        <w:tc>
          <w:tcPr>
            <w:tcW w:w="746"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kern w:val="0"/>
                <w:sz w:val="24"/>
                <w:lang w:val="zh-CN"/>
              </w:rPr>
            </w:pPr>
          </w:p>
        </w:tc>
        <w:tc>
          <w:tcPr>
            <w:tcW w:w="92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kern w:val="0"/>
                <w:sz w:val="24"/>
                <w:lang w:val="zh-CN"/>
              </w:rPr>
            </w:pPr>
          </w:p>
        </w:tc>
        <w:tc>
          <w:tcPr>
            <w:tcW w:w="804"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kern w:val="0"/>
                <w:sz w:val="24"/>
                <w:lang w:val="zh-CN"/>
              </w:rPr>
            </w:pPr>
          </w:p>
        </w:tc>
        <w:tc>
          <w:tcPr>
            <w:tcW w:w="856"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kern w:val="0"/>
                <w:sz w:val="24"/>
                <w:lang w:val="zh-CN"/>
              </w:rPr>
            </w:pPr>
          </w:p>
        </w:tc>
        <w:tc>
          <w:tcPr>
            <w:tcW w:w="1302"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w:t>
            </w:r>
          </w:p>
        </w:tc>
        <w:tc>
          <w:tcPr>
            <w:tcW w:w="121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kern w:val="0"/>
                <w:sz w:val="24"/>
                <w:lang w:val="zh-CN"/>
              </w:rPr>
            </w:pPr>
          </w:p>
        </w:tc>
      </w:tr>
    </w:tbl>
    <w:p>
      <w:pPr>
        <w:pStyle w:val="6"/>
        <w:rPr>
          <w:rFonts w:hint="eastAsia" w:eastAsiaTheme="majorEastAsia"/>
          <w:color w:val="auto"/>
          <w:highlight w:val="none"/>
          <w:lang w:val="en-US" w:eastAsia="zh-CN"/>
        </w:rPr>
      </w:pPr>
      <w:bookmarkStart w:id="133" w:name="_Toc6058"/>
      <w:bookmarkStart w:id="134" w:name="_Toc16386"/>
      <w:bookmarkStart w:id="135" w:name="_Toc87616402"/>
      <w:bookmarkStart w:id="136" w:name="_Toc88209965"/>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3"/>
      <w:bookmarkEnd w:id="134"/>
      <w:bookmarkEnd w:id="135"/>
      <w:bookmarkEnd w:id="136"/>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
    <w:p/>
    <w:p/>
    <w:p/>
    <w:sectPr>
      <w:footerReference r:id="rId8" w:type="first"/>
      <w:footerReference r:id="rId7"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4"/>
                    </w:pPr>
                  </w:p>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4"/>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pPr>
                      <w:pStyle w:val="14"/>
                    </w:pPr>
                  </w:p>
                  <w:p/>
                </w:txbxContent>
              </v:textbox>
            </v:shape>
          </w:pict>
        </mc:Fallback>
      </mc:AlternateContent>
    </w:r>
  </w:p>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01686"/>
    <w:multiLevelType w:val="singleLevel"/>
    <w:tmpl w:val="AC801686"/>
    <w:lvl w:ilvl="0" w:tentative="0">
      <w:start w:val="3"/>
      <w:numFmt w:val="chineseCounting"/>
      <w:suff w:val="space"/>
      <w:lvlText w:val="第%1条"/>
      <w:lvlJc w:val="left"/>
      <w:rPr>
        <w:rFonts w:hint="eastAsia"/>
      </w:rPr>
    </w:lvl>
  </w:abstractNum>
  <w:abstractNum w:abstractNumId="1">
    <w:nsid w:val="B9732850"/>
    <w:multiLevelType w:val="singleLevel"/>
    <w:tmpl w:val="B9732850"/>
    <w:lvl w:ilvl="0" w:tentative="0">
      <w:start w:val="2"/>
      <w:numFmt w:val="chineseCounting"/>
      <w:suff w:val="nothing"/>
      <w:lvlText w:val="%1、"/>
      <w:lvlJc w:val="left"/>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4E5421C6"/>
    <w:multiLevelType w:val="singleLevel"/>
    <w:tmpl w:val="4E5421C6"/>
    <w:lvl w:ilvl="0" w:tentative="0">
      <w:start w:val="1"/>
      <w:numFmt w:val="decimal"/>
      <w:suff w:val="nothing"/>
      <w:lvlText w:val="（%1）"/>
      <w:lvlJc w:val="left"/>
    </w:lvl>
  </w:abstractNum>
  <w:abstractNum w:abstractNumId="5">
    <w:nsid w:val="67607741"/>
    <w:multiLevelType w:val="singleLevel"/>
    <w:tmpl w:val="67607741"/>
    <w:lvl w:ilvl="0" w:tentative="0">
      <w:start w:val="2"/>
      <w:numFmt w:val="decimal"/>
      <w:lvlText w:val="%1."/>
      <w:lvlJc w:val="left"/>
      <w:pPr>
        <w:tabs>
          <w:tab w:val="left" w:pos="312"/>
        </w:tabs>
        <w:ind w:left="1260" w:firstLine="0"/>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6"/>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79EC7DED"/>
    <w:rsid w:val="0118395B"/>
    <w:rsid w:val="029A1A87"/>
    <w:rsid w:val="0B962F2D"/>
    <w:rsid w:val="1AA72EE4"/>
    <w:rsid w:val="1C8D28AF"/>
    <w:rsid w:val="1E3C08E6"/>
    <w:rsid w:val="31BE60AB"/>
    <w:rsid w:val="394F0DCE"/>
    <w:rsid w:val="3FE33198"/>
    <w:rsid w:val="3FE40207"/>
    <w:rsid w:val="48EB4A02"/>
    <w:rsid w:val="5E11761B"/>
    <w:rsid w:val="70D44EDC"/>
    <w:rsid w:val="79EC7DED"/>
    <w:rsid w:val="7DAA4071"/>
    <w:rsid w:val="7F501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1">
    <w:name w:val="Default Paragraph Font"/>
    <w:semiHidden/>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Plain Text"/>
    <w:basedOn w:val="1"/>
    <w:next w:val="11"/>
    <w:qFormat/>
    <w:uiPriority w:val="0"/>
    <w:rPr>
      <w:rFonts w:ascii="宋体" w:hAnsi="Courier New"/>
      <w:szCs w:val="21"/>
    </w:rPr>
  </w:style>
  <w:style w:type="paragraph" w:customStyle="1" w:styleId="11">
    <w:name w:val="Default"/>
    <w:next w:val="12"/>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2">
    <w:name w:val="List"/>
    <w:basedOn w:val="1"/>
    <w:next w:val="1"/>
    <w:qFormat/>
    <w:uiPriority w:val="0"/>
    <w:pPr>
      <w:snapToGrid w:val="0"/>
    </w:pPr>
    <w:rPr>
      <w:szCs w:val="24"/>
    </w:rPr>
  </w:style>
  <w:style w:type="paragraph" w:styleId="13">
    <w:name w:val="Body Text Indent 2"/>
    <w:basedOn w:val="1"/>
    <w:qFormat/>
    <w:uiPriority w:val="0"/>
    <w:pPr>
      <w:adjustRightInd w:val="0"/>
      <w:snapToGrid w:val="0"/>
      <w:spacing w:before="163" w:after="163" w:line="300" w:lineRule="auto"/>
      <w:ind w:firstLine="420" w:firstLineChars="200"/>
    </w:pPr>
    <w:rPr>
      <w:rFonts w:ascii="宋体" w:hAnsi="宋体"/>
      <w:color w:val="000000"/>
      <w:szCs w:val="20"/>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kern w:val="0"/>
      <w:sz w:val="22"/>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22"/>
    <w:rPr>
      <w:b/>
      <w:bCs/>
    </w:rPr>
  </w:style>
  <w:style w:type="paragraph" w:customStyle="1" w:styleId="2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26">
    <w:name w:val="List Paragraph"/>
    <w:basedOn w:val="1"/>
    <w:qFormat/>
    <w:uiPriority w:val="34"/>
    <w:pPr>
      <w:ind w:firstLine="420" w:firstLineChars="200"/>
    </w:pPr>
  </w:style>
  <w:style w:type="character" w:customStyle="1" w:styleId="27">
    <w:name w:val="font41"/>
    <w:basedOn w:val="21"/>
    <w:qFormat/>
    <w:uiPriority w:val="0"/>
    <w:rPr>
      <w:rFonts w:hint="eastAsia" w:ascii="宋体" w:hAnsi="宋体" w:eastAsia="宋体" w:cs="宋体"/>
      <w:color w:val="000000"/>
      <w:sz w:val="32"/>
      <w:szCs w:val="32"/>
      <w:u w:val="none"/>
    </w:rPr>
  </w:style>
  <w:style w:type="character" w:customStyle="1" w:styleId="28">
    <w:name w:val="font51"/>
    <w:basedOn w:val="21"/>
    <w:qFormat/>
    <w:uiPriority w:val="0"/>
    <w:rPr>
      <w:rFonts w:hint="eastAsia" w:ascii="宋体" w:hAnsi="宋体" w:eastAsia="宋体" w:cs="宋体"/>
      <w:color w:val="000000"/>
      <w:sz w:val="32"/>
      <w:szCs w:val="32"/>
      <w:u w:val="single"/>
    </w:rPr>
  </w:style>
  <w:style w:type="character" w:customStyle="1" w:styleId="29">
    <w:name w:val="font11"/>
    <w:basedOn w:val="21"/>
    <w:qFormat/>
    <w:uiPriority w:val="0"/>
    <w:rPr>
      <w:rFonts w:hint="default" w:ascii="Wingdings 2" w:hAnsi="Wingdings 2" w:eastAsia="Wingdings 2" w:cs="Wingdings 2"/>
      <w:color w:val="000000"/>
      <w:sz w:val="24"/>
      <w:szCs w:val="24"/>
      <w:u w:val="none"/>
    </w:rPr>
  </w:style>
  <w:style w:type="character" w:customStyle="1" w:styleId="30">
    <w:name w:val="font21"/>
    <w:basedOn w:val="21"/>
    <w:qFormat/>
    <w:uiPriority w:val="0"/>
    <w:rPr>
      <w:rFonts w:hint="eastAsia" w:ascii="宋体" w:hAnsi="宋体" w:eastAsia="宋体" w:cs="宋体"/>
      <w:color w:val="000000"/>
      <w:sz w:val="24"/>
      <w:szCs w:val="24"/>
      <w:u w:val="none"/>
    </w:rPr>
  </w:style>
  <w:style w:type="paragraph" w:customStyle="1" w:styleId="31">
    <w:name w:val="CM91"/>
    <w:basedOn w:val="11"/>
    <w:next w:val="11"/>
    <w:qFormat/>
    <w:uiPriority w:val="0"/>
    <w:pPr>
      <w:spacing w:after="160"/>
    </w:pPr>
    <w:rPr>
      <w:color w:val="auto"/>
    </w:rPr>
  </w:style>
  <w:style w:type="paragraph" w:customStyle="1" w:styleId="32">
    <w:name w:val="CM97"/>
    <w:basedOn w:val="11"/>
    <w:next w:val="11"/>
    <w:qFormat/>
    <w:uiPriority w:val="0"/>
    <w:pPr>
      <w:spacing w:after="373"/>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23446</Words>
  <Characters>24607</Characters>
  <Lines>0</Lines>
  <Paragraphs>0</Paragraphs>
  <TotalTime>7</TotalTime>
  <ScaleCrop>false</ScaleCrop>
  <LinksUpToDate>false</LinksUpToDate>
  <CharactersWithSpaces>27842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2023-03-23T08:11:00Z</dcterms:created>
  <dc:creator>阮锋</dc:creator>
  <cp:lastModifiedBy>刘琳</cp:lastModifiedBy>
  <cp:lastPrinted>2023-03-29T07:14:00Z</cp:lastPrinted>
  <dcterms:modified xsi:type="dcterms:W3CDTF">2023-04-07T07:51:18Z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9C449364EFBE479F910AEA5E0FDEE890</vt:lpwstr>
  </property>
</Properties>
</file>