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广州市净水有限公司竹料分公司发电机房发电机维修项目（第二次）</w:t>
      </w:r>
    </w:p>
    <w:p>
      <w:pPr>
        <w:pStyle w:val="7"/>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pStyle w:val="2"/>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7"/>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669"/>
      <w:bookmarkStart w:id="6" w:name="_Toc4275"/>
      <w:bookmarkStart w:id="7" w:name="_Toc11322"/>
      <w:bookmarkStart w:id="8" w:name="_Toc31938"/>
      <w:bookmarkStart w:id="9" w:name="_Toc19609"/>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广州市净水有限公司竹料分公司发电机房发电机维修项目（第二次）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广州市净水有限公司竹料分公司发电机房发电机维修项目（第二次）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XJ-20230404-1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hAnsi="宋体" w:eastAsia="仿宋_GB2312" w:cs="宋体"/>
          <w:kern w:val="0"/>
          <w:sz w:val="28"/>
          <w:szCs w:val="28"/>
          <w:u w:val="single"/>
          <w:lang w:val="en-US" w:eastAsia="zh-CN"/>
        </w:rPr>
        <w:t>78987.81</w:t>
      </w:r>
      <w:r>
        <w:rPr>
          <w:rFonts w:hint="eastAsia" w:ascii="仿宋_GB2312" w:eastAsia="仿宋_GB2312"/>
          <w:color w:val="auto"/>
          <w:sz w:val="28"/>
          <w:szCs w:val="28"/>
          <w:highlight w:val="none"/>
          <w:u w:val="single"/>
          <w:lang w:val="en-US" w:eastAsia="zh-CN"/>
        </w:rPr>
        <w:t>元，其中</w:t>
      </w:r>
      <w:r>
        <w:rPr>
          <w:rFonts w:hint="eastAsia" w:ascii="仿宋_GB2312" w:eastAsia="仿宋_GB2312"/>
          <w:color w:val="auto"/>
          <w:sz w:val="28"/>
          <w:szCs w:val="28"/>
          <w:highlight w:val="none"/>
          <w:u w:val="single"/>
        </w:rPr>
        <w:t>不含税工程造价为</w:t>
      </w:r>
      <w:r>
        <w:rPr>
          <w:rFonts w:hint="eastAsia" w:ascii="仿宋_GB2312" w:eastAsia="仿宋_GB2312"/>
          <w:color w:val="auto"/>
          <w:sz w:val="28"/>
          <w:szCs w:val="28"/>
          <w:highlight w:val="none"/>
          <w:u w:val="single"/>
          <w:lang w:val="en-US" w:eastAsia="zh-CN"/>
        </w:rPr>
        <w:t>72465.88</w:t>
      </w:r>
      <w:r>
        <w:rPr>
          <w:rFonts w:hint="eastAsia" w:ascii="仿宋_GB2312" w:eastAsia="仿宋_GB2312"/>
          <w:color w:val="auto"/>
          <w:sz w:val="28"/>
          <w:szCs w:val="28"/>
          <w:highlight w:val="none"/>
          <w:u w:val="single"/>
        </w:rPr>
        <w:t>元，税率为9%，按费率计算的绿色施工安全防护措施费为</w:t>
      </w:r>
      <w:r>
        <w:rPr>
          <w:rFonts w:hint="eastAsia" w:ascii="仿宋_GB2312" w:eastAsia="仿宋_GB2312"/>
          <w:color w:val="auto"/>
          <w:sz w:val="28"/>
          <w:szCs w:val="28"/>
          <w:highlight w:val="none"/>
          <w:u w:val="single"/>
          <w:lang w:val="en-US" w:eastAsia="zh-CN"/>
        </w:rPr>
        <w:t>4266.63</w:t>
      </w:r>
      <w:r>
        <w:rPr>
          <w:rFonts w:hint="eastAsia" w:ascii="仿宋_GB2312" w:eastAsia="仿宋_GB2312"/>
          <w:color w:val="auto"/>
          <w:sz w:val="28"/>
          <w:szCs w:val="28"/>
          <w:highlight w:val="none"/>
          <w:u w:val="single"/>
        </w:rPr>
        <w:t>元，暂列金额为</w:t>
      </w:r>
      <w:r>
        <w:rPr>
          <w:rFonts w:hint="eastAsia" w:ascii="仿宋_GB2312" w:eastAsia="仿宋_GB2312"/>
          <w:color w:val="auto"/>
          <w:sz w:val="28"/>
          <w:szCs w:val="28"/>
          <w:highlight w:val="none"/>
          <w:u w:val="single"/>
          <w:lang w:val="en-US" w:eastAsia="zh-CN"/>
        </w:rPr>
        <w:t>5956.50</w:t>
      </w:r>
      <w:r>
        <w:rPr>
          <w:rFonts w:hint="eastAsia" w:ascii="仿宋_GB2312" w:eastAsia="仿宋_GB2312"/>
          <w:color w:val="auto"/>
          <w:sz w:val="28"/>
          <w:szCs w:val="28"/>
          <w:highlight w:val="none"/>
          <w:u w:val="single"/>
        </w:rPr>
        <w:t>52731.08元</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rPr>
      </w:pPr>
      <w:r>
        <w:rPr>
          <w:rFonts w:hint="eastAsia" w:ascii="仿宋_GB2312" w:eastAsia="仿宋_GB2312"/>
          <w:color w:val="auto"/>
          <w:sz w:val="28"/>
          <w:szCs w:val="28"/>
          <w:highlight w:val="none"/>
          <w:u w:val="single"/>
        </w:rPr>
        <w:t xml:space="preserve">  </w:t>
      </w:r>
    </w:p>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82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1678"/>
        <w:gridCol w:w="3662"/>
        <w:gridCol w:w="108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柴油发电机组</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1.名称：更换整套发电机（含轴承）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2.型号：EG355-500N3</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3.保质期：质量保证期一年</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拆除电动发电机组</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1.名称：拆除整台发电机</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1.名称:发电机带负荷调试</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2.要求:拆卸防护罩、出具调试合格检测报告</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1.名称:发电机空载调试运行</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2.要求:现场开机空载调试运行</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大型设备场外运输</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1.名称：发电机运输（每车每次）</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pPr>
        <w:pStyle w:val="7"/>
        <w:rPr>
          <w:rFonts w:hint="eastAsia"/>
        </w:rPr>
      </w:pP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lang w:val="en-US" w:eastAsia="zh-CN"/>
        </w:rPr>
        <w:t>自合同签订之日起30天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广州市净水有限公司竹料分公司</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color w:val="auto"/>
          <w:sz w:val="28"/>
          <w:szCs w:val="28"/>
          <w:highlight w:val="none"/>
          <w:u w:val="single"/>
        </w:rPr>
        <w:t xml:space="preserve"> </w:t>
      </w:r>
      <w:r>
        <w:rPr>
          <w:rFonts w:hint="eastAsia" w:ascii="仿宋_GB2312" w:eastAsia="仿宋_GB2312"/>
          <w:sz w:val="28"/>
          <w:szCs w:val="28"/>
          <w:lang w:eastAsia="zh-CN"/>
        </w:rPr>
        <w:t>（</w:t>
      </w:r>
      <w:r>
        <w:rPr>
          <w:rFonts w:hint="eastAsia" w:ascii="仿宋_GB2312" w:eastAsia="仿宋_GB2312"/>
          <w:sz w:val="28"/>
          <w:szCs w:val="28"/>
        </w:rPr>
        <w:t>1)使用的各种材料必须符合设计和规范要求。</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2)各种构件在运输过程中必须有可靠的保护措施。构件外观表面无明显的凹面和损伤。焊疤、飞溅物、毛刺应清理干净。</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3)必须用合格焊工。焊接、防锈、安装精度必须合格。</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hAnsiTheme="minorHAnsi" w:cstheme="minorBidi"/>
          <w:i w:val="0"/>
          <w:iCs w:val="0"/>
          <w:color w:val="auto"/>
          <w:kern w:val="2"/>
          <w:sz w:val="28"/>
          <w:szCs w:val="28"/>
          <w:u w:val="none"/>
          <w:lang w:val="en-US" w:eastAsia="zh-CN" w:bidi="ar"/>
        </w:rPr>
        <w:t>更换整套发电机（含轴承</w:t>
      </w:r>
      <w:r>
        <w:rPr>
          <w:rFonts w:hint="eastAsia" w:ascii="仿宋_GB2312" w:eastAsia="仿宋_GB2312"/>
          <w:sz w:val="28"/>
          <w:szCs w:val="28"/>
          <w:lang w:eastAsia="zh-CN"/>
        </w:rPr>
        <w:t>）</w:t>
      </w:r>
      <w:r>
        <w:rPr>
          <w:rFonts w:hint="eastAsia" w:ascii="仿宋_GB2312" w:eastAsia="仿宋_GB2312"/>
          <w:sz w:val="28"/>
          <w:szCs w:val="28"/>
          <w:lang w:val="en-US" w:eastAsia="zh-CN"/>
        </w:rPr>
        <w:t>必须是全新正品。</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供应商应当具备 </w:t>
      </w:r>
      <w:r>
        <w:rPr>
          <w:rFonts w:hint="eastAsia" w:ascii="仿宋_GB2312" w:eastAsia="仿宋_GB2312"/>
          <w:sz w:val="28"/>
          <w:szCs w:val="28"/>
          <w:u w:val="single"/>
        </w:rPr>
        <w:t>以下资质：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2020 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一项</w:t>
      </w:r>
      <w:r>
        <w:rPr>
          <w:rFonts w:hint="eastAsia" w:ascii="仿宋_GB2312" w:eastAsia="仿宋_GB2312"/>
          <w:sz w:val="28"/>
          <w:szCs w:val="28"/>
          <w:u w:val="single"/>
          <w:lang w:val="en-US" w:eastAsia="zh-CN"/>
        </w:rPr>
        <w:t>发电机</w:t>
      </w:r>
      <w:r>
        <w:rPr>
          <w:rFonts w:hint="eastAsia" w:ascii="仿宋_GB2312" w:eastAsia="仿宋_GB2312"/>
          <w:sz w:val="28"/>
          <w:szCs w:val="28"/>
          <w:u w:val="single"/>
        </w:rPr>
        <w:t>维护</w:t>
      </w:r>
      <w:r>
        <w:rPr>
          <w:rFonts w:hint="eastAsia" w:ascii="仿宋_GB2312" w:eastAsia="仿宋_GB2312"/>
          <w:color w:val="auto"/>
          <w:sz w:val="28"/>
          <w:szCs w:val="28"/>
          <w:highlight w:val="none"/>
          <w:u w:val="singl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）项目负责人应当具备  </w:t>
      </w:r>
      <w:r>
        <w:rPr>
          <w:rFonts w:hint="eastAsia" w:ascii="仿宋_GB2312" w:eastAsia="仿宋_GB2312"/>
          <w:color w:val="auto"/>
          <w:sz w:val="28"/>
          <w:szCs w:val="28"/>
          <w:highlight w:val="none"/>
          <w:u w:val="single"/>
          <w:lang w:val="en-US" w:eastAsia="zh-CN"/>
        </w:rPr>
        <w:t xml:space="preserve">    资格。</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须出具承诺函，承诺中选后提供报价设备</w:t>
      </w:r>
      <w:r>
        <w:rPr>
          <w:rFonts w:hint="eastAsia" w:ascii="仿宋_GB2312" w:eastAsia="仿宋_GB2312"/>
          <w:sz w:val="28"/>
          <w:szCs w:val="28"/>
          <w:u w:val="single"/>
          <w:lang w:val="en-US" w:eastAsia="zh-CN"/>
        </w:rPr>
        <w:t>均为</w:t>
      </w:r>
      <w:r>
        <w:rPr>
          <w:rFonts w:hint="eastAsia" w:ascii="仿宋_GB2312" w:eastAsia="仿宋_GB2312"/>
          <w:sz w:val="28"/>
          <w:szCs w:val="28"/>
          <w:u w:val="single"/>
        </w:rPr>
        <w:t>制造商原装全新产品（加盖单位公章）。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10</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10</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10</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bookmarkStart w:id="136" w:name="_GoBack"/>
    </w:p>
    <w:bookmarkEnd w:id="136"/>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7"/>
        <w:rPr>
          <w:rFonts w:hint="eastAsia"/>
          <w:color w:val="auto"/>
          <w:highlight w:val="none"/>
        </w:rPr>
      </w:pPr>
      <w:bookmarkStart w:id="13" w:name="_Toc2331"/>
      <w:bookmarkStart w:id="14" w:name="_Toc7340"/>
      <w:bookmarkStart w:id="15" w:name="_Toc23749"/>
      <w:bookmarkStart w:id="16" w:name="_Toc2324"/>
      <w:bookmarkStart w:id="17" w:name="_Toc10891"/>
      <w:bookmarkStart w:id="18" w:name="_Toc9448"/>
      <w:bookmarkStart w:id="19" w:name="_Toc16557"/>
      <w:bookmarkStart w:id="20" w:name="_Toc16705"/>
      <w:bookmarkStart w:id="21" w:name="_Toc32588"/>
      <w:bookmarkStart w:id="22" w:name="_Toc19295"/>
      <w:bookmarkStart w:id="23" w:name="_Toc25603"/>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ind w:left="0" w:leftChars="0" w:firstLine="0" w:firstLineChars="0"/>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5"/>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7118"/>
      <w:bookmarkStart w:id="36" w:name="_Toc23581"/>
      <w:bookmarkStart w:id="37" w:name="_Toc19050"/>
      <w:bookmarkStart w:id="38" w:name="_Toc10930"/>
      <w:bookmarkStart w:id="39" w:name="_Toc3156"/>
      <w:bookmarkStart w:id="40" w:name="_Toc14552"/>
      <w:bookmarkStart w:id="41" w:name="_Toc14870"/>
      <w:bookmarkStart w:id="42" w:name="_Toc20594"/>
      <w:bookmarkStart w:id="43" w:name="_Toc7437"/>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87616378"/>
      <w:bookmarkStart w:id="46" w:name="_Toc6308"/>
      <w:bookmarkStart w:id="47" w:name="_Toc22212"/>
      <w:bookmarkStart w:id="48" w:name="_Toc21840"/>
      <w:bookmarkStart w:id="49" w:name="_Toc13898"/>
      <w:bookmarkStart w:id="50" w:name="_Toc12177"/>
      <w:bookmarkStart w:id="51" w:name="_Toc21079"/>
      <w:bookmarkStart w:id="52" w:name="_Toc30530"/>
      <w:bookmarkStart w:id="53" w:name="_Toc29345"/>
      <w:bookmarkStart w:id="54" w:name="_Toc29484"/>
      <w:bookmarkStart w:id="55" w:name="_Toc7831"/>
      <w:bookmarkStart w:id="56" w:name="_Toc32607"/>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235585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8.55pt;height:0pt;width:75.5pt;z-index:251674624;mso-width-relative:page;mso-height-relative:page;" filled="f" stroked="t" coordsize="21600,21600" o:gfxdata="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Bb0c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ind w:left="0" w:leftChars="0" w:firstLine="0" w:firstLineChars="0"/>
        <w:rPr>
          <w:rFonts w:hint="eastAsia"/>
          <w:color w:val="auto"/>
          <w:szCs w:val="44"/>
          <w:highlight w:val="none"/>
        </w:rPr>
      </w:pPr>
    </w:p>
    <w:bookmarkEnd w:id="60"/>
    <w:p>
      <w:pPr>
        <w:pStyle w:val="13"/>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pStyle w:val="2"/>
        <w:rPr>
          <w:rFonts w:hint="eastAsia" w:ascii="仿宋_GB2312" w:eastAsia="仿宋_GB2312" w:hAnsiTheme="minorEastAsia" w:cstheme="minorBidi"/>
          <w:color w:val="auto"/>
          <w:kern w:val="2"/>
          <w:sz w:val="28"/>
          <w:szCs w:val="28"/>
          <w:lang w:val="en-US" w:eastAsia="zh-CN" w:bidi="ar-SA"/>
        </w:rPr>
      </w:pPr>
      <w:r>
        <w:rPr>
          <w:rFonts w:hint="eastAsia" w:ascii="仿宋_GB2312" w:eastAsia="仿宋_GB2312" w:hAnsiTheme="minorEastAsia" w:cstheme="minorBidi"/>
          <w:color w:val="auto"/>
          <w:kern w:val="2"/>
          <w:sz w:val="28"/>
          <w:szCs w:val="28"/>
          <w:lang w:val="en-US" w:eastAsia="zh-CN" w:bidi="ar-SA"/>
        </w:rPr>
        <w:t>竹料分公司发电机投产于2017年9月，品牌为：康明斯600KW发电机组，型号为：KTAA19-G6A，竹料分公司发电机为应急电源设备，用于配合每年一次的高压维保利用发电机发电至一期低压电房供电，确保高压维保期间不停产、不减产，保证设备正常运行。竹料分公司发电机电机故障，电机轴承已出现锈蚀现象，电机主定子线圈烧掉发黑；电机轴承出现大面积锈蚀，轴承结构性能降低，发电运行时会伴随抖动现象，电流过大时会造成电机烧损现象，为保证机组发电运行可靠性，计划更换全新的电机及轴承。</w:t>
      </w:r>
    </w:p>
    <w:p>
      <w:pPr>
        <w:pStyle w:val="14"/>
        <w:rPr>
          <w:rFonts w:hint="eastAsia"/>
          <w:lang w:val="en-US" w:eastAsia="zh-CN"/>
        </w:rPr>
      </w:pPr>
    </w:p>
    <w:p>
      <w:pPr>
        <w:pStyle w:val="13"/>
        <w:numPr>
          <w:ilvl w:val="0"/>
          <w:numId w:val="5"/>
        </w:numPr>
        <w:adjustRightInd w:val="0"/>
        <w:snapToGrid w:val="0"/>
        <w:spacing w:line="300" w:lineRule="auto"/>
        <w:ind w:firstLine="562" w:firstLineChars="20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1、施工符合行业相关标准；</w:t>
      </w:r>
    </w:p>
    <w:p>
      <w:pPr>
        <w:adjustRightInd w:val="0"/>
        <w:snapToGrid w:val="0"/>
        <w:spacing w:line="600" w:lineRule="exact"/>
        <w:ind w:firstLine="555"/>
        <w:jc w:val="left"/>
        <w:rPr>
          <w:rFonts w:hint="eastAsia" w:ascii="仿宋_GB2312" w:eastAsia="仿宋_GB2312" w:hAnsiTheme="minorEastAsia"/>
          <w:sz w:val="28"/>
          <w:szCs w:val="28"/>
          <w:lang w:val="zh-CN"/>
        </w:rPr>
      </w:pPr>
      <w:r>
        <w:rPr>
          <w:rFonts w:hint="eastAsia" w:ascii="仿宋_GB2312" w:eastAsia="仿宋_GB2312" w:hAnsiTheme="minorEastAsia"/>
          <w:sz w:val="28"/>
          <w:szCs w:val="28"/>
        </w:rPr>
        <w:t>2、完工后保证设施的正常使用、符合建设单位要求。</w:t>
      </w:r>
    </w:p>
    <w:p>
      <w:pPr>
        <w:pStyle w:val="14"/>
        <w:numPr>
          <w:ilvl w:val="-1"/>
          <w:numId w:val="0"/>
        </w:numPr>
        <w:rPr>
          <w:rFonts w:hint="eastAsia"/>
          <w:lang w:val="en-US" w:eastAsia="zh-CN"/>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autoSpaceDN/>
        <w:adjustRightInd w:val="0"/>
        <w:snapToGrid w:val="0"/>
        <w:spacing w:line="600" w:lineRule="exact"/>
        <w:ind w:firstLine="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w:t>
      </w:r>
      <w:r>
        <w:rPr>
          <w:rFonts w:hint="eastAsia" w:ascii="仿宋_GB2312" w:eastAsia="仿宋_GB2312"/>
          <w:sz w:val="28"/>
          <w:szCs w:val="28"/>
          <w:lang w:val="en-US" w:eastAsia="zh-CN"/>
        </w:rPr>
        <w:t>自合同签订之日起30天</w:t>
      </w:r>
      <w:r>
        <w:rPr>
          <w:rFonts w:hint="eastAsia" w:ascii="仿宋_GB2312" w:hAnsi="仿宋_GB2312" w:eastAsia="仿宋_GB2312" w:cs="仿宋_GB2312"/>
          <w:sz w:val="28"/>
          <w:szCs w:val="28"/>
          <w:highlight w:val="none"/>
        </w:rPr>
        <w:t>。</w:t>
      </w:r>
    </w:p>
    <w:p>
      <w:pPr>
        <w:autoSpaceDE w:val="0"/>
        <w:autoSpaceDN w:val="0"/>
        <w:spacing w:line="520" w:lineRule="exact"/>
        <w:ind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2.质量要求：</w:t>
      </w:r>
    </w:p>
    <w:p>
      <w:pPr>
        <w:autoSpaceDE w:val="0"/>
        <w:autoSpaceDN w:val="0"/>
        <w:spacing w:line="520" w:lineRule="exact"/>
        <w:ind w:firstLine="280" w:firstLineChars="1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1680" w:firstLineChars="600"/>
        <w:rPr>
          <w:rFonts w:hint="eastAsia" w:ascii="仿宋_GB2312" w:hAnsi="仿宋_GB2312" w:eastAsia="仿宋_GB2312" w:cs="仿宋_GB2312"/>
          <w:sz w:val="28"/>
          <w:szCs w:val="28"/>
          <w:highlight w:val="none"/>
        </w:rPr>
      </w:pP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7"/>
        <w:rPr>
          <w:rFonts w:hint="eastAsia"/>
          <w:color w:val="auto"/>
          <w:highlight w:val="none"/>
        </w:rPr>
      </w:pPr>
      <w:bookmarkStart w:id="61" w:name="_Toc537"/>
      <w:bookmarkStart w:id="62" w:name="_Toc18538"/>
      <w:bookmarkStart w:id="63" w:name="_Toc4680"/>
      <w:bookmarkStart w:id="64" w:name="_Toc23353"/>
      <w:bookmarkStart w:id="65" w:name="_Toc1284"/>
      <w:bookmarkStart w:id="66" w:name="_Toc15570"/>
      <w:bookmarkStart w:id="67" w:name="_Toc1496"/>
      <w:bookmarkStart w:id="68" w:name="_Toc12135"/>
      <w:bookmarkStart w:id="69" w:name="_Toc23330"/>
      <w:bookmarkStart w:id="70" w:name="_Toc29835"/>
      <w:bookmarkStart w:id="71" w:name="_Toc25925"/>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eastAsia="微软雅黑"/>
          <w:color w:val="auto"/>
          <w:highlight w:val="none"/>
          <w:lang w:eastAsia="zh-CN"/>
        </w:rPr>
      </w:pPr>
    </w:p>
    <w:p>
      <w:pPr>
        <w:pStyle w:val="7"/>
        <w:rPr>
          <w:rFonts w:hint="eastAsia" w:eastAsia="微软雅黑"/>
          <w:color w:val="auto"/>
          <w:highlight w:val="none"/>
          <w:lang w:eastAsia="zh-CN"/>
        </w:rPr>
      </w:pPr>
    </w:p>
    <w:p>
      <w:pPr>
        <w:pStyle w:val="7"/>
        <w:rPr>
          <w:rFonts w:hint="eastAsia" w:eastAsia="微软雅黑"/>
          <w:color w:val="auto"/>
          <w:highlight w:val="none"/>
          <w:lang w:eastAsia="zh-CN"/>
        </w:rPr>
      </w:pPr>
    </w:p>
    <w:p>
      <w:pPr>
        <w:pStyle w:val="4"/>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4"/>
        <w:rPr>
          <w:color w:val="auto"/>
          <w:highlight w:val="none"/>
        </w:rPr>
      </w:pPr>
      <w:bookmarkStart w:id="72" w:name="_Toc12968"/>
      <w:bookmarkStart w:id="73" w:name="_Toc22501"/>
      <w:bookmarkStart w:id="74" w:name="_Toc87616386"/>
      <w:bookmarkStart w:id="75" w:name="_Toc1375"/>
      <w:bookmarkStart w:id="76" w:name="_Toc12721"/>
      <w:bookmarkStart w:id="77" w:name="_Toc8183"/>
      <w:bookmarkStart w:id="78" w:name="_Toc13309"/>
      <w:bookmarkStart w:id="79" w:name="_Toc323"/>
      <w:bookmarkStart w:id="80" w:name="_Toc88209949"/>
      <w:bookmarkStart w:id="81" w:name="_Toc19686"/>
      <w:bookmarkStart w:id="82" w:name="_Toc12980"/>
      <w:bookmarkStart w:id="83" w:name="_Toc19088"/>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广州市净水有限公司竹料分公司发电机房发电机维修项目（第二次）</w:t>
      </w:r>
    </w:p>
    <w:p>
      <w:pPr>
        <w:pStyle w:val="48"/>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5" w:name="合同"/>
      <w:bookmarkEnd w:id="85"/>
      <w:r>
        <w:rPr>
          <w:rFonts w:hint="eastAsia" w:ascii="宋体" w:hAnsi="宋体" w:cs="宋体"/>
          <w:b/>
          <w:bCs/>
          <w:sz w:val="30"/>
          <w:szCs w:val="30"/>
          <w:lang w:val="en-US" w:eastAsia="zh-CN"/>
        </w:rPr>
        <w:t xml:space="preserve">03092023000006 </w:t>
      </w:r>
    </w:p>
    <w:p>
      <w:pPr>
        <w:pStyle w:val="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7"/>
        <w:rPr>
          <w:rFonts w:hint="eastAsia" w:ascii="宋体" w:hAnsi="宋体" w:cs="宋体"/>
          <w:b/>
          <w:sz w:val="30"/>
        </w:rPr>
      </w:pP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val="en-US" w:eastAsia="zh-CN"/>
        </w:rPr>
        <w:t>广州市净水有限公司竹料分公司发电机房发电机维修项目（第二次）</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lang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广州市净水有限公司竹料分公司发电机房发电机维修项目（第二次）</w:t>
      </w:r>
    </w:p>
    <w:p>
      <w:pPr>
        <w:spacing w:line="500" w:lineRule="exact"/>
        <w:ind w:firstLine="480" w:firstLineChars="200"/>
        <w:rPr>
          <w:rFonts w:hint="default" w:hAnsi="宋体" w:cs="宋体"/>
          <w:sz w:val="24"/>
          <w:szCs w:val="20"/>
          <w:lang w:val="en-US" w:eastAsia="zh-CN"/>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广州市白云区钟落潭镇竹二兰桂街100号</w:t>
      </w:r>
      <w:r>
        <w:rPr>
          <w:rFonts w:hint="eastAsia" w:ascii="宋体" w:hAnsi="宋体" w:cs="宋体"/>
          <w:sz w:val="24"/>
          <w:u w:val="single"/>
        </w:rPr>
        <w:t xml:space="preserve"> 。</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p>
      <w:pPr>
        <w:spacing w:line="500" w:lineRule="exact"/>
        <w:ind w:left="0" w:leftChars="0"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1、整台发电机（重量约4吨）拆除、吊装（随车吊为5吨以上吊装及运输能力）运输至维修厂。</w:t>
      </w:r>
    </w:p>
    <w:p>
      <w:pPr>
        <w:spacing w:line="500" w:lineRule="exact"/>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2、拆卸防护罩更换发电机及轴承。</w:t>
      </w:r>
    </w:p>
    <w:p>
      <w:pPr>
        <w:spacing w:line="500" w:lineRule="exact"/>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3、调试带负荷运行，完成后出具调试报告。</w:t>
      </w:r>
    </w:p>
    <w:p>
      <w:pPr>
        <w:spacing w:line="500" w:lineRule="exact"/>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4、吊装及运输至竹料分公司，整机安装。</w:t>
      </w:r>
    </w:p>
    <w:p>
      <w:pPr>
        <w:spacing w:line="500" w:lineRule="exact"/>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6"/>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w:t>
      </w:r>
      <w:r>
        <w:rPr>
          <w:rFonts w:hint="eastAsia" w:ascii="宋体" w:hAnsi="宋体" w:cs="宋体"/>
          <w:sz w:val="24"/>
          <w:lang w:val="en-US" w:eastAsia="zh-CN"/>
        </w:rPr>
        <w:t>4</w:t>
      </w:r>
      <w:r>
        <w:rPr>
          <w:rFonts w:hint="eastAsia" w:ascii="宋体" w:hAnsi="宋体" w:cs="宋体"/>
          <w:sz w:val="24"/>
        </w:rPr>
        <w:t>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   %</w:t>
      </w:r>
      <w:r>
        <w:rPr>
          <w:rFonts w:hint="eastAsia" w:ascii="宋体" w:hAnsi="宋体" w:cs="宋体"/>
          <w:sz w:val="24"/>
          <w:highlight w:val="none"/>
        </w:rPr>
        <w:t>），合同履行期间国家税率调整或乙方开票的实际税率与前述税率不一致的，不含税价不</w:t>
      </w:r>
      <w:r>
        <w:rPr>
          <w:rFonts w:hint="eastAsia" w:ascii="宋体" w:hAnsi="宋体" w:cs="宋体"/>
          <w:sz w:val="24"/>
        </w:rPr>
        <w:t>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30天</w:t>
      </w:r>
      <w:r>
        <w:rPr>
          <w:rFonts w:hint="eastAsia" w:ascii="宋体" w:hAnsi="宋体" w:cs="宋体"/>
          <w:b w:val="0"/>
          <w:bCs w:val="0"/>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w:t>
      </w:r>
      <w:r>
        <w:rPr>
          <w:rFonts w:hint="eastAsia" w:hAnsi="宋体" w:cs="宋体"/>
          <w:spacing w:val="-8"/>
          <w:sz w:val="24"/>
          <w:szCs w:val="24"/>
          <w:lang w:val="en-US" w:eastAsia="zh-CN"/>
        </w:rPr>
        <w:t>5</w:t>
      </w:r>
      <w:r>
        <w:rPr>
          <w:rFonts w:hint="eastAsia" w:hAnsi="宋体" w:cs="宋体"/>
          <w:spacing w:val="-8"/>
          <w:sz w:val="24"/>
          <w:szCs w:val="24"/>
        </w:rPr>
        <w:t>中的相关人员，如确须更换，应提前征得甲方</w:t>
      </w:r>
      <w:r>
        <w:rPr>
          <w:rFonts w:hint="eastAsia" w:hAnsi="宋体" w:cs="宋体"/>
          <w:spacing w:val="-8"/>
          <w:sz w:val="24"/>
          <w:szCs w:val="24"/>
          <w:lang w:val="en-US" w:eastAsia="zh-CN"/>
        </w:rPr>
        <w:t>对应项目分公司</w:t>
      </w:r>
      <w:r>
        <w:rPr>
          <w:rFonts w:hint="eastAsia" w:hAnsi="宋体" w:cs="宋体"/>
          <w:spacing w:val="-8"/>
          <w:sz w:val="24"/>
          <w:szCs w:val="24"/>
        </w:rPr>
        <w:t>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hint="eastAsia"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w:t>
      </w:r>
    </w:p>
    <w:p>
      <w:pPr>
        <w:widowControl/>
        <w:spacing w:line="500" w:lineRule="exact"/>
        <w:jc w:val="left"/>
      </w:pPr>
      <w:r>
        <w:rPr>
          <w:rFonts w:hint="eastAsia" w:ascii="宋体" w:hAnsi="宋体" w:eastAsia="宋体" w:cs="宋体"/>
          <w:color w:val="auto"/>
          <w:sz w:val="24"/>
          <w:szCs w:val="24"/>
          <w:highlight w:val="none"/>
          <w:lang w:val="en-US" w:eastAsia="zh-CN"/>
        </w:rPr>
        <w:t>照表（安全）》、《</w:t>
      </w:r>
      <w:r>
        <w:rPr>
          <w:rFonts w:hint="eastAsia" w:ascii="宋体" w:hAnsi="宋体" w:cs="宋体"/>
          <w:sz w:val="24"/>
          <w:szCs w:val="24"/>
        </w:rPr>
        <w:t>营运项目承包单位综合履约考评表（安全）</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处理</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具体处理标准详见附件。</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8"/>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w:t>
      </w:r>
      <w:r>
        <w:rPr>
          <w:rFonts w:hint="eastAsia" w:ascii="宋体" w:hAnsi="宋体" w:eastAsia="宋体" w:cs="宋体"/>
          <w:bCs/>
          <w:color w:val="000000"/>
          <w:sz w:val="24"/>
          <w:szCs w:val="24"/>
          <w:highlight w:val="none"/>
          <w:lang w:val="en-US" w:eastAsia="zh-CN"/>
        </w:rPr>
        <w:t>项目一、项目四</w:t>
      </w:r>
      <w:r>
        <w:rPr>
          <w:rFonts w:hint="eastAsia" w:ascii="宋体" w:hAnsi="宋体" w:cs="宋体"/>
          <w:sz w:val="24"/>
          <w:highlight w:val="none"/>
          <w:lang w:val="en-US" w:eastAsia="zh-CN"/>
        </w:rPr>
        <w:t>由</w:t>
      </w:r>
      <w:r>
        <w:rPr>
          <w:rFonts w:hint="eastAsia" w:ascii="宋体" w:hAnsi="宋体" w:cs="宋体"/>
          <w:sz w:val="24"/>
          <w:highlight w:val="none"/>
        </w:rPr>
        <w:t>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color w:val="auto"/>
          <w:sz w:val="24"/>
          <w:highlight w:val="none"/>
          <w:lang w:val="en-US" w:eastAsia="zh-CN"/>
        </w:rPr>
        <w:t>其他项目由</w:t>
      </w:r>
      <w:r>
        <w:rPr>
          <w:rFonts w:hint="eastAsia" w:ascii="宋体" w:hAnsi="宋体" w:cs="宋体"/>
          <w:color w:val="auto"/>
          <w:sz w:val="24"/>
          <w:highlight w:val="none"/>
        </w:rPr>
        <w:t>甲方支付至</w:t>
      </w:r>
      <w:r>
        <w:rPr>
          <w:rFonts w:hint="eastAsia" w:ascii="宋体" w:hAnsi="宋体" w:cs="宋体"/>
          <w:color w:val="auto"/>
          <w:sz w:val="24"/>
          <w:highlight w:val="none"/>
          <w:lang w:val="en-US" w:eastAsia="zh-CN"/>
        </w:rPr>
        <w:t>各项目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100</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w:t>
      </w:r>
      <w:r>
        <w:rPr>
          <w:rFonts w:hint="eastAsia" w:ascii="宋体" w:hAnsi="宋体" w:eastAsia="宋体" w:cs="宋体"/>
          <w:bCs/>
          <w:color w:val="000000"/>
          <w:sz w:val="24"/>
          <w:szCs w:val="24"/>
          <w:highlight w:val="none"/>
          <w:lang w:val="en-US" w:eastAsia="zh-CN"/>
        </w:rPr>
        <w:t>项目一、项目四</w:t>
      </w:r>
      <w:r>
        <w:rPr>
          <w:rFonts w:hint="eastAsia" w:hAnsi="宋体" w:cs="宋体"/>
          <w:sz w:val="24"/>
          <w:lang w:val="en-US" w:eastAsia="zh-CN"/>
        </w:rPr>
        <w:t>由</w:t>
      </w:r>
      <w:r>
        <w:rPr>
          <w:rFonts w:hint="eastAsia" w:hAnsi="宋体" w:cs="宋体"/>
          <w:sz w:val="24"/>
        </w:rPr>
        <w:t>甲方支付合同结算价的</w:t>
      </w:r>
      <w:r>
        <w:rPr>
          <w:rFonts w:hAnsi="宋体" w:cs="宋体"/>
          <w:sz w:val="24"/>
        </w:rPr>
        <w:t>5</w:t>
      </w:r>
      <w:r>
        <w:rPr>
          <w:rFonts w:hint="eastAsia" w:hAnsi="宋体" w:cs="宋体"/>
          <w:sz w:val="24"/>
        </w:rPr>
        <w:t>％（质保金）给乙方（无息）。</w:t>
      </w:r>
    </w:p>
    <w:p>
      <w:pPr>
        <w:pStyle w:val="13"/>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2"/>
        <w:spacing w:before="0" w:beforeAutospacing="0" w:after="0" w:afterAutospacing="0" w:line="500" w:lineRule="exact"/>
        <w:ind w:firstLine="480"/>
      </w:pPr>
      <w:r>
        <w:rPr>
          <w:rFonts w:hint="eastAsia"/>
        </w:rPr>
        <w:t>（1）符合甲方要求（详见附件保函格式）的银行独立保函，</w:t>
      </w:r>
    </w:p>
    <w:p>
      <w:pPr>
        <w:pStyle w:val="22"/>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3"/>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7"/>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w:t>
      </w:r>
      <w:r>
        <w:rPr>
          <w:rFonts w:hint="eastAsia" w:ascii="宋体" w:hAnsi="宋体" w:cs="宋体"/>
          <w:bCs/>
          <w:sz w:val="24"/>
        </w:rPr>
        <w:t>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8"/>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工程量清单报价</w:t>
      </w:r>
    </w:p>
    <w:p>
      <w:pPr>
        <w:spacing w:line="500" w:lineRule="exact"/>
        <w:rPr>
          <w:rFonts w:hint="eastAsia" w:asciiTheme="minorEastAsia" w:hAnsiTheme="minorEastAsia" w:eastAsiaTheme="minorEastAsia" w:cstheme="minorEastAsia"/>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szCs w:val="24"/>
        </w:rPr>
        <w:t>营运项目承包单位日常履约考评参照表（安全）</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营运项目承包单位综合履约考评表（安全）</w:t>
      </w:r>
    </w:p>
    <w:p>
      <w:pPr>
        <w:pStyle w:val="7"/>
      </w:pPr>
    </w:p>
    <w:p>
      <w:pPr>
        <w:pStyle w:val="48"/>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020-38890411</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广州市净水有限公司竹料分公司发电机房发电机维修项目（第二次）</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广州市净水有限公司竹料分公司发电机房发电机维修项目（第二次）</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宋体" w:hAnsi="宋体" w:cs="宋体"/>
          <w:sz w:val="24"/>
          <w:u w:val="single"/>
          <w:lang w:val="en-US" w:eastAsia="zh-CN"/>
        </w:rPr>
        <w:t>广州市净水有限公司竹料分公司发电机房发电机维修项目（第二次）</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tabs>
          <w:tab w:val="left" w:pos="4170"/>
        </w:tabs>
        <w:spacing w:line="360" w:lineRule="auto"/>
        <w:rPr>
          <w:rFonts w:hint="eastAsia" w:ascii="宋体" w:hAnsi="宋体" w:cs="宋体"/>
          <w:b/>
          <w:szCs w:val="21"/>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bCs/>
          <w:color w:val="auto"/>
          <w:szCs w:val="21"/>
          <w:highlight w:val="none"/>
        </w:rPr>
      </w:pPr>
    </w:p>
    <w:p>
      <w:pPr>
        <w:pStyle w:val="7"/>
        <w:ind w:firstLine="0"/>
        <w:rPr>
          <w:rFonts w:hint="default" w:ascii="宋体" w:hAnsi="宋体" w:eastAsia="微软雅黑" w:cs="宋体"/>
          <w:b/>
          <w:szCs w:val="21"/>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pStyle w:val="2"/>
        <w:ind w:left="0" w:leftChars="0" w:firstLine="0" w:firstLineChars="0"/>
        <w:rPr>
          <w:rFonts w:ascii="宋体" w:hAnsi="宋体" w:cs="宋体"/>
          <w:b/>
          <w:bCs/>
          <w:color w:val="auto"/>
          <w:sz w:val="24"/>
          <w:szCs w:val="24"/>
          <w:highlight w:val="none"/>
        </w:rPr>
      </w:pPr>
    </w:p>
    <w:p>
      <w:pPr>
        <w:pStyle w:val="2"/>
        <w:ind w:left="0" w:leftChars="0" w:firstLine="0" w:firstLineChars="0"/>
        <w:rPr>
          <w:rFonts w:hint="eastAsia" w:cs="宋体"/>
          <w:b/>
          <w:bCs/>
          <w:color w:val="auto"/>
          <w:sz w:val="24"/>
          <w:szCs w:val="24"/>
          <w:highlight w:val="none"/>
          <w:lang w:val="en-US" w:eastAsia="zh-CN"/>
        </w:rPr>
      </w:pPr>
    </w:p>
    <w:p>
      <w:pPr>
        <w:pStyle w:val="2"/>
        <w:ind w:left="0" w:leftChars="0" w:firstLine="0" w:firstLineChars="0"/>
        <w:rPr>
          <w:rFonts w:hint="default" w:ascii="宋体" w:hAnsi="宋体" w:eastAsia="等线" w:cs="宋体"/>
          <w:b/>
          <w:bCs/>
          <w:color w:val="auto"/>
          <w:sz w:val="24"/>
          <w:szCs w:val="24"/>
          <w:highlight w:val="none"/>
          <w:lang w:val="en-US" w:eastAsia="zh-CN"/>
        </w:rPr>
      </w:pPr>
      <w:r>
        <w:rPr>
          <w:rFonts w:hint="eastAsia" w:cs="宋体"/>
          <w:b/>
          <w:bCs/>
          <w:color w:val="auto"/>
          <w:sz w:val="24"/>
          <w:szCs w:val="24"/>
          <w:highlight w:val="none"/>
          <w:lang w:val="en-US" w:eastAsia="zh-CN"/>
        </w:rPr>
        <w:t>附件6</w:t>
      </w: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86" w:name="_Toc6230"/>
      <w:bookmarkStart w:id="87" w:name="_Toc5129"/>
      <w:bookmarkStart w:id="88" w:name="_Toc3723"/>
      <w:bookmarkStart w:id="89" w:name="_Toc12169"/>
      <w:bookmarkStart w:id="90" w:name="_Toc23515"/>
      <w:bookmarkStart w:id="91" w:name="_Toc16552"/>
      <w:bookmarkStart w:id="92" w:name="_Toc30824"/>
      <w:bookmarkStart w:id="93" w:name="_Toc21847"/>
      <w:bookmarkStart w:id="94" w:name="_Toc28358"/>
      <w:bookmarkStart w:id="95" w:name="_Toc8147"/>
      <w:bookmarkStart w:id="96" w:name="_Toc1563"/>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8"/>
        <w:rPr>
          <w:color w:val="auto"/>
          <w:highlight w:val="none"/>
        </w:rPr>
      </w:pPr>
    </w:p>
    <w:p>
      <w:pPr>
        <w:pStyle w:val="4"/>
        <w:rPr>
          <w:color w:val="auto"/>
          <w:highlight w:val="none"/>
        </w:rPr>
      </w:pPr>
      <w:bookmarkStart w:id="97" w:name="_Toc31564"/>
      <w:bookmarkStart w:id="98" w:name="_Toc30157"/>
      <w:bookmarkStart w:id="99" w:name="_Toc12769"/>
      <w:bookmarkStart w:id="100" w:name="_Toc87616388"/>
      <w:bookmarkStart w:id="101" w:name="_Toc12610"/>
      <w:bookmarkStart w:id="102" w:name="_Toc24815"/>
      <w:bookmarkStart w:id="103" w:name="_Toc24490"/>
      <w:bookmarkStart w:id="104" w:name="_Toc5342"/>
      <w:bookmarkStart w:id="105" w:name="_Toc10840"/>
      <w:bookmarkStart w:id="106" w:name="_Toc21675"/>
      <w:bookmarkStart w:id="107" w:name="_Toc22764"/>
      <w:bookmarkStart w:id="108" w:name="_Toc17119"/>
      <w:bookmarkStart w:id="109" w:name="_Toc88209951"/>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hint="eastAsia" w:ascii="仿宋_GB2312" w:eastAsia="仿宋_GB2312"/>
          <w:color w:val="auto"/>
          <w:sz w:val="30"/>
          <w:szCs w:val="30"/>
          <w:highlight w:val="none"/>
        </w:rPr>
        <w:t>（项目编号：   ）</w:t>
      </w: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8209952"/>
      <w:bookmarkStart w:id="111" w:name="_Toc87616389"/>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6" w:name="_Toc28619645"/>
      <w:bookmarkStart w:id="117" w:name="_Toc6313"/>
      <w:bookmarkStart w:id="118" w:name="_Toc87616394"/>
      <w:bookmarkStart w:id="119" w:name="_Toc88209957"/>
      <w:bookmarkStart w:id="120" w:name="_Toc12665"/>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left="559" w:leftChars="266" w:firstLine="0" w:firstLineChars="0"/>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spacing w:line="400" w:lineRule="exact"/>
        <w:rPr>
          <w:rFonts w:asciiTheme="minorEastAsia" w:hAnsiTheme="minorEastAsia" w:eastAsiaTheme="minorEastAsia"/>
          <w:color w:val="auto"/>
          <w:sz w:val="28"/>
          <w:szCs w:val="28"/>
          <w:highlight w:val="none"/>
        </w:rPr>
      </w:pPr>
      <w:bookmarkStart w:id="121" w:name="_Toc88209958"/>
      <w:bookmarkStart w:id="122" w:name="_Toc22527"/>
      <w:bookmarkStart w:id="123" w:name="_Toc87616395"/>
      <w:bookmarkStart w:id="124" w:name="_Toc29833"/>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5" w:name="_Toc8086"/>
      <w:bookmarkStart w:id="126" w:name="_Toc19830"/>
      <w:bookmarkStart w:id="127" w:name="_Toc87616400"/>
      <w:bookmarkStart w:id="12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8"/>
        </w:numPr>
        <w:rPr>
          <w:rFonts w:hint="eastAsia" w:asciiTheme="minorEastAsia" w:hAnsiTheme="minorEastAsia" w:eastAsiaTheme="minorEastAsia"/>
          <w:color w:val="auto"/>
          <w:sz w:val="28"/>
          <w:szCs w:val="28"/>
          <w:highlight w:val="none"/>
        </w:rPr>
      </w:pPr>
      <w:bookmarkStart w:id="130" w:name="_Toc19423"/>
      <w:bookmarkStart w:id="131"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广州市净水有限公司竹料分公司发电机房发电机维修项目（第二次）报价表</w:t>
      </w:r>
    </w:p>
    <w:bookmarkEnd w:id="130"/>
    <w:bookmarkEnd w:id="131"/>
    <w:tbl>
      <w:tblPr>
        <w:tblStyle w:val="23"/>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7"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含税价（元）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竹料分公司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0"/>
                <w:szCs w:val="20"/>
                <w:highlight w:val="none"/>
                <w:u w:val="none"/>
                <w:lang w:val="en-US" w:eastAsia="zh-CN" w:bidi="ar"/>
              </w:rPr>
              <w:t>竹料分公司发电机房发电机维修项目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869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合计：    元（含税：  %）</w:t>
            </w:r>
          </w:p>
        </w:tc>
      </w:tr>
    </w:tbl>
    <w:p>
      <w:pPr>
        <w:pStyle w:val="11"/>
        <w:rPr>
          <w:rFonts w:hint="default"/>
          <w:b/>
          <w:bCs/>
          <w:color w:val="auto"/>
          <w:sz w:val="28"/>
          <w:szCs w:val="32"/>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1"/>
        <w:gridCol w:w="3141"/>
        <w:gridCol w:w="283"/>
        <w:gridCol w:w="1509"/>
        <w:gridCol w:w="919"/>
        <w:gridCol w:w="2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8175"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pStyle w:val="7"/>
              <w:rPr>
                <w:rFonts w:hint="eastAsia"/>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0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118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973"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2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2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25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79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预算价合计=1+2+3+5</w:t>
            </w:r>
          </w:p>
        </w:tc>
        <w:tc>
          <w:tcPr>
            <w:tcW w:w="212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75"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017"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973"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28" w:type="dxa"/>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c>
          <w:tcPr>
            <w:tcW w:w="2467"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222"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1185"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722"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2251"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48"/>
        <w:spacing w:line="360" w:lineRule="auto"/>
        <w:jc w:val="center"/>
        <w:rPr>
          <w:rFonts w:hint="eastAsia" w:ascii="仿宋_GB2312" w:hAnsi="仿宋_GB2312" w:cs="仿宋_GB2312"/>
          <w:b/>
          <w:bCs w:val="0"/>
          <w:color w:val="auto"/>
          <w:kern w:val="2"/>
          <w:sz w:val="28"/>
          <w:szCs w:val="28"/>
          <w:highlight w:val="none"/>
        </w:rPr>
      </w:pPr>
    </w:p>
    <w:tbl>
      <w:tblPr>
        <w:tblStyle w:val="23"/>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080"/>
        <w:gridCol w:w="2880"/>
        <w:gridCol w:w="325"/>
        <w:gridCol w:w="440"/>
        <w:gridCol w:w="570"/>
        <w:gridCol w:w="660"/>
        <w:gridCol w:w="446"/>
        <w:gridCol w:w="22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257"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211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5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柴油发电机组</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1.名称：更换整套发电机（含轴承）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2.型号：EG355-500N3</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3.保质期：质量保证期一年</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拆除电动发电机组</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1.名称：拆除整台发电机</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1.名称:发电机带负荷调试</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2.要求:拆卸防护罩、出具调试合格检测报告</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1.名称:发电机空载调试运行</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2.要求:现场开机空载调试运行</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大型设备场外运输</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1.名称：发电机运输（每车每次）</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62"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6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7"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89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1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9"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9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p>
            <w:pPr>
              <w:jc w:val="left"/>
              <w:rPr>
                <w:rFonts w:hint="eastAsia" w:ascii="宋体" w:hAnsi="宋体" w:eastAsia="宋体" w:cs="宋体"/>
                <w:i w:val="0"/>
                <w:iCs w:val="0"/>
                <w:color w:val="000000"/>
                <w:sz w:val="18"/>
                <w:szCs w:val="18"/>
                <w:u w:val="none"/>
              </w:rPr>
            </w:pPr>
          </w:p>
        </w:tc>
        <w:tc>
          <w:tcPr>
            <w:tcW w:w="211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9"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kern w:val="0"/>
                <w:sz w:val="18"/>
                <w:szCs w:val="18"/>
                <w:u w:val="none"/>
                <w:lang w:val="en-US" w:eastAsia="zh-CN" w:bidi="ar"/>
              </w:rPr>
            </w:pPr>
          </w:p>
        </w:tc>
      </w:tr>
    </w:tbl>
    <w:p>
      <w:pPr>
        <w:ind w:firstLine="280" w:firstLineChars="100"/>
        <w:jc w:val="left"/>
        <w:rPr>
          <w:rFonts w:hint="eastAsia" w:ascii="仿宋_GB2312" w:hAnsi="仿宋_GB2312" w:eastAsia="仿宋_GB2312" w:cs="仿宋_GB2312"/>
          <w:color w:val="000000"/>
          <w:sz w:val="28"/>
          <w:szCs w:val="28"/>
          <w:u w:val="single"/>
        </w:rPr>
      </w:pPr>
    </w:p>
    <w:tbl>
      <w:tblPr>
        <w:tblStyle w:val="23"/>
        <w:tblW w:w="8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798"/>
        <w:gridCol w:w="944"/>
        <w:gridCol w:w="910"/>
        <w:gridCol w:w="87"/>
        <w:gridCol w:w="885"/>
        <w:gridCol w:w="795"/>
        <w:gridCol w:w="193"/>
        <w:gridCol w:w="720"/>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43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54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168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4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9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7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9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4266.63</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9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94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88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3"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8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07"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43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54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168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4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9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7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9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56"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4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88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3"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8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07"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7"/>
        <w:ind w:left="0" w:leftChars="0" w:firstLine="0" w:firstLineChars="0"/>
        <w:rPr>
          <w:rFonts w:hint="eastAsia"/>
        </w:rPr>
      </w:pPr>
    </w:p>
    <w:tbl>
      <w:tblPr>
        <w:tblStyle w:val="23"/>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2"/>
        <w:gridCol w:w="1515"/>
        <w:gridCol w:w="630"/>
        <w:gridCol w:w="1103"/>
        <w:gridCol w:w="1015"/>
        <w:gridCol w:w="525"/>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5" w:type="dxa"/>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2325" w:type="dxa"/>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83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8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211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2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4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8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5956.50</w:t>
            </w: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3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3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87"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18"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325"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7"/>
        <w:ind w:left="0" w:leftChars="0" w:firstLine="0" w:firstLineChars="0"/>
        <w:rPr>
          <w:rFonts w:hint="eastAsia"/>
        </w:rPr>
      </w:pPr>
    </w:p>
    <w:p>
      <w:pPr>
        <w:pStyle w:val="7"/>
        <w:ind w:left="0" w:leftChars="0" w:firstLine="0" w:firstLineChars="0"/>
        <w:rPr>
          <w:rFonts w:hint="eastAsia"/>
        </w:rPr>
      </w:pPr>
    </w:p>
    <w:tbl>
      <w:tblPr>
        <w:tblStyle w:val="23"/>
        <w:tblW w:w="7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1543"/>
        <w:gridCol w:w="1752"/>
        <w:gridCol w:w="228"/>
        <w:gridCol w:w="1334"/>
        <w:gridCol w:w="18"/>
        <w:gridCol w:w="929"/>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965"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1580"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2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4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7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0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1"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04"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0"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2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7"/>
        <w:rPr>
          <w:rFonts w:hint="eastAsia" w:ascii="仿宋" w:hAnsi="仿宋" w:eastAsia="仿宋" w:cs="仿宋_GB2312"/>
          <w:color w:val="auto"/>
          <w:sz w:val="28"/>
          <w:szCs w:val="28"/>
          <w:highlight w:val="none"/>
        </w:rPr>
      </w:pPr>
    </w:p>
    <w:p>
      <w:pPr>
        <w:pStyle w:val="7"/>
        <w:rPr>
          <w:rFonts w:hint="eastAsia"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
        <w:rPr>
          <w:rFonts w:hint="default"/>
          <w:color w:val="auto"/>
          <w:highlight w:val="none"/>
          <w:lang w:val="en-US"/>
        </w:rPr>
      </w:pPr>
    </w:p>
    <w:p>
      <w:pPr>
        <w:pStyle w:val="2"/>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2" w:name="_Toc16386"/>
      <w:bookmarkStart w:id="133" w:name="_Toc87616402"/>
      <w:bookmarkStart w:id="134" w:name="_Toc88209965"/>
      <w:bookmarkStart w:id="13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7"/>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keepNext/>
        <w:keepLines/>
        <w:ind w:firstLine="0" w:firstLineChars="0"/>
        <w:outlineLvl w:val="9"/>
        <w:rPr>
          <w:rFonts w:hint="eastAsia" w:cs="Times New Roman" w:asciiTheme="majorEastAsia" w:hAnsiTheme="majorEastAsia" w:eastAsiaTheme="majorEastAsia"/>
          <w:b/>
          <w:color w:val="auto"/>
          <w:sz w:val="28"/>
          <w:szCs w:val="28"/>
          <w:highlight w:val="none"/>
          <w:lang w:val="en-US" w:eastAsia="zh-CN"/>
        </w:rPr>
      </w:pPr>
    </w:p>
    <w:p>
      <w:pPr>
        <w:keepNext/>
        <w:keepLines/>
        <w:ind w:firstLine="0" w:firstLineChars="0"/>
        <w:outlineLvl w:val="9"/>
        <w:rPr>
          <w:rFonts w:hint="eastAsia" w:cs="Times New Roman" w:asciiTheme="majorEastAsia" w:hAnsiTheme="majorEastAsia" w:eastAsiaTheme="majorEastAsia"/>
          <w:b/>
          <w:color w:val="auto"/>
          <w:sz w:val="28"/>
          <w:szCs w:val="28"/>
          <w:highlight w:val="none"/>
          <w:lang w:val="en-US" w:eastAsia="zh-CN"/>
        </w:rPr>
      </w:pPr>
    </w:p>
    <w:p>
      <w:pPr>
        <w:keepNext/>
        <w:keepLines/>
        <w:ind w:firstLine="0" w:firstLineChars="0"/>
        <w:outlineLvl w:val="9"/>
        <w:rPr>
          <w:rFonts w:hint="eastAsia" w:cs="Times New Roman" w:asciiTheme="majorEastAsia" w:hAnsiTheme="majorEastAsia" w:eastAsiaTheme="majorEastAsia"/>
          <w:b/>
          <w:color w:val="auto"/>
          <w:sz w:val="28"/>
          <w:szCs w:val="28"/>
          <w:highlight w:val="none"/>
          <w:lang w:val="en-US" w:eastAsia="zh-CN"/>
        </w:rPr>
      </w:pPr>
    </w:p>
    <w:p>
      <w:pPr>
        <w:keepNext/>
        <w:keepLines/>
        <w:ind w:firstLine="0" w:firstLineChars="0"/>
        <w:outlineLvl w:val="9"/>
        <w:rPr>
          <w:rFonts w:hint="eastAsia" w:cs="Times New Roman" w:asciiTheme="majorEastAsia" w:hAnsiTheme="majorEastAsia" w:eastAsiaTheme="majorEastAsia"/>
          <w:b/>
          <w:color w:val="auto"/>
          <w:sz w:val="28"/>
          <w:szCs w:val="28"/>
          <w:highlight w:val="none"/>
          <w:lang w:val="en-US" w:eastAsia="zh-CN"/>
        </w:rPr>
      </w:pPr>
    </w:p>
    <w:p>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F71A52D"/>
    <w:multiLevelType w:val="singleLevel"/>
    <w:tmpl w:val="DF71A52D"/>
    <w:lvl w:ilvl="0" w:tentative="0">
      <w:start w:val="5"/>
      <w:numFmt w:val="decimal"/>
      <w:lvlText w:val="%1."/>
      <w:lvlJc w:val="left"/>
      <w:pPr>
        <w:tabs>
          <w:tab w:val="left" w:pos="312"/>
        </w:tabs>
      </w:pPr>
    </w:lvl>
  </w:abstractNum>
  <w:abstractNum w:abstractNumId="4">
    <w:nsid w:val="EEF36D1F"/>
    <w:multiLevelType w:val="singleLevel"/>
    <w:tmpl w:val="EEF36D1F"/>
    <w:lvl w:ilvl="0" w:tentative="0">
      <w:start w:val="1"/>
      <w:numFmt w:val="chineseCounting"/>
      <w:suff w:val="nothing"/>
      <w:lvlText w:val="%1、"/>
      <w:lvlJc w:val="left"/>
      <w:rPr>
        <w:rFonts w:hint="eastAsia"/>
      </w:rPr>
    </w:lvl>
  </w:abstractNum>
  <w:abstractNum w:abstractNumId="5">
    <w:nsid w:val="F474C9A6"/>
    <w:multiLevelType w:val="singleLevel"/>
    <w:tmpl w:val="F474C9A6"/>
    <w:lvl w:ilvl="0" w:tentative="0">
      <w:start w:val="10"/>
      <w:numFmt w:val="chineseCounting"/>
      <w:suff w:val="space"/>
      <w:lvlText w:val="第%1条"/>
      <w:lvlJc w:val="left"/>
      <w:rPr>
        <w:rFonts w:hint="eastAsia"/>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7"/>
  </w:num>
  <w:num w:numId="3">
    <w:abstractNumId w:val="6"/>
  </w:num>
  <w:num w:numId="4">
    <w:abstractNumId w:val="4"/>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A23A3C"/>
    <w:rsid w:val="02FB196F"/>
    <w:rsid w:val="032F0A28"/>
    <w:rsid w:val="035D130A"/>
    <w:rsid w:val="039110A9"/>
    <w:rsid w:val="03AC246A"/>
    <w:rsid w:val="03AE6061"/>
    <w:rsid w:val="03B23056"/>
    <w:rsid w:val="03DA023E"/>
    <w:rsid w:val="03DC3EBA"/>
    <w:rsid w:val="03F9794D"/>
    <w:rsid w:val="046A2461"/>
    <w:rsid w:val="051C2970"/>
    <w:rsid w:val="05524952"/>
    <w:rsid w:val="05545D73"/>
    <w:rsid w:val="060C3611"/>
    <w:rsid w:val="06C64829"/>
    <w:rsid w:val="070E7B6E"/>
    <w:rsid w:val="071D62B7"/>
    <w:rsid w:val="077D16D2"/>
    <w:rsid w:val="07931514"/>
    <w:rsid w:val="082A69F3"/>
    <w:rsid w:val="08675FC8"/>
    <w:rsid w:val="096D6157"/>
    <w:rsid w:val="09B713FD"/>
    <w:rsid w:val="09EF6ACC"/>
    <w:rsid w:val="0A1010FE"/>
    <w:rsid w:val="0A315056"/>
    <w:rsid w:val="0A3E3B7B"/>
    <w:rsid w:val="0A5A6874"/>
    <w:rsid w:val="0A694621"/>
    <w:rsid w:val="0A9420A7"/>
    <w:rsid w:val="0AA213B4"/>
    <w:rsid w:val="0AF61C7E"/>
    <w:rsid w:val="0AFB45AD"/>
    <w:rsid w:val="0B136AE7"/>
    <w:rsid w:val="0B184EE1"/>
    <w:rsid w:val="0B351E9B"/>
    <w:rsid w:val="0B4C50D3"/>
    <w:rsid w:val="0B806B92"/>
    <w:rsid w:val="0B827E94"/>
    <w:rsid w:val="0B842F76"/>
    <w:rsid w:val="0BD070E1"/>
    <w:rsid w:val="0BD65B6B"/>
    <w:rsid w:val="0C2361E7"/>
    <w:rsid w:val="0C247926"/>
    <w:rsid w:val="0C8C7917"/>
    <w:rsid w:val="0CD850FC"/>
    <w:rsid w:val="0D037263"/>
    <w:rsid w:val="0D794204"/>
    <w:rsid w:val="0DCB035E"/>
    <w:rsid w:val="0DE4113F"/>
    <w:rsid w:val="0DFF7475"/>
    <w:rsid w:val="0E2125D1"/>
    <w:rsid w:val="0E214211"/>
    <w:rsid w:val="0E5F2769"/>
    <w:rsid w:val="0EA94EE3"/>
    <w:rsid w:val="0ED8332F"/>
    <w:rsid w:val="0F4D75A3"/>
    <w:rsid w:val="0F5B2DCA"/>
    <w:rsid w:val="0F714D08"/>
    <w:rsid w:val="0FA20605"/>
    <w:rsid w:val="0FED051E"/>
    <w:rsid w:val="0FEE4C29"/>
    <w:rsid w:val="0FFD33F6"/>
    <w:rsid w:val="10031608"/>
    <w:rsid w:val="10046082"/>
    <w:rsid w:val="100504DA"/>
    <w:rsid w:val="104974DD"/>
    <w:rsid w:val="111703D2"/>
    <w:rsid w:val="112B101A"/>
    <w:rsid w:val="119B53FC"/>
    <w:rsid w:val="1215733B"/>
    <w:rsid w:val="121821D6"/>
    <w:rsid w:val="123F049F"/>
    <w:rsid w:val="12424CDC"/>
    <w:rsid w:val="12606B78"/>
    <w:rsid w:val="129A2738"/>
    <w:rsid w:val="12B56BF1"/>
    <w:rsid w:val="12CB1A89"/>
    <w:rsid w:val="131840FB"/>
    <w:rsid w:val="1339277B"/>
    <w:rsid w:val="13467417"/>
    <w:rsid w:val="135A0957"/>
    <w:rsid w:val="136E76CF"/>
    <w:rsid w:val="13934999"/>
    <w:rsid w:val="13CE1647"/>
    <w:rsid w:val="145F08C6"/>
    <w:rsid w:val="14E43F59"/>
    <w:rsid w:val="14FE0367"/>
    <w:rsid w:val="15115A93"/>
    <w:rsid w:val="15776308"/>
    <w:rsid w:val="159759D3"/>
    <w:rsid w:val="15BC6B3C"/>
    <w:rsid w:val="15EC2C59"/>
    <w:rsid w:val="16360A7B"/>
    <w:rsid w:val="164D40B0"/>
    <w:rsid w:val="1694429A"/>
    <w:rsid w:val="169B415C"/>
    <w:rsid w:val="173167D3"/>
    <w:rsid w:val="17630C63"/>
    <w:rsid w:val="17635326"/>
    <w:rsid w:val="17B803EA"/>
    <w:rsid w:val="1815096B"/>
    <w:rsid w:val="18236EFD"/>
    <w:rsid w:val="18377249"/>
    <w:rsid w:val="185D743E"/>
    <w:rsid w:val="185E60AE"/>
    <w:rsid w:val="189D5B1F"/>
    <w:rsid w:val="18A01FEE"/>
    <w:rsid w:val="18A34CD0"/>
    <w:rsid w:val="19A53EA8"/>
    <w:rsid w:val="19B64DBC"/>
    <w:rsid w:val="19EC6A4A"/>
    <w:rsid w:val="1A1B310D"/>
    <w:rsid w:val="1A373ACF"/>
    <w:rsid w:val="1A7B10BA"/>
    <w:rsid w:val="1A895341"/>
    <w:rsid w:val="1AE01BA2"/>
    <w:rsid w:val="1B0D071F"/>
    <w:rsid w:val="1B4568CE"/>
    <w:rsid w:val="1B7332BB"/>
    <w:rsid w:val="1B9015B7"/>
    <w:rsid w:val="1B950DA6"/>
    <w:rsid w:val="1BF3583D"/>
    <w:rsid w:val="1BF54245"/>
    <w:rsid w:val="1D0E6976"/>
    <w:rsid w:val="1D5A79EE"/>
    <w:rsid w:val="1DCD55AE"/>
    <w:rsid w:val="1DDD4E4F"/>
    <w:rsid w:val="1E0E2CD0"/>
    <w:rsid w:val="1E831280"/>
    <w:rsid w:val="1EBC4704"/>
    <w:rsid w:val="1ED633E5"/>
    <w:rsid w:val="1EE522C8"/>
    <w:rsid w:val="1EF70FD8"/>
    <w:rsid w:val="1F172EB5"/>
    <w:rsid w:val="1F22070B"/>
    <w:rsid w:val="1F2E0F47"/>
    <w:rsid w:val="1F94592D"/>
    <w:rsid w:val="1FB76C2B"/>
    <w:rsid w:val="1FB860DE"/>
    <w:rsid w:val="203C5A02"/>
    <w:rsid w:val="204C61C0"/>
    <w:rsid w:val="205945BD"/>
    <w:rsid w:val="209D4C94"/>
    <w:rsid w:val="20B44FCD"/>
    <w:rsid w:val="20E84705"/>
    <w:rsid w:val="217E77AA"/>
    <w:rsid w:val="218400BA"/>
    <w:rsid w:val="21AB1E2F"/>
    <w:rsid w:val="21D40498"/>
    <w:rsid w:val="21EA0C02"/>
    <w:rsid w:val="22493963"/>
    <w:rsid w:val="22767047"/>
    <w:rsid w:val="22863F44"/>
    <w:rsid w:val="22BC1419"/>
    <w:rsid w:val="23A05588"/>
    <w:rsid w:val="23C42853"/>
    <w:rsid w:val="23C72154"/>
    <w:rsid w:val="240476A1"/>
    <w:rsid w:val="24E953B9"/>
    <w:rsid w:val="25431AEB"/>
    <w:rsid w:val="25B875EB"/>
    <w:rsid w:val="25BE3BFB"/>
    <w:rsid w:val="25BF43FD"/>
    <w:rsid w:val="25F86BCD"/>
    <w:rsid w:val="2605748B"/>
    <w:rsid w:val="261849A4"/>
    <w:rsid w:val="26396D26"/>
    <w:rsid w:val="264544A6"/>
    <w:rsid w:val="267702FB"/>
    <w:rsid w:val="269E416A"/>
    <w:rsid w:val="26C11C6B"/>
    <w:rsid w:val="272100D3"/>
    <w:rsid w:val="272C72FC"/>
    <w:rsid w:val="275131CB"/>
    <w:rsid w:val="278F6521"/>
    <w:rsid w:val="27EB149D"/>
    <w:rsid w:val="27FD3E52"/>
    <w:rsid w:val="2818615F"/>
    <w:rsid w:val="281C4C20"/>
    <w:rsid w:val="281D56E4"/>
    <w:rsid w:val="28E11370"/>
    <w:rsid w:val="294A756A"/>
    <w:rsid w:val="2952530A"/>
    <w:rsid w:val="29781BF8"/>
    <w:rsid w:val="297939E2"/>
    <w:rsid w:val="29997B66"/>
    <w:rsid w:val="29C33ED0"/>
    <w:rsid w:val="29D5322D"/>
    <w:rsid w:val="2A025DD9"/>
    <w:rsid w:val="2A0C2A72"/>
    <w:rsid w:val="2A2619CB"/>
    <w:rsid w:val="2A7317D3"/>
    <w:rsid w:val="2A7C2231"/>
    <w:rsid w:val="2A920E4F"/>
    <w:rsid w:val="2ABB753D"/>
    <w:rsid w:val="2AF0266B"/>
    <w:rsid w:val="2AFE6EC4"/>
    <w:rsid w:val="2B345DDC"/>
    <w:rsid w:val="2B7A49FA"/>
    <w:rsid w:val="2B9A11D5"/>
    <w:rsid w:val="2BAA3FE1"/>
    <w:rsid w:val="2C320769"/>
    <w:rsid w:val="2C615D26"/>
    <w:rsid w:val="2C626979"/>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324C2E"/>
    <w:rsid w:val="327171DF"/>
    <w:rsid w:val="329D1AD3"/>
    <w:rsid w:val="32B62CC5"/>
    <w:rsid w:val="336558EB"/>
    <w:rsid w:val="337D1D45"/>
    <w:rsid w:val="3391569E"/>
    <w:rsid w:val="33CC077F"/>
    <w:rsid w:val="341E3434"/>
    <w:rsid w:val="34BB4442"/>
    <w:rsid w:val="35787AAF"/>
    <w:rsid w:val="3584136B"/>
    <w:rsid w:val="35FF5AA4"/>
    <w:rsid w:val="360B7EBA"/>
    <w:rsid w:val="36416867"/>
    <w:rsid w:val="367D5DD4"/>
    <w:rsid w:val="369C32FD"/>
    <w:rsid w:val="37666E72"/>
    <w:rsid w:val="379A65CC"/>
    <w:rsid w:val="38081EA3"/>
    <w:rsid w:val="38167A04"/>
    <w:rsid w:val="381C3783"/>
    <w:rsid w:val="38B74699"/>
    <w:rsid w:val="394B167A"/>
    <w:rsid w:val="39AD34EA"/>
    <w:rsid w:val="39DA2868"/>
    <w:rsid w:val="39DF6BF2"/>
    <w:rsid w:val="39EF679C"/>
    <w:rsid w:val="3A055F4B"/>
    <w:rsid w:val="3A4E4336"/>
    <w:rsid w:val="3A6007FE"/>
    <w:rsid w:val="3A802587"/>
    <w:rsid w:val="3A852164"/>
    <w:rsid w:val="3AF93D6C"/>
    <w:rsid w:val="3AFA5DF5"/>
    <w:rsid w:val="3AFD06C8"/>
    <w:rsid w:val="3B477B26"/>
    <w:rsid w:val="3B7C2CE4"/>
    <w:rsid w:val="3BAF716B"/>
    <w:rsid w:val="3C0B5355"/>
    <w:rsid w:val="3C4A461E"/>
    <w:rsid w:val="3CD4176B"/>
    <w:rsid w:val="3D1F44D9"/>
    <w:rsid w:val="3D5C38CD"/>
    <w:rsid w:val="3D98044D"/>
    <w:rsid w:val="3DD3648A"/>
    <w:rsid w:val="3E1C0706"/>
    <w:rsid w:val="3E5070F1"/>
    <w:rsid w:val="3E69598F"/>
    <w:rsid w:val="3E7569E0"/>
    <w:rsid w:val="3EC370CB"/>
    <w:rsid w:val="3ED75868"/>
    <w:rsid w:val="3F541662"/>
    <w:rsid w:val="3F6C3589"/>
    <w:rsid w:val="3F850180"/>
    <w:rsid w:val="3F9004D6"/>
    <w:rsid w:val="3FEE7CFA"/>
    <w:rsid w:val="400E4D5E"/>
    <w:rsid w:val="40E1138C"/>
    <w:rsid w:val="413814BA"/>
    <w:rsid w:val="41872511"/>
    <w:rsid w:val="41DF1251"/>
    <w:rsid w:val="424236D9"/>
    <w:rsid w:val="42466655"/>
    <w:rsid w:val="42480A06"/>
    <w:rsid w:val="42C82F57"/>
    <w:rsid w:val="42E86E15"/>
    <w:rsid w:val="43052AAA"/>
    <w:rsid w:val="435707E5"/>
    <w:rsid w:val="43987249"/>
    <w:rsid w:val="439927E1"/>
    <w:rsid w:val="43C76AF7"/>
    <w:rsid w:val="43DD4A29"/>
    <w:rsid w:val="43E97E4A"/>
    <w:rsid w:val="440D65DA"/>
    <w:rsid w:val="446828F0"/>
    <w:rsid w:val="45093E85"/>
    <w:rsid w:val="450B3BFA"/>
    <w:rsid w:val="455F6FFF"/>
    <w:rsid w:val="45A14109"/>
    <w:rsid w:val="45C13B4D"/>
    <w:rsid w:val="46054BCA"/>
    <w:rsid w:val="461A44A1"/>
    <w:rsid w:val="464C6AFC"/>
    <w:rsid w:val="468B0091"/>
    <w:rsid w:val="46A107C3"/>
    <w:rsid w:val="46B15CE2"/>
    <w:rsid w:val="46BE113D"/>
    <w:rsid w:val="46E2698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EB5460"/>
    <w:rsid w:val="48F005D3"/>
    <w:rsid w:val="49466522"/>
    <w:rsid w:val="49547ADD"/>
    <w:rsid w:val="49732351"/>
    <w:rsid w:val="498F4AF1"/>
    <w:rsid w:val="49BC10F6"/>
    <w:rsid w:val="49C05787"/>
    <w:rsid w:val="49CF518D"/>
    <w:rsid w:val="49D56585"/>
    <w:rsid w:val="4A7F3979"/>
    <w:rsid w:val="4ADA1F63"/>
    <w:rsid w:val="4AE23D89"/>
    <w:rsid w:val="4AEE5828"/>
    <w:rsid w:val="4B2038D0"/>
    <w:rsid w:val="4B296E7D"/>
    <w:rsid w:val="4B5A2A91"/>
    <w:rsid w:val="4B79394E"/>
    <w:rsid w:val="4B7C1F28"/>
    <w:rsid w:val="4B877F28"/>
    <w:rsid w:val="4B9154A8"/>
    <w:rsid w:val="4CD200BA"/>
    <w:rsid w:val="4D2044E7"/>
    <w:rsid w:val="4D916BA6"/>
    <w:rsid w:val="4DA66743"/>
    <w:rsid w:val="4DC44169"/>
    <w:rsid w:val="4DE24E21"/>
    <w:rsid w:val="4E1B19A3"/>
    <w:rsid w:val="4E48787F"/>
    <w:rsid w:val="4EC21A55"/>
    <w:rsid w:val="4EF0709E"/>
    <w:rsid w:val="4F0469A4"/>
    <w:rsid w:val="4F542EE9"/>
    <w:rsid w:val="4FAC5B19"/>
    <w:rsid w:val="50075C0E"/>
    <w:rsid w:val="500E56F4"/>
    <w:rsid w:val="50540C73"/>
    <w:rsid w:val="50752AF8"/>
    <w:rsid w:val="50927531"/>
    <w:rsid w:val="50A80B24"/>
    <w:rsid w:val="50DD03FB"/>
    <w:rsid w:val="513C6A7B"/>
    <w:rsid w:val="51675490"/>
    <w:rsid w:val="517300C9"/>
    <w:rsid w:val="517805B3"/>
    <w:rsid w:val="5255184F"/>
    <w:rsid w:val="52EC6EC2"/>
    <w:rsid w:val="532D486F"/>
    <w:rsid w:val="5333545B"/>
    <w:rsid w:val="536579BD"/>
    <w:rsid w:val="538D0E89"/>
    <w:rsid w:val="54252ED6"/>
    <w:rsid w:val="5450213C"/>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79D710E"/>
    <w:rsid w:val="581F22F6"/>
    <w:rsid w:val="58644833"/>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D185C"/>
    <w:rsid w:val="5B353193"/>
    <w:rsid w:val="5B3E6FD8"/>
    <w:rsid w:val="5BAB2917"/>
    <w:rsid w:val="5BFC33FA"/>
    <w:rsid w:val="5C061864"/>
    <w:rsid w:val="5C3107A4"/>
    <w:rsid w:val="5C3B1B93"/>
    <w:rsid w:val="5C512563"/>
    <w:rsid w:val="5C9220DF"/>
    <w:rsid w:val="5C9F1F8B"/>
    <w:rsid w:val="5CAF3AF5"/>
    <w:rsid w:val="5D17404F"/>
    <w:rsid w:val="5D4A15F3"/>
    <w:rsid w:val="5D4F0909"/>
    <w:rsid w:val="5D69542A"/>
    <w:rsid w:val="5D783B72"/>
    <w:rsid w:val="5E0930EF"/>
    <w:rsid w:val="5E3D4D53"/>
    <w:rsid w:val="5E4717E6"/>
    <w:rsid w:val="5E55774C"/>
    <w:rsid w:val="5E6F197A"/>
    <w:rsid w:val="5E8A70FF"/>
    <w:rsid w:val="5EE906B0"/>
    <w:rsid w:val="5F036867"/>
    <w:rsid w:val="60045F96"/>
    <w:rsid w:val="60104DDC"/>
    <w:rsid w:val="605C0804"/>
    <w:rsid w:val="60913E6F"/>
    <w:rsid w:val="61733C3E"/>
    <w:rsid w:val="61782BD0"/>
    <w:rsid w:val="6189617B"/>
    <w:rsid w:val="61B52BB6"/>
    <w:rsid w:val="61B749C2"/>
    <w:rsid w:val="61CB0541"/>
    <w:rsid w:val="62280D20"/>
    <w:rsid w:val="62B4786E"/>
    <w:rsid w:val="62CA2457"/>
    <w:rsid w:val="638240A1"/>
    <w:rsid w:val="63833423"/>
    <w:rsid w:val="63A5257B"/>
    <w:rsid w:val="63BD3DCC"/>
    <w:rsid w:val="63C61741"/>
    <w:rsid w:val="64560967"/>
    <w:rsid w:val="6512208F"/>
    <w:rsid w:val="655A065C"/>
    <w:rsid w:val="656B1D10"/>
    <w:rsid w:val="65B841F9"/>
    <w:rsid w:val="65FE3864"/>
    <w:rsid w:val="66022B28"/>
    <w:rsid w:val="664A38E2"/>
    <w:rsid w:val="66581E87"/>
    <w:rsid w:val="66766EBB"/>
    <w:rsid w:val="66FA11D5"/>
    <w:rsid w:val="674302C7"/>
    <w:rsid w:val="679E626A"/>
    <w:rsid w:val="67CB09D8"/>
    <w:rsid w:val="67EE3B0F"/>
    <w:rsid w:val="680A5986"/>
    <w:rsid w:val="680D5F4B"/>
    <w:rsid w:val="68113F51"/>
    <w:rsid w:val="68B272C7"/>
    <w:rsid w:val="68E94770"/>
    <w:rsid w:val="68EC1CEF"/>
    <w:rsid w:val="68F949C9"/>
    <w:rsid w:val="69223C33"/>
    <w:rsid w:val="695A4290"/>
    <w:rsid w:val="696F3649"/>
    <w:rsid w:val="698E6C8E"/>
    <w:rsid w:val="6A267606"/>
    <w:rsid w:val="6A300BD5"/>
    <w:rsid w:val="6A334932"/>
    <w:rsid w:val="6A3353FF"/>
    <w:rsid w:val="6A5D63E6"/>
    <w:rsid w:val="6A5F24D1"/>
    <w:rsid w:val="6ACA70C4"/>
    <w:rsid w:val="6ADA2D9B"/>
    <w:rsid w:val="6AE347EB"/>
    <w:rsid w:val="6B330365"/>
    <w:rsid w:val="6B434AF0"/>
    <w:rsid w:val="6B57675A"/>
    <w:rsid w:val="6B6A5780"/>
    <w:rsid w:val="6B87098A"/>
    <w:rsid w:val="6BDD7B4D"/>
    <w:rsid w:val="6C306176"/>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0F6648"/>
    <w:rsid w:val="71860B17"/>
    <w:rsid w:val="71B717B8"/>
    <w:rsid w:val="72107D17"/>
    <w:rsid w:val="723B27CC"/>
    <w:rsid w:val="724F75B7"/>
    <w:rsid w:val="72687227"/>
    <w:rsid w:val="727B61BC"/>
    <w:rsid w:val="72A03FD9"/>
    <w:rsid w:val="72A3156E"/>
    <w:rsid w:val="73406CFF"/>
    <w:rsid w:val="7383028C"/>
    <w:rsid w:val="73A25E44"/>
    <w:rsid w:val="74142DC4"/>
    <w:rsid w:val="741F68CF"/>
    <w:rsid w:val="744D4D87"/>
    <w:rsid w:val="75252DF3"/>
    <w:rsid w:val="75621536"/>
    <w:rsid w:val="75874327"/>
    <w:rsid w:val="759C03E1"/>
    <w:rsid w:val="75BF3154"/>
    <w:rsid w:val="75DA4A2D"/>
    <w:rsid w:val="764A07CF"/>
    <w:rsid w:val="764F6B3D"/>
    <w:rsid w:val="76CD2B7B"/>
    <w:rsid w:val="76D80645"/>
    <w:rsid w:val="76E03371"/>
    <w:rsid w:val="771211AA"/>
    <w:rsid w:val="7735630E"/>
    <w:rsid w:val="77495D38"/>
    <w:rsid w:val="77736C04"/>
    <w:rsid w:val="780E5898"/>
    <w:rsid w:val="782642CC"/>
    <w:rsid w:val="787212BF"/>
    <w:rsid w:val="7894095E"/>
    <w:rsid w:val="78964555"/>
    <w:rsid w:val="78C767F3"/>
    <w:rsid w:val="78CF4963"/>
    <w:rsid w:val="79000679"/>
    <w:rsid w:val="7916258F"/>
    <w:rsid w:val="791C0FE5"/>
    <w:rsid w:val="798B776C"/>
    <w:rsid w:val="79A416F0"/>
    <w:rsid w:val="79AA6E1B"/>
    <w:rsid w:val="79B03EB6"/>
    <w:rsid w:val="79B61437"/>
    <w:rsid w:val="79D35E29"/>
    <w:rsid w:val="79F638A7"/>
    <w:rsid w:val="7AD50586"/>
    <w:rsid w:val="7AE15A5C"/>
    <w:rsid w:val="7AF37579"/>
    <w:rsid w:val="7AF87F64"/>
    <w:rsid w:val="7B1C0C84"/>
    <w:rsid w:val="7B5A62DF"/>
    <w:rsid w:val="7B7A04A8"/>
    <w:rsid w:val="7B8E4662"/>
    <w:rsid w:val="7C0C3F6D"/>
    <w:rsid w:val="7C22163C"/>
    <w:rsid w:val="7C457B4B"/>
    <w:rsid w:val="7C595075"/>
    <w:rsid w:val="7C6B07B2"/>
    <w:rsid w:val="7CCC3693"/>
    <w:rsid w:val="7D133243"/>
    <w:rsid w:val="7D2F437A"/>
    <w:rsid w:val="7D945420"/>
    <w:rsid w:val="7D997857"/>
    <w:rsid w:val="7DD07A4B"/>
    <w:rsid w:val="7DD115E7"/>
    <w:rsid w:val="7DFF12E2"/>
    <w:rsid w:val="7E394207"/>
    <w:rsid w:val="7E4007A2"/>
    <w:rsid w:val="7E791CAD"/>
    <w:rsid w:val="7EA50DFB"/>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21"/>
    <w:basedOn w:val="25"/>
    <w:qFormat/>
    <w:uiPriority w:val="0"/>
    <w:rPr>
      <w:rFonts w:hint="eastAsia" w:ascii="宋体" w:hAnsi="宋体" w:eastAsia="宋体" w:cs="宋体"/>
      <w:color w:val="000000"/>
      <w:sz w:val="22"/>
      <w:szCs w:val="22"/>
      <w:u w:val="none"/>
    </w:rPr>
  </w:style>
  <w:style w:type="paragraph" w:customStyle="1" w:styleId="51">
    <w:name w:val="p15"/>
    <w:basedOn w:val="1"/>
    <w:qFormat/>
    <w:uiPriority w:val="0"/>
    <w:pPr>
      <w:widowControl/>
      <w:autoSpaceDE/>
      <w:autoSpaceDN/>
      <w:spacing w:before="100" w:after="100" w:line="240" w:lineRule="auto"/>
      <w:ind w:left="0" w:firstLine="3584"/>
    </w:pPr>
    <w:rPr>
      <w:rFonts w:ascii="Tahoma"/>
    </w:rPr>
  </w:style>
  <w:style w:type="paragraph" w:customStyle="1" w:styleId="52">
    <w:name w:val="my 正文"/>
    <w:basedOn w:val="1"/>
    <w:qFormat/>
    <w:uiPriority w:val="0"/>
    <w:pPr>
      <w:spacing w:line="360" w:lineRule="auto"/>
      <w:ind w:firstLine="200" w:firstLineChars="200"/>
      <w:jc w:val="left"/>
    </w:pPr>
    <w:rPr>
      <w:sz w:val="24"/>
    </w:rPr>
  </w:style>
  <w:style w:type="paragraph" w:customStyle="1" w:styleId="53">
    <w:name w:val="_Style 4"/>
    <w:basedOn w:val="4"/>
    <w:next w:val="1"/>
    <w:qFormat/>
    <w:uiPriority w:val="0"/>
    <w:pPr>
      <w:spacing w:line="576" w:lineRule="auto"/>
      <w:outlineLvl w:val="9"/>
    </w:pPr>
    <w:rPr>
      <w:rFonts w:ascii="Calibri" w:hAnsi="Calibri"/>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5">
    <w:name w:val="BodyText"/>
    <w:basedOn w:val="1"/>
    <w:next w:val="56"/>
    <w:qFormat/>
    <w:uiPriority w:val="0"/>
    <w:pPr>
      <w:jc w:val="both"/>
      <w:textAlignment w:val="baseline"/>
    </w:pPr>
    <w:rPr>
      <w:rFonts w:ascii="Times New Roman" w:hAnsi="Times New Roman" w:eastAsia="宋体"/>
      <w:kern w:val="2"/>
      <w:sz w:val="28"/>
      <w:lang w:val="en-US" w:eastAsia="zh-CN" w:bidi="ar-SA"/>
    </w:rPr>
  </w:style>
  <w:style w:type="paragraph" w:customStyle="1" w:styleId="56">
    <w:name w:val="BodyText2"/>
    <w:basedOn w:val="1"/>
    <w:qFormat/>
    <w:uiPriority w:val="0"/>
    <w:pPr>
      <w:spacing w:after="120" w:line="480" w:lineRule="auto"/>
      <w:jc w:val="both"/>
      <w:textAlignment w:val="baseline"/>
    </w:pPr>
  </w:style>
  <w:style w:type="paragraph" w:customStyle="1" w:styleId="57">
    <w:name w:val="+标题3"/>
    <w:basedOn w:val="6"/>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27333</Words>
  <Characters>28875</Characters>
  <Lines>300</Lines>
  <Paragraphs>84</Paragraphs>
  <TotalTime>6</TotalTime>
  <ScaleCrop>false</ScaleCrop>
  <LinksUpToDate>false</LinksUpToDate>
  <CharactersWithSpaces>31015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2023-03-10T01:22:00Z</cp:lastPrinted>
  <dcterms:modified xsi:type="dcterms:W3CDTF">2023-04-04T06:33:59Z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99CA9C78B5BF4F53A5CF7EB7E913894D_13</vt:lpwstr>
  </property>
</Properties>
</file>