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w:t>
      </w:r>
      <w:bookmarkStart w:id="111" w:name="_GoBack"/>
      <w:bookmarkEnd w:id="111"/>
      <w:r>
        <w:rPr>
          <w:rFonts w:hint="eastAsia" w:ascii="方正小标宋简体" w:eastAsia="方正小标宋简体"/>
          <w:color w:val="auto"/>
          <w:sz w:val="52"/>
          <w:szCs w:val="52"/>
          <w:highlight w:val="none"/>
          <w:lang w:val="en-US" w:eastAsia="zh-CN"/>
        </w:rPr>
        <w:t>净水有限公司净水厂中试</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试验运维试剂耗材采购项目</w:t>
      </w:r>
    </w:p>
    <w:p>
      <w:pPr>
        <w:pStyle w:val="2"/>
        <w:rPr>
          <w:rFonts w:hint="eastAsia"/>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rPr>
          <w:color w:val="auto"/>
          <w:highlight w:val="none"/>
        </w:rPr>
        <w:sectPr>
          <w:footerReference r:id="rId3" w:type="default"/>
          <w:pgSz w:w="11906" w:h="16838"/>
          <w:pgMar w:top="2098" w:right="1474" w:bottom="1985" w:left="1588" w:header="851" w:footer="992" w:gutter="0"/>
          <w:pgNumType w:start="0"/>
          <w:cols w:space="425" w:num="1"/>
          <w:titlePg/>
          <w:docGrid w:type="lines" w:linePitch="312" w:charSpace="0"/>
        </w:sectPr>
      </w:pPr>
    </w:p>
    <w:p>
      <w:pPr>
        <w:pStyle w:val="2"/>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bookmarkStart w:id="4" w:name="_Toc31938"/>
      <w:bookmarkStart w:id="5" w:name="_Toc17801"/>
      <w:bookmarkStart w:id="6" w:name="_Toc1669"/>
      <w:bookmarkStart w:id="7" w:name="_Toc11322"/>
      <w:bookmarkStart w:id="8" w:name="_Toc4275"/>
      <w:bookmarkStart w:id="9" w:name="_Toc7519"/>
      <w:bookmarkStart w:id="10" w:name="_Toc1960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2355215</wp:posOffset>
                </wp:positionH>
                <wp:positionV relativeFrom="paragraph">
                  <wp:posOffset>507365</wp:posOffset>
                </wp:positionV>
                <wp:extent cx="958850" cy="0"/>
                <wp:effectExtent l="0" t="0" r="0" b="0"/>
                <wp:wrapNone/>
                <wp:docPr id="18"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7" o:spid="_x0000_s1026" o:spt="32" type="#_x0000_t32" style="position:absolute;left:0pt;margin-left:185.45pt;margin-top:39.95pt;height:0pt;width:75.5pt;z-index:251678720;mso-width-relative:page;mso-height-relative:page;" filled="f" stroked="t" coordsize="21600,21600" o:gfxdata="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H0wdjWAAAACQEAAA8AAAAAAAAAAQAgAAAAIgAAAGRycy9kb3ducmV2LnhtbFBL&#10;AQIUABQAAAAIAIdO4kBANZ8L+AEAAPIDAAAOAAAAAAAAAAEAIAAAACUBAABkcnMvZTJvRG9jLnht&#10;bFBLBQYAAAAABgAGAFkBAACP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7"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6" o:spid="_x0000_s1026" o:spt="32" type="#_x0000_t32" style="position:absolute;left:0pt;margin-left:184.9pt;margin-top:8.5pt;height:0pt;width:75.5pt;z-index:25167769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Cti3rWAAAACQEAAA8AAAAAAAAAAQAgAAAAIgAAAGRycy9kb3ducmV2LnhtbFBL&#10;AQIUABQAAAAIAIdO4kB4Zxps+AEAAPIDAAAOAAAAAAAAAAEAIAAAACUBAABkcnMvZTJvRG9jLnht&#10;bFBLBQYAAAAABgAGAFkBAACPBQ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asciiTheme="minorHAnsi"/>
          <w:color w:val="auto"/>
          <w:sz w:val="44"/>
          <w:szCs w:val="44"/>
          <w:highlight w:val="none"/>
        </w:rPr>
      </w:pPr>
      <w:r>
        <w:rPr>
          <w:rFonts w:hint="eastAsia"/>
          <w:color w:val="auto"/>
          <w:highlight w:val="none"/>
          <w:lang w:eastAsia="zh-CN"/>
        </w:rPr>
        <w:t>采购公告（采购邀请书）</w:t>
      </w: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广州市净水有限公司净水厂中试试验运维试剂耗材采购项目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货物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广州市净水有限公司净水厂中试试验运维试剂耗材采购项目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XJ-20230316-4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54.71421万</w:t>
      </w:r>
      <w:r>
        <w:rPr>
          <w:rFonts w:hint="eastAsia" w:ascii="仿宋_GB2312" w:hAnsi="宋体" w:eastAsia="仿宋_GB2312" w:cs="宋体"/>
          <w:bCs/>
          <w:kern w:val="0"/>
          <w:sz w:val="28"/>
          <w:szCs w:val="28"/>
          <w:u w:val="single"/>
          <w:lang w:val="en-US" w:eastAsia="zh-CN"/>
        </w:rPr>
        <w:t>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kern w:val="2"/>
          <w:sz w:val="28"/>
          <w:szCs w:val="28"/>
          <w:highlight w:val="none"/>
          <w:lang w:val="en-US" w:eastAsia="zh-CN"/>
        </w:rPr>
        <w:t>甲方进行净水厂中试试验</w:t>
      </w:r>
      <w:r>
        <w:rPr>
          <w:rFonts w:hint="eastAsia" w:ascii="仿宋" w:hAnsi="仿宋" w:eastAsia="仿宋" w:cs="仿宋"/>
          <w:color w:val="auto"/>
          <w:kern w:val="2"/>
          <w:sz w:val="28"/>
          <w:szCs w:val="28"/>
          <w:highlight w:val="none"/>
        </w:rPr>
        <w:t>，委托</w:t>
      </w:r>
      <w:r>
        <w:rPr>
          <w:rFonts w:hint="eastAsia" w:ascii="仿宋" w:hAnsi="仿宋" w:eastAsia="仿宋" w:cs="仿宋"/>
          <w:color w:val="auto"/>
          <w:kern w:val="2"/>
          <w:sz w:val="28"/>
          <w:szCs w:val="28"/>
          <w:highlight w:val="none"/>
          <w:lang w:val="en-US" w:eastAsia="zh-CN"/>
        </w:rPr>
        <w:t>乙方</w:t>
      </w:r>
      <w:r>
        <w:rPr>
          <w:rFonts w:hint="eastAsia" w:ascii="仿宋" w:hAnsi="仿宋" w:eastAsia="仿宋" w:cs="仿宋"/>
          <w:color w:val="auto"/>
          <w:kern w:val="2"/>
          <w:sz w:val="28"/>
          <w:szCs w:val="28"/>
          <w:highlight w:val="none"/>
        </w:rPr>
        <w:t>负责</w:t>
      </w:r>
      <w:r>
        <w:rPr>
          <w:rFonts w:hint="eastAsia" w:ascii="仿宋" w:hAnsi="仿宋" w:eastAsia="仿宋" w:cs="仿宋"/>
          <w:color w:val="auto"/>
          <w:kern w:val="2"/>
          <w:sz w:val="28"/>
          <w:szCs w:val="28"/>
          <w:highlight w:val="none"/>
          <w:lang w:val="en-US" w:eastAsia="zh-CN"/>
        </w:rPr>
        <w:t>运维试剂及耗材供应</w:t>
      </w:r>
      <w:r>
        <w:rPr>
          <w:rFonts w:hint="eastAsia" w:ascii="仿宋" w:hAnsi="仿宋" w:eastAsia="仿宋" w:cs="仿宋"/>
          <w:color w:val="auto"/>
          <w:kern w:val="2"/>
          <w:sz w:val="28"/>
          <w:szCs w:val="28"/>
          <w:highlight w:val="none"/>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 xml:space="preserve">   自合同签订之日起至2023年12月31日止。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暂定大坦沙分公司和沥滘分公司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确保货物为原装未拆封或未使用的合格产品，交货时须出具厂家出厂合格证明</w:t>
      </w:r>
      <w:r>
        <w:rPr>
          <w:rFonts w:hint="eastAsia" w:ascii="仿宋_GB2312" w:eastAsia="仿宋_GB2312"/>
          <w:color w:val="auto"/>
          <w:sz w:val="28"/>
          <w:szCs w:val="28"/>
          <w:highlight w:val="none"/>
          <w:u w:val="single"/>
          <w:lang w:eastAsia="zh-CN"/>
        </w:rPr>
        <w:t>，</w:t>
      </w:r>
      <w:r>
        <w:rPr>
          <w:rFonts w:ascii="Times New Roman" w:hAnsi="Times New Roman" w:eastAsia="仿宋_GB2312" w:cs="Times New Roman"/>
          <w:color w:val="auto"/>
          <w:sz w:val="28"/>
          <w:szCs w:val="28"/>
        </w:rPr>
        <w:t>安装适配至现有设备中且能让设备正常运行</w:t>
      </w:r>
      <w:r>
        <w:rPr>
          <w:rFonts w:hint="eastAsia" w:ascii="Times New Roman" w:hAnsi="Times New Roman" w:eastAsia="仿宋_GB2312" w:cs="Times New Roman"/>
          <w:color w:val="auto"/>
          <w:sz w:val="28"/>
          <w:szCs w:val="28"/>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rPr>
          <w:rFonts w:hint="eastAsia" w:asciiTheme="minorEastAsia" w:hAnsiTheme="minorEastAsia" w:eastAsiaTheme="minorEastAsia" w:cstheme="minorEastAsia"/>
          <w:sz w:val="28"/>
          <w:szCs w:val="28"/>
          <w:u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single"/>
          <w:lang w:val="en-US" w:eastAsia="zh-CN"/>
        </w:rPr>
        <w:t>2020 年1月1日至今，</w:t>
      </w:r>
      <w:r>
        <w:rPr>
          <w:rFonts w:hint="eastAsia" w:ascii="仿宋_GB2312" w:eastAsia="仿宋_GB2312"/>
          <w:color w:val="auto"/>
          <w:sz w:val="28"/>
          <w:szCs w:val="28"/>
          <w:highlight w:val="none"/>
          <w:u w:val="single"/>
        </w:rPr>
        <w:t>供应商</w:t>
      </w:r>
      <w:r>
        <w:rPr>
          <w:rFonts w:hint="eastAsia" w:ascii="仿宋_GB2312" w:eastAsia="仿宋_GB2312"/>
          <w:color w:val="auto"/>
          <w:sz w:val="28"/>
          <w:szCs w:val="28"/>
          <w:highlight w:val="none"/>
          <w:u w:val="single"/>
          <w:lang w:val="en-US" w:eastAsia="zh-CN"/>
        </w:rPr>
        <w:t>最少</w:t>
      </w:r>
      <w:r>
        <w:rPr>
          <w:rFonts w:hint="eastAsia" w:ascii="仿宋_GB2312" w:eastAsia="仿宋_GB2312"/>
          <w:color w:val="auto"/>
          <w:sz w:val="28"/>
          <w:szCs w:val="28"/>
          <w:highlight w:val="none"/>
          <w:u w:val="single"/>
        </w:rPr>
        <w:t>具有</w:t>
      </w:r>
      <w:r>
        <w:rPr>
          <w:rFonts w:hint="eastAsia" w:ascii="仿宋_GB2312" w:eastAsia="仿宋_GB2312"/>
          <w:color w:val="auto"/>
          <w:sz w:val="28"/>
          <w:szCs w:val="28"/>
          <w:highlight w:val="none"/>
          <w:u w:val="single"/>
          <w:lang w:val="en-US" w:eastAsia="zh-CN"/>
        </w:rPr>
        <w:t>一项报价清单材料之一的供货</w:t>
      </w:r>
      <w:r>
        <w:rPr>
          <w:rFonts w:hint="eastAsia" w:asciiTheme="minorEastAsia" w:hAnsiTheme="minorEastAsia" w:eastAsiaTheme="minorEastAsia" w:cstheme="minorEastAsia"/>
          <w:sz w:val="28"/>
          <w:szCs w:val="28"/>
          <w:u w:val="single"/>
        </w:rPr>
        <w:t>业绩</w:t>
      </w:r>
      <w:r>
        <w:rPr>
          <w:rFonts w:hint="eastAsia" w:asciiTheme="minorEastAsia" w:hAnsiTheme="minorEastAsia" w:eastAsiaTheme="minorEastAsia" w:cstheme="minorEastAsia"/>
          <w:sz w:val="28"/>
          <w:szCs w:val="28"/>
          <w:u w:val="single"/>
          <w:lang w:eastAsia="zh-CN"/>
        </w:rPr>
        <w:t>（</w:t>
      </w:r>
      <w:r>
        <w:rPr>
          <w:rFonts w:hint="eastAsia" w:ascii="仿宋_GB2312" w:eastAsia="仿宋_GB2312"/>
          <w:color w:val="000000" w:themeColor="text1"/>
          <w:sz w:val="28"/>
          <w:szCs w:val="28"/>
          <w:highlight w:val="none"/>
          <w:u w:val="single"/>
          <w14:textFill>
            <w14:solidFill>
              <w14:schemeClr w14:val="tx1"/>
            </w14:solidFill>
          </w14:textFill>
        </w:rPr>
        <w:t>提供合同复印件证明，包括但不限于项目名称、金额及实施内容、合同盖章、签订日期，加盖单位公章</w:t>
      </w:r>
      <w:r>
        <w:rPr>
          <w:rFonts w:hint="eastAsia" w:ascii="仿宋_GB2312" w:eastAsia="仿宋_GB2312"/>
          <w:color w:val="000000" w:themeColor="text1"/>
          <w:sz w:val="28"/>
          <w:szCs w:val="28"/>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其他要求：1.供应商须出具承诺函，承诺所提供报价</w:t>
      </w:r>
      <w:r>
        <w:rPr>
          <w:rFonts w:hint="eastAsia" w:ascii="仿宋_GB2312" w:eastAsia="仿宋_GB2312"/>
          <w:color w:val="auto"/>
          <w:sz w:val="28"/>
          <w:szCs w:val="28"/>
          <w:highlight w:val="none"/>
          <w:u w:val="single"/>
          <w:lang w:val="en-US" w:eastAsia="zh-CN"/>
        </w:rPr>
        <w:t>货物</w:t>
      </w:r>
      <w:r>
        <w:rPr>
          <w:rFonts w:hint="eastAsia" w:ascii="仿宋_GB2312" w:eastAsia="仿宋_GB2312"/>
          <w:color w:val="auto"/>
          <w:sz w:val="28"/>
          <w:szCs w:val="28"/>
          <w:highlight w:val="none"/>
          <w:u w:val="single"/>
        </w:rPr>
        <w:t>均为制造商全新原装产品，承诺中选后所提供的货物必须</w:t>
      </w:r>
      <w:r>
        <w:rPr>
          <w:rFonts w:hint="eastAsia" w:ascii="仿宋_GB2312" w:eastAsia="仿宋_GB2312"/>
          <w:color w:val="auto"/>
          <w:sz w:val="28"/>
          <w:szCs w:val="28"/>
          <w:highlight w:val="none"/>
          <w:u w:val="single"/>
          <w:lang w:val="en-US" w:eastAsia="zh-CN"/>
        </w:rPr>
        <w:t>是</w:t>
      </w:r>
      <w:r>
        <w:rPr>
          <w:rFonts w:hint="eastAsia" w:ascii="仿宋_GB2312" w:eastAsia="仿宋_GB2312"/>
          <w:color w:val="auto"/>
          <w:sz w:val="28"/>
          <w:szCs w:val="28"/>
          <w:highlight w:val="none"/>
          <w:u w:val="single"/>
        </w:rPr>
        <w:t>合格产品，并能</w:t>
      </w:r>
      <w:r>
        <w:rPr>
          <w:rFonts w:hint="eastAsia" w:ascii="仿宋_GB2312" w:eastAsia="仿宋_GB2312"/>
          <w:color w:val="auto"/>
          <w:sz w:val="28"/>
          <w:szCs w:val="28"/>
          <w:highlight w:val="none"/>
          <w:u w:val="single"/>
          <w:lang w:val="en-US" w:eastAsia="zh-CN"/>
        </w:rPr>
        <w:t>满足甲方中试试验要求</w:t>
      </w:r>
      <w:r>
        <w:rPr>
          <w:rFonts w:hint="eastAsia" w:ascii="仿宋_GB2312" w:eastAsia="仿宋_GB2312"/>
          <w:color w:val="auto"/>
          <w:sz w:val="28"/>
          <w:szCs w:val="28"/>
          <w:highlight w:val="none"/>
          <w:u w:val="single"/>
        </w:rPr>
        <w:t>且能让</w:t>
      </w:r>
      <w:r>
        <w:rPr>
          <w:rFonts w:hint="eastAsia" w:ascii="仿宋_GB2312" w:eastAsia="仿宋_GB2312"/>
          <w:color w:val="auto"/>
          <w:sz w:val="28"/>
          <w:szCs w:val="28"/>
          <w:highlight w:val="none"/>
          <w:u w:val="single"/>
          <w:lang w:val="en-US" w:eastAsia="zh-CN"/>
        </w:rPr>
        <w:t>中试</w:t>
      </w:r>
      <w:r>
        <w:rPr>
          <w:rFonts w:hint="eastAsia" w:ascii="仿宋_GB2312" w:eastAsia="仿宋_GB2312"/>
          <w:color w:val="auto"/>
          <w:sz w:val="28"/>
          <w:szCs w:val="28"/>
          <w:highlight w:val="none"/>
          <w:u w:val="single"/>
        </w:rPr>
        <w:t>设备正常运行（加盖单位公章）；2.供应商在交货时向采购人提供出厂合格证、产品质量证明文件等产品质量证明材料；3.每种货物均</w:t>
      </w:r>
      <w:r>
        <w:rPr>
          <w:rFonts w:hint="eastAsia" w:ascii="仿宋_GB2312" w:eastAsia="仿宋_GB2312"/>
          <w:color w:val="auto"/>
          <w:sz w:val="28"/>
          <w:szCs w:val="28"/>
          <w:highlight w:val="none"/>
          <w:u w:val="single"/>
          <w:lang w:val="en-US" w:eastAsia="zh-CN"/>
        </w:rPr>
        <w:t>需</w:t>
      </w:r>
      <w:r>
        <w:rPr>
          <w:rFonts w:hint="eastAsia" w:ascii="仿宋_GB2312" w:eastAsia="仿宋_GB2312"/>
          <w:color w:val="auto"/>
          <w:sz w:val="28"/>
          <w:szCs w:val="28"/>
          <w:highlight w:val="none"/>
          <w:u w:val="single"/>
        </w:rPr>
        <w:t>有单价，原则上不可免费赠送，若要赠送，赠送货物的数量要大于该货物在采购清单上的数量，且赠送货物的质量、验收标准与其他货物一样</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lang w:val="en-US" w:eastAsia="zh-CN"/>
        </w:rPr>
        <w:t>22</w:t>
      </w:r>
      <w:r>
        <w:rPr>
          <w:rFonts w:hint="eastAsia" w:ascii="仿宋_GB2312" w:eastAsia="仿宋_GB2312"/>
          <w:sz w:val="28"/>
          <w:szCs w:val="28"/>
          <w:u w:val="single"/>
        </w:rPr>
        <w:t> </w:t>
      </w:r>
      <w:r>
        <w:rPr>
          <w:rFonts w:hint="eastAsia" w:ascii="仿宋_GB2312" w:eastAsia="仿宋_GB2312"/>
          <w:sz w:val="28"/>
          <w:szCs w:val="28"/>
        </w:rPr>
        <w:t>日</w:t>
      </w:r>
      <w:r>
        <w:rPr>
          <w:rFonts w:hint="eastAsia" w:ascii="仿宋_GB2312" w:eastAsia="仿宋_GB2312"/>
          <w:sz w:val="28"/>
          <w:szCs w:val="28"/>
          <w:u w:val="single"/>
          <w:lang w:val="en-US" w:eastAsia="zh-CN"/>
        </w:rPr>
        <w:t>14</w:t>
      </w:r>
      <w:r>
        <w:rPr>
          <w:rFonts w:hint="eastAsia" w:ascii="仿宋_GB2312" w:eastAsia="仿宋_GB2312"/>
          <w:sz w:val="28"/>
          <w:szCs w:val="28"/>
        </w:rPr>
        <w:t>时</w:t>
      </w:r>
      <w:r>
        <w:rPr>
          <w:rFonts w:hint="eastAsia" w:ascii="仿宋_GB2312" w:eastAsia="仿宋_GB2312"/>
          <w:sz w:val="28"/>
          <w:szCs w:val="28"/>
          <w:u w:val="single"/>
          <w:lang w:val="en-US" w:eastAsia="zh-CN"/>
        </w:rPr>
        <w:t>30</w:t>
      </w:r>
      <w:r>
        <w:rPr>
          <w:rFonts w:hint="eastAsia" w:ascii="仿宋_GB2312" w:eastAsia="仿宋_GB2312"/>
          <w:sz w:val="28"/>
          <w:szCs w:val="28"/>
        </w:rPr>
        <w:t>分至</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rPr>
        <w:t xml:space="preserve">月 </w:t>
      </w:r>
      <w:r>
        <w:rPr>
          <w:rFonts w:hint="eastAsia" w:ascii="仿宋_GB2312" w:eastAsia="仿宋_GB2312"/>
          <w:sz w:val="28"/>
          <w:szCs w:val="28"/>
          <w:u w:val="single"/>
          <w:lang w:val="en-US" w:eastAsia="zh-CN"/>
        </w:rPr>
        <w:t>22</w:t>
      </w:r>
      <w:r>
        <w:rPr>
          <w:rFonts w:hint="eastAsia" w:ascii="仿宋_GB2312" w:eastAsia="仿宋_GB2312"/>
          <w:sz w:val="28"/>
          <w:szCs w:val="28"/>
        </w:rPr>
        <w:t>日</w:t>
      </w:r>
      <w:r>
        <w:rPr>
          <w:rFonts w:hint="eastAsia" w:ascii="仿宋_GB2312" w:eastAsia="仿宋_GB2312"/>
          <w:sz w:val="28"/>
          <w:szCs w:val="28"/>
          <w:u w:val="single"/>
        </w:rPr>
        <w:t>1</w:t>
      </w:r>
      <w:r>
        <w:rPr>
          <w:rFonts w:hint="eastAsia" w:ascii="仿宋_GB2312" w:eastAsia="仿宋_GB2312"/>
          <w:sz w:val="28"/>
          <w:szCs w:val="28"/>
          <w:u w:val="single"/>
          <w:lang w:val="en-US" w:eastAsia="zh-CN"/>
        </w:rPr>
        <w:t>5</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分（北京时间）。截止时间：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rPr>
        <w:t xml:space="preserve">月 </w:t>
      </w:r>
      <w:r>
        <w:rPr>
          <w:rFonts w:hint="eastAsia" w:ascii="仿宋_GB2312" w:eastAsia="仿宋_GB2312"/>
          <w:sz w:val="28"/>
          <w:szCs w:val="28"/>
          <w:u w:val="single"/>
          <w:lang w:val="en-US" w:eastAsia="zh-CN"/>
        </w:rPr>
        <w:t>22</w:t>
      </w:r>
      <w:r>
        <w:rPr>
          <w:rFonts w:hint="eastAsia" w:ascii="仿宋_GB2312" w:eastAsia="仿宋_GB2312"/>
          <w:sz w:val="28"/>
          <w:szCs w:val="28"/>
        </w:rPr>
        <w:t>日</w:t>
      </w:r>
      <w:r>
        <w:rPr>
          <w:rFonts w:hint="eastAsia" w:ascii="仿宋_GB2312" w:eastAsia="仿宋_GB2312"/>
          <w:sz w:val="28"/>
          <w:szCs w:val="28"/>
          <w:u w:val="single"/>
        </w:rPr>
        <w:t>1</w:t>
      </w:r>
      <w:r>
        <w:rPr>
          <w:rFonts w:hint="eastAsia" w:ascii="仿宋_GB2312" w:eastAsia="仿宋_GB2312"/>
          <w:sz w:val="28"/>
          <w:szCs w:val="28"/>
          <w:u w:val="single"/>
          <w:lang w:val="en-US" w:eastAsia="zh-CN"/>
        </w:rPr>
        <w:t>5</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递交地址：广州市天河区临江大道501号广州市净水有限公司6楼招标部。</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1"/>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19295"/>
      <w:bookmarkStart w:id="15" w:name="_Toc23749"/>
      <w:bookmarkStart w:id="16" w:name="_Toc7340"/>
      <w:bookmarkStart w:id="17" w:name="_Toc16557"/>
      <w:bookmarkStart w:id="18" w:name="_Toc9448"/>
      <w:bookmarkStart w:id="19" w:name="_Toc16705"/>
      <w:bookmarkStart w:id="20" w:name="_Toc32588"/>
      <w:bookmarkStart w:id="21" w:name="_Toc25603"/>
      <w:bookmarkStart w:id="22" w:name="_Toc2324"/>
      <w:bookmarkStart w:id="23" w:name="_Toc2331"/>
    </w:p>
    <w:p>
      <w:pPr>
        <w:rPr>
          <w:rFonts w:hint="eastAsia"/>
          <w:color w:val="auto"/>
          <w:highlight w:val="none"/>
        </w:rPr>
      </w:pPr>
    </w:p>
    <w:p>
      <w:pPr>
        <w:pStyle w:val="12"/>
        <w:rPr>
          <w:rFonts w:hint="eastAsia"/>
          <w:color w:val="auto"/>
          <w:highlight w:val="none"/>
        </w:rPr>
      </w:pPr>
    </w:p>
    <w:p>
      <w:pPr>
        <w:pStyle w:val="13"/>
        <w:rPr>
          <w:rFonts w:hint="eastAsia"/>
          <w:color w:val="auto"/>
          <w:highlight w:val="none"/>
        </w:rPr>
      </w:pPr>
    </w:p>
    <w:p>
      <w:pPr>
        <w:rPr>
          <w:rFonts w:hint="eastAsia"/>
          <w:color w:val="auto"/>
          <w:highlight w:val="none"/>
        </w:rPr>
      </w:pPr>
    </w:p>
    <w:p>
      <w:pPr>
        <w:pStyle w:val="12"/>
        <w:rPr>
          <w:rFonts w:hint="eastAsia"/>
          <w:color w:val="auto"/>
          <w:highlight w:val="none"/>
        </w:rPr>
      </w:pPr>
    </w:p>
    <w:p>
      <w:pPr>
        <w:pStyle w:val="13"/>
        <w:rPr>
          <w:rFonts w:hint="eastAsia"/>
          <w:color w:val="auto"/>
          <w:highlight w:val="none"/>
        </w:rPr>
      </w:pPr>
    </w:p>
    <w:p>
      <w:pPr>
        <w:rPr>
          <w:rFonts w:hint="eastAsia"/>
          <w:color w:val="auto"/>
          <w:highlight w:val="none"/>
        </w:rPr>
      </w:pPr>
    </w:p>
    <w:p>
      <w:pPr>
        <w:pStyle w:val="12"/>
        <w:rPr>
          <w:rFonts w:hint="eastAsia"/>
          <w:color w:val="auto"/>
          <w:highlight w:val="none"/>
        </w:rPr>
      </w:pPr>
    </w:p>
    <w:p>
      <w:pPr>
        <w:rPr>
          <w:rFonts w:hint="eastAsia"/>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2362200</wp:posOffset>
                </wp:positionH>
                <wp:positionV relativeFrom="paragraph">
                  <wp:posOffset>558165</wp:posOffset>
                </wp:positionV>
                <wp:extent cx="958850" cy="0"/>
                <wp:effectExtent l="0" t="0" r="0" b="0"/>
                <wp:wrapNone/>
                <wp:docPr id="12"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6pt;margin-top:43.95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J55Nq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2zBoNAWsK3bibeNphuImZ8KGNNv+JCjsUXY9nXdUhMUGHLxbL5YIUF/eu&#10;6iEvREyvlLcsGw3HFEF3fdp45+jyfJwVWWH/GhNVpsT7hFzUODZk+PmCwIG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Innk2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KJQhf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1"/>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pStyle w:val="21"/>
        <w:ind w:left="0" w:leftChars="0" w:firstLine="0" w:firstLineChars="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46"/>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46"/>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2"/>
        <w:rPr>
          <w:rFonts w:asciiTheme="majorEastAsia" w:hAnsiTheme="majorEastAsia" w:eastAsiaTheme="majorEastAsia"/>
          <w:b/>
          <w:color w:val="auto"/>
          <w:sz w:val="28"/>
          <w:szCs w:val="28"/>
          <w:highlight w:val="none"/>
        </w:rPr>
      </w:pPr>
    </w:p>
    <w:p>
      <w:pPr>
        <w:pStyle w:val="13"/>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2"/>
        <w:rPr>
          <w:rFonts w:asciiTheme="majorEastAsia" w:hAnsiTheme="majorEastAsia" w:eastAsiaTheme="majorEastAsia"/>
          <w:b/>
          <w:color w:val="auto"/>
          <w:sz w:val="28"/>
          <w:szCs w:val="28"/>
          <w:highlight w:val="none"/>
        </w:rPr>
      </w:pPr>
    </w:p>
    <w:p>
      <w:pPr>
        <w:pStyle w:val="13"/>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keepNext w:val="0"/>
        <w:keepLines w:val="0"/>
        <w:pageBreakBefore w:val="0"/>
        <w:kinsoku/>
        <w:wordWrap/>
        <w:overflowPunct/>
        <w:topLinePunct w:val="0"/>
        <w:autoSpaceDE/>
        <w:autoSpaceDN/>
        <w:bidi w:val="0"/>
        <w:adjustRightInd w:val="0"/>
        <w:snapToGrid w:val="0"/>
        <w:spacing w:line="360" w:lineRule="auto"/>
        <w:textAlignment w:val="auto"/>
        <w:rPr>
          <w:kern w:val="0"/>
          <w:sz w:val="28"/>
          <w:szCs w:val="28"/>
          <w:highlight w:val="none"/>
        </w:rPr>
      </w:pPr>
      <w:r>
        <w:rPr>
          <w:rFonts w:hint="eastAsia"/>
          <w:kern w:val="0"/>
          <w:sz w:val="28"/>
          <w:szCs w:val="28"/>
          <w:highlight w:val="none"/>
        </w:rPr>
        <w:t>项目名称：</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异议人：</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相关请求及主张：</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Ansi="宋体" w:cs="仿宋_GB2312"/>
          <w:kern w:val="0"/>
          <w:sz w:val="28"/>
          <w:szCs w:val="28"/>
          <w:highlight w:val="none"/>
        </w:rPr>
        <w:t xml:space="preserve">  此致</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u w:val="single"/>
        </w:rPr>
        <w:t>（采购人）</w:t>
      </w:r>
    </w:p>
    <w:p>
      <w:pPr>
        <w:keepNext w:val="0"/>
        <w:keepLines w:val="0"/>
        <w:pageBreakBefore w:val="0"/>
        <w:widowControl/>
        <w:kinsoku/>
        <w:wordWrap/>
        <w:overflowPunct/>
        <w:topLinePunct w:val="0"/>
        <w:autoSpaceDE/>
        <w:autoSpaceDN/>
        <w:bidi w:val="0"/>
        <w:adjustRightInd w:val="0"/>
        <w:snapToGrid w:val="0"/>
        <w:spacing w:line="360" w:lineRule="auto"/>
        <w:ind w:left="99" w:leftChars="47" w:firstLine="2800" w:firstLineChars="1000"/>
        <w:jc w:val="left"/>
        <w:textAlignment w:val="auto"/>
        <w:rPr>
          <w:rFonts w:hAnsi="宋体" w:cs="仿宋_GB2312"/>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9" w:leftChars="47" w:firstLine="2800" w:firstLineChars="1000"/>
        <w:jc w:val="left"/>
        <w:textAlignment w:val="auto"/>
        <w:rPr>
          <w:rFonts w:hAnsi="宋体" w:cs="仿宋_GB2312"/>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9" w:leftChars="47" w:firstLine="2800" w:firstLineChars="1000"/>
        <w:jc w:val="left"/>
        <w:textAlignment w:val="auto"/>
        <w:rPr>
          <w:rFonts w:hAnsi="宋体" w:cs="宋体"/>
          <w:kern w:val="0"/>
          <w:sz w:val="28"/>
          <w:szCs w:val="28"/>
          <w:highlight w:val="none"/>
        </w:rPr>
      </w:pPr>
      <w:r>
        <w:rPr>
          <w:rFonts w:hint="eastAsia" w:hAnsi="宋体" w:cs="仿宋_GB2312"/>
          <w:kern w:val="0"/>
          <w:sz w:val="28"/>
          <w:szCs w:val="28"/>
          <w:highlight w:val="none"/>
        </w:rPr>
        <w:t>异议人（公章）：</w:t>
      </w:r>
    </w:p>
    <w:p>
      <w:pPr>
        <w:keepNext w:val="0"/>
        <w:keepLines w:val="0"/>
        <w:pageBreakBefore w:val="0"/>
        <w:widowControl/>
        <w:kinsoku/>
        <w:wordWrap/>
        <w:overflowPunct/>
        <w:topLinePunct w:val="0"/>
        <w:autoSpaceDE/>
        <w:autoSpaceDN/>
        <w:bidi w:val="0"/>
        <w:adjustRightInd w:val="0"/>
        <w:snapToGrid w:val="0"/>
        <w:spacing w:line="360" w:lineRule="auto"/>
        <w:ind w:left="99" w:leftChars="47" w:firstLine="1960" w:firstLineChars="700"/>
        <w:jc w:val="left"/>
        <w:textAlignment w:val="auto"/>
        <w:rPr>
          <w:rFonts w:hAnsi="宋体" w:cs="仿宋_GB2312"/>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9" w:leftChars="47" w:firstLine="1960" w:firstLineChars="700"/>
        <w:jc w:val="left"/>
        <w:textAlignment w:val="auto"/>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keepNext w:val="0"/>
        <w:keepLines w:val="0"/>
        <w:pageBreakBefore w:val="0"/>
        <w:widowControl/>
        <w:kinsoku/>
        <w:wordWrap/>
        <w:overflowPunct/>
        <w:topLinePunct w:val="0"/>
        <w:autoSpaceDE/>
        <w:autoSpaceDN/>
        <w:bidi w:val="0"/>
        <w:adjustRightInd w:val="0"/>
        <w:snapToGrid w:val="0"/>
        <w:spacing w:line="360" w:lineRule="auto"/>
        <w:ind w:left="99" w:leftChars="47" w:firstLine="1960" w:firstLineChars="700"/>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center"/>
        <w:textAlignment w:val="auto"/>
        <w:rPr>
          <w:rFonts w:hAnsi="宋体" w:cs="宋体"/>
          <w:kern w:val="0"/>
          <w:sz w:val="28"/>
          <w:szCs w:val="28"/>
          <w:highlight w:val="none"/>
        </w:rPr>
      </w:pPr>
      <w:r>
        <w:rPr>
          <w:rFonts w:hAnsi="宋体" w:cs="仿宋_GB2312"/>
          <w:kern w:val="0"/>
          <w:sz w:val="28"/>
          <w:szCs w:val="28"/>
          <w:highlight w:val="none"/>
        </w:rPr>
        <w:t xml:space="preserve">                                     年    月   日</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bCs/>
          <w:kern w:val="0"/>
          <w:sz w:val="28"/>
          <w:szCs w:val="28"/>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1"/>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2361565</wp:posOffset>
                </wp:positionH>
                <wp:positionV relativeFrom="paragraph">
                  <wp:posOffset>681355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5.95pt;margin-top:53.6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7040"/>
      <w:bookmarkStart w:id="29" w:name="_Toc7303"/>
      <w:bookmarkStart w:id="30" w:name="_Toc88209934"/>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3"/>
        <w:rPr>
          <w:color w:val="auto"/>
          <w:highlight w:val="none"/>
        </w:rPr>
      </w:pPr>
      <w:bookmarkStart w:id="34" w:name="_Toc14870"/>
      <w:bookmarkStart w:id="35" w:name="_Toc7118"/>
      <w:bookmarkStart w:id="36" w:name="_Toc14552"/>
      <w:bookmarkStart w:id="37" w:name="_Toc19759"/>
      <w:bookmarkStart w:id="38" w:name="_Toc10930"/>
      <w:bookmarkStart w:id="39" w:name="_Toc7437"/>
      <w:bookmarkStart w:id="40" w:name="_Toc20594"/>
      <w:bookmarkStart w:id="41" w:name="_Toc19050"/>
      <w:bookmarkStart w:id="42" w:name="_Toc23581"/>
      <w:bookmarkStart w:id="43" w:name="_Toc4952"/>
      <w:bookmarkStart w:id="44" w:name="_Toc3156"/>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30530"/>
      <w:bookmarkStart w:id="46" w:name="_Toc21840"/>
      <w:bookmarkStart w:id="47" w:name="_Toc12177"/>
      <w:bookmarkStart w:id="48" w:name="_Toc13898"/>
      <w:bookmarkStart w:id="49" w:name="_Toc22212"/>
      <w:bookmarkStart w:id="50" w:name="_Toc87616378"/>
      <w:bookmarkStart w:id="51" w:name="_Toc7831"/>
      <w:bookmarkStart w:id="52" w:name="_Toc29345"/>
      <w:bookmarkStart w:id="53" w:name="_Toc21079"/>
      <w:bookmarkStart w:id="54" w:name="_Toc29484"/>
      <w:bookmarkStart w:id="55" w:name="_Toc88209941"/>
      <w:bookmarkStart w:id="56" w:name="_Toc32607"/>
      <w:bookmarkStart w:id="57" w:name="_Toc630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snapToGrid w:val="0"/>
        <w:spacing w:line="600" w:lineRule="exact"/>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rPr>
          <w:rFonts w:hint="eastAsia"/>
          <w:color w:val="auto"/>
          <w:highlight w:val="none"/>
        </w:rPr>
      </w:pPr>
      <w:bookmarkStart w:id="60" w:name="_Toc88209947"/>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2376805</wp:posOffset>
                </wp:positionH>
                <wp:positionV relativeFrom="paragraph">
                  <wp:posOffset>535940</wp:posOffset>
                </wp:positionV>
                <wp:extent cx="958850" cy="0"/>
                <wp:effectExtent l="0" t="0" r="0" b="0"/>
                <wp:wrapNone/>
                <wp:docPr id="14"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7.15pt;margin-top:42.2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jTsvf8wEAAOQ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LpVdaoD1hT6Mpt4mmHYRMz4UMbbf4TFXYouh7PuqpDYoIOX8z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NOy9/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EKLc+/zAQAA5A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Qotz7/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12"/>
        <w:rPr>
          <w:rFonts w:ascii="仿宋_GB2312" w:eastAsia="仿宋_GB2312"/>
          <w:color w:val="auto"/>
          <w:sz w:val="28"/>
          <w:szCs w:val="28"/>
          <w:highlight w:val="none"/>
        </w:rPr>
      </w:pPr>
    </w:p>
    <w:p>
      <w:pPr>
        <w:pStyle w:val="13"/>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12"/>
        <w:rPr>
          <w:rFonts w:ascii="仿宋_GB2312" w:eastAsia="仿宋_GB2312"/>
          <w:color w:val="auto"/>
          <w:sz w:val="28"/>
          <w:szCs w:val="28"/>
          <w:highlight w:val="none"/>
        </w:rPr>
      </w:pPr>
    </w:p>
    <w:p>
      <w:pPr>
        <w:pStyle w:val="13"/>
      </w:pPr>
    </w:p>
    <w:p>
      <w:pPr>
        <w:pStyle w:val="13"/>
        <w:rPr>
          <w:rFonts w:ascii="仿宋_GB2312" w:eastAsia="仿宋_GB2312"/>
          <w:color w:val="auto"/>
          <w:sz w:val="28"/>
          <w:szCs w:val="28"/>
          <w:highlight w:val="none"/>
        </w:rPr>
      </w:pPr>
    </w:p>
    <w:p>
      <w:pPr>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一、项目概况</w:t>
      </w:r>
    </w:p>
    <w:p>
      <w:pPr>
        <w:pStyle w:val="21"/>
        <w:ind w:firstLine="480" w:firstLineChars="20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甲方进行净水厂中试试验</w:t>
      </w:r>
      <w:r>
        <w:rPr>
          <w:rFonts w:hint="eastAsia" w:ascii="仿宋" w:hAnsi="仿宋" w:eastAsia="仿宋" w:cs="仿宋"/>
          <w:color w:val="auto"/>
          <w:kern w:val="2"/>
          <w:sz w:val="24"/>
          <w:szCs w:val="24"/>
          <w:highlight w:val="none"/>
        </w:rPr>
        <w:t>，委托</w:t>
      </w:r>
      <w:r>
        <w:rPr>
          <w:rFonts w:hint="eastAsia" w:ascii="仿宋" w:hAnsi="仿宋" w:eastAsia="仿宋" w:cs="仿宋"/>
          <w:color w:val="auto"/>
          <w:kern w:val="2"/>
          <w:sz w:val="24"/>
          <w:szCs w:val="24"/>
          <w:highlight w:val="none"/>
          <w:lang w:val="en-US" w:eastAsia="zh-CN"/>
        </w:rPr>
        <w:t>乙方</w:t>
      </w:r>
      <w:r>
        <w:rPr>
          <w:rFonts w:hint="eastAsia" w:ascii="仿宋" w:hAnsi="仿宋" w:eastAsia="仿宋" w:cs="仿宋"/>
          <w:color w:val="auto"/>
          <w:kern w:val="2"/>
          <w:sz w:val="24"/>
          <w:szCs w:val="24"/>
          <w:highlight w:val="none"/>
        </w:rPr>
        <w:t>负责</w:t>
      </w:r>
      <w:r>
        <w:rPr>
          <w:rFonts w:hint="eastAsia" w:ascii="仿宋" w:hAnsi="仿宋" w:eastAsia="仿宋" w:cs="仿宋"/>
          <w:color w:val="auto"/>
          <w:kern w:val="2"/>
          <w:sz w:val="24"/>
          <w:szCs w:val="24"/>
          <w:highlight w:val="none"/>
          <w:lang w:val="en-US" w:eastAsia="zh-CN"/>
        </w:rPr>
        <w:t>运维试剂及耗材供应</w:t>
      </w:r>
      <w:r>
        <w:rPr>
          <w:rFonts w:hint="eastAsia" w:ascii="仿宋" w:hAnsi="仿宋" w:eastAsia="仿宋" w:cs="仿宋"/>
          <w:color w:val="auto"/>
          <w:kern w:val="2"/>
          <w:sz w:val="24"/>
          <w:szCs w:val="24"/>
          <w:highlight w:val="none"/>
        </w:rPr>
        <w:t>。</w:t>
      </w:r>
    </w:p>
    <w:p>
      <w:pPr>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二、项目技术要求</w:t>
      </w:r>
    </w:p>
    <w:p>
      <w:pPr>
        <w:pStyle w:val="21"/>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运维试剂耗材供应</w:t>
      </w:r>
    </w:p>
    <w:p>
      <w:pPr>
        <w:pStyle w:val="21"/>
        <w:ind w:firstLine="480" w:firstLineChars="20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按《运维试剂耗材清单》（见表1），总量不变、分批供应，由乙方按甲方需求送到甲方指定的广州市内地点（暂定大坦沙分公司和沥滘分公司）。</w:t>
      </w:r>
      <w:r>
        <w:rPr>
          <w:rFonts w:hint="eastAsia" w:asciiTheme="minorEastAsia" w:hAnsiTheme="minorEastAsia" w:eastAsiaTheme="minorEastAsia" w:cstheme="minorEastAsia"/>
          <w:b w:val="0"/>
          <w:bCs w:val="0"/>
          <w:szCs w:val="21"/>
          <w:highlight w:val="none"/>
          <w:lang w:val="en-US" w:eastAsia="zh-CN"/>
        </w:rPr>
        <w:t>运维试剂耗材须满足甲方中试试验要求，产品的质量及性能指标包括但不限于下列要求。</w:t>
      </w:r>
    </w:p>
    <w:p>
      <w:pPr>
        <w:numPr>
          <w:ilvl w:val="255"/>
          <w:numId w:val="0"/>
        </w:numPr>
        <w:jc w:val="center"/>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表</w:t>
      </w:r>
      <w:r>
        <w:rPr>
          <w:rFonts w:hint="eastAsia" w:ascii="宋体" w:hAnsi="宋体" w:cs="宋体"/>
          <w:b/>
          <w:bCs/>
          <w:szCs w:val="21"/>
          <w:highlight w:val="none"/>
        </w:rPr>
        <w:t>1</w:t>
      </w:r>
      <w:r>
        <w:rPr>
          <w:rFonts w:hint="eastAsia" w:ascii="宋体" w:hAnsi="宋体" w:cs="宋体"/>
          <w:b/>
          <w:bCs/>
          <w:szCs w:val="21"/>
          <w:highlight w:val="none"/>
          <w:lang w:val="en-US" w:eastAsia="zh-CN"/>
        </w:rPr>
        <w:t>运维试剂耗材清单</w:t>
      </w:r>
    </w:p>
    <w:tbl>
      <w:tblPr>
        <w:tblStyle w:val="22"/>
        <w:tblW w:w="88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6"/>
        <w:gridCol w:w="2842"/>
        <w:gridCol w:w="690"/>
        <w:gridCol w:w="735"/>
        <w:gridCol w:w="3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序号</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材料名称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计量单位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数量</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普通离心管</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袋</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50ml*100支，压盖圆底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3"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高速离心管</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袋</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50ml*50支，螺口圆底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4"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高速离心管</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袋</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10ml*100支，螺口圆底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样本瓶</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60ml PP聚丙烯材质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样本瓶</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150ml PP聚丙烯材质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三角瓶</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50ml（含硅胶塞）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三角瓶</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100ml（含硅胶塞）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三角瓶</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150ml（含硅胶塞）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9"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液相小瓶</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2ml*100个，棕色带刻度（含盖垫）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石英比色皿</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两通耐酸碱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11</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超纯水滤柱</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12</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高压汞灯</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BAD-200W隔爆型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13</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氙灯光源</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MAX-350全波段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14</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烧杯100mL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15</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烧杯250mL</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16</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烧杯500mL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17</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烧杯1000mL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18</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烧杯3000mL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11</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19</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量筒250mL</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量筒1000mL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21</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容量瓶100mL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22</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容量瓶500mL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23</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容量瓶1000mL</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24</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培养皿</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Φ90*20mm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25</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硅胶管15#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26</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硅胶管16#</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27</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硅胶管17#</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28</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PU管Φ6mm</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29</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PU管Φ8mm</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30</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PU管Φ10mm</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PU管Φ14mm</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32</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高纯氦气</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33</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高纯氩气</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34</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高纯氮气</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35</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高纯氧气</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36</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离子色谱柱</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37</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液相色谱柱</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38</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气相色谱柱</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39</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气相色谱进样针</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40</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塑料箱</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800*570*505mm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41</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橡胶袋（垃圾袋）</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条</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特厚，尺寸80*100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42</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乳胶手套</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lang w:val="en-US"/>
              </w:rPr>
            </w:pPr>
            <w:r>
              <w:rPr>
                <w:rFonts w:hint="eastAsia" w:ascii="微软雅黑" w:hAnsi="微软雅黑" w:eastAsia="微软雅黑" w:cs="微软雅黑"/>
                <w:i w:val="0"/>
                <w:color w:val="000000"/>
                <w:kern w:val="0"/>
                <w:sz w:val="20"/>
                <w:szCs w:val="20"/>
                <w:u w:val="none"/>
                <w:lang w:val="en-US" w:eastAsia="zh-CN" w:bidi="ar"/>
              </w:rPr>
              <w:t>100只/盒，中码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43</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密实袋（PE自封袋）</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15个/盒，，厚度20丝，尺寸20*30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44</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PE手套</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lang w:val="en-US"/>
              </w:rPr>
            </w:pPr>
            <w:r>
              <w:rPr>
                <w:rFonts w:hint="eastAsia" w:ascii="微软雅黑" w:hAnsi="微软雅黑" w:eastAsia="微软雅黑" w:cs="微软雅黑"/>
                <w:i w:val="0"/>
                <w:color w:val="000000"/>
                <w:kern w:val="0"/>
                <w:sz w:val="20"/>
                <w:szCs w:val="20"/>
                <w:u w:val="none"/>
                <w:lang w:val="en-US" w:eastAsia="zh-CN" w:bidi="ar"/>
              </w:rPr>
              <w:t>500只/盒，中码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45</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卫生口罩</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50只/盒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46</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活性炭口罩</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50只/盒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7"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47</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铝箔</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厚0.15mm、宽100mm、长20mm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48</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GTTP膜0.22um</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Φ47mm，100片/盒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49</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GTTP膜0.45um</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Φ47mm，100片/盒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GTTP膜1mm</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Φ47mm，100片/盒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51</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醋酸纤维素膜0.22um</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2*8cm，50张/盒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52</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醋酸纤维素膜0.45um</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2*8cm，50张/盒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53</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PTFE针头过滤器0.22um</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Φ25μm，100只/盒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54</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PTFE针头过滤器0.45um</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Φ25μm，100只/盒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55</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混合纤维针头过滤器0.22um</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Φ25μm，100只/盒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56</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混合纤维针头过滤器0.45um</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Φ25μm，100只/盒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57</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尼龙针头过滤器0.22um</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Φ25μm，100只/盒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58</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尼龙针头过滤器0.45um</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Φ25μm，100只/盒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59</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微量移液器</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量程：20-200μL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60</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微量移液器</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量程：100-1000μL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61</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微量移液器</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量程：0.5-5mL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9"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62</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微量白吸头</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袋</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1000个/袋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63</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微量黄吸头</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袋</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1000个/袋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64</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微量蓝吸头</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袋</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1000个/袋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65</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微量吸头</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袋</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100个/袋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66</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定性滤纸</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Φ11cm，100片/盒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67</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定量滤纸</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Φ11cm，100片/盒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68</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石英比色杯</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25</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700μl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69</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无水乙醇</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70</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甲醇色谱纯</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71</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乙腈色谱纯</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72</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丙酮</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73</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甲酸</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74</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乙酸乙酯</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75</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蛋白质试剂盒</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＞50次/盒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76</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DNA提取试剂盒</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＞50次/盒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77</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RNA提取试剂盒</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＞50次/盒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78</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荧光定量PCR试剂盒</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盒子</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＞50次/盒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79</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COD试剂盒</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50次/盒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80</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纳氏试剂</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81</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themeColor="text1"/>
                <w:sz w:val="20"/>
                <w:szCs w:val="20"/>
                <w:u w:val="none"/>
                <w14:textFill>
                  <w14:solidFill>
                    <w14:schemeClr w14:val="tx1"/>
                  </w14:solidFill>
                </w14:textFill>
              </w:rPr>
            </w:pPr>
            <w:r>
              <w:rPr>
                <w:rFonts w:hint="eastAsia" w:ascii="微软雅黑" w:hAnsi="微软雅黑" w:eastAsia="微软雅黑" w:cs="微软雅黑"/>
                <w:i w:val="0"/>
                <w:color w:val="000000" w:themeColor="text1"/>
                <w:kern w:val="0"/>
                <w:sz w:val="20"/>
                <w:szCs w:val="20"/>
                <w:u w:val="none"/>
                <w:lang w:val="en-US" w:eastAsia="zh-CN" w:bidi="ar"/>
                <w14:textFill>
                  <w14:solidFill>
                    <w14:schemeClr w14:val="tx1"/>
                  </w14:solidFill>
                </w14:textFill>
              </w:rPr>
              <w:t>硫酸铝（液体）</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吨</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vertAlign w:val="baseline"/>
                <w:lang w:val="en-US" w:eastAsia="zh-CN"/>
              </w:rPr>
            </w:pPr>
            <w:r>
              <w:rPr>
                <w:rFonts w:hint="eastAsia" w:ascii="微软雅黑" w:hAnsi="微软雅黑" w:eastAsia="微软雅黑" w:cs="微软雅黑"/>
                <w:i w:val="0"/>
                <w:color w:val="000000"/>
                <w:sz w:val="20"/>
                <w:szCs w:val="20"/>
                <w:u w:val="none"/>
                <w:lang w:val="en-US" w:eastAsia="zh-CN"/>
              </w:rPr>
              <w:t>氧化铝（AL</w:t>
            </w:r>
            <w:r>
              <w:rPr>
                <w:rFonts w:hint="eastAsia" w:ascii="微软雅黑" w:hAnsi="微软雅黑" w:eastAsia="微软雅黑" w:cs="微软雅黑"/>
                <w:i w:val="0"/>
                <w:color w:val="000000"/>
                <w:sz w:val="20"/>
                <w:szCs w:val="20"/>
                <w:u w:val="none"/>
                <w:vertAlign w:val="subscript"/>
                <w:lang w:val="en-US" w:eastAsia="zh-CN"/>
              </w:rPr>
              <w:t>2</w:t>
            </w:r>
            <w:r>
              <w:rPr>
                <w:rFonts w:hint="eastAsia" w:ascii="微软雅黑" w:hAnsi="微软雅黑" w:eastAsia="微软雅黑" w:cs="微软雅黑"/>
                <w:i w:val="0"/>
                <w:color w:val="000000"/>
                <w:sz w:val="20"/>
                <w:szCs w:val="20"/>
                <w:u w:val="none"/>
                <w:lang w:val="en-US" w:eastAsia="zh-CN"/>
              </w:rPr>
              <w:t>O</w:t>
            </w:r>
            <w:r>
              <w:rPr>
                <w:rFonts w:hint="eastAsia" w:ascii="微软雅黑" w:hAnsi="微软雅黑" w:eastAsia="微软雅黑" w:cs="微软雅黑"/>
                <w:i w:val="0"/>
                <w:color w:val="000000"/>
                <w:sz w:val="20"/>
                <w:szCs w:val="20"/>
                <w:u w:val="none"/>
                <w:vertAlign w:val="subscript"/>
                <w:lang w:val="en-US" w:eastAsia="zh-CN"/>
              </w:rPr>
              <w:t>3</w:t>
            </w:r>
            <w:r>
              <w:rPr>
                <w:rFonts w:hint="eastAsia" w:ascii="微软雅黑" w:hAnsi="微软雅黑" w:eastAsia="微软雅黑" w:cs="微软雅黑"/>
                <w:i w:val="0"/>
                <w:color w:val="000000"/>
                <w:sz w:val="20"/>
                <w:szCs w:val="20"/>
                <w:u w:val="none"/>
                <w:vertAlign w:val="baseline"/>
                <w:lang w:val="en-US" w:eastAsia="zh-CN"/>
              </w:rPr>
              <w:t>）质量分数</w:t>
            </w:r>
            <w:r>
              <w:rPr>
                <w:rFonts w:hint="default" w:ascii="Arial" w:hAnsi="Arial" w:eastAsia="微软雅黑" w:cs="Arial"/>
                <w:i w:val="0"/>
                <w:color w:val="000000"/>
                <w:sz w:val="20"/>
                <w:szCs w:val="20"/>
                <w:u w:val="none"/>
                <w:vertAlign w:val="baseline"/>
                <w:lang w:val="en-US" w:eastAsia="zh-CN"/>
              </w:rPr>
              <w:t>≥</w:t>
            </w:r>
            <w:r>
              <w:rPr>
                <w:rFonts w:hint="eastAsia" w:ascii="微软雅黑" w:hAnsi="微软雅黑" w:eastAsia="微软雅黑" w:cs="微软雅黑"/>
                <w:i w:val="0"/>
                <w:color w:val="000000"/>
                <w:sz w:val="20"/>
                <w:szCs w:val="20"/>
                <w:u w:val="none"/>
                <w:vertAlign w:val="baseline"/>
                <w:lang w:val="en-US" w:eastAsia="zh-CN"/>
              </w:rPr>
              <w:t>7.5%，</w:t>
            </w:r>
          </w:p>
          <w:p>
            <w:pPr>
              <w:jc w:val="center"/>
              <w:rPr>
                <w:rFonts w:hint="default"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vertAlign w:val="baseline"/>
                <w:lang w:val="en-US" w:eastAsia="zh-CN"/>
              </w:rPr>
              <w:t>铁（Fe）质量分数</w:t>
            </w:r>
            <w:r>
              <w:rPr>
                <w:rFonts w:hint="default" w:ascii="Arial" w:hAnsi="Arial" w:eastAsia="微软雅黑" w:cs="Arial"/>
                <w:i w:val="0"/>
                <w:color w:val="000000"/>
                <w:sz w:val="20"/>
                <w:szCs w:val="20"/>
                <w:u w:val="none"/>
                <w:vertAlign w:val="baseline"/>
                <w:lang w:val="en-US" w:eastAsia="zh-CN"/>
              </w:rPr>
              <w:t>≤</w:t>
            </w:r>
            <w:r>
              <w:rPr>
                <w:rFonts w:hint="eastAsia" w:ascii="微软雅黑" w:hAnsi="微软雅黑" w:eastAsia="微软雅黑" w:cs="微软雅黑"/>
                <w:i w:val="0"/>
                <w:color w:val="000000"/>
                <w:sz w:val="20"/>
                <w:szCs w:val="20"/>
                <w:u w:val="none"/>
                <w:vertAlign w:val="baseline"/>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82</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themeColor="text1"/>
                <w:sz w:val="20"/>
                <w:szCs w:val="20"/>
                <w:u w:val="none"/>
                <w14:textFill>
                  <w14:solidFill>
                    <w14:schemeClr w14:val="tx1"/>
                  </w14:solidFill>
                </w14:textFill>
              </w:rPr>
            </w:pPr>
            <w:r>
              <w:rPr>
                <w:rFonts w:hint="eastAsia" w:ascii="微软雅黑" w:hAnsi="微软雅黑" w:eastAsia="微软雅黑" w:cs="微软雅黑"/>
                <w:i w:val="0"/>
                <w:color w:val="000000" w:themeColor="text1"/>
                <w:kern w:val="0"/>
                <w:sz w:val="20"/>
                <w:szCs w:val="20"/>
                <w:u w:val="none"/>
                <w:lang w:val="en-US" w:eastAsia="zh-CN" w:bidi="ar"/>
                <w14:textFill>
                  <w14:solidFill>
                    <w14:schemeClr w14:val="tx1"/>
                  </w14:solidFill>
                </w14:textFill>
              </w:rPr>
              <w:t>次氯酸钠（液体）</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吨</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适用于水处理，</w:t>
            </w:r>
          </w:p>
          <w:p>
            <w:pPr>
              <w:jc w:val="center"/>
              <w:rPr>
                <w:rFonts w:hint="default"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有效氯（以CL计）</w:t>
            </w:r>
            <w:r>
              <w:rPr>
                <w:rFonts w:hint="default" w:ascii="Arial" w:hAnsi="Arial" w:eastAsia="微软雅黑" w:cs="Arial"/>
                <w:i w:val="0"/>
                <w:color w:val="000000"/>
                <w:sz w:val="20"/>
                <w:szCs w:val="20"/>
                <w:u w:val="none"/>
                <w:lang w:val="en-US" w:eastAsia="zh-CN"/>
              </w:rPr>
              <w:t>≥</w:t>
            </w:r>
            <w:r>
              <w:rPr>
                <w:rFonts w:hint="eastAsia" w:ascii="微软雅黑" w:hAnsi="微软雅黑" w:eastAsia="微软雅黑" w:cs="微软雅黑"/>
                <w:i w:val="0"/>
                <w:color w:val="000000"/>
                <w:sz w:val="20"/>
                <w:szCs w:val="20"/>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84</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themeColor="text1"/>
                <w:sz w:val="20"/>
                <w:szCs w:val="20"/>
                <w:u w:val="none"/>
                <w14:textFill>
                  <w14:solidFill>
                    <w14:schemeClr w14:val="tx1"/>
                  </w14:solidFill>
                </w14:textFill>
              </w:rPr>
            </w:pPr>
            <w:r>
              <w:rPr>
                <w:rFonts w:hint="eastAsia" w:ascii="微软雅黑" w:hAnsi="微软雅黑" w:eastAsia="微软雅黑" w:cs="微软雅黑"/>
                <w:i w:val="0"/>
                <w:color w:val="000000" w:themeColor="text1"/>
                <w:kern w:val="0"/>
                <w:sz w:val="20"/>
                <w:szCs w:val="20"/>
                <w:u w:val="none"/>
                <w:lang w:val="en-US" w:eastAsia="zh-CN" w:bidi="ar"/>
                <w14:textFill>
                  <w14:solidFill>
                    <w14:schemeClr w14:val="tx1"/>
                  </w14:solidFill>
                </w14:textFill>
              </w:rPr>
              <w:t>柠檬酸（固体）</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吨</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sz w:val="20"/>
                <w:szCs w:val="20"/>
                <w:u w:val="none"/>
              </w:rPr>
              <w:t>无水柠檬酸，含量要大于99%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85</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碳酸氢钠</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86</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硼氢化钾</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AR，5g/瓶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87</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硫脲</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88</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醋酸钠</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89</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磷酸三钠</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90</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磷酸二氢钠</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91</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磷酸二氢钾</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92</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无水碳酸钠</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93</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双氧水</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30%-31%，500ml/瓶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94</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高锰酸钾</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95</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次氯酸钠</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AR,6-14% 活性氯(过滤处理)，500ml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96</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过硫酸钾</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99.99% metals basis，500g/瓶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97</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酒石酸钠</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99%，500g/瓶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98</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苯酚</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≥99%，500g/瓶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99</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L-谷氨酸</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99%，500g/瓶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硝酸银</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AR，25g/瓶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101</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丙酸</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≥99% (GC)，500ml/瓶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102</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硫酸银</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AR，25g/瓶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103</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硫酸铵</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104</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正己烷(色谱纯)</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≥98.0%(GC)，500ml/瓶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105</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碘化汞</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AR，25g/瓶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106</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异丙醇</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≥99%，500ml/瓶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107</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冰乙酸</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AR，500ml/瓶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108</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硫酸铝</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109</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聚合氯化铝</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Al</w:t>
            </w:r>
            <w:r>
              <w:rPr>
                <w:rStyle w:val="47"/>
                <w:lang w:val="en-US" w:eastAsia="zh-CN" w:bidi="ar"/>
              </w:rPr>
              <w:t>2</w:t>
            </w:r>
            <w:r>
              <w:rPr>
                <w:rStyle w:val="48"/>
                <w:lang w:val="en-US" w:eastAsia="zh-CN" w:bidi="ar"/>
              </w:rPr>
              <w:t>O</w:t>
            </w:r>
            <w:r>
              <w:rPr>
                <w:rStyle w:val="47"/>
                <w:lang w:val="en-US" w:eastAsia="zh-CN" w:bidi="ar"/>
              </w:rPr>
              <w:t>3</w:t>
            </w:r>
            <w:r>
              <w:rPr>
                <w:rStyle w:val="48"/>
                <w:lang w:val="en-US" w:eastAsia="zh-CN" w:bidi="ar"/>
              </w:rPr>
              <w:t>≥28%，100g/瓶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110</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硫酸锰</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111</w:t>
            </w:r>
          </w:p>
        </w:tc>
        <w:tc>
          <w:tcPr>
            <w:tcW w:w="2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氯化钙</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AR，500g/瓶</w:t>
            </w:r>
          </w:p>
        </w:tc>
      </w:tr>
    </w:tbl>
    <w:p>
      <w:pPr>
        <w:pStyle w:val="21"/>
        <w:rPr>
          <w:rFonts w:hint="eastAsia"/>
          <w:lang w:val="en-US" w:eastAsia="zh-CN"/>
        </w:rPr>
      </w:pPr>
    </w:p>
    <w:p>
      <w:pPr>
        <w:spacing w:line="360" w:lineRule="auto"/>
        <w:ind w:firstLine="560" w:firstLineChars="200"/>
        <w:rPr>
          <w:rFonts w:ascii="仿宋_GB2312" w:eastAsia="仿宋_GB2312"/>
          <w:color w:val="FF0000"/>
          <w:sz w:val="24"/>
          <w:szCs w:val="24"/>
          <w:highlight w:val="none"/>
        </w:rPr>
      </w:pPr>
      <w:r>
        <w:rPr>
          <w:rFonts w:ascii="Times New Roman" w:hAnsi="Times New Roman" w:eastAsia="仿宋_GB2312" w:cs="Times New Roman"/>
          <w:color w:val="auto"/>
          <w:sz w:val="28"/>
          <w:szCs w:val="28"/>
        </w:rPr>
        <w:t>上述</w:t>
      </w:r>
      <w:r>
        <w:rPr>
          <w:rFonts w:hint="eastAsia" w:ascii="Times New Roman" w:hAnsi="Times New Roman" w:eastAsia="仿宋_GB2312" w:cs="Times New Roman"/>
          <w:color w:val="auto"/>
          <w:sz w:val="28"/>
          <w:szCs w:val="28"/>
        </w:rPr>
        <w:t>清单</w:t>
      </w:r>
      <w:r>
        <w:rPr>
          <w:rFonts w:ascii="Times New Roman" w:hAnsi="Times New Roman" w:eastAsia="仿宋_GB2312" w:cs="Times New Roman"/>
          <w:color w:val="auto"/>
          <w:sz w:val="28"/>
          <w:szCs w:val="28"/>
        </w:rPr>
        <w:t>为</w:t>
      </w:r>
      <w:r>
        <w:rPr>
          <w:rFonts w:hint="eastAsia" w:ascii="Times New Roman" w:hAnsi="Times New Roman" w:eastAsia="仿宋_GB2312" w:cs="Times New Roman"/>
          <w:color w:val="auto"/>
          <w:sz w:val="28"/>
          <w:szCs w:val="28"/>
          <w:lang w:val="en-US" w:eastAsia="zh-CN"/>
        </w:rPr>
        <w:t>中试试验</w:t>
      </w:r>
      <w:r>
        <w:rPr>
          <w:rFonts w:hint="eastAsia" w:ascii="Times New Roman" w:hAnsi="Times New Roman" w:eastAsia="仿宋_GB2312" w:cs="Times New Roman"/>
          <w:color w:val="auto"/>
          <w:sz w:val="28"/>
          <w:szCs w:val="28"/>
        </w:rPr>
        <w:t>所需试剂</w:t>
      </w:r>
      <w:r>
        <w:rPr>
          <w:rFonts w:hint="eastAsia" w:ascii="Times New Roman" w:hAnsi="Times New Roman" w:eastAsia="仿宋_GB2312" w:cs="Times New Roman"/>
          <w:color w:val="auto"/>
          <w:sz w:val="28"/>
          <w:szCs w:val="28"/>
          <w:lang w:val="en-US" w:eastAsia="zh-CN"/>
        </w:rPr>
        <w:t>和耗材的清单</w:t>
      </w:r>
      <w:r>
        <w:rPr>
          <w:rFonts w:ascii="Times New Roman" w:hAnsi="Times New Roman" w:eastAsia="仿宋_GB2312" w:cs="Times New Roman"/>
          <w:color w:val="auto"/>
          <w:sz w:val="28"/>
          <w:szCs w:val="28"/>
        </w:rPr>
        <w:t>，为</w:t>
      </w:r>
      <w:r>
        <w:rPr>
          <w:rFonts w:hint="eastAsia" w:ascii="Times New Roman" w:hAnsi="Times New Roman" w:eastAsia="仿宋_GB2312" w:cs="Times New Roman"/>
          <w:color w:val="auto"/>
          <w:sz w:val="28"/>
          <w:szCs w:val="28"/>
        </w:rPr>
        <w:t>确保采购试剂</w:t>
      </w:r>
      <w:r>
        <w:rPr>
          <w:rFonts w:hint="eastAsia" w:ascii="Times New Roman" w:hAnsi="Times New Roman" w:eastAsia="仿宋_GB2312" w:cs="Times New Roman"/>
          <w:color w:val="auto"/>
          <w:sz w:val="28"/>
          <w:szCs w:val="28"/>
          <w:lang w:val="en-US" w:eastAsia="zh-CN"/>
        </w:rPr>
        <w:t>及耗材</w:t>
      </w:r>
      <w:r>
        <w:rPr>
          <w:rFonts w:hint="eastAsia" w:ascii="Times New Roman" w:hAnsi="Times New Roman" w:eastAsia="仿宋_GB2312" w:cs="Times New Roman"/>
          <w:color w:val="auto"/>
          <w:sz w:val="28"/>
          <w:szCs w:val="28"/>
        </w:rPr>
        <w:t>满足</w:t>
      </w:r>
      <w:r>
        <w:rPr>
          <w:rFonts w:hint="eastAsia" w:ascii="Times New Roman" w:hAnsi="Times New Roman" w:eastAsia="仿宋_GB2312" w:cs="Times New Roman"/>
          <w:color w:val="auto"/>
          <w:sz w:val="28"/>
          <w:szCs w:val="28"/>
          <w:lang w:val="en-US" w:eastAsia="zh-CN"/>
        </w:rPr>
        <w:t>中试试验</w:t>
      </w:r>
      <w:r>
        <w:rPr>
          <w:rFonts w:hint="eastAsia" w:ascii="Times New Roman" w:hAnsi="Times New Roman" w:eastAsia="仿宋_GB2312" w:cs="Times New Roman"/>
          <w:color w:val="auto"/>
          <w:sz w:val="28"/>
          <w:szCs w:val="28"/>
        </w:rPr>
        <w:t>正常所需</w:t>
      </w:r>
      <w:r>
        <w:rPr>
          <w:rFonts w:ascii="Times New Roman" w:hAnsi="Times New Roman" w:eastAsia="仿宋_GB2312" w:cs="Times New Roman"/>
          <w:color w:val="auto"/>
          <w:sz w:val="28"/>
          <w:szCs w:val="28"/>
        </w:rPr>
        <w:t>，报价单位必须提供全新、原装</w:t>
      </w:r>
      <w:r>
        <w:rPr>
          <w:rFonts w:hint="eastAsia" w:ascii="Times New Roman" w:hAnsi="Times New Roman" w:eastAsia="仿宋_GB2312" w:cs="Times New Roman"/>
          <w:color w:val="auto"/>
          <w:sz w:val="28"/>
          <w:szCs w:val="28"/>
        </w:rPr>
        <w:t>的</w:t>
      </w:r>
      <w:r>
        <w:rPr>
          <w:rFonts w:ascii="Times New Roman" w:hAnsi="Times New Roman" w:eastAsia="仿宋_GB2312" w:cs="Times New Roman"/>
          <w:color w:val="auto"/>
          <w:sz w:val="28"/>
          <w:szCs w:val="28"/>
        </w:rPr>
        <w:t>合格</w:t>
      </w:r>
      <w:r>
        <w:rPr>
          <w:rFonts w:hint="eastAsia" w:ascii="Times New Roman" w:hAnsi="Times New Roman" w:eastAsia="仿宋_GB2312" w:cs="Times New Roman"/>
          <w:color w:val="auto"/>
          <w:sz w:val="28"/>
          <w:szCs w:val="28"/>
        </w:rPr>
        <w:t>产品</w:t>
      </w:r>
      <w:r>
        <w:rPr>
          <w:rFonts w:ascii="Times New Roman" w:hAnsi="Times New Roman" w:eastAsia="仿宋_GB2312" w:cs="Times New Roman"/>
          <w:color w:val="auto"/>
          <w:sz w:val="28"/>
          <w:szCs w:val="28"/>
        </w:rPr>
        <w:t>，并能安装适配至现有</w:t>
      </w:r>
      <w:r>
        <w:rPr>
          <w:rFonts w:hint="eastAsia" w:ascii="Times New Roman" w:hAnsi="Times New Roman" w:eastAsia="仿宋_GB2312" w:cs="Times New Roman"/>
          <w:color w:val="auto"/>
          <w:sz w:val="28"/>
          <w:szCs w:val="28"/>
          <w:lang w:val="en-US" w:eastAsia="zh-CN"/>
        </w:rPr>
        <w:t>中试</w:t>
      </w:r>
      <w:r>
        <w:rPr>
          <w:rFonts w:ascii="Times New Roman" w:hAnsi="Times New Roman" w:eastAsia="仿宋_GB2312" w:cs="Times New Roman"/>
          <w:color w:val="auto"/>
          <w:sz w:val="28"/>
          <w:szCs w:val="28"/>
        </w:rPr>
        <w:t>设备且能让</w:t>
      </w:r>
      <w:r>
        <w:rPr>
          <w:rFonts w:hint="eastAsia" w:ascii="Times New Roman" w:hAnsi="Times New Roman" w:eastAsia="仿宋_GB2312" w:cs="Times New Roman"/>
          <w:color w:val="auto"/>
          <w:sz w:val="28"/>
          <w:szCs w:val="28"/>
          <w:lang w:val="en-US" w:eastAsia="zh-CN"/>
        </w:rPr>
        <w:t>中试试验</w:t>
      </w:r>
      <w:r>
        <w:rPr>
          <w:rFonts w:ascii="Times New Roman" w:hAnsi="Times New Roman" w:eastAsia="仿宋_GB2312" w:cs="Times New Roman"/>
          <w:color w:val="auto"/>
          <w:sz w:val="28"/>
          <w:szCs w:val="28"/>
        </w:rPr>
        <w:t>正常运行</w:t>
      </w:r>
      <w:r>
        <w:rPr>
          <w:rFonts w:hint="eastAsia" w:ascii="Times New Roman" w:hAnsi="Times New Roman" w:eastAsia="仿宋_GB2312" w:cs="Times New Roman"/>
          <w:color w:val="auto"/>
          <w:sz w:val="28"/>
          <w:szCs w:val="28"/>
        </w:rPr>
        <w:t>。</w:t>
      </w:r>
    </w:p>
    <w:p>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三、项目商务要求</w:t>
      </w:r>
    </w:p>
    <w:p>
      <w:pPr>
        <w:spacing w:line="360" w:lineRule="auto"/>
        <w:ind w:firstLine="560" w:firstLineChars="200"/>
        <w:rPr>
          <w:rFonts w:hint="eastAsia" w:ascii="仿宋" w:hAnsi="仿宋" w:eastAsia="仿宋_GB2312" w:cs="仿宋"/>
          <w:color w:val="auto"/>
          <w:kern w:val="2"/>
          <w:sz w:val="24"/>
          <w:szCs w:val="24"/>
          <w:highlight w:val="none"/>
          <w:u w:val="single"/>
          <w:lang w:eastAsia="zh-CN"/>
        </w:rPr>
      </w:pPr>
      <w:r>
        <w:rPr>
          <w:rFonts w:hint="eastAsia" w:ascii="Times New Roman" w:hAnsi="Times New Roman" w:eastAsia="仿宋_GB2312" w:cs="Times New Roman"/>
          <w:color w:val="auto"/>
          <w:sz w:val="28"/>
          <w:szCs w:val="28"/>
        </w:rPr>
        <w:t>1.服务周期：合同签订之日</w:t>
      </w:r>
      <w:r>
        <w:rPr>
          <w:rFonts w:hint="eastAsia" w:ascii="仿宋_GB2312" w:eastAsia="仿宋_GB2312"/>
          <w:sz w:val="28"/>
          <w:szCs w:val="28"/>
        </w:rPr>
        <w:t>起</w:t>
      </w:r>
      <w:r>
        <w:rPr>
          <w:rFonts w:hint="eastAsia" w:ascii="仿宋_GB2312" w:eastAsia="仿宋_GB2312"/>
          <w:sz w:val="28"/>
          <w:szCs w:val="28"/>
          <w:lang w:val="en-US" w:eastAsia="zh-CN"/>
        </w:rPr>
        <w:t>至2023年12月31日</w:t>
      </w:r>
      <w:r>
        <w:rPr>
          <w:rFonts w:hint="eastAsia" w:ascii="Times New Roman" w:hAnsi="Times New Roman" w:eastAsia="仿宋_GB2312" w:cs="Times New Roman"/>
          <w:color w:val="auto"/>
          <w:sz w:val="28"/>
          <w:szCs w:val="28"/>
          <w:lang w:val="en-US" w:eastAsia="zh-CN"/>
        </w:rPr>
        <w:t>止</w:t>
      </w:r>
      <w:r>
        <w:rPr>
          <w:rFonts w:hint="eastAsia" w:ascii="Times New Roman" w:hAnsi="Times New Roman" w:eastAsia="仿宋_GB2312" w:cs="Times New Roman"/>
          <w:color w:val="auto"/>
          <w:sz w:val="28"/>
          <w:szCs w:val="28"/>
          <w:lang w:eastAsia="zh-CN"/>
        </w:rPr>
        <w:t>。</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接到订货通知后须于36小时内以书面方式向询价人确认，10个工作日内到货，分批次供货至指定地点；货物到达目的地后，应派遣熟练、称职的技术人员配合检验其所供应的货物的外观性能和各项参数指标是否符合要求。</w:t>
      </w:r>
    </w:p>
    <w:p>
      <w:pPr>
        <w:pStyle w:val="21"/>
        <w:widowControl/>
        <w:numPr>
          <w:ilvl w:val="0"/>
          <w:numId w:val="0"/>
        </w:numPr>
        <w:spacing w:line="360" w:lineRule="auto"/>
        <w:ind w:leftChars="-200" w:firstLine="840" w:firstLineChars="300"/>
        <w:jc w:val="left"/>
        <w:rPr>
          <w:rFonts w:hint="eastAsia" w:ascii="仿宋" w:hAnsi="仿宋" w:eastAsia="仿宋" w:cs="仿宋"/>
          <w:color w:val="auto"/>
          <w:kern w:val="2"/>
          <w:sz w:val="24"/>
          <w:szCs w:val="24"/>
          <w:highlight w:val="none"/>
          <w:lang w:val="en-US" w:eastAsia="zh-CN"/>
        </w:rPr>
      </w:pPr>
      <w:r>
        <w:rPr>
          <w:rFonts w:hint="eastAsia" w:ascii="仿宋_GB2312" w:eastAsia="仿宋_GB2312" w:hAnsiTheme="minorHAnsi" w:cstheme="minorBidi"/>
          <w:color w:val="auto"/>
          <w:kern w:val="2"/>
          <w:sz w:val="28"/>
          <w:szCs w:val="28"/>
          <w:lang w:val="en-US" w:eastAsia="zh-CN" w:bidi="ar-SA"/>
        </w:rPr>
        <w:t>2.供货要求：</w:t>
      </w:r>
    </w:p>
    <w:p>
      <w:pPr>
        <w:spacing w:line="360" w:lineRule="auto"/>
        <w:ind w:firstLine="560" w:firstLineChars="200"/>
        <w:rPr>
          <w:rFonts w:ascii="仿宋_GB2312" w:eastAsia="仿宋_GB2312"/>
          <w:sz w:val="28"/>
          <w:szCs w:val="28"/>
        </w:rPr>
      </w:pPr>
      <w:r>
        <w:rPr>
          <w:rFonts w:hint="eastAsia" w:ascii="仿宋_GB2312" w:eastAsia="仿宋_GB2312"/>
          <w:sz w:val="28"/>
          <w:szCs w:val="28"/>
          <w:lang w:val="en-US" w:eastAsia="zh-CN"/>
        </w:rPr>
        <w:t>2.1</w:t>
      </w:r>
      <w:r>
        <w:rPr>
          <w:rFonts w:hint="eastAsia" w:ascii="仿宋_GB2312" w:eastAsia="仿宋_GB2312"/>
          <w:sz w:val="28"/>
          <w:szCs w:val="28"/>
        </w:rPr>
        <w:t>包装:</w:t>
      </w:r>
      <w:r>
        <w:rPr>
          <w:rFonts w:ascii="Times New Roman" w:hAnsi="Times New Roman" w:eastAsia="仿宋_GB2312" w:cs="Times New Roman"/>
          <w:color w:val="auto"/>
          <w:sz w:val="28"/>
          <w:szCs w:val="28"/>
        </w:rPr>
        <w:t>报价人所供货物应为制造商原装出厂</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包装箱号与货物出厂批号一致，包装须符合同等相关标准，</w:t>
      </w:r>
      <w:r>
        <w:rPr>
          <w:rFonts w:hint="eastAsia" w:ascii="仿宋_GB2312" w:eastAsia="仿宋_GB2312"/>
          <w:sz w:val="28"/>
          <w:szCs w:val="28"/>
        </w:rPr>
        <w:t>应有良好的防湿、防锈、防潮、防雨、防腐及防碰撞的措施。凡由于包装不良造成的损失和由此产生的费用均由报价人承担。</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2</w:t>
      </w:r>
      <w:r>
        <w:rPr>
          <w:rFonts w:hint="eastAsia" w:ascii="仿宋_GB2312" w:eastAsia="仿宋_GB2312"/>
          <w:sz w:val="28"/>
          <w:szCs w:val="28"/>
        </w:rPr>
        <w:t xml:space="preserve"> 运输：报价人负责将</w:t>
      </w:r>
      <w:r>
        <w:rPr>
          <w:rFonts w:hint="eastAsia" w:ascii="仿宋_GB2312" w:eastAsia="仿宋_GB2312"/>
          <w:sz w:val="28"/>
          <w:szCs w:val="28"/>
          <w:lang w:val="en-US" w:eastAsia="zh-CN"/>
        </w:rPr>
        <w:t>货物</w:t>
      </w:r>
      <w:r>
        <w:rPr>
          <w:rFonts w:hint="eastAsia" w:ascii="仿宋_GB2312" w:eastAsia="仿宋_GB2312"/>
          <w:sz w:val="28"/>
          <w:szCs w:val="28"/>
        </w:rPr>
        <w:t>送到现场过程中的全部运输，包括装卸车、货物现场的搬运等。</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lang w:val="en-US" w:eastAsia="zh-CN"/>
        </w:rPr>
        <w:t>2.3</w:t>
      </w:r>
      <w:r>
        <w:rPr>
          <w:rFonts w:hint="eastAsia" w:ascii="仿宋_GB2312" w:eastAsia="仿宋_GB2312"/>
          <w:sz w:val="28"/>
          <w:szCs w:val="28"/>
        </w:rPr>
        <w:t>验收要求：报价人应给出详细的验收方案，包括验收项目、验收标准，验收实施办法等；国内生产的产品必须有国家有关部门的认证合格证，强制认证产品必须有3C认证；验收由询价人、报价人依国家有关标准、合同及有关附件要求进行；验收完毕由双方在验收报告上签名。</w:t>
      </w:r>
    </w:p>
    <w:p>
      <w:pPr>
        <w:pStyle w:val="21"/>
        <w:widowControl/>
        <w:numPr>
          <w:ilvl w:val="0"/>
          <w:numId w:val="3"/>
        </w:numPr>
        <w:spacing w:line="360" w:lineRule="auto"/>
        <w:ind w:left="560" w:leftChars="0" w:hanging="560" w:hangingChars="200"/>
        <w:jc w:val="lef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质量要求和售后服务：</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1质量要求：确保货物为原装未拆封或未使用的合格产品，交货时须出具厂家出厂合格证明；</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2售后服务：货物如有质量问题或未能适配原有设备时，报价人必须24小时内立即响应。</w:t>
      </w:r>
    </w:p>
    <w:p>
      <w:pPr>
        <w:spacing w:line="360" w:lineRule="auto"/>
        <w:ind w:firstLine="560" w:firstLineChars="200"/>
        <w:rPr>
          <w:rFonts w:hint="eastAsia" w:ascii="仿宋_GB2312" w:eastAsia="仿宋_GB2312"/>
          <w:sz w:val="28"/>
          <w:szCs w:val="28"/>
          <w:lang w:val="zh-CN"/>
        </w:rPr>
      </w:pPr>
      <w:r>
        <w:rPr>
          <w:rFonts w:hint="eastAsia" w:ascii="仿宋_GB2312" w:eastAsia="仿宋_GB2312"/>
          <w:sz w:val="28"/>
          <w:szCs w:val="28"/>
          <w:lang w:val="en-US" w:eastAsia="zh-CN"/>
        </w:rPr>
        <w:t>4.</w:t>
      </w:r>
      <w:r>
        <w:rPr>
          <w:rFonts w:hint="eastAsia" w:ascii="仿宋_GB2312" w:eastAsia="仿宋_GB2312"/>
          <w:sz w:val="28"/>
          <w:szCs w:val="28"/>
          <w:lang w:val="zh-CN"/>
        </w:rPr>
        <w:t>承包方式：</w:t>
      </w:r>
    </w:p>
    <w:p>
      <w:pPr>
        <w:spacing w:line="360" w:lineRule="auto"/>
        <w:ind w:firstLine="560" w:firstLineChars="200"/>
        <w:rPr>
          <w:rFonts w:ascii="仿宋" w:hAnsi="仿宋" w:eastAsia="仿宋" w:cs="仿宋"/>
          <w:color w:val="auto"/>
          <w:kern w:val="2"/>
          <w:sz w:val="24"/>
          <w:szCs w:val="24"/>
          <w:highlight w:val="none"/>
          <w:lang w:val="zh-CN"/>
        </w:rPr>
      </w:pPr>
      <w:r>
        <w:rPr>
          <w:rFonts w:hint="eastAsia" w:ascii="仿宋_GB2312" w:eastAsia="仿宋_GB2312"/>
          <w:sz w:val="28"/>
          <w:szCs w:val="28"/>
          <w:lang w:val="zh-CN"/>
        </w:rPr>
        <w:t>固定单价：询价响应文件包含总价及综合单价时，综合单价为合同单价。合同单价在询价文件及施工合同约定的风险范围之内不可调整，合同结算金额根据合同单价及承包人检测服务工作量据实结算。</w:t>
      </w:r>
    </w:p>
    <w:p>
      <w:pPr>
        <w:pStyle w:val="21"/>
        <w:rPr>
          <w:rFonts w:ascii="仿宋_GB2312" w:eastAsia="仿宋_GB2312"/>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ind w:firstLine="0"/>
        <w:rPr>
          <w:color w:val="auto"/>
          <w:highlight w:val="none"/>
        </w:rPr>
      </w:pPr>
    </w:p>
    <w:p>
      <w:pPr>
        <w:pStyle w:val="21"/>
        <w:rPr>
          <w:color w:val="auto"/>
          <w:highlight w:val="none"/>
        </w:rPr>
      </w:pPr>
    </w:p>
    <w:p>
      <w:pPr>
        <w:pStyle w:val="3"/>
        <w:rPr>
          <w:color w:val="auto"/>
          <w:highlight w:val="none"/>
        </w:rPr>
      </w:pPr>
      <w:bookmarkStart w:id="61" w:name="_Toc4680"/>
      <w:bookmarkStart w:id="62" w:name="_Toc18538"/>
      <w:bookmarkStart w:id="63" w:name="_Toc1496"/>
      <w:bookmarkStart w:id="64" w:name="_Toc1284"/>
      <w:bookmarkStart w:id="65" w:name="_Toc25925"/>
      <w:bookmarkStart w:id="66" w:name="_Toc537"/>
      <w:bookmarkStart w:id="67" w:name="_Toc23353"/>
      <w:bookmarkStart w:id="68" w:name="_Toc23330"/>
      <w:bookmarkStart w:id="69" w:name="_Toc29835"/>
      <w:bookmarkStart w:id="70" w:name="_Toc12135"/>
      <w:bookmarkStart w:id="71" w:name="_Toc15570"/>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3"/>
        <w:rPr>
          <w:color w:val="auto"/>
          <w:highlight w:val="none"/>
        </w:rPr>
      </w:pPr>
      <w:bookmarkStart w:id="72" w:name="_Toc323"/>
      <w:bookmarkStart w:id="73" w:name="_Toc19088"/>
      <w:bookmarkStart w:id="74" w:name="_Toc19686"/>
      <w:bookmarkStart w:id="75" w:name="_Toc88209949"/>
      <w:bookmarkStart w:id="76" w:name="_Toc12968"/>
      <w:bookmarkStart w:id="77" w:name="_Toc1375"/>
      <w:bookmarkStart w:id="78" w:name="_Toc12721"/>
      <w:bookmarkStart w:id="79" w:name="_Toc22797"/>
      <w:bookmarkStart w:id="80" w:name="_Toc13309"/>
      <w:bookmarkStart w:id="81" w:name="_Toc8183"/>
      <w:bookmarkStart w:id="82" w:name="_Toc87616386"/>
      <w:bookmarkStart w:id="83" w:name="_Toc12980"/>
      <w:bookmarkStart w:id="84" w:name="_Toc22501"/>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4"/>
        <w:jc w:val="center"/>
        <w:rPr>
          <w:rFonts w:eastAsia="方正小标宋简体"/>
          <w:sz w:val="48"/>
          <w:szCs w:val="48"/>
        </w:rPr>
      </w:pPr>
    </w:p>
    <w:p>
      <w:pPr>
        <w:pStyle w:val="54"/>
        <w:jc w:val="center"/>
        <w:rPr>
          <w:rFonts w:eastAsia="方正小标宋简体"/>
          <w:sz w:val="48"/>
          <w:szCs w:val="48"/>
        </w:rPr>
      </w:pPr>
    </w:p>
    <w:p>
      <w:pPr>
        <w:pStyle w:val="54"/>
        <w:jc w:val="center"/>
        <w:rPr>
          <w:rFonts w:eastAsia="方正小标宋简体"/>
          <w:sz w:val="48"/>
          <w:szCs w:val="48"/>
        </w:rPr>
      </w:pPr>
    </w:p>
    <w:p>
      <w:pPr>
        <w:pStyle w:val="54"/>
        <w:jc w:val="center"/>
        <w:rPr>
          <w:rFonts w:eastAsia="方正小标宋简体"/>
          <w:sz w:val="48"/>
          <w:szCs w:val="48"/>
        </w:rPr>
      </w:pPr>
    </w:p>
    <w:p>
      <w:pPr>
        <w:pStyle w:val="55"/>
        <w:rPr>
          <w:rFonts w:eastAsia="方正小标宋简体"/>
          <w:sz w:val="48"/>
          <w:szCs w:val="48"/>
        </w:rPr>
      </w:pPr>
    </w:p>
    <w:p>
      <w:pPr>
        <w:pStyle w:val="55"/>
        <w:rPr>
          <w:rFonts w:eastAsia="方正小标宋简体"/>
          <w:sz w:val="48"/>
          <w:szCs w:val="48"/>
        </w:rPr>
      </w:pPr>
    </w:p>
    <w:p>
      <w:pPr>
        <w:pStyle w:val="55"/>
        <w:rPr>
          <w:rFonts w:eastAsia="方正小标宋简体"/>
          <w:sz w:val="48"/>
          <w:szCs w:val="48"/>
        </w:rPr>
      </w:pPr>
    </w:p>
    <w:p>
      <w:pPr>
        <w:pStyle w:val="54"/>
        <w:jc w:val="center"/>
        <w:rPr>
          <w:rFonts w:eastAsia="方正小标宋简体"/>
          <w:sz w:val="48"/>
          <w:szCs w:val="48"/>
        </w:rPr>
      </w:pPr>
    </w:p>
    <w:p>
      <w:pPr>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rPr>
        <w:t>广州市净水有限公司服务项目合同</w:t>
      </w:r>
    </w:p>
    <w:p>
      <w:pPr>
        <w:pStyle w:val="21"/>
        <w:rPr>
          <w:rFonts w:ascii="宋体" w:hAnsi="宋体" w:cs="Times New Roman"/>
          <w:b w:val="0"/>
          <w:sz w:val="24"/>
          <w:szCs w:val="24"/>
          <w:highlight w:val="none"/>
        </w:rPr>
      </w:pPr>
    </w:p>
    <w:p>
      <w:pPr>
        <w:spacing w:line="400" w:lineRule="atLeast"/>
        <w:ind w:left="1506" w:hanging="1506" w:hangingChars="500"/>
        <w:rPr>
          <w:rFonts w:hint="eastAsia" w:ascii="宋体" w:hAnsi="宋体" w:cs="宋体"/>
          <w:b/>
          <w:sz w:val="30"/>
          <w:szCs w:val="30"/>
          <w:highlight w:val="none"/>
        </w:rPr>
      </w:pPr>
      <w:r>
        <w:rPr>
          <w:rFonts w:hint="eastAsia" w:ascii="宋体" w:hAnsi="宋体" w:cs="宋体"/>
          <w:b/>
          <w:sz w:val="30"/>
          <w:szCs w:val="30"/>
          <w:highlight w:val="none"/>
        </w:rPr>
        <w:t>项目名称:</w:t>
      </w:r>
      <w:r>
        <w:rPr>
          <w:rFonts w:hint="eastAsia"/>
          <w:highlight w:val="none"/>
        </w:rPr>
        <w:t xml:space="preserve"> </w:t>
      </w:r>
      <w:r>
        <w:rPr>
          <w:rFonts w:hint="eastAsia" w:ascii="宋体" w:hAnsi="宋体" w:cs="宋体"/>
          <w:b/>
          <w:sz w:val="30"/>
          <w:szCs w:val="30"/>
          <w:highlight w:val="none"/>
          <w:lang w:val="en-US" w:eastAsia="zh-CN"/>
        </w:rPr>
        <w:t>广州市净水有限公司净水厂中试试验运维试剂耗材采购项目</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rPr>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穗净水合[202</w:t>
      </w:r>
      <w:r>
        <w:rPr>
          <w:rFonts w:hint="eastAsia" w:ascii="宋体" w:hAnsi="宋体" w:cs="宋体"/>
          <w:b/>
          <w:bCs/>
          <w:sz w:val="30"/>
          <w:szCs w:val="30"/>
          <w:lang w:val="en-US" w:eastAsia="zh-CN"/>
        </w:rPr>
        <w:t>3</w:t>
      </w:r>
      <w:r>
        <w:rPr>
          <w:rFonts w:hint="eastAsia" w:ascii="宋体" w:hAnsi="宋体" w:cs="宋体"/>
          <w:b/>
          <w:bCs/>
          <w:sz w:val="30"/>
          <w:szCs w:val="30"/>
        </w:rPr>
        <w:t>]    号</w:t>
      </w: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p>
    <w:p>
      <w:pPr>
        <w:spacing w:line="400" w:lineRule="atLeast"/>
        <w:rPr>
          <w:rFonts w:ascii="宋体" w:hAnsi="宋体" w:cs="宋体"/>
          <w:sz w:val="24"/>
        </w:rPr>
      </w:pPr>
      <w:r>
        <w:rPr>
          <w:rFonts w:hint="eastAsia" w:ascii="宋体" w:hAnsi="宋体" w:cs="宋体"/>
          <w:b/>
          <w:sz w:val="30"/>
        </w:rPr>
        <w:t>签约地点：广州市</w:t>
      </w:r>
    </w:p>
    <w:p>
      <w:pPr>
        <w:ind w:firstLine="228" w:firstLineChars="95"/>
        <w:rPr>
          <w:rFonts w:ascii="宋体" w:hAnsi="宋体"/>
          <w:sz w:val="24"/>
        </w:rPr>
      </w:pPr>
    </w:p>
    <w:p>
      <w:pPr>
        <w:jc w:val="left"/>
        <w:rPr>
          <w:rFonts w:ascii="宋体" w:hAnsi="宋体" w:cs="宋体"/>
          <w:sz w:val="24"/>
          <w:szCs w:val="24"/>
        </w:rPr>
        <w:sectPr>
          <w:footerReference r:id="rId5" w:type="first"/>
          <w:footerReference r:id="rId4" w:type="default"/>
          <w:pgSz w:w="11906" w:h="16838"/>
          <w:pgMar w:top="2098" w:right="1474" w:bottom="1985" w:left="1588" w:header="851" w:footer="992" w:gutter="0"/>
          <w:pgNumType w:start="1"/>
          <w:cols w:space="425" w:num="1"/>
          <w:docGrid w:type="lines" w:linePitch="312" w:charSpace="0"/>
        </w:sectPr>
      </w:pPr>
    </w:p>
    <w:p>
      <w:pPr>
        <w:adjustRightInd w:val="0"/>
        <w:spacing w:line="360" w:lineRule="auto"/>
        <w:ind w:firstLine="480" w:firstLineChars="200"/>
        <w:jc w:val="left"/>
        <w:textAlignment w:val="baseline"/>
        <w:rPr>
          <w:rFonts w:ascii="宋体" w:hAnsi="宋体" w:cs="宋体"/>
          <w:b/>
          <w:sz w:val="24"/>
          <w:highlight w:val="none"/>
          <w:u w:val="single"/>
        </w:rPr>
      </w:pPr>
      <w:r>
        <w:rPr>
          <w:rFonts w:hint="eastAsia" w:ascii="宋体" w:hAnsi="宋体" w:cs="宋体"/>
          <w:sz w:val="24"/>
          <w:highlight w:val="none"/>
        </w:rPr>
        <w:t>据《中华人民共和国民法典》及其他有关法律、行政法规，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w:t>
      </w:r>
      <w:r>
        <w:rPr>
          <w:rFonts w:hint="eastAsia" w:ascii="宋体" w:hAnsi="宋体" w:cs="宋体"/>
          <w:sz w:val="24"/>
          <w:highlight w:val="none"/>
          <w:lang w:val="en-US" w:eastAsia="zh-CN"/>
        </w:rPr>
        <w:t xml:space="preserve">             </w:t>
      </w:r>
      <w:r>
        <w:rPr>
          <w:rFonts w:hint="eastAsia" w:ascii="宋体" w:hAnsi="宋体" w:cs="宋体"/>
          <w:sz w:val="24"/>
          <w:highlight w:val="none"/>
        </w:rPr>
        <w:t>（以下简称“乙方”）就</w:t>
      </w:r>
      <w:r>
        <w:rPr>
          <w:rFonts w:hint="eastAsia" w:ascii="宋体" w:hAnsi="宋体" w:cs="宋体"/>
          <w:sz w:val="24"/>
          <w:highlight w:val="none"/>
          <w:u w:val="single"/>
          <w:lang w:val="en-US" w:eastAsia="zh-CN"/>
        </w:rPr>
        <w:t>广州市净水有限公司净水厂中试试验运维试剂耗材采购项目</w:t>
      </w:r>
      <w:r>
        <w:rPr>
          <w:rFonts w:hint="eastAsia" w:ascii="宋体" w:hAnsi="宋体" w:cs="宋体"/>
          <w:sz w:val="24"/>
          <w:szCs w:val="22"/>
          <w:highlight w:val="none"/>
          <w:u w:val="none"/>
          <w:lang w:val="en-US" w:eastAsia="zh-CN"/>
        </w:rPr>
        <w:t>采购</w:t>
      </w:r>
      <w:r>
        <w:rPr>
          <w:rFonts w:hint="eastAsia" w:ascii="宋体" w:hAnsi="宋体" w:cs="宋体"/>
          <w:sz w:val="24"/>
          <w:highlight w:val="none"/>
        </w:rPr>
        <w:t>事宜，遵循平等、自愿、公平和诚实信用的原则，双方协商一致，订立本合同。</w:t>
      </w:r>
    </w:p>
    <w:p>
      <w:pPr>
        <w:spacing w:before="93" w:beforeLines="30" w:line="360" w:lineRule="auto"/>
        <w:ind w:firstLine="482" w:firstLineChars="200"/>
        <w:rPr>
          <w:rFonts w:ascii="Times New Roman" w:hAnsi="Times New Roman" w:cs="Times New Roman"/>
          <w:highlight w:val="none"/>
        </w:rPr>
      </w:pPr>
      <w:r>
        <w:rPr>
          <w:rFonts w:ascii="Times New Roman" w:hAnsi="Times New Roman" w:cs="Times New Roman"/>
          <w:b/>
          <w:sz w:val="24"/>
          <w:highlight w:val="none"/>
        </w:rPr>
        <w:t>第一条 组成合同的文件及优先顺序</w:t>
      </w:r>
    </w:p>
    <w:p>
      <w:pPr>
        <w:spacing w:line="360" w:lineRule="auto"/>
        <w:ind w:firstLine="482"/>
        <w:rPr>
          <w:rFonts w:ascii="宋体" w:hAnsi="宋体" w:cs="宋体"/>
          <w:bCs/>
          <w:sz w:val="24"/>
          <w:highlight w:val="none"/>
        </w:rPr>
      </w:pP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360" w:lineRule="auto"/>
        <w:ind w:firstLine="482"/>
        <w:rPr>
          <w:rFonts w:ascii="宋体" w:hAnsi="宋体" w:eastAsia="宋体" w:cs="宋体"/>
          <w:bCs/>
          <w:sz w:val="24"/>
          <w:highlight w:val="none"/>
        </w:rPr>
      </w:pPr>
      <w:r>
        <w:rPr>
          <w:rFonts w:hint="eastAsia" w:ascii="宋体" w:hAnsi="宋体" w:eastAsia="宋体" w:cs="宋体"/>
          <w:bCs/>
          <w:sz w:val="24"/>
          <w:highlight w:val="none"/>
        </w:rPr>
        <w:t xml:space="preserve">⑴ </w:t>
      </w:r>
      <w:r>
        <w:rPr>
          <w:rFonts w:hint="eastAsia" w:ascii="宋体" w:hAnsi="宋体" w:eastAsia="宋体" w:cs="宋体"/>
          <w:sz w:val="24"/>
          <w:highlight w:val="none"/>
        </w:rPr>
        <w:t>在本合同实施过程双方签署的补充与修正文件</w:t>
      </w:r>
      <w:r>
        <w:rPr>
          <w:rFonts w:hint="eastAsia" w:ascii="宋体" w:hAnsi="宋体" w:eastAsia="宋体" w:cs="宋体"/>
          <w:bCs/>
          <w:sz w:val="24"/>
          <w:highlight w:val="none"/>
        </w:rPr>
        <w:t>；</w:t>
      </w:r>
    </w:p>
    <w:p>
      <w:pPr>
        <w:spacing w:line="360" w:lineRule="auto"/>
        <w:ind w:firstLine="482"/>
        <w:rPr>
          <w:rFonts w:ascii="宋体" w:hAnsi="宋体" w:eastAsia="宋体" w:cs="宋体"/>
          <w:bCs/>
          <w:sz w:val="24"/>
          <w:highlight w:val="none"/>
        </w:rPr>
      </w:pPr>
      <w:r>
        <w:rPr>
          <w:rFonts w:hint="eastAsia" w:ascii="宋体" w:hAnsi="宋体" w:eastAsia="宋体" w:cs="宋体"/>
          <w:bCs/>
          <w:sz w:val="24"/>
          <w:highlight w:val="none"/>
        </w:rPr>
        <w:t>⑵ 本合同书；</w:t>
      </w:r>
    </w:p>
    <w:p>
      <w:pPr>
        <w:spacing w:line="360" w:lineRule="auto"/>
        <w:ind w:firstLine="482"/>
        <w:rPr>
          <w:rFonts w:ascii="宋体" w:hAnsi="宋体" w:eastAsia="宋体" w:cs="宋体"/>
          <w:bCs/>
          <w:sz w:val="24"/>
          <w:highlight w:val="none"/>
        </w:rPr>
      </w:pPr>
      <w:r>
        <w:rPr>
          <w:rFonts w:hint="eastAsia" w:ascii="宋体" w:hAnsi="宋体" w:eastAsia="宋体" w:cs="宋体"/>
          <w:bCs/>
          <w:sz w:val="24"/>
          <w:highlight w:val="none"/>
        </w:rPr>
        <w:t>⑶ 发包通知书/委托函；</w:t>
      </w:r>
    </w:p>
    <w:p>
      <w:pPr>
        <w:spacing w:line="360" w:lineRule="auto"/>
        <w:ind w:firstLine="482"/>
        <w:rPr>
          <w:rFonts w:ascii="宋体" w:hAnsi="宋体" w:eastAsia="宋体" w:cs="宋体"/>
          <w:bCs/>
          <w:sz w:val="24"/>
          <w:highlight w:val="none"/>
        </w:rPr>
      </w:pPr>
      <w:r>
        <w:rPr>
          <w:rFonts w:hint="eastAsia" w:ascii="宋体" w:hAnsi="宋体" w:eastAsia="宋体" w:cs="宋体"/>
          <w:bCs/>
          <w:sz w:val="24"/>
          <w:highlight w:val="none"/>
        </w:rPr>
        <w:t>⑷ 询价文件；</w:t>
      </w:r>
    </w:p>
    <w:p>
      <w:pPr>
        <w:spacing w:line="360" w:lineRule="auto"/>
        <w:ind w:firstLine="482"/>
        <w:rPr>
          <w:rFonts w:ascii="宋体" w:hAnsi="宋体" w:eastAsia="宋体" w:cs="宋体"/>
          <w:bCs/>
          <w:sz w:val="24"/>
          <w:highlight w:val="none"/>
        </w:rPr>
      </w:pPr>
      <w:r>
        <w:rPr>
          <w:rFonts w:hint="eastAsia" w:ascii="宋体" w:hAnsi="宋体" w:eastAsia="宋体" w:cs="宋体"/>
          <w:bCs/>
          <w:sz w:val="24"/>
          <w:highlight w:val="none"/>
        </w:rPr>
        <w:t>⑸ 响应文件；</w:t>
      </w:r>
    </w:p>
    <w:p>
      <w:pPr>
        <w:spacing w:line="360" w:lineRule="auto"/>
        <w:ind w:firstLine="482"/>
        <w:rPr>
          <w:rFonts w:ascii="宋体" w:hAnsi="宋体" w:eastAsia="宋体" w:cs="宋体"/>
          <w:bCs/>
          <w:sz w:val="24"/>
          <w:highlight w:val="none"/>
        </w:rPr>
      </w:pPr>
      <w:r>
        <w:rPr>
          <w:rFonts w:hint="eastAsia" w:ascii="宋体" w:hAnsi="宋体" w:eastAsia="宋体" w:cs="宋体"/>
          <w:bCs/>
          <w:sz w:val="24"/>
          <w:highlight w:val="none"/>
        </w:rPr>
        <w:t>⑹ 标准、规范及有关技术性文件；</w:t>
      </w:r>
    </w:p>
    <w:p>
      <w:pPr>
        <w:spacing w:line="360" w:lineRule="auto"/>
        <w:ind w:firstLine="482"/>
        <w:rPr>
          <w:rFonts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7 \* GB2 \* MERGEFORMAT </w:instrText>
      </w:r>
      <w:r>
        <w:rPr>
          <w:rFonts w:hint="eastAsia" w:ascii="宋体" w:hAnsi="宋体" w:eastAsia="宋体" w:cs="宋体"/>
          <w:bCs/>
          <w:sz w:val="24"/>
          <w:highlight w:val="none"/>
        </w:rPr>
        <w:fldChar w:fldCharType="separate"/>
      </w:r>
      <w:r>
        <w:rPr>
          <w:rFonts w:hint="eastAsia" w:ascii="宋体" w:hAnsi="宋体" w:eastAsia="宋体" w:cs="宋体"/>
          <w:sz w:val="24"/>
          <w:highlight w:val="none"/>
        </w:rPr>
        <w:t>⑺</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 xml:space="preserve"> 工程量清单/</w:t>
      </w:r>
      <w:r>
        <w:rPr>
          <w:rFonts w:hint="eastAsia" w:ascii="宋体" w:hAnsi="宋体" w:eastAsia="宋体" w:cs="宋体"/>
          <w:sz w:val="24"/>
          <w:highlight w:val="none"/>
        </w:rPr>
        <w:t>工程报价单或预算书；</w:t>
      </w:r>
    </w:p>
    <w:p>
      <w:pPr>
        <w:spacing w:line="360" w:lineRule="auto"/>
        <w:ind w:firstLine="482"/>
        <w:rPr>
          <w:rFonts w:ascii="宋体" w:hAnsi="宋体" w:eastAsia="宋体" w:cs="宋体"/>
          <w:b/>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8 \* GB2 \* MERGEFORMAT </w:instrText>
      </w:r>
      <w:r>
        <w:rPr>
          <w:rFonts w:hint="eastAsia" w:ascii="宋体" w:hAnsi="宋体" w:eastAsia="宋体" w:cs="宋体"/>
          <w:bCs/>
          <w:sz w:val="24"/>
          <w:highlight w:val="none"/>
        </w:rPr>
        <w:fldChar w:fldCharType="separate"/>
      </w:r>
      <w:r>
        <w:rPr>
          <w:rFonts w:hint="eastAsia" w:ascii="宋体" w:hAnsi="宋体" w:eastAsia="宋体" w:cs="宋体"/>
          <w:sz w:val="24"/>
          <w:highlight w:val="none"/>
        </w:rPr>
        <w:t>⑻</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 xml:space="preserve"> 本合同其他附件；</w:t>
      </w:r>
    </w:p>
    <w:p>
      <w:pPr>
        <w:numPr>
          <w:ilvl w:val="0"/>
          <w:numId w:val="4"/>
        </w:numPr>
        <w:spacing w:line="360" w:lineRule="auto"/>
        <w:ind w:firstLine="482"/>
        <w:rPr>
          <w:rFonts w:hint="default"/>
          <w:lang w:val="en-US" w:eastAsia="zh-CN"/>
        </w:rPr>
      </w:pPr>
      <w:r>
        <w:rPr>
          <w:rFonts w:hint="eastAsia" w:ascii="宋体" w:hAnsi="宋体" w:cs="宋体"/>
          <w:b/>
          <w:bCs/>
          <w:sz w:val="24"/>
          <w:highlight w:val="none"/>
          <w:lang w:val="en-US" w:eastAsia="zh-CN"/>
        </w:rPr>
        <w:t>合同标的</w:t>
      </w:r>
    </w:p>
    <w:p>
      <w:pPr>
        <w:pStyle w:val="2"/>
        <w:rPr>
          <w:rFonts w:hint="default"/>
          <w:lang w:val="en-US" w:eastAsia="zh-CN"/>
        </w:rPr>
      </w:pPr>
      <w:r>
        <w:rPr>
          <w:rFonts w:hint="eastAsia" w:ascii="Times New Roman" w:hAnsi="Times New Roman" w:eastAsia="宋体" w:cs="Times New Roman"/>
          <w:color w:val="auto"/>
          <w:sz w:val="24"/>
          <w:szCs w:val="24"/>
          <w:lang w:val="en-US" w:eastAsia="zh-CN"/>
        </w:rPr>
        <w:t>货物清单详细见附件2。</w:t>
      </w:r>
    </w:p>
    <w:p>
      <w:pPr>
        <w:widowControl/>
        <w:numPr>
          <w:ilvl w:val="0"/>
          <w:numId w:val="4"/>
        </w:numPr>
        <w:spacing w:line="360" w:lineRule="auto"/>
        <w:ind w:firstLine="482"/>
        <w:jc w:val="left"/>
        <w:rPr>
          <w:rFonts w:hint="eastAsia" w:ascii="宋体" w:hAnsi="宋体" w:eastAsia="宋体" w:cs="Times New Roman"/>
          <w:b/>
          <w:kern w:val="0"/>
          <w:sz w:val="24"/>
          <w:szCs w:val="24"/>
          <w:highlight w:val="none"/>
          <w:lang w:val="en-US" w:eastAsia="zh-CN"/>
        </w:rPr>
      </w:pPr>
      <w:r>
        <w:rPr>
          <w:rFonts w:hint="eastAsia" w:ascii="宋体" w:hAnsi="宋体" w:eastAsia="宋体" w:cs="Times New Roman"/>
          <w:b/>
          <w:kern w:val="0"/>
          <w:sz w:val="24"/>
          <w:szCs w:val="24"/>
          <w:highlight w:val="none"/>
          <w:lang w:val="en-US" w:eastAsia="zh-CN"/>
        </w:rPr>
        <w:t>交货日期及地点</w:t>
      </w:r>
    </w:p>
    <w:p>
      <w:pPr>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3.1乙方按以下供货期供货。</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乙方按甲方要求，按时间计划逐批（次）供货，并</w:t>
      </w:r>
      <w:r>
        <w:rPr>
          <w:rFonts w:hint="eastAsia" w:ascii="宋体" w:hAnsi="宋体" w:cs="宋体"/>
          <w:color w:val="auto"/>
          <w:sz w:val="24"/>
          <w:szCs w:val="24"/>
          <w:u w:val="single"/>
        </w:rPr>
        <w:t>开箱</w:t>
      </w:r>
      <w:r>
        <w:rPr>
          <w:rFonts w:hint="eastAsia" w:ascii="宋体" w:hAnsi="宋体" w:cs="宋体"/>
          <w:color w:val="auto"/>
          <w:sz w:val="24"/>
          <w:szCs w:val="24"/>
        </w:rPr>
        <w:t>收合格（如果供货要求包含安装、调试，则应为试运行验收合格），具体交货日期以甲方通知为准。</w:t>
      </w:r>
    </w:p>
    <w:p>
      <w:pPr>
        <w:spacing w:after="120" w:line="460" w:lineRule="exact"/>
        <w:ind w:firstLine="480" w:firstLineChars="200"/>
        <w:rPr>
          <w:rFonts w:hint="eastAsia" w:ascii="Times New Roman" w:hAnsi="Times New Roman" w:cs="Times New Roman" w:eastAsiaTheme="minorEastAsia"/>
          <w:color w:val="auto"/>
          <w:sz w:val="24"/>
          <w:szCs w:val="24"/>
          <w:lang w:eastAsia="zh-CN"/>
        </w:rPr>
      </w:pPr>
      <w:r>
        <w:rPr>
          <w:rFonts w:hint="eastAsia" w:ascii="宋体" w:hAnsi="宋体" w:cs="宋体"/>
          <w:color w:val="auto"/>
          <w:sz w:val="24"/>
          <w:szCs w:val="24"/>
        </w:rPr>
        <w:t>合同有效期为</w:t>
      </w:r>
      <w:r>
        <w:rPr>
          <w:rFonts w:hint="eastAsia" w:ascii="宋体" w:hAnsi="宋体" w:cs="宋体" w:eastAsiaTheme="minorEastAsia"/>
          <w:color w:val="auto"/>
          <w:sz w:val="24"/>
          <w:szCs w:val="24"/>
          <w:u w:val="none"/>
          <w:lang w:val="en-US" w:eastAsia="zh-CN"/>
        </w:rPr>
        <w:t>自合同签订之日起至2023年12月31日止</w:t>
      </w:r>
      <w:r>
        <w:rPr>
          <w:rFonts w:hint="eastAsia" w:ascii="宋体" w:hAnsi="宋体" w:cs="宋体"/>
          <w:color w:val="auto"/>
          <w:sz w:val="24"/>
          <w:szCs w:val="24"/>
        </w:rPr>
        <w:t>。若合同到期前实际采购货物金额达到合同暂定总价的，合同提前终止</w:t>
      </w:r>
      <w:r>
        <w:rPr>
          <w:rFonts w:hint="eastAsia" w:ascii="宋体" w:hAnsi="宋体" w:cs="宋体"/>
          <w:color w:val="auto"/>
          <w:sz w:val="24"/>
          <w:szCs w:val="24"/>
          <w:lang w:eastAsia="zh-CN"/>
        </w:rPr>
        <w:t>。</w:t>
      </w:r>
    </w:p>
    <w:p>
      <w:pPr>
        <w:spacing w:after="120"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3.2</w:t>
      </w:r>
      <w:r>
        <w:rPr>
          <w:rFonts w:ascii="Times New Roman" w:hAnsi="Times New Roman" w:cs="Times New Roman"/>
          <w:bCs/>
          <w:color w:val="auto"/>
          <w:sz w:val="24"/>
          <w:szCs w:val="24"/>
        </w:rPr>
        <w:t>交货地点：</w:t>
      </w:r>
      <w:r>
        <w:rPr>
          <w:rFonts w:ascii="Times New Roman" w:hAnsi="Times New Roman" w:cs="Times New Roman"/>
          <w:bCs/>
          <w:color w:val="auto"/>
          <w:sz w:val="24"/>
          <w:szCs w:val="24"/>
          <w:u w:val="single"/>
        </w:rPr>
        <w:t xml:space="preserve">  广州市净水有限公司</w:t>
      </w:r>
      <w:r>
        <w:rPr>
          <w:rFonts w:hint="eastAsia" w:ascii="Times New Roman" w:hAnsi="Times New Roman" w:cs="Times New Roman"/>
          <w:bCs/>
          <w:color w:val="auto"/>
          <w:sz w:val="24"/>
          <w:szCs w:val="24"/>
          <w:u w:val="single"/>
          <w:lang w:val="en-US" w:eastAsia="zh-CN"/>
        </w:rPr>
        <w:t>大坦沙分公司和沥滘</w:t>
      </w:r>
      <w:r>
        <w:rPr>
          <w:rFonts w:ascii="Times New Roman" w:hAnsi="Times New Roman" w:cs="Times New Roman"/>
          <w:bCs/>
          <w:color w:val="auto"/>
          <w:sz w:val="24"/>
          <w:szCs w:val="24"/>
          <w:u w:val="single"/>
        </w:rPr>
        <w:t xml:space="preserve">分公司  </w:t>
      </w:r>
      <w:r>
        <w:rPr>
          <w:rFonts w:ascii="Times New Roman" w:hAnsi="Times New Roman" w:cs="Times New Roman"/>
          <w:bCs/>
          <w:color w:val="auto"/>
          <w:sz w:val="24"/>
          <w:szCs w:val="24"/>
        </w:rPr>
        <w:t>，最终具体交货地点以甲方通知为准。</w:t>
      </w:r>
      <w:r>
        <w:rPr>
          <w:rFonts w:ascii="Times New Roman" w:hAnsi="Times New Roman" w:cs="Times New Roman"/>
          <w:color w:val="auto"/>
          <w:sz w:val="24"/>
          <w:szCs w:val="24"/>
        </w:rPr>
        <w:t xml:space="preserve"> </w:t>
      </w:r>
    </w:p>
    <w:p>
      <w:pPr>
        <w:pStyle w:val="2"/>
        <w:numPr>
          <w:ilvl w:val="-1"/>
          <w:numId w:val="0"/>
        </w:numPr>
        <w:ind w:firstLine="0"/>
        <w:rPr>
          <w:rFonts w:hint="default"/>
          <w:lang w:val="en-US" w:eastAsia="zh-CN"/>
        </w:rPr>
      </w:pPr>
    </w:p>
    <w:p>
      <w:pPr>
        <w:widowControl/>
        <w:numPr>
          <w:ilvl w:val="255"/>
          <w:numId w:val="0"/>
        </w:numPr>
        <w:spacing w:line="360" w:lineRule="auto"/>
        <w:ind w:firstLine="482"/>
        <w:jc w:val="left"/>
        <w:rPr>
          <w:rFonts w:ascii="宋体" w:hAnsi="宋体" w:eastAsia="宋体" w:cs="Times New Roman"/>
          <w:b/>
          <w:kern w:val="0"/>
          <w:sz w:val="24"/>
          <w:szCs w:val="24"/>
          <w:highlight w:val="none"/>
        </w:rPr>
      </w:pPr>
      <w:r>
        <w:rPr>
          <w:rFonts w:hint="eastAsia" w:ascii="宋体" w:hAnsi="宋体" w:eastAsia="宋体" w:cs="Times New Roman"/>
          <w:b/>
          <w:kern w:val="0"/>
          <w:sz w:val="24"/>
          <w:szCs w:val="24"/>
          <w:highlight w:val="none"/>
          <w:lang w:val="en-US" w:eastAsia="zh-CN"/>
        </w:rPr>
        <w:t xml:space="preserve">第四条 </w:t>
      </w:r>
      <w:r>
        <w:rPr>
          <w:rFonts w:hint="eastAsia" w:ascii="宋体" w:hAnsi="宋体" w:eastAsia="宋体" w:cs="Times New Roman"/>
          <w:b/>
          <w:kern w:val="0"/>
          <w:sz w:val="24"/>
          <w:szCs w:val="24"/>
          <w:highlight w:val="none"/>
        </w:rPr>
        <w:t>合同金额</w:t>
      </w:r>
    </w:p>
    <w:p>
      <w:pPr>
        <w:adjustRightInd w:val="0"/>
        <w:snapToGrid w:val="0"/>
        <w:spacing w:line="360" w:lineRule="auto"/>
        <w:ind w:firstLine="480" w:firstLineChars="200"/>
        <w:jc w:val="left"/>
        <w:textAlignment w:val="baseline"/>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kern w:val="0"/>
          <w:sz w:val="24"/>
          <w:szCs w:val="24"/>
          <w:highlight w:val="none"/>
        </w:rPr>
        <w:t>1.合同暂定含税总价为</w:t>
      </w:r>
      <w:r>
        <w:rPr>
          <w:rFonts w:hint="eastAsia" w:ascii="宋体" w:hAnsi="宋体" w:eastAsia="宋体" w:cs="Times New Roman"/>
          <w:kern w:val="0"/>
          <w:sz w:val="24"/>
          <w:szCs w:val="24"/>
          <w:highlight w:val="none"/>
          <w:u w:val="single"/>
          <w:lang w:val="en-US" w:eastAsia="zh-CN"/>
        </w:rPr>
        <w:t xml:space="preserve">          </w:t>
      </w:r>
      <w:r>
        <w:rPr>
          <w:rFonts w:hint="eastAsia" w:ascii="宋体" w:hAnsi="宋体"/>
          <w:sz w:val="24"/>
          <w:szCs w:val="24"/>
          <w:highlight w:val="none"/>
        </w:rPr>
        <w:t>元</w:t>
      </w:r>
      <w:r>
        <w:rPr>
          <w:rFonts w:hint="eastAsia" w:ascii="宋体" w:hAnsi="宋体" w:eastAsia="宋体" w:cs="Times New Roman"/>
          <w:kern w:val="0"/>
          <w:sz w:val="24"/>
          <w:szCs w:val="24"/>
          <w:highlight w:val="none"/>
        </w:rPr>
        <w:t>（大写：</w:t>
      </w:r>
      <w:r>
        <w:rPr>
          <w:rFonts w:hint="eastAsia" w:ascii="宋体" w:hAnsi="宋体" w:eastAsia="宋体" w:cs="Times New Roman"/>
          <w:kern w:val="0"/>
          <w:sz w:val="24"/>
          <w:szCs w:val="24"/>
          <w:highlight w:val="none"/>
          <w:lang w:val="en-US" w:eastAsia="zh-CN"/>
        </w:rPr>
        <w:t xml:space="preserve">       </w:t>
      </w:r>
      <w:r>
        <w:rPr>
          <w:rFonts w:hint="eastAsia" w:ascii="宋体" w:hAnsi="宋体" w:eastAsia="宋体" w:cs="Times New Roman"/>
          <w:kern w:val="0"/>
          <w:sz w:val="24"/>
          <w:szCs w:val="24"/>
          <w:highlight w:val="none"/>
        </w:rPr>
        <w:t>）</w:t>
      </w:r>
      <w:r>
        <w:rPr>
          <w:rFonts w:hint="eastAsia" w:ascii="宋体" w:hAnsi="宋体" w:cs="宋体"/>
          <w:color w:val="000000" w:themeColor="text1"/>
          <w:sz w:val="24"/>
          <w:szCs w:val="24"/>
          <w:highlight w:val="none"/>
          <w:lang w:val="en-US" w:eastAsia="zh-CN"/>
          <w14:textFill>
            <w14:solidFill>
              <w14:schemeClr w14:val="tx1"/>
            </w14:solidFill>
          </w14:textFill>
        </w:rPr>
        <w:t>。</w:t>
      </w:r>
    </w:p>
    <w:p>
      <w:pPr>
        <w:widowControl/>
        <w:numPr>
          <w:ilvl w:val="255"/>
          <w:numId w:val="0"/>
        </w:numPr>
        <w:spacing w:line="360" w:lineRule="auto"/>
        <w:ind w:firstLine="480" w:firstLineChars="20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最终按</w:t>
      </w:r>
      <w:r>
        <w:rPr>
          <w:rFonts w:hint="eastAsia" w:ascii="宋体" w:hAnsi="宋体" w:eastAsia="宋体" w:cs="Times New Roman"/>
          <w:kern w:val="0"/>
          <w:sz w:val="24"/>
          <w:szCs w:val="24"/>
          <w:highlight w:val="none"/>
          <w:lang w:val="en-US" w:eastAsia="zh-CN"/>
        </w:rPr>
        <w:t>实际供货量</w:t>
      </w:r>
      <w:r>
        <w:rPr>
          <w:rFonts w:hint="eastAsia" w:ascii="宋体" w:hAnsi="宋体" w:eastAsia="宋体" w:cs="Times New Roman"/>
          <w:kern w:val="0"/>
          <w:sz w:val="24"/>
          <w:szCs w:val="24"/>
          <w:highlight w:val="none"/>
        </w:rPr>
        <w:t>结算，具体</w:t>
      </w:r>
      <w:r>
        <w:rPr>
          <w:rFonts w:hint="eastAsia" w:ascii="宋体" w:hAnsi="宋体" w:eastAsia="宋体" w:cs="Times New Roman"/>
          <w:kern w:val="0"/>
          <w:sz w:val="24"/>
          <w:szCs w:val="24"/>
          <w:highlight w:val="none"/>
          <w:lang w:val="en-US" w:eastAsia="zh-CN"/>
        </w:rPr>
        <w:t>供货需求</w:t>
      </w:r>
      <w:r>
        <w:rPr>
          <w:rFonts w:hint="eastAsia" w:ascii="宋体" w:hAnsi="宋体" w:eastAsia="宋体" w:cs="Times New Roman"/>
          <w:kern w:val="0"/>
          <w:sz w:val="24"/>
          <w:szCs w:val="24"/>
          <w:highlight w:val="none"/>
        </w:rPr>
        <w:t>详见</w:t>
      </w:r>
      <w:r>
        <w:rPr>
          <w:rFonts w:hint="eastAsia" w:ascii="宋体" w:hAnsi="宋体" w:eastAsia="宋体" w:cs="Times New Roman"/>
          <w:kern w:val="0"/>
          <w:sz w:val="24"/>
          <w:szCs w:val="24"/>
          <w:highlight w:val="none"/>
          <w:lang w:val="en-US" w:eastAsia="zh-CN"/>
        </w:rPr>
        <w:t>采购需求</w:t>
      </w:r>
      <w:r>
        <w:rPr>
          <w:rFonts w:hint="eastAsia" w:ascii="宋体" w:hAnsi="宋体" w:eastAsia="宋体" w:cs="Times New Roman"/>
          <w:kern w:val="0"/>
          <w:sz w:val="24"/>
          <w:szCs w:val="24"/>
          <w:highlight w:val="none"/>
        </w:rPr>
        <w:t>。</w:t>
      </w:r>
    </w:p>
    <w:p>
      <w:pPr>
        <w:numPr>
          <w:ilvl w:val="0"/>
          <w:numId w:val="0"/>
        </w:numPr>
        <w:adjustRightInd w:val="0"/>
        <w:snapToGrid w:val="0"/>
        <w:spacing w:line="460" w:lineRule="exact"/>
        <w:ind w:firstLine="480" w:firstLineChars="200"/>
        <w:jc w:val="both"/>
        <w:rPr>
          <w:rFonts w:ascii="Times New Roman" w:hAnsi="Times New Roman" w:cs="Times New Roman"/>
          <w:b/>
          <w:color w:val="auto"/>
          <w:sz w:val="24"/>
          <w:szCs w:val="24"/>
        </w:rPr>
      </w:pPr>
      <w:r>
        <w:rPr>
          <w:rFonts w:hint="eastAsia" w:ascii="宋体" w:hAnsi="宋体" w:eastAsia="宋体" w:cs="Times New Roman"/>
          <w:kern w:val="0"/>
          <w:sz w:val="24"/>
          <w:szCs w:val="24"/>
          <w:highlight w:val="none"/>
        </w:rPr>
        <w:t>本合同约定的价格为含税价（税率</w:t>
      </w:r>
      <w:r>
        <w:rPr>
          <w:rFonts w:hint="eastAsia" w:ascii="宋体" w:hAnsi="宋体" w:eastAsia="宋体" w:cs="Times New Roman"/>
          <w:kern w:val="0"/>
          <w:sz w:val="24"/>
          <w:szCs w:val="24"/>
          <w:highlight w:val="none"/>
          <w:u w:val="single"/>
          <w:lang w:val="en-US" w:eastAsia="zh-CN"/>
        </w:rPr>
        <w:t xml:space="preserve">    </w:t>
      </w:r>
      <w:r>
        <w:rPr>
          <w:rFonts w:hint="eastAsia" w:ascii="宋体" w:hAnsi="宋体" w:eastAsia="宋体" w:cs="Times New Roman"/>
          <w:kern w:val="0"/>
          <w:sz w:val="24"/>
          <w:szCs w:val="24"/>
          <w:highlight w:val="none"/>
        </w:rPr>
        <w:t>%），</w:t>
      </w:r>
      <w:r>
        <w:rPr>
          <w:rFonts w:ascii="Times New Roman" w:hAnsi="Times New Roman" w:cs="Times New Roman"/>
          <w:color w:val="auto"/>
          <w:kern w:val="0"/>
          <w:sz w:val="24"/>
          <w:szCs w:val="24"/>
        </w:rPr>
        <w:t>合同</w:t>
      </w:r>
      <w:r>
        <w:rPr>
          <w:rFonts w:ascii="Times New Roman" w:hAnsi="Times New Roman" w:cs="Times New Roman"/>
          <w:color w:val="auto"/>
          <w:sz w:val="24"/>
          <w:szCs w:val="24"/>
        </w:rPr>
        <w:t>单价为综合单价，指货物运到甲方指定地点的交货价，该价格包括但不限于：货物的生产、产品检验（含出厂及到货验收）、运输（含转运）、包装、装卸（含卸车费用）、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Times New Roman" w:hAnsi="Times New Roman" w:cs="Times New Roman"/>
          <w:color w:val="auto"/>
          <w:sz w:val="24"/>
          <w:szCs w:val="24"/>
        </w:rPr>
      </w:pPr>
      <w:r>
        <w:rPr>
          <w:rFonts w:ascii="Times New Roman" w:hAnsi="Times New Roman" w:cs="Times New Roman"/>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ascii="Times New Roman" w:hAnsi="Times New Roman" w:cs="Times New Roman"/>
          <w:bCs/>
          <w:color w:val="auto"/>
          <w:sz w:val="24"/>
          <w:szCs w:val="24"/>
        </w:rPr>
      </w:pPr>
      <w:r>
        <w:rPr>
          <w:rFonts w:ascii="Times New Roman" w:hAnsi="Times New Roman" w:cs="Times New Roman"/>
          <w:b/>
          <w:color w:val="auto"/>
          <w:sz w:val="24"/>
          <w:szCs w:val="24"/>
        </w:rPr>
        <w:t>第五条 支付方式</w:t>
      </w:r>
    </w:p>
    <w:p>
      <w:pPr>
        <w:spacing w:line="460" w:lineRule="exact"/>
        <w:ind w:firstLine="480" w:firstLineChars="200"/>
        <w:rPr>
          <w:rFonts w:ascii="Times New Roman" w:hAnsi="Times New Roman" w:cs="Times New Roman"/>
          <w:bCs/>
          <w:color w:val="auto"/>
          <w:sz w:val="24"/>
          <w:szCs w:val="24"/>
        </w:rPr>
      </w:pPr>
      <w:r>
        <w:rPr>
          <w:rFonts w:ascii="Times New Roman" w:hAnsi="Times New Roman" w:cs="Times New Roman"/>
          <w:color w:val="auto"/>
          <w:sz w:val="24"/>
          <w:szCs w:val="24"/>
        </w:rPr>
        <w:t>5.1</w:t>
      </w:r>
      <w:r>
        <w:rPr>
          <w:rFonts w:ascii="Times New Roman" w:hAnsi="Times New Roman" w:cs="Times New Roman"/>
          <w:bCs/>
          <w:color w:val="auto"/>
          <w:sz w:val="24"/>
          <w:szCs w:val="24"/>
        </w:rPr>
        <w:t>预付款支付：无；</w:t>
      </w:r>
    </w:p>
    <w:p>
      <w:pPr>
        <w:spacing w:line="460" w:lineRule="exact"/>
        <w:ind w:firstLine="480" w:firstLineChars="200"/>
        <w:rPr>
          <w:rFonts w:hint="eastAsia" w:ascii="宋体" w:hAnsi="宋体" w:cs="宋体"/>
          <w:color w:val="auto"/>
          <w:sz w:val="24"/>
          <w:szCs w:val="24"/>
        </w:rPr>
      </w:pPr>
      <w:r>
        <w:rPr>
          <w:rFonts w:ascii="Times New Roman" w:hAnsi="Times New Roman" w:cs="Times New Roman"/>
          <w:color w:val="auto"/>
          <w:sz w:val="24"/>
          <w:szCs w:val="24"/>
        </w:rPr>
        <w:t>5.2支付方式：</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spacing w:line="460" w:lineRule="exact"/>
        <w:ind w:firstLine="480" w:firstLineChars="200"/>
        <w:rPr>
          <w:rFonts w:ascii="Times New Roman" w:hAnsi="Times New Roman" w:cs="Times New Roman"/>
          <w:color w:val="auto"/>
          <w:sz w:val="24"/>
          <w:szCs w:val="24"/>
          <w:u w:val="single"/>
        </w:rPr>
      </w:pPr>
      <w:r>
        <w:rPr>
          <w:rFonts w:ascii="Times New Roman" w:hAnsi="Times New Roman" w:cs="Times New Roman"/>
          <w:color w:val="auto"/>
          <w:sz w:val="24"/>
          <w:szCs w:val="24"/>
        </w:rPr>
        <w:t>5.3乙方收款账户：</w:t>
      </w: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w:t>
      </w:r>
    </w:p>
    <w:p>
      <w:pPr>
        <w:spacing w:line="460" w:lineRule="exact"/>
        <w:ind w:firstLine="960" w:firstLineChars="400"/>
        <w:rPr>
          <w:rFonts w:ascii="Times New Roman" w:hAnsi="Times New Roman" w:cs="Times New Roman"/>
          <w:color w:val="auto"/>
          <w:sz w:val="24"/>
          <w:szCs w:val="24"/>
        </w:rPr>
      </w:pPr>
      <w:r>
        <w:rPr>
          <w:rFonts w:ascii="Times New Roman" w:hAnsi="Times New Roman" w:cs="Times New Roman"/>
          <w:color w:val="auto"/>
          <w:sz w:val="24"/>
          <w:szCs w:val="24"/>
        </w:rPr>
        <w:t>收款账号：</w:t>
      </w: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w:t>
      </w:r>
    </w:p>
    <w:p>
      <w:pPr>
        <w:spacing w:line="460" w:lineRule="exact"/>
        <w:ind w:firstLine="960" w:firstLineChars="400"/>
        <w:rPr>
          <w:rFonts w:ascii="Times New Roman" w:hAnsi="Times New Roman" w:cs="Times New Roman"/>
          <w:color w:val="auto"/>
          <w:sz w:val="24"/>
          <w:szCs w:val="24"/>
        </w:rPr>
      </w:pPr>
      <w:r>
        <w:rPr>
          <w:rFonts w:ascii="Times New Roman" w:hAnsi="Times New Roman" w:cs="Times New Roman"/>
          <w:color w:val="auto"/>
          <w:sz w:val="24"/>
          <w:szCs w:val="24"/>
        </w:rPr>
        <w:t>开户行：</w:t>
      </w: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乙方在收款前需向甲方提交等额增值税专用发票，增值税专用发票信息：</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 xml:space="preserve"> ；  </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 xml:space="preserve">5.4付款方式： 网银支付；      </w:t>
      </w:r>
    </w:p>
    <w:p>
      <w:pPr>
        <w:adjustRightInd w:val="0"/>
        <w:snapToGrid w:val="0"/>
        <w:spacing w:line="460" w:lineRule="exact"/>
        <w:ind w:firstLine="482" w:firstLineChars="200"/>
        <w:rPr>
          <w:rFonts w:ascii="Times New Roman" w:hAnsi="Times New Roman" w:cs="Times New Roman"/>
          <w:color w:val="auto"/>
          <w:sz w:val="24"/>
          <w:szCs w:val="24"/>
        </w:rPr>
      </w:pPr>
      <w:r>
        <w:rPr>
          <w:rFonts w:ascii="Times New Roman" w:hAnsi="Times New Roman" w:cs="Times New Roman"/>
          <w:b/>
          <w:bCs/>
          <w:color w:val="auto"/>
          <w:sz w:val="24"/>
          <w:szCs w:val="24"/>
        </w:rPr>
        <w:t>第六条 违约责任</w:t>
      </w:r>
    </w:p>
    <w:p>
      <w:pPr>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6.1单方面取消合同：任意一方未经对方同意单方面取消合同，应按</w:t>
      </w:r>
      <w:r>
        <w:rPr>
          <w:rFonts w:ascii="Times New Roman" w:hAnsi="Times New Roman" w:cs="Times New Roman"/>
          <w:color w:val="auto"/>
          <w:sz w:val="24"/>
          <w:szCs w:val="24"/>
          <w:u w:val="single"/>
        </w:rPr>
        <w:t>合同暂定总价的30%</w:t>
      </w:r>
      <w:r>
        <w:rPr>
          <w:rFonts w:ascii="Times New Roman" w:hAnsi="Times New Roman" w:cs="Times New Roman"/>
          <w:color w:val="auto"/>
          <w:sz w:val="24"/>
          <w:szCs w:val="24"/>
        </w:rPr>
        <w:t>向对方赔偿。</w:t>
      </w:r>
    </w:p>
    <w:p>
      <w:pPr>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6.2乙方不能按时交货的，每逾期1日，按</w:t>
      </w:r>
      <w:r>
        <w:rPr>
          <w:rFonts w:ascii="Times New Roman" w:hAnsi="Times New Roman" w:cs="Times New Roman"/>
          <w:color w:val="auto"/>
          <w:sz w:val="24"/>
          <w:szCs w:val="24"/>
          <w:u w:val="single"/>
        </w:rPr>
        <w:t>迟交货物总价的 1%支付违约金</w:t>
      </w:r>
      <w:r>
        <w:rPr>
          <w:rFonts w:ascii="Times New Roman" w:hAnsi="Times New Roman" w:cs="Times New Roman"/>
          <w:color w:val="auto"/>
          <w:sz w:val="24"/>
          <w:szCs w:val="24"/>
        </w:rPr>
        <w:t>，逾期达到</w:t>
      </w:r>
      <w:r>
        <w:rPr>
          <w:rFonts w:ascii="Times New Roman" w:hAnsi="Times New Roman" w:cs="Times New Roman"/>
          <w:color w:val="auto"/>
          <w:sz w:val="24"/>
          <w:szCs w:val="24"/>
          <w:u w:val="single"/>
        </w:rPr>
        <w:t xml:space="preserve"> 15 </w:t>
      </w:r>
      <w:r>
        <w:rPr>
          <w:rFonts w:hint="eastAsia" w:ascii="Times New Roman" w:hAnsi="Times New Roman" w:cs="Times New Roman"/>
          <w:color w:val="auto"/>
          <w:sz w:val="24"/>
          <w:szCs w:val="24"/>
        </w:rPr>
        <w:t>日</w:t>
      </w:r>
      <w:r>
        <w:rPr>
          <w:rFonts w:ascii="Times New Roman" w:hAnsi="Times New Roman" w:cs="Times New Roman"/>
          <w:color w:val="auto"/>
          <w:sz w:val="24"/>
          <w:szCs w:val="24"/>
        </w:rPr>
        <w:t>及以上的，甲方有权解除合同。</w:t>
      </w:r>
    </w:p>
    <w:p>
      <w:pPr>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 xml:space="preserve">6.3 货物 </w:t>
      </w:r>
      <w:r>
        <w:rPr>
          <w:rFonts w:ascii="Times New Roman" w:hAnsi="Times New Roman" w:cs="Times New Roman"/>
          <w:color w:val="auto"/>
          <w:sz w:val="24"/>
          <w:szCs w:val="24"/>
          <w:u w:val="single"/>
        </w:rPr>
        <w:t xml:space="preserve">开箱  </w:t>
      </w:r>
      <w:r>
        <w:rPr>
          <w:rFonts w:ascii="Times New Roman" w:hAnsi="Times New Roman" w:cs="Times New Roman"/>
          <w:color w:val="auto"/>
          <w:sz w:val="24"/>
          <w:szCs w:val="24"/>
        </w:rPr>
        <w:t>验收不合格或货物在</w:t>
      </w:r>
      <w:r>
        <w:rPr>
          <w:rFonts w:hint="eastAsia" w:ascii="Times New Roman" w:hAnsi="Times New Roman" w:cs="Times New Roman"/>
          <w:color w:val="auto"/>
          <w:sz w:val="24"/>
          <w:szCs w:val="24"/>
          <w:u w:val="single"/>
          <w:lang w:val="en-US" w:eastAsia="zh-CN"/>
        </w:rPr>
        <w:t xml:space="preserve"> </w:t>
      </w:r>
      <w:r>
        <w:rPr>
          <w:rFonts w:ascii="Times New Roman" w:hAnsi="Times New Roman" w:cs="Times New Roman"/>
          <w:color w:val="auto"/>
          <w:sz w:val="24"/>
          <w:szCs w:val="24"/>
          <w:u w:val="single"/>
        </w:rPr>
        <w:t xml:space="preserve">开箱 </w:t>
      </w:r>
      <w:r>
        <w:rPr>
          <w:rFonts w:ascii="Times New Roman" w:hAnsi="Times New Roman" w:cs="Times New Roman"/>
          <w:color w:val="auto"/>
          <w:sz w:val="24"/>
          <w:szCs w:val="24"/>
        </w:rPr>
        <w:t>验收后</w:t>
      </w:r>
      <w:r>
        <w:rPr>
          <w:rFonts w:hint="eastAsia" w:ascii="Times New Roman" w:hAnsi="Times New Roman" w:cs="Times New Roman"/>
          <w:color w:val="auto"/>
          <w:sz w:val="24"/>
          <w:szCs w:val="24"/>
        </w:rPr>
        <w:t>使用时</w:t>
      </w:r>
      <w:r>
        <w:rPr>
          <w:rFonts w:ascii="Times New Roman" w:hAnsi="Times New Roman" w:cs="Times New Roman"/>
          <w:color w:val="auto"/>
          <w:sz w:val="24"/>
          <w:szCs w:val="24"/>
        </w:rPr>
        <w:t>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ascii="Times New Roman" w:hAnsi="Times New Roman" w:cs="Times New Roman"/>
          <w:color w:val="auto"/>
          <w:sz w:val="24"/>
          <w:szCs w:val="24"/>
          <w:u w:val="single"/>
        </w:rPr>
        <w:t>更换货物总价的10%</w:t>
      </w:r>
      <w:r>
        <w:rPr>
          <w:rFonts w:ascii="Times New Roman" w:hAnsi="Times New Roman" w:cs="Times New Roman"/>
          <w:color w:val="auto"/>
          <w:sz w:val="24"/>
          <w:szCs w:val="24"/>
        </w:rPr>
        <w:t>支付违约金，乙方承担由此产生的一切损失和费用。</w:t>
      </w:r>
    </w:p>
    <w:p>
      <w:pPr>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6.4 乙方不履行合同义务、或履行合同义务不符合合同约定、或违反国家、省、市行业标准的，甲方有权要求乙方限期整改。乙方逾期未完成整改的，每项每超过1日支付违约金人民币1万元，超过</w:t>
      </w:r>
      <w:r>
        <w:rPr>
          <w:rFonts w:ascii="Times New Roman" w:hAnsi="Times New Roman" w:cs="Times New Roman"/>
          <w:color w:val="auto"/>
          <w:sz w:val="24"/>
          <w:szCs w:val="24"/>
          <w:u w:val="single"/>
        </w:rPr>
        <w:t xml:space="preserve">  15  </w:t>
      </w:r>
      <w:r>
        <w:rPr>
          <w:rFonts w:ascii="Times New Roman" w:hAnsi="Times New Roman" w:cs="Times New Roman"/>
          <w:color w:val="auto"/>
          <w:sz w:val="24"/>
          <w:szCs w:val="24"/>
        </w:rPr>
        <w:t>日，甲方有权解除合同并要求乙方支付</w:t>
      </w:r>
      <w:r>
        <w:rPr>
          <w:rFonts w:ascii="Times New Roman" w:hAnsi="Times New Roman" w:cs="Times New Roman"/>
          <w:color w:val="auto"/>
          <w:sz w:val="24"/>
          <w:szCs w:val="24"/>
          <w:u w:val="single"/>
        </w:rPr>
        <w:t>合同暂定总价的20%</w:t>
      </w:r>
      <w:r>
        <w:rPr>
          <w:rFonts w:ascii="Times New Roman" w:hAnsi="Times New Roman" w:cs="Times New Roman"/>
          <w:color w:val="auto"/>
          <w:sz w:val="24"/>
          <w:szCs w:val="24"/>
        </w:rPr>
        <w:t>作为违约金（</w:t>
      </w:r>
      <w:r>
        <w:rPr>
          <w:rFonts w:ascii="Times New Roman" w:hAnsi="Times New Roman" w:cs="Times New Roman"/>
          <w:color w:val="auto"/>
          <w:sz w:val="24"/>
        </w:rPr>
        <w:t>如合同另行约定违约责任，从其约定</w:t>
      </w:r>
      <w:r>
        <w:rPr>
          <w:rFonts w:ascii="Times New Roman" w:hAnsi="Times New Roman" w:cs="Times New Roman"/>
          <w:color w:val="auto"/>
          <w:sz w:val="24"/>
          <w:szCs w:val="24"/>
        </w:rPr>
        <w:t>）。</w:t>
      </w:r>
    </w:p>
    <w:p>
      <w:pPr>
        <w:topLinePunct/>
        <w:spacing w:line="50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6.5</w:t>
      </w:r>
      <w:r>
        <w:rPr>
          <w:rFonts w:ascii="Times New Roman" w:hAnsi="Times New Roman" w:cs="Times New Roman"/>
          <w:bCs/>
          <w:sz w:val="24"/>
        </w:rPr>
        <w:t>在合同有效期内，若乙方发生不诚信行为情形的，乙方自愿接受甲方按《广州市净水有限公司经营建设项目参建企业不诚信行为管理办法》处理。具体处理标准详见附件</w:t>
      </w:r>
      <w:r>
        <w:rPr>
          <w:rFonts w:hint="eastAsia" w:ascii="Times New Roman" w:hAnsi="Times New Roman" w:cs="Times New Roman"/>
          <w:bCs/>
          <w:sz w:val="24"/>
          <w:lang w:val="en-US" w:eastAsia="zh-CN"/>
        </w:rPr>
        <w:t>3</w:t>
      </w:r>
      <w:r>
        <w:rPr>
          <w:rFonts w:ascii="Times New Roman" w:hAnsi="Times New Roman" w:cs="Times New Roman"/>
          <w:bCs/>
          <w:sz w:val="24"/>
        </w:rPr>
        <w:t>。</w:t>
      </w:r>
    </w:p>
    <w:p>
      <w:pPr>
        <w:adjustRightInd w:val="0"/>
        <w:snapToGrid w:val="0"/>
        <w:spacing w:line="460" w:lineRule="exact"/>
        <w:ind w:firstLine="482" w:firstLineChars="200"/>
        <w:rPr>
          <w:rFonts w:ascii="Times New Roman" w:hAnsi="Times New Roman" w:cs="Times New Roman"/>
          <w:b/>
          <w:bCs/>
          <w:color w:val="auto"/>
          <w:sz w:val="24"/>
          <w:szCs w:val="24"/>
        </w:rPr>
      </w:pPr>
      <w:r>
        <w:rPr>
          <w:rFonts w:ascii="Times New Roman" w:hAnsi="Times New Roman" w:cs="Times New Roman"/>
          <w:b/>
          <w:bCs/>
          <w:color w:val="auto"/>
          <w:sz w:val="24"/>
          <w:szCs w:val="24"/>
        </w:rPr>
        <w:t>第七条 不可抗力</w:t>
      </w:r>
    </w:p>
    <w:p>
      <w:pPr>
        <w:widowControl w:val="0"/>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Times New Roman" w:hAnsi="Times New Roman" w:cs="Times New Roman"/>
          <w:bCs/>
          <w:color w:val="auto"/>
          <w:sz w:val="24"/>
          <w:szCs w:val="24"/>
        </w:rPr>
      </w:pPr>
      <w:r>
        <w:rPr>
          <w:rFonts w:ascii="Times New Roman" w:hAnsi="Times New Roman" w:cs="Times New Roman"/>
          <w:b/>
          <w:bCs/>
          <w:color w:val="auto"/>
          <w:sz w:val="24"/>
          <w:szCs w:val="24"/>
        </w:rPr>
        <w:t>第八条 争议解决</w:t>
      </w:r>
    </w:p>
    <w:p>
      <w:pPr>
        <w:spacing w:line="460" w:lineRule="exact"/>
        <w:ind w:firstLine="720" w:firstLineChars="300"/>
        <w:rPr>
          <w:rFonts w:ascii="Times New Roman" w:hAnsi="Times New Roman" w:cs="Times New Roman"/>
          <w:color w:val="auto"/>
          <w:sz w:val="24"/>
          <w:szCs w:val="24"/>
        </w:rPr>
      </w:pPr>
      <w:r>
        <w:rPr>
          <w:rFonts w:ascii="Times New Roman" w:hAnsi="Times New Roman" w:cs="Times New Roman"/>
          <w:bCs/>
          <w:color w:val="auto"/>
          <w:sz w:val="24"/>
          <w:szCs w:val="24"/>
        </w:rPr>
        <w:t>8.1因本合同引起的或与本合同有关的任何争议，甲乙双方应友好协商解决，如协商不成，任何一方可依法向甲方所在地</w:t>
      </w:r>
      <w:r>
        <w:rPr>
          <w:rFonts w:ascii="Times New Roman" w:hAnsi="Times New Roman" w:cs="Times New Roman"/>
          <w:bCs/>
          <w:color w:val="auto"/>
          <w:sz w:val="24"/>
          <w:szCs w:val="24"/>
          <w:u w:val="single"/>
        </w:rPr>
        <w:t>人民法院</w:t>
      </w:r>
      <w:r>
        <w:rPr>
          <w:rFonts w:ascii="Times New Roman" w:hAnsi="Times New Roman" w:cs="Times New Roman"/>
          <w:bCs/>
          <w:color w:val="auto"/>
          <w:sz w:val="24"/>
          <w:szCs w:val="24"/>
        </w:rPr>
        <w:t>提起诉讼</w:t>
      </w:r>
      <w:r>
        <w:rPr>
          <w:rFonts w:ascii="Times New Roman" w:hAnsi="Times New Roman" w:cs="Times New Roman"/>
          <w:color w:val="auto"/>
          <w:sz w:val="24"/>
          <w:szCs w:val="24"/>
        </w:rPr>
        <w:t>。</w:t>
      </w:r>
    </w:p>
    <w:p>
      <w:pPr>
        <w:spacing w:line="460" w:lineRule="exact"/>
        <w:ind w:firstLine="720" w:firstLineChars="300"/>
        <w:rPr>
          <w:rFonts w:ascii="Times New Roman" w:hAnsi="Times New Roman" w:cs="Times New Roman"/>
          <w:color w:val="auto"/>
          <w:sz w:val="24"/>
          <w:szCs w:val="24"/>
        </w:rPr>
      </w:pPr>
      <w:r>
        <w:rPr>
          <w:rFonts w:ascii="Times New Roman" w:hAnsi="Times New Roman" w:cs="Times New Roman"/>
          <w:color w:val="auto"/>
          <w:sz w:val="24"/>
          <w:szCs w:val="24"/>
        </w:rPr>
        <w:t>8.2在甲方同意的情况下，除有争端之外的合同其它部分在争端解决前应继续执行。</w:t>
      </w:r>
    </w:p>
    <w:p>
      <w:pPr>
        <w:spacing w:line="460" w:lineRule="exact"/>
        <w:ind w:firstLine="482" w:firstLineChars="200"/>
        <w:rPr>
          <w:rFonts w:ascii="Times New Roman" w:hAnsi="Times New Roman" w:cs="Times New Roman"/>
          <w:color w:val="auto"/>
          <w:sz w:val="24"/>
          <w:szCs w:val="24"/>
        </w:rPr>
      </w:pPr>
      <w:r>
        <w:rPr>
          <w:rFonts w:ascii="Times New Roman" w:hAnsi="Times New Roman" w:cs="Times New Roman"/>
          <w:b/>
          <w:bCs/>
          <w:color w:val="auto"/>
          <w:sz w:val="24"/>
          <w:szCs w:val="24"/>
        </w:rPr>
        <w:t>第九条 其他</w:t>
      </w:r>
    </w:p>
    <w:p>
      <w:pPr>
        <w:spacing w:line="460" w:lineRule="exact"/>
        <w:ind w:firstLine="638" w:firstLineChars="266"/>
        <w:rPr>
          <w:rFonts w:ascii="Times New Roman" w:hAnsi="Times New Roman" w:cs="Times New Roman"/>
          <w:b/>
          <w:color w:val="auto"/>
          <w:sz w:val="24"/>
          <w:szCs w:val="24"/>
        </w:rPr>
      </w:pPr>
      <w:r>
        <w:rPr>
          <w:rFonts w:ascii="Times New Roman" w:hAnsi="Times New Roman" w:cs="Times New Roman"/>
          <w:color w:val="auto"/>
          <w:sz w:val="24"/>
          <w:szCs w:val="24"/>
        </w:rPr>
        <w:t>9.1本协议未尽事宜，可由甲乙双方另行签订补充协议。补充协议与本合同具有同等法律效力。</w:t>
      </w:r>
    </w:p>
    <w:p>
      <w:pPr>
        <w:spacing w:line="460" w:lineRule="exact"/>
        <w:ind w:firstLine="638" w:firstLineChars="266"/>
        <w:rPr>
          <w:rFonts w:ascii="Times New Roman" w:hAnsi="Times New Roman" w:cs="Times New Roman"/>
          <w:color w:val="auto"/>
          <w:sz w:val="24"/>
          <w:szCs w:val="24"/>
        </w:rPr>
      </w:pPr>
      <w:r>
        <w:rPr>
          <w:rFonts w:ascii="Times New Roman" w:hAnsi="Times New Roman" w:cs="Times New Roman"/>
          <w:color w:val="auto"/>
          <w:sz w:val="24"/>
          <w:szCs w:val="24"/>
        </w:rPr>
        <w:t>9.2本合同自甲乙双方法定代表人或授权代理人签字并加盖公章之日起生效。</w:t>
      </w:r>
    </w:p>
    <w:p>
      <w:pPr>
        <w:spacing w:line="460" w:lineRule="exact"/>
        <w:ind w:firstLine="638" w:firstLineChars="266"/>
        <w:rPr>
          <w:rFonts w:ascii="Times New Roman" w:hAnsi="Times New Roman" w:cs="Times New Roman"/>
          <w:color w:val="auto"/>
          <w:sz w:val="24"/>
          <w:szCs w:val="24"/>
        </w:rPr>
      </w:pPr>
      <w:r>
        <w:rPr>
          <w:rFonts w:ascii="Times New Roman" w:hAnsi="Times New Roman" w:cs="Times New Roman"/>
          <w:color w:val="auto"/>
          <w:sz w:val="24"/>
          <w:szCs w:val="24"/>
        </w:rPr>
        <w:t>9.3本合同一式</w:t>
      </w: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份，甲方执</w:t>
      </w: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份，乙方执</w:t>
      </w: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份。均具有同等法律效力。</w:t>
      </w:r>
    </w:p>
    <w:p>
      <w:pPr>
        <w:spacing w:line="460" w:lineRule="exact"/>
        <w:ind w:firstLine="638" w:firstLineChars="266"/>
        <w:rPr>
          <w:rFonts w:ascii="Times New Roman" w:hAnsi="Times New Roman" w:cs="Times New Roman"/>
          <w:color w:val="auto"/>
          <w:sz w:val="24"/>
          <w:szCs w:val="24"/>
        </w:rPr>
      </w:pPr>
      <w:r>
        <w:rPr>
          <w:rFonts w:ascii="Times New Roman" w:hAnsi="Times New Roman" w:cs="Times New Roman"/>
          <w:color w:val="auto"/>
          <w:sz w:val="24"/>
          <w:szCs w:val="24"/>
        </w:rPr>
        <w:t>9.4补充条款：</w:t>
      </w: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 xml:space="preserve">    </w:t>
      </w:r>
    </w:p>
    <w:p>
      <w:pPr>
        <w:spacing w:line="276" w:lineRule="auto"/>
        <w:ind w:firstLine="480"/>
        <w:rPr>
          <w:rFonts w:ascii="Times New Roman" w:hAnsi="Times New Roman" w:cs="Times New Roman"/>
          <w:color w:val="auto"/>
          <w:sz w:val="24"/>
          <w:szCs w:val="24"/>
        </w:rPr>
      </w:pPr>
    </w:p>
    <w:p>
      <w:pPr>
        <w:spacing w:line="360" w:lineRule="auto"/>
        <w:ind w:firstLine="480"/>
        <w:rPr>
          <w:rFonts w:ascii="Times New Roman" w:hAnsi="Times New Roman" w:cs="Times New Roman"/>
          <w:color w:val="auto"/>
          <w:sz w:val="24"/>
          <w:szCs w:val="24"/>
        </w:rPr>
      </w:pPr>
      <w:r>
        <w:rPr>
          <w:rFonts w:ascii="Times New Roman" w:hAnsi="Times New Roman" w:cs="Times New Roman"/>
          <w:color w:val="auto"/>
          <w:sz w:val="24"/>
          <w:szCs w:val="24"/>
        </w:rPr>
        <w:t>附件：</w:t>
      </w:r>
    </w:p>
    <w:p>
      <w:pPr>
        <w:pStyle w:val="12"/>
        <w:keepNext w:val="0"/>
        <w:keepLines w:val="0"/>
        <w:pageBreakBefore w:val="0"/>
        <w:numPr>
          <w:ilvl w:val="0"/>
          <w:numId w:val="5"/>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color w:val="auto"/>
          <w:sz w:val="24"/>
          <w:szCs w:val="24"/>
        </w:rPr>
        <w:t>发包通知书</w:t>
      </w:r>
    </w:p>
    <w:p>
      <w:pPr>
        <w:pStyle w:val="12"/>
        <w:keepNext w:val="0"/>
        <w:keepLines w:val="0"/>
        <w:pageBreakBefore w:val="0"/>
        <w:numPr>
          <w:ilvl w:val="0"/>
          <w:numId w:val="5"/>
        </w:numPr>
        <w:kinsoku/>
        <w:wordWrap/>
        <w:overflowPunct/>
        <w:topLinePunct w:val="0"/>
        <w:bidi w:val="0"/>
        <w:snapToGrid w:val="0"/>
        <w:spacing w:after="0" w:line="360" w:lineRule="auto"/>
        <w:ind w:left="1559" w:hanging="357"/>
        <w:rPr>
          <w:rFonts w:hint="eastAsia" w:ascii="宋体" w:hAnsi="宋体" w:eastAsia="宋体" w:cs="宋体"/>
          <w:color w:val="auto"/>
          <w:sz w:val="24"/>
          <w:szCs w:val="24"/>
        </w:rPr>
      </w:pPr>
      <w:r>
        <w:rPr>
          <w:rFonts w:hint="eastAsia" w:ascii="宋体" w:hAnsi="宋体" w:eastAsia="宋体" w:cs="宋体"/>
          <w:color w:val="auto"/>
          <w:sz w:val="24"/>
          <w:szCs w:val="24"/>
        </w:rPr>
        <w:t>廉洁协议</w:t>
      </w:r>
    </w:p>
    <w:p>
      <w:pPr>
        <w:pStyle w:val="2"/>
        <w:keepNext w:val="0"/>
        <w:keepLines w:val="0"/>
        <w:pageBreakBefore w:val="0"/>
        <w:numPr>
          <w:ilvl w:val="0"/>
          <w:numId w:val="5"/>
        </w:numPr>
        <w:kinsoku/>
        <w:wordWrap/>
        <w:overflowPunct/>
        <w:topLinePunct w:val="0"/>
        <w:bidi w:val="0"/>
        <w:snapToGrid w:val="0"/>
        <w:spacing w:after="0" w:line="360" w:lineRule="auto"/>
        <w:ind w:left="1559" w:hanging="357"/>
        <w:rPr>
          <w:rFonts w:ascii="Times New Roman" w:hAnsi="Times New Roman" w:cs="Times New Roman"/>
          <w:color w:val="auto"/>
          <w:kern w:val="0"/>
          <w:sz w:val="24"/>
          <w:szCs w:val="24"/>
          <w:lang w:val="zh-CN"/>
        </w:rPr>
      </w:pPr>
      <w:r>
        <w:rPr>
          <w:rFonts w:hint="eastAsia" w:ascii="宋体" w:hAnsi="宋体" w:eastAsia="宋体" w:cs="宋体"/>
          <w:sz w:val="24"/>
          <w:szCs w:val="24"/>
        </w:rPr>
        <w:t>物品采购安全协议书</w:t>
      </w:r>
    </w:p>
    <w:p>
      <w:pPr>
        <w:keepNext w:val="0"/>
        <w:keepLines w:val="0"/>
        <w:pageBreakBefore w:val="0"/>
        <w:numPr>
          <w:ilvl w:val="0"/>
          <w:numId w:val="5"/>
        </w:numPr>
        <w:tabs>
          <w:tab w:val="left" w:pos="312"/>
        </w:tabs>
        <w:kinsoku/>
        <w:wordWrap/>
        <w:overflowPunct/>
        <w:topLinePunct w:val="0"/>
        <w:bidi w:val="0"/>
        <w:spacing w:after="0" w:line="360" w:lineRule="auto"/>
        <w:rPr>
          <w:rFonts w:ascii="Times New Roman" w:hAnsi="Times New Roman" w:cs="Times New Roman"/>
          <w:color w:val="auto"/>
          <w:kern w:val="0"/>
          <w:sz w:val="24"/>
          <w:szCs w:val="24"/>
          <w:lang w:val="zh-CN"/>
        </w:rPr>
      </w:pPr>
      <w:r>
        <w:rPr>
          <w:rFonts w:hint="eastAsia" w:ascii="宋体" w:hAnsi="宋体" w:eastAsia="宋体" w:cs="宋体"/>
          <w:color w:val="auto"/>
          <w:kern w:val="0"/>
          <w:sz w:val="24"/>
          <w:szCs w:val="24"/>
          <w:lang w:val="zh-CN"/>
        </w:rPr>
        <w:t>授权委托证明（如需）</w:t>
      </w:r>
    </w:p>
    <w:p>
      <w:pPr>
        <w:pStyle w:val="12"/>
        <w:numPr>
          <w:ilvl w:val="0"/>
          <w:numId w:val="5"/>
        </w:numPr>
        <w:spacing w:line="360" w:lineRule="auto"/>
        <w:ind w:left="1560" w:leftChars="0" w:hanging="360" w:firstLineChars="0"/>
        <w:rPr>
          <w:rFonts w:hint="default" w:eastAsia="宋体"/>
          <w:lang w:val="en-US" w:eastAsia="zh-CN"/>
        </w:rPr>
      </w:pPr>
      <w:r>
        <w:rPr>
          <w:rFonts w:hint="eastAsia"/>
          <w:lang w:val="en-US" w:eastAsia="zh-CN"/>
        </w:rPr>
        <w:t>报价清单</w:t>
      </w:r>
    </w:p>
    <w:p>
      <w:pPr>
        <w:pStyle w:val="14"/>
        <w:spacing w:after="0" w:line="360" w:lineRule="auto"/>
        <w:ind w:leftChars="0"/>
        <w:rPr>
          <w:rFonts w:ascii="宋体" w:hAnsi="宋体" w:cs="宋体"/>
          <w:sz w:val="24"/>
          <w:szCs w:val="24"/>
        </w:rPr>
      </w:pPr>
      <w:r>
        <w:rPr>
          <w:rFonts w:hint="eastAsia" w:ascii="宋体" w:hAnsi="宋体" w:cs="宋体"/>
          <w:sz w:val="24"/>
          <w:szCs w:val="24"/>
        </w:rPr>
        <w:t>（以下无正文）</w:t>
      </w:r>
    </w:p>
    <w:tbl>
      <w:tblPr>
        <w:tblStyle w:val="22"/>
        <w:tblpPr w:leftFromText="180" w:rightFromText="180" w:vertAnchor="text" w:horzAnchor="page" w:tblpXSpec="center" w:tblpY="188"/>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54"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甲方：广州市净水有限公司</w:t>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乙方：</w:t>
            </w:r>
          </w:p>
        </w:tc>
      </w:tr>
      <w:tr>
        <w:tblPrEx>
          <w:tblCellMar>
            <w:top w:w="0" w:type="dxa"/>
            <w:left w:w="28" w:type="dxa"/>
            <w:bottom w:w="0" w:type="dxa"/>
            <w:right w:w="28" w:type="dxa"/>
          </w:tblCellMar>
        </w:tblPrEx>
        <w:trPr>
          <w:trHeight w:val="454" w:hRule="atLeast"/>
          <w:jc w:val="center"/>
        </w:trPr>
        <w:tc>
          <w:tcPr>
            <w:tcW w:w="3857" w:type="dxa"/>
          </w:tcPr>
          <w:p>
            <w:pPr>
              <w:rPr>
                <w:rFonts w:ascii="宋体" w:hAnsi="宋体" w:cs="宋体"/>
                <w:sz w:val="24"/>
                <w:szCs w:val="24"/>
              </w:rPr>
            </w:pPr>
            <w:r>
              <w:rPr>
                <w:rFonts w:hint="eastAsia" w:ascii="宋体" w:hAnsi="宋体" w:cs="宋体"/>
                <w:sz w:val="24"/>
                <w:szCs w:val="24"/>
              </w:rPr>
              <w:t>(盖章)</w:t>
            </w:r>
          </w:p>
          <w:p>
            <w:pPr>
              <w:rPr>
                <w:rFonts w:ascii="宋体" w:hAnsi="宋体" w:cs="宋体"/>
                <w:sz w:val="24"/>
                <w:szCs w:val="24"/>
              </w:rPr>
            </w:pPr>
          </w:p>
        </w:tc>
        <w:tc>
          <w:tcPr>
            <w:tcW w:w="562" w:type="dxa"/>
          </w:tcPr>
          <w:p>
            <w:pPr>
              <w:rPr>
                <w:rFonts w:ascii="宋体" w:hAnsi="宋体" w:cs="宋体"/>
                <w:sz w:val="24"/>
                <w:szCs w:val="24"/>
              </w:rPr>
            </w:pPr>
          </w:p>
        </w:tc>
        <w:tc>
          <w:tcPr>
            <w:tcW w:w="4007" w:type="dxa"/>
          </w:tcPr>
          <w:p>
            <w:pPr>
              <w:rPr>
                <w:rFonts w:ascii="宋体" w:hAnsi="宋体" w:cs="宋体"/>
                <w:sz w:val="24"/>
                <w:szCs w:val="24"/>
              </w:rPr>
            </w:pPr>
            <w:r>
              <w:rPr>
                <w:rFonts w:hint="eastAsia" w:ascii="宋体" w:hAnsi="宋体" w:cs="宋体"/>
                <w:sz w:val="24"/>
                <w:szCs w:val="24"/>
              </w:rPr>
              <w:t>(盖章)</w:t>
            </w:r>
          </w:p>
        </w:tc>
      </w:tr>
      <w:tr>
        <w:tblPrEx>
          <w:tblCellMar>
            <w:top w:w="0" w:type="dxa"/>
            <w:left w:w="28" w:type="dxa"/>
            <w:bottom w:w="0" w:type="dxa"/>
            <w:right w:w="28" w:type="dxa"/>
          </w:tblCellMar>
        </w:tblPrEx>
        <w:trPr>
          <w:trHeight w:val="454" w:hRule="atLeast"/>
          <w:jc w:val="center"/>
        </w:trPr>
        <w:tc>
          <w:tcPr>
            <w:tcW w:w="3857" w:type="dxa"/>
          </w:tcPr>
          <w:p>
            <w:pPr>
              <w:rPr>
                <w:rFonts w:ascii="宋体" w:hAnsi="宋体" w:cs="宋体"/>
                <w:sz w:val="24"/>
                <w:szCs w:val="24"/>
              </w:rPr>
            </w:pPr>
            <w:r>
              <w:rPr>
                <w:rFonts w:hint="eastAsia" w:ascii="宋体" w:hAnsi="宋体" w:cs="宋体"/>
                <w:sz w:val="24"/>
                <w:szCs w:val="24"/>
              </w:rPr>
              <w:t>法定代表人/授权代理人：</w:t>
            </w:r>
          </w:p>
          <w:p>
            <w:pPr>
              <w:rPr>
                <w:rFonts w:ascii="宋体" w:hAnsi="宋体" w:cs="宋体"/>
                <w:sz w:val="24"/>
                <w:szCs w:val="24"/>
              </w:rPr>
            </w:pPr>
          </w:p>
        </w:tc>
        <w:tc>
          <w:tcPr>
            <w:tcW w:w="562" w:type="dxa"/>
          </w:tcPr>
          <w:p>
            <w:pPr>
              <w:rPr>
                <w:rFonts w:ascii="宋体" w:hAnsi="宋体" w:cs="宋体"/>
                <w:sz w:val="24"/>
                <w:szCs w:val="24"/>
              </w:rPr>
            </w:pPr>
          </w:p>
        </w:tc>
        <w:tc>
          <w:tcPr>
            <w:tcW w:w="4007" w:type="dxa"/>
          </w:tcPr>
          <w:p>
            <w:pPr>
              <w:rPr>
                <w:rFonts w:ascii="宋体" w:hAnsi="宋体" w:cs="宋体"/>
                <w:sz w:val="24"/>
                <w:szCs w:val="24"/>
              </w:rPr>
            </w:pPr>
            <w:r>
              <w:rPr>
                <w:rFonts w:hint="eastAsia" w:ascii="宋体" w:hAnsi="宋体" w:cs="宋体"/>
                <w:sz w:val="24"/>
                <w:szCs w:val="24"/>
              </w:rPr>
              <w:t>法定代表人/授权代理人：</w:t>
            </w:r>
          </w:p>
        </w:tc>
      </w:tr>
      <w:tr>
        <w:tblPrEx>
          <w:tblCellMar>
            <w:top w:w="0" w:type="dxa"/>
            <w:left w:w="28" w:type="dxa"/>
            <w:bottom w:w="0" w:type="dxa"/>
            <w:right w:w="28" w:type="dxa"/>
          </w:tblCellMar>
        </w:tblPrEx>
        <w:trPr>
          <w:trHeight w:val="454"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联系人：</w:t>
            </w:r>
          </w:p>
        </w:tc>
        <w:tc>
          <w:tcPr>
            <w:tcW w:w="562" w:type="dxa"/>
            <w:vAlign w:val="center"/>
          </w:tcPr>
          <w:p>
            <w:pPr>
              <w:rPr>
                <w:rFonts w:ascii="宋体" w:hAnsi="宋体" w:cs="宋体"/>
                <w:sz w:val="24"/>
                <w:szCs w:val="24"/>
              </w:rPr>
            </w:pPr>
          </w:p>
        </w:tc>
        <w:tc>
          <w:tcPr>
            <w:tcW w:w="4007" w:type="dxa"/>
            <w:vAlign w:val="center"/>
          </w:tcPr>
          <w:p>
            <w:pPr>
              <w:ind w:right="-19" w:rightChars="-9"/>
              <w:rPr>
                <w:rFonts w:ascii="宋体" w:hAnsi="宋体" w:cs="宋体"/>
                <w:sz w:val="24"/>
                <w:szCs w:val="24"/>
              </w:rPr>
            </w:pPr>
            <w:r>
              <w:rPr>
                <w:rFonts w:hint="eastAsia" w:ascii="宋体" w:hAnsi="宋体" w:cs="宋体"/>
                <w:sz w:val="24"/>
                <w:szCs w:val="24"/>
              </w:rPr>
              <w:t>联系人：</w:t>
            </w:r>
          </w:p>
        </w:tc>
      </w:tr>
      <w:tr>
        <w:tblPrEx>
          <w:tblCellMar>
            <w:top w:w="0" w:type="dxa"/>
            <w:left w:w="28" w:type="dxa"/>
            <w:bottom w:w="0" w:type="dxa"/>
            <w:right w:w="28" w:type="dxa"/>
          </w:tblCellMar>
        </w:tblPrEx>
        <w:trPr>
          <w:trHeight w:val="454" w:hRule="atLeast"/>
          <w:jc w:val="center"/>
        </w:trPr>
        <w:tc>
          <w:tcPr>
            <w:tcW w:w="3857" w:type="dxa"/>
          </w:tcPr>
          <w:p>
            <w:pPr>
              <w:rPr>
                <w:rFonts w:ascii="宋体" w:hAnsi="宋体" w:cs="宋体"/>
                <w:sz w:val="24"/>
                <w:szCs w:val="24"/>
              </w:rPr>
            </w:pPr>
            <w:r>
              <w:rPr>
                <w:rFonts w:hint="eastAsia" w:ascii="宋体" w:hAnsi="宋体" w:cs="宋体"/>
                <w:sz w:val="24"/>
                <w:szCs w:val="24"/>
              </w:rPr>
              <w:t>地址：广州市天河区临江大道501号</w:t>
            </w:r>
          </w:p>
        </w:tc>
        <w:tc>
          <w:tcPr>
            <w:tcW w:w="562" w:type="dxa"/>
          </w:tcPr>
          <w:p>
            <w:pPr>
              <w:rPr>
                <w:rFonts w:ascii="宋体" w:hAnsi="宋体" w:cs="宋体"/>
                <w:sz w:val="24"/>
                <w:szCs w:val="24"/>
              </w:rPr>
            </w:pPr>
          </w:p>
        </w:tc>
        <w:tc>
          <w:tcPr>
            <w:tcW w:w="4007" w:type="dxa"/>
          </w:tcPr>
          <w:p>
            <w:pPr>
              <w:rPr>
                <w:rFonts w:ascii="宋体" w:hAnsi="宋体" w:cs="宋体"/>
                <w:sz w:val="24"/>
                <w:szCs w:val="24"/>
              </w:rPr>
            </w:pPr>
            <w:r>
              <w:rPr>
                <w:rFonts w:hint="eastAsia" w:ascii="宋体" w:hAnsi="宋体" w:cs="宋体"/>
                <w:sz w:val="24"/>
                <w:szCs w:val="24"/>
              </w:rPr>
              <w:t>地址：</w:t>
            </w:r>
          </w:p>
        </w:tc>
      </w:tr>
      <w:tr>
        <w:tblPrEx>
          <w:tblCellMar>
            <w:top w:w="0" w:type="dxa"/>
            <w:left w:w="28" w:type="dxa"/>
            <w:bottom w:w="0" w:type="dxa"/>
            <w:right w:w="28" w:type="dxa"/>
          </w:tblCellMar>
        </w:tblPrEx>
        <w:trPr>
          <w:trHeight w:val="454" w:hRule="atLeast"/>
          <w:jc w:val="center"/>
        </w:trPr>
        <w:tc>
          <w:tcPr>
            <w:tcW w:w="3857" w:type="dxa"/>
            <w:vAlign w:val="center"/>
          </w:tcPr>
          <w:p>
            <w:pPr>
              <w:tabs>
                <w:tab w:val="right" w:pos="4098"/>
              </w:tabs>
              <w:rPr>
                <w:rFonts w:ascii="宋体" w:hAnsi="宋体" w:cs="宋体"/>
                <w:sz w:val="24"/>
                <w:szCs w:val="24"/>
              </w:rPr>
            </w:pPr>
            <w:r>
              <w:rPr>
                <w:rFonts w:hint="eastAsia" w:ascii="宋体" w:hAnsi="宋体" w:cs="宋体"/>
                <w:sz w:val="24"/>
                <w:szCs w:val="24"/>
              </w:rPr>
              <w:t>邮政编码：510655</w:t>
            </w:r>
            <w:r>
              <w:rPr>
                <w:rFonts w:hint="eastAsia" w:ascii="宋体" w:hAnsi="宋体" w:cs="宋体"/>
                <w:sz w:val="24"/>
                <w:szCs w:val="24"/>
              </w:rPr>
              <w:tab/>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邮政编码：</w:t>
            </w:r>
          </w:p>
        </w:tc>
      </w:tr>
      <w:tr>
        <w:tblPrEx>
          <w:tblCellMar>
            <w:top w:w="0" w:type="dxa"/>
            <w:left w:w="28" w:type="dxa"/>
            <w:bottom w:w="0" w:type="dxa"/>
            <w:right w:w="28" w:type="dxa"/>
          </w:tblCellMar>
        </w:tblPrEx>
        <w:trPr>
          <w:trHeight w:val="454"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电话：</w:t>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电话：</w:t>
            </w:r>
          </w:p>
        </w:tc>
      </w:tr>
      <w:tr>
        <w:tblPrEx>
          <w:tblCellMar>
            <w:top w:w="0" w:type="dxa"/>
            <w:left w:w="28" w:type="dxa"/>
            <w:bottom w:w="0" w:type="dxa"/>
            <w:right w:w="28" w:type="dxa"/>
          </w:tblCellMar>
        </w:tblPrEx>
        <w:trPr>
          <w:trHeight w:val="454"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传真：</w:t>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传真：</w:t>
            </w:r>
          </w:p>
        </w:tc>
      </w:tr>
      <w:tr>
        <w:tblPrEx>
          <w:tblCellMar>
            <w:top w:w="0" w:type="dxa"/>
            <w:left w:w="28" w:type="dxa"/>
            <w:bottom w:w="0" w:type="dxa"/>
            <w:right w:w="28" w:type="dxa"/>
          </w:tblCellMar>
        </w:tblPrEx>
        <w:trPr>
          <w:trHeight w:val="454"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签约日期：2021年 月 日</w:t>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签约日期：2021年月日</w:t>
            </w:r>
          </w:p>
        </w:tc>
      </w:tr>
    </w:tbl>
    <w:p>
      <w:pPr>
        <w:numPr>
          <w:ilvl w:val="255"/>
          <w:numId w:val="0"/>
        </w:numPr>
        <w:rPr>
          <w:rFonts w:hint="eastAsia" w:ascii="宋体" w:hAnsi="宋体" w:cs="宋体"/>
          <w:b/>
          <w:bCs/>
          <w:szCs w:val="21"/>
          <w:highlight w:val="none"/>
        </w:rPr>
      </w:pPr>
    </w:p>
    <w:p>
      <w:pPr>
        <w:numPr>
          <w:ilvl w:val="255"/>
          <w:numId w:val="0"/>
        </w:numPr>
        <w:rPr>
          <w:rFonts w:hint="default" w:ascii="宋体" w:hAnsi="宋体" w:cs="宋体" w:eastAsiaTheme="minorEastAsia"/>
          <w:b/>
          <w:bCs/>
          <w:szCs w:val="21"/>
          <w:highlight w:val="none"/>
          <w:lang w:val="en-US" w:eastAsia="zh-CN"/>
        </w:rPr>
      </w:pPr>
      <w:r>
        <w:rPr>
          <w:rFonts w:hint="eastAsia" w:ascii="宋体" w:hAnsi="宋体" w:cs="宋体"/>
          <w:b/>
          <w:bCs/>
          <w:szCs w:val="21"/>
          <w:highlight w:val="none"/>
          <w:lang w:val="en-US" w:eastAsia="zh-CN"/>
        </w:rPr>
        <w:t>附件1 发包通知书</w:t>
      </w:r>
    </w:p>
    <w:p>
      <w:pPr>
        <w:numPr>
          <w:ilvl w:val="255"/>
          <w:numId w:val="0"/>
        </w:numPr>
        <w:rPr>
          <w:rFonts w:ascii="宋体" w:hAnsi="宋体" w:cs="宋体"/>
          <w:b/>
          <w:bCs/>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2</w:t>
      </w:r>
      <w:r>
        <w:rPr>
          <w:rFonts w:hint="eastAsia" w:ascii="宋体" w:hAnsi="宋体" w:cs="宋体"/>
          <w:b/>
          <w:bCs/>
          <w:szCs w:val="21"/>
          <w:highlight w:val="none"/>
        </w:rPr>
        <w:t>廉洁协议</w:t>
      </w:r>
    </w:p>
    <w:p>
      <w:pPr>
        <w:pStyle w:val="46"/>
        <w:rPr>
          <w:color w:val="auto"/>
          <w:highlight w:val="none"/>
        </w:rPr>
      </w:pPr>
    </w:p>
    <w:p>
      <w:pPr>
        <w:spacing w:line="520" w:lineRule="exact"/>
        <w:jc w:val="center"/>
        <w:rPr>
          <w:rFonts w:ascii="仿宋" w:hAnsi="仿宋" w:eastAsia="仿宋" w:cs="仿宋"/>
          <w:bCs/>
          <w:sz w:val="28"/>
          <w:szCs w:val="28"/>
          <w:highlight w:val="none"/>
        </w:rPr>
      </w:pPr>
      <w:r>
        <w:rPr>
          <w:rFonts w:hint="eastAsia" w:ascii="仿宋" w:hAnsi="仿宋" w:eastAsia="仿宋" w:cs="仿宋"/>
          <w:bCs/>
          <w:sz w:val="28"/>
          <w:szCs w:val="28"/>
          <w:highlight w:val="none"/>
        </w:rPr>
        <w:t>廉洁协议</w:t>
      </w:r>
    </w:p>
    <w:p>
      <w:pPr>
        <w:spacing w:line="520" w:lineRule="exact"/>
        <w:ind w:firstLine="630" w:firstLineChars="225"/>
        <w:rPr>
          <w:rFonts w:ascii="仿宋" w:hAnsi="仿宋" w:eastAsia="仿宋" w:cs="仿宋"/>
          <w:bCs/>
          <w:sz w:val="28"/>
          <w:szCs w:val="28"/>
          <w:highlight w:val="none"/>
        </w:rPr>
      </w:pPr>
      <w:r>
        <w:rPr>
          <w:rFonts w:hint="eastAsia" w:ascii="仿宋" w:hAnsi="仿宋" w:eastAsia="仿宋" w:cs="仿宋"/>
          <w:bCs/>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8"/>
          <w:szCs w:val="28"/>
          <w:highlight w:val="none"/>
          <w:u w:val="single"/>
        </w:rPr>
        <w:t>广州市净水有限公司</w:t>
      </w:r>
      <w:r>
        <w:rPr>
          <w:rFonts w:hint="eastAsia" w:ascii="仿宋" w:hAnsi="仿宋" w:eastAsia="仿宋" w:cs="仿宋"/>
          <w:bCs/>
          <w:sz w:val="28"/>
          <w:szCs w:val="28"/>
          <w:highlight w:val="none"/>
        </w:rPr>
        <w:t>(以下称甲方)与(以下称乙方)，特此订立本协议共同遵照执行。</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第一条 甲乙双方的权利和义务</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（二）严格执行合同（以下简称：主合同），自觉履行合同约定的相关义务。</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（三）在业务活动中坚持公开、公正、诚信、透明的原则，不得损害国家、集体利益。</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第二条甲方的义务</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（七）甲方工作人员不得接受乙方给予或赠送的干股或红利。</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(八）不得存在其他违反廉洁规定的行为。</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第三条乙方的义务</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（一）乙方不得以任何理由向甲方及其工作人员行贿或馈赠礼金、有价证券、贵重礼品。</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（三）乙方不得以任何理由安排甲方工作人员参加可能影响相关业务公开、公正、公平性的宴请及娱乐活动。</w:t>
      </w:r>
    </w:p>
    <w:p>
      <w:pPr>
        <w:pStyle w:val="14"/>
        <w:spacing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（七）乙方不得向甲方工作人员提供干股或红利。</w:t>
      </w:r>
    </w:p>
    <w:p>
      <w:pPr>
        <w:spacing w:line="520" w:lineRule="exact"/>
        <w:ind w:left="15"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(八）不得存在其他违反廉洁规定的行为。</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第四条违约责任</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甲方举报投诉联系部门：广州市净水有限公司</w:t>
      </w:r>
      <w:r>
        <w:rPr>
          <w:rFonts w:hint="eastAsia" w:ascii="仿宋" w:hAnsi="仿宋" w:eastAsia="仿宋" w:cs="仿宋"/>
          <w:bCs/>
          <w:sz w:val="28"/>
          <w:szCs w:val="28"/>
          <w:highlight w:val="none"/>
          <w:u w:val="single"/>
        </w:rPr>
        <w:t>纪检室</w:t>
      </w:r>
      <w:r>
        <w:rPr>
          <w:rFonts w:hint="eastAsia" w:ascii="仿宋" w:hAnsi="仿宋" w:eastAsia="仿宋" w:cs="仿宋"/>
          <w:bCs/>
          <w:sz w:val="28"/>
          <w:szCs w:val="28"/>
          <w:highlight w:val="none"/>
        </w:rPr>
        <w:t>，联系电话：</w:t>
      </w:r>
      <w:r>
        <w:rPr>
          <w:rFonts w:hint="eastAsia" w:ascii="仿宋" w:hAnsi="仿宋" w:eastAsia="仿宋" w:cs="仿宋"/>
          <w:bCs/>
          <w:sz w:val="28"/>
          <w:szCs w:val="28"/>
          <w:highlight w:val="none"/>
          <w:u w:val="single"/>
        </w:rPr>
        <w:t xml:space="preserve"> 020-38890265 </w:t>
      </w:r>
      <w:r>
        <w:rPr>
          <w:rFonts w:hint="eastAsia" w:ascii="仿宋" w:hAnsi="仿宋" w:eastAsia="仿宋" w:cs="仿宋"/>
          <w:bCs/>
          <w:sz w:val="28"/>
          <w:szCs w:val="28"/>
          <w:highlight w:val="none"/>
        </w:rPr>
        <w:t>。</w:t>
      </w:r>
    </w:p>
    <w:p>
      <w:pPr>
        <w:pStyle w:val="20"/>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1、扣除主合同的全部履约保证金；</w:t>
      </w:r>
    </w:p>
    <w:p>
      <w:pPr>
        <w:pStyle w:val="20"/>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2、解除主合同；</w:t>
      </w:r>
    </w:p>
    <w:p>
      <w:pPr>
        <w:pStyle w:val="20"/>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3、追究乙方其他违约责任；</w:t>
      </w:r>
    </w:p>
    <w:p>
      <w:pPr>
        <w:pStyle w:val="20"/>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4、根据甲方的有关规章制度，在一定时间内暂停乙方参与甲方及下属单位所有项目的交易资格；</w:t>
      </w:r>
    </w:p>
    <w:p>
      <w:pPr>
        <w:pStyle w:val="20"/>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5、根据甲方的有关规章制度，将乙方清退出甲方相关企业库；</w:t>
      </w:r>
    </w:p>
    <w:p>
      <w:pPr>
        <w:pStyle w:val="20"/>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6、根据甲方上级单位、行政主管部门的意见、决定执行；</w:t>
      </w:r>
    </w:p>
    <w:p>
      <w:pPr>
        <w:pStyle w:val="20"/>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7、按规定向有关行政监督部门、乙方业务管理部门进行投诉、报告。</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 w:hAnsi="仿宋" w:eastAsia="仿宋" w:cs="仿宋"/>
          <w:bCs/>
          <w:kern w:val="0"/>
          <w:sz w:val="28"/>
          <w:szCs w:val="28"/>
          <w:highlight w:val="none"/>
        </w:rPr>
      </w:pPr>
      <w:r>
        <w:rPr>
          <w:rFonts w:hint="eastAsia" w:ascii="仿宋" w:hAnsi="仿宋" w:eastAsia="仿宋" w:cs="仿宋"/>
          <w:bCs/>
          <w:sz w:val="28"/>
          <w:szCs w:val="28"/>
          <w:highlight w:val="none"/>
        </w:rPr>
        <w:t xml:space="preserve">第五条 </w:t>
      </w:r>
      <w:r>
        <w:rPr>
          <w:rFonts w:hint="eastAsia" w:ascii="仿宋" w:hAnsi="仿宋" w:eastAsia="仿宋" w:cs="仿宋"/>
          <w:bCs/>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第六条本协议作为</w:t>
      </w:r>
      <w:r>
        <w:rPr>
          <w:rFonts w:hint="eastAsia" w:ascii="仿宋" w:hAnsi="仿宋" w:eastAsia="仿宋" w:cs="仿宋"/>
          <w:bCs/>
          <w:sz w:val="28"/>
          <w:szCs w:val="28"/>
          <w:highlight w:val="none"/>
          <w:u w:val="single"/>
        </w:rPr>
        <w:t>（合同名称）+（合同编号）</w:t>
      </w:r>
      <w:r>
        <w:rPr>
          <w:rFonts w:hint="eastAsia" w:ascii="仿宋" w:hAnsi="仿宋" w:eastAsia="仿宋" w:cs="仿宋"/>
          <w:bCs/>
          <w:sz w:val="28"/>
          <w:szCs w:val="28"/>
          <w:highlight w:val="none"/>
        </w:rPr>
        <w:t>合同的附件，并具有同等的法律效力，本协议自双方签字盖章之日起生效，与主合同同时终止。</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第七条本协议一式</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rPr>
        <w:t>份，甲方</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rPr>
        <w:t>份，乙方</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rPr>
        <w:t>份。</w:t>
      </w:r>
    </w:p>
    <w:p>
      <w:pPr>
        <w:spacing w:line="520" w:lineRule="exact"/>
        <w:rPr>
          <w:rFonts w:ascii="仿宋" w:hAnsi="仿宋" w:eastAsia="仿宋" w:cs="仿宋"/>
          <w:bCs/>
          <w:sz w:val="28"/>
          <w:szCs w:val="28"/>
          <w:highlight w:val="none"/>
        </w:rPr>
      </w:pPr>
    </w:p>
    <w:p>
      <w:pPr>
        <w:spacing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甲方（盖章）：                     乙方（盖章）：</w:t>
      </w:r>
    </w:p>
    <w:p>
      <w:pPr>
        <w:pStyle w:val="33"/>
        <w:tabs>
          <w:tab w:val="left" w:pos="5100"/>
        </w:tabs>
        <w:spacing w:line="520" w:lineRule="exact"/>
        <w:ind w:left="7200" w:firstLine="0" w:firstLineChars="0"/>
        <w:jc w:val="left"/>
        <w:rPr>
          <w:rFonts w:ascii="仿宋" w:hAnsi="仿宋" w:eastAsia="仿宋" w:cs="仿宋"/>
          <w:bCs/>
          <w:sz w:val="28"/>
          <w:szCs w:val="28"/>
          <w:highlight w:val="none"/>
        </w:rPr>
      </w:pPr>
    </w:p>
    <w:p>
      <w:pPr>
        <w:tabs>
          <w:tab w:val="left" w:pos="5100"/>
        </w:tabs>
        <w:spacing w:line="520" w:lineRule="exact"/>
        <w:ind w:left="8400" w:hanging="8400" w:hangingChars="3000"/>
        <w:rPr>
          <w:rFonts w:ascii="仿宋" w:hAnsi="仿宋" w:eastAsia="仿宋" w:cs="仿宋"/>
          <w:bCs/>
          <w:sz w:val="28"/>
          <w:szCs w:val="28"/>
          <w:highlight w:val="none"/>
        </w:rPr>
      </w:pPr>
      <w:r>
        <w:rPr>
          <w:rFonts w:hint="eastAsia" w:ascii="仿宋" w:hAnsi="仿宋" w:eastAsia="仿宋" w:cs="仿宋"/>
          <w:bCs/>
          <w:sz w:val="28"/>
          <w:szCs w:val="28"/>
          <w:highlight w:val="none"/>
        </w:rPr>
        <w:t>签约代表：                         签约代表：</w:t>
      </w:r>
    </w:p>
    <w:p>
      <w:pPr>
        <w:tabs>
          <w:tab w:val="left" w:pos="4170"/>
        </w:tabs>
        <w:spacing w:line="360" w:lineRule="auto"/>
        <w:rPr>
          <w:rFonts w:ascii="宋体" w:hAnsi="宋体"/>
          <w:sz w:val="24"/>
          <w:highlight w:val="none"/>
        </w:rPr>
      </w:pPr>
      <w:r>
        <w:rPr>
          <w:rFonts w:hint="eastAsia" w:ascii="仿宋" w:hAnsi="仿宋" w:eastAsia="仿宋" w:cs="仿宋"/>
          <w:bCs/>
          <w:sz w:val="28"/>
          <w:szCs w:val="28"/>
          <w:highlight w:val="none"/>
        </w:rPr>
        <w:t>日期:    年  月  日</w:t>
      </w:r>
      <w:r>
        <w:rPr>
          <w:rFonts w:hint="eastAsia" w:ascii="仿宋" w:hAnsi="仿宋" w:eastAsia="仿宋" w:cs="仿宋"/>
          <w:bCs/>
          <w:sz w:val="28"/>
          <w:szCs w:val="28"/>
          <w:highlight w:val="none"/>
        </w:rPr>
        <w:tab/>
      </w:r>
      <w:r>
        <w:rPr>
          <w:rFonts w:hint="eastAsia" w:ascii="仿宋" w:hAnsi="仿宋" w:eastAsia="仿宋" w:cs="仿宋"/>
          <w:bCs/>
          <w:sz w:val="28"/>
          <w:szCs w:val="28"/>
          <w:highlight w:val="none"/>
        </w:rPr>
        <w:t>日期：  年  月  日</w:t>
      </w:r>
    </w:p>
    <w:p>
      <w:pPr>
        <w:rPr>
          <w:b/>
          <w:sz w:val="28"/>
          <w:szCs w:val="28"/>
          <w:highlight w:val="none"/>
        </w:rPr>
        <w:sectPr>
          <w:pgSz w:w="11906" w:h="16838"/>
          <w:pgMar w:top="2098" w:right="1474" w:bottom="1985" w:left="1588" w:header="851" w:footer="992" w:gutter="0"/>
          <w:pgNumType w:start="0"/>
          <w:cols w:space="425" w:num="1"/>
          <w:titlePg/>
          <w:docGrid w:type="lines" w:linePitch="312" w:charSpace="0"/>
        </w:sectPr>
      </w:pPr>
    </w:p>
    <w:p>
      <w:pPr>
        <w:numPr>
          <w:ilvl w:val="255"/>
          <w:numId w:val="0"/>
        </w:numPr>
        <w:rPr>
          <w:rFonts w:ascii="宋体" w:hAnsi="宋体" w:cs="宋体"/>
          <w:b/>
          <w:bCs/>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3</w:t>
      </w:r>
      <w:r>
        <w:rPr>
          <w:rFonts w:hint="eastAsia" w:ascii="宋体" w:hAnsi="宋体" w:cs="宋体"/>
          <w:b/>
          <w:bCs/>
          <w:szCs w:val="21"/>
          <w:highlight w:val="none"/>
        </w:rPr>
        <w:t>：安全协议书</w:t>
      </w:r>
    </w:p>
    <w:p>
      <w:pPr>
        <w:spacing w:line="560" w:lineRule="exact"/>
        <w:jc w:val="center"/>
        <w:rPr>
          <w:rFonts w:ascii="Times New Roman" w:hAnsi="Times New Roman" w:eastAsia="方正小标宋简体" w:cs="Times New Roman"/>
          <w:bCs/>
          <w:color w:val="auto"/>
          <w:kern w:val="0"/>
          <w:sz w:val="44"/>
          <w:szCs w:val="44"/>
        </w:rPr>
      </w:pPr>
      <w:r>
        <w:rPr>
          <w:rFonts w:ascii="Times New Roman" w:hAnsi="Times New Roman" w:eastAsia="方正小标宋简体" w:cs="Times New Roman"/>
          <w:bCs/>
          <w:color w:val="auto"/>
          <w:kern w:val="0"/>
          <w:sz w:val="44"/>
          <w:szCs w:val="44"/>
        </w:rPr>
        <w:t>物品采购安全协议书</w:t>
      </w:r>
    </w:p>
    <w:p>
      <w:pPr>
        <w:spacing w:line="560" w:lineRule="exact"/>
        <w:rPr>
          <w:rFonts w:ascii="Times New Roman" w:hAnsi="Times New Roman" w:cs="Times New Roman"/>
          <w:color w:val="auto"/>
          <w:kern w:val="0"/>
          <w:sz w:val="24"/>
        </w:rPr>
      </w:pPr>
    </w:p>
    <w:p>
      <w:pPr>
        <w:spacing w:line="560" w:lineRule="exact"/>
        <w:rPr>
          <w:rFonts w:ascii="Times New Roman" w:hAnsi="Times New Roman" w:cs="Times New Roman"/>
          <w:color w:val="auto"/>
          <w:kern w:val="0"/>
          <w:sz w:val="24"/>
        </w:rPr>
      </w:pPr>
      <w:r>
        <w:rPr>
          <w:rFonts w:ascii="Times New Roman" w:hAnsi="Times New Roman" w:cs="Times New Roman"/>
          <w:color w:val="auto"/>
          <w:kern w:val="0"/>
          <w:sz w:val="24"/>
        </w:rPr>
        <w:t>甲方：</w:t>
      </w:r>
      <w:r>
        <w:rPr>
          <w:rFonts w:ascii="Times New Roman" w:hAnsi="Times New Roman" w:cs="Times New Roman"/>
          <w:color w:val="auto"/>
          <w:sz w:val="24"/>
        </w:rPr>
        <w:t>广州市净水有限公司</w:t>
      </w:r>
    </w:p>
    <w:p>
      <w:pPr>
        <w:spacing w:line="560" w:lineRule="exact"/>
        <w:rPr>
          <w:rFonts w:ascii="Times New Roman" w:hAnsi="Times New Roman" w:cs="Times New Roman"/>
          <w:color w:val="auto"/>
          <w:kern w:val="0"/>
          <w:sz w:val="24"/>
        </w:rPr>
      </w:pPr>
      <w:r>
        <w:rPr>
          <w:rFonts w:ascii="Times New Roman" w:hAnsi="Times New Roman" w:cs="Times New Roman"/>
          <w:color w:val="auto"/>
          <w:kern w:val="0"/>
          <w:sz w:val="24"/>
        </w:rPr>
        <w:t xml:space="preserve">乙方： </w:t>
      </w:r>
    </w:p>
    <w:p>
      <w:pPr>
        <w:spacing w:line="560" w:lineRule="exact"/>
        <w:rPr>
          <w:rFonts w:ascii="Times New Roman" w:hAnsi="Times New Roman" w:cs="Times New Roman"/>
          <w:color w:val="auto"/>
          <w:kern w:val="0"/>
          <w:sz w:val="24"/>
        </w:rPr>
      </w:pP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为加强物品采购过程安全管理，根据《中华人民共和国安全生产法》、《生产安全事故报告和调查处理条例》等国家及地方有关安全生产法律法规，甲乙双方就物品采购的安全事宜，</w:t>
      </w:r>
      <w:r>
        <w:rPr>
          <w:rFonts w:ascii="Times New Roman" w:hAnsi="Times New Roman" w:cs="Times New Roman"/>
          <w:color w:val="auto"/>
          <w:sz w:val="24"/>
        </w:rPr>
        <w:t>经双方友好协商，达成如下协议</w:t>
      </w:r>
      <w:r>
        <w:rPr>
          <w:rFonts w:ascii="Times New Roman" w:hAnsi="Times New Roman" w:cs="Times New Roman"/>
          <w:color w:val="auto"/>
          <w:kern w:val="0"/>
          <w:sz w:val="24"/>
        </w:rPr>
        <w:t>。</w:t>
      </w:r>
    </w:p>
    <w:p>
      <w:pPr>
        <w:adjustRightInd w:val="0"/>
        <w:snapToGrid w:val="0"/>
        <w:spacing w:line="560" w:lineRule="exact"/>
        <w:ind w:firstLine="480" w:firstLineChars="200"/>
        <w:rPr>
          <w:rFonts w:ascii="Times New Roman" w:hAnsi="Times New Roman" w:eastAsia="等线" w:cs="Times New Roman"/>
          <w:b/>
          <w:color w:val="auto"/>
          <w:sz w:val="24"/>
        </w:rPr>
      </w:pPr>
      <w:r>
        <w:rPr>
          <w:rFonts w:ascii="Times New Roman" w:hAnsi="Times New Roman" w:eastAsia="等线" w:cs="Times New Roman"/>
          <w:b/>
          <w:color w:val="auto"/>
          <w:sz w:val="24"/>
        </w:rPr>
        <w:t>一、本协议与主合同的关系</w:t>
      </w:r>
    </w:p>
    <w:p>
      <w:pPr>
        <w:spacing w:line="560" w:lineRule="exact"/>
        <w:ind w:firstLine="480" w:firstLineChars="200"/>
        <w:rPr>
          <w:rFonts w:ascii="Times New Roman" w:hAnsi="Times New Roman" w:cs="Times New Roman"/>
          <w:color w:val="auto"/>
          <w:kern w:val="0"/>
          <w:sz w:val="24"/>
          <w:u w:val="single"/>
        </w:rPr>
      </w:pPr>
      <w:r>
        <w:rPr>
          <w:rFonts w:ascii="Times New Roman" w:hAnsi="Times New Roman" w:cs="Times New Roman"/>
          <w:color w:val="auto"/>
          <w:kern w:val="0"/>
          <w:sz w:val="24"/>
        </w:rPr>
        <w:t>本协议作为</w:t>
      </w:r>
      <w:r>
        <w:rPr>
          <w:rFonts w:hint="eastAsia" w:ascii="Times New Roman" w:hAnsi="Times New Roman" w:cs="Times New Roman"/>
          <w:color w:val="auto"/>
          <w:kern w:val="0"/>
          <w:sz w:val="24"/>
          <w:u w:val="single"/>
          <w:lang w:val="en-US" w:eastAsia="zh-CN"/>
        </w:rPr>
        <w:t xml:space="preserve">广州市净水有限公司净水厂中试试验运维试剂耗材采购项目 </w:t>
      </w:r>
      <w:r>
        <w:rPr>
          <w:rFonts w:ascii="Times New Roman" w:hAnsi="Times New Roman" w:cs="Times New Roman"/>
          <w:color w:val="auto"/>
          <w:kern w:val="0"/>
          <w:sz w:val="24"/>
          <w:u w:val="single"/>
        </w:rPr>
        <w:t xml:space="preserve">穗净水合[     ]      号 </w:t>
      </w:r>
      <w:r>
        <w:rPr>
          <w:rFonts w:ascii="Times New Roman" w:hAnsi="Times New Roman" w:cs="Times New Roman"/>
          <w:color w:val="auto"/>
          <w:kern w:val="0"/>
          <w:sz w:val="24"/>
        </w:rPr>
        <w:t>的组成部分，与主合同具有同等法律效力。</w:t>
      </w:r>
    </w:p>
    <w:p>
      <w:pPr>
        <w:spacing w:line="560" w:lineRule="exact"/>
        <w:ind w:firstLine="482" w:firstLineChars="200"/>
        <w:rPr>
          <w:rFonts w:ascii="Times New Roman" w:hAnsi="Times New Roman" w:cs="Times New Roman"/>
          <w:b/>
          <w:color w:val="auto"/>
          <w:kern w:val="0"/>
          <w:sz w:val="24"/>
        </w:rPr>
      </w:pPr>
      <w:r>
        <w:rPr>
          <w:rFonts w:ascii="Times New Roman" w:hAnsi="Times New Roman" w:cs="Times New Roman"/>
          <w:b/>
          <w:color w:val="auto"/>
          <w:kern w:val="0"/>
          <w:sz w:val="24"/>
        </w:rPr>
        <w:t>二、甲方权责</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（一）甲方进行物品采购时，应贯彻落实国家、地方有关安全管理的法律法规和规章制度。</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（五）告知乙方在甲方应当遵守的安全管理要求。</w:t>
      </w:r>
    </w:p>
    <w:p>
      <w:pPr>
        <w:spacing w:line="560" w:lineRule="exact"/>
        <w:ind w:firstLine="482" w:firstLineChars="200"/>
        <w:rPr>
          <w:rFonts w:ascii="Times New Roman" w:hAnsi="Times New Roman" w:cs="Times New Roman"/>
          <w:b/>
          <w:color w:val="auto"/>
          <w:kern w:val="0"/>
          <w:sz w:val="24"/>
        </w:rPr>
      </w:pPr>
      <w:r>
        <w:rPr>
          <w:rFonts w:ascii="Times New Roman" w:hAnsi="Times New Roman" w:cs="Times New Roman"/>
          <w:b/>
          <w:color w:val="auto"/>
          <w:kern w:val="0"/>
          <w:sz w:val="24"/>
        </w:rPr>
        <w:t>三、乙方权责</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（六）人员管理</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乙方聘请其他单位运输的，乙方应对运输单位的安全管理负责。</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Times New Roman" w:hAnsi="Times New Roman" w:cs="Times New Roman"/>
          <w:color w:val="auto"/>
          <w:kern w:val="0"/>
          <w:sz w:val="24"/>
          <w:u w:val="single"/>
        </w:rPr>
        <w:t xml:space="preserve">      </w:t>
      </w:r>
      <w:r>
        <w:rPr>
          <w:rFonts w:ascii="Times New Roman" w:hAnsi="Times New Roman" w:cs="Times New Roman"/>
          <w:color w:val="auto"/>
          <w:kern w:val="0"/>
          <w:sz w:val="24"/>
        </w:rPr>
        <w:t>元/次。</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（七）发生事故时，乙方须立即报警处理，乙方在力所能及范围内采取补救措施，并在30分钟内将情况报告甲方。</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（十）乙方委托的第三方运输单位或个人，违反本协议的，全部责任均由乙方承担。</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四、补充条款：</w:t>
      </w:r>
      <w:r>
        <w:rPr>
          <w:rFonts w:ascii="Times New Roman" w:hAnsi="Times New Roman" w:cs="Times New Roman"/>
          <w:color w:val="auto"/>
          <w:kern w:val="0"/>
          <w:sz w:val="24"/>
          <w:u w:val="single"/>
        </w:rPr>
        <w:t xml:space="preserve">                 </w:t>
      </w:r>
      <w:r>
        <w:rPr>
          <w:rFonts w:ascii="Times New Roman" w:hAnsi="Times New Roman" w:cs="Times New Roman"/>
          <w:color w:val="auto"/>
          <w:kern w:val="0"/>
          <w:sz w:val="24"/>
        </w:rPr>
        <w:t>。</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五、附则</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（一）本协议未尽事宜，依据有关法律、法规、规章处理。法律、法规、规章没有明确规定的，经双方协商处理解决。</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rPr>
          <w:rFonts w:ascii="Times New Roman" w:hAnsi="Times New Roman" w:eastAsia="等线" w:cs="Times New Roman"/>
          <w:color w:val="auto"/>
          <w:sz w:val="24"/>
        </w:rPr>
      </w:pPr>
    </w:p>
    <w:tbl>
      <w:tblPr>
        <w:tblStyle w:val="22"/>
        <w:tblW w:w="0" w:type="auto"/>
        <w:tblInd w:w="108" w:type="dxa"/>
        <w:tblLayout w:type="autofit"/>
        <w:tblCellMar>
          <w:top w:w="0" w:type="dxa"/>
          <w:left w:w="108" w:type="dxa"/>
          <w:bottom w:w="0" w:type="dxa"/>
          <w:right w:w="108" w:type="dxa"/>
        </w:tblCellMar>
      </w:tblPr>
      <w:tblGrid>
        <w:gridCol w:w="4820"/>
        <w:gridCol w:w="4127"/>
      </w:tblGrid>
      <w:tr>
        <w:tblPrEx>
          <w:tblCellMar>
            <w:top w:w="0" w:type="dxa"/>
            <w:left w:w="108" w:type="dxa"/>
            <w:bottom w:w="0" w:type="dxa"/>
            <w:right w:w="108" w:type="dxa"/>
          </w:tblCellMar>
        </w:tblPrEx>
        <w:tc>
          <w:tcPr>
            <w:tcW w:w="4820" w:type="dxa"/>
            <w:noWrap w:val="0"/>
            <w:vAlign w:val="top"/>
          </w:tcPr>
          <w:p>
            <w:pPr>
              <w:widowControl w:val="0"/>
              <w:adjustRightInd w:val="0"/>
              <w:snapToGrid w:val="0"/>
              <w:spacing w:line="560" w:lineRule="exact"/>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 xml:space="preserve">甲方：    </w:t>
            </w:r>
          </w:p>
          <w:p>
            <w:pPr>
              <w:widowControl w:val="0"/>
              <w:adjustRightInd w:val="0"/>
              <w:snapToGrid w:val="0"/>
              <w:spacing w:line="560" w:lineRule="exact"/>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签约代表：</w:t>
            </w:r>
          </w:p>
          <w:p>
            <w:pPr>
              <w:widowControl w:val="0"/>
              <w:adjustRightInd w:val="0"/>
              <w:snapToGrid w:val="0"/>
              <w:spacing w:line="560" w:lineRule="exact"/>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联系电话：</w:t>
            </w:r>
          </w:p>
          <w:p>
            <w:pPr>
              <w:widowControl w:val="0"/>
              <w:adjustRightInd w:val="0"/>
              <w:snapToGrid w:val="0"/>
              <w:spacing w:line="560" w:lineRule="exact"/>
              <w:ind w:right="1200" w:firstLine="240" w:firstLineChars="100"/>
              <w:jc w:val="center"/>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 xml:space="preserve">           年    月    日</w:t>
            </w:r>
          </w:p>
        </w:tc>
        <w:tc>
          <w:tcPr>
            <w:tcW w:w="4127" w:type="dxa"/>
            <w:noWrap w:val="0"/>
            <w:vAlign w:val="top"/>
          </w:tcPr>
          <w:p>
            <w:pPr>
              <w:widowControl w:val="0"/>
              <w:adjustRightInd w:val="0"/>
              <w:snapToGrid w:val="0"/>
              <w:spacing w:line="560" w:lineRule="exact"/>
              <w:ind w:firstLine="240" w:firstLineChars="100"/>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 xml:space="preserve">乙方： </w:t>
            </w:r>
          </w:p>
          <w:p>
            <w:pPr>
              <w:widowControl w:val="0"/>
              <w:adjustRightInd w:val="0"/>
              <w:snapToGrid w:val="0"/>
              <w:spacing w:line="560" w:lineRule="exact"/>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签约代表：</w:t>
            </w:r>
          </w:p>
          <w:p>
            <w:pPr>
              <w:widowControl w:val="0"/>
              <w:adjustRightInd w:val="0"/>
              <w:snapToGrid w:val="0"/>
              <w:spacing w:line="560" w:lineRule="exact"/>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联系电话：</w:t>
            </w:r>
          </w:p>
          <w:p>
            <w:pPr>
              <w:widowControl w:val="0"/>
              <w:adjustRightInd w:val="0"/>
              <w:snapToGrid w:val="0"/>
              <w:spacing w:line="560" w:lineRule="exact"/>
              <w:ind w:right="720"/>
              <w:jc w:val="right"/>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年    月    日</w:t>
            </w:r>
          </w:p>
        </w:tc>
      </w:tr>
    </w:tbl>
    <w:p>
      <w:pPr>
        <w:adjustRightInd w:val="0"/>
        <w:snapToGrid w:val="0"/>
        <w:spacing w:line="336" w:lineRule="auto"/>
        <w:ind w:firstLine="0" w:firstLineChars="0"/>
        <w:rPr>
          <w:rFonts w:hint="eastAsia" w:ascii="仿宋_GB2312" w:hAnsi="宋体" w:eastAsia="仿宋_GB2312"/>
          <w:b/>
          <w:sz w:val="24"/>
          <w:lang w:val="en-US" w:eastAsia="zh-CN"/>
        </w:rPr>
      </w:pPr>
    </w:p>
    <w:p>
      <w:pPr>
        <w:adjustRightInd w:val="0"/>
        <w:snapToGrid w:val="0"/>
        <w:spacing w:line="336" w:lineRule="auto"/>
        <w:ind w:firstLine="0" w:firstLineChars="0"/>
        <w:rPr>
          <w:rFonts w:ascii="仿宋_GB2312" w:eastAsia="仿宋_GB2312"/>
          <w:b/>
          <w:sz w:val="28"/>
          <w:szCs w:val="28"/>
        </w:rPr>
      </w:pPr>
      <w:r>
        <w:rPr>
          <w:rFonts w:hint="eastAsia" w:ascii="宋体" w:hAnsi="宋体" w:cs="宋体"/>
          <w:b/>
          <w:bCs/>
          <w:szCs w:val="21"/>
          <w:highlight w:val="none"/>
          <w:lang w:val="en-US" w:eastAsia="zh-CN"/>
        </w:rPr>
        <w:t>附件4：</w:t>
      </w:r>
      <w:r>
        <w:rPr>
          <w:rFonts w:hint="eastAsia" w:ascii="宋体" w:hAnsi="宋体" w:cs="宋体"/>
          <w:b/>
          <w:bCs/>
          <w:szCs w:val="21"/>
          <w:highlight w:val="none"/>
          <w:lang w:val="zh-CN"/>
        </w:rPr>
        <w:t>授权委托证明（如需）</w:t>
      </w:r>
    </w:p>
    <w:p/>
    <w:p>
      <w:pPr>
        <w:pStyle w:val="21"/>
      </w:pPr>
    </w:p>
    <w:p>
      <w:pPr>
        <w:pStyle w:val="21"/>
        <w:ind w:firstLine="0"/>
        <w:rPr>
          <w:rFonts w:hint="default" w:eastAsia="等线"/>
          <w:lang w:val="en-US" w:eastAsia="zh-CN"/>
        </w:rPr>
      </w:pPr>
      <w:r>
        <w:rPr>
          <w:rFonts w:hint="eastAsia" w:ascii="宋体" w:hAnsi="宋体" w:cs="宋体" w:eastAsiaTheme="minorEastAsia"/>
          <w:b/>
          <w:bCs/>
          <w:color w:val="auto"/>
          <w:kern w:val="2"/>
          <w:sz w:val="21"/>
          <w:szCs w:val="21"/>
          <w:highlight w:val="none"/>
          <w:lang w:val="en-US" w:eastAsia="zh-CN" w:bidi="ar-SA"/>
        </w:rPr>
        <w:t>附件5 报价清单</w:t>
      </w:r>
      <w:r>
        <w:rPr>
          <w:rFonts w:hint="eastAsia" w:cs="宋体" w:eastAsiaTheme="minorEastAsia"/>
          <w:b/>
          <w:bCs/>
          <w:color w:val="auto"/>
          <w:kern w:val="2"/>
          <w:sz w:val="21"/>
          <w:szCs w:val="21"/>
          <w:highlight w:val="none"/>
          <w:lang w:val="en-US" w:eastAsia="zh-CN" w:bidi="ar-SA"/>
        </w:rPr>
        <w:t>（详见响应文件报价清单）</w:t>
      </w:r>
    </w:p>
    <w:p>
      <w:pPr>
        <w:pStyle w:val="21"/>
      </w:pPr>
    </w:p>
    <w:p>
      <w:pPr>
        <w:pStyle w:val="21"/>
      </w:pPr>
    </w:p>
    <w:p>
      <w:pPr>
        <w:pStyle w:val="21"/>
      </w:pPr>
    </w:p>
    <w:p>
      <w:pPr>
        <w:pStyle w:val="54"/>
        <w:jc w:val="center"/>
        <w:rPr>
          <w:rFonts w:eastAsia="方正小标宋简体"/>
          <w:b/>
          <w:bCs/>
          <w:sz w:val="48"/>
          <w:szCs w:val="48"/>
        </w:rPr>
      </w:pPr>
    </w:p>
    <w:p>
      <w:pPr>
        <w:pStyle w:val="54"/>
        <w:jc w:val="center"/>
        <w:rPr>
          <w:rFonts w:eastAsia="方正小标宋简体"/>
          <w:sz w:val="48"/>
          <w:szCs w:val="48"/>
        </w:rPr>
      </w:pPr>
    </w:p>
    <w:p>
      <w:pPr>
        <w:pStyle w:val="55"/>
        <w:rPr>
          <w:rFonts w:eastAsia="方正小标宋简体"/>
          <w:sz w:val="48"/>
          <w:szCs w:val="48"/>
        </w:rPr>
      </w:pPr>
    </w:p>
    <w:p>
      <w:pPr>
        <w:pStyle w:val="55"/>
        <w:rPr>
          <w:rFonts w:eastAsia="方正小标宋简体"/>
          <w:sz w:val="48"/>
          <w:szCs w:val="48"/>
        </w:rPr>
      </w:pPr>
    </w:p>
    <w:p>
      <w:pPr>
        <w:pStyle w:val="55"/>
        <w:rPr>
          <w:rFonts w:eastAsia="方正小标宋简体"/>
          <w:sz w:val="48"/>
          <w:szCs w:val="48"/>
        </w:rPr>
      </w:pPr>
    </w:p>
    <w:p>
      <w:pPr>
        <w:pStyle w:val="55"/>
        <w:ind w:firstLine="0" w:firstLineChars="0"/>
        <w:rPr>
          <w:rFonts w:eastAsia="方正小标宋简体"/>
          <w:sz w:val="48"/>
          <w:szCs w:val="48"/>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rPr>
          <w:rFonts w:hint="eastAsia"/>
          <w:color w:val="auto"/>
          <w:highlight w:val="none"/>
        </w:rPr>
      </w:pPr>
    </w:p>
    <w:p>
      <w:pPr>
        <w:pStyle w:val="21"/>
        <w:rPr>
          <w:rFonts w:hint="eastAsia"/>
          <w:color w:val="auto"/>
          <w:highlight w:val="none"/>
        </w:rPr>
      </w:pPr>
    </w:p>
    <w:p>
      <w:pPr>
        <w:pStyle w:val="3"/>
        <w:rPr>
          <w:rFonts w:hint="eastAsia"/>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6" name="自选图形 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81.6pt;margin-top:56.7pt;height:0pt;width:75.5pt;z-index:25167667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ZJk8A8gEAAOM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RJuOLMgaUb&#10;//X5+/2nL3dff979+MamWaI+4IIi124bTzsM25j5Hppo85+YsEOR9XiWVR0SE3T4cjafz0hw8eCq&#10;HvNCxPRaecuyUXNMEXTbpbV3ju7Ox0lRFfZvMFFlSnxIyEWNY32Gn84IHGgWG5oBMm0gPujakove&#10;aHmjjckZGNvd2kS2hzwP5cv8CPevsFxkA9gNccU1TEqnQL5ykqVjIKEcPRCeW7BKcmYUvadsESAs&#10;EmhzSSSVNo46yBIPomZr5+WxaF3O6e5Lj6c5zcP1575kP77N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WSZPA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5" name="自选图形 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83.1pt;margin-top:21.3pt;height:0pt;width:75.5pt;z-index:25167564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6awAM8gEAAOM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M84cWLrx&#10;u8/ff336cvv15+2Pb+x5lqgPWFPkym3iaYdhEzPfQxtt/hMTdiiyHs+yqkNigg5fzubzGQku7l3V&#10;Q16ImF4rb1k2Go4pgt51aeWdo7vzcVJUhf0bTFSZEu8TclHjWJ/hp9S6AJrFlmaATBuID7pdyUVv&#10;tLzWxuQMjLvtykS2hzwP5cv8CPevsFxkDdgNccU1TEqnQL5ykqVjIKEcPRCeW7BKcmYUvadsESDU&#10;CbS5JJJKG0cdZIkHUbO19fJYtC7ndPelx9Oc5uH6c1+yH97m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msADP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p>
    <w:p>
      <w:pPr>
        <w:pStyle w:val="3"/>
        <w:rPr>
          <w:rFonts w:ascii="方正小标宋简体" w:eastAsia="方正小标宋简体"/>
          <w:color w:val="auto"/>
          <w:sz w:val="44"/>
          <w:szCs w:val="44"/>
          <w:highlight w:val="none"/>
        </w:rPr>
      </w:pPr>
      <w:r>
        <w:rPr>
          <w:rFonts w:hint="eastAsia"/>
          <w:color w:val="auto"/>
          <w:highlight w:val="none"/>
        </w:rPr>
        <w:t>响应文件</w:t>
      </w:r>
      <w:r>
        <w:rPr>
          <w:rFonts w:hint="eastAsia"/>
          <w:color w:val="auto"/>
          <w:highlight w:val="none"/>
          <w:lang w:val="en-US" w:eastAsia="zh-CN"/>
        </w:rPr>
        <w:t>格式要求</w:t>
      </w:r>
    </w:p>
    <w:p>
      <w:pPr>
        <w:pStyle w:val="12"/>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85" w:name="_Toc88209952"/>
      <w:bookmarkStart w:id="86" w:name="_Toc87616389"/>
      <w:r>
        <w:rPr>
          <w:rFonts w:hint="eastAsia" w:ascii="仿宋_GB2312" w:eastAsia="仿宋_GB2312"/>
          <w:color w:val="auto"/>
          <w:sz w:val="28"/>
          <w:szCs w:val="28"/>
          <w:highlight w:val="none"/>
        </w:rPr>
        <w:t>1.响应函</w:t>
      </w:r>
      <w:bookmarkEnd w:id="85"/>
      <w:bookmarkEnd w:id="86"/>
    </w:p>
    <w:p>
      <w:pPr>
        <w:spacing w:line="600" w:lineRule="exact"/>
        <w:rPr>
          <w:rFonts w:hint="eastAsia" w:ascii="仿宋_GB2312" w:eastAsia="仿宋_GB2312"/>
          <w:color w:val="auto"/>
          <w:sz w:val="28"/>
          <w:szCs w:val="28"/>
          <w:highlight w:val="none"/>
        </w:rPr>
      </w:pPr>
      <w:bookmarkStart w:id="87" w:name="_Toc87616390"/>
      <w:bookmarkStart w:id="88" w:name="_Toc88209953"/>
      <w:r>
        <w:rPr>
          <w:rFonts w:hint="eastAsia" w:ascii="仿宋_GB2312" w:eastAsia="仿宋_GB2312"/>
          <w:color w:val="auto"/>
          <w:sz w:val="28"/>
          <w:szCs w:val="28"/>
          <w:highlight w:val="none"/>
        </w:rPr>
        <w:t>2.法定代表人证明或授权委托书</w:t>
      </w:r>
      <w:bookmarkEnd w:id="87"/>
      <w:bookmarkEnd w:id="88"/>
      <w:bookmarkStart w:id="89" w:name="_Toc87616393"/>
      <w:bookmarkStart w:id="90"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6.承诺函</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89"/>
      <w:bookmarkEnd w:id="90"/>
      <w:r>
        <w:rPr>
          <w:rFonts w:hint="eastAsia" w:ascii="仿宋_GB2312" w:eastAsia="仿宋_GB2312"/>
          <w:color w:val="auto"/>
          <w:sz w:val="28"/>
          <w:szCs w:val="28"/>
          <w:highlight w:val="none"/>
        </w:rPr>
        <w:cr/>
      </w:r>
    </w:p>
    <w:p>
      <w:pPr>
        <w:pStyle w:val="12"/>
      </w:pPr>
    </w:p>
    <w:p>
      <w:pPr>
        <w:pStyle w:val="5"/>
        <w:rPr>
          <w:rFonts w:hint="eastAsia" w:asciiTheme="minorEastAsia" w:hAnsiTheme="minorEastAsia" w:eastAsiaTheme="minorEastAsia"/>
          <w:color w:val="auto"/>
          <w:sz w:val="28"/>
          <w:szCs w:val="28"/>
          <w:highlight w:val="none"/>
        </w:rPr>
      </w:pPr>
      <w:bookmarkStart w:id="91" w:name="_Toc28619645"/>
      <w:bookmarkStart w:id="92" w:name="_Toc12665"/>
      <w:bookmarkStart w:id="93" w:name="_Toc87616394"/>
      <w:bookmarkStart w:id="94" w:name="_Toc6313"/>
      <w:bookmarkStart w:id="95" w:name="_Toc88209957"/>
    </w:p>
    <w:p>
      <w:pPr>
        <w:pStyle w:val="5"/>
        <w:rPr>
          <w:rFonts w:hint="eastAsia" w:asciiTheme="minorEastAsia" w:hAnsiTheme="minorEastAsia" w:eastAsiaTheme="minorEastAsia"/>
          <w:color w:val="auto"/>
          <w:sz w:val="28"/>
          <w:szCs w:val="28"/>
          <w:highlight w:val="none"/>
        </w:rPr>
      </w:pPr>
    </w:p>
    <w:p>
      <w:pPr>
        <w:pStyle w:val="5"/>
        <w:rPr>
          <w:rFonts w:hint="eastAsia" w:asciiTheme="minorEastAsia" w:hAnsiTheme="minorEastAsia" w:eastAsiaTheme="minorEastAsia"/>
          <w:color w:val="auto"/>
          <w:sz w:val="28"/>
          <w:szCs w:val="28"/>
          <w:highlight w:val="none"/>
        </w:rPr>
      </w:pPr>
    </w:p>
    <w:p>
      <w:pPr>
        <w:rPr>
          <w:rFonts w:hint="eastAsia"/>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91"/>
      <w:bookmarkEnd w:id="92"/>
      <w:bookmarkEnd w:id="93"/>
      <w:bookmarkEnd w:id="94"/>
      <w:bookmarkEnd w:id="9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default" w:eastAsia="仿宋_GB2312"/>
          <w:lang w:val="en-US" w:eastAsia="zh-CN"/>
        </w:rPr>
      </w:pPr>
      <w:r>
        <w:rPr>
          <w:rFonts w:hint="eastAsia" w:ascii="仿宋_GB2312" w:hAnsi="黑体" w:eastAsia="仿宋_GB2312"/>
          <w:color w:val="auto"/>
          <w:sz w:val="28"/>
          <w:szCs w:val="28"/>
          <w:highlight w:val="none"/>
          <w:lang w:val="en-US" w:eastAsia="zh-CN"/>
        </w:rPr>
        <w:t>（6）承诺函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1"/>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96" w:name="_Toc29833"/>
      <w:bookmarkStart w:id="97" w:name="_Toc87616395"/>
      <w:bookmarkStart w:id="98" w:name="_Toc22527"/>
      <w:bookmarkStart w:id="99" w:name="_Toc88209958"/>
    </w:p>
    <w:p>
      <w:pPr>
        <w:pStyle w:val="12"/>
        <w:rPr>
          <w:rFonts w:hint="eastAsia"/>
        </w:rPr>
      </w:pPr>
    </w:p>
    <w:p>
      <w:pPr>
        <w:pStyle w:val="5"/>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96"/>
      <w:bookmarkEnd w:id="97"/>
      <w:bookmarkEnd w:id="98"/>
      <w:bookmarkEnd w:id="99"/>
    </w:p>
    <w:p>
      <w:pPr>
        <w:pageBreakBefore w:val="0"/>
        <w:widowControl w:val="0"/>
        <w:kinsoku/>
        <w:wordWrap/>
        <w:overflowPunct/>
        <w:topLinePunct w:val="0"/>
        <w:autoSpaceDE/>
        <w:autoSpaceDN/>
        <w:bidi w:val="0"/>
        <w:adjustRightInd/>
        <w:snapToGrid/>
        <w:spacing w:line="560" w:lineRule="exact"/>
        <w:textAlignment w:val="auto"/>
        <w:rPr>
          <w:color w:val="auto"/>
          <w:highlight w:val="none"/>
        </w:rPr>
      </w:pPr>
      <w:r>
        <w:rPr>
          <w:rFonts w:hint="eastAsia" w:ascii="仿宋_GB2312" w:hAnsi="黑体" w:eastAsia="仿宋_GB2312"/>
          <w:color w:val="auto"/>
          <w:sz w:val="28"/>
          <w:szCs w:val="28"/>
          <w:highlight w:val="none"/>
        </w:rPr>
        <w:t>2.1法定代表人证明格式</w:t>
      </w:r>
    </w:p>
    <w:p>
      <w:pPr>
        <w:keepNext w:val="0"/>
        <w:keepLines w:val="0"/>
        <w:pageBreakBefore w:val="0"/>
        <w:widowControl/>
        <w:kinsoku/>
        <w:wordWrap/>
        <w:overflowPunct/>
        <w:topLinePunct w:val="0"/>
        <w:bidi w:val="0"/>
        <w:adjustRightInd w:val="0"/>
        <w:snapToGrid w:val="0"/>
        <w:spacing w:beforeLines="50" w:afterLines="50" w:line="560" w:lineRule="exact"/>
        <w:jc w:val="center"/>
        <w:textAlignment w:val="auto"/>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keepNext w:val="0"/>
        <w:keepLines w:val="0"/>
        <w:pageBreakBefore w:val="0"/>
        <w:kinsoku/>
        <w:wordWrap/>
        <w:overflowPunct/>
        <w:topLinePunct w:val="0"/>
        <w:bidi w:val="0"/>
        <w:adjustRightInd w:val="0"/>
        <w:snapToGrid w:val="0"/>
        <w:spacing w:after="0" w:line="560" w:lineRule="exact"/>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keepNext w:val="0"/>
        <w:keepLines w:val="0"/>
        <w:pageBreakBefore w:val="0"/>
        <w:kinsoku/>
        <w:wordWrap/>
        <w:overflowPunct/>
        <w:topLinePunct w:val="0"/>
        <w:bidi w:val="0"/>
        <w:adjustRightInd w:val="0"/>
        <w:snapToGrid w:val="0"/>
        <w:spacing w:line="560" w:lineRule="exact"/>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keepNext w:val="0"/>
        <w:keepLines w:val="0"/>
        <w:pageBreakBefore w:val="0"/>
        <w:kinsoku/>
        <w:wordWrap/>
        <w:overflowPunct/>
        <w:topLinePunct w:val="0"/>
        <w:bidi w:val="0"/>
        <w:adjustRightInd w:val="0"/>
        <w:snapToGrid w:val="0"/>
        <w:spacing w:after="0" w:line="560" w:lineRule="exact"/>
        <w:ind w:firstLine="750" w:firstLineChars="25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keepNext w:val="0"/>
        <w:keepLines w:val="0"/>
        <w:pageBreakBefore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keepNext w:val="0"/>
        <w:keepLines w:val="0"/>
        <w:pageBreakBefore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keepNext w:val="0"/>
        <w:keepLines w:val="0"/>
        <w:pageBreakBefore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keepNext w:val="0"/>
        <w:keepLines w:val="0"/>
        <w:pageBreakBefore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keepNext w:val="0"/>
        <w:keepLines w:val="0"/>
        <w:pageBreakBefore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kinsoku/>
        <w:wordWrap/>
        <w:overflowPunct/>
        <w:topLinePunct w:val="0"/>
        <w:bidi w:val="0"/>
        <w:adjustRightInd w:val="0"/>
        <w:snapToGrid w:val="0"/>
        <w:spacing w:line="560" w:lineRule="exact"/>
        <w:ind w:firstLine="702" w:firstLineChars="234"/>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00" w:name="_Toc19830"/>
      <w:bookmarkStart w:id="101" w:name="_Toc8086"/>
      <w:bookmarkStart w:id="102" w:name="_Toc88209963"/>
      <w:bookmarkStart w:id="103"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00"/>
      <w:bookmarkEnd w:id="101"/>
      <w:bookmarkEnd w:id="102"/>
      <w:bookmarkEnd w:id="10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04"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0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1"/>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1"/>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adjustRightInd w:val="0"/>
        <w:snapToGrid w:val="0"/>
        <w:spacing w:line="360" w:lineRule="auto"/>
        <w:jc w:val="right"/>
        <w:rPr>
          <w:rFonts w:hint="eastAsia" w:ascii="仿宋_GB2312" w:eastAsia="仿宋_GB2312" w:hAnsiTheme="minorEastAsia"/>
          <w:color w:val="auto"/>
          <w:sz w:val="28"/>
          <w:szCs w:val="28"/>
          <w:highlight w:val="none"/>
          <w:lang w:val="en-US" w:eastAsia="zh-CN"/>
        </w:rPr>
        <w:sectPr>
          <w:headerReference r:id="rId6" w:type="first"/>
          <w:footerReference r:id="rId8" w:type="first"/>
          <w:footerReference r:id="rId7" w:type="default"/>
          <w:pgSz w:w="11906" w:h="16838"/>
          <w:pgMar w:top="2098" w:right="1474" w:bottom="1985" w:left="1588" w:header="851" w:footer="992" w:gutter="0"/>
          <w:pgNumType w:start="0"/>
          <w:cols w:space="425" w:num="1"/>
          <w:titlePg/>
          <w:docGrid w:type="lines" w:linePitch="312" w:charSpace="0"/>
        </w:sectPr>
      </w:pPr>
      <w:bookmarkStart w:id="105" w:name="_Toc32430"/>
      <w:bookmarkStart w:id="106" w:name="_Toc19423"/>
    </w:p>
    <w:p>
      <w:pPr>
        <w:pStyle w:val="5"/>
        <w:numPr>
          <w:ilvl w:val="0"/>
          <w:numId w:val="6"/>
        </w:numP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rPr>
        <w:t>报价表</w:t>
      </w:r>
      <w:bookmarkEnd w:id="105"/>
      <w:bookmarkEnd w:id="106"/>
    </w:p>
    <w:p>
      <w:pPr>
        <w:numPr>
          <w:ilvl w:val="255"/>
          <w:numId w:val="0"/>
        </w:numPr>
        <w:jc w:val="center"/>
        <w:rPr>
          <w:rFonts w:hint="default" w:asciiTheme="minorEastAsia" w:hAnsiTheme="minorEastAsia" w:eastAsiaTheme="minorEastAsia"/>
          <w:color w:val="auto"/>
          <w:sz w:val="28"/>
          <w:szCs w:val="28"/>
          <w:highlight w:val="none"/>
          <w:lang w:val="en-US" w:eastAsia="zh-CN"/>
        </w:rPr>
      </w:pPr>
      <w:r>
        <w:rPr>
          <w:rFonts w:hint="eastAsia" w:ascii="宋体" w:hAnsi="宋体" w:cs="宋体"/>
          <w:b/>
          <w:bCs/>
          <w:szCs w:val="21"/>
          <w:highlight w:val="none"/>
          <w:lang w:val="en-US" w:eastAsia="zh-CN"/>
        </w:rPr>
        <w:t>运维试剂耗材报价表</w:t>
      </w:r>
    </w:p>
    <w:tbl>
      <w:tblPr>
        <w:tblStyle w:val="22"/>
        <w:tblW w:w="88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3"/>
        <w:gridCol w:w="1470"/>
        <w:gridCol w:w="960"/>
        <w:gridCol w:w="1005"/>
        <w:gridCol w:w="975"/>
        <w:gridCol w:w="1335"/>
        <w:gridCol w:w="2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材料名称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计量单位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lang w:val="en-US" w:eastAsia="zh-CN"/>
              </w:rPr>
            </w:pPr>
            <w:r>
              <w:rPr>
                <w:rFonts w:hint="eastAsia" w:ascii="微软雅黑" w:hAnsi="微软雅黑" w:eastAsia="微软雅黑" w:cs="微软雅黑"/>
                <w:b/>
                <w:i w:val="0"/>
                <w:color w:val="000000"/>
                <w:sz w:val="22"/>
                <w:szCs w:val="22"/>
                <w:u w:val="none"/>
                <w:lang w:val="en-US" w:eastAsia="zh-CN"/>
              </w:rPr>
              <w:t>单价（元）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lang w:val="en-US" w:eastAsia="zh-CN"/>
              </w:rPr>
            </w:pPr>
            <w:r>
              <w:rPr>
                <w:rFonts w:hint="eastAsia" w:ascii="微软雅黑" w:hAnsi="微软雅黑" w:eastAsia="微软雅黑" w:cs="微软雅黑"/>
                <w:b/>
                <w:i w:val="0"/>
                <w:color w:val="000000"/>
                <w:sz w:val="22"/>
                <w:szCs w:val="22"/>
                <w:u w:val="none"/>
                <w:lang w:val="en-US" w:eastAsia="zh-CN"/>
              </w:rPr>
              <w:t>总价（元）</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000000"/>
                <w:sz w:val="22"/>
                <w:szCs w:val="22"/>
                <w:u w:val="none"/>
                <w:lang w:val="en-US" w:eastAsia="zh-CN"/>
              </w:rPr>
            </w:pPr>
            <w:r>
              <w:rPr>
                <w:rFonts w:hint="eastAsia" w:ascii="微软雅黑" w:hAnsi="微软雅黑" w:eastAsia="微软雅黑" w:cs="微软雅黑"/>
                <w:b/>
                <w:i w:val="0"/>
                <w:color w:val="000000"/>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普通离心管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50ml*100支，压盖圆底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3"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高速离心管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50ml*50支，螺口圆底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4"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高速离心管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10ml*100支，螺口圆底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样本瓶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60ml PP聚丙烯材质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样本瓶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150ml PP聚丙烯材质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三角瓶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50ml（含硅胶塞）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三角瓶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100ml（含硅胶塞）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三角瓶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150ml（含硅胶塞）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液相小瓶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2ml*100个，棕色带刻度（含盖垫）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石英比色皿</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两通耐酸碱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超纯水滤柱</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高压汞灯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BAD-200W隔爆型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氙灯光源</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MAX-350全波段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烧杯100mL</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烧杯250mL</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16</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烧杯500mL</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烧杯1000mL</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18</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烧杯3000mL</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量筒250mL</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量筒1000mL</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容量瓶100mL</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22</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容量瓶500mL</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容量瓶1000mL</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24</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培养皿</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Φ90*20mm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硅胶管15#</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26</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硅胶管16#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硅胶管17#</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28</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PU管Φ6mm</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PU管Φ8mm</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PU管Φ10mm</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PU管Φ14mm</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32</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高纯氦气</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49L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33</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高纯氩气</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49L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34</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高纯氮气</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49L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35</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高纯氧气</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49L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离子色谱柱</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37</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液相色谱柱</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38</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气相色谱柱</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39</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气相色谱进样针</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塑料箱</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800*570*505mm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橡胶袋（垃圾袋）</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特厚，尺寸80*100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42</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乳胶手套</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lang w:val="en-US"/>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100只/盒，中码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43</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密实袋（PE自封袋）</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15个/盒，，厚度20丝，尺寸20*30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44</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PE手套</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lang w:val="en-US"/>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500只/盒，中码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45</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卫生口罩</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50只/盒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46</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活性炭口罩</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50只/盒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7"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47</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铝箔</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厚0.15mm、宽100mm、长20mm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48</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GTTP膜0.22um</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Φ47mm，100片/盒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49</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GTTP膜0.45um</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Φ47mm，100片/盒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GTTP膜1mm</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Φ47mm，100片/盒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醋酸纤维素膜0.22um</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2*8cm，50张/盒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52</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醋酸纤维素膜0.45um</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2*8cm，50张/盒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53</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PTFE针头过滤器0.22um</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Φ25μm，100只/盒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54</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PTFE针头过滤器0.45um</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Φ25μm，100只/盒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55</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混合纤维针头过滤器0.22um</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Φ25μm，100只/盒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56</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混合纤维针头过滤器0.45um</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Φ25μm，100只/盒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57</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尼龙针头过滤器0.22um</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Φ25μm，100只/盒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58</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尼龙针头过滤器0.45um</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Φ25μm，100只/盒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59</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微量移液器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量程：20-200μL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微量移液器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量程：100-1000μL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微量移液器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量程：0.5-5mL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9"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62</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微量白吸头</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1000个/袋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63</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微量黄吸头</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1000个/袋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64</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微量蓝吸头</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1000个/袋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65</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微量吸头</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100个/袋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66</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定性滤纸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Φ11cm，100片/盒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67</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定量滤纸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Φ11cm，100片/盒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68</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石英比色杯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700μl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69</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无水乙醇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4L/瓶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甲醇色谱纯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4L/瓶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乙腈色谱纯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4L/瓶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72</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丙酮</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4L/瓶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73</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甲酸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4L/瓶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74</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乙酸乙酯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4L/瓶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75</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蛋白质试剂盒</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＞50次/盒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76</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DNA提取试剂盒</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＞50次/盒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77</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RNA提取试剂盒</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＞50次/盒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78</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荧光定量PCR试剂盒</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盒子</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＞50次/盒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79</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COD试剂盒</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50次/盒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纳氏试剂</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4L/瓶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themeColor="text1"/>
                <w:sz w:val="20"/>
                <w:szCs w:val="20"/>
                <w:u w:val="none"/>
                <w14:textFill>
                  <w14:solidFill>
                    <w14:schemeClr w14:val="tx1"/>
                  </w14:solidFill>
                </w14:textFill>
              </w:rPr>
            </w:pPr>
            <w:r>
              <w:rPr>
                <w:rFonts w:hint="eastAsia" w:ascii="微软雅黑" w:hAnsi="微软雅黑" w:eastAsia="微软雅黑" w:cs="微软雅黑"/>
                <w:i w:val="0"/>
                <w:color w:val="000000" w:themeColor="text1"/>
                <w:kern w:val="0"/>
                <w:sz w:val="20"/>
                <w:szCs w:val="20"/>
                <w:u w:val="none"/>
                <w:lang w:val="en-US" w:eastAsia="zh-CN" w:bidi="ar"/>
                <w14:textFill>
                  <w14:solidFill>
                    <w14:schemeClr w14:val="tx1"/>
                  </w14:solidFill>
                </w14:textFill>
              </w:rPr>
              <w:t>硫酸铝（液体）</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吨</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vertAlign w:val="baseline"/>
                <w:lang w:val="en-US" w:eastAsia="zh-CN"/>
              </w:rPr>
            </w:pPr>
            <w:r>
              <w:rPr>
                <w:rFonts w:hint="eastAsia" w:ascii="微软雅黑" w:hAnsi="微软雅黑" w:eastAsia="微软雅黑" w:cs="微软雅黑"/>
                <w:i w:val="0"/>
                <w:color w:val="000000"/>
                <w:sz w:val="20"/>
                <w:szCs w:val="20"/>
                <w:u w:val="none"/>
                <w:lang w:val="en-US" w:eastAsia="zh-CN"/>
              </w:rPr>
              <w:t>氧化铝（AL</w:t>
            </w:r>
            <w:r>
              <w:rPr>
                <w:rFonts w:hint="eastAsia" w:ascii="微软雅黑" w:hAnsi="微软雅黑" w:eastAsia="微软雅黑" w:cs="微软雅黑"/>
                <w:i w:val="0"/>
                <w:color w:val="000000"/>
                <w:sz w:val="20"/>
                <w:szCs w:val="20"/>
                <w:u w:val="none"/>
                <w:vertAlign w:val="subscript"/>
                <w:lang w:val="en-US" w:eastAsia="zh-CN"/>
              </w:rPr>
              <w:t>2</w:t>
            </w:r>
            <w:r>
              <w:rPr>
                <w:rFonts w:hint="eastAsia" w:ascii="微软雅黑" w:hAnsi="微软雅黑" w:eastAsia="微软雅黑" w:cs="微软雅黑"/>
                <w:i w:val="0"/>
                <w:color w:val="000000"/>
                <w:sz w:val="20"/>
                <w:szCs w:val="20"/>
                <w:u w:val="none"/>
                <w:lang w:val="en-US" w:eastAsia="zh-CN"/>
              </w:rPr>
              <w:t>O</w:t>
            </w:r>
            <w:r>
              <w:rPr>
                <w:rFonts w:hint="eastAsia" w:ascii="微软雅黑" w:hAnsi="微软雅黑" w:eastAsia="微软雅黑" w:cs="微软雅黑"/>
                <w:i w:val="0"/>
                <w:color w:val="000000"/>
                <w:sz w:val="20"/>
                <w:szCs w:val="20"/>
                <w:u w:val="none"/>
                <w:vertAlign w:val="subscript"/>
                <w:lang w:val="en-US" w:eastAsia="zh-CN"/>
              </w:rPr>
              <w:t>3</w:t>
            </w:r>
            <w:r>
              <w:rPr>
                <w:rFonts w:hint="eastAsia" w:ascii="微软雅黑" w:hAnsi="微软雅黑" w:eastAsia="微软雅黑" w:cs="微软雅黑"/>
                <w:i w:val="0"/>
                <w:color w:val="000000"/>
                <w:sz w:val="20"/>
                <w:szCs w:val="20"/>
                <w:u w:val="none"/>
                <w:vertAlign w:val="baseline"/>
                <w:lang w:val="en-US" w:eastAsia="zh-CN"/>
              </w:rPr>
              <w:t>）质量分数</w:t>
            </w:r>
            <w:r>
              <w:rPr>
                <w:rFonts w:hint="default" w:ascii="Arial" w:hAnsi="Arial" w:eastAsia="微软雅黑" w:cs="Arial"/>
                <w:i w:val="0"/>
                <w:color w:val="000000"/>
                <w:sz w:val="20"/>
                <w:szCs w:val="20"/>
                <w:u w:val="none"/>
                <w:vertAlign w:val="baseline"/>
                <w:lang w:val="en-US" w:eastAsia="zh-CN"/>
              </w:rPr>
              <w:t>≥</w:t>
            </w:r>
            <w:r>
              <w:rPr>
                <w:rFonts w:hint="eastAsia" w:ascii="微软雅黑" w:hAnsi="微软雅黑" w:eastAsia="微软雅黑" w:cs="微软雅黑"/>
                <w:i w:val="0"/>
                <w:color w:val="000000"/>
                <w:sz w:val="20"/>
                <w:szCs w:val="20"/>
                <w:u w:val="none"/>
                <w:vertAlign w:val="baseline"/>
                <w:lang w:val="en-US" w:eastAsia="zh-CN"/>
              </w:rPr>
              <w:t>7.5%，</w:t>
            </w:r>
          </w:p>
          <w:p>
            <w:pPr>
              <w:jc w:val="center"/>
              <w:rPr>
                <w:rFonts w:hint="default"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vertAlign w:val="baseline"/>
                <w:lang w:val="en-US" w:eastAsia="zh-CN"/>
              </w:rPr>
              <w:t>铁（Fe）质量分数</w:t>
            </w:r>
            <w:r>
              <w:rPr>
                <w:rFonts w:hint="default" w:ascii="Arial" w:hAnsi="Arial" w:eastAsia="微软雅黑" w:cs="Arial"/>
                <w:i w:val="0"/>
                <w:color w:val="000000"/>
                <w:sz w:val="20"/>
                <w:szCs w:val="20"/>
                <w:u w:val="none"/>
                <w:vertAlign w:val="baseline"/>
                <w:lang w:val="en-US" w:eastAsia="zh-CN"/>
              </w:rPr>
              <w:t>≤</w:t>
            </w:r>
            <w:r>
              <w:rPr>
                <w:rFonts w:hint="eastAsia" w:ascii="微软雅黑" w:hAnsi="微软雅黑" w:eastAsia="微软雅黑" w:cs="微软雅黑"/>
                <w:i w:val="0"/>
                <w:color w:val="000000"/>
                <w:sz w:val="20"/>
                <w:szCs w:val="20"/>
                <w:u w:val="none"/>
                <w:vertAlign w:val="baseline"/>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82</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themeColor="text1"/>
                <w:sz w:val="20"/>
                <w:szCs w:val="20"/>
                <w:u w:val="none"/>
                <w14:textFill>
                  <w14:solidFill>
                    <w14:schemeClr w14:val="tx1"/>
                  </w14:solidFill>
                </w14:textFill>
              </w:rPr>
            </w:pPr>
            <w:r>
              <w:rPr>
                <w:rFonts w:hint="eastAsia" w:ascii="微软雅黑" w:hAnsi="微软雅黑" w:eastAsia="微软雅黑" w:cs="微软雅黑"/>
                <w:i w:val="0"/>
                <w:color w:val="000000" w:themeColor="text1"/>
                <w:kern w:val="0"/>
                <w:sz w:val="20"/>
                <w:szCs w:val="20"/>
                <w:u w:val="none"/>
                <w:lang w:val="en-US" w:eastAsia="zh-CN" w:bidi="ar"/>
                <w14:textFill>
                  <w14:solidFill>
                    <w14:schemeClr w14:val="tx1"/>
                  </w14:solidFill>
                </w14:textFill>
              </w:rPr>
              <w:t>次氯酸钠（液体）</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吨</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i w:val="0"/>
                <w:color w:val="000000"/>
                <w:sz w:val="20"/>
                <w:szCs w:val="20"/>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i w:val="0"/>
                <w:color w:val="000000"/>
                <w:sz w:val="20"/>
                <w:szCs w:val="20"/>
                <w:u w:val="none"/>
                <w:lang w:val="en-US" w:eastAsia="zh-CN"/>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适用于水处理，</w:t>
            </w:r>
          </w:p>
          <w:p>
            <w:pPr>
              <w:jc w:val="center"/>
              <w:rPr>
                <w:rFonts w:hint="default"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lang w:val="en-US" w:eastAsia="zh-CN"/>
              </w:rPr>
              <w:t>有效氯（以CL计）</w:t>
            </w:r>
            <w:r>
              <w:rPr>
                <w:rFonts w:hint="default" w:ascii="Arial" w:hAnsi="Arial" w:eastAsia="微软雅黑" w:cs="Arial"/>
                <w:i w:val="0"/>
                <w:color w:val="000000"/>
                <w:sz w:val="20"/>
                <w:szCs w:val="20"/>
                <w:u w:val="none"/>
                <w:lang w:val="en-US" w:eastAsia="zh-CN"/>
              </w:rPr>
              <w:t>≥</w:t>
            </w:r>
            <w:r>
              <w:rPr>
                <w:rFonts w:hint="eastAsia" w:ascii="微软雅黑" w:hAnsi="微软雅黑" w:eastAsia="微软雅黑" w:cs="微软雅黑"/>
                <w:i w:val="0"/>
                <w:color w:val="000000"/>
                <w:sz w:val="20"/>
                <w:szCs w:val="20"/>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84</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themeColor="text1"/>
                <w:sz w:val="20"/>
                <w:szCs w:val="20"/>
                <w:u w:val="none"/>
                <w14:textFill>
                  <w14:solidFill>
                    <w14:schemeClr w14:val="tx1"/>
                  </w14:solidFill>
                </w14:textFill>
              </w:rPr>
            </w:pPr>
            <w:r>
              <w:rPr>
                <w:rFonts w:hint="eastAsia" w:ascii="微软雅黑" w:hAnsi="微软雅黑" w:eastAsia="微软雅黑" w:cs="微软雅黑"/>
                <w:i w:val="0"/>
                <w:color w:val="000000" w:themeColor="text1"/>
                <w:kern w:val="0"/>
                <w:sz w:val="20"/>
                <w:szCs w:val="20"/>
                <w:u w:val="none"/>
                <w:lang w:val="en-US" w:eastAsia="zh-CN" w:bidi="ar"/>
                <w14:textFill>
                  <w14:solidFill>
                    <w14:schemeClr w14:val="tx1"/>
                  </w14:solidFill>
                </w14:textFill>
              </w:rPr>
              <w:t>柠檬酸（固体）</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吨</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sz w:val="20"/>
                <w:szCs w:val="20"/>
                <w:u w:val="none"/>
              </w:rPr>
              <w:t>无水柠檬酸，含量要大于99%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85</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碳酸氢钠</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86</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硼氢化钾</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AR，5g/瓶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87</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硫脲</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88</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醋酸钠</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89</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磷酸三钠</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磷酸二氢钠</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磷酸二氢钾</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92</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无水碳酸钠</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93</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双氧水</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30%-31%，500ml/瓶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94</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高锰酸钾</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95</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次氯酸钠</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AR,6-14% 活性氯(过滤处理)，500ml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96</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过硫酸钾</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99.99% metals basis，500g/瓶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97</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酒石酸钠</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99%，500g/瓶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98</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苯酚</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≥99%，500g/瓶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99</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L-谷氨酸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99%，500g/瓶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硝酸银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AR，25g/瓶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丙酸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≥99% (GC)，500ml/瓶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102</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硫酸银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AR，25g/瓶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103</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硫酸铵</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104</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正己烷(色谱纯)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≥98.0%(GC)，500ml/瓶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105</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碘化汞</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AR，25g/瓶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106</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异丙醇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≥99%，500ml/瓶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107</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冰乙酸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AR，500ml/瓶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108</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硫酸铝</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109</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聚合氯化铝</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Al</w:t>
            </w:r>
            <w:r>
              <w:rPr>
                <w:rStyle w:val="47"/>
                <w:lang w:val="en-US" w:eastAsia="zh-CN" w:bidi="ar"/>
              </w:rPr>
              <w:t>2</w:t>
            </w:r>
            <w:r>
              <w:rPr>
                <w:rStyle w:val="48"/>
                <w:lang w:val="en-US" w:eastAsia="zh-CN" w:bidi="ar"/>
              </w:rPr>
              <w:t>O</w:t>
            </w:r>
            <w:r>
              <w:rPr>
                <w:rStyle w:val="47"/>
                <w:lang w:val="en-US" w:eastAsia="zh-CN" w:bidi="ar"/>
              </w:rPr>
              <w:t>3</w:t>
            </w:r>
            <w:r>
              <w:rPr>
                <w:rStyle w:val="48"/>
                <w:lang w:val="en-US" w:eastAsia="zh-CN" w:bidi="ar"/>
              </w:rPr>
              <w:t>≥28%，100g/瓶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硫酸锰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111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氯化钙</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ind w:firstLine="0"/>
              <w:rPr>
                <w:rFonts w:hint="eastAsia"/>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AR，500g/瓶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884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ind w:firstLine="0"/>
              <w:jc w:val="center"/>
              <w:rPr>
                <w:rFonts w:hint="eastAsia"/>
              </w:rPr>
            </w:pPr>
            <w:r>
              <w:rPr>
                <w:rFonts w:hint="eastAsia" w:ascii="微软雅黑" w:hAnsi="微软雅黑" w:eastAsia="微软雅黑" w:cs="微软雅黑"/>
                <w:i w:val="0"/>
                <w:color w:val="000000"/>
                <w:sz w:val="20"/>
                <w:szCs w:val="20"/>
                <w:u w:val="none"/>
                <w:lang w:val="en-US" w:eastAsia="zh-CN"/>
              </w:rPr>
              <w:t>合计（含税   %）</w:t>
            </w:r>
          </w:p>
        </w:tc>
      </w:tr>
    </w:tbl>
    <w:p>
      <w:pPr>
        <w:numPr>
          <w:ilvl w:val="-1"/>
          <w:numId w:val="0"/>
        </w:numPr>
        <w:jc w:val="both"/>
        <w:rPr>
          <w:rFonts w:hint="eastAsia"/>
          <w:lang w:eastAsia="zh-CN"/>
        </w:rPr>
      </w:pPr>
    </w:p>
    <w:p>
      <w:pPr>
        <w:numPr>
          <w:ilvl w:val="-1"/>
          <w:numId w:val="0"/>
        </w:numPr>
        <w:jc w:val="both"/>
        <w:rPr>
          <w:rFonts w:hint="eastAsia"/>
          <w:lang w:eastAsia="zh-CN"/>
        </w:rPr>
      </w:pPr>
    </w:p>
    <w:p>
      <w:pPr>
        <w:pStyle w:val="2"/>
        <w:numPr>
          <w:ilvl w:val="0"/>
          <w:numId w:val="0"/>
        </w:numPr>
        <w:ind w:leftChars="0"/>
        <w:rPr>
          <w:rFonts w:hint="eastAsia" w:ascii="仿宋_GB2312" w:eastAsia="仿宋_GB2312"/>
          <w:color w:val="auto"/>
          <w:sz w:val="28"/>
          <w:szCs w:val="28"/>
          <w:highlight w:val="none"/>
          <w:u w:val="none"/>
          <w:lang w:val="en-US" w:eastAsia="zh-CN"/>
        </w:rPr>
      </w:pPr>
      <w:bookmarkStart w:id="107" w:name="_Toc6058"/>
      <w:bookmarkStart w:id="108" w:name="_Toc88209965"/>
      <w:bookmarkStart w:id="109" w:name="_Toc87616402"/>
      <w:bookmarkStart w:id="110" w:name="_Toc16386"/>
    </w:p>
    <w:p>
      <w:pPr>
        <w:pStyle w:val="2"/>
        <w:numPr>
          <w:ilvl w:val="0"/>
          <w:numId w:val="0"/>
        </w:numPr>
        <w:ind w:leftChars="0"/>
        <w:rPr>
          <w:rFonts w:hint="default"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6.承诺函</w:t>
      </w:r>
    </w:p>
    <w:bookmarkEnd w:id="107"/>
    <w:bookmarkEnd w:id="108"/>
    <w:bookmarkEnd w:id="109"/>
    <w:bookmarkEnd w:id="110"/>
    <w:p>
      <w:pPr>
        <w:ind w:firstLine="560" w:firstLineChars="200"/>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lang w:val="en-US" w:eastAsia="zh-CN"/>
        </w:rPr>
        <w:t>我公司承诺</w:t>
      </w:r>
      <w:r>
        <w:rPr>
          <w:rFonts w:hint="eastAsia" w:ascii="仿宋_GB2312" w:eastAsia="仿宋_GB2312"/>
          <w:color w:val="auto"/>
          <w:sz w:val="28"/>
          <w:szCs w:val="28"/>
          <w:highlight w:val="none"/>
          <w:u w:val="none"/>
        </w:rPr>
        <w:t>所提供报价</w:t>
      </w:r>
      <w:r>
        <w:rPr>
          <w:rFonts w:hint="eastAsia" w:ascii="仿宋_GB2312" w:eastAsia="仿宋_GB2312"/>
          <w:color w:val="auto"/>
          <w:sz w:val="28"/>
          <w:szCs w:val="28"/>
          <w:highlight w:val="none"/>
          <w:u w:val="none"/>
          <w:lang w:val="en-US" w:eastAsia="zh-CN"/>
        </w:rPr>
        <w:t>货物</w:t>
      </w:r>
      <w:r>
        <w:rPr>
          <w:rFonts w:hint="eastAsia" w:ascii="仿宋_GB2312" w:eastAsia="仿宋_GB2312"/>
          <w:color w:val="auto"/>
          <w:sz w:val="28"/>
          <w:szCs w:val="28"/>
          <w:highlight w:val="none"/>
          <w:u w:val="none"/>
        </w:rPr>
        <w:t>均为制造商全新原装产品，中选后所提供的货物</w:t>
      </w:r>
      <w:r>
        <w:rPr>
          <w:rFonts w:hint="eastAsia" w:ascii="仿宋_GB2312" w:eastAsia="仿宋_GB2312"/>
          <w:color w:val="auto"/>
          <w:sz w:val="28"/>
          <w:szCs w:val="28"/>
          <w:highlight w:val="none"/>
          <w:u w:val="none"/>
          <w:lang w:val="en-US" w:eastAsia="zh-CN"/>
        </w:rPr>
        <w:t>是</w:t>
      </w:r>
      <w:r>
        <w:rPr>
          <w:rFonts w:hint="eastAsia" w:ascii="仿宋_GB2312" w:eastAsia="仿宋_GB2312"/>
          <w:color w:val="auto"/>
          <w:sz w:val="28"/>
          <w:szCs w:val="28"/>
          <w:highlight w:val="none"/>
          <w:u w:val="none"/>
        </w:rPr>
        <w:t>合格产品，并能</w:t>
      </w:r>
      <w:r>
        <w:rPr>
          <w:rFonts w:hint="eastAsia" w:ascii="仿宋_GB2312" w:eastAsia="仿宋_GB2312"/>
          <w:color w:val="auto"/>
          <w:sz w:val="28"/>
          <w:szCs w:val="28"/>
          <w:highlight w:val="none"/>
          <w:u w:val="none"/>
          <w:lang w:val="en-US" w:eastAsia="zh-CN"/>
        </w:rPr>
        <w:t>满足甲方中试试验要求</w:t>
      </w:r>
      <w:r>
        <w:rPr>
          <w:rFonts w:hint="eastAsia" w:ascii="仿宋_GB2312" w:eastAsia="仿宋_GB2312"/>
          <w:color w:val="auto"/>
          <w:sz w:val="28"/>
          <w:szCs w:val="28"/>
          <w:highlight w:val="none"/>
          <w:u w:val="none"/>
        </w:rPr>
        <w:t>且能让</w:t>
      </w:r>
      <w:r>
        <w:rPr>
          <w:rFonts w:hint="eastAsia" w:ascii="仿宋_GB2312" w:eastAsia="仿宋_GB2312"/>
          <w:color w:val="auto"/>
          <w:sz w:val="28"/>
          <w:szCs w:val="28"/>
          <w:highlight w:val="none"/>
          <w:u w:val="none"/>
          <w:lang w:val="en-US" w:eastAsia="zh-CN"/>
        </w:rPr>
        <w:t>中试</w:t>
      </w:r>
      <w:r>
        <w:rPr>
          <w:rFonts w:hint="eastAsia" w:ascii="仿宋_GB2312" w:eastAsia="仿宋_GB2312"/>
          <w:color w:val="auto"/>
          <w:sz w:val="28"/>
          <w:szCs w:val="28"/>
          <w:highlight w:val="none"/>
          <w:u w:val="none"/>
        </w:rPr>
        <w:t>设备正常运行</w:t>
      </w:r>
      <w:r>
        <w:rPr>
          <w:rFonts w:hint="eastAsia" w:ascii="仿宋_GB2312" w:eastAsia="仿宋_GB2312"/>
          <w:color w:val="auto"/>
          <w:sz w:val="28"/>
          <w:szCs w:val="28"/>
          <w:highlight w:val="none"/>
          <w:u w:val="none"/>
          <w:lang w:eastAsia="zh-CN"/>
        </w:rPr>
        <w:t>。</w:t>
      </w:r>
    </w:p>
    <w:p>
      <w:pPr>
        <w:pStyle w:val="2"/>
        <w:rPr>
          <w:rFonts w:hint="eastAsia" w:ascii="仿宋_GB2312" w:eastAsia="仿宋_GB2312"/>
          <w:color w:val="auto"/>
          <w:sz w:val="28"/>
          <w:szCs w:val="28"/>
          <w:highlight w:val="none"/>
          <w:u w:val="none"/>
          <w:lang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仿宋_GB2312" w:eastAsia="仿宋_GB2312"/>
          <w:color w:val="auto"/>
          <w:sz w:val="28"/>
          <w:szCs w:val="28"/>
          <w:highlight w:val="none"/>
          <w:u w:val="none"/>
          <w:lang w:val="en-US" w:eastAsia="zh-CN"/>
        </w:rPr>
        <w:t xml:space="preserve">                                           </w:t>
      </w: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left="0" w:leftChars="0" w:firstLine="0" w:firstLineChars="0"/>
        <w:rPr>
          <w:rFonts w:hint="eastAsia" w:ascii="仿宋_GB2312" w:eastAsia="仿宋_GB2312"/>
          <w:color w:val="auto"/>
          <w:sz w:val="28"/>
          <w:szCs w:val="28"/>
          <w:highlight w:val="none"/>
          <w:u w:val="none"/>
          <w:lang w:val="en-US" w:eastAsia="zh-CN"/>
        </w:rPr>
      </w:pPr>
    </w:p>
    <w:p>
      <w:pPr>
        <w:pStyle w:val="2"/>
        <w:ind w:left="0" w:leftChars="0" w:firstLine="0" w:firstLineChars="0"/>
        <w:rPr>
          <w:rFonts w:hint="eastAsia" w:ascii="仿宋_GB2312" w:eastAsia="仿宋_GB2312"/>
          <w:color w:val="auto"/>
          <w:sz w:val="28"/>
          <w:szCs w:val="28"/>
          <w:highlight w:val="none"/>
          <w:u w:val="none"/>
          <w:lang w:val="en-US" w:eastAsia="zh-CN"/>
        </w:rPr>
      </w:pPr>
    </w:p>
    <w:p>
      <w:pPr>
        <w:pStyle w:val="2"/>
        <w:numPr>
          <w:ilvl w:val="0"/>
          <w:numId w:val="0"/>
        </w:numPr>
        <w:ind w:leftChars="0"/>
        <w:rPr>
          <w:rFonts w:hint="eastAsia" w:ascii="仿宋_GB2312" w:eastAsia="仿宋_GB2312"/>
          <w:color w:val="auto"/>
          <w:sz w:val="28"/>
          <w:szCs w:val="28"/>
          <w:highlight w:val="none"/>
          <w:u w:val="none"/>
          <w:lang w:val="en-US" w:eastAsia="zh-CN"/>
        </w:rPr>
      </w:pPr>
    </w:p>
    <w:p>
      <w:pPr>
        <w:pStyle w:val="2"/>
        <w:numPr>
          <w:ilvl w:val="0"/>
          <w:numId w:val="0"/>
        </w:numPr>
        <w:ind w:leftChars="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7.其他资料</w:t>
      </w:r>
    </w:p>
    <w:p>
      <w:pPr>
        <w:pStyle w:val="2"/>
        <w:numPr>
          <w:ilvl w:val="0"/>
          <w:numId w:val="0"/>
        </w:numPr>
        <w:ind w:leftChars="0" w:firstLine="560" w:firstLineChars="200"/>
        <w:rPr>
          <w:rFonts w:hint="default" w:ascii="仿宋_GB2312" w:eastAsia="仿宋_GB2312"/>
          <w:color w:val="auto"/>
          <w:sz w:val="28"/>
          <w:szCs w:val="28"/>
          <w:highlight w:val="none"/>
          <w:u w:val="none"/>
          <w:lang w:val="en-US" w:eastAsia="zh-CN"/>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14935" cy="302260"/>
              <wp:effectExtent l="0" t="0" r="0" b="0"/>
              <wp:wrapNone/>
              <wp:docPr id="2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a:effectLst/>
                    </wps:spPr>
                    <wps:txbx>
                      <w:txbxContent>
                        <w:p>
                          <w:pPr>
                            <w:pStyle w:val="16"/>
                          </w:pPr>
                        </w:p>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23.8pt;width:9.05pt;mso-position-horizontal:center;mso-position-horizontal-relative:margin;mso-wrap-style:none;z-index:251674624;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7G5YnRAAAAAwEAAA8AAAAAAAAAAQAgAAAAIgAAAGRycy9kb3ducmV2Lnht&#10;bFBLAQIUABQAAAAIAIdO4kAbJgDWAAIAABAEAAAOAAAAAAAAAAEAIAAAACABAABkcnMvZTJvRG9j&#10;LnhtbFBLBQYAAAAABgAGAFkBAACS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58420" cy="139700"/>
              <wp:effectExtent l="0" t="0" r="0" b="0"/>
              <wp:wrapNone/>
              <wp:docPr id="7" name="Text Box 3"/>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4.6pt;mso-position-horizontal:center;mso-position-horizontal-relative:margin;mso-wrap-style:none;z-index:25168076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tbuXfQAAAAAgEAAA8AAAAAAAAAAQAgAAAAIgAAAGRycy9kb3ducmV2LnhtbFBL&#10;AQIUABQAAAAIAIdO4kBmt8Pu/gEAAA4EAAAOAAAAAAAAAAEAIAAAAB8BAABkcnMvZTJvRG9jLnht&#10;bFBLBQYAAAAABgAGAFkBAACP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14935" cy="302260"/>
              <wp:effectExtent l="0" t="0" r="0" b="0"/>
              <wp:wrapNone/>
              <wp:docPr id="8"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a:effectLst/>
                    </wps:spPr>
                    <wps:txbx>
                      <w:txbxContent>
                        <w:p>
                          <w:pPr>
                            <w:pStyle w:val="16"/>
                          </w:pPr>
                        </w:p>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23.8pt;width:9.05pt;mso-position-horizontal:center;mso-position-horizontal-relative:margin;mso-wrap-style:none;z-index:251679744;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sblidEAAAADAQAADwAAAAAAAAABACAAAAAiAAAAZHJzL2Rvd25yZXYueG1s&#10;UEsBAhQAFAAAAAgAh07iQBlvxHD/AQAADwQAAA4AAAAAAAAAAQAgAAAAIAEAAGRycy9lMm9Eb2Mu&#10;eG1sUEsFBgAAAAAGAAYAWQEAAJE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58420" cy="139700"/>
              <wp:effectExtent l="0" t="0" r="0" b="0"/>
              <wp:wrapNone/>
              <wp:docPr id="22"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8179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tbuXfQAAAAAgEAAA8AAAAAAAAAAQAgAAAAIgAAAGRycy9kb3ducmV2LnhtbFBL&#10;AQIUABQAAAAIAIdO4kBQXxYK/gEAAA8EAAAOAAAAAAAAAAEAIAAAAB8BAABkcnMvZTJvRG9jLnht&#10;bFBLBQYAAAAABgAGAFkBAACP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Wtvs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ha2+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CqOxs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Ko7G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wR1fsk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UuUxHGLEz9//3b+8ev88yt5&#10;nfXpA9SY9hgwMQ1v/YBbM/sBnZn2oKLNXyREMI5Qp4u6ckhE5Eer5WpVYUhgbL4gPnt6HiKkB+kt&#10;yUZDI46vqMqP7yGNqXNKrub8vTamjNC4vxyImT0s9z72mK007IaJ0M63J+TT4+Qb6nDRKTHvHAqL&#10;/aXZiLOxm41DiHrflS3K9SC8OSRsovSWK4ywU2EcWWE3rVfeiT/vJevpl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BHV+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DA766F0"/>
    <w:multiLevelType w:val="multilevel"/>
    <w:tmpl w:val="0DA766F0"/>
    <w:lvl w:ilvl="0" w:tentative="0">
      <w:start w:val="1"/>
      <w:numFmt w:val="decimal"/>
      <w:lvlText w:val="%1."/>
      <w:lvlJc w:val="left"/>
      <w:pPr>
        <w:ind w:left="15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7A7A63"/>
    <w:multiLevelType w:val="singleLevel"/>
    <w:tmpl w:val="3A7A7A63"/>
    <w:lvl w:ilvl="0" w:tentative="0">
      <w:start w:val="2"/>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49B9FA0"/>
    <w:multiLevelType w:val="singleLevel"/>
    <w:tmpl w:val="549B9FA0"/>
    <w:lvl w:ilvl="0" w:tentative="0">
      <w:start w:val="5"/>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2"/>
  <w:bordersDoNotSurroundHeader w:val="0"/>
  <w:bordersDoNotSurroundFooter w:val="0"/>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172A27"/>
    <w:rsid w:val="001D10AB"/>
    <w:rsid w:val="003D60BA"/>
    <w:rsid w:val="00411689"/>
    <w:rsid w:val="005D618A"/>
    <w:rsid w:val="00775C4F"/>
    <w:rsid w:val="00911ECD"/>
    <w:rsid w:val="00A042E0"/>
    <w:rsid w:val="00B26BB1"/>
    <w:rsid w:val="00B26E21"/>
    <w:rsid w:val="00B741D7"/>
    <w:rsid w:val="00C10FDD"/>
    <w:rsid w:val="00D4533C"/>
    <w:rsid w:val="00F4718E"/>
    <w:rsid w:val="00F83B64"/>
    <w:rsid w:val="013E3461"/>
    <w:rsid w:val="01A2624D"/>
    <w:rsid w:val="01BB0F13"/>
    <w:rsid w:val="01E1453F"/>
    <w:rsid w:val="01F80A87"/>
    <w:rsid w:val="02090C75"/>
    <w:rsid w:val="02A23A3C"/>
    <w:rsid w:val="02FB196F"/>
    <w:rsid w:val="03220D71"/>
    <w:rsid w:val="035D130A"/>
    <w:rsid w:val="039110A9"/>
    <w:rsid w:val="03AC246A"/>
    <w:rsid w:val="03AE6061"/>
    <w:rsid w:val="03B23056"/>
    <w:rsid w:val="03DA023E"/>
    <w:rsid w:val="03DC3EBA"/>
    <w:rsid w:val="03F9794D"/>
    <w:rsid w:val="046A2461"/>
    <w:rsid w:val="051C2970"/>
    <w:rsid w:val="05216546"/>
    <w:rsid w:val="060C3611"/>
    <w:rsid w:val="0633762F"/>
    <w:rsid w:val="06636E50"/>
    <w:rsid w:val="066E3C86"/>
    <w:rsid w:val="06932DB8"/>
    <w:rsid w:val="06C64829"/>
    <w:rsid w:val="06EA1603"/>
    <w:rsid w:val="070E7B6E"/>
    <w:rsid w:val="071D62B7"/>
    <w:rsid w:val="07654097"/>
    <w:rsid w:val="0779155C"/>
    <w:rsid w:val="077D16D2"/>
    <w:rsid w:val="07831D4A"/>
    <w:rsid w:val="082A69F3"/>
    <w:rsid w:val="08675FC8"/>
    <w:rsid w:val="08B466A8"/>
    <w:rsid w:val="09866808"/>
    <w:rsid w:val="09B713FD"/>
    <w:rsid w:val="09D64A27"/>
    <w:rsid w:val="09EF6ACC"/>
    <w:rsid w:val="0A315056"/>
    <w:rsid w:val="0A3E3B7B"/>
    <w:rsid w:val="0A694621"/>
    <w:rsid w:val="0A6E7BBD"/>
    <w:rsid w:val="0AA213B4"/>
    <w:rsid w:val="0AF61C7E"/>
    <w:rsid w:val="0AFB45AD"/>
    <w:rsid w:val="0B2244EF"/>
    <w:rsid w:val="0B351E9B"/>
    <w:rsid w:val="0B4C50D3"/>
    <w:rsid w:val="0B806B92"/>
    <w:rsid w:val="0B827E94"/>
    <w:rsid w:val="0B842F76"/>
    <w:rsid w:val="0BAB0616"/>
    <w:rsid w:val="0BD070E1"/>
    <w:rsid w:val="0BD65B6B"/>
    <w:rsid w:val="0C1E1DDF"/>
    <w:rsid w:val="0C2361E7"/>
    <w:rsid w:val="0C247926"/>
    <w:rsid w:val="0C38736A"/>
    <w:rsid w:val="0CAE077E"/>
    <w:rsid w:val="0D794204"/>
    <w:rsid w:val="0DB22A89"/>
    <w:rsid w:val="0DE84808"/>
    <w:rsid w:val="0E2125D1"/>
    <w:rsid w:val="0E214211"/>
    <w:rsid w:val="0E5F2769"/>
    <w:rsid w:val="0ED8332F"/>
    <w:rsid w:val="0F4D75A3"/>
    <w:rsid w:val="0F5B2DCA"/>
    <w:rsid w:val="0F714D08"/>
    <w:rsid w:val="0FA20605"/>
    <w:rsid w:val="0FBD460F"/>
    <w:rsid w:val="0FED051E"/>
    <w:rsid w:val="0FEE4C29"/>
    <w:rsid w:val="0FFD33F6"/>
    <w:rsid w:val="10031608"/>
    <w:rsid w:val="10046082"/>
    <w:rsid w:val="10266EB0"/>
    <w:rsid w:val="104974DD"/>
    <w:rsid w:val="111703D2"/>
    <w:rsid w:val="112B101A"/>
    <w:rsid w:val="119B53FC"/>
    <w:rsid w:val="120E47BF"/>
    <w:rsid w:val="1215733B"/>
    <w:rsid w:val="12424CDC"/>
    <w:rsid w:val="127C2CA2"/>
    <w:rsid w:val="129A2738"/>
    <w:rsid w:val="12B56BF1"/>
    <w:rsid w:val="12CB1A89"/>
    <w:rsid w:val="13090350"/>
    <w:rsid w:val="131840FB"/>
    <w:rsid w:val="133A2D1F"/>
    <w:rsid w:val="13467417"/>
    <w:rsid w:val="136E76CF"/>
    <w:rsid w:val="145F08C6"/>
    <w:rsid w:val="14BF1116"/>
    <w:rsid w:val="14E43F59"/>
    <w:rsid w:val="154A0874"/>
    <w:rsid w:val="15776308"/>
    <w:rsid w:val="15807869"/>
    <w:rsid w:val="15A826F1"/>
    <w:rsid w:val="15BC6B3C"/>
    <w:rsid w:val="15EC2C59"/>
    <w:rsid w:val="16360A7B"/>
    <w:rsid w:val="163E0EF7"/>
    <w:rsid w:val="164D40B0"/>
    <w:rsid w:val="164E16AB"/>
    <w:rsid w:val="1694429A"/>
    <w:rsid w:val="17635326"/>
    <w:rsid w:val="17A0779F"/>
    <w:rsid w:val="17B606B5"/>
    <w:rsid w:val="17B803EA"/>
    <w:rsid w:val="1815096B"/>
    <w:rsid w:val="18236EFD"/>
    <w:rsid w:val="18377249"/>
    <w:rsid w:val="185D743E"/>
    <w:rsid w:val="189D5B1F"/>
    <w:rsid w:val="18A34CD0"/>
    <w:rsid w:val="191C5AE8"/>
    <w:rsid w:val="19A53EA8"/>
    <w:rsid w:val="19B64DBC"/>
    <w:rsid w:val="19EC6A4A"/>
    <w:rsid w:val="1A175FA0"/>
    <w:rsid w:val="1A373ACF"/>
    <w:rsid w:val="1A7B10BA"/>
    <w:rsid w:val="1A895341"/>
    <w:rsid w:val="1A935E91"/>
    <w:rsid w:val="1B0D071F"/>
    <w:rsid w:val="1B0D6EF9"/>
    <w:rsid w:val="1B4568CE"/>
    <w:rsid w:val="1B9015B7"/>
    <w:rsid w:val="1B950DA6"/>
    <w:rsid w:val="1BF54245"/>
    <w:rsid w:val="1BF54CFB"/>
    <w:rsid w:val="1D0E6976"/>
    <w:rsid w:val="1D5A79EE"/>
    <w:rsid w:val="1DE72E6D"/>
    <w:rsid w:val="1DEC6F1E"/>
    <w:rsid w:val="1E0E2CD0"/>
    <w:rsid w:val="1E701340"/>
    <w:rsid w:val="1E831280"/>
    <w:rsid w:val="1EA12BB3"/>
    <w:rsid w:val="1EBC4704"/>
    <w:rsid w:val="1EE17572"/>
    <w:rsid w:val="1EE522C8"/>
    <w:rsid w:val="1F172EB5"/>
    <w:rsid w:val="1F22070B"/>
    <w:rsid w:val="1F94592D"/>
    <w:rsid w:val="1FB273B5"/>
    <w:rsid w:val="1FB860DE"/>
    <w:rsid w:val="2003181D"/>
    <w:rsid w:val="201E643D"/>
    <w:rsid w:val="203C5A02"/>
    <w:rsid w:val="209D4C94"/>
    <w:rsid w:val="20B44FCD"/>
    <w:rsid w:val="20E84705"/>
    <w:rsid w:val="20EE157B"/>
    <w:rsid w:val="218400BA"/>
    <w:rsid w:val="21AB1E2F"/>
    <w:rsid w:val="21D40498"/>
    <w:rsid w:val="22493963"/>
    <w:rsid w:val="224C557D"/>
    <w:rsid w:val="226B4196"/>
    <w:rsid w:val="22767047"/>
    <w:rsid w:val="228719F6"/>
    <w:rsid w:val="23A05588"/>
    <w:rsid w:val="23CA19F9"/>
    <w:rsid w:val="240476A1"/>
    <w:rsid w:val="24643919"/>
    <w:rsid w:val="24E953B9"/>
    <w:rsid w:val="25431AEB"/>
    <w:rsid w:val="25B875EB"/>
    <w:rsid w:val="25BE3BFB"/>
    <w:rsid w:val="25BF43FD"/>
    <w:rsid w:val="25DA2170"/>
    <w:rsid w:val="25F86BCD"/>
    <w:rsid w:val="2605748B"/>
    <w:rsid w:val="26396D26"/>
    <w:rsid w:val="264544A6"/>
    <w:rsid w:val="267702FB"/>
    <w:rsid w:val="267703B4"/>
    <w:rsid w:val="269E416A"/>
    <w:rsid w:val="26C11C6B"/>
    <w:rsid w:val="26EF1C33"/>
    <w:rsid w:val="272100D3"/>
    <w:rsid w:val="272C72FC"/>
    <w:rsid w:val="27482A70"/>
    <w:rsid w:val="275067C9"/>
    <w:rsid w:val="275131CB"/>
    <w:rsid w:val="278F6521"/>
    <w:rsid w:val="279E1B51"/>
    <w:rsid w:val="279F4CF3"/>
    <w:rsid w:val="27EB149D"/>
    <w:rsid w:val="27FD3E52"/>
    <w:rsid w:val="283848E3"/>
    <w:rsid w:val="28E11370"/>
    <w:rsid w:val="2923234A"/>
    <w:rsid w:val="294A756A"/>
    <w:rsid w:val="29781BF8"/>
    <w:rsid w:val="297939E2"/>
    <w:rsid w:val="29AF70D7"/>
    <w:rsid w:val="29C33ED0"/>
    <w:rsid w:val="29CA3554"/>
    <w:rsid w:val="29D5322D"/>
    <w:rsid w:val="29DC2838"/>
    <w:rsid w:val="2A025DD9"/>
    <w:rsid w:val="2A2619CB"/>
    <w:rsid w:val="2A7317D3"/>
    <w:rsid w:val="2A7C2231"/>
    <w:rsid w:val="2A920E4F"/>
    <w:rsid w:val="2ABB753D"/>
    <w:rsid w:val="2AFE6EC4"/>
    <w:rsid w:val="2B2E2BE9"/>
    <w:rsid w:val="2B345DDC"/>
    <w:rsid w:val="2B7A49FA"/>
    <w:rsid w:val="2B9F7F04"/>
    <w:rsid w:val="2BE27E04"/>
    <w:rsid w:val="2C615D26"/>
    <w:rsid w:val="2CB679ED"/>
    <w:rsid w:val="2CE83C37"/>
    <w:rsid w:val="2CEB2FFC"/>
    <w:rsid w:val="2D173C07"/>
    <w:rsid w:val="2D424A86"/>
    <w:rsid w:val="2DDA66B7"/>
    <w:rsid w:val="2E6F2D11"/>
    <w:rsid w:val="2E7B52DB"/>
    <w:rsid w:val="2E9C10F9"/>
    <w:rsid w:val="2ED60115"/>
    <w:rsid w:val="2F324CFE"/>
    <w:rsid w:val="2F8C1124"/>
    <w:rsid w:val="2FBA09F1"/>
    <w:rsid w:val="2FEF2ACF"/>
    <w:rsid w:val="2FF93D20"/>
    <w:rsid w:val="30540211"/>
    <w:rsid w:val="30E45100"/>
    <w:rsid w:val="31112A0D"/>
    <w:rsid w:val="3118711F"/>
    <w:rsid w:val="311F4B20"/>
    <w:rsid w:val="312D7741"/>
    <w:rsid w:val="316F137F"/>
    <w:rsid w:val="31815AF3"/>
    <w:rsid w:val="318E3269"/>
    <w:rsid w:val="31D93D3D"/>
    <w:rsid w:val="31DF525F"/>
    <w:rsid w:val="31EC162B"/>
    <w:rsid w:val="31FC284E"/>
    <w:rsid w:val="3209722F"/>
    <w:rsid w:val="32324C2E"/>
    <w:rsid w:val="327171DF"/>
    <w:rsid w:val="333823B8"/>
    <w:rsid w:val="33466288"/>
    <w:rsid w:val="3391569E"/>
    <w:rsid w:val="339A054B"/>
    <w:rsid w:val="34040C62"/>
    <w:rsid w:val="341E3434"/>
    <w:rsid w:val="348B32F7"/>
    <w:rsid w:val="34BB4442"/>
    <w:rsid w:val="35107004"/>
    <w:rsid w:val="3584136B"/>
    <w:rsid w:val="35D07049"/>
    <w:rsid w:val="35FF5AA4"/>
    <w:rsid w:val="360B7EBA"/>
    <w:rsid w:val="36416867"/>
    <w:rsid w:val="367D5DD4"/>
    <w:rsid w:val="369C32FD"/>
    <w:rsid w:val="37666E72"/>
    <w:rsid w:val="38081EA3"/>
    <w:rsid w:val="38167A04"/>
    <w:rsid w:val="381C3783"/>
    <w:rsid w:val="382F3108"/>
    <w:rsid w:val="394B167A"/>
    <w:rsid w:val="39720B80"/>
    <w:rsid w:val="39803439"/>
    <w:rsid w:val="39AD34EA"/>
    <w:rsid w:val="39DA2868"/>
    <w:rsid w:val="39DF6BF2"/>
    <w:rsid w:val="3A055F4B"/>
    <w:rsid w:val="3A4E4336"/>
    <w:rsid w:val="3A6007FE"/>
    <w:rsid w:val="3A802587"/>
    <w:rsid w:val="3A852164"/>
    <w:rsid w:val="3ADB3EDC"/>
    <w:rsid w:val="3AF93D6C"/>
    <w:rsid w:val="3AFD06C8"/>
    <w:rsid w:val="3B2C0E8E"/>
    <w:rsid w:val="3B477B26"/>
    <w:rsid w:val="3B7C2CE4"/>
    <w:rsid w:val="3BAF716B"/>
    <w:rsid w:val="3C0B5355"/>
    <w:rsid w:val="3CD34AC0"/>
    <w:rsid w:val="3CD4176B"/>
    <w:rsid w:val="3D1F44D9"/>
    <w:rsid w:val="3D2A310C"/>
    <w:rsid w:val="3D5C38CD"/>
    <w:rsid w:val="3E5070F1"/>
    <w:rsid w:val="3E7569E0"/>
    <w:rsid w:val="3EC370CB"/>
    <w:rsid w:val="3EE37A6A"/>
    <w:rsid w:val="3F637D92"/>
    <w:rsid w:val="3F6C3589"/>
    <w:rsid w:val="3F850180"/>
    <w:rsid w:val="3F9004D6"/>
    <w:rsid w:val="3FEE7CFA"/>
    <w:rsid w:val="400E4D5E"/>
    <w:rsid w:val="40767B9E"/>
    <w:rsid w:val="40E1138C"/>
    <w:rsid w:val="413814BA"/>
    <w:rsid w:val="41872511"/>
    <w:rsid w:val="41A133F9"/>
    <w:rsid w:val="41DF1251"/>
    <w:rsid w:val="41F96883"/>
    <w:rsid w:val="424236D9"/>
    <w:rsid w:val="42466655"/>
    <w:rsid w:val="42911A5E"/>
    <w:rsid w:val="42C82F57"/>
    <w:rsid w:val="42FA77AB"/>
    <w:rsid w:val="435707E5"/>
    <w:rsid w:val="439927E1"/>
    <w:rsid w:val="43C76AF7"/>
    <w:rsid w:val="43E97E4A"/>
    <w:rsid w:val="440D65DA"/>
    <w:rsid w:val="44476D65"/>
    <w:rsid w:val="446828F0"/>
    <w:rsid w:val="447D5664"/>
    <w:rsid w:val="45093E85"/>
    <w:rsid w:val="450B3BFA"/>
    <w:rsid w:val="453E2C8D"/>
    <w:rsid w:val="45C13B4D"/>
    <w:rsid w:val="46054BCA"/>
    <w:rsid w:val="464C6AFC"/>
    <w:rsid w:val="468B0091"/>
    <w:rsid w:val="46A107C3"/>
    <w:rsid w:val="46B15CE2"/>
    <w:rsid w:val="46BE113D"/>
    <w:rsid w:val="46E44B13"/>
    <w:rsid w:val="4703508A"/>
    <w:rsid w:val="475023F8"/>
    <w:rsid w:val="475A4861"/>
    <w:rsid w:val="479A1E7B"/>
    <w:rsid w:val="479D361E"/>
    <w:rsid w:val="47A04ACD"/>
    <w:rsid w:val="47B74789"/>
    <w:rsid w:val="48032A55"/>
    <w:rsid w:val="480F2B9D"/>
    <w:rsid w:val="48102176"/>
    <w:rsid w:val="48282920"/>
    <w:rsid w:val="483E1347"/>
    <w:rsid w:val="485321E0"/>
    <w:rsid w:val="48546AD3"/>
    <w:rsid w:val="48CA4868"/>
    <w:rsid w:val="48F005D3"/>
    <w:rsid w:val="492A5C87"/>
    <w:rsid w:val="49466522"/>
    <w:rsid w:val="49547ADD"/>
    <w:rsid w:val="49732351"/>
    <w:rsid w:val="498F4AF1"/>
    <w:rsid w:val="49C05787"/>
    <w:rsid w:val="49CF518D"/>
    <w:rsid w:val="49D56585"/>
    <w:rsid w:val="4A1A11E9"/>
    <w:rsid w:val="4A4F1D02"/>
    <w:rsid w:val="4A5F55D8"/>
    <w:rsid w:val="4A7F3979"/>
    <w:rsid w:val="4ADA1F63"/>
    <w:rsid w:val="4AE23D89"/>
    <w:rsid w:val="4B024ED9"/>
    <w:rsid w:val="4B2038D0"/>
    <w:rsid w:val="4B296E7D"/>
    <w:rsid w:val="4B79394E"/>
    <w:rsid w:val="4B877F28"/>
    <w:rsid w:val="4C7D3F42"/>
    <w:rsid w:val="4CD200BA"/>
    <w:rsid w:val="4D2044E7"/>
    <w:rsid w:val="4D916BA6"/>
    <w:rsid w:val="4DC44169"/>
    <w:rsid w:val="4DE24E21"/>
    <w:rsid w:val="4E1B19A3"/>
    <w:rsid w:val="4E3C7F9E"/>
    <w:rsid w:val="4E48787F"/>
    <w:rsid w:val="4E6E6C78"/>
    <w:rsid w:val="4EF0709E"/>
    <w:rsid w:val="4F0469A4"/>
    <w:rsid w:val="500E56F4"/>
    <w:rsid w:val="5045293F"/>
    <w:rsid w:val="50540C73"/>
    <w:rsid w:val="505428F9"/>
    <w:rsid w:val="50752AF8"/>
    <w:rsid w:val="507B08D6"/>
    <w:rsid w:val="50E854B9"/>
    <w:rsid w:val="513C6A7B"/>
    <w:rsid w:val="517300C9"/>
    <w:rsid w:val="52EC6EC2"/>
    <w:rsid w:val="532D486F"/>
    <w:rsid w:val="5333545B"/>
    <w:rsid w:val="53486355"/>
    <w:rsid w:val="538D0E89"/>
    <w:rsid w:val="5450213C"/>
    <w:rsid w:val="546711F3"/>
    <w:rsid w:val="546C3825"/>
    <w:rsid w:val="54B54838"/>
    <w:rsid w:val="54D24048"/>
    <w:rsid w:val="54D64CD5"/>
    <w:rsid w:val="5532287C"/>
    <w:rsid w:val="55887D69"/>
    <w:rsid w:val="55EE5D11"/>
    <w:rsid w:val="561A0928"/>
    <w:rsid w:val="56423872"/>
    <w:rsid w:val="5681035D"/>
    <w:rsid w:val="569E06BC"/>
    <w:rsid w:val="56B279F0"/>
    <w:rsid w:val="56BC05A1"/>
    <w:rsid w:val="56F20F86"/>
    <w:rsid w:val="575A19C0"/>
    <w:rsid w:val="578C371E"/>
    <w:rsid w:val="579D710E"/>
    <w:rsid w:val="57CB2E18"/>
    <w:rsid w:val="581F22F6"/>
    <w:rsid w:val="585B1260"/>
    <w:rsid w:val="586E1E17"/>
    <w:rsid w:val="58862C35"/>
    <w:rsid w:val="58C14957"/>
    <w:rsid w:val="58CC23D2"/>
    <w:rsid w:val="58E66050"/>
    <w:rsid w:val="596B36B6"/>
    <w:rsid w:val="598C3A36"/>
    <w:rsid w:val="59E63F07"/>
    <w:rsid w:val="59FC7994"/>
    <w:rsid w:val="5AE83A50"/>
    <w:rsid w:val="5B353193"/>
    <w:rsid w:val="5B647768"/>
    <w:rsid w:val="5BAB2917"/>
    <w:rsid w:val="5BFC33FA"/>
    <w:rsid w:val="5C3107A4"/>
    <w:rsid w:val="5C3B1B93"/>
    <w:rsid w:val="5C9220DF"/>
    <w:rsid w:val="5CAA31F1"/>
    <w:rsid w:val="5CC84B9F"/>
    <w:rsid w:val="5CDB7368"/>
    <w:rsid w:val="5D4A15F3"/>
    <w:rsid w:val="5D5914B3"/>
    <w:rsid w:val="5D69542A"/>
    <w:rsid w:val="5D783B72"/>
    <w:rsid w:val="5DD62B9F"/>
    <w:rsid w:val="5E0930EF"/>
    <w:rsid w:val="5E3D4D53"/>
    <w:rsid w:val="5E4717E6"/>
    <w:rsid w:val="5E516FB7"/>
    <w:rsid w:val="5E55774C"/>
    <w:rsid w:val="5E8A70FF"/>
    <w:rsid w:val="60045F96"/>
    <w:rsid w:val="60104DDC"/>
    <w:rsid w:val="605C0804"/>
    <w:rsid w:val="60913E6F"/>
    <w:rsid w:val="61733C3E"/>
    <w:rsid w:val="6189617B"/>
    <w:rsid w:val="61B52BB6"/>
    <w:rsid w:val="61B749C2"/>
    <w:rsid w:val="620D167C"/>
    <w:rsid w:val="621709F6"/>
    <w:rsid w:val="62280D20"/>
    <w:rsid w:val="628647D8"/>
    <w:rsid w:val="62B4786E"/>
    <w:rsid w:val="62CA2457"/>
    <w:rsid w:val="62F15CAF"/>
    <w:rsid w:val="638240A1"/>
    <w:rsid w:val="63833423"/>
    <w:rsid w:val="63A5257B"/>
    <w:rsid w:val="63BD3DCC"/>
    <w:rsid w:val="63C61741"/>
    <w:rsid w:val="640805B4"/>
    <w:rsid w:val="64560967"/>
    <w:rsid w:val="6534357D"/>
    <w:rsid w:val="65650021"/>
    <w:rsid w:val="656B1D10"/>
    <w:rsid w:val="65B841F9"/>
    <w:rsid w:val="65FE3864"/>
    <w:rsid w:val="66022B28"/>
    <w:rsid w:val="664A38E2"/>
    <w:rsid w:val="66581E87"/>
    <w:rsid w:val="66766EBB"/>
    <w:rsid w:val="66C331D1"/>
    <w:rsid w:val="66FA11D5"/>
    <w:rsid w:val="670C39DF"/>
    <w:rsid w:val="6711010F"/>
    <w:rsid w:val="674302C7"/>
    <w:rsid w:val="67CB09D8"/>
    <w:rsid w:val="67EE3B0F"/>
    <w:rsid w:val="680A5986"/>
    <w:rsid w:val="680D5F4B"/>
    <w:rsid w:val="68113F51"/>
    <w:rsid w:val="683A7094"/>
    <w:rsid w:val="68532802"/>
    <w:rsid w:val="68B272C7"/>
    <w:rsid w:val="68DE0BD3"/>
    <w:rsid w:val="68E94770"/>
    <w:rsid w:val="68EC1CEF"/>
    <w:rsid w:val="68F949C9"/>
    <w:rsid w:val="695A4290"/>
    <w:rsid w:val="696F3649"/>
    <w:rsid w:val="69BC2D00"/>
    <w:rsid w:val="69F34F88"/>
    <w:rsid w:val="6A267606"/>
    <w:rsid w:val="6A334932"/>
    <w:rsid w:val="6A3353FF"/>
    <w:rsid w:val="6A5D63E6"/>
    <w:rsid w:val="6A5F24D1"/>
    <w:rsid w:val="6ACA70C4"/>
    <w:rsid w:val="6AE347EB"/>
    <w:rsid w:val="6AEF46C6"/>
    <w:rsid w:val="6B330365"/>
    <w:rsid w:val="6B434AF0"/>
    <w:rsid w:val="6B57675A"/>
    <w:rsid w:val="6B87098A"/>
    <w:rsid w:val="6BDD7B4D"/>
    <w:rsid w:val="6C96357D"/>
    <w:rsid w:val="6D0324F1"/>
    <w:rsid w:val="6DB62FD5"/>
    <w:rsid w:val="6DD44347"/>
    <w:rsid w:val="6EBC0B3A"/>
    <w:rsid w:val="6EF51C7D"/>
    <w:rsid w:val="6F8363E5"/>
    <w:rsid w:val="6F841DCF"/>
    <w:rsid w:val="6F895815"/>
    <w:rsid w:val="6FA80CCD"/>
    <w:rsid w:val="6FAC3CC5"/>
    <w:rsid w:val="6FB12B60"/>
    <w:rsid w:val="6FC746F5"/>
    <w:rsid w:val="6FE33EF5"/>
    <w:rsid w:val="70317AC6"/>
    <w:rsid w:val="704B26F7"/>
    <w:rsid w:val="70697B21"/>
    <w:rsid w:val="70863262"/>
    <w:rsid w:val="70A76ED3"/>
    <w:rsid w:val="71860B17"/>
    <w:rsid w:val="719A5571"/>
    <w:rsid w:val="723B27CC"/>
    <w:rsid w:val="72687227"/>
    <w:rsid w:val="72A03FD9"/>
    <w:rsid w:val="73406CFF"/>
    <w:rsid w:val="7383028C"/>
    <w:rsid w:val="73A25E44"/>
    <w:rsid w:val="74063679"/>
    <w:rsid w:val="741F68CF"/>
    <w:rsid w:val="75171884"/>
    <w:rsid w:val="751A22FA"/>
    <w:rsid w:val="75252DF3"/>
    <w:rsid w:val="75621536"/>
    <w:rsid w:val="75AE0217"/>
    <w:rsid w:val="75BF3154"/>
    <w:rsid w:val="75DA4A2D"/>
    <w:rsid w:val="75EC1BCA"/>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9C47A8C"/>
    <w:rsid w:val="7AE15A5C"/>
    <w:rsid w:val="7AF37579"/>
    <w:rsid w:val="7AF87F64"/>
    <w:rsid w:val="7B1C0C84"/>
    <w:rsid w:val="7B5A62DF"/>
    <w:rsid w:val="7B7A04A8"/>
    <w:rsid w:val="7B8E4662"/>
    <w:rsid w:val="7BF75C30"/>
    <w:rsid w:val="7C0B0D4A"/>
    <w:rsid w:val="7C0C3F6D"/>
    <w:rsid w:val="7C22163C"/>
    <w:rsid w:val="7C457B4B"/>
    <w:rsid w:val="7C595075"/>
    <w:rsid w:val="7C6B07B2"/>
    <w:rsid w:val="7D133243"/>
    <w:rsid w:val="7D945420"/>
    <w:rsid w:val="7D997857"/>
    <w:rsid w:val="7DB3293F"/>
    <w:rsid w:val="7DD07A4B"/>
    <w:rsid w:val="7E1431D7"/>
    <w:rsid w:val="7E161DB1"/>
    <w:rsid w:val="7E394207"/>
    <w:rsid w:val="7E4007A2"/>
    <w:rsid w:val="7E791CAD"/>
    <w:rsid w:val="7EA50DFB"/>
    <w:rsid w:val="7EC86878"/>
    <w:rsid w:val="7F16390D"/>
    <w:rsid w:val="7F752917"/>
    <w:rsid w:val="7F9C1875"/>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customStyle="1" w:styleId="28">
    <w:name w:val="页眉 Char"/>
    <w:basedOn w:val="24"/>
    <w:link w:val="17"/>
    <w:semiHidden/>
    <w:qFormat/>
    <w:uiPriority w:val="99"/>
    <w:rPr>
      <w:sz w:val="18"/>
      <w:szCs w:val="18"/>
    </w:rPr>
  </w:style>
  <w:style w:type="character" w:customStyle="1" w:styleId="29">
    <w:name w:val="页脚 Char"/>
    <w:basedOn w:val="24"/>
    <w:link w:val="16"/>
    <w:qFormat/>
    <w:uiPriority w:val="99"/>
    <w:rPr>
      <w:sz w:val="18"/>
      <w:szCs w:val="18"/>
    </w:rPr>
  </w:style>
  <w:style w:type="character" w:customStyle="1" w:styleId="30">
    <w:name w:val="标题 1 Char"/>
    <w:basedOn w:val="24"/>
    <w:link w:val="3"/>
    <w:qFormat/>
    <w:uiPriority w:val="9"/>
    <w:rPr>
      <w:rFonts w:eastAsia="方正小标宋简体"/>
      <w:bCs/>
      <w:kern w:val="44"/>
      <w:sz w:val="44"/>
      <w:szCs w:val="44"/>
    </w:rPr>
  </w:style>
  <w:style w:type="character" w:customStyle="1" w:styleId="31">
    <w:name w:val="标题 2 Char"/>
    <w:basedOn w:val="24"/>
    <w:link w:val="4"/>
    <w:qFormat/>
    <w:uiPriority w:val="9"/>
    <w:rPr>
      <w:rFonts w:eastAsia="方正小标宋简体" w:asciiTheme="majorHAnsi" w:hAnsiTheme="majorHAnsi" w:cstheme="majorBidi"/>
      <w:bCs/>
      <w:sz w:val="36"/>
      <w:szCs w:val="32"/>
    </w:rPr>
  </w:style>
  <w:style w:type="character" w:customStyle="1" w:styleId="32">
    <w:name w:val="标题 3 Char"/>
    <w:basedOn w:val="24"/>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4"/>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2"/>
    <w:next w:val="12"/>
    <w:qFormat/>
    <w:uiPriority w:val="0"/>
    <w:pPr>
      <w:spacing w:after="373"/>
    </w:pPr>
    <w:rPr>
      <w:color w:val="auto"/>
    </w:rPr>
  </w:style>
  <w:style w:type="paragraph" w:customStyle="1" w:styleId="38">
    <w:name w:val="CM91"/>
    <w:basedOn w:val="12"/>
    <w:next w:val="12"/>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4"/>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font01"/>
    <w:basedOn w:val="24"/>
    <w:qFormat/>
    <w:uiPriority w:val="0"/>
    <w:rPr>
      <w:rFonts w:hint="eastAsia" w:ascii="宋体" w:hAnsi="宋体" w:eastAsia="宋体" w:cs="宋体"/>
      <w:color w:val="000000"/>
      <w:sz w:val="22"/>
      <w:szCs w:val="22"/>
      <w:u w:val="none"/>
    </w:rPr>
  </w:style>
  <w:style w:type="character" w:customStyle="1" w:styleId="48">
    <w:name w:val="font11"/>
    <w:basedOn w:val="24"/>
    <w:qFormat/>
    <w:uiPriority w:val="0"/>
    <w:rPr>
      <w:rFonts w:hint="default" w:ascii="Times New Roman" w:hAnsi="Times New Roman" w:cs="Times New Roman"/>
      <w:color w:val="000000"/>
      <w:sz w:val="22"/>
      <w:szCs w:val="22"/>
      <w:u w:val="none"/>
    </w:rPr>
  </w:style>
  <w:style w:type="character" w:customStyle="1" w:styleId="49">
    <w:name w:val="font71"/>
    <w:basedOn w:val="24"/>
    <w:qFormat/>
    <w:uiPriority w:val="0"/>
    <w:rPr>
      <w:rFonts w:hint="eastAsia" w:ascii="宋体" w:hAnsi="宋体" w:eastAsia="宋体" w:cs="宋体"/>
      <w:color w:val="000000"/>
      <w:sz w:val="22"/>
      <w:szCs w:val="22"/>
      <w:u w:val="none"/>
    </w:rPr>
  </w:style>
  <w:style w:type="character" w:customStyle="1" w:styleId="50">
    <w:name w:val="font51"/>
    <w:basedOn w:val="24"/>
    <w:qFormat/>
    <w:uiPriority w:val="0"/>
    <w:rPr>
      <w:rFonts w:hint="eastAsia" w:ascii="宋体" w:hAnsi="宋体" w:eastAsia="宋体" w:cs="宋体"/>
      <w:b/>
      <w:bCs/>
      <w:color w:val="000000"/>
      <w:sz w:val="22"/>
      <w:szCs w:val="22"/>
      <w:u w:val="none"/>
    </w:rPr>
  </w:style>
  <w:style w:type="character" w:customStyle="1" w:styleId="51">
    <w:name w:val="font61"/>
    <w:basedOn w:val="24"/>
    <w:qFormat/>
    <w:uiPriority w:val="0"/>
    <w:rPr>
      <w:rFonts w:hint="eastAsia" w:ascii="宋体" w:hAnsi="宋体" w:eastAsia="宋体" w:cs="宋体"/>
      <w:color w:val="000000"/>
      <w:sz w:val="22"/>
      <w:szCs w:val="22"/>
      <w:u w:val="none"/>
    </w:rPr>
  </w:style>
  <w:style w:type="character" w:customStyle="1" w:styleId="52">
    <w:name w:val="font31"/>
    <w:basedOn w:val="24"/>
    <w:qFormat/>
    <w:uiPriority w:val="0"/>
    <w:rPr>
      <w:rFonts w:hint="default" w:ascii="Times New Roman" w:hAnsi="Times New Roman" w:cs="Times New Roman"/>
      <w:color w:val="000000"/>
      <w:sz w:val="22"/>
      <w:szCs w:val="22"/>
      <w:u w:val="none"/>
    </w:rPr>
  </w:style>
  <w:style w:type="character" w:customStyle="1" w:styleId="53">
    <w:name w:val="font41"/>
    <w:basedOn w:val="24"/>
    <w:qFormat/>
    <w:uiPriority w:val="0"/>
    <w:rPr>
      <w:rFonts w:hint="eastAsia" w:ascii="宋体" w:hAnsi="宋体" w:eastAsia="宋体" w:cs="宋体"/>
      <w:b/>
      <w:bCs/>
      <w:color w:val="000000"/>
      <w:sz w:val="22"/>
      <w:szCs w:val="22"/>
      <w:u w:val="none"/>
    </w:rPr>
  </w:style>
  <w:style w:type="paragraph" w:customStyle="1" w:styleId="54">
    <w:name w:val="无标题条"/>
    <w:next w:val="55"/>
    <w:qFormat/>
    <w:uiPriority w:val="0"/>
    <w:pPr>
      <w:jc w:val="both"/>
    </w:pPr>
    <w:rPr>
      <w:rFonts w:ascii="Times New Roman" w:hAnsi="Times New Roman" w:eastAsia="宋体" w:cs="Times New Roman"/>
      <w:sz w:val="21"/>
      <w:lang w:val="en-US" w:eastAsia="zh-CN" w:bidi="ar-SA"/>
    </w:rPr>
  </w:style>
  <w:style w:type="paragraph" w:customStyle="1" w:styleId="55">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56">
    <w:name w:val="二级条标题"/>
    <w:basedOn w:val="1"/>
    <w:next w:val="1"/>
    <w:qFormat/>
    <w:uiPriority w:val="0"/>
    <w:pPr>
      <w:spacing w:after="0" w:line="240" w:lineRule="auto"/>
      <w:jc w:val="both"/>
      <w:outlineLvl w:val="3"/>
    </w:pPr>
    <w:rPr>
      <w:rFonts w:ascii="黑体" w:hAnsi="等线" w:eastAsia="黑体" w:cs="Times New Roman"/>
      <w:b/>
      <w:color w:val="auto"/>
    </w:rPr>
  </w:style>
  <w:style w:type="paragraph" w:customStyle="1" w:styleId="57">
    <w:name w:val="表格文字"/>
    <w:basedOn w:val="1"/>
    <w:next w:val="7"/>
    <w:qFormat/>
    <w:uiPriority w:val="0"/>
    <w:pPr>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18226</Words>
  <Characters>20309</Characters>
  <Lines>1</Lines>
  <Paragraphs>1</Paragraphs>
  <TotalTime>3</TotalTime>
  <ScaleCrop>false</ScaleCrop>
  <LinksUpToDate>false</LinksUpToDate>
  <CharactersWithSpaces>22404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2023-03-06T03:05:00Z</cp:lastPrinted>
  <dcterms:modified xsi:type="dcterms:W3CDTF">2023-03-16T07:40:22Z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A16D6DC8326945AC9168607D4B687526</vt:lpwstr>
  </property>
</Properties>
</file>