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广州市净水有限公司净水厂中试</w:t>
      </w: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试验检测项目</w:t>
      </w:r>
    </w:p>
    <w:p>
      <w:pPr>
        <w:pStyle w:val="2"/>
        <w:rPr>
          <w:rFonts w:hint="eastAsia"/>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月</w:t>
      </w:r>
    </w:p>
    <w:p>
      <w:pPr>
        <w:rPr>
          <w:color w:val="auto"/>
          <w:highlight w:val="none"/>
        </w:rPr>
        <w:sectPr>
          <w:footerReference r:id="rId3" w:type="default"/>
          <w:pgSz w:w="11906" w:h="16838"/>
          <w:pgMar w:top="2098" w:right="1474" w:bottom="1985" w:left="1588" w:header="851" w:footer="992" w:gutter="0"/>
          <w:pgNumType w:start="0"/>
          <w:cols w:space="425" w:num="1"/>
          <w:titlePg/>
          <w:docGrid w:type="lines" w:linePitch="312" w:charSpace="0"/>
        </w:sectPr>
      </w:pPr>
    </w:p>
    <w:p>
      <w:pPr>
        <w:pStyle w:val="2"/>
      </w:pPr>
    </w:p>
    <w:p>
      <w:pPr>
        <w:pStyle w:val="34"/>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8"/>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8"/>
        <w:numPr>
          <w:ilvl w:val="0"/>
          <w:numId w:val="1"/>
        </w:numPr>
        <w:tabs>
          <w:tab w:val="right" w:pos="8844"/>
        </w:tabs>
        <w:rPr>
          <w:color w:val="auto"/>
          <w:highlight w:val="none"/>
        </w:rPr>
      </w:pPr>
      <w:r>
        <w:rPr>
          <w:rFonts w:hint="eastAsia"/>
          <w:color w:val="auto"/>
          <w:highlight w:val="none"/>
          <w:lang w:val="en-US" w:eastAsia="zh-CN"/>
        </w:rPr>
        <w:t>供应商须知</w:t>
      </w:r>
    </w:p>
    <w:p>
      <w:pPr>
        <w:pStyle w:val="18"/>
        <w:numPr>
          <w:ilvl w:val="0"/>
          <w:numId w:val="1"/>
        </w:numPr>
        <w:tabs>
          <w:tab w:val="right" w:pos="8844"/>
        </w:tabs>
        <w:rPr>
          <w:color w:val="auto"/>
          <w:highlight w:val="none"/>
        </w:rPr>
      </w:pPr>
      <w:r>
        <w:rPr>
          <w:rFonts w:hint="eastAsia"/>
          <w:color w:val="auto"/>
          <w:highlight w:val="none"/>
          <w:lang w:val="en-US" w:eastAsia="zh-CN"/>
        </w:rPr>
        <w:t>采购方法</w:t>
      </w:r>
    </w:p>
    <w:p>
      <w:pPr>
        <w:pStyle w:val="18"/>
        <w:numPr>
          <w:ilvl w:val="0"/>
          <w:numId w:val="1"/>
        </w:numPr>
        <w:tabs>
          <w:tab w:val="right" w:pos="8844"/>
        </w:tabs>
        <w:rPr>
          <w:color w:val="auto"/>
          <w:highlight w:val="none"/>
        </w:rPr>
      </w:pPr>
      <w:r>
        <w:rPr>
          <w:rFonts w:hint="eastAsia"/>
          <w:color w:val="auto"/>
          <w:highlight w:val="none"/>
          <w:lang w:val="en-US" w:eastAsia="zh-CN"/>
        </w:rPr>
        <w:t>评审方法</w:t>
      </w:r>
    </w:p>
    <w:p>
      <w:pPr>
        <w:pStyle w:val="18"/>
        <w:numPr>
          <w:ilvl w:val="0"/>
          <w:numId w:val="1"/>
        </w:numPr>
        <w:tabs>
          <w:tab w:val="right" w:pos="8844"/>
        </w:tabs>
        <w:rPr>
          <w:color w:val="auto"/>
          <w:highlight w:val="none"/>
        </w:rPr>
      </w:pPr>
      <w:r>
        <w:rPr>
          <w:rFonts w:hint="eastAsia"/>
          <w:color w:val="auto"/>
          <w:highlight w:val="none"/>
          <w:lang w:val="en-US" w:eastAsia="zh-CN"/>
        </w:rPr>
        <w:t>采购需求</w:t>
      </w:r>
    </w:p>
    <w:p>
      <w:pPr>
        <w:pStyle w:val="18"/>
        <w:numPr>
          <w:ilvl w:val="0"/>
          <w:numId w:val="1"/>
        </w:numPr>
        <w:tabs>
          <w:tab w:val="right" w:pos="8844"/>
        </w:tabs>
        <w:rPr>
          <w:color w:val="auto"/>
          <w:highlight w:val="none"/>
        </w:rPr>
      </w:pPr>
      <w:r>
        <w:rPr>
          <w:rFonts w:hint="eastAsia"/>
          <w:color w:val="auto"/>
          <w:highlight w:val="none"/>
        </w:rPr>
        <w:t>合同草案</w:t>
      </w:r>
    </w:p>
    <w:p>
      <w:pPr>
        <w:pStyle w:val="18"/>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1"/>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26148"/>
      <w:bookmarkStart w:id="1" w:name="_Toc18145"/>
    </w:p>
    <w:p>
      <w:pPr>
        <w:rPr>
          <w:rFonts w:hint="eastAsia"/>
          <w:color w:val="auto"/>
          <w:highlight w:val="none"/>
        </w:rPr>
      </w:pPr>
    </w:p>
    <w:p>
      <w:pPr>
        <w:pStyle w:val="3"/>
        <w:rPr>
          <w:rFonts w:hint="eastAsia"/>
          <w:color w:val="auto"/>
          <w:highlight w:val="none"/>
        </w:rPr>
      </w:pPr>
      <w:bookmarkStart w:id="2" w:name="_Toc17696"/>
      <w:bookmarkStart w:id="3" w:name="_Toc1711"/>
    </w:p>
    <w:p>
      <w:pPr>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3"/>
        <w:rPr>
          <w:rFonts w:hint="eastAsia"/>
          <w:color w:val="auto"/>
          <w:highlight w:val="none"/>
        </w:rPr>
      </w:pPr>
      <w:bookmarkStart w:id="4" w:name="_Toc11322"/>
      <w:bookmarkStart w:id="5" w:name="_Toc17801"/>
      <w:bookmarkStart w:id="6" w:name="_Toc19609"/>
      <w:bookmarkStart w:id="7" w:name="_Toc31938"/>
      <w:bookmarkStart w:id="8" w:name="_Toc4275"/>
      <w:bookmarkStart w:id="9" w:name="_Toc1669"/>
      <w:bookmarkStart w:id="10" w:name="_Toc7519"/>
    </w:p>
    <w:p>
      <w:pPr>
        <w:pStyle w:val="3"/>
        <w:rPr>
          <w:rFonts w:hint="eastAsia"/>
          <w:color w:val="auto"/>
          <w:highlight w:val="none"/>
        </w:rPr>
      </w:pPr>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8720" behindDoc="0" locked="0" layoutInCell="1" allowOverlap="1">
                <wp:simplePos x="0" y="0"/>
                <wp:positionH relativeFrom="column">
                  <wp:posOffset>2340610</wp:posOffset>
                </wp:positionH>
                <wp:positionV relativeFrom="paragraph">
                  <wp:posOffset>490220</wp:posOffset>
                </wp:positionV>
                <wp:extent cx="958850" cy="0"/>
                <wp:effectExtent l="0" t="0" r="0" b="0"/>
                <wp:wrapNone/>
                <wp:docPr id="18"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17" o:spid="_x0000_s1026" o:spt="32" type="#_x0000_t32" style="position:absolute;left:0pt;margin-left:184.3pt;margin-top:38.6pt;height:0pt;width:75.5pt;z-index:251678720;mso-width-relative:page;mso-height-relative:page;" filled="f" stroked="t" coordsize="21600,21600" o:gfxdata="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3iN2Q1wAAAAkBAAAPAAAAAAAAAAEAIAAAACIAAABkcnMvZG93bnJldi54bWxQ&#10;SwECFAAUAAAACACHTuJAQDWfC/gBAADyAwAADgAAAAAAAAABACAAAAAmAQAAZHJzL2Uyb0RvYy54&#10;bWxQSwUGAAAAAAYABgBZAQAAkA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7"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16" o:spid="_x0000_s1026" o:spt="32" type="#_x0000_t32" style="position:absolute;left:0pt;margin-left:184.9pt;margin-top:8.5pt;height:0pt;width:75.5pt;z-index:25167769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Cti3rWAAAACQEAAA8AAAAAAAAAAQAgAAAAIgAAAGRycy9kb3ducmV2LnhtbFBL&#10;AQIUABQAAAAIAIdO4kB4Zxps+AEAAPIDAAAOAAAAAAAAAAEAIAAAACUBAABkcnMvZTJvRG9jLnht&#10;bFBLBQYAAAAABgAGAFkBAACPBQ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6"/>
        <w:rPr>
          <w:color w:val="auto"/>
          <w:highlight w:val="none"/>
        </w:rPr>
      </w:pPr>
    </w:p>
    <w:p>
      <w:pPr>
        <w:pStyle w:val="3"/>
        <w:rPr>
          <w:rFonts w:hint="eastAsia" w:eastAsia="方正小标宋简体" w:asciiTheme="minorHAnsi"/>
          <w:color w:val="auto"/>
          <w:sz w:val="44"/>
          <w:szCs w:val="44"/>
          <w:highlight w:val="none"/>
        </w:rPr>
      </w:pPr>
      <w:r>
        <w:rPr>
          <w:rFonts w:hint="eastAsia"/>
          <w:color w:val="auto"/>
          <w:highlight w:val="none"/>
          <w:lang w:eastAsia="zh-CN"/>
        </w:rPr>
        <w:t>采购公告（采购邀请书）</w:t>
      </w:r>
    </w:p>
    <w:p>
      <w:pPr>
        <w:pStyle w:val="21"/>
        <w:rPr>
          <w:rFonts w:ascii="方正小标宋简体" w:eastAsia="方正小标宋简体"/>
          <w:color w:val="auto"/>
          <w:sz w:val="44"/>
          <w:szCs w:val="44"/>
          <w:highlight w:val="none"/>
        </w:rPr>
      </w:pPr>
    </w:p>
    <w:p>
      <w:pPr>
        <w:pStyle w:val="21"/>
        <w:rPr>
          <w:rFonts w:ascii="仿宋_GB2312" w:eastAsia="仿宋_GB2312"/>
          <w:color w:val="auto"/>
          <w:sz w:val="28"/>
          <w:szCs w:val="28"/>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广州市净水有限公司净水厂中试试验检测项目</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 xml:space="preserve">参加本□施工  </w:t>
      </w:r>
      <w:r>
        <w:rPr>
          <w:rFonts w:hint="eastAsia" w:ascii="仿宋_GB2312" w:eastAsia="仿宋_GB2312"/>
          <w:sz w:val="28"/>
          <w:szCs w:val="28"/>
          <w:highlight w:val="none"/>
        </w:rPr>
        <w:sym w:font="Wingdings 2" w:char="00A3"/>
      </w:r>
      <w:r>
        <w:rPr>
          <w:rFonts w:hint="eastAsia" w:ascii="仿宋_GB2312" w:eastAsia="仿宋_GB2312"/>
          <w:sz w:val="28"/>
          <w:szCs w:val="28"/>
          <w:highlight w:val="none"/>
        </w:rPr>
        <w:t xml:space="preserve">货物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服务项目采购活动，采用</w:t>
      </w:r>
      <w:r>
        <w:rPr>
          <w:rFonts w:hint="eastAsia" w:ascii="仿宋_GB2312" w:eastAsia="仿宋_GB2312"/>
          <w:sz w:val="28"/>
          <w:szCs w:val="28"/>
          <w:highlight w:val="none"/>
          <w:u w:val="single"/>
        </w:rPr>
        <w:sym w:font="Wingdings 2" w:char="00A3"/>
      </w:r>
      <w:r>
        <w:rPr>
          <w:rFonts w:hint="eastAsia" w:ascii="仿宋_GB2312" w:eastAsia="仿宋_GB2312"/>
          <w:sz w:val="28"/>
          <w:szCs w:val="28"/>
          <w:highlight w:val="none"/>
          <w:u w:val="single"/>
          <w:lang w:val="en-US" w:eastAsia="zh-CN"/>
        </w:rPr>
        <w:t>邀请</w:t>
      </w:r>
      <w:r>
        <w:rPr>
          <w:rFonts w:hint="eastAsia" w:ascii="仿宋_GB2312" w:eastAsia="仿宋_GB2312"/>
          <w:sz w:val="28"/>
          <w:szCs w:val="28"/>
          <w:highlight w:val="none"/>
          <w:u w:val="single"/>
        </w:rPr>
        <w:t>询比</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single"/>
          <w:lang w:val="en-US" w:eastAsia="zh-CN"/>
        </w:rPr>
        <w:sym w:font="Wingdings 2" w:char="0052"/>
      </w:r>
      <w:r>
        <w:rPr>
          <w:rFonts w:hint="eastAsia" w:ascii="仿宋_GB2312" w:eastAsia="仿宋_GB2312"/>
          <w:sz w:val="28"/>
          <w:szCs w:val="28"/>
          <w:highlight w:val="none"/>
          <w:u w:val="single"/>
          <w:lang w:val="en-US" w:eastAsia="zh-CN"/>
        </w:rPr>
        <w:t>公开询比</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广州市净水有限公司净水厂中试试验检测项目</w:t>
      </w:r>
      <w:r>
        <w:rPr>
          <w:rFonts w:hint="eastAsia" w:ascii="仿宋_GB2312" w:eastAsia="仿宋_GB2312"/>
          <w:color w:val="auto"/>
          <w:sz w:val="28"/>
          <w:szCs w:val="28"/>
          <w:highlight w:val="none"/>
          <w:u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XJ-20230316-3</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bookmarkStart w:id="111" w:name="_GoBack"/>
      <w:bookmarkEnd w:id="111"/>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36.195万</w:t>
      </w:r>
      <w:r>
        <w:rPr>
          <w:rFonts w:hint="eastAsia" w:ascii="仿宋_GB2312" w:hAnsi="宋体" w:eastAsia="仿宋_GB2312" w:cs="宋体"/>
          <w:bCs/>
          <w:kern w:val="0"/>
          <w:sz w:val="28"/>
          <w:szCs w:val="28"/>
          <w:u w:val="single"/>
          <w:lang w:val="en-US" w:eastAsia="zh-CN"/>
        </w:rPr>
        <w:t>元</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w:t>
      </w:r>
      <w:r>
        <w:rPr>
          <w:rFonts w:hint="eastAsia" w:ascii="仿宋" w:hAnsi="仿宋" w:eastAsia="仿宋" w:cs="仿宋"/>
          <w:color w:val="auto"/>
          <w:kern w:val="2"/>
          <w:sz w:val="28"/>
          <w:szCs w:val="28"/>
          <w:highlight w:val="none"/>
          <w:lang w:val="en-US" w:eastAsia="zh-CN"/>
        </w:rPr>
        <w:t>甲方进行净水厂中试试验</w:t>
      </w:r>
      <w:r>
        <w:rPr>
          <w:rFonts w:hint="eastAsia" w:ascii="仿宋" w:hAnsi="仿宋" w:eastAsia="仿宋" w:cs="仿宋"/>
          <w:color w:val="auto"/>
          <w:kern w:val="2"/>
          <w:sz w:val="28"/>
          <w:szCs w:val="28"/>
          <w:highlight w:val="none"/>
        </w:rPr>
        <w:t>，委托</w:t>
      </w:r>
      <w:r>
        <w:rPr>
          <w:rFonts w:hint="eastAsia" w:ascii="仿宋" w:hAnsi="仿宋" w:eastAsia="仿宋" w:cs="仿宋"/>
          <w:color w:val="auto"/>
          <w:kern w:val="2"/>
          <w:sz w:val="28"/>
          <w:szCs w:val="28"/>
          <w:highlight w:val="none"/>
          <w:lang w:val="en-US" w:eastAsia="zh-CN"/>
        </w:rPr>
        <w:t>乙方</w:t>
      </w:r>
      <w:r>
        <w:rPr>
          <w:rFonts w:hint="eastAsia" w:ascii="仿宋" w:hAnsi="仿宋" w:eastAsia="仿宋" w:cs="仿宋"/>
          <w:color w:val="auto"/>
          <w:kern w:val="2"/>
          <w:sz w:val="28"/>
          <w:szCs w:val="28"/>
          <w:highlight w:val="none"/>
        </w:rPr>
        <w:t>完成相关样品采样、检测工作并出具相关报告。</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□交货期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lang w:val="en-US" w:eastAsia="zh-CN"/>
        </w:rPr>
        <w:t xml:space="preserve">   自合同签订之日起一年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default" w:ascii="仿宋_GB2312" w:eastAsia="仿宋_GB2312"/>
          <w:color w:val="auto"/>
          <w:sz w:val="28"/>
          <w:szCs w:val="28"/>
          <w:highlight w:val="none"/>
          <w:u w:val="single"/>
          <w:lang w:val="en-US"/>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交货地点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暂定大坦沙分公司和沥滘分公司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货物质量标准或主要技术性能指标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服务质量要求或服务标准如下：</w:t>
      </w:r>
      <w:r>
        <w:rPr>
          <w:rFonts w:hint="eastAsia" w:ascii="仿宋_GB2312" w:eastAsia="仿宋_GB2312"/>
          <w:sz w:val="28"/>
          <w:szCs w:val="28"/>
          <w:highlight w:val="none"/>
          <w:u w:val="single"/>
        </w:rPr>
        <w:t>详见合同附件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w:t>
      </w:r>
      <w:r>
        <w:rPr>
          <w:rFonts w:hint="eastAsia" w:ascii="仿宋_GB2312" w:eastAsia="仿宋_GB2312"/>
          <w:sz w:val="28"/>
          <w:szCs w:val="28"/>
          <w:highlight w:val="none"/>
          <w:u w:val="single"/>
        </w:rPr>
        <w:t>详见合同附件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资质。</w:t>
      </w:r>
    </w:p>
    <w:p>
      <w:pPr>
        <w:rPr>
          <w:rFonts w:hint="eastAsia" w:asciiTheme="minorEastAsia" w:hAnsiTheme="minorEastAsia" w:eastAsiaTheme="minorEastAsia" w:cstheme="minorEastAsia"/>
          <w:sz w:val="28"/>
          <w:szCs w:val="28"/>
          <w:u w:val="none"/>
          <w:lang w:val="en-US"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none"/>
          <w:lang w:val="en-US" w:eastAsia="zh-CN"/>
        </w:rPr>
        <w:t xml:space="preserve"> </w:t>
      </w:r>
      <w:r>
        <w:rPr>
          <w:rFonts w:hint="eastAsia" w:ascii="仿宋_GB2312" w:eastAsia="仿宋_GB2312"/>
          <w:color w:val="auto"/>
          <w:sz w:val="28"/>
          <w:szCs w:val="28"/>
          <w:highlight w:val="none"/>
          <w:u w:val="single"/>
          <w:lang w:val="en-US" w:eastAsia="zh-CN"/>
        </w:rPr>
        <w:t>2020 年1月1日至今，</w:t>
      </w:r>
      <w:r>
        <w:rPr>
          <w:rFonts w:hint="eastAsia" w:ascii="仿宋_GB2312" w:eastAsia="仿宋_GB2312"/>
          <w:color w:val="auto"/>
          <w:sz w:val="28"/>
          <w:szCs w:val="28"/>
          <w:highlight w:val="none"/>
          <w:u w:val="single"/>
        </w:rPr>
        <w:t>供应商</w:t>
      </w:r>
      <w:r>
        <w:rPr>
          <w:rFonts w:hint="eastAsia" w:ascii="仿宋_GB2312" w:eastAsia="仿宋_GB2312"/>
          <w:color w:val="auto"/>
          <w:sz w:val="28"/>
          <w:szCs w:val="28"/>
          <w:highlight w:val="none"/>
          <w:u w:val="single"/>
          <w:lang w:val="en-US" w:eastAsia="zh-CN"/>
        </w:rPr>
        <w:t>最少</w:t>
      </w:r>
      <w:r>
        <w:rPr>
          <w:rFonts w:hint="eastAsia" w:ascii="仿宋_GB2312" w:eastAsia="仿宋_GB2312"/>
          <w:color w:val="auto"/>
          <w:sz w:val="28"/>
          <w:szCs w:val="28"/>
          <w:highlight w:val="none"/>
          <w:u w:val="single"/>
        </w:rPr>
        <w:t>具有</w:t>
      </w:r>
      <w:r>
        <w:rPr>
          <w:rFonts w:hint="eastAsia" w:ascii="仿宋_GB2312" w:eastAsia="仿宋_GB2312"/>
          <w:color w:val="auto"/>
          <w:sz w:val="28"/>
          <w:szCs w:val="28"/>
          <w:highlight w:val="none"/>
          <w:u w:val="single"/>
          <w:lang w:val="en-US" w:eastAsia="zh-CN"/>
        </w:rPr>
        <w:t>一项环境或废水检测服务项目的业绩</w:t>
      </w:r>
      <w:r>
        <w:rPr>
          <w:rFonts w:hint="eastAsia" w:asciiTheme="minorEastAsia" w:hAnsiTheme="minorEastAsia" w:eastAsiaTheme="minorEastAsia" w:cstheme="minorEastAsia"/>
          <w:sz w:val="28"/>
          <w:szCs w:val="28"/>
          <w:u w:val="single"/>
          <w:lang w:eastAsia="zh-CN"/>
        </w:rPr>
        <w:t>（</w:t>
      </w:r>
      <w:r>
        <w:rPr>
          <w:rFonts w:hint="eastAsia" w:ascii="仿宋_GB2312" w:eastAsia="仿宋_GB2312"/>
          <w:color w:val="000000" w:themeColor="text1"/>
          <w:sz w:val="28"/>
          <w:szCs w:val="28"/>
          <w:highlight w:val="none"/>
          <w:u w:val="single"/>
          <w14:textFill>
            <w14:solidFill>
              <w14:schemeClr w14:val="tx1"/>
            </w14:solidFill>
          </w14:textFill>
        </w:rPr>
        <w:t>提供合同复印件证明，包括但不限于项目名称、金额及实施内容、合同盖章、签订日期，加盖单位公章</w:t>
      </w:r>
      <w:r>
        <w:rPr>
          <w:rFonts w:hint="eastAsia" w:ascii="仿宋_GB2312" w:eastAsia="仿宋_GB2312"/>
          <w:color w:val="000000" w:themeColor="text1"/>
          <w:sz w:val="28"/>
          <w:szCs w:val="28"/>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u w:val="single"/>
          <w:lang w:val="en-US" w:eastAsia="zh-CN"/>
          <w14:textFill>
            <w14:solidFill>
              <w14:schemeClr w14:val="tx1"/>
            </w14:solidFill>
          </w14:textFill>
        </w:rPr>
        <w:t>。</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项目负责人应当具备</w:t>
      </w:r>
      <w:r>
        <w:rPr>
          <w:rFonts w:hint="eastAsia" w:ascii="仿宋_GB2312" w:eastAsia="仿宋_GB2312"/>
          <w:color w:val="auto"/>
          <w:sz w:val="28"/>
          <w:szCs w:val="28"/>
          <w:highlight w:val="none"/>
          <w:u w:val="single"/>
          <w:lang w:eastAsia="zh-CN"/>
        </w:rPr>
        <w:t>高级技术职称</w:t>
      </w:r>
      <w:r>
        <w:rPr>
          <w:rFonts w:hint="eastAsia" w:ascii="仿宋_GB2312" w:eastAsia="仿宋_GB2312"/>
          <w:color w:val="auto"/>
          <w:sz w:val="28"/>
          <w:szCs w:val="28"/>
          <w:highlight w:val="none"/>
          <w:u w:val="single"/>
        </w:rPr>
        <w:t>资格条件。</w:t>
      </w:r>
      <w:r>
        <w:rPr>
          <w:rFonts w:hint="eastAsia" w:ascii="仿宋_GB2312" w:eastAsia="仿宋_GB2312"/>
          <w:color w:val="auto"/>
          <w:sz w:val="28"/>
          <w:szCs w:val="28"/>
          <w:highlight w:val="none"/>
          <w:u w:val="single"/>
          <w:lang w:val="en-US" w:eastAsia="zh-CN"/>
        </w:rPr>
        <w:t>提供项目负责人</w:t>
      </w:r>
      <w:r>
        <w:rPr>
          <w:rFonts w:hint="eastAsia" w:ascii="仿宋_GB2312" w:eastAsia="仿宋_GB2312"/>
          <w:color w:val="auto"/>
          <w:sz w:val="28"/>
          <w:szCs w:val="28"/>
          <w:highlight w:val="none"/>
          <w:u w:val="single"/>
          <w:lang w:eastAsia="zh-CN"/>
        </w:rPr>
        <w:t>在本单位近三个月社保记录，（以加盖社会保险基金管理中心印章的《缴费历史明细表》或《社会保险参保人员证明》为准，</w:t>
      </w:r>
      <w:r>
        <w:rPr>
          <w:rFonts w:hint="eastAsia" w:ascii="仿宋_GB2312" w:eastAsia="仿宋_GB2312"/>
          <w:color w:val="auto"/>
          <w:sz w:val="28"/>
          <w:szCs w:val="28"/>
          <w:highlight w:val="none"/>
          <w:u w:val="single"/>
          <w:lang w:val="en-US" w:eastAsia="zh-CN"/>
        </w:rPr>
        <w:t>加盖单位公章。</w:t>
      </w:r>
    </w:p>
    <w:p>
      <w:pPr>
        <w:pStyle w:val="21"/>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w:t>
      </w:r>
      <w:r>
        <w:rPr>
          <w:rFonts w:hint="eastAsia" w:ascii="仿宋_GB2312" w:eastAsia="仿宋_GB2312"/>
          <w:sz w:val="28"/>
          <w:szCs w:val="28"/>
        </w:rPr>
        <w:t>递交响应文件集合时间：</w:t>
      </w:r>
      <w:r>
        <w:rPr>
          <w:rFonts w:hint="eastAsia" w:ascii="仿宋_GB2312" w:eastAsia="仿宋_GB2312"/>
          <w:sz w:val="28"/>
          <w:szCs w:val="28"/>
          <w:u w:val="single"/>
        </w:rPr>
        <w:t>2023</w:t>
      </w:r>
      <w:r>
        <w:rPr>
          <w:rFonts w:hint="eastAsia" w:ascii="仿宋_GB2312" w:eastAsia="仿宋_GB2312"/>
          <w:sz w:val="28"/>
          <w:szCs w:val="28"/>
        </w:rPr>
        <w:t>年</w:t>
      </w:r>
      <w:r>
        <w:rPr>
          <w:rFonts w:hint="eastAsia" w:ascii="仿宋_GB2312" w:eastAsia="仿宋_GB2312"/>
          <w:sz w:val="28"/>
          <w:szCs w:val="28"/>
          <w:u w:val="single"/>
          <w:lang w:val="en-US" w:eastAsia="zh-CN"/>
        </w:rPr>
        <w:t>3</w:t>
      </w:r>
      <w:r>
        <w:rPr>
          <w:rFonts w:hint="eastAsia" w:ascii="仿宋_GB2312" w:eastAsia="仿宋_GB2312"/>
          <w:sz w:val="28"/>
          <w:szCs w:val="28"/>
          <w:u w:val="single"/>
        </w:rPr>
        <w:t> </w:t>
      </w:r>
      <w:r>
        <w:rPr>
          <w:rFonts w:hint="eastAsia" w:ascii="仿宋_GB2312" w:eastAsia="仿宋_GB2312"/>
          <w:sz w:val="28"/>
          <w:szCs w:val="28"/>
        </w:rPr>
        <w:t>月</w:t>
      </w:r>
      <w:r>
        <w:rPr>
          <w:rFonts w:hint="eastAsia" w:ascii="仿宋_GB2312" w:eastAsia="仿宋_GB2312"/>
          <w:sz w:val="28"/>
          <w:szCs w:val="28"/>
          <w:u w:val="single"/>
          <w:lang w:val="en-US" w:eastAsia="zh-CN"/>
        </w:rPr>
        <w:t>22</w:t>
      </w:r>
      <w:r>
        <w:rPr>
          <w:rFonts w:hint="eastAsia" w:ascii="仿宋_GB2312" w:eastAsia="仿宋_GB2312"/>
          <w:sz w:val="28"/>
          <w:szCs w:val="28"/>
          <w:u w:val="single"/>
        </w:rPr>
        <w:t> </w:t>
      </w:r>
      <w:r>
        <w:rPr>
          <w:rFonts w:hint="eastAsia" w:ascii="仿宋_GB2312" w:eastAsia="仿宋_GB2312"/>
          <w:sz w:val="28"/>
          <w:szCs w:val="28"/>
        </w:rPr>
        <w:t>日</w:t>
      </w:r>
      <w:r>
        <w:rPr>
          <w:rFonts w:hint="eastAsia" w:ascii="仿宋_GB2312" w:eastAsia="仿宋_GB2312"/>
          <w:sz w:val="28"/>
          <w:szCs w:val="28"/>
          <w:u w:val="single"/>
          <w:lang w:val="en-US" w:eastAsia="zh-CN"/>
        </w:rPr>
        <w:t>14</w:t>
      </w:r>
      <w:r>
        <w:rPr>
          <w:rFonts w:hint="eastAsia" w:ascii="仿宋_GB2312" w:eastAsia="仿宋_GB2312"/>
          <w:sz w:val="28"/>
          <w:szCs w:val="28"/>
        </w:rPr>
        <w:t>时</w:t>
      </w:r>
      <w:r>
        <w:rPr>
          <w:rFonts w:hint="eastAsia" w:ascii="仿宋_GB2312" w:eastAsia="仿宋_GB2312"/>
          <w:sz w:val="28"/>
          <w:szCs w:val="28"/>
          <w:u w:val="single"/>
          <w:lang w:val="en-US" w:eastAsia="zh-CN"/>
        </w:rPr>
        <w:t>30</w:t>
      </w:r>
      <w:r>
        <w:rPr>
          <w:rFonts w:hint="eastAsia" w:ascii="仿宋_GB2312" w:eastAsia="仿宋_GB2312"/>
          <w:sz w:val="28"/>
          <w:szCs w:val="28"/>
        </w:rPr>
        <w:t>分至</w:t>
      </w:r>
      <w:r>
        <w:rPr>
          <w:rFonts w:hint="eastAsia" w:ascii="仿宋_GB2312" w:eastAsia="仿宋_GB2312"/>
          <w:sz w:val="28"/>
          <w:szCs w:val="28"/>
          <w:u w:val="single"/>
        </w:rPr>
        <w:t>2023</w:t>
      </w:r>
      <w:r>
        <w:rPr>
          <w:rFonts w:hint="eastAsia" w:ascii="仿宋_GB2312" w:eastAsia="仿宋_GB2312"/>
          <w:sz w:val="28"/>
          <w:szCs w:val="28"/>
        </w:rPr>
        <w:t>年</w:t>
      </w:r>
      <w:r>
        <w:rPr>
          <w:rFonts w:hint="eastAsia" w:ascii="仿宋_GB2312" w:eastAsia="仿宋_GB2312"/>
          <w:sz w:val="28"/>
          <w:szCs w:val="28"/>
          <w:u w:val="single"/>
          <w:lang w:val="en-US" w:eastAsia="zh-CN"/>
        </w:rPr>
        <w:t>3</w:t>
      </w:r>
      <w:r>
        <w:rPr>
          <w:rFonts w:hint="eastAsia" w:ascii="仿宋_GB2312" w:eastAsia="仿宋_GB2312"/>
          <w:sz w:val="28"/>
          <w:szCs w:val="28"/>
        </w:rPr>
        <w:t xml:space="preserve">月 </w:t>
      </w:r>
      <w:r>
        <w:rPr>
          <w:rFonts w:hint="eastAsia" w:ascii="仿宋_GB2312" w:eastAsia="仿宋_GB2312"/>
          <w:sz w:val="28"/>
          <w:szCs w:val="28"/>
          <w:u w:val="single"/>
          <w:lang w:val="en-US" w:eastAsia="zh-CN"/>
        </w:rPr>
        <w:t>22</w:t>
      </w:r>
      <w:r>
        <w:rPr>
          <w:rFonts w:hint="eastAsia" w:ascii="仿宋_GB2312" w:eastAsia="仿宋_GB2312"/>
          <w:sz w:val="28"/>
          <w:szCs w:val="28"/>
        </w:rPr>
        <w:t>日</w:t>
      </w:r>
      <w:r>
        <w:rPr>
          <w:rFonts w:hint="eastAsia" w:ascii="仿宋_GB2312" w:eastAsia="仿宋_GB2312"/>
          <w:sz w:val="28"/>
          <w:szCs w:val="28"/>
          <w:u w:val="single"/>
        </w:rPr>
        <w:t>1</w:t>
      </w:r>
      <w:r>
        <w:rPr>
          <w:rFonts w:hint="eastAsia" w:ascii="仿宋_GB2312" w:eastAsia="仿宋_GB2312"/>
          <w:sz w:val="28"/>
          <w:szCs w:val="28"/>
          <w:u w:val="single"/>
          <w:lang w:val="en-US" w:eastAsia="zh-CN"/>
        </w:rPr>
        <w:t>5</w:t>
      </w:r>
      <w:r>
        <w:rPr>
          <w:rFonts w:hint="eastAsia" w:ascii="仿宋_GB2312" w:eastAsia="仿宋_GB2312"/>
          <w:sz w:val="28"/>
          <w:szCs w:val="28"/>
        </w:rPr>
        <w:t>时</w:t>
      </w:r>
      <w:r>
        <w:rPr>
          <w:rFonts w:hint="eastAsia" w:ascii="仿宋_GB2312" w:eastAsia="仿宋_GB2312"/>
          <w:sz w:val="28"/>
          <w:szCs w:val="28"/>
          <w:u w:val="single"/>
        </w:rPr>
        <w:t>00</w:t>
      </w:r>
      <w:r>
        <w:rPr>
          <w:rFonts w:hint="eastAsia" w:ascii="仿宋_GB2312" w:eastAsia="仿宋_GB2312"/>
          <w:sz w:val="28"/>
          <w:szCs w:val="28"/>
        </w:rPr>
        <w:t>分（北京时间）。截止时间：</w:t>
      </w:r>
      <w:r>
        <w:rPr>
          <w:rFonts w:hint="eastAsia" w:ascii="仿宋_GB2312" w:eastAsia="仿宋_GB2312"/>
          <w:sz w:val="28"/>
          <w:szCs w:val="28"/>
          <w:u w:val="single"/>
        </w:rPr>
        <w:t>2023</w:t>
      </w:r>
      <w:r>
        <w:rPr>
          <w:rFonts w:hint="eastAsia" w:ascii="仿宋_GB2312" w:eastAsia="仿宋_GB2312"/>
          <w:sz w:val="28"/>
          <w:szCs w:val="28"/>
        </w:rPr>
        <w:t>年</w:t>
      </w:r>
      <w:r>
        <w:rPr>
          <w:rFonts w:hint="eastAsia" w:ascii="仿宋_GB2312" w:eastAsia="仿宋_GB2312"/>
          <w:sz w:val="28"/>
          <w:szCs w:val="28"/>
          <w:u w:val="single"/>
          <w:lang w:val="en-US" w:eastAsia="zh-CN"/>
        </w:rPr>
        <w:t>3</w:t>
      </w:r>
      <w:r>
        <w:rPr>
          <w:rFonts w:hint="eastAsia" w:ascii="仿宋_GB2312" w:eastAsia="仿宋_GB2312"/>
          <w:sz w:val="28"/>
          <w:szCs w:val="28"/>
        </w:rPr>
        <w:t xml:space="preserve">月 </w:t>
      </w:r>
      <w:r>
        <w:rPr>
          <w:rFonts w:hint="eastAsia" w:ascii="仿宋_GB2312" w:eastAsia="仿宋_GB2312"/>
          <w:sz w:val="28"/>
          <w:szCs w:val="28"/>
          <w:u w:val="single"/>
          <w:lang w:val="en-US" w:eastAsia="zh-CN"/>
        </w:rPr>
        <w:t>22</w:t>
      </w:r>
      <w:r>
        <w:rPr>
          <w:rFonts w:hint="eastAsia" w:ascii="仿宋_GB2312" w:eastAsia="仿宋_GB2312"/>
          <w:sz w:val="28"/>
          <w:szCs w:val="28"/>
        </w:rPr>
        <w:t>日</w:t>
      </w:r>
      <w:r>
        <w:rPr>
          <w:rFonts w:hint="eastAsia" w:ascii="仿宋_GB2312" w:eastAsia="仿宋_GB2312"/>
          <w:sz w:val="28"/>
          <w:szCs w:val="28"/>
          <w:u w:val="single"/>
        </w:rPr>
        <w:t>1</w:t>
      </w:r>
      <w:r>
        <w:rPr>
          <w:rFonts w:hint="eastAsia" w:ascii="仿宋_GB2312" w:eastAsia="仿宋_GB2312"/>
          <w:sz w:val="28"/>
          <w:szCs w:val="28"/>
          <w:u w:val="single"/>
          <w:lang w:val="en-US" w:eastAsia="zh-CN"/>
        </w:rPr>
        <w:t>5</w:t>
      </w:r>
      <w:r>
        <w:rPr>
          <w:rFonts w:hint="eastAsia" w:ascii="仿宋_GB2312" w:eastAsia="仿宋_GB2312"/>
          <w:sz w:val="28"/>
          <w:szCs w:val="28"/>
        </w:rPr>
        <w:t>时</w:t>
      </w:r>
      <w:r>
        <w:rPr>
          <w:rFonts w:hint="eastAsia" w:ascii="仿宋_GB2312" w:eastAsia="仿宋_GB2312"/>
          <w:sz w:val="28"/>
          <w:szCs w:val="28"/>
          <w:u w:val="single"/>
        </w:rPr>
        <w:t>00</w:t>
      </w:r>
      <w:r>
        <w:rPr>
          <w:rFonts w:hint="eastAsia" w:ascii="仿宋_GB2312" w:eastAsia="仿宋_GB2312"/>
          <w:sz w:val="28"/>
          <w:szCs w:val="28"/>
        </w:rPr>
        <w:t>分（北京时间）。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w:t>
      </w:r>
      <w:r>
        <w:rPr>
          <w:rFonts w:hint="eastAsia" w:ascii="仿宋_GB2312" w:eastAsia="仿宋_GB2312"/>
          <w:sz w:val="28"/>
          <w:szCs w:val="28"/>
        </w:rPr>
        <w:t>递交地址：广州市天河区临江大道501号广州市净水有限公司6楼招标部。</w:t>
      </w:r>
    </w:p>
    <w:p>
      <w:pPr>
        <w:pStyle w:val="21"/>
        <w:ind w:firstLine="560" w:firstLineChars="200"/>
        <w:rPr>
          <w:rFonts w:hint="eastAsia" w:ascii="仿宋_GB2312" w:eastAsia="仿宋_GB2312"/>
          <w:color w:val="auto"/>
          <w:sz w:val="28"/>
          <w:szCs w:val="28"/>
        </w:rPr>
      </w:pPr>
      <w:r>
        <w:rPr>
          <w:rFonts w:hint="eastAsia" w:ascii="仿宋_GB2312" w:eastAsia="仿宋_GB2312"/>
          <w:color w:val="auto"/>
          <w:sz w:val="28"/>
          <w:szCs w:val="28"/>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21"/>
        <w:ind w:firstLine="560" w:firstLineChars="200"/>
        <w:rPr>
          <w:rFonts w:hint="eastAsia" w:ascii="仿宋_GB2312" w:eastAsia="仿宋_GB2312"/>
          <w:color w:val="auto"/>
          <w:sz w:val="28"/>
          <w:szCs w:val="28"/>
        </w:rPr>
      </w:pPr>
      <w:r>
        <w:rPr>
          <w:rFonts w:hint="eastAsia" w:ascii="仿宋_GB2312" w:eastAsia="仿宋_GB2312"/>
          <w:color w:val="auto"/>
          <w:sz w:val="28"/>
          <w:szCs w:val="28"/>
        </w:rPr>
        <w:t>响应文件递交预约信息填写：</w:t>
      </w:r>
    </w:p>
    <w:p>
      <w:pPr>
        <w:pStyle w:val="21"/>
        <w:ind w:firstLine="560" w:firstLineChars="200"/>
        <w:rPr>
          <w:rFonts w:hint="eastAsia" w:ascii="仿宋_GB2312" w:eastAsia="仿宋_GB2312"/>
          <w:color w:val="auto"/>
          <w:sz w:val="28"/>
          <w:szCs w:val="28"/>
        </w:rPr>
      </w:pPr>
      <w:r>
        <w:rPr>
          <w:rFonts w:hint="eastAsia" w:ascii="仿宋_GB2312" w:eastAsia="仿宋_GB2312"/>
          <w:color w:val="auto"/>
          <w:sz w:val="28"/>
          <w:szCs w:val="28"/>
        </w:rPr>
        <w:t>（1）通过“广州净水公司”微信公众号或来访时扫码进行访客预约登记。</w:t>
      </w:r>
    </w:p>
    <w:p>
      <w:pPr>
        <w:pStyle w:val="21"/>
        <w:ind w:firstLine="560" w:firstLineChars="200"/>
        <w:rPr>
          <w:rFonts w:hint="eastAsia" w:ascii="仿宋_GB2312" w:eastAsia="仿宋_GB2312"/>
          <w:color w:val="auto"/>
          <w:sz w:val="28"/>
          <w:szCs w:val="28"/>
        </w:rPr>
      </w:pPr>
      <w:r>
        <w:rPr>
          <w:rFonts w:hint="eastAsia" w:ascii="仿宋_GB2312" w:eastAsia="仿宋_GB2312"/>
          <w:color w:val="auto"/>
          <w:sz w:val="28"/>
          <w:szCs w:val="28"/>
        </w:rPr>
        <w:t>（2）“组织”选择“公司本部”，“部门”选择“招投标合同管理部”。</w:t>
      </w:r>
    </w:p>
    <w:p>
      <w:pPr>
        <w:pStyle w:val="21"/>
        <w:ind w:firstLine="560" w:firstLineChars="200"/>
        <w:rPr>
          <w:rFonts w:hint="eastAsia" w:ascii="仿宋_GB2312" w:eastAsia="仿宋_GB2312"/>
          <w:color w:val="auto"/>
          <w:sz w:val="28"/>
          <w:szCs w:val="28"/>
        </w:rPr>
      </w:pPr>
      <w:r>
        <w:rPr>
          <w:rFonts w:hint="eastAsia" w:ascii="仿宋_GB2312" w:eastAsia="仿宋_GB2312"/>
          <w:color w:val="auto"/>
          <w:sz w:val="28"/>
          <w:szCs w:val="28"/>
        </w:rPr>
        <w:t>（3）“被访人员”选择“招标部”，“手机号”：“62315524”。</w:t>
      </w:r>
    </w:p>
    <w:p>
      <w:pPr>
        <w:adjustRightInd w:val="0"/>
        <w:snapToGrid w:val="0"/>
        <w:spacing w:line="600" w:lineRule="exact"/>
        <w:ind w:firstLine="560" w:firstLineChars="200"/>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328" w:type="dxa"/>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328" w:type="dxa"/>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5328" w:type="dxa"/>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28" w:type="dxa"/>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328" w:type="dxa"/>
          </w:tcPr>
          <w:p>
            <w:pPr>
              <w:keepNext w:val="0"/>
              <w:keepLines w:val="0"/>
              <w:pageBreakBefore w:val="0"/>
              <w:widowControl w:val="0"/>
              <w:kinsoku/>
              <w:wordWrap/>
              <w:overflowPunct/>
              <w:topLinePunct w:val="0"/>
              <w:autoSpaceDE/>
              <w:autoSpaceDN/>
              <w:bidi w:val="0"/>
              <w:adjustRightInd w:val="0"/>
              <w:snapToGrid w:val="0"/>
              <w:spacing w:line="360" w:lineRule="auto"/>
              <w:jc w:val="righ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pStyle w:val="21"/>
        <w:ind w:firstLine="0"/>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3"/>
        <w:rPr>
          <w:rFonts w:hint="eastAsia"/>
          <w:color w:val="auto"/>
          <w:highlight w:val="none"/>
        </w:rPr>
      </w:pPr>
      <w:bookmarkStart w:id="13" w:name="_Toc10891"/>
    </w:p>
    <w:p>
      <w:pPr>
        <w:pStyle w:val="3"/>
        <w:rPr>
          <w:rFonts w:hint="eastAsia"/>
          <w:color w:val="auto"/>
          <w:highlight w:val="none"/>
        </w:rPr>
      </w:pPr>
      <w:bookmarkStart w:id="14" w:name="_Toc19295"/>
      <w:bookmarkStart w:id="15" w:name="_Toc23749"/>
      <w:bookmarkStart w:id="16" w:name="_Toc2324"/>
      <w:bookmarkStart w:id="17" w:name="_Toc7340"/>
      <w:bookmarkStart w:id="18" w:name="_Toc25603"/>
      <w:bookmarkStart w:id="19" w:name="_Toc2331"/>
      <w:bookmarkStart w:id="20" w:name="_Toc9448"/>
      <w:bookmarkStart w:id="21" w:name="_Toc16705"/>
      <w:bookmarkStart w:id="22" w:name="_Toc32588"/>
      <w:bookmarkStart w:id="23" w:name="_Toc16557"/>
    </w:p>
    <w:p>
      <w:pPr>
        <w:rPr>
          <w:rFonts w:hint="eastAsia"/>
          <w:color w:val="auto"/>
          <w:highlight w:val="none"/>
        </w:rPr>
      </w:pPr>
    </w:p>
    <w:p>
      <w:pPr>
        <w:pStyle w:val="12"/>
        <w:rPr>
          <w:rFonts w:hint="eastAsia"/>
          <w:color w:val="auto"/>
          <w:highlight w:val="none"/>
        </w:rPr>
      </w:pPr>
    </w:p>
    <w:p>
      <w:pPr>
        <w:pStyle w:val="13"/>
        <w:rPr>
          <w:rFonts w:hint="eastAsia"/>
          <w:color w:val="auto"/>
          <w:highlight w:val="none"/>
        </w:rPr>
      </w:pPr>
    </w:p>
    <w:p>
      <w:pPr>
        <w:rPr>
          <w:rFonts w:hint="eastAsia"/>
          <w:color w:val="auto"/>
          <w:highlight w:val="none"/>
        </w:rPr>
      </w:pPr>
    </w:p>
    <w:p>
      <w:pPr>
        <w:pStyle w:val="12"/>
        <w:rPr>
          <w:rFonts w:hint="eastAsia"/>
          <w:color w:val="auto"/>
          <w:highlight w:val="none"/>
        </w:rPr>
      </w:pPr>
    </w:p>
    <w:p>
      <w:pPr>
        <w:pStyle w:val="13"/>
        <w:rPr>
          <w:rFonts w:hint="eastAsia"/>
          <w:color w:val="auto"/>
          <w:highlight w:val="none"/>
        </w:rPr>
      </w:pPr>
    </w:p>
    <w:p>
      <w:pPr>
        <w:rPr>
          <w:rFonts w:hint="eastAsia"/>
          <w:color w:val="auto"/>
          <w:highlight w:val="none"/>
        </w:rPr>
      </w:pPr>
    </w:p>
    <w:p>
      <w:pPr>
        <w:pStyle w:val="12"/>
        <w:rPr>
          <w:rFonts w:hint="eastAsia"/>
          <w:color w:val="auto"/>
          <w:highlight w:val="none"/>
        </w:rPr>
      </w:pPr>
    </w:p>
    <w:p>
      <w:pPr>
        <w:rPr>
          <w:rFonts w:hint="eastAsia"/>
        </w:rPr>
      </w:pPr>
    </w:p>
    <w:p>
      <w:pPr>
        <w:pStyle w:val="3"/>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1552;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J55Nq8w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qEOWcOLN34&#10;z0/ffn38fPflx933r2y2zBoNAWsK3bibeNphuImZ8KGNNv+JCjsUXY9nXdUhMUGHLxbL5YIUF/eu&#10;6iEvREyvlLcsGw3HFEF3fdp45+jyfJwVWWH/GhNVpsT7hFzUODZk+PmCwIGGsaUhINMGIoSuK7no&#10;jZbX2picgbHbbUxke8gDUb7Mj3D/CstFtoD9GFdc46j0CuRLJ1k6BlLK0QvhuQWrJGdG0YPKFgFC&#10;nUCbSyKptHHUQZZ4FDVbOy+PRetyTpdfejwNap6uP/cl++Fxrn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Innk2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KJQhf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4"/>
        <w:rPr>
          <w:rFonts w:hint="eastAsia"/>
          <w:color w:val="auto"/>
          <w:highlight w:val="none"/>
        </w:rPr>
      </w:pPr>
    </w:p>
    <w:p>
      <w:pPr>
        <w:pStyle w:val="4"/>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1"/>
        <w:rPr>
          <w:rFonts w:hint="eastAsia"/>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1"/>
        <w:ind w:firstLine="0"/>
        <w:rPr>
          <w:rFonts w:hint="eastAsia"/>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1"/>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6"/>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46"/>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1"/>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46"/>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6"/>
        <w:rPr>
          <w:color w:val="auto"/>
          <w:highlight w:val="none"/>
        </w:rPr>
      </w:pPr>
    </w:p>
    <w:p>
      <w:pPr>
        <w:pStyle w:val="3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12"/>
        <w:rPr>
          <w:rFonts w:asciiTheme="majorEastAsia" w:hAnsiTheme="majorEastAsia" w:eastAsiaTheme="majorEastAsia"/>
          <w:b/>
          <w:color w:val="auto"/>
          <w:sz w:val="28"/>
          <w:szCs w:val="28"/>
          <w:highlight w:val="none"/>
        </w:rPr>
      </w:pPr>
    </w:p>
    <w:p>
      <w:pPr>
        <w:pStyle w:val="13"/>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12"/>
        <w:rPr>
          <w:rFonts w:asciiTheme="majorEastAsia" w:hAnsiTheme="majorEastAsia" w:eastAsiaTheme="majorEastAsia"/>
          <w:b/>
          <w:color w:val="auto"/>
          <w:sz w:val="28"/>
          <w:szCs w:val="28"/>
          <w:highlight w:val="none"/>
        </w:rPr>
      </w:pPr>
    </w:p>
    <w:p>
      <w:pPr>
        <w:pStyle w:val="13"/>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keepNext w:val="0"/>
        <w:keepLines w:val="0"/>
        <w:pageBreakBefore w:val="0"/>
        <w:kinsoku/>
        <w:wordWrap/>
        <w:overflowPunct/>
        <w:topLinePunct w:val="0"/>
        <w:autoSpaceDE/>
        <w:autoSpaceDN/>
        <w:bidi w:val="0"/>
        <w:adjustRightInd w:val="0"/>
        <w:snapToGrid w:val="0"/>
        <w:spacing w:line="360" w:lineRule="auto"/>
        <w:textAlignment w:val="auto"/>
        <w:rPr>
          <w:kern w:val="0"/>
          <w:sz w:val="28"/>
          <w:szCs w:val="28"/>
          <w:highlight w:val="none"/>
        </w:rPr>
      </w:pPr>
      <w:r>
        <w:rPr>
          <w:rFonts w:hint="eastAsia"/>
          <w:kern w:val="0"/>
          <w:sz w:val="28"/>
          <w:szCs w:val="28"/>
          <w:highlight w:val="none"/>
        </w:rPr>
        <w:t>项目名称：</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r>
        <w:rPr>
          <w:rFonts w:hint="eastAsia" w:hAnsi="宋体" w:cs="仿宋_GB2312"/>
          <w:bCs/>
          <w:kern w:val="0"/>
          <w:sz w:val="28"/>
          <w:szCs w:val="28"/>
          <w:highlight w:val="none"/>
        </w:rPr>
        <w:t>异议人：</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r>
        <w:rPr>
          <w:rFonts w:hint="eastAsia" w:hAnsi="宋体" w:cs="仿宋_GB2312"/>
          <w:bCs/>
          <w:kern w:val="0"/>
          <w:sz w:val="28"/>
          <w:szCs w:val="28"/>
          <w:highlight w:val="none"/>
        </w:rPr>
        <w:t>相关请求及主张：</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仿宋_GB2312"/>
          <w:kern w:val="0"/>
          <w:sz w:val="28"/>
          <w:szCs w:val="28"/>
          <w:highlight w:val="none"/>
          <w:u w:val="single"/>
        </w:rPr>
      </w:pP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仿宋_GB2312"/>
          <w:kern w:val="0"/>
          <w:sz w:val="28"/>
          <w:szCs w:val="28"/>
          <w:highlight w:val="none"/>
          <w:u w:val="single"/>
        </w:rPr>
      </w:pP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r>
        <w:rPr>
          <w:rFonts w:hAnsi="宋体" w:cs="仿宋_GB2312"/>
          <w:kern w:val="0"/>
          <w:sz w:val="28"/>
          <w:szCs w:val="28"/>
          <w:highlight w:val="none"/>
        </w:rPr>
        <w:t xml:space="preserve">  此致</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r>
        <w:rPr>
          <w:rFonts w:hint="eastAsia" w:hAnsi="宋体" w:cs="仿宋_GB2312"/>
          <w:kern w:val="0"/>
          <w:sz w:val="28"/>
          <w:szCs w:val="28"/>
          <w:highlight w:val="none"/>
          <w:u w:val="single"/>
        </w:rPr>
        <w:t>（采购人）</w:t>
      </w:r>
    </w:p>
    <w:p>
      <w:pPr>
        <w:keepNext w:val="0"/>
        <w:keepLines w:val="0"/>
        <w:pageBreakBefore w:val="0"/>
        <w:widowControl/>
        <w:kinsoku/>
        <w:wordWrap/>
        <w:overflowPunct/>
        <w:topLinePunct w:val="0"/>
        <w:autoSpaceDE/>
        <w:autoSpaceDN/>
        <w:bidi w:val="0"/>
        <w:adjustRightInd w:val="0"/>
        <w:snapToGrid w:val="0"/>
        <w:spacing w:line="360" w:lineRule="auto"/>
        <w:ind w:left="99" w:leftChars="47" w:firstLine="2800" w:firstLineChars="1000"/>
        <w:jc w:val="left"/>
        <w:textAlignment w:val="auto"/>
        <w:rPr>
          <w:rFonts w:hAnsi="宋体" w:cs="仿宋_GB2312"/>
          <w:kern w:val="0"/>
          <w:sz w:val="28"/>
          <w:szCs w:val="28"/>
          <w:highlight w:val="none"/>
        </w:rPr>
      </w:pPr>
    </w:p>
    <w:p>
      <w:pPr>
        <w:keepNext w:val="0"/>
        <w:keepLines w:val="0"/>
        <w:pageBreakBefore w:val="0"/>
        <w:widowControl/>
        <w:kinsoku/>
        <w:wordWrap/>
        <w:overflowPunct/>
        <w:topLinePunct w:val="0"/>
        <w:autoSpaceDE/>
        <w:autoSpaceDN/>
        <w:bidi w:val="0"/>
        <w:adjustRightInd w:val="0"/>
        <w:snapToGrid w:val="0"/>
        <w:spacing w:line="360" w:lineRule="auto"/>
        <w:ind w:left="99" w:leftChars="47" w:firstLine="2800" w:firstLineChars="1000"/>
        <w:jc w:val="left"/>
        <w:textAlignment w:val="auto"/>
        <w:rPr>
          <w:rFonts w:hAnsi="宋体" w:cs="仿宋_GB2312"/>
          <w:kern w:val="0"/>
          <w:sz w:val="28"/>
          <w:szCs w:val="28"/>
          <w:highlight w:val="none"/>
        </w:rPr>
      </w:pPr>
    </w:p>
    <w:p>
      <w:pPr>
        <w:keepNext w:val="0"/>
        <w:keepLines w:val="0"/>
        <w:pageBreakBefore w:val="0"/>
        <w:widowControl/>
        <w:kinsoku/>
        <w:wordWrap/>
        <w:overflowPunct/>
        <w:topLinePunct w:val="0"/>
        <w:autoSpaceDE/>
        <w:autoSpaceDN/>
        <w:bidi w:val="0"/>
        <w:adjustRightInd w:val="0"/>
        <w:snapToGrid w:val="0"/>
        <w:spacing w:line="360" w:lineRule="auto"/>
        <w:ind w:left="99" w:leftChars="47" w:firstLine="2800" w:firstLineChars="1000"/>
        <w:jc w:val="left"/>
        <w:textAlignment w:val="auto"/>
        <w:rPr>
          <w:rFonts w:hAnsi="宋体" w:cs="宋体"/>
          <w:kern w:val="0"/>
          <w:sz w:val="28"/>
          <w:szCs w:val="28"/>
          <w:highlight w:val="none"/>
        </w:rPr>
      </w:pPr>
      <w:r>
        <w:rPr>
          <w:rFonts w:hint="eastAsia" w:hAnsi="宋体" w:cs="仿宋_GB2312"/>
          <w:kern w:val="0"/>
          <w:sz w:val="28"/>
          <w:szCs w:val="28"/>
          <w:highlight w:val="none"/>
        </w:rPr>
        <w:t>异议人（公章）：</w:t>
      </w:r>
    </w:p>
    <w:p>
      <w:pPr>
        <w:keepNext w:val="0"/>
        <w:keepLines w:val="0"/>
        <w:pageBreakBefore w:val="0"/>
        <w:widowControl/>
        <w:kinsoku/>
        <w:wordWrap/>
        <w:overflowPunct/>
        <w:topLinePunct w:val="0"/>
        <w:autoSpaceDE/>
        <w:autoSpaceDN/>
        <w:bidi w:val="0"/>
        <w:adjustRightInd w:val="0"/>
        <w:snapToGrid w:val="0"/>
        <w:spacing w:line="360" w:lineRule="auto"/>
        <w:ind w:left="99" w:leftChars="47" w:firstLine="1960" w:firstLineChars="700"/>
        <w:jc w:val="left"/>
        <w:textAlignment w:val="auto"/>
        <w:rPr>
          <w:rFonts w:hAnsi="宋体" w:cs="仿宋_GB2312"/>
          <w:kern w:val="0"/>
          <w:sz w:val="28"/>
          <w:szCs w:val="28"/>
          <w:highlight w:val="none"/>
        </w:rPr>
      </w:pPr>
    </w:p>
    <w:p>
      <w:pPr>
        <w:keepNext w:val="0"/>
        <w:keepLines w:val="0"/>
        <w:pageBreakBefore w:val="0"/>
        <w:widowControl/>
        <w:kinsoku/>
        <w:wordWrap/>
        <w:overflowPunct/>
        <w:topLinePunct w:val="0"/>
        <w:autoSpaceDE/>
        <w:autoSpaceDN/>
        <w:bidi w:val="0"/>
        <w:adjustRightInd w:val="0"/>
        <w:snapToGrid w:val="0"/>
        <w:spacing w:line="360" w:lineRule="auto"/>
        <w:ind w:left="99" w:leftChars="47" w:firstLine="1960" w:firstLineChars="700"/>
        <w:jc w:val="left"/>
        <w:textAlignment w:val="auto"/>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keepNext w:val="0"/>
        <w:keepLines w:val="0"/>
        <w:pageBreakBefore w:val="0"/>
        <w:widowControl/>
        <w:kinsoku/>
        <w:wordWrap/>
        <w:overflowPunct/>
        <w:topLinePunct w:val="0"/>
        <w:autoSpaceDE/>
        <w:autoSpaceDN/>
        <w:bidi w:val="0"/>
        <w:adjustRightInd w:val="0"/>
        <w:snapToGrid w:val="0"/>
        <w:spacing w:line="360" w:lineRule="auto"/>
        <w:ind w:left="99" w:leftChars="47" w:firstLine="1960" w:firstLineChars="700"/>
        <w:jc w:val="left"/>
        <w:textAlignment w:val="auto"/>
        <w:rPr>
          <w:rFonts w:hAnsi="宋体" w:cs="仿宋_GB2312"/>
          <w:kern w:val="0"/>
          <w:sz w:val="28"/>
          <w:szCs w:val="28"/>
          <w:highlight w:val="none"/>
          <w:u w:val="single"/>
        </w:rPr>
      </w:pP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center"/>
        <w:textAlignment w:val="auto"/>
        <w:rPr>
          <w:rFonts w:hAnsi="宋体" w:cs="宋体"/>
          <w:kern w:val="0"/>
          <w:sz w:val="28"/>
          <w:szCs w:val="28"/>
          <w:highlight w:val="none"/>
        </w:rPr>
      </w:pPr>
      <w:r>
        <w:rPr>
          <w:rFonts w:hAnsi="宋体" w:cs="仿宋_GB2312"/>
          <w:kern w:val="0"/>
          <w:sz w:val="28"/>
          <w:szCs w:val="28"/>
          <w:highlight w:val="none"/>
        </w:rPr>
        <w:t xml:space="preserve">                                     年    月   日</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仿宋_GB2312"/>
          <w:bCs/>
          <w:kern w:val="0"/>
          <w:sz w:val="28"/>
          <w:szCs w:val="28"/>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
      <w:pPr>
        <w:pStyle w:val="21"/>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6"/>
        <w:rPr>
          <w:rFonts w:ascii="仿宋_GB2312" w:eastAsia="仿宋_GB2312"/>
          <w:color w:val="auto"/>
          <w:sz w:val="28"/>
          <w:szCs w:val="28"/>
          <w:highlight w:val="none"/>
        </w:rPr>
      </w:pPr>
    </w:p>
    <w:p>
      <w:pPr>
        <w:pStyle w:val="46"/>
        <w:rPr>
          <w:rFonts w:ascii="仿宋_GB2312" w:eastAsia="仿宋_GB2312"/>
          <w:color w:val="auto"/>
          <w:sz w:val="28"/>
          <w:szCs w:val="28"/>
          <w:highlight w:val="none"/>
        </w:rPr>
      </w:pPr>
    </w:p>
    <w:p>
      <w:pPr>
        <w:pStyle w:val="46"/>
        <w:rPr>
          <w:rFonts w:ascii="仿宋_GB2312" w:eastAsia="仿宋_GB2312"/>
          <w:color w:val="auto"/>
          <w:sz w:val="28"/>
          <w:szCs w:val="28"/>
          <w:highlight w:val="none"/>
        </w:rPr>
      </w:pPr>
    </w:p>
    <w:p>
      <w:pPr>
        <w:pStyle w:val="46"/>
        <w:rPr>
          <w:rFonts w:ascii="仿宋_GB2312" w:eastAsia="仿宋_GB2312"/>
          <w:color w:val="auto"/>
          <w:sz w:val="28"/>
          <w:szCs w:val="28"/>
          <w:highlight w:val="none"/>
        </w:rPr>
      </w:pPr>
    </w:p>
    <w:p>
      <w:pPr>
        <w:pStyle w:val="46"/>
        <w:rPr>
          <w:rFonts w:ascii="仿宋_GB2312" w:eastAsia="仿宋_GB2312"/>
          <w:color w:val="auto"/>
          <w:sz w:val="28"/>
          <w:szCs w:val="28"/>
          <w:highlight w:val="none"/>
        </w:rPr>
      </w:pPr>
    </w:p>
    <w:p>
      <w:pPr>
        <w:pStyle w:val="46"/>
        <w:rPr>
          <w:rFonts w:ascii="仿宋_GB2312" w:eastAsia="仿宋_GB2312"/>
          <w:color w:val="auto"/>
          <w:sz w:val="28"/>
          <w:szCs w:val="28"/>
          <w:highlight w:val="none"/>
        </w:rPr>
      </w:pPr>
    </w:p>
    <w:p>
      <w:pPr>
        <w:pStyle w:val="4"/>
        <w:rPr>
          <w:rFonts w:hint="eastAsia" w:asciiTheme="minorHAnsi" w:hAnsiTheme="minorHAnsi" w:cstheme="minorBidi"/>
          <w:color w:val="auto"/>
          <w:kern w:val="44"/>
          <w:sz w:val="44"/>
          <w:szCs w:val="44"/>
          <w:highlight w:val="none"/>
        </w:rPr>
      </w:pPr>
      <w:bookmarkStart w:id="26" w:name="_Toc2867"/>
      <w:bookmarkStart w:id="27" w:name="_Toc21455"/>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2324100</wp:posOffset>
                </wp:positionH>
                <wp:positionV relativeFrom="paragraph">
                  <wp:posOffset>656590</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3pt;margin-top:51.7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6"/>
        <w:rPr>
          <w:color w:val="auto"/>
          <w:highlight w:val="none"/>
        </w:rPr>
      </w:pPr>
    </w:p>
    <w:p>
      <w:pPr>
        <w:pStyle w:val="4"/>
        <w:rPr>
          <w:color w:val="auto"/>
          <w:highlight w:val="none"/>
        </w:rPr>
      </w:pPr>
      <w:bookmarkStart w:id="28" w:name="_Toc88209934"/>
      <w:bookmarkStart w:id="29" w:name="_Toc7303"/>
      <w:bookmarkStart w:id="30" w:name="_Toc87616371"/>
      <w:bookmarkStart w:id="31" w:name="_Toc7040"/>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4"/>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0" w:firstLineChars="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3"/>
        <w:rPr>
          <w:color w:val="auto"/>
          <w:highlight w:val="none"/>
        </w:rPr>
      </w:pPr>
      <w:bookmarkStart w:id="34" w:name="_Toc23581"/>
      <w:bookmarkStart w:id="35" w:name="_Toc3156"/>
      <w:bookmarkStart w:id="36" w:name="_Toc14870"/>
      <w:bookmarkStart w:id="37" w:name="_Toc19759"/>
      <w:bookmarkStart w:id="38" w:name="_Toc19050"/>
      <w:bookmarkStart w:id="39" w:name="_Toc7437"/>
      <w:bookmarkStart w:id="40" w:name="_Toc10930"/>
      <w:bookmarkStart w:id="41" w:name="_Toc7118"/>
      <w:bookmarkStart w:id="42" w:name="_Toc20594"/>
      <w:bookmarkStart w:id="43" w:name="_Toc14552"/>
      <w:bookmarkStart w:id="44" w:name="_Toc4952"/>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2319020</wp:posOffset>
                </wp:positionH>
                <wp:positionV relativeFrom="paragraph">
                  <wp:posOffset>619760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2.6pt;margin-top:48.8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157480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12.4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6"/>
        <w:rPr>
          <w:color w:val="auto"/>
          <w:highlight w:val="none"/>
        </w:rPr>
      </w:pPr>
    </w:p>
    <w:p>
      <w:pPr>
        <w:pStyle w:val="3"/>
        <w:rPr>
          <w:color w:val="auto"/>
          <w:highlight w:val="none"/>
        </w:rPr>
      </w:pPr>
      <w:bookmarkStart w:id="45" w:name="_Toc30530"/>
      <w:bookmarkStart w:id="46" w:name="_Toc13898"/>
      <w:bookmarkStart w:id="47" w:name="_Toc29345"/>
      <w:bookmarkStart w:id="48" w:name="_Toc21079"/>
      <w:bookmarkStart w:id="49" w:name="_Toc21840"/>
      <w:bookmarkStart w:id="50" w:name="_Toc88209941"/>
      <w:bookmarkStart w:id="51" w:name="_Toc12177"/>
      <w:bookmarkStart w:id="52" w:name="_Toc6308"/>
      <w:bookmarkStart w:id="53" w:name="_Toc87616378"/>
      <w:bookmarkStart w:id="54" w:name="_Toc7831"/>
      <w:bookmarkStart w:id="55" w:name="_Toc29484"/>
      <w:bookmarkStart w:id="56" w:name="_Toc32607"/>
      <w:bookmarkStart w:id="57" w:name="_Toc22212"/>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4"/>
        <w:rPr>
          <w:color w:val="auto"/>
          <w:highlight w:val="none"/>
        </w:rPr>
      </w:pPr>
      <w:bookmarkStart w:id="58" w:name="_Toc23033"/>
      <w:bookmarkStart w:id="59" w:name="_Toc26826"/>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46"/>
        <w:rPr>
          <w:rFonts w:ascii="仿宋_GB2312" w:eastAsia="仿宋_GB2312" w:hAnsiTheme="minorEastAsia"/>
          <w:color w:val="auto"/>
          <w:szCs w:val="21"/>
          <w:highlight w:val="none"/>
        </w:rPr>
      </w:pPr>
    </w:p>
    <w:p>
      <w:pPr>
        <w:pStyle w:val="46"/>
        <w:rPr>
          <w:rFonts w:ascii="仿宋_GB2312" w:eastAsia="仿宋_GB2312" w:hAnsiTheme="minorEastAsia"/>
          <w:color w:val="auto"/>
          <w:szCs w:val="21"/>
          <w:highlight w:val="none"/>
        </w:rPr>
      </w:pPr>
    </w:p>
    <w:p>
      <w:pPr>
        <w:pStyle w:val="46"/>
        <w:rPr>
          <w:rFonts w:ascii="仿宋_GB2312" w:eastAsia="仿宋_GB2312" w:hAnsiTheme="minorEastAsia"/>
          <w:color w:val="auto"/>
          <w:szCs w:val="21"/>
          <w:highlight w:val="none"/>
        </w:rPr>
      </w:pPr>
    </w:p>
    <w:p>
      <w:pPr>
        <w:pStyle w:val="46"/>
        <w:rPr>
          <w:rFonts w:ascii="仿宋_GB2312" w:eastAsia="仿宋_GB2312" w:hAnsiTheme="minorEastAsia"/>
          <w:color w:val="auto"/>
          <w:szCs w:val="21"/>
          <w:highlight w:val="none"/>
        </w:rPr>
      </w:pPr>
    </w:p>
    <w:p>
      <w:pPr>
        <w:pStyle w:val="46"/>
        <w:rPr>
          <w:rFonts w:ascii="仿宋_GB2312" w:eastAsia="仿宋_GB2312" w:hAnsiTheme="minorEastAsia"/>
          <w:color w:val="auto"/>
          <w:szCs w:val="21"/>
          <w:highlight w:val="none"/>
        </w:rPr>
      </w:pPr>
    </w:p>
    <w:p>
      <w:pPr>
        <w:snapToGrid w:val="0"/>
        <w:spacing w:line="600" w:lineRule="exact"/>
        <w:rPr>
          <w:rFonts w:ascii="仿宋_GB2312" w:eastAsia="仿宋_GB2312" w:hAnsiTheme="minorEastAsia"/>
          <w:color w:val="auto"/>
          <w:szCs w:val="21"/>
          <w:highlight w:val="none"/>
        </w:rPr>
      </w:pPr>
    </w:p>
    <w:p>
      <w:pPr>
        <w:pStyle w:val="46"/>
        <w:rPr>
          <w:rFonts w:ascii="仿宋_GB2312" w:eastAsia="仿宋_GB2312" w:hAnsiTheme="minorEastAsia"/>
          <w:color w:val="auto"/>
          <w:szCs w:val="21"/>
          <w:highlight w:val="none"/>
        </w:rPr>
      </w:pPr>
    </w:p>
    <w:p>
      <w:pPr>
        <w:pStyle w:val="46"/>
        <w:rPr>
          <w:rFonts w:ascii="仿宋_GB2312" w:eastAsia="仿宋_GB2312" w:hAnsiTheme="minorEastAsia"/>
          <w:color w:val="auto"/>
          <w:szCs w:val="21"/>
          <w:highlight w:val="none"/>
        </w:rPr>
      </w:pPr>
    </w:p>
    <w:p>
      <w:pPr>
        <w:pStyle w:val="46"/>
        <w:rPr>
          <w:rFonts w:ascii="仿宋_GB2312" w:eastAsia="仿宋_GB2312" w:hAnsiTheme="minorEastAsia"/>
          <w:color w:val="auto"/>
          <w:szCs w:val="21"/>
          <w:highlight w:val="none"/>
        </w:rPr>
      </w:pPr>
    </w:p>
    <w:p>
      <w:pPr>
        <w:pStyle w:val="46"/>
        <w:rPr>
          <w:rFonts w:ascii="仿宋_GB2312" w:eastAsia="仿宋_GB2312" w:hAnsiTheme="minorEastAsia"/>
          <w:color w:val="auto"/>
          <w:szCs w:val="21"/>
          <w:highlight w:val="none"/>
        </w:rPr>
      </w:pPr>
    </w:p>
    <w:p>
      <w:pPr>
        <w:pStyle w:val="46"/>
        <w:rPr>
          <w:rFonts w:ascii="仿宋_GB2312" w:eastAsia="仿宋_GB2312" w:hAnsiTheme="minorEastAsia"/>
          <w:color w:val="auto"/>
          <w:szCs w:val="21"/>
          <w:highlight w:val="none"/>
        </w:rPr>
      </w:pPr>
    </w:p>
    <w:p>
      <w:pPr>
        <w:pStyle w:val="46"/>
        <w:rPr>
          <w:rFonts w:ascii="仿宋_GB2312" w:eastAsia="仿宋_GB2312" w:hAnsiTheme="minorEastAsia"/>
          <w:color w:val="auto"/>
          <w:szCs w:val="21"/>
          <w:highlight w:val="none"/>
        </w:rPr>
      </w:pPr>
    </w:p>
    <w:p>
      <w:pPr>
        <w:pStyle w:val="46"/>
        <w:rPr>
          <w:rFonts w:ascii="仿宋_GB2312" w:eastAsia="仿宋_GB2312" w:hAnsiTheme="minorEastAsia"/>
          <w:color w:val="auto"/>
          <w:szCs w:val="21"/>
          <w:highlight w:val="none"/>
        </w:rPr>
      </w:pPr>
    </w:p>
    <w:p>
      <w:pPr>
        <w:pStyle w:val="46"/>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3"/>
        <w:rPr>
          <w:rFonts w:hint="eastAsia"/>
          <w:color w:val="auto"/>
          <w:highlight w:val="none"/>
        </w:rPr>
      </w:pPr>
      <w:bookmarkStart w:id="60" w:name="_Toc88209947"/>
    </w:p>
    <w:p>
      <w:pPr>
        <w:pStyle w:val="3"/>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526415</wp:posOffset>
                </wp:positionV>
                <wp:extent cx="958850" cy="0"/>
                <wp:effectExtent l="0" t="0" r="0" b="0"/>
                <wp:wrapNone/>
                <wp:docPr id="14"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41.45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NOy9/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EKLc+/zAQAA5A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nPOXNg6cbv&#10;Pn//9enL7deftz++seksa9QHrCl05TbxtMOwiZnwoY02/4kKOxRdj2dd1SExQYcvZ/P5jBQX967q&#10;IS9ETK+VtywbDccUQe+6tPLO0eX5OCmywv4NJqpMifcJuahxrM/w1CQTQMPY0hCQaQMRQrcrueiN&#10;ltfamJyBcbddmcj2kAeifJkf4f4VlousAbshrriGUekUyFdOsnQMpJSjF8JzC1ZJzoyiB5UtAoQ6&#10;gTaXRFJp46iDLPEgara2Xh6L1uWcLr/0eBrUPF1/7kv2w+Nc/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Qotz7/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
        <w:rPr>
          <w:rFonts w:hint="eastAsia"/>
          <w:color w:val="auto"/>
          <w:highlight w:val="none"/>
        </w:rPr>
      </w:pPr>
    </w:p>
    <w:p>
      <w:pPr>
        <w:pStyle w:val="4"/>
        <w:rPr>
          <w:rFonts w:hint="eastAsia"/>
          <w:color w:val="auto"/>
          <w:szCs w:val="44"/>
          <w:highlight w:val="none"/>
        </w:rPr>
      </w:pPr>
      <w:r>
        <w:rPr>
          <w:rFonts w:hint="eastAsia"/>
          <w:color w:val="auto"/>
          <w:szCs w:val="44"/>
          <w:highlight w:val="none"/>
        </w:rPr>
        <w:t>采购需求</w:t>
      </w:r>
    </w:p>
    <w:p>
      <w:pPr>
        <w:pStyle w:val="4"/>
        <w:rPr>
          <w:rFonts w:hint="eastAsia"/>
          <w:color w:val="auto"/>
          <w:szCs w:val="44"/>
          <w:highlight w:val="none"/>
        </w:rPr>
      </w:pPr>
    </w:p>
    <w:bookmarkEnd w:id="60"/>
    <w:p>
      <w:pPr>
        <w:ind w:firstLine="560" w:firstLineChars="200"/>
        <w:rPr>
          <w:rFonts w:ascii="仿宋_GB2312" w:eastAsia="仿宋_GB2312"/>
          <w:color w:val="auto"/>
          <w:sz w:val="28"/>
          <w:szCs w:val="28"/>
          <w:highlight w:val="none"/>
        </w:rPr>
      </w:pPr>
    </w:p>
    <w:p>
      <w:pPr>
        <w:pStyle w:val="12"/>
        <w:rPr>
          <w:rFonts w:ascii="仿宋_GB2312" w:eastAsia="仿宋_GB2312"/>
          <w:color w:val="auto"/>
          <w:sz w:val="28"/>
          <w:szCs w:val="28"/>
          <w:highlight w:val="none"/>
        </w:rPr>
      </w:pPr>
    </w:p>
    <w:p>
      <w:pPr>
        <w:pStyle w:val="13"/>
        <w:rPr>
          <w:rFonts w:ascii="仿宋_GB2312" w:eastAsia="仿宋_GB2312"/>
          <w:color w:val="auto"/>
          <w:sz w:val="28"/>
          <w:szCs w:val="28"/>
          <w:highlight w:val="none"/>
        </w:rPr>
      </w:pPr>
    </w:p>
    <w:p>
      <w:pPr>
        <w:rPr>
          <w:rFonts w:ascii="仿宋_GB2312" w:eastAsia="仿宋_GB2312"/>
          <w:color w:val="auto"/>
          <w:sz w:val="28"/>
          <w:szCs w:val="28"/>
          <w:highlight w:val="none"/>
        </w:rPr>
      </w:pPr>
    </w:p>
    <w:p>
      <w:pPr>
        <w:pStyle w:val="12"/>
        <w:rPr>
          <w:rFonts w:ascii="仿宋_GB2312" w:eastAsia="仿宋_GB2312"/>
          <w:color w:val="auto"/>
          <w:sz w:val="28"/>
          <w:szCs w:val="28"/>
          <w:highlight w:val="none"/>
        </w:rPr>
      </w:pPr>
    </w:p>
    <w:p>
      <w:pPr>
        <w:pStyle w:val="13"/>
      </w:pPr>
    </w:p>
    <w:p>
      <w:pPr>
        <w:pStyle w:val="13"/>
        <w:rPr>
          <w:rFonts w:ascii="仿宋_GB2312" w:eastAsia="仿宋_GB2312"/>
          <w:color w:val="auto"/>
          <w:sz w:val="28"/>
          <w:szCs w:val="28"/>
          <w:highlight w:val="none"/>
        </w:rPr>
      </w:pPr>
    </w:p>
    <w:p>
      <w:pPr>
        <w:spacing w:line="360" w:lineRule="auto"/>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一、项目概况</w:t>
      </w:r>
    </w:p>
    <w:p>
      <w:pPr>
        <w:pStyle w:val="21"/>
        <w:ind w:firstLine="480" w:firstLineChars="200"/>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rPr>
        <w:t>甲方进行净水厂中试试验</w:t>
      </w:r>
      <w:r>
        <w:rPr>
          <w:rFonts w:hint="eastAsia" w:ascii="仿宋" w:hAnsi="仿宋" w:eastAsia="仿宋" w:cs="仿宋"/>
          <w:color w:val="auto"/>
          <w:kern w:val="2"/>
          <w:sz w:val="24"/>
          <w:szCs w:val="24"/>
          <w:highlight w:val="none"/>
        </w:rPr>
        <w:t>，委托</w:t>
      </w:r>
      <w:r>
        <w:rPr>
          <w:rFonts w:hint="eastAsia" w:ascii="仿宋" w:hAnsi="仿宋" w:eastAsia="仿宋" w:cs="仿宋"/>
          <w:color w:val="auto"/>
          <w:kern w:val="2"/>
          <w:sz w:val="24"/>
          <w:szCs w:val="24"/>
          <w:highlight w:val="none"/>
          <w:lang w:val="en-US" w:eastAsia="zh-CN"/>
        </w:rPr>
        <w:t>乙方</w:t>
      </w:r>
      <w:r>
        <w:rPr>
          <w:rFonts w:hint="eastAsia" w:ascii="仿宋" w:hAnsi="仿宋" w:eastAsia="仿宋" w:cs="仿宋"/>
          <w:color w:val="auto"/>
          <w:kern w:val="2"/>
          <w:sz w:val="24"/>
          <w:szCs w:val="24"/>
          <w:highlight w:val="none"/>
        </w:rPr>
        <w:t>完成相关样品采样、检测工作并出具相关报告。</w:t>
      </w:r>
    </w:p>
    <w:p>
      <w:pPr>
        <w:ind w:firstLine="482" w:firstLineChars="200"/>
        <w:rPr>
          <w:rFonts w:hint="default" w:ascii="仿宋" w:hAnsi="仿宋" w:eastAsia="仿宋" w:cs="仿宋"/>
          <w:color w:val="auto"/>
          <w:kern w:val="2"/>
          <w:sz w:val="24"/>
          <w:szCs w:val="24"/>
          <w:highlight w:val="none"/>
          <w:lang w:val="en-US" w:eastAsia="zh-CN"/>
        </w:rPr>
      </w:pPr>
      <w:r>
        <w:rPr>
          <w:rFonts w:hint="eastAsia" w:ascii="仿宋" w:hAnsi="仿宋" w:eastAsia="仿宋" w:cs="仿宋"/>
          <w:b/>
          <w:bCs/>
          <w:sz w:val="24"/>
          <w:szCs w:val="24"/>
          <w:highlight w:val="none"/>
        </w:rPr>
        <w:t>二、项目技术要求</w:t>
      </w:r>
    </w:p>
    <w:p>
      <w:pPr>
        <w:pStyle w:val="21"/>
        <w:rPr>
          <w:rFonts w:hint="default"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1.</w:t>
      </w:r>
      <w:r>
        <w:rPr>
          <w:rFonts w:hint="eastAsia" w:ascii="仿宋" w:hAnsi="仿宋" w:eastAsia="仿宋" w:cs="仿宋"/>
          <w:color w:val="auto"/>
          <w:kern w:val="2"/>
          <w:sz w:val="24"/>
          <w:szCs w:val="24"/>
          <w:highlight w:val="none"/>
        </w:rPr>
        <w:t>检测范围</w:t>
      </w: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lang w:val="en-US" w:eastAsia="zh-CN"/>
        </w:rPr>
        <w:t>检测项目及检测频次</w:t>
      </w:r>
    </w:p>
    <w:p>
      <w:pPr>
        <w:pStyle w:val="21"/>
        <w:rPr>
          <w:rFonts w:hint="eastAsia" w:ascii="仿宋" w:hAnsi="仿宋" w:eastAsia="仿宋" w:cs="仿宋"/>
          <w:sz w:val="24"/>
          <w:szCs w:val="24"/>
          <w:highlight w:val="none"/>
        </w:rPr>
      </w:pPr>
      <w:r>
        <w:rPr>
          <w:rFonts w:hint="eastAsia" w:ascii="仿宋" w:hAnsi="仿宋" w:eastAsia="仿宋" w:cs="仿宋"/>
          <w:color w:val="auto"/>
          <w:kern w:val="2"/>
          <w:sz w:val="24"/>
          <w:szCs w:val="24"/>
          <w:highlight w:val="none"/>
          <w:lang w:val="en-US" w:eastAsia="zh-CN"/>
        </w:rPr>
        <w:t>对甲方的净水厂中试试验全流程所产生的样品进行检测，采样地点暂定为大坦沙分公司和沥滘分公司，具体检测项目详见《检测项目清单》（见表2）</w:t>
      </w:r>
      <w:r>
        <w:rPr>
          <w:rFonts w:hint="eastAsia" w:ascii="仿宋" w:hAnsi="仿宋" w:eastAsia="仿宋" w:cs="仿宋"/>
          <w:color w:val="auto"/>
          <w:kern w:val="2"/>
          <w:sz w:val="24"/>
          <w:szCs w:val="24"/>
          <w:highlight w:val="none"/>
        </w:rPr>
        <w:t>。</w:t>
      </w:r>
      <w:r>
        <w:rPr>
          <w:rFonts w:hint="eastAsia" w:ascii="仿宋" w:hAnsi="仿宋" w:eastAsia="仿宋" w:cs="仿宋"/>
          <w:sz w:val="24"/>
          <w:szCs w:val="24"/>
          <w:highlight w:val="none"/>
        </w:rPr>
        <w:t>在检测</w:t>
      </w:r>
      <w:r>
        <w:rPr>
          <w:rFonts w:hint="eastAsia" w:ascii="仿宋" w:hAnsi="仿宋" w:eastAsia="仿宋" w:cs="仿宋"/>
          <w:sz w:val="24"/>
          <w:szCs w:val="24"/>
          <w:highlight w:val="none"/>
          <w:lang w:val="en-US" w:eastAsia="zh-CN"/>
        </w:rPr>
        <w:t>项目不变</w:t>
      </w:r>
      <w:r>
        <w:rPr>
          <w:rFonts w:hint="eastAsia" w:ascii="仿宋" w:hAnsi="仿宋" w:eastAsia="仿宋" w:cs="仿宋"/>
          <w:sz w:val="24"/>
          <w:szCs w:val="24"/>
          <w:highlight w:val="none"/>
        </w:rPr>
        <w:t>的前提下，</w:t>
      </w:r>
      <w:r>
        <w:rPr>
          <w:rFonts w:hint="eastAsia" w:ascii="仿宋" w:hAnsi="仿宋" w:eastAsia="仿宋" w:cs="仿宋"/>
          <w:sz w:val="24"/>
          <w:szCs w:val="24"/>
          <w:highlight w:val="none"/>
          <w:lang w:val="en-US" w:eastAsia="zh-CN"/>
        </w:rPr>
        <w:t>检测数量、检测频次可以</w:t>
      </w:r>
      <w:r>
        <w:rPr>
          <w:rFonts w:hint="eastAsia" w:ascii="仿宋" w:hAnsi="仿宋" w:eastAsia="仿宋" w:cs="仿宋"/>
          <w:sz w:val="24"/>
          <w:szCs w:val="24"/>
          <w:highlight w:val="none"/>
        </w:rPr>
        <w:t>根据</w:t>
      </w:r>
      <w:r>
        <w:rPr>
          <w:rFonts w:hint="eastAsia" w:ascii="仿宋" w:hAnsi="仿宋" w:eastAsia="仿宋" w:cs="仿宋"/>
          <w:sz w:val="24"/>
          <w:szCs w:val="24"/>
          <w:highlight w:val="none"/>
          <w:lang w:val="en-US" w:eastAsia="zh-CN"/>
        </w:rPr>
        <w:t>甲方</w:t>
      </w:r>
      <w:r>
        <w:rPr>
          <w:rFonts w:hint="default" w:ascii="仿宋" w:hAnsi="仿宋" w:eastAsia="仿宋" w:cs="仿宋"/>
          <w:sz w:val="24"/>
          <w:szCs w:val="24"/>
          <w:highlight w:val="none"/>
          <w:lang w:val="en-US" w:eastAsia="zh-CN"/>
        </w:rPr>
        <w:t>研究</w:t>
      </w:r>
      <w:r>
        <w:rPr>
          <w:rFonts w:hint="eastAsia" w:ascii="仿宋" w:hAnsi="仿宋" w:eastAsia="仿宋" w:cs="仿宋"/>
          <w:sz w:val="24"/>
          <w:szCs w:val="24"/>
          <w:highlight w:val="none"/>
          <w:lang w:val="en-US" w:eastAsia="zh-CN"/>
        </w:rPr>
        <w:t>试验需要</w:t>
      </w:r>
      <w:r>
        <w:rPr>
          <w:rFonts w:hint="eastAsia" w:ascii="仿宋" w:hAnsi="仿宋" w:eastAsia="仿宋" w:cs="仿宋"/>
          <w:sz w:val="24"/>
          <w:szCs w:val="24"/>
          <w:highlight w:val="none"/>
        </w:rPr>
        <w:t>做出调整。</w:t>
      </w:r>
    </w:p>
    <w:p>
      <w:pPr>
        <w:pStyle w:val="21"/>
        <w:ind w:firstLine="0"/>
        <w:jc w:val="center"/>
        <w:rPr>
          <w:rFonts w:hint="eastAsia" w:cs="宋体"/>
          <w:b/>
          <w:bCs/>
          <w:szCs w:val="21"/>
          <w:highlight w:val="none"/>
          <w:lang w:val="en-US" w:eastAsia="zh-CN"/>
        </w:rPr>
      </w:pPr>
      <w:r>
        <w:rPr>
          <w:rFonts w:hint="eastAsia" w:cs="宋体"/>
          <w:b/>
          <w:bCs/>
          <w:szCs w:val="21"/>
          <w:highlight w:val="none"/>
          <w:lang w:val="en-US" w:eastAsia="zh-CN"/>
        </w:rPr>
        <w:t>表2 检测项目清单</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1215"/>
        <w:gridCol w:w="3390"/>
        <w:gridCol w:w="1365"/>
        <w:gridCol w:w="720"/>
        <w:gridCol w:w="690"/>
        <w:gridCol w:w="1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41" w:type="dxa"/>
            <w:vAlign w:val="center"/>
          </w:tcPr>
          <w:p>
            <w:pPr>
              <w:widowControl/>
              <w:spacing w:before="156" w:beforeLines="50" w:after="156" w:afterLines="50" w:line="360" w:lineRule="auto"/>
              <w:jc w:val="center"/>
              <w:rPr>
                <w:rFonts w:hint="eastAsia"/>
                <w:sz w:val="20"/>
                <w:szCs w:val="20"/>
                <w:vertAlign w:val="baseline"/>
                <w:lang w:val="en-US" w:eastAsia="zh-CN"/>
              </w:rPr>
            </w:pPr>
            <w:r>
              <w:rPr>
                <w:rFonts w:ascii="Times New Roman" w:hAnsi="Times New Roman" w:eastAsia="宋体" w:cs="Times New Roman"/>
                <w:kern w:val="0"/>
                <w:sz w:val="20"/>
                <w:szCs w:val="20"/>
              </w:rPr>
              <w:t>序号</w:t>
            </w:r>
          </w:p>
        </w:tc>
        <w:tc>
          <w:tcPr>
            <w:tcW w:w="1215" w:type="dxa"/>
            <w:vAlign w:val="center"/>
          </w:tcPr>
          <w:p>
            <w:pPr>
              <w:widowControl/>
              <w:spacing w:before="156" w:beforeLines="50" w:after="156" w:afterLines="50" w:line="360" w:lineRule="auto"/>
              <w:jc w:val="center"/>
              <w:rPr>
                <w:rFonts w:hint="eastAsia"/>
                <w:sz w:val="20"/>
                <w:szCs w:val="20"/>
                <w:vertAlign w:val="baseline"/>
                <w:lang w:val="en-US" w:eastAsia="zh-CN"/>
              </w:rPr>
            </w:pPr>
            <w:r>
              <w:rPr>
                <w:rFonts w:hint="eastAsia" w:ascii="Times New Roman" w:hAnsi="Times New Roman" w:eastAsia="宋体" w:cs="Times New Roman"/>
                <w:kern w:val="0"/>
                <w:sz w:val="20"/>
                <w:szCs w:val="20"/>
              </w:rPr>
              <w:t>检测项目</w:t>
            </w:r>
          </w:p>
        </w:tc>
        <w:tc>
          <w:tcPr>
            <w:tcW w:w="3390" w:type="dxa"/>
            <w:vAlign w:val="center"/>
          </w:tcPr>
          <w:p>
            <w:pPr>
              <w:widowControl/>
              <w:spacing w:before="156" w:beforeLines="50" w:after="156" w:afterLines="50" w:line="360" w:lineRule="auto"/>
              <w:jc w:val="center"/>
              <w:rPr>
                <w:rFonts w:hint="eastAsia"/>
                <w:sz w:val="20"/>
                <w:szCs w:val="20"/>
                <w:vertAlign w:val="baseline"/>
                <w:lang w:val="en-US" w:eastAsia="zh-CN"/>
              </w:rPr>
            </w:pPr>
            <w:r>
              <w:rPr>
                <w:rFonts w:hint="eastAsia" w:ascii="Times New Roman" w:hAnsi="Times New Roman" w:eastAsia="宋体" w:cs="Times New Roman"/>
                <w:kern w:val="0"/>
                <w:sz w:val="20"/>
                <w:szCs w:val="20"/>
              </w:rPr>
              <w:t>主要</w:t>
            </w:r>
            <w:r>
              <w:rPr>
                <w:rFonts w:ascii="Times New Roman" w:hAnsi="Times New Roman" w:eastAsia="宋体" w:cs="Times New Roman"/>
                <w:kern w:val="0"/>
                <w:sz w:val="20"/>
                <w:szCs w:val="20"/>
              </w:rPr>
              <w:t>检测内容</w:t>
            </w:r>
          </w:p>
        </w:tc>
        <w:tc>
          <w:tcPr>
            <w:tcW w:w="1365" w:type="dxa"/>
            <w:vAlign w:val="center"/>
          </w:tcPr>
          <w:p>
            <w:pPr>
              <w:widowControl/>
              <w:spacing w:before="156" w:beforeLines="50" w:after="156" w:afterLines="50" w:line="360" w:lineRule="auto"/>
              <w:jc w:val="center"/>
              <w:rPr>
                <w:rFonts w:hint="eastAsia"/>
                <w:sz w:val="20"/>
                <w:szCs w:val="20"/>
                <w:vertAlign w:val="baseline"/>
                <w:lang w:val="en-US" w:eastAsia="zh-CN"/>
              </w:rPr>
            </w:pPr>
            <w:r>
              <w:rPr>
                <w:rFonts w:hint="eastAsia" w:ascii="Times New Roman" w:hAnsi="Times New Roman" w:eastAsia="宋体" w:cs="Times New Roman"/>
                <w:kern w:val="0"/>
                <w:sz w:val="20"/>
                <w:szCs w:val="20"/>
              </w:rPr>
              <w:t>检测频次</w:t>
            </w:r>
          </w:p>
        </w:tc>
        <w:tc>
          <w:tcPr>
            <w:tcW w:w="720" w:type="dxa"/>
            <w:vAlign w:val="center"/>
          </w:tcPr>
          <w:p>
            <w:pPr>
              <w:widowControl/>
              <w:spacing w:before="156" w:beforeLines="50" w:after="156" w:afterLines="50" w:line="360" w:lineRule="auto"/>
              <w:jc w:val="center"/>
              <w:rPr>
                <w:rFonts w:hint="eastAsia"/>
                <w:sz w:val="20"/>
                <w:szCs w:val="20"/>
                <w:vertAlign w:val="baseline"/>
                <w:lang w:val="en-US" w:eastAsia="zh-CN"/>
              </w:rPr>
            </w:pPr>
            <w:r>
              <w:rPr>
                <w:rFonts w:ascii="Times New Roman" w:hAnsi="Times New Roman" w:eastAsia="宋体" w:cs="Times New Roman"/>
                <w:kern w:val="0"/>
                <w:sz w:val="20"/>
                <w:szCs w:val="20"/>
              </w:rPr>
              <w:t>数量</w:t>
            </w:r>
          </w:p>
        </w:tc>
        <w:tc>
          <w:tcPr>
            <w:tcW w:w="690" w:type="dxa"/>
            <w:tcMar>
              <w:top w:w="0" w:type="dxa"/>
              <w:left w:w="108" w:type="dxa"/>
              <w:bottom w:w="0" w:type="dxa"/>
              <w:right w:w="108" w:type="dxa"/>
            </w:tcMar>
            <w:vAlign w:val="center"/>
          </w:tcPr>
          <w:p/>
          <w:p>
            <w:pPr>
              <w:spacing w:before="156" w:beforeLines="50" w:after="156" w:afterLines="50" w:line="360" w:lineRule="auto"/>
              <w:jc w:val="center"/>
              <w:rPr>
                <w:rFonts w:hint="eastAsia"/>
                <w:sz w:val="20"/>
                <w:szCs w:val="20"/>
                <w:vertAlign w:val="baseline"/>
                <w:lang w:val="en-US" w:eastAsia="zh-CN"/>
              </w:rPr>
            </w:pPr>
            <w:r>
              <w:rPr>
                <w:rFonts w:ascii="Times New Roman" w:hAnsi="Times New Roman" w:eastAsia="宋体" w:cs="Times New Roman"/>
                <w:kern w:val="0"/>
                <w:sz w:val="20"/>
                <w:szCs w:val="20"/>
              </w:rPr>
              <w:t>单位</w:t>
            </w:r>
          </w:p>
        </w:tc>
        <w:tc>
          <w:tcPr>
            <w:tcW w:w="1039" w:type="dxa"/>
            <w:vAlign w:val="center"/>
          </w:tcPr>
          <w:p>
            <w:pPr>
              <w:pStyle w:val="21"/>
              <w:ind w:firstLine="0"/>
              <w:jc w:val="center"/>
              <w:rPr>
                <w:rFonts w:hint="eastAsia"/>
                <w:sz w:val="20"/>
                <w:szCs w:val="20"/>
                <w:vertAlign w:val="baseline"/>
                <w:lang w:val="en-US" w:eastAsia="zh-CN"/>
              </w:rPr>
            </w:pPr>
            <w:r>
              <w:rPr>
                <w:rFonts w:ascii="Times New Roman" w:hAnsi="Times New Roman" w:eastAsia="宋体" w:cs="Times New Roman"/>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pPr>
              <w:widowControl/>
              <w:spacing w:before="156" w:beforeLines="50" w:after="156" w:afterLines="50" w:line="360" w:lineRule="auto"/>
              <w:jc w:val="center"/>
              <w:rPr>
                <w:rFonts w:hint="eastAsia"/>
                <w:vertAlign w:val="baseline"/>
                <w:lang w:val="en-US" w:eastAsia="zh-CN"/>
              </w:rPr>
            </w:pPr>
            <w:r>
              <w:rPr>
                <w:rFonts w:ascii="Times New Roman" w:hAnsi="Times New Roman" w:eastAsia="宋体" w:cs="Times New Roman"/>
                <w:kern w:val="0"/>
                <w:szCs w:val="21"/>
              </w:rPr>
              <w:t>1</w:t>
            </w:r>
          </w:p>
        </w:tc>
        <w:tc>
          <w:tcPr>
            <w:tcW w:w="1215" w:type="dxa"/>
            <w:vAlign w:val="center"/>
          </w:tcPr>
          <w:p>
            <w:pPr>
              <w:widowControl/>
              <w:spacing w:before="156" w:beforeLines="50" w:after="156" w:afterLines="50" w:line="360" w:lineRule="auto"/>
              <w:jc w:val="center"/>
              <w:rPr>
                <w:rFonts w:hint="eastAsia"/>
                <w:vertAlign w:val="baseline"/>
                <w:lang w:val="en-US" w:eastAsia="zh-CN"/>
              </w:rPr>
            </w:pPr>
            <w:r>
              <w:rPr>
                <w:rFonts w:hint="eastAsia" w:ascii="Times New Roman" w:hAnsi="Times New Roman" w:eastAsia="宋体" w:cs="Times New Roman"/>
                <w:kern w:val="0"/>
                <w:szCs w:val="21"/>
              </w:rPr>
              <w:t>常规水质指标分析</w:t>
            </w:r>
          </w:p>
        </w:tc>
        <w:tc>
          <w:tcPr>
            <w:tcW w:w="3390" w:type="dxa"/>
            <w:vAlign w:val="center"/>
          </w:tcPr>
          <w:p>
            <w:pPr>
              <w:widowControl/>
              <w:spacing w:before="156" w:beforeLines="50" w:after="156" w:afterLines="50" w:line="360" w:lineRule="auto"/>
              <w:jc w:val="center"/>
              <w:rPr>
                <w:rFonts w:hint="eastAsia"/>
                <w:vertAlign w:val="baseline"/>
                <w:lang w:val="en-US" w:eastAsia="zh-CN"/>
              </w:rPr>
            </w:pPr>
            <w:r>
              <w:rPr>
                <w:rFonts w:hint="eastAsia" w:ascii="Times New Roman" w:hAnsi="Times New Roman" w:eastAsia="宋体" w:cs="Times New Roman"/>
                <w:kern w:val="0"/>
                <w:szCs w:val="21"/>
              </w:rPr>
              <w:t>试验装置进出水水质，包括pH、SS、</w:t>
            </w:r>
            <w:r>
              <w:rPr>
                <w:rFonts w:ascii="Times New Roman" w:hAnsi="Times New Roman" w:eastAsia="宋体" w:cs="Times New Roman"/>
                <w:kern w:val="0"/>
                <w:szCs w:val="21"/>
              </w:rPr>
              <w:t>COD</w:t>
            </w:r>
            <w:r>
              <w:rPr>
                <w:rFonts w:hint="eastAsia" w:ascii="Times New Roman" w:hAnsi="Times New Roman" w:eastAsia="宋体" w:cs="Times New Roman"/>
                <w:kern w:val="0"/>
                <w:szCs w:val="21"/>
                <w:vertAlign w:val="subscript"/>
              </w:rPr>
              <w:t>Cr</w:t>
            </w:r>
            <w:r>
              <w:rPr>
                <w:rFonts w:ascii="Times New Roman" w:hAnsi="Times New Roman" w:eastAsia="宋体" w:cs="Times New Roman"/>
                <w:kern w:val="0"/>
                <w:szCs w:val="21"/>
              </w:rPr>
              <w:t>、BOD</w:t>
            </w:r>
            <w:r>
              <w:rPr>
                <w:rFonts w:ascii="Times New Roman" w:hAnsi="Times New Roman" w:eastAsia="宋体" w:cs="Times New Roman"/>
                <w:kern w:val="0"/>
                <w:szCs w:val="21"/>
                <w:vertAlign w:val="subscript"/>
              </w:rPr>
              <w:t>5</w:t>
            </w:r>
            <w:r>
              <w:rPr>
                <w:rFonts w:ascii="Times New Roman" w:hAnsi="Times New Roman" w:eastAsia="宋体" w:cs="Times New Roman"/>
                <w:kern w:val="0"/>
                <w:szCs w:val="21"/>
              </w:rPr>
              <w:t>、TN、NH</w:t>
            </w:r>
            <w:r>
              <w:rPr>
                <w:rFonts w:ascii="Times New Roman" w:hAnsi="Times New Roman" w:eastAsia="宋体" w:cs="Times New Roman"/>
                <w:kern w:val="0"/>
                <w:szCs w:val="21"/>
                <w:vertAlign w:val="subscript"/>
              </w:rPr>
              <w:t>3</w:t>
            </w:r>
            <w:r>
              <w:rPr>
                <w:rFonts w:ascii="Times New Roman" w:hAnsi="Times New Roman" w:eastAsia="宋体" w:cs="Times New Roman"/>
                <w:kern w:val="0"/>
                <w:szCs w:val="21"/>
              </w:rPr>
              <w:t>-</w:t>
            </w:r>
            <w:r>
              <w:rPr>
                <w:rFonts w:hint="eastAsia" w:ascii="Times New Roman" w:hAnsi="Times New Roman" w:eastAsia="宋体" w:cs="Times New Roman"/>
                <w:kern w:val="0"/>
                <w:szCs w:val="21"/>
              </w:rPr>
              <w:t>N</w:t>
            </w:r>
            <w:r>
              <w:rPr>
                <w:rFonts w:ascii="Times New Roman" w:hAnsi="Times New Roman" w:eastAsia="宋体" w:cs="Times New Roman"/>
                <w:kern w:val="0"/>
                <w:szCs w:val="21"/>
              </w:rPr>
              <w:t>、TP</w:t>
            </w:r>
            <w:r>
              <w:rPr>
                <w:rFonts w:hint="eastAsia" w:ascii="Times New Roman" w:hAnsi="Times New Roman" w:eastAsia="宋体" w:cs="Times New Roman"/>
                <w:kern w:val="0"/>
                <w:szCs w:val="21"/>
              </w:rPr>
              <w:t>、类大肠菌群数</w:t>
            </w:r>
            <w:r>
              <w:rPr>
                <w:rFonts w:ascii="Times New Roman" w:hAnsi="Times New Roman" w:eastAsia="宋体" w:cs="Times New Roman"/>
                <w:kern w:val="0"/>
                <w:szCs w:val="21"/>
              </w:rPr>
              <w:t>等常规</w:t>
            </w:r>
            <w:r>
              <w:rPr>
                <w:rFonts w:hint="eastAsia" w:ascii="Times New Roman" w:hAnsi="Times New Roman" w:eastAsia="宋体" w:cs="Times New Roman"/>
                <w:kern w:val="0"/>
                <w:szCs w:val="21"/>
              </w:rPr>
              <w:t>水质</w:t>
            </w:r>
            <w:r>
              <w:rPr>
                <w:rFonts w:ascii="Times New Roman" w:hAnsi="Times New Roman" w:eastAsia="宋体" w:cs="Times New Roman"/>
                <w:kern w:val="0"/>
                <w:szCs w:val="21"/>
              </w:rPr>
              <w:t>指标</w:t>
            </w:r>
          </w:p>
        </w:tc>
        <w:tc>
          <w:tcPr>
            <w:tcW w:w="1365" w:type="dxa"/>
            <w:vAlign w:val="center"/>
          </w:tcPr>
          <w:p>
            <w:pPr>
              <w:widowControl/>
              <w:spacing w:before="156" w:beforeLines="50" w:after="156" w:afterLines="50" w:line="360" w:lineRule="auto"/>
              <w:jc w:val="center"/>
              <w:rPr>
                <w:rFonts w:hint="eastAsia"/>
                <w:vertAlign w:val="baseline"/>
                <w:lang w:val="en-US" w:eastAsia="zh-CN"/>
              </w:rPr>
            </w:pPr>
            <w:r>
              <w:rPr>
                <w:rFonts w:hint="eastAsia" w:ascii="Times New Roman" w:hAnsi="Times New Roman" w:eastAsia="宋体" w:cs="Times New Roman"/>
                <w:kern w:val="0"/>
                <w:szCs w:val="21"/>
              </w:rPr>
              <w:t>每周2次，1年共1</w:t>
            </w:r>
            <w:r>
              <w:rPr>
                <w:rFonts w:ascii="Times New Roman" w:hAnsi="Times New Roman" w:eastAsia="宋体" w:cs="Times New Roman"/>
                <w:kern w:val="0"/>
                <w:szCs w:val="21"/>
              </w:rPr>
              <w:t>00</w:t>
            </w:r>
            <w:r>
              <w:rPr>
                <w:rFonts w:hint="eastAsia" w:ascii="Times New Roman" w:hAnsi="Times New Roman" w:eastAsia="宋体" w:cs="Times New Roman"/>
                <w:kern w:val="0"/>
                <w:szCs w:val="21"/>
              </w:rPr>
              <w:t>次</w:t>
            </w:r>
          </w:p>
        </w:tc>
        <w:tc>
          <w:tcPr>
            <w:tcW w:w="720" w:type="dxa"/>
            <w:vAlign w:val="center"/>
          </w:tcPr>
          <w:p>
            <w:pPr>
              <w:widowControl/>
              <w:spacing w:before="156" w:beforeLines="50" w:after="156" w:afterLines="50" w:line="360" w:lineRule="auto"/>
              <w:jc w:val="center"/>
              <w:rPr>
                <w:rFonts w:hint="eastAsia"/>
                <w:vertAlign w:val="baseline"/>
                <w:lang w:val="en-US" w:eastAsia="zh-CN"/>
              </w:rPr>
            </w:pPr>
            <w:r>
              <w:rPr>
                <w:rFonts w:ascii="Times New Roman" w:hAnsi="Times New Roman" w:eastAsia="宋体" w:cs="Times New Roman"/>
                <w:kern w:val="0"/>
                <w:szCs w:val="21"/>
              </w:rPr>
              <w:t>100</w:t>
            </w:r>
          </w:p>
        </w:tc>
        <w:tc>
          <w:tcPr>
            <w:tcW w:w="690" w:type="dxa"/>
            <w:vAlign w:val="center"/>
          </w:tcPr>
          <w:p>
            <w:pPr>
              <w:widowControl/>
              <w:spacing w:before="156" w:beforeLines="50" w:after="156" w:afterLines="50" w:line="360" w:lineRule="auto"/>
              <w:jc w:val="center"/>
              <w:rPr>
                <w:rFonts w:hint="eastAsia"/>
                <w:vertAlign w:val="baseline"/>
                <w:lang w:val="en-US" w:eastAsia="zh-CN"/>
              </w:rPr>
            </w:pPr>
            <w:r>
              <w:rPr>
                <w:rFonts w:hint="eastAsia" w:ascii="Times New Roman" w:hAnsi="Times New Roman" w:eastAsia="宋体" w:cs="Times New Roman"/>
                <w:kern w:val="0"/>
                <w:szCs w:val="21"/>
              </w:rPr>
              <w:t>次</w:t>
            </w:r>
          </w:p>
        </w:tc>
        <w:tc>
          <w:tcPr>
            <w:tcW w:w="1039" w:type="dxa"/>
            <w:vAlign w:val="center"/>
          </w:tcPr>
          <w:p>
            <w:pPr>
              <w:pStyle w:val="21"/>
              <w:jc w:val="center"/>
              <w:rPr>
                <w:rFonts w:hint="eastAsia"/>
                <w:vertAlign w:val="baseline"/>
                <w:lang w:val="en-US" w:eastAsia="zh-CN"/>
              </w:rPr>
            </w:pPr>
            <w:r>
              <w:rPr>
                <w:rFonts w:hint="eastAsia" w:ascii="Times New Roman" w:hAnsi="Times New Roman" w:eastAsia="宋体" w:cs="Times New Roman"/>
                <w:kern w:val="0"/>
                <w:szCs w:val="21"/>
              </w:rPr>
              <w:t>检测报告（盖资质章）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pPr>
              <w:widowControl/>
              <w:spacing w:before="156" w:beforeLines="50" w:after="156" w:afterLines="50" w:line="360" w:lineRule="auto"/>
              <w:jc w:val="center"/>
              <w:rPr>
                <w:rFonts w:hint="eastAsia"/>
                <w:vertAlign w:val="baseline"/>
                <w:lang w:val="en-US" w:eastAsia="zh-CN"/>
              </w:rPr>
            </w:pPr>
            <w:r>
              <w:rPr>
                <w:rFonts w:ascii="Times New Roman" w:hAnsi="Times New Roman" w:eastAsia="宋体" w:cs="Times New Roman"/>
                <w:kern w:val="0"/>
                <w:szCs w:val="21"/>
              </w:rPr>
              <w:t>2</w:t>
            </w:r>
          </w:p>
        </w:tc>
        <w:tc>
          <w:tcPr>
            <w:tcW w:w="1215" w:type="dxa"/>
            <w:vAlign w:val="center"/>
          </w:tcPr>
          <w:p>
            <w:pPr>
              <w:widowControl/>
              <w:spacing w:before="156" w:beforeLines="50" w:after="156" w:afterLines="50" w:line="360" w:lineRule="auto"/>
              <w:jc w:val="center"/>
              <w:rPr>
                <w:rFonts w:hint="eastAsia"/>
                <w:vertAlign w:val="baseline"/>
                <w:lang w:val="en-US" w:eastAsia="zh-CN"/>
              </w:rPr>
            </w:pPr>
            <w:r>
              <w:rPr>
                <w:rFonts w:hint="eastAsia" w:ascii="Times New Roman" w:hAnsi="Times New Roman" w:eastAsia="宋体" w:cs="Times New Roman"/>
                <w:kern w:val="0"/>
                <w:sz w:val="20"/>
                <w:szCs w:val="20"/>
              </w:rPr>
              <w:t>内碳源系统发酵上清液挥发酸分析</w:t>
            </w:r>
          </w:p>
        </w:tc>
        <w:tc>
          <w:tcPr>
            <w:tcW w:w="3390" w:type="dxa"/>
            <w:vAlign w:val="center"/>
          </w:tcPr>
          <w:p>
            <w:pPr>
              <w:widowControl/>
              <w:spacing w:before="156" w:beforeLines="50" w:after="156" w:afterLines="50" w:line="360" w:lineRule="auto"/>
              <w:jc w:val="center"/>
              <w:rPr>
                <w:rFonts w:hint="eastAsia"/>
                <w:vertAlign w:val="baseline"/>
                <w:lang w:val="en-US" w:eastAsia="zh-CN"/>
              </w:rPr>
            </w:pPr>
            <w:r>
              <w:rPr>
                <w:rFonts w:hint="eastAsia" w:ascii="Times New Roman" w:hAnsi="Times New Roman" w:eastAsia="宋体" w:cs="Times New Roman"/>
                <w:kern w:val="0"/>
                <w:sz w:val="20"/>
                <w:szCs w:val="20"/>
              </w:rPr>
              <w:t>采用</w:t>
            </w:r>
            <w:r>
              <w:rPr>
                <w:rFonts w:ascii="Times New Roman" w:hAnsi="Times New Roman" w:eastAsia="宋体" w:cs="Times New Roman"/>
                <w:kern w:val="0"/>
                <w:sz w:val="20"/>
                <w:szCs w:val="20"/>
              </w:rPr>
              <w:t>气相色谱</w:t>
            </w:r>
            <w:r>
              <w:rPr>
                <w:rFonts w:hint="eastAsia" w:ascii="Times New Roman" w:hAnsi="Times New Roman" w:eastAsia="宋体" w:cs="Times New Roman"/>
                <w:kern w:val="0"/>
                <w:sz w:val="20"/>
                <w:szCs w:val="20"/>
              </w:rPr>
              <w:t>分析乙酸、丙酸、丁酸等挥发性脂肪酸浓度</w:t>
            </w:r>
          </w:p>
        </w:tc>
        <w:tc>
          <w:tcPr>
            <w:tcW w:w="1365" w:type="dxa"/>
            <w:vAlign w:val="center"/>
          </w:tcPr>
          <w:p>
            <w:pPr>
              <w:widowControl/>
              <w:spacing w:before="156" w:beforeLines="50" w:after="156" w:afterLines="50" w:line="360" w:lineRule="auto"/>
              <w:jc w:val="center"/>
              <w:rPr>
                <w:rFonts w:hint="eastAsia"/>
                <w:vertAlign w:val="baseline"/>
                <w:lang w:val="en-US" w:eastAsia="zh-CN"/>
              </w:rPr>
            </w:pPr>
            <w:r>
              <w:rPr>
                <w:rFonts w:hint="eastAsia" w:ascii="Times New Roman" w:hAnsi="Times New Roman" w:eastAsia="宋体" w:cs="Times New Roman"/>
                <w:kern w:val="0"/>
                <w:sz w:val="20"/>
                <w:szCs w:val="20"/>
              </w:rPr>
              <w:t>试验期间内每月1次，每次</w:t>
            </w:r>
            <w:r>
              <w:rPr>
                <w:rFonts w:ascii="Times New Roman" w:hAnsi="Times New Roman" w:eastAsia="宋体" w:cs="Times New Roman"/>
                <w:kern w:val="0"/>
                <w:sz w:val="20"/>
                <w:szCs w:val="20"/>
              </w:rPr>
              <w:t>10</w:t>
            </w:r>
            <w:r>
              <w:rPr>
                <w:rFonts w:hint="eastAsia" w:ascii="Times New Roman" w:hAnsi="Times New Roman" w:eastAsia="宋体" w:cs="Times New Roman"/>
                <w:kern w:val="0"/>
                <w:sz w:val="20"/>
                <w:szCs w:val="20"/>
              </w:rPr>
              <w:t>个样，小计1</w:t>
            </w:r>
            <w:r>
              <w:rPr>
                <w:rFonts w:ascii="Times New Roman" w:hAnsi="Times New Roman" w:eastAsia="宋体" w:cs="Times New Roman"/>
                <w:kern w:val="0"/>
                <w:sz w:val="20"/>
                <w:szCs w:val="20"/>
              </w:rPr>
              <w:t>20</w:t>
            </w:r>
            <w:r>
              <w:rPr>
                <w:rFonts w:hint="eastAsia" w:ascii="Times New Roman" w:hAnsi="Times New Roman" w:eastAsia="宋体" w:cs="Times New Roman"/>
                <w:kern w:val="0"/>
                <w:sz w:val="20"/>
                <w:szCs w:val="20"/>
              </w:rPr>
              <w:t>个样</w:t>
            </w:r>
          </w:p>
        </w:tc>
        <w:tc>
          <w:tcPr>
            <w:tcW w:w="720" w:type="dxa"/>
            <w:vAlign w:val="center"/>
          </w:tcPr>
          <w:p>
            <w:pPr>
              <w:widowControl/>
              <w:spacing w:before="156" w:beforeLines="50" w:after="156" w:afterLines="50" w:line="360" w:lineRule="auto"/>
              <w:jc w:val="center"/>
              <w:rPr>
                <w:rFonts w:hint="eastAsia"/>
                <w:vertAlign w:val="baseline"/>
                <w:lang w:val="en-US" w:eastAsia="zh-CN"/>
              </w:rPr>
            </w:pPr>
            <w:r>
              <w:rPr>
                <w:rFonts w:ascii="Times New Roman" w:hAnsi="Times New Roman" w:eastAsia="宋体" w:cs="Times New Roman"/>
                <w:kern w:val="0"/>
                <w:sz w:val="20"/>
                <w:szCs w:val="20"/>
              </w:rPr>
              <w:t>120</w:t>
            </w:r>
          </w:p>
        </w:tc>
        <w:tc>
          <w:tcPr>
            <w:tcW w:w="690" w:type="dxa"/>
            <w:vAlign w:val="center"/>
          </w:tcPr>
          <w:p>
            <w:pPr>
              <w:widowControl/>
              <w:spacing w:before="156" w:beforeLines="50" w:after="156" w:afterLines="50" w:line="360" w:lineRule="auto"/>
              <w:jc w:val="center"/>
              <w:rPr>
                <w:rFonts w:hint="eastAsia"/>
                <w:vertAlign w:val="baseline"/>
                <w:lang w:val="en-US" w:eastAsia="zh-CN"/>
              </w:rPr>
            </w:pPr>
            <w:r>
              <w:rPr>
                <w:rFonts w:ascii="Times New Roman" w:hAnsi="Times New Roman" w:eastAsia="宋体" w:cs="Times New Roman"/>
                <w:kern w:val="0"/>
                <w:sz w:val="20"/>
                <w:szCs w:val="20"/>
              </w:rPr>
              <w:t>个</w:t>
            </w:r>
          </w:p>
        </w:tc>
        <w:tc>
          <w:tcPr>
            <w:tcW w:w="1039" w:type="dxa"/>
            <w:vMerge w:val="restart"/>
          </w:tcPr>
          <w:p>
            <w:pPr>
              <w:pStyle w:val="21"/>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pPr>
              <w:widowControl/>
              <w:spacing w:before="156" w:beforeLines="50" w:after="156" w:afterLines="50" w:line="360" w:lineRule="auto"/>
              <w:jc w:val="center"/>
              <w:rPr>
                <w:rFonts w:hint="eastAsia"/>
                <w:vertAlign w:val="baseline"/>
                <w:lang w:val="en-US" w:eastAsia="zh-CN"/>
              </w:rPr>
            </w:pPr>
            <w:r>
              <w:rPr>
                <w:rFonts w:ascii="Times New Roman" w:hAnsi="Times New Roman" w:eastAsia="宋体" w:cs="Times New Roman"/>
                <w:kern w:val="0"/>
                <w:sz w:val="20"/>
                <w:szCs w:val="20"/>
              </w:rPr>
              <w:t>3</w:t>
            </w:r>
          </w:p>
        </w:tc>
        <w:tc>
          <w:tcPr>
            <w:tcW w:w="1215" w:type="dxa"/>
            <w:vAlign w:val="center"/>
          </w:tcPr>
          <w:p>
            <w:pPr>
              <w:widowControl/>
              <w:spacing w:before="156" w:beforeLines="50" w:after="156" w:afterLines="50" w:line="360" w:lineRule="auto"/>
              <w:jc w:val="center"/>
              <w:rPr>
                <w:rFonts w:hint="eastAsia"/>
                <w:vertAlign w:val="baseline"/>
                <w:lang w:val="en-US" w:eastAsia="zh-CN"/>
              </w:rPr>
            </w:pPr>
            <w:r>
              <w:rPr>
                <w:rFonts w:hint="eastAsia" w:ascii="Times New Roman" w:hAnsi="Times New Roman" w:eastAsia="宋体" w:cs="Times New Roman"/>
                <w:kern w:val="0"/>
                <w:sz w:val="20"/>
                <w:szCs w:val="20"/>
              </w:rPr>
              <w:t>非常规污染物分析</w:t>
            </w:r>
          </w:p>
        </w:tc>
        <w:tc>
          <w:tcPr>
            <w:tcW w:w="3390" w:type="dxa"/>
            <w:vAlign w:val="center"/>
          </w:tcPr>
          <w:p>
            <w:pPr>
              <w:widowControl/>
              <w:spacing w:before="156" w:beforeLines="50" w:after="156" w:afterLines="50" w:line="360" w:lineRule="auto"/>
              <w:jc w:val="center"/>
              <w:rPr>
                <w:rFonts w:hint="eastAsia"/>
                <w:vertAlign w:val="baseline"/>
                <w:lang w:val="en-US" w:eastAsia="zh-CN"/>
              </w:rPr>
            </w:pPr>
            <w:r>
              <w:rPr>
                <w:rFonts w:hint="eastAsia" w:ascii="Times New Roman" w:hAnsi="Times New Roman" w:eastAsia="宋体" w:cs="Times New Roman"/>
                <w:kern w:val="0"/>
                <w:sz w:val="20"/>
                <w:szCs w:val="20"/>
              </w:rPr>
              <w:t>进出水中非常规污染物分析，包括重金属（</w:t>
            </w:r>
            <w:r>
              <w:rPr>
                <w:rFonts w:ascii="Times New Roman" w:hAnsi="Times New Roman" w:eastAsia="宋体" w:cs="Times New Roman"/>
                <w:kern w:val="0"/>
                <w:sz w:val="20"/>
                <w:szCs w:val="20"/>
              </w:rPr>
              <w:t>19</w:t>
            </w:r>
            <w:r>
              <w:rPr>
                <w:rFonts w:hint="eastAsia" w:ascii="Times New Roman" w:hAnsi="Times New Roman" w:eastAsia="宋体" w:cs="Times New Roman"/>
                <w:kern w:val="0"/>
                <w:sz w:val="20"/>
                <w:szCs w:val="20"/>
              </w:rPr>
              <w:t>种）、农药（1</w:t>
            </w:r>
            <w:r>
              <w:rPr>
                <w:rFonts w:ascii="Times New Roman" w:hAnsi="Times New Roman" w:eastAsia="宋体" w:cs="Times New Roman"/>
                <w:kern w:val="0"/>
                <w:sz w:val="20"/>
                <w:szCs w:val="20"/>
              </w:rPr>
              <w:t>0</w:t>
            </w:r>
            <w:r>
              <w:rPr>
                <w:rFonts w:hint="eastAsia" w:ascii="Times New Roman" w:hAnsi="Times New Roman" w:eastAsia="宋体" w:cs="Times New Roman"/>
                <w:kern w:val="0"/>
                <w:sz w:val="20"/>
                <w:szCs w:val="20"/>
              </w:rPr>
              <w:t>种）、抗生素（1</w:t>
            </w:r>
            <w:r>
              <w:rPr>
                <w:rFonts w:ascii="Times New Roman" w:hAnsi="Times New Roman" w:eastAsia="宋体" w:cs="Times New Roman"/>
                <w:kern w:val="0"/>
                <w:sz w:val="20"/>
                <w:szCs w:val="20"/>
              </w:rPr>
              <w:t>0</w:t>
            </w:r>
            <w:r>
              <w:rPr>
                <w:rFonts w:hint="eastAsia" w:ascii="Times New Roman" w:hAnsi="Times New Roman" w:eastAsia="宋体" w:cs="Times New Roman"/>
                <w:kern w:val="0"/>
                <w:sz w:val="20"/>
                <w:szCs w:val="20"/>
              </w:rPr>
              <w:t>种）、布匹纤维等非常规污染物分析，具体参考</w:t>
            </w:r>
            <w:r>
              <w:rPr>
                <w:rFonts w:ascii="Times New Roman" w:hAnsi="Times New Roman" w:eastAsia="宋体" w:cs="Times New Roman"/>
                <w:kern w:val="0"/>
                <w:sz w:val="20"/>
                <w:szCs w:val="20"/>
              </w:rPr>
              <w:t>GB5749-2006《生活饮用水卫生标准》</w:t>
            </w:r>
            <w:r>
              <w:rPr>
                <w:rFonts w:hint="eastAsia" w:ascii="Times New Roman" w:hAnsi="Times New Roman" w:eastAsia="宋体" w:cs="Times New Roman"/>
                <w:kern w:val="0"/>
                <w:sz w:val="20"/>
                <w:szCs w:val="20"/>
              </w:rPr>
              <w:t>中相关项目</w:t>
            </w:r>
          </w:p>
        </w:tc>
        <w:tc>
          <w:tcPr>
            <w:tcW w:w="1365" w:type="dxa"/>
            <w:vAlign w:val="center"/>
          </w:tcPr>
          <w:p>
            <w:pPr>
              <w:widowControl/>
              <w:spacing w:before="156" w:beforeLines="50" w:after="156" w:afterLines="50" w:line="360" w:lineRule="auto"/>
              <w:jc w:val="center"/>
              <w:rPr>
                <w:rFonts w:hint="eastAsia"/>
                <w:vertAlign w:val="baseline"/>
                <w:lang w:val="en-US" w:eastAsia="zh-CN"/>
              </w:rPr>
            </w:pPr>
            <w:r>
              <w:rPr>
                <w:rFonts w:hint="eastAsia" w:ascii="Times New Roman" w:hAnsi="Times New Roman" w:eastAsia="宋体" w:cs="Times New Roman"/>
                <w:kern w:val="0"/>
                <w:sz w:val="20"/>
                <w:szCs w:val="20"/>
              </w:rPr>
              <w:t>每月1次，1年共1</w:t>
            </w:r>
            <w:r>
              <w:rPr>
                <w:rFonts w:ascii="Times New Roman" w:hAnsi="Times New Roman" w:eastAsia="宋体" w:cs="Times New Roman"/>
                <w:kern w:val="0"/>
                <w:sz w:val="20"/>
                <w:szCs w:val="20"/>
              </w:rPr>
              <w:t>2</w:t>
            </w:r>
            <w:r>
              <w:rPr>
                <w:rFonts w:hint="eastAsia" w:ascii="Times New Roman" w:hAnsi="Times New Roman" w:eastAsia="宋体" w:cs="Times New Roman"/>
                <w:kern w:val="0"/>
                <w:sz w:val="20"/>
                <w:szCs w:val="20"/>
              </w:rPr>
              <w:t>次，每次2个样品分析4</w:t>
            </w:r>
            <w:r>
              <w:rPr>
                <w:rFonts w:ascii="Times New Roman" w:hAnsi="Times New Roman" w:eastAsia="宋体" w:cs="Times New Roman"/>
                <w:kern w:val="0"/>
                <w:sz w:val="20"/>
                <w:szCs w:val="20"/>
              </w:rPr>
              <w:t>0</w:t>
            </w:r>
            <w:r>
              <w:rPr>
                <w:rFonts w:hint="eastAsia" w:ascii="Times New Roman" w:hAnsi="Times New Roman" w:eastAsia="宋体" w:cs="Times New Roman"/>
                <w:kern w:val="0"/>
                <w:sz w:val="20"/>
                <w:szCs w:val="20"/>
              </w:rPr>
              <w:t>种污染物，小计9</w:t>
            </w:r>
            <w:r>
              <w:rPr>
                <w:rFonts w:ascii="Times New Roman" w:hAnsi="Times New Roman" w:eastAsia="宋体" w:cs="Times New Roman"/>
                <w:kern w:val="0"/>
                <w:sz w:val="20"/>
                <w:szCs w:val="20"/>
              </w:rPr>
              <w:t>60</w:t>
            </w:r>
            <w:r>
              <w:rPr>
                <w:rFonts w:hint="eastAsia" w:ascii="Times New Roman" w:hAnsi="Times New Roman" w:eastAsia="宋体" w:cs="Times New Roman"/>
                <w:kern w:val="0"/>
                <w:sz w:val="20"/>
                <w:szCs w:val="20"/>
              </w:rPr>
              <w:t>项分析</w:t>
            </w:r>
          </w:p>
        </w:tc>
        <w:tc>
          <w:tcPr>
            <w:tcW w:w="720" w:type="dxa"/>
            <w:vAlign w:val="center"/>
          </w:tcPr>
          <w:p>
            <w:pPr>
              <w:widowControl/>
              <w:spacing w:before="156" w:beforeLines="50" w:after="156" w:afterLines="50" w:line="360" w:lineRule="auto"/>
              <w:jc w:val="center"/>
              <w:rPr>
                <w:rFonts w:hint="eastAsia"/>
                <w:vertAlign w:val="baseline"/>
                <w:lang w:val="en-US" w:eastAsia="zh-CN"/>
              </w:rPr>
            </w:pPr>
            <w:r>
              <w:rPr>
                <w:rFonts w:ascii="Times New Roman" w:hAnsi="Times New Roman" w:eastAsia="宋体" w:cs="Times New Roman"/>
                <w:kern w:val="0"/>
                <w:sz w:val="20"/>
                <w:szCs w:val="20"/>
              </w:rPr>
              <w:t>960</w:t>
            </w:r>
          </w:p>
        </w:tc>
        <w:tc>
          <w:tcPr>
            <w:tcW w:w="690" w:type="dxa"/>
            <w:vAlign w:val="center"/>
          </w:tcPr>
          <w:p>
            <w:pPr>
              <w:widowControl/>
              <w:spacing w:before="156" w:beforeLines="50" w:after="156" w:afterLines="50" w:line="360" w:lineRule="auto"/>
              <w:jc w:val="center"/>
              <w:rPr>
                <w:rFonts w:hint="eastAsia"/>
                <w:vertAlign w:val="baseline"/>
                <w:lang w:val="en-US" w:eastAsia="zh-CN"/>
              </w:rPr>
            </w:pPr>
            <w:r>
              <w:rPr>
                <w:rFonts w:hint="eastAsia" w:ascii="Times New Roman" w:hAnsi="Times New Roman" w:eastAsia="宋体" w:cs="Times New Roman"/>
                <w:kern w:val="0"/>
                <w:sz w:val="20"/>
                <w:szCs w:val="20"/>
              </w:rPr>
              <w:t>项</w:t>
            </w:r>
          </w:p>
        </w:tc>
        <w:tc>
          <w:tcPr>
            <w:tcW w:w="1039" w:type="dxa"/>
            <w:vMerge w:val="continue"/>
          </w:tcPr>
          <w:p>
            <w:pPr>
              <w:pStyle w:val="21"/>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pPr>
              <w:widowControl/>
              <w:spacing w:before="156" w:beforeLines="50" w:after="156" w:afterLines="50" w:line="360" w:lineRule="auto"/>
              <w:jc w:val="center"/>
              <w:rPr>
                <w:rFonts w:hint="eastAsia"/>
                <w:vertAlign w:val="baseline"/>
                <w:lang w:val="en-US" w:eastAsia="zh-CN"/>
              </w:rPr>
            </w:pPr>
            <w:r>
              <w:rPr>
                <w:rFonts w:ascii="Times New Roman" w:hAnsi="Times New Roman" w:eastAsia="宋体" w:cs="Times New Roman"/>
                <w:kern w:val="0"/>
                <w:sz w:val="20"/>
                <w:szCs w:val="20"/>
              </w:rPr>
              <w:t>4</w:t>
            </w:r>
          </w:p>
        </w:tc>
        <w:tc>
          <w:tcPr>
            <w:tcW w:w="1215" w:type="dxa"/>
            <w:vAlign w:val="center"/>
          </w:tcPr>
          <w:p>
            <w:pPr>
              <w:widowControl/>
              <w:spacing w:before="156" w:beforeLines="50" w:after="156" w:afterLines="50" w:line="360" w:lineRule="auto"/>
              <w:jc w:val="center"/>
              <w:rPr>
                <w:rFonts w:hint="eastAsia"/>
                <w:vertAlign w:val="baseline"/>
                <w:lang w:val="en-US" w:eastAsia="zh-CN"/>
              </w:rPr>
            </w:pPr>
            <w:r>
              <w:rPr>
                <w:rFonts w:hint="eastAsia" w:ascii="Times New Roman" w:hAnsi="Times New Roman" w:eastAsia="宋体" w:cs="Times New Roman"/>
                <w:kern w:val="0"/>
                <w:szCs w:val="21"/>
              </w:rPr>
              <w:t>消毒副产物分析</w:t>
            </w:r>
          </w:p>
        </w:tc>
        <w:tc>
          <w:tcPr>
            <w:tcW w:w="3390" w:type="dxa"/>
            <w:vAlign w:val="center"/>
          </w:tcPr>
          <w:p>
            <w:pPr>
              <w:widowControl/>
              <w:spacing w:before="156" w:beforeLines="50" w:after="156" w:afterLines="50" w:line="360" w:lineRule="auto"/>
              <w:jc w:val="center"/>
              <w:rPr>
                <w:rFonts w:hint="eastAsia"/>
                <w:vertAlign w:val="baseline"/>
                <w:lang w:val="en-US" w:eastAsia="zh-CN"/>
              </w:rPr>
            </w:pPr>
            <w:r>
              <w:rPr>
                <w:rFonts w:hint="eastAsia" w:ascii="Times New Roman" w:hAnsi="Times New Roman" w:eastAsia="宋体" w:cs="Times New Roman"/>
                <w:kern w:val="0"/>
                <w:szCs w:val="21"/>
              </w:rPr>
              <w:t>分析不同消毒工艺出水常见消毒副产物氯酸盐、亚氯酸盐、溴酸盐、三卤甲烷</w:t>
            </w:r>
            <w:r>
              <w:rPr>
                <w:rFonts w:ascii="Times New Roman" w:hAnsi="Times New Roman" w:eastAsia="宋体" w:cs="Times New Roman"/>
                <w:kern w:val="0"/>
                <w:szCs w:val="21"/>
              </w:rPr>
              <w:t xml:space="preserve"> (THM) 和卤代乙酸</w:t>
            </w:r>
            <w:r>
              <w:rPr>
                <w:rFonts w:hint="eastAsia" w:ascii="Times New Roman" w:hAnsi="Times New Roman" w:eastAsia="宋体" w:cs="Times New Roman"/>
                <w:kern w:val="0"/>
                <w:szCs w:val="21"/>
              </w:rPr>
              <w:t>的浓度，</w:t>
            </w:r>
            <w:r>
              <w:rPr>
                <w:rFonts w:hint="eastAsia" w:ascii="Times New Roman" w:hAnsi="Times New Roman" w:eastAsia="宋体" w:cs="Times New Roman"/>
                <w:kern w:val="0"/>
                <w:sz w:val="20"/>
                <w:szCs w:val="20"/>
              </w:rPr>
              <w:t>具体参考</w:t>
            </w:r>
            <w:r>
              <w:rPr>
                <w:rFonts w:ascii="Times New Roman" w:hAnsi="Times New Roman" w:eastAsia="宋体" w:cs="Times New Roman"/>
                <w:kern w:val="0"/>
                <w:sz w:val="20"/>
                <w:szCs w:val="20"/>
              </w:rPr>
              <w:t>GB5749-2006《生活饮用水卫生标准》</w:t>
            </w:r>
            <w:r>
              <w:rPr>
                <w:rFonts w:hint="eastAsia" w:ascii="Times New Roman" w:hAnsi="Times New Roman" w:eastAsia="宋体" w:cs="Times New Roman"/>
                <w:kern w:val="0"/>
                <w:sz w:val="20"/>
                <w:szCs w:val="20"/>
              </w:rPr>
              <w:t>中相关项目</w:t>
            </w:r>
          </w:p>
        </w:tc>
        <w:tc>
          <w:tcPr>
            <w:tcW w:w="1365" w:type="dxa"/>
            <w:vAlign w:val="center"/>
          </w:tcPr>
          <w:p>
            <w:pPr>
              <w:widowControl/>
              <w:spacing w:before="156" w:beforeLines="50" w:after="156" w:afterLines="50" w:line="360" w:lineRule="auto"/>
              <w:jc w:val="center"/>
              <w:rPr>
                <w:rFonts w:hint="eastAsia"/>
                <w:vertAlign w:val="baseline"/>
                <w:lang w:val="en-US" w:eastAsia="zh-CN"/>
              </w:rPr>
            </w:pPr>
            <w:r>
              <w:rPr>
                <w:rFonts w:hint="eastAsia" w:ascii="Times New Roman" w:hAnsi="Times New Roman" w:eastAsia="宋体" w:cs="Times New Roman"/>
                <w:kern w:val="0"/>
                <w:szCs w:val="21"/>
              </w:rPr>
              <w:t>集中送样，3种消毒模式，每种模式1</w:t>
            </w:r>
            <w:r>
              <w:rPr>
                <w:rFonts w:ascii="Times New Roman" w:hAnsi="Times New Roman" w:eastAsia="宋体" w:cs="Times New Roman"/>
                <w:kern w:val="0"/>
                <w:szCs w:val="21"/>
              </w:rPr>
              <w:t>0</w:t>
            </w:r>
            <w:r>
              <w:rPr>
                <w:rFonts w:hint="eastAsia" w:ascii="Times New Roman" w:hAnsi="Times New Roman" w:eastAsia="宋体" w:cs="Times New Roman"/>
                <w:kern w:val="0"/>
                <w:szCs w:val="21"/>
              </w:rPr>
              <w:t>个样，小计3</w:t>
            </w:r>
            <w:r>
              <w:rPr>
                <w:rFonts w:ascii="Times New Roman" w:hAnsi="Times New Roman" w:eastAsia="宋体" w:cs="Times New Roman"/>
                <w:kern w:val="0"/>
                <w:szCs w:val="21"/>
              </w:rPr>
              <w:t>0</w:t>
            </w:r>
            <w:r>
              <w:rPr>
                <w:rFonts w:hint="eastAsia" w:ascii="Times New Roman" w:hAnsi="Times New Roman" w:eastAsia="宋体" w:cs="Times New Roman"/>
                <w:kern w:val="0"/>
                <w:szCs w:val="21"/>
              </w:rPr>
              <w:t>个样品</w:t>
            </w:r>
          </w:p>
        </w:tc>
        <w:tc>
          <w:tcPr>
            <w:tcW w:w="720" w:type="dxa"/>
            <w:vAlign w:val="center"/>
          </w:tcPr>
          <w:p>
            <w:pPr>
              <w:widowControl/>
              <w:spacing w:before="156" w:beforeLines="50" w:after="156" w:afterLines="50" w:line="360" w:lineRule="auto"/>
              <w:jc w:val="center"/>
              <w:rPr>
                <w:rFonts w:hint="eastAsia"/>
                <w:vertAlign w:val="baseline"/>
                <w:lang w:val="en-US" w:eastAsia="zh-CN"/>
              </w:rPr>
            </w:pPr>
            <w:r>
              <w:rPr>
                <w:rFonts w:ascii="Times New Roman" w:hAnsi="Times New Roman" w:eastAsia="宋体" w:cs="Times New Roman"/>
                <w:kern w:val="0"/>
                <w:szCs w:val="21"/>
              </w:rPr>
              <w:t>30</w:t>
            </w:r>
          </w:p>
        </w:tc>
        <w:tc>
          <w:tcPr>
            <w:tcW w:w="690" w:type="dxa"/>
            <w:vAlign w:val="center"/>
          </w:tcPr>
          <w:p>
            <w:pPr>
              <w:widowControl/>
              <w:spacing w:before="156" w:beforeLines="50" w:after="156" w:afterLines="50" w:line="360" w:lineRule="auto"/>
              <w:jc w:val="center"/>
              <w:rPr>
                <w:rFonts w:hint="eastAsia"/>
                <w:vertAlign w:val="baseline"/>
                <w:lang w:val="en-US" w:eastAsia="zh-CN"/>
              </w:rPr>
            </w:pPr>
            <w:r>
              <w:rPr>
                <w:rFonts w:ascii="Times New Roman" w:hAnsi="Times New Roman" w:eastAsia="宋体" w:cs="Times New Roman"/>
                <w:kern w:val="0"/>
                <w:szCs w:val="21"/>
              </w:rPr>
              <w:t>个</w:t>
            </w:r>
          </w:p>
        </w:tc>
        <w:tc>
          <w:tcPr>
            <w:tcW w:w="1039" w:type="dxa"/>
            <w:vMerge w:val="continue"/>
          </w:tcPr>
          <w:p>
            <w:pPr>
              <w:pStyle w:val="21"/>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pPr>
              <w:widowControl/>
              <w:spacing w:before="156" w:beforeLines="50" w:after="156" w:afterLines="50" w:line="360" w:lineRule="auto"/>
              <w:jc w:val="center"/>
              <w:rPr>
                <w:rFonts w:hint="eastAsia"/>
                <w:vertAlign w:val="baseline"/>
                <w:lang w:val="en-US" w:eastAsia="zh-CN"/>
              </w:rPr>
            </w:pPr>
            <w:r>
              <w:rPr>
                <w:rFonts w:ascii="Times New Roman" w:hAnsi="Times New Roman" w:eastAsia="宋体" w:cs="Times New Roman"/>
                <w:kern w:val="0"/>
                <w:szCs w:val="21"/>
              </w:rPr>
              <w:t>5</w:t>
            </w:r>
          </w:p>
        </w:tc>
        <w:tc>
          <w:tcPr>
            <w:tcW w:w="1215" w:type="dxa"/>
            <w:vAlign w:val="center"/>
          </w:tcPr>
          <w:p>
            <w:pPr>
              <w:widowControl/>
              <w:spacing w:before="156" w:beforeLines="50" w:after="156" w:afterLines="50" w:line="360" w:lineRule="auto"/>
              <w:jc w:val="center"/>
              <w:rPr>
                <w:rFonts w:hint="eastAsia"/>
                <w:vertAlign w:val="baseline"/>
                <w:lang w:val="en-US" w:eastAsia="zh-CN"/>
              </w:rPr>
            </w:pPr>
            <w:r>
              <w:rPr>
                <w:rFonts w:ascii="Times New Roman" w:hAnsi="Times New Roman" w:eastAsia="宋体" w:cs="Times New Roman"/>
                <w:kern w:val="0"/>
                <w:szCs w:val="21"/>
              </w:rPr>
              <w:t>颗粒粒度分布</w:t>
            </w:r>
            <w:r>
              <w:rPr>
                <w:rFonts w:hint="eastAsia" w:ascii="Times New Roman" w:hAnsi="Times New Roman" w:eastAsia="宋体" w:cs="Times New Roman"/>
                <w:kern w:val="0"/>
                <w:szCs w:val="21"/>
              </w:rPr>
              <w:t>分析</w:t>
            </w:r>
          </w:p>
        </w:tc>
        <w:tc>
          <w:tcPr>
            <w:tcW w:w="3390" w:type="dxa"/>
            <w:vAlign w:val="center"/>
          </w:tcPr>
          <w:p>
            <w:pPr>
              <w:widowControl/>
              <w:spacing w:before="156" w:beforeLines="50" w:after="156" w:afterLines="50" w:line="360" w:lineRule="auto"/>
              <w:jc w:val="center"/>
              <w:rPr>
                <w:rFonts w:hint="eastAsia"/>
                <w:vertAlign w:val="baseline"/>
                <w:lang w:val="en-US" w:eastAsia="zh-CN"/>
              </w:rPr>
            </w:pPr>
            <w:r>
              <w:rPr>
                <w:rFonts w:hint="eastAsia" w:ascii="Times New Roman" w:hAnsi="Times New Roman" w:eastAsia="宋体" w:cs="Times New Roman"/>
                <w:kern w:val="0"/>
                <w:szCs w:val="21"/>
              </w:rPr>
              <w:t>进水、细格栅、沉砂池、膜格栅后污水中悬浮颗粒粒度分析</w:t>
            </w:r>
          </w:p>
        </w:tc>
        <w:tc>
          <w:tcPr>
            <w:tcW w:w="1365" w:type="dxa"/>
            <w:vAlign w:val="center"/>
          </w:tcPr>
          <w:p>
            <w:pPr>
              <w:widowControl/>
              <w:spacing w:before="156" w:beforeLines="50" w:after="156" w:afterLines="50" w:line="360" w:lineRule="auto"/>
              <w:jc w:val="center"/>
              <w:rPr>
                <w:rFonts w:hint="eastAsia"/>
                <w:vertAlign w:val="baseline"/>
                <w:lang w:val="en-US" w:eastAsia="zh-CN"/>
              </w:rPr>
            </w:pPr>
            <w:r>
              <w:rPr>
                <w:rFonts w:hint="eastAsia" w:ascii="Times New Roman" w:hAnsi="Times New Roman" w:eastAsia="宋体" w:cs="Times New Roman"/>
                <w:kern w:val="0"/>
                <w:szCs w:val="21"/>
              </w:rPr>
              <w:t>每周1次，1年共5</w:t>
            </w:r>
            <w:r>
              <w:rPr>
                <w:rFonts w:ascii="Times New Roman" w:hAnsi="Times New Roman" w:eastAsia="宋体" w:cs="Times New Roman"/>
                <w:kern w:val="0"/>
                <w:szCs w:val="21"/>
              </w:rPr>
              <w:t>0</w:t>
            </w:r>
            <w:r>
              <w:rPr>
                <w:rFonts w:hint="eastAsia" w:ascii="Times New Roman" w:hAnsi="Times New Roman" w:eastAsia="宋体" w:cs="Times New Roman"/>
                <w:kern w:val="0"/>
                <w:szCs w:val="21"/>
              </w:rPr>
              <w:t>次，每次</w:t>
            </w:r>
            <w:r>
              <w:rPr>
                <w:rFonts w:ascii="Times New Roman" w:hAnsi="Times New Roman" w:eastAsia="宋体" w:cs="Times New Roman"/>
                <w:kern w:val="0"/>
                <w:szCs w:val="21"/>
              </w:rPr>
              <w:t>4</w:t>
            </w:r>
            <w:r>
              <w:rPr>
                <w:rFonts w:hint="eastAsia" w:ascii="Times New Roman" w:hAnsi="Times New Roman" w:eastAsia="宋体" w:cs="Times New Roman"/>
                <w:kern w:val="0"/>
                <w:szCs w:val="21"/>
              </w:rPr>
              <w:t>个样，小计</w:t>
            </w:r>
            <w:r>
              <w:rPr>
                <w:rFonts w:ascii="Times New Roman" w:hAnsi="Times New Roman" w:eastAsia="宋体" w:cs="Times New Roman"/>
                <w:kern w:val="0"/>
                <w:szCs w:val="21"/>
              </w:rPr>
              <w:t>200</w:t>
            </w:r>
            <w:r>
              <w:rPr>
                <w:rFonts w:hint="eastAsia" w:ascii="Times New Roman" w:hAnsi="Times New Roman" w:eastAsia="宋体" w:cs="Times New Roman"/>
                <w:kern w:val="0"/>
                <w:szCs w:val="21"/>
              </w:rPr>
              <w:t>个样</w:t>
            </w:r>
          </w:p>
        </w:tc>
        <w:tc>
          <w:tcPr>
            <w:tcW w:w="720" w:type="dxa"/>
            <w:vAlign w:val="center"/>
          </w:tcPr>
          <w:p>
            <w:pPr>
              <w:widowControl/>
              <w:spacing w:before="156" w:beforeLines="50" w:after="156" w:afterLines="50" w:line="360" w:lineRule="auto"/>
              <w:jc w:val="center"/>
              <w:rPr>
                <w:rFonts w:hint="eastAsia"/>
                <w:vertAlign w:val="baseline"/>
                <w:lang w:val="en-US" w:eastAsia="zh-CN"/>
              </w:rPr>
            </w:pPr>
            <w:r>
              <w:rPr>
                <w:rFonts w:ascii="Times New Roman" w:hAnsi="Times New Roman" w:eastAsia="宋体" w:cs="Times New Roman"/>
                <w:kern w:val="0"/>
                <w:szCs w:val="21"/>
              </w:rPr>
              <w:t>200</w:t>
            </w:r>
          </w:p>
        </w:tc>
        <w:tc>
          <w:tcPr>
            <w:tcW w:w="690" w:type="dxa"/>
            <w:vAlign w:val="center"/>
          </w:tcPr>
          <w:p>
            <w:pPr>
              <w:widowControl/>
              <w:spacing w:before="156" w:beforeLines="50" w:after="156" w:afterLines="50" w:line="360" w:lineRule="auto"/>
              <w:jc w:val="center"/>
              <w:rPr>
                <w:rFonts w:hint="eastAsia"/>
                <w:vertAlign w:val="baseline"/>
                <w:lang w:val="en-US" w:eastAsia="zh-CN"/>
              </w:rPr>
            </w:pPr>
            <w:r>
              <w:rPr>
                <w:rFonts w:ascii="Times New Roman" w:hAnsi="Times New Roman" w:eastAsia="宋体" w:cs="Times New Roman"/>
                <w:kern w:val="0"/>
                <w:szCs w:val="21"/>
              </w:rPr>
              <w:t>个</w:t>
            </w:r>
          </w:p>
        </w:tc>
        <w:tc>
          <w:tcPr>
            <w:tcW w:w="1039" w:type="dxa"/>
            <w:vMerge w:val="continue"/>
          </w:tcPr>
          <w:p>
            <w:pPr>
              <w:pStyle w:val="21"/>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pPr>
              <w:widowControl/>
              <w:spacing w:before="156" w:beforeLines="50" w:after="156" w:afterLines="50" w:line="360" w:lineRule="auto"/>
              <w:jc w:val="center"/>
              <w:rPr>
                <w:rFonts w:hint="eastAsia"/>
                <w:vertAlign w:val="baseline"/>
                <w:lang w:val="en-US" w:eastAsia="zh-CN"/>
              </w:rPr>
            </w:pPr>
            <w:r>
              <w:rPr>
                <w:rFonts w:ascii="Times New Roman" w:hAnsi="Times New Roman" w:eastAsia="宋体" w:cs="Times New Roman"/>
                <w:kern w:val="0"/>
                <w:szCs w:val="21"/>
              </w:rPr>
              <w:t>6</w:t>
            </w:r>
          </w:p>
        </w:tc>
        <w:tc>
          <w:tcPr>
            <w:tcW w:w="1215" w:type="dxa"/>
            <w:vAlign w:val="center"/>
          </w:tcPr>
          <w:p>
            <w:pPr>
              <w:widowControl/>
              <w:spacing w:before="156" w:beforeLines="50" w:after="156" w:afterLines="50" w:line="360" w:lineRule="auto"/>
              <w:jc w:val="center"/>
              <w:rPr>
                <w:rFonts w:hint="eastAsia"/>
                <w:vertAlign w:val="baseline"/>
                <w:lang w:val="en-US" w:eastAsia="zh-CN"/>
              </w:rPr>
            </w:pPr>
            <w:r>
              <w:rPr>
                <w:rFonts w:hint="eastAsia" w:ascii="Times New Roman" w:hAnsi="Times New Roman" w:eastAsia="宋体" w:cs="Times New Roman"/>
                <w:kern w:val="0"/>
                <w:szCs w:val="21"/>
              </w:rPr>
              <w:t>微生物群落结构分析</w:t>
            </w:r>
          </w:p>
        </w:tc>
        <w:tc>
          <w:tcPr>
            <w:tcW w:w="3390" w:type="dxa"/>
            <w:vAlign w:val="center"/>
          </w:tcPr>
          <w:p>
            <w:pPr>
              <w:widowControl/>
              <w:spacing w:before="156" w:beforeLines="50" w:after="156" w:afterLines="50" w:line="360" w:lineRule="auto"/>
              <w:jc w:val="center"/>
              <w:rPr>
                <w:rFonts w:hint="eastAsia"/>
                <w:vertAlign w:val="baseline"/>
                <w:lang w:val="en-US" w:eastAsia="zh-CN"/>
              </w:rPr>
            </w:pPr>
            <w:r>
              <w:rPr>
                <w:rFonts w:hint="eastAsia" w:ascii="Times New Roman" w:hAnsi="Times New Roman" w:eastAsia="宋体" w:cs="Times New Roman"/>
                <w:kern w:val="0"/>
                <w:szCs w:val="21"/>
              </w:rPr>
              <w:t>采用高通量测序方法分析活性污泥、内碳源发酵系统中微生物组成、丰度及多样性（含分析）</w:t>
            </w:r>
          </w:p>
        </w:tc>
        <w:tc>
          <w:tcPr>
            <w:tcW w:w="1365" w:type="dxa"/>
            <w:vAlign w:val="center"/>
          </w:tcPr>
          <w:p>
            <w:pPr>
              <w:widowControl/>
              <w:spacing w:before="156" w:beforeLines="50" w:after="156" w:afterLines="50" w:line="360" w:lineRule="auto"/>
              <w:jc w:val="center"/>
              <w:rPr>
                <w:rFonts w:hint="eastAsia"/>
                <w:vertAlign w:val="baseline"/>
                <w:lang w:val="en-US" w:eastAsia="zh-CN"/>
              </w:rPr>
            </w:pPr>
            <w:r>
              <w:rPr>
                <w:rFonts w:hint="eastAsia" w:ascii="Times New Roman" w:hAnsi="Times New Roman" w:eastAsia="宋体" w:cs="Times New Roman"/>
                <w:kern w:val="0"/>
                <w:szCs w:val="21"/>
              </w:rPr>
              <w:t>每周1次，1年共5</w:t>
            </w:r>
            <w:r>
              <w:rPr>
                <w:rFonts w:ascii="Times New Roman" w:hAnsi="Times New Roman" w:eastAsia="宋体" w:cs="Times New Roman"/>
                <w:kern w:val="0"/>
                <w:szCs w:val="21"/>
              </w:rPr>
              <w:t>0</w:t>
            </w:r>
            <w:r>
              <w:rPr>
                <w:rFonts w:hint="eastAsia" w:ascii="Times New Roman" w:hAnsi="Times New Roman" w:eastAsia="宋体" w:cs="Times New Roman"/>
                <w:kern w:val="0"/>
                <w:szCs w:val="21"/>
              </w:rPr>
              <w:t>次，每次2个样，小计1</w:t>
            </w:r>
            <w:r>
              <w:rPr>
                <w:rFonts w:ascii="Times New Roman" w:hAnsi="Times New Roman" w:eastAsia="宋体" w:cs="Times New Roman"/>
                <w:kern w:val="0"/>
                <w:szCs w:val="21"/>
              </w:rPr>
              <w:t>00</w:t>
            </w:r>
            <w:r>
              <w:rPr>
                <w:rFonts w:hint="eastAsia" w:ascii="Times New Roman" w:hAnsi="Times New Roman" w:eastAsia="宋体" w:cs="Times New Roman"/>
                <w:kern w:val="0"/>
                <w:szCs w:val="21"/>
              </w:rPr>
              <w:t>个样</w:t>
            </w:r>
          </w:p>
        </w:tc>
        <w:tc>
          <w:tcPr>
            <w:tcW w:w="720" w:type="dxa"/>
            <w:vAlign w:val="center"/>
          </w:tcPr>
          <w:p>
            <w:pPr>
              <w:widowControl/>
              <w:spacing w:before="156" w:beforeLines="50" w:after="156" w:afterLines="50" w:line="360" w:lineRule="auto"/>
              <w:jc w:val="center"/>
              <w:rPr>
                <w:rFonts w:hint="eastAsia"/>
                <w:vertAlign w:val="baseline"/>
                <w:lang w:val="en-US" w:eastAsia="zh-CN"/>
              </w:rPr>
            </w:pPr>
            <w:r>
              <w:rPr>
                <w:rFonts w:ascii="Times New Roman" w:hAnsi="Times New Roman" w:eastAsia="宋体" w:cs="Times New Roman"/>
                <w:kern w:val="0"/>
                <w:szCs w:val="21"/>
              </w:rPr>
              <w:t>100</w:t>
            </w:r>
          </w:p>
        </w:tc>
        <w:tc>
          <w:tcPr>
            <w:tcW w:w="690" w:type="dxa"/>
            <w:vAlign w:val="center"/>
          </w:tcPr>
          <w:p>
            <w:pPr>
              <w:widowControl/>
              <w:spacing w:before="156" w:beforeLines="50" w:after="156" w:afterLines="50" w:line="360" w:lineRule="auto"/>
              <w:jc w:val="center"/>
              <w:rPr>
                <w:rFonts w:hint="eastAsia"/>
                <w:vertAlign w:val="baseline"/>
                <w:lang w:val="en-US" w:eastAsia="zh-CN"/>
              </w:rPr>
            </w:pPr>
            <w:r>
              <w:rPr>
                <w:rFonts w:ascii="Times New Roman" w:hAnsi="Times New Roman" w:eastAsia="宋体" w:cs="Times New Roman"/>
                <w:kern w:val="0"/>
                <w:szCs w:val="21"/>
              </w:rPr>
              <w:t>个</w:t>
            </w:r>
          </w:p>
        </w:tc>
        <w:tc>
          <w:tcPr>
            <w:tcW w:w="1039" w:type="dxa"/>
            <w:vMerge w:val="continue"/>
          </w:tcPr>
          <w:p>
            <w:pPr>
              <w:pStyle w:val="21"/>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pPr>
              <w:widowControl/>
              <w:spacing w:before="156" w:beforeLines="50" w:after="156" w:afterLines="50" w:line="360" w:lineRule="auto"/>
              <w:jc w:val="center"/>
              <w:rPr>
                <w:rFonts w:hint="eastAsia"/>
                <w:vertAlign w:val="baseline"/>
                <w:lang w:val="en-US" w:eastAsia="zh-CN"/>
              </w:rPr>
            </w:pPr>
            <w:r>
              <w:rPr>
                <w:rFonts w:ascii="Times New Roman" w:hAnsi="Times New Roman" w:eastAsia="宋体" w:cs="Times New Roman"/>
                <w:kern w:val="0"/>
                <w:szCs w:val="21"/>
              </w:rPr>
              <w:t>7</w:t>
            </w:r>
          </w:p>
        </w:tc>
        <w:tc>
          <w:tcPr>
            <w:tcW w:w="1215" w:type="dxa"/>
            <w:vAlign w:val="center"/>
          </w:tcPr>
          <w:p>
            <w:pPr>
              <w:widowControl/>
              <w:spacing w:before="156" w:beforeLines="50" w:after="156" w:afterLines="50" w:line="360" w:lineRule="auto"/>
              <w:jc w:val="center"/>
              <w:rPr>
                <w:rFonts w:hint="eastAsia"/>
                <w:vertAlign w:val="baseline"/>
                <w:lang w:val="en-US" w:eastAsia="zh-CN"/>
              </w:rPr>
            </w:pPr>
            <w:r>
              <w:rPr>
                <w:rFonts w:ascii="Times New Roman" w:hAnsi="Times New Roman" w:eastAsia="宋体" w:cs="Times New Roman"/>
                <w:kern w:val="0"/>
                <w:szCs w:val="21"/>
              </w:rPr>
              <w:t>扫描电镜（</w:t>
            </w:r>
            <w:r>
              <w:rPr>
                <w:rFonts w:hint="eastAsia" w:ascii="Times New Roman" w:hAnsi="Times New Roman" w:eastAsia="宋体" w:cs="Times New Roman"/>
                <w:kern w:val="0"/>
                <w:szCs w:val="21"/>
              </w:rPr>
              <w:t>含</w:t>
            </w:r>
            <w:r>
              <w:rPr>
                <w:rFonts w:ascii="Times New Roman" w:hAnsi="Times New Roman" w:eastAsia="宋体" w:cs="Times New Roman"/>
                <w:kern w:val="0"/>
                <w:szCs w:val="21"/>
              </w:rPr>
              <w:t>EDS）分析</w:t>
            </w:r>
          </w:p>
        </w:tc>
        <w:tc>
          <w:tcPr>
            <w:tcW w:w="3390" w:type="dxa"/>
            <w:vAlign w:val="center"/>
          </w:tcPr>
          <w:p>
            <w:pPr>
              <w:widowControl/>
              <w:spacing w:before="156" w:beforeLines="50" w:after="156" w:afterLines="50" w:line="360" w:lineRule="auto"/>
              <w:jc w:val="center"/>
              <w:rPr>
                <w:rFonts w:hint="eastAsia"/>
                <w:vertAlign w:val="baseline"/>
                <w:lang w:val="en-US" w:eastAsia="zh-CN"/>
              </w:rPr>
            </w:pPr>
            <w:r>
              <w:rPr>
                <w:rFonts w:hint="eastAsia" w:ascii="Times New Roman" w:hAnsi="Times New Roman" w:eastAsia="宋体" w:cs="Times New Roman"/>
                <w:kern w:val="0"/>
                <w:szCs w:val="21"/>
              </w:rPr>
              <w:t>粗细格栅、膜格栅截留物、活性污泥、中空纤维膜的形貌、微观结构及元素组成分析</w:t>
            </w:r>
          </w:p>
        </w:tc>
        <w:tc>
          <w:tcPr>
            <w:tcW w:w="1365" w:type="dxa"/>
            <w:vAlign w:val="center"/>
          </w:tcPr>
          <w:p>
            <w:pPr>
              <w:widowControl/>
              <w:spacing w:before="156" w:beforeLines="50" w:after="156" w:afterLines="50" w:line="360" w:lineRule="auto"/>
              <w:jc w:val="center"/>
              <w:rPr>
                <w:rFonts w:hint="eastAsia"/>
                <w:vertAlign w:val="baseline"/>
                <w:lang w:val="en-US" w:eastAsia="zh-CN"/>
              </w:rPr>
            </w:pPr>
            <w:r>
              <w:rPr>
                <w:rFonts w:hint="eastAsia" w:ascii="Times New Roman" w:hAnsi="Times New Roman" w:eastAsia="宋体" w:cs="Times New Roman"/>
                <w:kern w:val="0"/>
                <w:szCs w:val="21"/>
              </w:rPr>
              <w:t>每月1次，1年共1</w:t>
            </w:r>
            <w:r>
              <w:rPr>
                <w:rFonts w:ascii="Times New Roman" w:hAnsi="Times New Roman" w:eastAsia="宋体" w:cs="Times New Roman"/>
                <w:kern w:val="0"/>
                <w:szCs w:val="21"/>
              </w:rPr>
              <w:t>2</w:t>
            </w:r>
            <w:r>
              <w:rPr>
                <w:rFonts w:hint="eastAsia" w:ascii="Times New Roman" w:hAnsi="Times New Roman" w:eastAsia="宋体" w:cs="Times New Roman"/>
                <w:kern w:val="0"/>
                <w:szCs w:val="21"/>
              </w:rPr>
              <w:t>次，每次1</w:t>
            </w:r>
            <w:r>
              <w:rPr>
                <w:rFonts w:ascii="Times New Roman" w:hAnsi="Times New Roman" w:eastAsia="宋体" w:cs="Times New Roman"/>
                <w:kern w:val="0"/>
                <w:szCs w:val="21"/>
              </w:rPr>
              <w:t>0</w:t>
            </w:r>
            <w:r>
              <w:rPr>
                <w:rFonts w:hint="eastAsia" w:ascii="Times New Roman" w:hAnsi="Times New Roman" w:eastAsia="宋体" w:cs="Times New Roman"/>
                <w:kern w:val="0"/>
                <w:szCs w:val="21"/>
              </w:rPr>
              <w:t>个样，小计1</w:t>
            </w:r>
            <w:r>
              <w:rPr>
                <w:rFonts w:ascii="Times New Roman" w:hAnsi="Times New Roman" w:eastAsia="宋体" w:cs="Times New Roman"/>
                <w:kern w:val="0"/>
                <w:szCs w:val="21"/>
              </w:rPr>
              <w:t>20</w:t>
            </w:r>
            <w:r>
              <w:rPr>
                <w:rFonts w:hint="eastAsia" w:ascii="Times New Roman" w:hAnsi="Times New Roman" w:eastAsia="宋体" w:cs="Times New Roman"/>
                <w:kern w:val="0"/>
                <w:szCs w:val="21"/>
              </w:rPr>
              <w:t>个样</w:t>
            </w:r>
          </w:p>
        </w:tc>
        <w:tc>
          <w:tcPr>
            <w:tcW w:w="720" w:type="dxa"/>
            <w:vAlign w:val="center"/>
          </w:tcPr>
          <w:p>
            <w:pPr>
              <w:widowControl/>
              <w:spacing w:before="156" w:beforeLines="50" w:after="156" w:afterLines="50" w:line="360" w:lineRule="auto"/>
              <w:jc w:val="center"/>
              <w:rPr>
                <w:rFonts w:hint="eastAsia"/>
                <w:vertAlign w:val="baseline"/>
                <w:lang w:val="en-US" w:eastAsia="zh-CN"/>
              </w:rPr>
            </w:pPr>
            <w:r>
              <w:rPr>
                <w:rFonts w:ascii="Times New Roman" w:hAnsi="Times New Roman" w:eastAsia="宋体" w:cs="Times New Roman"/>
                <w:kern w:val="0"/>
                <w:szCs w:val="21"/>
              </w:rPr>
              <w:t>120</w:t>
            </w:r>
          </w:p>
        </w:tc>
        <w:tc>
          <w:tcPr>
            <w:tcW w:w="690" w:type="dxa"/>
            <w:vAlign w:val="center"/>
          </w:tcPr>
          <w:p>
            <w:pPr>
              <w:widowControl/>
              <w:spacing w:before="156" w:beforeLines="50" w:after="156" w:afterLines="50" w:line="360" w:lineRule="auto"/>
              <w:jc w:val="center"/>
              <w:rPr>
                <w:rFonts w:hint="eastAsia"/>
                <w:vertAlign w:val="baseline"/>
                <w:lang w:val="en-US" w:eastAsia="zh-CN"/>
              </w:rPr>
            </w:pPr>
            <w:r>
              <w:rPr>
                <w:rFonts w:ascii="Times New Roman" w:hAnsi="Times New Roman" w:eastAsia="宋体" w:cs="Times New Roman"/>
                <w:kern w:val="0"/>
                <w:szCs w:val="21"/>
              </w:rPr>
              <w:t>个</w:t>
            </w:r>
          </w:p>
        </w:tc>
        <w:tc>
          <w:tcPr>
            <w:tcW w:w="1039" w:type="dxa"/>
            <w:vMerge w:val="continue"/>
          </w:tcPr>
          <w:p>
            <w:pPr>
              <w:pStyle w:val="21"/>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pPr>
              <w:widowControl/>
              <w:spacing w:before="156" w:beforeLines="50" w:after="156" w:afterLines="50" w:line="360" w:lineRule="auto"/>
              <w:jc w:val="center"/>
              <w:rPr>
                <w:rFonts w:hint="eastAsia"/>
                <w:vertAlign w:val="baseline"/>
                <w:lang w:val="en-US" w:eastAsia="zh-CN"/>
              </w:rPr>
            </w:pPr>
            <w:r>
              <w:rPr>
                <w:rFonts w:ascii="Times New Roman" w:hAnsi="Times New Roman" w:eastAsia="宋体" w:cs="Times New Roman"/>
                <w:kern w:val="0"/>
                <w:szCs w:val="21"/>
              </w:rPr>
              <w:t>8</w:t>
            </w:r>
          </w:p>
        </w:tc>
        <w:tc>
          <w:tcPr>
            <w:tcW w:w="1215" w:type="dxa"/>
            <w:vAlign w:val="center"/>
          </w:tcPr>
          <w:p>
            <w:pPr>
              <w:widowControl/>
              <w:spacing w:before="156" w:beforeLines="50" w:after="156" w:afterLines="50" w:line="360" w:lineRule="auto"/>
              <w:jc w:val="center"/>
              <w:rPr>
                <w:rFonts w:hint="eastAsia"/>
                <w:vertAlign w:val="baseline"/>
                <w:lang w:val="en-US" w:eastAsia="zh-CN"/>
              </w:rPr>
            </w:pPr>
            <w:r>
              <w:rPr>
                <w:rFonts w:hint="eastAsia" w:ascii="Times New Roman" w:hAnsi="Times New Roman" w:eastAsia="宋体" w:cs="Times New Roman"/>
                <w:kern w:val="0"/>
                <w:szCs w:val="21"/>
              </w:rPr>
              <w:t>傅里叶红外光谱（FTIR）分析</w:t>
            </w:r>
          </w:p>
        </w:tc>
        <w:tc>
          <w:tcPr>
            <w:tcW w:w="3390" w:type="dxa"/>
            <w:vAlign w:val="center"/>
          </w:tcPr>
          <w:p>
            <w:pPr>
              <w:widowControl/>
              <w:spacing w:before="156" w:beforeLines="50" w:after="156" w:afterLines="50" w:line="360" w:lineRule="auto"/>
              <w:jc w:val="center"/>
              <w:rPr>
                <w:rFonts w:hint="eastAsia"/>
                <w:vertAlign w:val="baseline"/>
                <w:lang w:val="en-US" w:eastAsia="zh-CN"/>
              </w:rPr>
            </w:pPr>
            <w:r>
              <w:rPr>
                <w:rFonts w:hint="eastAsia" w:ascii="Times New Roman" w:hAnsi="Times New Roman" w:eastAsia="宋体" w:cs="Times New Roman"/>
                <w:kern w:val="0"/>
                <w:szCs w:val="21"/>
              </w:rPr>
              <w:t>分析MBR中空纤维膜有机污染物的特征官能团、分子结构和化学组成</w:t>
            </w:r>
          </w:p>
        </w:tc>
        <w:tc>
          <w:tcPr>
            <w:tcW w:w="1365" w:type="dxa"/>
            <w:vAlign w:val="center"/>
          </w:tcPr>
          <w:p>
            <w:pPr>
              <w:widowControl/>
              <w:spacing w:before="156" w:beforeLines="50" w:after="156" w:afterLines="50" w:line="360" w:lineRule="auto"/>
              <w:jc w:val="center"/>
              <w:rPr>
                <w:rFonts w:hint="eastAsia"/>
                <w:vertAlign w:val="baseline"/>
                <w:lang w:val="en-US" w:eastAsia="zh-CN"/>
              </w:rPr>
            </w:pPr>
            <w:r>
              <w:rPr>
                <w:rFonts w:hint="eastAsia" w:ascii="Times New Roman" w:hAnsi="Times New Roman" w:eastAsia="宋体" w:cs="Times New Roman"/>
                <w:kern w:val="0"/>
                <w:szCs w:val="21"/>
              </w:rPr>
              <w:t>集中送样，2</w:t>
            </w:r>
            <w:r>
              <w:rPr>
                <w:rFonts w:ascii="Times New Roman" w:hAnsi="Times New Roman" w:eastAsia="宋体" w:cs="Times New Roman"/>
                <w:kern w:val="0"/>
                <w:szCs w:val="21"/>
              </w:rPr>
              <w:t>0</w:t>
            </w:r>
            <w:r>
              <w:rPr>
                <w:rFonts w:hint="eastAsia" w:ascii="Times New Roman" w:hAnsi="Times New Roman" w:eastAsia="宋体" w:cs="Times New Roman"/>
                <w:kern w:val="0"/>
                <w:szCs w:val="21"/>
              </w:rPr>
              <w:t>个样品</w:t>
            </w:r>
          </w:p>
        </w:tc>
        <w:tc>
          <w:tcPr>
            <w:tcW w:w="720" w:type="dxa"/>
            <w:vAlign w:val="center"/>
          </w:tcPr>
          <w:p>
            <w:pPr>
              <w:widowControl/>
              <w:spacing w:before="156" w:beforeLines="50" w:after="156" w:afterLines="50" w:line="360" w:lineRule="auto"/>
              <w:jc w:val="center"/>
              <w:rPr>
                <w:rFonts w:hint="eastAsia"/>
                <w:vertAlign w:val="baseline"/>
                <w:lang w:val="en-US" w:eastAsia="zh-CN"/>
              </w:rPr>
            </w:pPr>
            <w:r>
              <w:rPr>
                <w:rFonts w:ascii="Times New Roman" w:hAnsi="Times New Roman" w:eastAsia="宋体" w:cs="Times New Roman"/>
                <w:kern w:val="0"/>
                <w:szCs w:val="21"/>
              </w:rPr>
              <w:t>20</w:t>
            </w:r>
          </w:p>
        </w:tc>
        <w:tc>
          <w:tcPr>
            <w:tcW w:w="690" w:type="dxa"/>
            <w:vAlign w:val="center"/>
          </w:tcPr>
          <w:p>
            <w:pPr>
              <w:widowControl/>
              <w:spacing w:before="156" w:beforeLines="50" w:after="156" w:afterLines="50" w:line="360" w:lineRule="auto"/>
              <w:jc w:val="center"/>
              <w:rPr>
                <w:rFonts w:hint="eastAsia"/>
                <w:vertAlign w:val="baseline"/>
                <w:lang w:val="en-US" w:eastAsia="zh-CN"/>
              </w:rPr>
            </w:pPr>
            <w:r>
              <w:rPr>
                <w:rFonts w:ascii="Times New Roman" w:hAnsi="Times New Roman" w:eastAsia="宋体" w:cs="Times New Roman"/>
                <w:kern w:val="0"/>
                <w:szCs w:val="21"/>
              </w:rPr>
              <w:t>个</w:t>
            </w:r>
          </w:p>
        </w:tc>
        <w:tc>
          <w:tcPr>
            <w:tcW w:w="1039" w:type="dxa"/>
            <w:vMerge w:val="continue"/>
          </w:tcPr>
          <w:p>
            <w:pPr>
              <w:pStyle w:val="21"/>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trPr>
        <w:tc>
          <w:tcPr>
            <w:tcW w:w="641" w:type="dxa"/>
            <w:vAlign w:val="center"/>
          </w:tcPr>
          <w:p>
            <w:pPr>
              <w:widowControl/>
              <w:spacing w:before="156" w:beforeLines="50" w:after="156" w:afterLines="50" w:line="360" w:lineRule="auto"/>
              <w:jc w:val="center"/>
              <w:rPr>
                <w:rFonts w:hint="eastAsia"/>
                <w:vertAlign w:val="baseline"/>
                <w:lang w:val="en-US" w:eastAsia="zh-CN"/>
              </w:rPr>
            </w:pPr>
            <w:r>
              <w:rPr>
                <w:rFonts w:hint="eastAsia" w:ascii="Times New Roman" w:hAnsi="Times New Roman" w:eastAsia="宋体" w:cs="Times New Roman"/>
                <w:kern w:val="0"/>
                <w:szCs w:val="21"/>
              </w:rPr>
              <w:t>9</w:t>
            </w:r>
          </w:p>
        </w:tc>
        <w:tc>
          <w:tcPr>
            <w:tcW w:w="1215" w:type="dxa"/>
            <w:vAlign w:val="center"/>
          </w:tcPr>
          <w:p>
            <w:pPr>
              <w:widowControl/>
              <w:spacing w:before="156" w:beforeLines="50" w:after="156" w:afterLines="50" w:line="360" w:lineRule="auto"/>
              <w:jc w:val="center"/>
              <w:rPr>
                <w:rFonts w:hint="eastAsia"/>
                <w:vertAlign w:val="baseline"/>
                <w:lang w:val="en-US" w:eastAsia="zh-CN"/>
              </w:rPr>
            </w:pPr>
            <w:r>
              <w:rPr>
                <w:rFonts w:ascii="Times New Roman" w:hAnsi="Times New Roman" w:eastAsia="宋体" w:cs="Times New Roman"/>
                <w:kern w:val="0"/>
                <w:szCs w:val="21"/>
              </w:rPr>
              <w:t>X射线光电子能谱</w:t>
            </w:r>
            <w:r>
              <w:rPr>
                <w:rFonts w:hint="eastAsia" w:ascii="Times New Roman" w:hAnsi="Times New Roman" w:eastAsia="宋体" w:cs="Times New Roman"/>
                <w:kern w:val="0"/>
                <w:szCs w:val="21"/>
              </w:rPr>
              <w:t>（XPS）分析</w:t>
            </w:r>
          </w:p>
        </w:tc>
        <w:tc>
          <w:tcPr>
            <w:tcW w:w="3390" w:type="dxa"/>
            <w:vAlign w:val="center"/>
          </w:tcPr>
          <w:p>
            <w:pPr>
              <w:widowControl/>
              <w:spacing w:before="156" w:beforeLines="50" w:after="156" w:afterLines="50" w:line="360" w:lineRule="auto"/>
              <w:jc w:val="center"/>
              <w:rPr>
                <w:rFonts w:hint="eastAsia"/>
                <w:vertAlign w:val="baseline"/>
                <w:lang w:val="en-US" w:eastAsia="zh-CN"/>
              </w:rPr>
            </w:pPr>
            <w:r>
              <w:rPr>
                <w:rFonts w:hint="eastAsia" w:ascii="Times New Roman" w:hAnsi="Times New Roman" w:eastAsia="宋体" w:cs="Times New Roman"/>
                <w:kern w:val="0"/>
                <w:szCs w:val="21"/>
              </w:rPr>
              <w:t>分析MBR中空纤维膜表面污染物元素组成、价态等</w:t>
            </w:r>
          </w:p>
        </w:tc>
        <w:tc>
          <w:tcPr>
            <w:tcW w:w="1365" w:type="dxa"/>
            <w:vAlign w:val="center"/>
          </w:tcPr>
          <w:p>
            <w:pPr>
              <w:widowControl/>
              <w:spacing w:before="156" w:beforeLines="50" w:after="156" w:afterLines="50" w:line="360" w:lineRule="auto"/>
              <w:jc w:val="center"/>
              <w:rPr>
                <w:rFonts w:hint="eastAsia"/>
                <w:vertAlign w:val="baseline"/>
                <w:lang w:val="en-US" w:eastAsia="zh-CN"/>
              </w:rPr>
            </w:pPr>
            <w:r>
              <w:rPr>
                <w:rFonts w:hint="eastAsia" w:ascii="Times New Roman" w:hAnsi="Times New Roman" w:eastAsia="宋体" w:cs="Times New Roman"/>
                <w:kern w:val="0"/>
                <w:szCs w:val="21"/>
              </w:rPr>
              <w:t>集中送样，2</w:t>
            </w:r>
            <w:r>
              <w:rPr>
                <w:rFonts w:ascii="Times New Roman" w:hAnsi="Times New Roman" w:eastAsia="宋体" w:cs="Times New Roman"/>
                <w:kern w:val="0"/>
                <w:szCs w:val="21"/>
              </w:rPr>
              <w:t>0</w:t>
            </w:r>
            <w:r>
              <w:rPr>
                <w:rFonts w:hint="eastAsia" w:ascii="Times New Roman" w:hAnsi="Times New Roman" w:eastAsia="宋体" w:cs="Times New Roman"/>
                <w:kern w:val="0"/>
                <w:szCs w:val="21"/>
              </w:rPr>
              <w:t>个样品</w:t>
            </w:r>
          </w:p>
        </w:tc>
        <w:tc>
          <w:tcPr>
            <w:tcW w:w="720" w:type="dxa"/>
            <w:vAlign w:val="center"/>
          </w:tcPr>
          <w:p>
            <w:pPr>
              <w:widowControl/>
              <w:spacing w:before="156" w:beforeLines="50" w:after="156" w:afterLines="50" w:line="360" w:lineRule="auto"/>
              <w:jc w:val="center"/>
              <w:rPr>
                <w:rFonts w:hint="eastAsia"/>
                <w:vertAlign w:val="baseline"/>
                <w:lang w:val="en-US" w:eastAsia="zh-CN"/>
              </w:rPr>
            </w:pPr>
            <w:r>
              <w:rPr>
                <w:rFonts w:hint="eastAsia" w:ascii="Times New Roman" w:hAnsi="Times New Roman" w:eastAsia="宋体" w:cs="Times New Roman"/>
                <w:kern w:val="0"/>
                <w:szCs w:val="21"/>
              </w:rPr>
              <w:t>2</w:t>
            </w:r>
            <w:r>
              <w:rPr>
                <w:rFonts w:ascii="Times New Roman" w:hAnsi="Times New Roman" w:eastAsia="宋体" w:cs="Times New Roman"/>
                <w:kern w:val="0"/>
                <w:szCs w:val="21"/>
              </w:rPr>
              <w:t>0</w:t>
            </w:r>
          </w:p>
        </w:tc>
        <w:tc>
          <w:tcPr>
            <w:tcW w:w="690" w:type="dxa"/>
            <w:vAlign w:val="center"/>
          </w:tcPr>
          <w:p>
            <w:pPr>
              <w:widowControl/>
              <w:spacing w:before="156" w:beforeLines="50" w:after="156" w:afterLines="50" w:line="360" w:lineRule="auto"/>
              <w:jc w:val="center"/>
              <w:rPr>
                <w:rFonts w:hint="eastAsia"/>
                <w:vertAlign w:val="baseline"/>
                <w:lang w:val="en-US" w:eastAsia="zh-CN"/>
              </w:rPr>
            </w:pPr>
            <w:r>
              <w:rPr>
                <w:rFonts w:hint="eastAsia" w:ascii="Times New Roman" w:hAnsi="Times New Roman" w:eastAsia="宋体" w:cs="Times New Roman"/>
                <w:kern w:val="0"/>
                <w:szCs w:val="21"/>
              </w:rPr>
              <w:t>个</w:t>
            </w:r>
          </w:p>
        </w:tc>
        <w:tc>
          <w:tcPr>
            <w:tcW w:w="1039" w:type="dxa"/>
            <w:vMerge w:val="continue"/>
          </w:tcPr>
          <w:p>
            <w:pPr>
              <w:pStyle w:val="21"/>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641" w:type="dxa"/>
            <w:vAlign w:val="center"/>
          </w:tcPr>
          <w:p>
            <w:pPr>
              <w:widowControl/>
              <w:spacing w:before="156" w:beforeLines="50" w:after="156" w:afterLines="50" w:line="360" w:lineRule="auto"/>
              <w:jc w:val="center"/>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Cs w:val="21"/>
              </w:rPr>
              <w:t>1</w:t>
            </w:r>
            <w:r>
              <w:rPr>
                <w:rFonts w:ascii="Times New Roman" w:hAnsi="Times New Roman" w:eastAsia="宋体" w:cs="Times New Roman"/>
                <w:kern w:val="0"/>
                <w:szCs w:val="21"/>
              </w:rPr>
              <w:t>0</w:t>
            </w:r>
          </w:p>
        </w:tc>
        <w:tc>
          <w:tcPr>
            <w:tcW w:w="1215" w:type="dxa"/>
            <w:vAlign w:val="center"/>
          </w:tcPr>
          <w:p>
            <w:pPr>
              <w:widowControl/>
              <w:spacing w:before="156" w:beforeLines="50" w:after="156" w:afterLines="50" w:line="360" w:lineRule="auto"/>
              <w:jc w:val="center"/>
              <w:rPr>
                <w:rFonts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Cs w:val="21"/>
              </w:rPr>
              <w:t>三维荧光光谱（EEM）分析</w:t>
            </w:r>
          </w:p>
        </w:tc>
        <w:tc>
          <w:tcPr>
            <w:tcW w:w="3390" w:type="dxa"/>
            <w:vAlign w:val="center"/>
          </w:tcPr>
          <w:p>
            <w:pPr>
              <w:widowControl/>
              <w:spacing w:before="156" w:beforeLines="50" w:after="156" w:afterLines="50" w:line="360" w:lineRule="auto"/>
              <w:jc w:val="center"/>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Cs w:val="21"/>
              </w:rPr>
              <w:t>生化及MBR工艺进出水中微生物溶解性产物（SMP）荧光类有机物组成及含量分析</w:t>
            </w:r>
          </w:p>
        </w:tc>
        <w:tc>
          <w:tcPr>
            <w:tcW w:w="1365" w:type="dxa"/>
            <w:vAlign w:val="center"/>
          </w:tcPr>
          <w:p>
            <w:pPr>
              <w:widowControl/>
              <w:spacing w:before="156" w:beforeLines="50" w:after="156" w:afterLines="50" w:line="360" w:lineRule="auto"/>
              <w:jc w:val="center"/>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Cs w:val="21"/>
              </w:rPr>
              <w:t>集中送样，每天</w:t>
            </w:r>
            <w:r>
              <w:rPr>
                <w:rFonts w:ascii="Times New Roman" w:hAnsi="Times New Roman" w:eastAsia="宋体" w:cs="Times New Roman"/>
                <w:kern w:val="0"/>
                <w:szCs w:val="21"/>
              </w:rPr>
              <w:t>1</w:t>
            </w:r>
            <w:r>
              <w:rPr>
                <w:rFonts w:hint="eastAsia" w:ascii="Times New Roman" w:hAnsi="Times New Roman" w:eastAsia="宋体" w:cs="Times New Roman"/>
                <w:kern w:val="0"/>
                <w:szCs w:val="21"/>
              </w:rPr>
              <w:t>次，每次3个样，连续检测1</w:t>
            </w:r>
            <w:r>
              <w:rPr>
                <w:rFonts w:ascii="Times New Roman" w:hAnsi="Times New Roman" w:eastAsia="宋体" w:cs="Times New Roman"/>
                <w:kern w:val="0"/>
                <w:szCs w:val="21"/>
              </w:rPr>
              <w:t>00</w:t>
            </w:r>
            <w:r>
              <w:rPr>
                <w:rFonts w:hint="eastAsia" w:ascii="Times New Roman" w:hAnsi="Times New Roman" w:eastAsia="宋体" w:cs="Times New Roman"/>
                <w:kern w:val="0"/>
                <w:szCs w:val="21"/>
              </w:rPr>
              <w:t>天，合计3</w:t>
            </w:r>
            <w:r>
              <w:rPr>
                <w:rFonts w:ascii="Times New Roman" w:hAnsi="Times New Roman" w:eastAsia="宋体" w:cs="Times New Roman"/>
                <w:kern w:val="0"/>
                <w:szCs w:val="21"/>
              </w:rPr>
              <w:t>00</w:t>
            </w:r>
            <w:r>
              <w:rPr>
                <w:rFonts w:hint="eastAsia" w:ascii="Times New Roman" w:hAnsi="Times New Roman" w:eastAsia="宋体" w:cs="Times New Roman"/>
                <w:kern w:val="0"/>
                <w:szCs w:val="21"/>
              </w:rPr>
              <w:t>个样。</w:t>
            </w:r>
          </w:p>
        </w:tc>
        <w:tc>
          <w:tcPr>
            <w:tcW w:w="720" w:type="dxa"/>
            <w:vAlign w:val="center"/>
          </w:tcPr>
          <w:p>
            <w:pPr>
              <w:widowControl/>
              <w:spacing w:before="156" w:beforeLines="50" w:after="156" w:afterLines="50" w:line="360" w:lineRule="auto"/>
              <w:jc w:val="center"/>
              <w:rPr>
                <w:rFonts w:hint="eastAsia" w:ascii="Times New Roman" w:hAnsi="Times New Roman" w:eastAsia="宋体" w:cs="Times New Roman"/>
                <w:kern w:val="0"/>
                <w:sz w:val="21"/>
                <w:szCs w:val="21"/>
                <w:lang w:val="en-US" w:eastAsia="zh-CN" w:bidi="ar-SA"/>
              </w:rPr>
            </w:pPr>
            <w:r>
              <w:rPr>
                <w:rFonts w:ascii="Times New Roman" w:hAnsi="Times New Roman" w:eastAsia="宋体" w:cs="Times New Roman"/>
                <w:kern w:val="0"/>
                <w:szCs w:val="21"/>
              </w:rPr>
              <w:t>300</w:t>
            </w:r>
          </w:p>
        </w:tc>
        <w:tc>
          <w:tcPr>
            <w:tcW w:w="690" w:type="dxa"/>
            <w:vAlign w:val="center"/>
          </w:tcPr>
          <w:p>
            <w:pPr>
              <w:widowControl/>
              <w:spacing w:before="156" w:beforeLines="50" w:after="156" w:afterLines="50" w:line="360" w:lineRule="auto"/>
              <w:jc w:val="center"/>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个</w:t>
            </w:r>
          </w:p>
        </w:tc>
        <w:tc>
          <w:tcPr>
            <w:tcW w:w="1039" w:type="dxa"/>
            <w:vMerge w:val="continue"/>
          </w:tcPr>
          <w:p>
            <w:pPr>
              <w:pStyle w:val="21"/>
              <w:rPr>
                <w:rFonts w:hint="eastAsia"/>
                <w:vertAlign w:val="baseline"/>
                <w:lang w:val="en-US" w:eastAsia="zh-CN"/>
              </w:rPr>
            </w:pPr>
          </w:p>
        </w:tc>
      </w:tr>
    </w:tbl>
    <w:p>
      <w:pPr>
        <w:pStyle w:val="12"/>
        <w:numPr>
          <w:ilvl w:val="-1"/>
          <w:numId w:val="0"/>
        </w:numPr>
        <w:spacing w:line="600" w:lineRule="exact"/>
        <w:ind w:firstLine="0" w:firstLineChars="0"/>
        <w:jc w:val="both"/>
        <w:rPr>
          <w:rFonts w:hint="eastAsia" w:ascii="仿宋" w:hAnsi="仿宋" w:eastAsia="仿宋" w:cs="仿宋"/>
          <w:color w:val="auto"/>
          <w:kern w:val="2"/>
          <w:sz w:val="24"/>
          <w:szCs w:val="24"/>
          <w:highlight w:val="none"/>
          <w:lang w:val="zh-CN"/>
        </w:rPr>
      </w:pPr>
    </w:p>
    <w:p>
      <w:pPr>
        <w:pStyle w:val="12"/>
        <w:numPr>
          <w:ilvl w:val="-1"/>
          <w:numId w:val="0"/>
        </w:numPr>
        <w:spacing w:line="600" w:lineRule="exact"/>
        <w:ind w:firstLine="0" w:firstLineChars="0"/>
        <w:jc w:val="both"/>
        <w:rPr>
          <w:rFonts w:hint="eastAsia" w:ascii="仿宋" w:hAnsi="仿宋" w:eastAsia="仿宋" w:cs="仿宋"/>
          <w:color w:val="auto"/>
          <w:kern w:val="2"/>
          <w:sz w:val="28"/>
          <w:szCs w:val="28"/>
          <w:highlight w:val="none"/>
          <w:lang w:val="zh-CN"/>
        </w:rPr>
      </w:pPr>
      <w:r>
        <w:rPr>
          <w:rFonts w:hint="eastAsia" w:ascii="仿宋" w:hAnsi="仿宋" w:eastAsia="仿宋" w:cs="仿宋"/>
          <w:color w:val="auto"/>
          <w:kern w:val="2"/>
          <w:sz w:val="28"/>
          <w:szCs w:val="28"/>
          <w:highlight w:val="none"/>
          <w:lang w:val="en-US" w:eastAsia="zh-CN"/>
        </w:rPr>
        <w:t>2.</w:t>
      </w:r>
      <w:r>
        <w:rPr>
          <w:rFonts w:hint="eastAsia" w:ascii="仿宋" w:hAnsi="仿宋" w:eastAsia="仿宋" w:cs="仿宋"/>
          <w:color w:val="auto"/>
          <w:kern w:val="2"/>
          <w:sz w:val="28"/>
          <w:szCs w:val="28"/>
          <w:highlight w:val="none"/>
          <w:lang w:val="zh-CN"/>
        </w:rPr>
        <w:t>检测机构资质要求和报告要求</w:t>
      </w:r>
    </w:p>
    <w:p>
      <w:pPr>
        <w:pStyle w:val="21"/>
        <w:snapToGrid w:val="0"/>
        <w:spacing w:line="600" w:lineRule="exact"/>
        <w:ind w:firstLine="560" w:firstLineChars="200"/>
        <w:jc w:val="both"/>
        <w:rPr>
          <w:rFonts w:hint="eastAsia" w:ascii="宋体" w:hAnsi="宋体" w:cs="宋体" w:eastAsiaTheme="minorEastAsia"/>
          <w:color w:val="auto"/>
          <w:kern w:val="2"/>
          <w:sz w:val="28"/>
          <w:szCs w:val="28"/>
          <w:highlight w:val="none"/>
        </w:rPr>
      </w:pPr>
      <w:r>
        <w:rPr>
          <w:rFonts w:hint="eastAsia" w:ascii="仿宋" w:hAnsi="仿宋" w:eastAsia="仿宋" w:cs="仿宋"/>
          <w:color w:val="auto"/>
          <w:kern w:val="2"/>
          <w:sz w:val="28"/>
          <w:szCs w:val="28"/>
          <w:highlight w:val="none"/>
          <w:lang w:val="zh-CN" w:eastAsia="zh-CN" w:bidi="ar-SA"/>
        </w:rPr>
        <w:t>项目允许分包，</w:t>
      </w:r>
      <w:r>
        <w:rPr>
          <w:rFonts w:hint="eastAsia" w:ascii="仿宋" w:hAnsi="仿宋" w:eastAsia="仿宋" w:cs="仿宋"/>
          <w:color w:val="auto"/>
          <w:kern w:val="2"/>
          <w:sz w:val="28"/>
          <w:szCs w:val="28"/>
          <w:highlight w:val="none"/>
          <w:lang w:val="en-US" w:eastAsia="zh-CN" w:bidi="ar-SA"/>
        </w:rPr>
        <w:t>常规水质指标须</w:t>
      </w:r>
      <w:r>
        <w:rPr>
          <w:rFonts w:hint="eastAsia" w:ascii="仿宋" w:hAnsi="仿宋" w:eastAsia="仿宋" w:cs="仿宋"/>
          <w:color w:val="auto"/>
          <w:kern w:val="2"/>
          <w:sz w:val="28"/>
          <w:szCs w:val="28"/>
          <w:highlight w:val="none"/>
          <w:lang w:val="zh-CN" w:eastAsia="zh-CN" w:bidi="ar-SA"/>
        </w:rPr>
        <w:t>出具CMA检测报告。</w:t>
      </w:r>
    </w:p>
    <w:p>
      <w:pPr>
        <w:pStyle w:val="21"/>
        <w:rPr>
          <w:rFonts w:ascii="仿宋_GB2312" w:eastAsia="仿宋_GB2312"/>
          <w:color w:val="FF0000"/>
          <w:sz w:val="28"/>
          <w:szCs w:val="28"/>
          <w:highlight w:val="none"/>
        </w:rPr>
      </w:pPr>
    </w:p>
    <w:p>
      <w:pPr>
        <w:pStyle w:val="21"/>
        <w:rPr>
          <w:rFonts w:ascii="仿宋_GB2312" w:eastAsia="仿宋_GB2312"/>
          <w:color w:val="FF0000"/>
          <w:sz w:val="28"/>
          <w:szCs w:val="28"/>
          <w:highlight w:val="none"/>
        </w:rPr>
      </w:pPr>
    </w:p>
    <w:p>
      <w:pPr>
        <w:adjustRightInd w:val="0"/>
        <w:snapToGrid w:val="0"/>
        <w:spacing w:line="360" w:lineRule="auto"/>
        <w:rPr>
          <w:rFonts w:ascii="仿宋" w:hAnsi="仿宋" w:eastAsia="仿宋" w:cs="仿宋"/>
          <w:b/>
          <w:bCs/>
          <w:sz w:val="24"/>
          <w:szCs w:val="24"/>
          <w:highlight w:val="none"/>
        </w:rPr>
      </w:pPr>
      <w:r>
        <w:rPr>
          <w:rFonts w:hint="eastAsia" w:ascii="仿宋" w:hAnsi="仿宋" w:eastAsia="仿宋" w:cs="仿宋"/>
          <w:b/>
          <w:bCs/>
          <w:sz w:val="28"/>
          <w:szCs w:val="28"/>
          <w:highlight w:val="none"/>
        </w:rPr>
        <w:t>三、项目商务要求</w:t>
      </w:r>
    </w:p>
    <w:p>
      <w:pPr>
        <w:pStyle w:val="21"/>
        <w:rPr>
          <w:rFonts w:hint="eastAsia" w:ascii="仿宋" w:hAnsi="仿宋" w:eastAsia="仿宋" w:cs="仿宋"/>
          <w:color w:val="auto"/>
          <w:kern w:val="2"/>
          <w:sz w:val="28"/>
          <w:szCs w:val="28"/>
          <w:highlight w:val="none"/>
          <w:u w:val="single"/>
          <w:lang w:eastAsia="zh-CN"/>
        </w:rPr>
      </w:pPr>
      <w:r>
        <w:rPr>
          <w:rFonts w:hint="eastAsia" w:ascii="仿宋" w:hAnsi="仿宋" w:eastAsia="仿宋" w:cs="仿宋"/>
          <w:color w:val="auto"/>
          <w:kern w:val="2"/>
          <w:sz w:val="28"/>
          <w:szCs w:val="28"/>
          <w:highlight w:val="none"/>
        </w:rPr>
        <w:t>1.服务周期：</w:t>
      </w:r>
      <w:r>
        <w:rPr>
          <w:rFonts w:hint="eastAsia" w:ascii="仿宋" w:hAnsi="仿宋" w:eastAsia="仿宋" w:cs="仿宋"/>
          <w:color w:val="auto"/>
          <w:sz w:val="28"/>
          <w:szCs w:val="28"/>
          <w:highlight w:val="none"/>
          <w:u w:val="single"/>
        </w:rPr>
        <w:t>合同签订之日起</w:t>
      </w:r>
      <w:r>
        <w:rPr>
          <w:rFonts w:hint="eastAsia" w:ascii="仿宋" w:hAnsi="仿宋" w:eastAsia="仿宋" w:cs="仿宋"/>
          <w:color w:val="auto"/>
          <w:sz w:val="28"/>
          <w:szCs w:val="28"/>
          <w:highlight w:val="none"/>
          <w:u w:val="single"/>
          <w:lang w:val="en-US" w:eastAsia="zh-CN"/>
        </w:rPr>
        <w:t>一年。</w:t>
      </w:r>
    </w:p>
    <w:p>
      <w:pPr>
        <w:pStyle w:val="21"/>
        <w:widowControl/>
        <w:numPr>
          <w:ilvl w:val="-1"/>
          <w:numId w:val="0"/>
        </w:numPr>
        <w:spacing w:line="360" w:lineRule="auto"/>
        <w:ind w:firstLine="560" w:firstLineChars="200"/>
        <w:jc w:val="left"/>
        <w:rPr>
          <w:rFonts w:ascii="宋体" w:hAnsi="宋体" w:eastAsia="宋体" w:cs="Times New Roman"/>
          <w:kern w:val="0"/>
          <w:sz w:val="28"/>
          <w:szCs w:val="28"/>
        </w:rPr>
      </w:pPr>
      <w:r>
        <w:rPr>
          <w:rFonts w:hint="eastAsia" w:ascii="仿宋" w:hAnsi="仿宋" w:eastAsia="仿宋" w:cs="仿宋"/>
          <w:color w:val="auto"/>
          <w:kern w:val="2"/>
          <w:sz w:val="28"/>
          <w:szCs w:val="28"/>
          <w:highlight w:val="none"/>
        </w:rPr>
        <w:t>根据甲方要求，在指定的时间内</w:t>
      </w:r>
      <w:r>
        <w:rPr>
          <w:rFonts w:hint="eastAsia" w:ascii="仿宋" w:hAnsi="仿宋" w:eastAsia="仿宋" w:cs="仿宋"/>
          <w:color w:val="auto"/>
          <w:kern w:val="2"/>
          <w:sz w:val="28"/>
          <w:szCs w:val="28"/>
          <w:highlight w:val="none"/>
          <w:lang w:val="zh-CN"/>
        </w:rPr>
        <w:t>，按照约定的各检测指标相应的检测频率完成日</w:t>
      </w:r>
      <w:r>
        <w:rPr>
          <w:rFonts w:hint="eastAsia" w:ascii="仿宋" w:hAnsi="仿宋" w:eastAsia="仿宋" w:cs="仿宋"/>
          <w:color w:val="auto"/>
          <w:kern w:val="2"/>
          <w:sz w:val="28"/>
          <w:szCs w:val="28"/>
          <w:highlight w:val="none"/>
          <w:lang w:val="en-US"/>
        </w:rPr>
        <w:t>常监测工作；</w:t>
      </w:r>
      <w:r>
        <w:rPr>
          <w:rFonts w:hint="eastAsia" w:ascii="仿宋" w:hAnsi="仿宋" w:eastAsia="仿宋" w:cs="仿宋"/>
          <w:color w:val="auto"/>
          <w:kern w:val="2"/>
          <w:sz w:val="28"/>
          <w:szCs w:val="28"/>
          <w:highlight w:val="none"/>
        </w:rPr>
        <w:t>具体采样时间由甲方确定，提前</w:t>
      </w:r>
      <w:r>
        <w:rPr>
          <w:rFonts w:hint="eastAsia" w:ascii="仿宋" w:hAnsi="仿宋" w:eastAsia="仿宋" w:cs="仿宋"/>
          <w:color w:val="auto"/>
          <w:kern w:val="2"/>
          <w:sz w:val="28"/>
          <w:szCs w:val="28"/>
          <w:highlight w:val="none"/>
          <w:lang w:val="en-US" w:eastAsia="zh-CN"/>
        </w:rPr>
        <w:t>2</w:t>
      </w:r>
      <w:r>
        <w:rPr>
          <w:rFonts w:hint="eastAsia" w:ascii="仿宋" w:hAnsi="仿宋" w:eastAsia="仿宋" w:cs="仿宋"/>
          <w:color w:val="auto"/>
          <w:kern w:val="2"/>
          <w:sz w:val="28"/>
          <w:szCs w:val="28"/>
          <w:highlight w:val="none"/>
        </w:rPr>
        <w:t>个工作日通知乙方</w:t>
      </w:r>
      <w:r>
        <w:rPr>
          <w:rFonts w:hint="eastAsia" w:ascii="仿宋" w:hAnsi="仿宋" w:eastAsia="仿宋" w:cs="仿宋"/>
          <w:color w:val="auto"/>
          <w:kern w:val="2"/>
          <w:sz w:val="28"/>
          <w:szCs w:val="28"/>
          <w:highlight w:val="none"/>
          <w:lang w:eastAsia="zh-CN"/>
        </w:rPr>
        <w:t>。</w:t>
      </w:r>
      <w:r>
        <w:rPr>
          <w:rFonts w:hint="eastAsia" w:ascii="仿宋" w:hAnsi="仿宋" w:eastAsia="仿宋" w:cs="仿宋"/>
          <w:color w:val="auto"/>
          <w:kern w:val="2"/>
          <w:sz w:val="28"/>
          <w:szCs w:val="28"/>
          <w:highlight w:val="none"/>
        </w:rPr>
        <w:t>乙方</w:t>
      </w:r>
      <w:r>
        <w:rPr>
          <w:rFonts w:hint="eastAsia" w:ascii="仿宋" w:hAnsi="仿宋" w:eastAsia="仿宋" w:cs="仿宋"/>
          <w:color w:val="auto"/>
          <w:kern w:val="2"/>
          <w:sz w:val="28"/>
          <w:szCs w:val="28"/>
          <w:highlight w:val="none"/>
          <w:lang w:val="en-US"/>
        </w:rPr>
        <w:t>采样后，</w:t>
      </w:r>
      <w:r>
        <w:rPr>
          <w:rFonts w:hint="eastAsia" w:ascii="仿宋" w:hAnsi="仿宋" w:eastAsia="仿宋" w:cs="仿宋"/>
          <w:color w:val="auto"/>
          <w:kern w:val="2"/>
          <w:sz w:val="28"/>
          <w:szCs w:val="28"/>
          <w:highlight w:val="none"/>
          <w:lang w:val="en-US" w:eastAsia="zh-CN"/>
        </w:rPr>
        <w:t>常规水质指标分析（除BOD</w:t>
      </w:r>
      <w:r>
        <w:rPr>
          <w:rFonts w:hint="eastAsia" w:ascii="仿宋" w:hAnsi="仿宋" w:eastAsia="仿宋" w:cs="仿宋"/>
          <w:color w:val="auto"/>
          <w:kern w:val="2"/>
          <w:sz w:val="28"/>
          <w:szCs w:val="28"/>
          <w:highlight w:val="none"/>
          <w:vertAlign w:val="baseline"/>
          <w:lang w:val="en-US" w:eastAsia="zh-CN"/>
        </w:rPr>
        <w:t>5</w:t>
      </w:r>
      <w:r>
        <w:rPr>
          <w:rFonts w:hint="eastAsia" w:ascii="仿宋" w:hAnsi="仿宋" w:eastAsia="仿宋" w:cs="仿宋"/>
          <w:color w:val="auto"/>
          <w:kern w:val="2"/>
          <w:sz w:val="28"/>
          <w:szCs w:val="28"/>
          <w:highlight w:val="none"/>
          <w:lang w:val="en-US" w:eastAsia="zh-CN"/>
        </w:rPr>
        <w:t>外）须在4</w:t>
      </w:r>
      <w:r>
        <w:rPr>
          <w:rFonts w:hint="eastAsia" w:ascii="仿宋" w:hAnsi="仿宋" w:eastAsia="仿宋" w:cs="仿宋"/>
          <w:color w:val="auto"/>
          <w:kern w:val="2"/>
          <w:sz w:val="28"/>
          <w:szCs w:val="28"/>
          <w:highlight w:val="none"/>
        </w:rPr>
        <w:t>日内向</w:t>
      </w:r>
      <w:r>
        <w:rPr>
          <w:rFonts w:hint="eastAsia" w:ascii="仿宋" w:hAnsi="仿宋" w:eastAsia="仿宋" w:cs="仿宋"/>
          <w:color w:val="auto"/>
          <w:kern w:val="2"/>
          <w:sz w:val="28"/>
          <w:szCs w:val="28"/>
          <w:highlight w:val="none"/>
          <w:lang w:val="en-US" w:eastAsia="zh-CN"/>
        </w:rPr>
        <w:t>甲方</w:t>
      </w:r>
      <w:r>
        <w:rPr>
          <w:rFonts w:hint="eastAsia" w:ascii="仿宋" w:hAnsi="仿宋" w:eastAsia="仿宋" w:cs="仿宋"/>
          <w:color w:val="auto"/>
          <w:kern w:val="2"/>
          <w:sz w:val="28"/>
          <w:szCs w:val="28"/>
          <w:highlight w:val="none"/>
        </w:rPr>
        <w:t>出具检测报告（一式两份），微生物群落结构分析</w:t>
      </w:r>
      <w:r>
        <w:rPr>
          <w:rFonts w:hint="eastAsia" w:ascii="仿宋" w:hAnsi="仿宋" w:eastAsia="仿宋" w:cs="仿宋"/>
          <w:color w:val="auto"/>
          <w:kern w:val="2"/>
          <w:sz w:val="28"/>
          <w:szCs w:val="28"/>
          <w:highlight w:val="none"/>
          <w:lang w:val="en-US" w:eastAsia="zh-CN"/>
        </w:rPr>
        <w:t>须在40日内</w:t>
      </w:r>
      <w:r>
        <w:rPr>
          <w:rFonts w:hint="eastAsia" w:ascii="仿宋" w:hAnsi="仿宋" w:eastAsia="仿宋" w:cs="仿宋"/>
          <w:color w:val="auto"/>
          <w:kern w:val="2"/>
          <w:sz w:val="28"/>
          <w:szCs w:val="28"/>
          <w:highlight w:val="none"/>
        </w:rPr>
        <w:t>向</w:t>
      </w:r>
      <w:r>
        <w:rPr>
          <w:rFonts w:hint="eastAsia" w:ascii="仿宋" w:hAnsi="仿宋" w:eastAsia="仿宋" w:cs="仿宋"/>
          <w:color w:val="auto"/>
          <w:kern w:val="2"/>
          <w:sz w:val="28"/>
          <w:szCs w:val="28"/>
          <w:highlight w:val="none"/>
          <w:lang w:val="en-US" w:eastAsia="zh-CN"/>
        </w:rPr>
        <w:t>甲方</w:t>
      </w:r>
      <w:r>
        <w:rPr>
          <w:rFonts w:hint="eastAsia" w:ascii="仿宋" w:hAnsi="仿宋" w:eastAsia="仿宋" w:cs="仿宋"/>
          <w:color w:val="auto"/>
          <w:kern w:val="2"/>
          <w:sz w:val="28"/>
          <w:szCs w:val="28"/>
          <w:highlight w:val="none"/>
        </w:rPr>
        <w:t>出具检测报告（一式两份）</w:t>
      </w:r>
      <w:r>
        <w:rPr>
          <w:rFonts w:hint="eastAsia" w:ascii="仿宋" w:hAnsi="仿宋" w:eastAsia="仿宋" w:cs="仿宋"/>
          <w:color w:val="auto"/>
          <w:kern w:val="2"/>
          <w:sz w:val="28"/>
          <w:szCs w:val="28"/>
          <w:highlight w:val="none"/>
          <w:lang w:eastAsia="zh-CN"/>
        </w:rPr>
        <w:t>，</w:t>
      </w:r>
      <w:r>
        <w:rPr>
          <w:rFonts w:hint="eastAsia" w:ascii="仿宋" w:hAnsi="仿宋" w:eastAsia="仿宋" w:cs="仿宋"/>
          <w:color w:val="auto"/>
          <w:kern w:val="2"/>
          <w:sz w:val="28"/>
          <w:szCs w:val="28"/>
          <w:highlight w:val="none"/>
          <w:lang w:val="en-US" w:eastAsia="zh-CN"/>
        </w:rPr>
        <w:t>余下所有检测项目须在15日内向甲方</w:t>
      </w:r>
      <w:r>
        <w:rPr>
          <w:rFonts w:hint="eastAsia" w:ascii="仿宋" w:hAnsi="仿宋" w:eastAsia="仿宋" w:cs="仿宋"/>
          <w:color w:val="auto"/>
          <w:kern w:val="2"/>
          <w:sz w:val="28"/>
          <w:szCs w:val="28"/>
          <w:highlight w:val="none"/>
        </w:rPr>
        <w:t>出具检测报告（一式两份）。</w:t>
      </w:r>
    </w:p>
    <w:p>
      <w:pPr>
        <w:pStyle w:val="12"/>
        <w:snapToGrid w:val="0"/>
        <w:spacing w:line="360" w:lineRule="auto"/>
        <w:ind w:firstLine="560" w:firstLineChars="200"/>
        <w:jc w:val="both"/>
        <w:rPr>
          <w:rFonts w:ascii="仿宋" w:hAnsi="仿宋" w:eastAsia="仿宋" w:cs="仿宋"/>
          <w:color w:val="auto"/>
          <w:kern w:val="2"/>
          <w:sz w:val="28"/>
          <w:szCs w:val="28"/>
          <w:highlight w:val="none"/>
          <w:lang w:val="zh-CN"/>
        </w:rPr>
      </w:pPr>
      <w:r>
        <w:rPr>
          <w:rFonts w:hint="eastAsia" w:ascii="仿宋" w:hAnsi="仿宋" w:eastAsia="仿宋" w:cs="仿宋"/>
          <w:color w:val="auto"/>
          <w:kern w:val="2"/>
          <w:sz w:val="28"/>
          <w:szCs w:val="28"/>
          <w:highlight w:val="none"/>
        </w:rPr>
        <w:t>2、</w:t>
      </w:r>
      <w:r>
        <w:rPr>
          <w:rFonts w:hint="eastAsia" w:ascii="仿宋" w:hAnsi="仿宋" w:eastAsia="仿宋" w:cs="仿宋"/>
          <w:color w:val="auto"/>
          <w:kern w:val="2"/>
          <w:sz w:val="28"/>
          <w:szCs w:val="28"/>
          <w:highlight w:val="none"/>
          <w:lang w:val="zh-CN"/>
        </w:rPr>
        <w:t>乙方须遵守符合双方约定检测指标的</w:t>
      </w:r>
      <w:r>
        <w:rPr>
          <w:rFonts w:hint="eastAsia" w:ascii="仿宋" w:hAnsi="仿宋" w:eastAsia="仿宋" w:cs="仿宋"/>
          <w:color w:val="auto"/>
          <w:kern w:val="2"/>
          <w:sz w:val="28"/>
          <w:szCs w:val="28"/>
          <w:highlight w:val="none"/>
          <w:lang w:val="en-US" w:eastAsia="zh-CN"/>
        </w:rPr>
        <w:t>最新的</w:t>
      </w:r>
      <w:r>
        <w:rPr>
          <w:rFonts w:hint="eastAsia" w:ascii="仿宋" w:hAnsi="仿宋" w:eastAsia="仿宋" w:cs="仿宋"/>
          <w:color w:val="auto"/>
          <w:kern w:val="2"/>
          <w:sz w:val="28"/>
          <w:szCs w:val="28"/>
          <w:highlight w:val="none"/>
          <w:lang w:val="zh-CN"/>
        </w:rPr>
        <w:t>国家和地方相关检测标准、技术规范及相关法律法规的要求。</w:t>
      </w:r>
    </w:p>
    <w:p>
      <w:pPr>
        <w:pStyle w:val="12"/>
        <w:snapToGrid w:val="0"/>
        <w:spacing w:line="360" w:lineRule="auto"/>
        <w:ind w:firstLine="560" w:firstLineChars="200"/>
        <w:jc w:val="both"/>
        <w:rPr>
          <w:rFonts w:ascii="仿宋" w:hAnsi="仿宋" w:eastAsia="仿宋" w:cs="仿宋"/>
          <w:color w:val="auto"/>
          <w:kern w:val="2"/>
          <w:sz w:val="28"/>
          <w:szCs w:val="28"/>
          <w:highlight w:val="none"/>
          <w:lang w:val="zh-CN"/>
        </w:rPr>
      </w:pPr>
      <w:r>
        <w:rPr>
          <w:rFonts w:hint="eastAsia" w:ascii="仿宋" w:hAnsi="仿宋" w:eastAsia="仿宋" w:cs="仿宋"/>
          <w:color w:val="auto"/>
          <w:kern w:val="2"/>
          <w:sz w:val="28"/>
          <w:szCs w:val="28"/>
          <w:highlight w:val="none"/>
          <w:lang w:val="en-US" w:eastAsia="zh-CN"/>
        </w:rPr>
        <w:t>3</w:t>
      </w:r>
      <w:r>
        <w:rPr>
          <w:rFonts w:hint="eastAsia" w:ascii="仿宋" w:hAnsi="仿宋" w:eastAsia="仿宋" w:cs="仿宋"/>
          <w:color w:val="auto"/>
          <w:kern w:val="2"/>
          <w:sz w:val="28"/>
          <w:szCs w:val="28"/>
          <w:highlight w:val="none"/>
        </w:rPr>
        <w:t>、</w:t>
      </w:r>
      <w:r>
        <w:rPr>
          <w:rFonts w:hint="eastAsia" w:ascii="仿宋" w:hAnsi="仿宋" w:eastAsia="仿宋" w:cs="仿宋"/>
          <w:color w:val="auto"/>
          <w:kern w:val="2"/>
          <w:sz w:val="28"/>
          <w:szCs w:val="28"/>
          <w:highlight w:val="none"/>
          <w:lang w:val="zh-CN"/>
        </w:rPr>
        <w:t>必须严格遵守双方约定的各种检测指标相应检测频率要求进行检测，非</w:t>
      </w:r>
      <w:r>
        <w:rPr>
          <w:rFonts w:hint="eastAsia" w:ascii="仿宋" w:hAnsi="仿宋" w:eastAsia="仿宋" w:cs="仿宋"/>
          <w:color w:val="auto"/>
          <w:kern w:val="2"/>
          <w:sz w:val="28"/>
          <w:szCs w:val="28"/>
          <w:highlight w:val="none"/>
          <w:lang w:val="en-US" w:eastAsia="zh-CN"/>
        </w:rPr>
        <w:t>甲方原因</w:t>
      </w:r>
      <w:r>
        <w:rPr>
          <w:rFonts w:hint="eastAsia" w:ascii="仿宋" w:hAnsi="仿宋" w:eastAsia="仿宋" w:cs="仿宋"/>
          <w:color w:val="auto"/>
          <w:kern w:val="2"/>
          <w:sz w:val="28"/>
          <w:szCs w:val="28"/>
          <w:highlight w:val="none"/>
          <w:lang w:val="zh-CN"/>
        </w:rPr>
        <w:t>，不得有检测频次的缺失，不得有某个检测频次下个别检测质指标数据遗漏。</w:t>
      </w:r>
    </w:p>
    <w:p>
      <w:pPr>
        <w:pStyle w:val="12"/>
        <w:snapToGrid w:val="0"/>
        <w:spacing w:line="360" w:lineRule="auto"/>
        <w:ind w:firstLine="560" w:firstLineChars="200"/>
        <w:jc w:val="both"/>
        <w:rPr>
          <w:rFonts w:ascii="仿宋" w:hAnsi="仿宋" w:eastAsia="仿宋" w:cs="仿宋"/>
          <w:color w:val="auto"/>
          <w:kern w:val="2"/>
          <w:sz w:val="28"/>
          <w:szCs w:val="28"/>
          <w:highlight w:val="none"/>
          <w:lang w:val="zh-CN"/>
        </w:rPr>
      </w:pPr>
      <w:r>
        <w:rPr>
          <w:rFonts w:hint="eastAsia" w:ascii="仿宋" w:hAnsi="仿宋" w:eastAsia="仿宋" w:cs="仿宋"/>
          <w:color w:val="auto"/>
          <w:kern w:val="2"/>
          <w:sz w:val="28"/>
          <w:szCs w:val="28"/>
          <w:highlight w:val="none"/>
          <w:lang w:val="en-US" w:eastAsia="zh-CN"/>
        </w:rPr>
        <w:t>4</w:t>
      </w:r>
      <w:r>
        <w:rPr>
          <w:rFonts w:hint="eastAsia" w:ascii="仿宋" w:hAnsi="仿宋" w:eastAsia="仿宋" w:cs="仿宋"/>
          <w:color w:val="auto"/>
          <w:kern w:val="2"/>
          <w:sz w:val="28"/>
          <w:szCs w:val="28"/>
          <w:highlight w:val="none"/>
        </w:rPr>
        <w:t>、</w:t>
      </w:r>
      <w:r>
        <w:rPr>
          <w:rFonts w:hint="eastAsia" w:ascii="仿宋" w:hAnsi="仿宋" w:eastAsia="仿宋" w:cs="仿宋"/>
          <w:color w:val="auto"/>
          <w:kern w:val="2"/>
          <w:sz w:val="28"/>
          <w:szCs w:val="28"/>
          <w:highlight w:val="none"/>
          <w:lang w:val="zh-CN"/>
        </w:rPr>
        <w:t>乙方须遵守双方约定检测频率，按时前往取样，具体取样工作由甲方人员配合完成。</w:t>
      </w:r>
    </w:p>
    <w:p>
      <w:pPr>
        <w:pStyle w:val="12"/>
        <w:snapToGrid w:val="0"/>
        <w:spacing w:line="360" w:lineRule="auto"/>
        <w:ind w:firstLine="560" w:firstLineChars="200"/>
        <w:jc w:val="both"/>
        <w:rPr>
          <w:rFonts w:ascii="仿宋" w:hAnsi="仿宋" w:eastAsia="仿宋" w:cs="仿宋"/>
          <w:color w:val="auto"/>
          <w:kern w:val="2"/>
          <w:sz w:val="28"/>
          <w:szCs w:val="28"/>
          <w:highlight w:val="none"/>
          <w:lang w:val="zh-CN"/>
        </w:rPr>
      </w:pPr>
      <w:r>
        <w:rPr>
          <w:rFonts w:hint="eastAsia" w:ascii="仿宋" w:hAnsi="仿宋" w:eastAsia="仿宋" w:cs="仿宋"/>
          <w:color w:val="auto"/>
          <w:kern w:val="2"/>
          <w:sz w:val="28"/>
          <w:szCs w:val="28"/>
          <w:highlight w:val="none"/>
          <w:lang w:val="en-US" w:eastAsia="zh-CN"/>
        </w:rPr>
        <w:t>5</w:t>
      </w:r>
      <w:r>
        <w:rPr>
          <w:rFonts w:hint="eastAsia" w:ascii="仿宋" w:hAnsi="仿宋" w:eastAsia="仿宋" w:cs="仿宋"/>
          <w:color w:val="auto"/>
          <w:kern w:val="2"/>
          <w:sz w:val="28"/>
          <w:szCs w:val="28"/>
          <w:highlight w:val="none"/>
        </w:rPr>
        <w:t>、</w:t>
      </w:r>
      <w:r>
        <w:rPr>
          <w:rFonts w:hint="eastAsia" w:ascii="仿宋" w:hAnsi="仿宋" w:eastAsia="仿宋" w:cs="仿宋"/>
          <w:color w:val="auto"/>
          <w:kern w:val="2"/>
          <w:sz w:val="28"/>
          <w:szCs w:val="28"/>
          <w:highlight w:val="none"/>
          <w:lang w:val="zh-CN"/>
        </w:rPr>
        <w:t>乙方须</w:t>
      </w:r>
      <w:r>
        <w:rPr>
          <w:rFonts w:hint="eastAsia" w:ascii="仿宋" w:hAnsi="仿宋" w:eastAsia="仿宋" w:cs="仿宋"/>
          <w:color w:val="auto"/>
          <w:kern w:val="2"/>
          <w:sz w:val="28"/>
          <w:szCs w:val="28"/>
          <w:highlight w:val="none"/>
        </w:rPr>
        <w:t>按约定频次</w:t>
      </w:r>
      <w:r>
        <w:rPr>
          <w:rFonts w:hint="eastAsia" w:ascii="仿宋" w:hAnsi="仿宋" w:eastAsia="仿宋" w:cs="仿宋"/>
          <w:color w:val="auto"/>
          <w:kern w:val="2"/>
          <w:sz w:val="28"/>
          <w:szCs w:val="28"/>
          <w:highlight w:val="none"/>
          <w:lang w:val="zh-CN"/>
        </w:rPr>
        <w:t>提供检测报告，并于指定时间内提交，作为计量支付材料交由甲方进行审核，且乙方必须严格遵守双方约定的检测报告递交时间要求，不得延误。</w:t>
      </w:r>
    </w:p>
    <w:p>
      <w:pPr>
        <w:pStyle w:val="12"/>
        <w:snapToGrid w:val="0"/>
        <w:spacing w:line="360" w:lineRule="auto"/>
        <w:ind w:firstLine="560" w:firstLineChars="200"/>
        <w:jc w:val="both"/>
        <w:rPr>
          <w:rFonts w:ascii="仿宋" w:hAnsi="仿宋" w:eastAsia="仿宋" w:cs="仿宋"/>
          <w:color w:val="auto"/>
          <w:kern w:val="2"/>
          <w:sz w:val="28"/>
          <w:szCs w:val="28"/>
          <w:highlight w:val="none"/>
          <w:lang w:val="zh-CN"/>
        </w:rPr>
      </w:pPr>
      <w:r>
        <w:rPr>
          <w:rFonts w:hint="eastAsia" w:ascii="仿宋" w:hAnsi="仿宋" w:eastAsia="仿宋" w:cs="仿宋"/>
          <w:color w:val="auto"/>
          <w:kern w:val="2"/>
          <w:sz w:val="28"/>
          <w:szCs w:val="28"/>
          <w:highlight w:val="none"/>
          <w:lang w:val="en-US" w:eastAsia="zh-CN"/>
        </w:rPr>
        <w:t>6</w:t>
      </w:r>
      <w:r>
        <w:rPr>
          <w:rFonts w:hint="eastAsia" w:ascii="仿宋" w:hAnsi="仿宋" w:eastAsia="仿宋" w:cs="仿宋"/>
          <w:color w:val="auto"/>
          <w:kern w:val="2"/>
          <w:sz w:val="28"/>
          <w:szCs w:val="28"/>
          <w:highlight w:val="none"/>
        </w:rPr>
        <w:t>、</w:t>
      </w:r>
      <w:r>
        <w:rPr>
          <w:rFonts w:hint="eastAsia" w:ascii="仿宋" w:hAnsi="仿宋" w:eastAsia="仿宋" w:cs="仿宋"/>
          <w:color w:val="auto"/>
          <w:kern w:val="2"/>
          <w:sz w:val="28"/>
          <w:szCs w:val="28"/>
          <w:highlight w:val="none"/>
          <w:lang w:val="zh-CN"/>
        </w:rPr>
        <w:t>乙方所提供的检测报告须包括但不限于：样本编号、采样日期、检测日期、检测环境、检测项目、检测指标以及检测结果。</w:t>
      </w:r>
    </w:p>
    <w:p>
      <w:pPr>
        <w:pStyle w:val="12"/>
        <w:snapToGrid w:val="0"/>
        <w:spacing w:line="360" w:lineRule="auto"/>
        <w:ind w:firstLine="560" w:firstLineChars="200"/>
        <w:jc w:val="both"/>
        <w:rPr>
          <w:rFonts w:hint="eastAsia" w:ascii="仿宋" w:hAnsi="仿宋" w:eastAsia="仿宋" w:cs="仿宋"/>
          <w:color w:val="000000" w:themeColor="text1"/>
          <w:kern w:val="2"/>
          <w:sz w:val="28"/>
          <w:szCs w:val="28"/>
          <w:highlight w:val="none"/>
          <w:lang w:val="en-US"/>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14:textFill>
            <w14:solidFill>
              <w14:schemeClr w14:val="tx1"/>
            </w14:solidFill>
          </w14:textFill>
        </w:rPr>
        <w:t>7</w:t>
      </w:r>
      <w:r>
        <w:rPr>
          <w:rFonts w:hint="eastAsia" w:ascii="仿宋" w:hAnsi="仿宋" w:eastAsia="仿宋" w:cs="仿宋"/>
          <w:color w:val="000000" w:themeColor="text1"/>
          <w:kern w:val="2"/>
          <w:sz w:val="28"/>
          <w:szCs w:val="28"/>
          <w:highlight w:val="none"/>
          <w14:textFill>
            <w14:solidFill>
              <w14:schemeClr w14:val="tx1"/>
            </w14:solidFill>
          </w14:textFill>
        </w:rPr>
        <w:t>、</w:t>
      </w:r>
      <w:r>
        <w:rPr>
          <w:rFonts w:hint="eastAsia" w:ascii="仿宋" w:hAnsi="仿宋" w:eastAsia="仿宋" w:cs="仿宋"/>
          <w:color w:val="000000" w:themeColor="text1"/>
          <w:kern w:val="2"/>
          <w:sz w:val="28"/>
          <w:szCs w:val="28"/>
          <w:highlight w:val="none"/>
          <w:lang w:val="zh-CN"/>
          <w14:textFill>
            <w14:solidFill>
              <w14:schemeClr w14:val="tx1"/>
            </w14:solidFill>
          </w14:textFill>
        </w:rPr>
        <w:t>质量要求：详见合同</w:t>
      </w:r>
      <w:r>
        <w:rPr>
          <w:rFonts w:hint="eastAsia" w:ascii="仿宋" w:hAnsi="仿宋" w:eastAsia="仿宋" w:cs="仿宋"/>
          <w:color w:val="000000" w:themeColor="text1"/>
          <w:kern w:val="2"/>
          <w:sz w:val="28"/>
          <w:szCs w:val="28"/>
          <w:highlight w:val="none"/>
          <w:lang w:val="en-US" w:eastAsia="zh-CN"/>
          <w14:textFill>
            <w14:solidFill>
              <w14:schemeClr w14:val="tx1"/>
            </w14:solidFill>
          </w14:textFill>
        </w:rPr>
        <w:t>正文</w:t>
      </w:r>
    </w:p>
    <w:p>
      <w:pPr>
        <w:pStyle w:val="12"/>
        <w:snapToGrid w:val="0"/>
        <w:spacing w:line="360" w:lineRule="auto"/>
        <w:ind w:firstLine="560" w:firstLineChars="200"/>
        <w:jc w:val="both"/>
        <w:rPr>
          <w:rFonts w:hint="eastAsia" w:ascii="仿宋" w:hAnsi="仿宋" w:eastAsia="仿宋" w:cs="仿宋"/>
          <w:color w:val="auto"/>
          <w:kern w:val="2"/>
          <w:sz w:val="28"/>
          <w:szCs w:val="28"/>
          <w:highlight w:val="none"/>
          <w:lang w:val="en-US"/>
        </w:rPr>
      </w:pPr>
      <w:r>
        <w:rPr>
          <w:rFonts w:hint="eastAsia" w:ascii="仿宋" w:hAnsi="仿宋" w:eastAsia="仿宋" w:cs="仿宋"/>
          <w:color w:val="auto"/>
          <w:kern w:val="2"/>
          <w:sz w:val="28"/>
          <w:szCs w:val="28"/>
          <w:highlight w:val="none"/>
          <w:lang w:val="en-US" w:eastAsia="zh-CN"/>
        </w:rPr>
        <w:t>8</w:t>
      </w:r>
      <w:r>
        <w:rPr>
          <w:rFonts w:hint="eastAsia" w:ascii="仿宋" w:hAnsi="仿宋" w:eastAsia="仿宋" w:cs="仿宋"/>
          <w:color w:val="auto"/>
          <w:kern w:val="2"/>
          <w:sz w:val="28"/>
          <w:szCs w:val="28"/>
          <w:highlight w:val="none"/>
        </w:rPr>
        <w:t>、</w:t>
      </w:r>
      <w:r>
        <w:rPr>
          <w:rFonts w:hint="eastAsia" w:ascii="仿宋" w:hAnsi="仿宋" w:eastAsia="仿宋" w:cs="仿宋"/>
          <w:color w:val="auto"/>
          <w:kern w:val="2"/>
          <w:sz w:val="28"/>
          <w:szCs w:val="28"/>
          <w:highlight w:val="none"/>
          <w:lang w:val="zh-CN"/>
        </w:rPr>
        <w:t>安全文明施工要求：详见合同</w:t>
      </w:r>
      <w:r>
        <w:rPr>
          <w:rFonts w:hint="eastAsia" w:ascii="仿宋" w:hAnsi="仿宋" w:eastAsia="仿宋" w:cs="仿宋"/>
          <w:color w:val="auto"/>
          <w:kern w:val="2"/>
          <w:sz w:val="28"/>
          <w:szCs w:val="28"/>
          <w:highlight w:val="none"/>
          <w:lang w:val="en-US" w:eastAsia="zh-CN"/>
        </w:rPr>
        <w:t>正文</w:t>
      </w:r>
    </w:p>
    <w:p>
      <w:pPr>
        <w:pStyle w:val="12"/>
        <w:snapToGrid w:val="0"/>
        <w:spacing w:line="360" w:lineRule="auto"/>
        <w:ind w:firstLine="560" w:firstLineChars="200"/>
        <w:jc w:val="both"/>
        <w:rPr>
          <w:rFonts w:ascii="仿宋" w:hAnsi="仿宋" w:eastAsia="仿宋" w:cs="仿宋"/>
          <w:color w:val="auto"/>
          <w:kern w:val="2"/>
          <w:sz w:val="28"/>
          <w:szCs w:val="28"/>
          <w:highlight w:val="none"/>
          <w:lang w:val="zh-CN"/>
        </w:rPr>
      </w:pPr>
      <w:r>
        <w:rPr>
          <w:rFonts w:hint="eastAsia" w:ascii="仿宋" w:hAnsi="仿宋" w:eastAsia="仿宋" w:cs="仿宋"/>
          <w:color w:val="auto"/>
          <w:kern w:val="2"/>
          <w:sz w:val="28"/>
          <w:szCs w:val="28"/>
          <w:highlight w:val="none"/>
          <w:lang w:val="en-US" w:eastAsia="zh-CN"/>
        </w:rPr>
        <w:t>9</w:t>
      </w:r>
      <w:r>
        <w:rPr>
          <w:rFonts w:hint="eastAsia" w:ascii="仿宋" w:hAnsi="仿宋" w:eastAsia="仿宋" w:cs="仿宋"/>
          <w:color w:val="auto"/>
          <w:kern w:val="2"/>
          <w:sz w:val="28"/>
          <w:szCs w:val="28"/>
          <w:highlight w:val="none"/>
        </w:rPr>
        <w:t>、</w:t>
      </w:r>
      <w:r>
        <w:rPr>
          <w:rFonts w:hint="eastAsia" w:ascii="仿宋" w:hAnsi="仿宋" w:eastAsia="仿宋" w:cs="仿宋"/>
          <w:color w:val="auto"/>
          <w:kern w:val="2"/>
          <w:sz w:val="28"/>
          <w:szCs w:val="28"/>
          <w:highlight w:val="none"/>
          <w:lang w:val="zh-CN"/>
        </w:rPr>
        <w:t>总包及分包规定：允许分包</w:t>
      </w:r>
    </w:p>
    <w:p>
      <w:pPr>
        <w:pStyle w:val="12"/>
        <w:snapToGrid w:val="0"/>
        <w:spacing w:line="360" w:lineRule="auto"/>
        <w:ind w:firstLine="560" w:firstLineChars="200"/>
        <w:jc w:val="both"/>
        <w:rPr>
          <w:rFonts w:hint="eastAsia" w:ascii="仿宋" w:hAnsi="仿宋" w:eastAsia="仿宋" w:cs="仿宋"/>
          <w:color w:val="auto"/>
          <w:kern w:val="2"/>
          <w:sz w:val="28"/>
          <w:szCs w:val="28"/>
          <w:highlight w:val="none"/>
          <w:lang w:val="zh-CN"/>
        </w:rPr>
      </w:pPr>
      <w:r>
        <w:rPr>
          <w:rFonts w:hint="eastAsia" w:ascii="仿宋" w:hAnsi="仿宋" w:eastAsia="仿宋" w:cs="仿宋"/>
          <w:color w:val="auto"/>
          <w:kern w:val="2"/>
          <w:sz w:val="28"/>
          <w:szCs w:val="28"/>
          <w:highlight w:val="none"/>
          <w:lang w:val="en-US" w:eastAsia="zh-CN"/>
        </w:rPr>
        <w:t>10</w:t>
      </w:r>
      <w:r>
        <w:rPr>
          <w:rFonts w:hint="eastAsia" w:ascii="仿宋" w:hAnsi="仿宋" w:eastAsia="仿宋" w:cs="仿宋"/>
          <w:color w:val="auto"/>
          <w:kern w:val="2"/>
          <w:sz w:val="28"/>
          <w:szCs w:val="28"/>
          <w:highlight w:val="none"/>
        </w:rPr>
        <w:t>、</w:t>
      </w:r>
      <w:r>
        <w:rPr>
          <w:rFonts w:hint="eastAsia" w:ascii="仿宋" w:hAnsi="仿宋" w:eastAsia="仿宋" w:cs="仿宋"/>
          <w:color w:val="auto"/>
          <w:kern w:val="2"/>
          <w:sz w:val="28"/>
          <w:szCs w:val="28"/>
          <w:highlight w:val="none"/>
          <w:lang w:val="zh-CN"/>
        </w:rPr>
        <w:t>付款方式：详见合同</w:t>
      </w:r>
      <w:r>
        <w:rPr>
          <w:rFonts w:hint="eastAsia" w:ascii="仿宋" w:hAnsi="仿宋" w:eastAsia="仿宋" w:cs="仿宋"/>
          <w:color w:val="auto"/>
          <w:kern w:val="2"/>
          <w:sz w:val="28"/>
          <w:szCs w:val="28"/>
          <w:highlight w:val="none"/>
          <w:lang w:val="en-US" w:eastAsia="zh-CN"/>
        </w:rPr>
        <w:t>正文</w:t>
      </w:r>
    </w:p>
    <w:p>
      <w:pPr>
        <w:pStyle w:val="12"/>
        <w:snapToGrid w:val="0"/>
        <w:spacing w:line="360" w:lineRule="auto"/>
        <w:ind w:firstLine="560" w:firstLineChars="200"/>
        <w:jc w:val="both"/>
        <w:rPr>
          <w:rFonts w:ascii="仿宋" w:hAnsi="仿宋" w:eastAsia="仿宋" w:cs="仿宋"/>
          <w:color w:val="auto"/>
          <w:kern w:val="2"/>
          <w:sz w:val="28"/>
          <w:szCs w:val="28"/>
          <w:highlight w:val="none"/>
          <w:lang w:val="zh-CN"/>
        </w:rPr>
      </w:pPr>
      <w:r>
        <w:rPr>
          <w:rFonts w:hint="eastAsia" w:ascii="仿宋" w:hAnsi="仿宋" w:eastAsia="仿宋" w:cs="仿宋"/>
          <w:color w:val="auto"/>
          <w:kern w:val="2"/>
          <w:sz w:val="28"/>
          <w:szCs w:val="28"/>
          <w:highlight w:val="none"/>
        </w:rPr>
        <w:t>1</w:t>
      </w:r>
      <w:r>
        <w:rPr>
          <w:rFonts w:hint="eastAsia" w:ascii="仿宋" w:hAnsi="仿宋" w:eastAsia="仿宋" w:cs="仿宋"/>
          <w:color w:val="auto"/>
          <w:kern w:val="2"/>
          <w:sz w:val="28"/>
          <w:szCs w:val="28"/>
          <w:highlight w:val="none"/>
          <w:lang w:val="en-US" w:eastAsia="zh-CN"/>
        </w:rPr>
        <w:t>1</w:t>
      </w:r>
      <w:r>
        <w:rPr>
          <w:rFonts w:hint="eastAsia" w:ascii="仿宋" w:hAnsi="仿宋" w:eastAsia="仿宋" w:cs="仿宋"/>
          <w:color w:val="auto"/>
          <w:kern w:val="2"/>
          <w:sz w:val="28"/>
          <w:szCs w:val="28"/>
          <w:highlight w:val="none"/>
        </w:rPr>
        <w:t>、</w:t>
      </w:r>
      <w:r>
        <w:rPr>
          <w:rFonts w:hint="eastAsia" w:ascii="仿宋" w:hAnsi="仿宋" w:eastAsia="仿宋" w:cs="仿宋"/>
          <w:color w:val="auto"/>
          <w:kern w:val="2"/>
          <w:sz w:val="28"/>
          <w:szCs w:val="28"/>
          <w:highlight w:val="none"/>
          <w:lang w:val="zh-CN"/>
        </w:rPr>
        <w:t>承包方式：</w:t>
      </w:r>
    </w:p>
    <w:p>
      <w:pPr>
        <w:pStyle w:val="12"/>
        <w:snapToGrid w:val="0"/>
        <w:spacing w:line="360" w:lineRule="auto"/>
        <w:ind w:firstLine="560" w:firstLineChars="200"/>
        <w:jc w:val="both"/>
        <w:rPr>
          <w:rFonts w:ascii="仿宋" w:hAnsi="仿宋" w:eastAsia="仿宋" w:cs="仿宋"/>
          <w:color w:val="auto"/>
          <w:kern w:val="2"/>
          <w:sz w:val="28"/>
          <w:szCs w:val="28"/>
          <w:highlight w:val="none"/>
          <w:lang w:val="zh-CN"/>
        </w:rPr>
      </w:pPr>
      <w:r>
        <w:rPr>
          <w:rFonts w:hint="eastAsia" w:ascii="仿宋" w:hAnsi="仿宋" w:eastAsia="仿宋" w:cs="仿宋"/>
          <w:color w:val="auto"/>
          <w:kern w:val="2"/>
          <w:sz w:val="28"/>
          <w:szCs w:val="28"/>
          <w:highlight w:val="none"/>
          <w:lang w:val="zh-CN"/>
        </w:rPr>
        <w:t>固定单价：询价响应文件包含总价及综合单价时，综合单价为合同单价。合同单价在询价文件及施工合同约定的风险范围之内不可调整，合同结算金额根据合同单价及承包人检测服务工作量据实结算。</w:t>
      </w:r>
    </w:p>
    <w:p>
      <w:pPr>
        <w:pStyle w:val="12"/>
        <w:snapToGrid w:val="0"/>
        <w:spacing w:line="360" w:lineRule="auto"/>
        <w:ind w:firstLine="560" w:firstLineChars="200"/>
        <w:jc w:val="both"/>
        <w:rPr>
          <w:rFonts w:ascii="仿宋" w:hAnsi="仿宋" w:eastAsia="仿宋" w:cs="仿宋"/>
          <w:color w:val="auto"/>
          <w:kern w:val="2"/>
          <w:sz w:val="28"/>
          <w:szCs w:val="28"/>
          <w:highlight w:val="none"/>
          <w:lang w:val="zh-CN"/>
        </w:rPr>
      </w:pPr>
      <w:r>
        <w:rPr>
          <w:rFonts w:hint="eastAsia" w:ascii="仿宋" w:hAnsi="仿宋" w:eastAsia="仿宋" w:cs="仿宋"/>
          <w:color w:val="auto"/>
          <w:kern w:val="2"/>
          <w:sz w:val="28"/>
          <w:szCs w:val="28"/>
          <w:highlight w:val="none"/>
        </w:rPr>
        <w:t>1</w:t>
      </w:r>
      <w:r>
        <w:rPr>
          <w:rFonts w:hint="eastAsia" w:ascii="仿宋" w:hAnsi="仿宋" w:eastAsia="仿宋" w:cs="仿宋"/>
          <w:color w:val="auto"/>
          <w:kern w:val="2"/>
          <w:sz w:val="28"/>
          <w:szCs w:val="28"/>
          <w:highlight w:val="none"/>
          <w:lang w:val="en-US" w:eastAsia="zh-CN"/>
        </w:rPr>
        <w:t>2</w:t>
      </w:r>
      <w:r>
        <w:rPr>
          <w:rFonts w:hint="eastAsia" w:ascii="仿宋" w:hAnsi="仿宋" w:eastAsia="仿宋" w:cs="仿宋"/>
          <w:color w:val="auto"/>
          <w:kern w:val="2"/>
          <w:sz w:val="28"/>
          <w:szCs w:val="28"/>
          <w:highlight w:val="none"/>
        </w:rPr>
        <w:t>、</w:t>
      </w:r>
      <w:r>
        <w:rPr>
          <w:rFonts w:hint="eastAsia" w:ascii="仿宋" w:hAnsi="仿宋" w:eastAsia="仿宋" w:cs="仿宋"/>
          <w:color w:val="auto"/>
          <w:kern w:val="2"/>
          <w:sz w:val="28"/>
          <w:szCs w:val="28"/>
          <w:highlight w:val="none"/>
          <w:lang w:val="zh-CN"/>
        </w:rPr>
        <w:t>验收要求、验收标准及方法如下：</w:t>
      </w:r>
    </w:p>
    <w:p>
      <w:pPr>
        <w:pStyle w:val="21"/>
        <w:rPr>
          <w:rFonts w:ascii="仿宋" w:hAnsi="仿宋" w:eastAsia="仿宋" w:cs="仿宋"/>
          <w:color w:val="auto"/>
          <w:kern w:val="2"/>
          <w:sz w:val="24"/>
          <w:szCs w:val="24"/>
          <w:highlight w:val="none"/>
          <w:lang w:val="zh-CN"/>
        </w:rPr>
      </w:pPr>
      <w:r>
        <w:rPr>
          <w:rFonts w:hint="eastAsia" w:ascii="仿宋" w:hAnsi="仿宋" w:eastAsia="仿宋" w:cs="仿宋"/>
          <w:color w:val="auto"/>
          <w:kern w:val="2"/>
          <w:sz w:val="28"/>
          <w:szCs w:val="28"/>
          <w:highlight w:val="none"/>
          <w:lang w:val="zh-CN"/>
        </w:rPr>
        <w:t>服务期满后，甲方将根据承包人检测服务工作完成情况（包括但不限于取样检测频率和次数、样品和数据数量、出具报告及时性），审定承包人服务工作量，进行验收和结算审核。</w:t>
      </w:r>
    </w:p>
    <w:p>
      <w:pPr>
        <w:pStyle w:val="21"/>
        <w:rPr>
          <w:rFonts w:ascii="仿宋" w:hAnsi="仿宋" w:eastAsia="仿宋" w:cs="仿宋"/>
          <w:color w:val="auto"/>
          <w:kern w:val="2"/>
          <w:sz w:val="24"/>
          <w:szCs w:val="24"/>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ind w:firstLine="0"/>
        <w:rPr>
          <w:color w:val="auto"/>
          <w:highlight w:val="none"/>
        </w:rPr>
      </w:pPr>
    </w:p>
    <w:p>
      <w:pPr>
        <w:pStyle w:val="21"/>
        <w:rPr>
          <w:color w:val="auto"/>
          <w:highlight w:val="none"/>
        </w:rPr>
      </w:pPr>
    </w:p>
    <w:p>
      <w:pPr>
        <w:pStyle w:val="3"/>
        <w:rPr>
          <w:rFonts w:hint="eastAsia"/>
          <w:color w:val="auto"/>
          <w:highlight w:val="none"/>
        </w:rPr>
      </w:pPr>
      <w:bookmarkStart w:id="61" w:name="_Toc29835"/>
      <w:bookmarkStart w:id="62" w:name="_Toc1284"/>
      <w:bookmarkStart w:id="63" w:name="_Toc25925"/>
      <w:bookmarkStart w:id="64" w:name="_Toc15570"/>
      <w:bookmarkStart w:id="65" w:name="_Toc23353"/>
      <w:bookmarkStart w:id="66" w:name="_Toc1496"/>
      <w:bookmarkStart w:id="67" w:name="_Toc23330"/>
      <w:bookmarkStart w:id="68" w:name="_Toc18538"/>
      <w:bookmarkStart w:id="69" w:name="_Toc537"/>
      <w:bookmarkStart w:id="70" w:name="_Toc4680"/>
      <w:bookmarkStart w:id="71" w:name="_Toc12135"/>
    </w:p>
    <w:p>
      <w:pPr>
        <w:pStyle w:val="3"/>
        <w:rPr>
          <w:rFonts w:hint="eastAsia"/>
          <w:color w:val="auto"/>
          <w:highlight w:val="none"/>
        </w:rPr>
      </w:pPr>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2312670</wp:posOffset>
                </wp:positionH>
                <wp:positionV relativeFrom="paragraph">
                  <wp:posOffset>551180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2.1pt;margin-top:43.4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2319020</wp:posOffset>
                </wp:positionH>
                <wp:positionV relativeFrom="paragraph">
                  <wp:posOffset>63500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2.6pt;margin-top:5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6"/>
        <w:rPr>
          <w:color w:val="auto"/>
          <w:highlight w:val="none"/>
        </w:rPr>
      </w:pPr>
    </w:p>
    <w:p>
      <w:pPr>
        <w:pStyle w:val="3"/>
        <w:rPr>
          <w:color w:val="auto"/>
          <w:highlight w:val="none"/>
        </w:rPr>
      </w:pPr>
      <w:bookmarkStart w:id="72" w:name="_Toc12980"/>
      <w:bookmarkStart w:id="73" w:name="_Toc22501"/>
      <w:bookmarkStart w:id="74" w:name="_Toc87616386"/>
      <w:bookmarkStart w:id="75" w:name="_Toc323"/>
      <w:bookmarkStart w:id="76" w:name="_Toc12721"/>
      <w:bookmarkStart w:id="77" w:name="_Toc8183"/>
      <w:bookmarkStart w:id="78" w:name="_Toc88209949"/>
      <w:bookmarkStart w:id="79" w:name="_Toc19088"/>
      <w:bookmarkStart w:id="80" w:name="_Toc22797"/>
      <w:bookmarkStart w:id="81" w:name="_Toc19686"/>
      <w:bookmarkStart w:id="82" w:name="_Toc1375"/>
      <w:bookmarkStart w:id="83" w:name="_Toc13309"/>
      <w:bookmarkStart w:id="84" w:name="_Toc12968"/>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54"/>
        <w:jc w:val="center"/>
        <w:rPr>
          <w:rFonts w:eastAsia="方正小标宋简体"/>
          <w:sz w:val="48"/>
          <w:szCs w:val="48"/>
        </w:rPr>
      </w:pPr>
    </w:p>
    <w:p>
      <w:pPr>
        <w:pStyle w:val="54"/>
        <w:jc w:val="center"/>
        <w:rPr>
          <w:rFonts w:eastAsia="方正小标宋简体"/>
          <w:sz w:val="48"/>
          <w:szCs w:val="48"/>
        </w:rPr>
      </w:pPr>
    </w:p>
    <w:p>
      <w:pPr>
        <w:pStyle w:val="54"/>
        <w:jc w:val="center"/>
        <w:rPr>
          <w:rFonts w:eastAsia="方正小标宋简体"/>
          <w:sz w:val="48"/>
          <w:szCs w:val="48"/>
        </w:rPr>
      </w:pPr>
    </w:p>
    <w:p>
      <w:pPr>
        <w:pStyle w:val="54"/>
        <w:jc w:val="center"/>
        <w:rPr>
          <w:rFonts w:eastAsia="方正小标宋简体"/>
          <w:sz w:val="48"/>
          <w:szCs w:val="48"/>
        </w:rPr>
      </w:pPr>
    </w:p>
    <w:p>
      <w:pPr>
        <w:pStyle w:val="55"/>
        <w:rPr>
          <w:rFonts w:eastAsia="方正小标宋简体"/>
          <w:sz w:val="48"/>
          <w:szCs w:val="48"/>
        </w:rPr>
      </w:pPr>
    </w:p>
    <w:p>
      <w:pPr>
        <w:pStyle w:val="55"/>
        <w:rPr>
          <w:rFonts w:eastAsia="方正小标宋简体"/>
          <w:sz w:val="48"/>
          <w:szCs w:val="48"/>
        </w:rPr>
      </w:pPr>
    </w:p>
    <w:p>
      <w:pPr>
        <w:pStyle w:val="55"/>
        <w:rPr>
          <w:rFonts w:eastAsia="方正小标宋简体"/>
          <w:sz w:val="48"/>
          <w:szCs w:val="48"/>
        </w:rPr>
      </w:pPr>
    </w:p>
    <w:p>
      <w:pPr>
        <w:pStyle w:val="55"/>
        <w:ind w:left="0" w:leftChars="0" w:firstLine="0" w:firstLineChars="0"/>
        <w:rPr>
          <w:rFonts w:eastAsia="方正小标宋简体"/>
          <w:sz w:val="48"/>
          <w:szCs w:val="48"/>
        </w:rPr>
      </w:pPr>
    </w:p>
    <w:p>
      <w:pPr>
        <w:pStyle w:val="55"/>
        <w:rPr>
          <w:rFonts w:eastAsia="方正小标宋简体"/>
          <w:sz w:val="48"/>
          <w:szCs w:val="48"/>
        </w:rPr>
      </w:pPr>
    </w:p>
    <w:p>
      <w:pPr>
        <w:pStyle w:val="54"/>
        <w:jc w:val="center"/>
        <w:rPr>
          <w:rFonts w:eastAsia="方正小标宋简体"/>
          <w:sz w:val="48"/>
          <w:szCs w:val="48"/>
        </w:rPr>
      </w:pPr>
    </w:p>
    <w:p>
      <w:pPr>
        <w:spacing w:line="360" w:lineRule="auto"/>
        <w:jc w:val="center"/>
        <w:rPr>
          <w:rFonts w:hint="eastAsia" w:ascii="宋体" w:hAnsi="宋体" w:cs="宋体"/>
          <w:b/>
          <w:sz w:val="44"/>
          <w:szCs w:val="44"/>
          <w:highlight w:val="none"/>
        </w:rPr>
      </w:pPr>
      <w:r>
        <w:rPr>
          <w:rFonts w:hint="eastAsia" w:ascii="宋体" w:hAnsi="宋体" w:cs="宋体"/>
          <w:b/>
          <w:sz w:val="44"/>
          <w:szCs w:val="44"/>
          <w:highlight w:val="none"/>
        </w:rPr>
        <w:t>广州市净水有限公司服务项目合同</w:t>
      </w:r>
    </w:p>
    <w:p>
      <w:pPr>
        <w:pStyle w:val="21"/>
        <w:rPr>
          <w:rFonts w:ascii="宋体" w:hAnsi="宋体" w:cs="Times New Roman"/>
          <w:b w:val="0"/>
          <w:sz w:val="24"/>
          <w:szCs w:val="24"/>
          <w:highlight w:val="none"/>
        </w:rPr>
      </w:pPr>
    </w:p>
    <w:p>
      <w:pPr>
        <w:spacing w:line="400" w:lineRule="atLeast"/>
        <w:ind w:left="1506" w:hanging="1506" w:hangingChars="500"/>
        <w:rPr>
          <w:rFonts w:ascii="宋体" w:hAnsi="宋体"/>
          <w:b/>
          <w:sz w:val="30"/>
          <w:szCs w:val="30"/>
          <w:highlight w:val="none"/>
        </w:rPr>
      </w:pPr>
      <w:r>
        <w:rPr>
          <w:rFonts w:hint="eastAsia" w:ascii="宋体" w:hAnsi="宋体" w:cs="宋体"/>
          <w:b/>
          <w:sz w:val="30"/>
          <w:szCs w:val="30"/>
          <w:highlight w:val="none"/>
        </w:rPr>
        <w:t>项目名称:</w:t>
      </w:r>
      <w:r>
        <w:rPr>
          <w:rFonts w:hint="eastAsia"/>
          <w:highlight w:val="none"/>
        </w:rPr>
        <w:t xml:space="preserve"> </w:t>
      </w:r>
      <w:r>
        <w:rPr>
          <w:rFonts w:hint="eastAsia" w:ascii="宋体" w:hAnsi="宋体" w:cs="宋体"/>
          <w:b/>
          <w:sz w:val="30"/>
          <w:szCs w:val="30"/>
          <w:highlight w:val="none"/>
          <w:lang w:val="en-US" w:eastAsia="zh-CN"/>
        </w:rPr>
        <w:t>广州市净水有限公司净水厂中试试验检测项目</w:t>
      </w:r>
    </w:p>
    <w:p>
      <w:pPr>
        <w:spacing w:line="400" w:lineRule="atLeast"/>
        <w:rPr>
          <w:rFonts w:ascii="宋体" w:hAnsi="宋体" w:cs="宋体"/>
          <w:b/>
          <w:sz w:val="30"/>
          <w:szCs w:val="30"/>
          <w:highlight w:val="none"/>
        </w:rPr>
      </w:pPr>
    </w:p>
    <w:p>
      <w:pPr>
        <w:spacing w:line="400" w:lineRule="atLeast"/>
        <w:rPr>
          <w:rFonts w:ascii="宋体" w:hAnsi="宋体" w:cs="宋体"/>
          <w:b/>
          <w:sz w:val="30"/>
          <w:szCs w:val="30"/>
        </w:rPr>
      </w:pPr>
    </w:p>
    <w:p>
      <w:pPr>
        <w:spacing w:line="400" w:lineRule="atLeast"/>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穗净水合[202</w:t>
      </w:r>
      <w:r>
        <w:rPr>
          <w:rFonts w:hint="eastAsia" w:ascii="宋体" w:hAnsi="宋体" w:cs="宋体"/>
          <w:b/>
          <w:bCs/>
          <w:sz w:val="30"/>
          <w:szCs w:val="30"/>
          <w:lang w:val="en-US" w:eastAsia="zh-CN"/>
        </w:rPr>
        <w:t>3</w:t>
      </w:r>
      <w:r>
        <w:rPr>
          <w:rFonts w:hint="eastAsia" w:ascii="宋体" w:hAnsi="宋体" w:cs="宋体"/>
          <w:b/>
          <w:bCs/>
          <w:sz w:val="30"/>
          <w:szCs w:val="30"/>
        </w:rPr>
        <w:t>]    号</w:t>
      </w:r>
    </w:p>
    <w:p>
      <w:pPr>
        <w:spacing w:line="400" w:lineRule="atLeast"/>
        <w:rPr>
          <w:rFonts w:ascii="宋体" w:hAnsi="宋体" w:cs="宋体"/>
          <w:b/>
          <w:sz w:val="30"/>
          <w:szCs w:val="30"/>
        </w:rPr>
      </w:pPr>
      <w:r>
        <w:rPr>
          <w:rFonts w:hint="eastAsia" w:ascii="宋体" w:hAnsi="宋体" w:cs="宋体"/>
          <w:b/>
          <w:sz w:val="30"/>
          <w:szCs w:val="30"/>
        </w:rPr>
        <w:t>甲方：广州市净水有限公司</w:t>
      </w: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rPr>
      </w:pPr>
    </w:p>
    <w:p>
      <w:pPr>
        <w:spacing w:line="400" w:lineRule="atLeast"/>
        <w:rPr>
          <w:rFonts w:ascii="宋体" w:hAnsi="宋体" w:cs="宋体"/>
          <w:sz w:val="24"/>
        </w:rPr>
      </w:pPr>
      <w:r>
        <w:rPr>
          <w:rFonts w:hint="eastAsia" w:ascii="宋体" w:hAnsi="宋体" w:cs="宋体"/>
          <w:b/>
          <w:sz w:val="30"/>
        </w:rPr>
        <w:t>签约地点：广州市</w:t>
      </w:r>
    </w:p>
    <w:p>
      <w:pPr>
        <w:ind w:firstLine="228" w:firstLineChars="95"/>
        <w:rPr>
          <w:rFonts w:ascii="宋体" w:hAnsi="宋体"/>
          <w:sz w:val="24"/>
        </w:rPr>
      </w:pPr>
    </w:p>
    <w:p>
      <w:pPr>
        <w:jc w:val="left"/>
        <w:rPr>
          <w:rFonts w:ascii="宋体" w:hAnsi="宋体" w:cs="宋体"/>
          <w:sz w:val="24"/>
          <w:szCs w:val="24"/>
        </w:rPr>
        <w:sectPr>
          <w:footerReference r:id="rId5" w:type="first"/>
          <w:footerReference r:id="rId4" w:type="default"/>
          <w:pgSz w:w="11906" w:h="16838"/>
          <w:pgMar w:top="2098" w:right="1474" w:bottom="1985" w:left="1588" w:header="851" w:footer="992" w:gutter="0"/>
          <w:pgNumType w:start="1"/>
          <w:cols w:space="425" w:num="1"/>
          <w:docGrid w:type="lines" w:linePitch="312" w:charSpace="0"/>
        </w:sectPr>
      </w:pPr>
    </w:p>
    <w:p>
      <w:pPr>
        <w:adjustRightInd w:val="0"/>
        <w:spacing w:line="360" w:lineRule="auto"/>
        <w:ind w:firstLine="480" w:firstLineChars="200"/>
        <w:jc w:val="left"/>
        <w:textAlignment w:val="baseline"/>
        <w:rPr>
          <w:rFonts w:ascii="宋体" w:hAnsi="宋体" w:cs="宋体"/>
          <w:b/>
          <w:sz w:val="24"/>
          <w:highlight w:val="none"/>
          <w:u w:val="single"/>
        </w:rPr>
      </w:pPr>
      <w:r>
        <w:rPr>
          <w:rFonts w:hint="eastAsia" w:ascii="宋体" w:hAnsi="宋体" w:cs="宋体"/>
          <w:sz w:val="24"/>
          <w:highlight w:val="none"/>
        </w:rPr>
        <w:t>据《中华人民共和国民法典》及其他有关法律、行政法规，</w:t>
      </w:r>
      <w:r>
        <w:rPr>
          <w:rFonts w:hint="eastAsia" w:ascii="宋体" w:hAnsi="宋体" w:cs="宋体"/>
          <w:sz w:val="24"/>
          <w:highlight w:val="none"/>
          <w:u w:val="single"/>
        </w:rPr>
        <w:t>广州市净水有限公司</w:t>
      </w:r>
      <w:r>
        <w:rPr>
          <w:rFonts w:hint="eastAsia" w:ascii="宋体" w:hAnsi="宋体" w:cs="宋体"/>
          <w:sz w:val="24"/>
          <w:highlight w:val="none"/>
        </w:rPr>
        <w:t xml:space="preserve"> （以下简称“甲方”）与（以下简称“乙方”）就</w:t>
      </w:r>
      <w:r>
        <w:rPr>
          <w:rFonts w:hint="eastAsia" w:ascii="宋体" w:hAnsi="宋体" w:cs="宋体"/>
          <w:sz w:val="24"/>
          <w:highlight w:val="none"/>
          <w:u w:val="single"/>
          <w:lang w:val="en-US" w:eastAsia="zh-CN"/>
        </w:rPr>
        <w:t>广州市净水有限公司净水厂中试试验检测项目</w:t>
      </w:r>
      <w:r>
        <w:rPr>
          <w:rFonts w:hint="eastAsia" w:ascii="宋体" w:hAnsi="宋体" w:cs="宋体"/>
          <w:sz w:val="24"/>
          <w:highlight w:val="none"/>
        </w:rPr>
        <w:t>承接工作事宜，遵循平等、自愿、公平和诚实信用的原则，双方协商一致，订立本合同。</w:t>
      </w:r>
    </w:p>
    <w:p>
      <w:pPr>
        <w:spacing w:before="93" w:beforeLines="30" w:line="360" w:lineRule="auto"/>
        <w:ind w:firstLine="482" w:firstLineChars="200"/>
        <w:rPr>
          <w:rFonts w:ascii="Times New Roman" w:hAnsi="Times New Roman" w:cs="Times New Roman"/>
          <w:highlight w:val="none"/>
        </w:rPr>
      </w:pPr>
      <w:r>
        <w:rPr>
          <w:rFonts w:ascii="Times New Roman" w:hAnsi="Times New Roman" w:cs="Times New Roman"/>
          <w:b/>
          <w:sz w:val="24"/>
          <w:highlight w:val="none"/>
        </w:rPr>
        <w:t>第一条 组成合同的文件及优先顺序</w:t>
      </w:r>
    </w:p>
    <w:p>
      <w:pPr>
        <w:spacing w:line="360" w:lineRule="auto"/>
        <w:ind w:firstLine="482"/>
        <w:rPr>
          <w:rFonts w:ascii="宋体" w:hAnsi="宋体" w:cs="宋体"/>
          <w:bCs/>
          <w:sz w:val="24"/>
          <w:highlight w:val="none"/>
        </w:rPr>
      </w:pPr>
      <w:r>
        <w:rPr>
          <w:rFonts w:hint="eastAsia" w:hAnsi="宋体" w:cs="宋体"/>
          <w:bCs/>
          <w:sz w:val="24"/>
          <w:highlight w:val="none"/>
        </w:rPr>
        <w:t>下列文件（如有）均为本合同的组成部分，可视为能相互说明和补充的，如果合同文件存在歧义或相矛盾的地方，则根据以下次序判断：</w:t>
      </w:r>
    </w:p>
    <w:p>
      <w:pPr>
        <w:spacing w:line="360" w:lineRule="auto"/>
        <w:ind w:firstLine="482"/>
        <w:rPr>
          <w:rFonts w:ascii="宋体" w:hAnsi="宋体" w:eastAsia="宋体" w:cs="宋体"/>
          <w:bCs/>
          <w:sz w:val="24"/>
          <w:highlight w:val="none"/>
        </w:rPr>
      </w:pPr>
      <w:r>
        <w:rPr>
          <w:rFonts w:hint="eastAsia" w:ascii="宋体" w:hAnsi="宋体" w:eastAsia="宋体" w:cs="宋体"/>
          <w:bCs/>
          <w:sz w:val="24"/>
          <w:highlight w:val="none"/>
        </w:rPr>
        <w:t xml:space="preserve">⑴ </w:t>
      </w:r>
      <w:r>
        <w:rPr>
          <w:rFonts w:hint="eastAsia" w:ascii="宋体" w:hAnsi="宋体" w:eastAsia="宋体" w:cs="宋体"/>
          <w:sz w:val="24"/>
          <w:highlight w:val="none"/>
        </w:rPr>
        <w:t>在本合同实施过程双方签署的补充与修正文件</w:t>
      </w:r>
      <w:r>
        <w:rPr>
          <w:rFonts w:hint="eastAsia" w:ascii="宋体" w:hAnsi="宋体" w:eastAsia="宋体" w:cs="宋体"/>
          <w:bCs/>
          <w:sz w:val="24"/>
          <w:highlight w:val="none"/>
        </w:rPr>
        <w:t>；</w:t>
      </w:r>
    </w:p>
    <w:p>
      <w:pPr>
        <w:spacing w:line="360" w:lineRule="auto"/>
        <w:ind w:firstLine="482"/>
        <w:rPr>
          <w:rFonts w:ascii="宋体" w:hAnsi="宋体" w:eastAsia="宋体" w:cs="宋体"/>
          <w:bCs/>
          <w:sz w:val="24"/>
          <w:highlight w:val="none"/>
        </w:rPr>
      </w:pPr>
      <w:r>
        <w:rPr>
          <w:rFonts w:hint="eastAsia" w:ascii="宋体" w:hAnsi="宋体" w:eastAsia="宋体" w:cs="宋体"/>
          <w:bCs/>
          <w:sz w:val="24"/>
          <w:highlight w:val="none"/>
        </w:rPr>
        <w:t>⑵ 本合同书；</w:t>
      </w:r>
    </w:p>
    <w:p>
      <w:pPr>
        <w:spacing w:line="360" w:lineRule="auto"/>
        <w:ind w:firstLine="482"/>
        <w:rPr>
          <w:rFonts w:ascii="宋体" w:hAnsi="宋体" w:eastAsia="宋体" w:cs="宋体"/>
          <w:bCs/>
          <w:sz w:val="24"/>
          <w:highlight w:val="none"/>
        </w:rPr>
      </w:pPr>
      <w:r>
        <w:rPr>
          <w:rFonts w:hint="eastAsia" w:ascii="宋体" w:hAnsi="宋体" w:eastAsia="宋体" w:cs="宋体"/>
          <w:bCs/>
          <w:sz w:val="24"/>
          <w:highlight w:val="none"/>
        </w:rPr>
        <w:t>⑶ 发包通知书/委托函；</w:t>
      </w:r>
    </w:p>
    <w:p>
      <w:pPr>
        <w:spacing w:line="360" w:lineRule="auto"/>
        <w:ind w:firstLine="482"/>
        <w:rPr>
          <w:rFonts w:ascii="宋体" w:hAnsi="宋体" w:eastAsia="宋体" w:cs="宋体"/>
          <w:bCs/>
          <w:sz w:val="24"/>
          <w:highlight w:val="none"/>
        </w:rPr>
      </w:pPr>
      <w:r>
        <w:rPr>
          <w:rFonts w:hint="eastAsia" w:ascii="宋体" w:hAnsi="宋体" w:eastAsia="宋体" w:cs="宋体"/>
          <w:bCs/>
          <w:sz w:val="24"/>
          <w:highlight w:val="none"/>
        </w:rPr>
        <w:t>⑷ 询价文件；</w:t>
      </w:r>
    </w:p>
    <w:p>
      <w:pPr>
        <w:spacing w:line="360" w:lineRule="auto"/>
        <w:ind w:firstLine="482"/>
        <w:rPr>
          <w:rFonts w:ascii="宋体" w:hAnsi="宋体" w:eastAsia="宋体" w:cs="宋体"/>
          <w:bCs/>
          <w:sz w:val="24"/>
          <w:highlight w:val="none"/>
        </w:rPr>
      </w:pPr>
      <w:r>
        <w:rPr>
          <w:rFonts w:hint="eastAsia" w:ascii="宋体" w:hAnsi="宋体" w:eastAsia="宋体" w:cs="宋体"/>
          <w:bCs/>
          <w:sz w:val="24"/>
          <w:highlight w:val="none"/>
        </w:rPr>
        <w:t>⑸ 响应文件；</w:t>
      </w:r>
    </w:p>
    <w:p>
      <w:pPr>
        <w:spacing w:line="360" w:lineRule="auto"/>
        <w:ind w:firstLine="482"/>
        <w:rPr>
          <w:rFonts w:ascii="宋体" w:hAnsi="宋体" w:eastAsia="宋体" w:cs="宋体"/>
          <w:bCs/>
          <w:sz w:val="24"/>
          <w:highlight w:val="none"/>
        </w:rPr>
      </w:pPr>
      <w:r>
        <w:rPr>
          <w:rFonts w:hint="eastAsia" w:ascii="宋体" w:hAnsi="宋体" w:eastAsia="宋体" w:cs="宋体"/>
          <w:bCs/>
          <w:sz w:val="24"/>
          <w:highlight w:val="none"/>
        </w:rPr>
        <w:t>⑹ 标准、规范及有关技术性文件；</w:t>
      </w:r>
    </w:p>
    <w:p>
      <w:pPr>
        <w:spacing w:line="360" w:lineRule="auto"/>
        <w:ind w:firstLine="482"/>
        <w:rPr>
          <w:rFonts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7 \* GB2 \* MERGEFORMAT </w:instrText>
      </w:r>
      <w:r>
        <w:rPr>
          <w:rFonts w:hint="eastAsia" w:ascii="宋体" w:hAnsi="宋体" w:eastAsia="宋体" w:cs="宋体"/>
          <w:bCs/>
          <w:sz w:val="24"/>
          <w:highlight w:val="none"/>
        </w:rPr>
        <w:fldChar w:fldCharType="separate"/>
      </w:r>
      <w:r>
        <w:rPr>
          <w:rFonts w:hint="eastAsia" w:ascii="宋体" w:hAnsi="宋体" w:eastAsia="宋体" w:cs="宋体"/>
          <w:sz w:val="24"/>
          <w:highlight w:val="none"/>
        </w:rPr>
        <w:t>⑺</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 xml:space="preserve"> 工程量清单/</w:t>
      </w:r>
      <w:r>
        <w:rPr>
          <w:rFonts w:hint="eastAsia" w:ascii="宋体" w:hAnsi="宋体" w:eastAsia="宋体" w:cs="宋体"/>
          <w:sz w:val="24"/>
          <w:highlight w:val="none"/>
        </w:rPr>
        <w:t>工程报价单或预算书；</w:t>
      </w:r>
    </w:p>
    <w:p>
      <w:pPr>
        <w:spacing w:line="360" w:lineRule="auto"/>
        <w:ind w:firstLine="482"/>
        <w:rPr>
          <w:rFonts w:ascii="宋体" w:hAnsi="宋体" w:eastAsia="宋体" w:cs="宋体"/>
          <w:b/>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8 \* GB2 \* MERGEFORMAT </w:instrText>
      </w:r>
      <w:r>
        <w:rPr>
          <w:rFonts w:hint="eastAsia" w:ascii="宋体" w:hAnsi="宋体" w:eastAsia="宋体" w:cs="宋体"/>
          <w:bCs/>
          <w:sz w:val="24"/>
          <w:highlight w:val="none"/>
        </w:rPr>
        <w:fldChar w:fldCharType="separate"/>
      </w:r>
      <w:r>
        <w:rPr>
          <w:rFonts w:hint="eastAsia" w:ascii="宋体" w:hAnsi="宋体" w:eastAsia="宋体" w:cs="宋体"/>
          <w:sz w:val="24"/>
          <w:highlight w:val="none"/>
        </w:rPr>
        <w:t>⑻</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 xml:space="preserve"> 本合同其他附件；</w:t>
      </w:r>
    </w:p>
    <w:p>
      <w:pPr>
        <w:spacing w:line="360" w:lineRule="auto"/>
        <w:ind w:firstLine="482"/>
        <w:rPr>
          <w:rFonts w:ascii="宋体" w:hAnsi="宋体" w:cs="宋体"/>
          <w:b/>
          <w:bCs/>
          <w:sz w:val="24"/>
          <w:highlight w:val="none"/>
        </w:rPr>
      </w:pPr>
      <w:r>
        <w:rPr>
          <w:rFonts w:hint="eastAsia" w:ascii="宋体" w:hAnsi="宋体" w:cs="宋体"/>
          <w:b/>
          <w:bCs/>
          <w:sz w:val="24"/>
          <w:highlight w:val="none"/>
        </w:rPr>
        <w:t>第二条 项目概况、项目承包范围及要求</w:t>
      </w:r>
    </w:p>
    <w:p>
      <w:pPr>
        <w:spacing w:line="400" w:lineRule="atLeast"/>
        <w:ind w:firstLine="480" w:firstLineChars="200"/>
        <w:rPr>
          <w:rFonts w:hint="default" w:ascii="宋体" w:hAnsi="宋体" w:eastAsiaTheme="minorEastAsia"/>
          <w:b w:val="0"/>
          <w:bCs/>
          <w:sz w:val="24"/>
          <w:szCs w:val="24"/>
          <w:highlight w:val="none"/>
          <w:lang w:val="en-US" w:eastAsia="zh-CN"/>
        </w:rPr>
      </w:pPr>
      <w:r>
        <w:rPr>
          <w:rFonts w:hint="eastAsia" w:ascii="宋体" w:hAnsi="宋体" w:cs="宋体"/>
          <w:sz w:val="24"/>
          <w:highlight w:val="none"/>
        </w:rPr>
        <w:t>1.项目名称：</w:t>
      </w:r>
      <w:r>
        <w:rPr>
          <w:rFonts w:hint="eastAsia" w:ascii="宋体" w:hAnsi="宋体" w:cs="宋体"/>
          <w:sz w:val="24"/>
          <w:highlight w:val="none"/>
          <w:u w:val="single"/>
          <w:lang w:val="en-US" w:eastAsia="zh-CN"/>
        </w:rPr>
        <w:t>广州市净水有限公司净水厂中试试验检测项目</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rPr>
        <w:t>2.</w:t>
      </w:r>
      <w:r>
        <w:rPr>
          <w:rFonts w:hint="eastAsia" w:ascii="宋体" w:hAnsi="宋体" w:cs="宋体"/>
          <w:sz w:val="24"/>
          <w:highlight w:val="none"/>
          <w:lang w:val="en-US" w:eastAsia="zh-CN"/>
        </w:rPr>
        <w:t>项目概况</w:t>
      </w:r>
    </w:p>
    <w:p>
      <w:pPr>
        <w:pStyle w:val="21"/>
        <w:ind w:firstLine="480" w:firstLineChars="200"/>
        <w:rPr>
          <w:rFonts w:hint="eastAsia" w:ascii="宋体" w:hAnsi="宋体" w:cs="宋体" w:eastAsiaTheme="minorEastAsia"/>
          <w:color w:val="auto"/>
          <w:kern w:val="2"/>
          <w:sz w:val="24"/>
          <w:szCs w:val="22"/>
          <w:highlight w:val="none"/>
        </w:rPr>
      </w:pPr>
      <w:r>
        <w:rPr>
          <w:rFonts w:hint="eastAsia" w:ascii="宋体" w:hAnsi="宋体" w:cs="宋体" w:eastAsiaTheme="minorEastAsia"/>
          <w:color w:val="auto"/>
          <w:kern w:val="2"/>
          <w:sz w:val="24"/>
          <w:szCs w:val="22"/>
          <w:highlight w:val="none"/>
          <w:lang w:val="en-US" w:eastAsia="zh-CN"/>
        </w:rPr>
        <w:t>甲方进行净水厂中试试验</w:t>
      </w:r>
      <w:r>
        <w:rPr>
          <w:rFonts w:hint="eastAsia" w:ascii="宋体" w:hAnsi="宋体" w:cs="宋体" w:eastAsiaTheme="minorEastAsia"/>
          <w:color w:val="auto"/>
          <w:kern w:val="2"/>
          <w:sz w:val="24"/>
          <w:szCs w:val="22"/>
          <w:highlight w:val="none"/>
        </w:rPr>
        <w:t>，委托</w:t>
      </w:r>
      <w:r>
        <w:rPr>
          <w:rFonts w:hint="eastAsia" w:ascii="宋体" w:hAnsi="宋体" w:cs="宋体" w:eastAsiaTheme="minorEastAsia"/>
          <w:color w:val="auto"/>
          <w:kern w:val="2"/>
          <w:sz w:val="24"/>
          <w:szCs w:val="22"/>
          <w:highlight w:val="none"/>
          <w:lang w:val="en-US" w:eastAsia="zh-CN"/>
        </w:rPr>
        <w:t>乙方</w:t>
      </w:r>
      <w:r>
        <w:rPr>
          <w:rFonts w:hint="eastAsia" w:ascii="宋体" w:hAnsi="宋体" w:cs="宋体" w:eastAsiaTheme="minorEastAsia"/>
          <w:color w:val="auto"/>
          <w:kern w:val="2"/>
          <w:sz w:val="24"/>
          <w:szCs w:val="22"/>
          <w:highlight w:val="none"/>
        </w:rPr>
        <w:t>完成相关样品采样、检测工作并出具相关报告。</w:t>
      </w:r>
    </w:p>
    <w:p>
      <w:pPr>
        <w:pStyle w:val="21"/>
        <w:rPr>
          <w:rFonts w:hint="eastAsia" w:ascii="宋体" w:hAnsi="宋体" w:cs="宋体" w:eastAsiaTheme="minorEastAsia"/>
          <w:color w:val="auto"/>
          <w:kern w:val="2"/>
          <w:sz w:val="24"/>
          <w:szCs w:val="22"/>
          <w:highlight w:val="none"/>
          <w:lang w:val="en-US" w:eastAsia="zh-CN"/>
        </w:rPr>
      </w:pPr>
      <w:r>
        <w:rPr>
          <w:rFonts w:hint="eastAsia" w:cs="宋体" w:eastAsiaTheme="minorEastAsia"/>
          <w:color w:val="auto"/>
          <w:kern w:val="2"/>
          <w:sz w:val="24"/>
          <w:szCs w:val="22"/>
          <w:highlight w:val="none"/>
          <w:lang w:val="en-US" w:eastAsia="zh-CN"/>
        </w:rPr>
        <w:t>3</w:t>
      </w:r>
      <w:r>
        <w:rPr>
          <w:rFonts w:hint="eastAsia" w:ascii="宋体" w:hAnsi="宋体" w:cs="宋体" w:eastAsiaTheme="minorEastAsia"/>
          <w:color w:val="auto"/>
          <w:kern w:val="2"/>
          <w:sz w:val="24"/>
          <w:szCs w:val="22"/>
          <w:highlight w:val="none"/>
          <w:lang w:val="en-US" w:eastAsia="zh-CN"/>
        </w:rPr>
        <w:t>.</w:t>
      </w:r>
      <w:r>
        <w:rPr>
          <w:rFonts w:hint="eastAsia" w:ascii="宋体" w:hAnsi="宋体" w:cs="宋体" w:eastAsiaTheme="minorEastAsia"/>
          <w:color w:val="auto"/>
          <w:kern w:val="2"/>
          <w:sz w:val="24"/>
          <w:szCs w:val="22"/>
          <w:highlight w:val="none"/>
        </w:rPr>
        <w:t>检测范围</w:t>
      </w:r>
      <w:r>
        <w:rPr>
          <w:rFonts w:hint="eastAsia" w:ascii="宋体" w:hAnsi="宋体" w:cs="宋体" w:eastAsiaTheme="minorEastAsia"/>
          <w:color w:val="auto"/>
          <w:kern w:val="2"/>
          <w:sz w:val="24"/>
          <w:szCs w:val="22"/>
          <w:highlight w:val="none"/>
          <w:lang w:eastAsia="zh-CN"/>
        </w:rPr>
        <w:t>、</w:t>
      </w:r>
      <w:r>
        <w:rPr>
          <w:rFonts w:hint="eastAsia" w:ascii="宋体" w:hAnsi="宋体" w:cs="宋体" w:eastAsiaTheme="minorEastAsia"/>
          <w:color w:val="auto"/>
          <w:kern w:val="2"/>
          <w:sz w:val="24"/>
          <w:szCs w:val="22"/>
          <w:highlight w:val="none"/>
          <w:lang w:val="en-US" w:eastAsia="zh-CN"/>
        </w:rPr>
        <w:t>检测项目及检测频次</w:t>
      </w:r>
    </w:p>
    <w:p>
      <w:pPr>
        <w:pStyle w:val="21"/>
        <w:ind w:firstLine="480" w:firstLineChars="200"/>
        <w:rPr>
          <w:rFonts w:hint="eastAsia" w:ascii="宋体" w:hAnsi="宋体" w:cs="宋体" w:eastAsiaTheme="minorEastAsia"/>
          <w:color w:val="000000" w:themeColor="text1"/>
          <w:kern w:val="2"/>
          <w:sz w:val="24"/>
          <w:szCs w:val="22"/>
          <w:highlight w:val="none"/>
          <w14:textFill>
            <w14:solidFill>
              <w14:schemeClr w14:val="tx1"/>
            </w14:solidFill>
          </w14:textFill>
        </w:rPr>
      </w:pPr>
      <w:r>
        <w:rPr>
          <w:rFonts w:hint="eastAsia" w:cs="宋体" w:eastAsiaTheme="minorEastAsia"/>
          <w:color w:val="auto"/>
          <w:kern w:val="2"/>
          <w:sz w:val="24"/>
          <w:szCs w:val="22"/>
          <w:highlight w:val="none"/>
          <w:lang w:val="en-US" w:eastAsia="zh-CN"/>
        </w:rPr>
        <w:t>乙方</w:t>
      </w:r>
      <w:r>
        <w:rPr>
          <w:rFonts w:hint="eastAsia" w:ascii="宋体" w:hAnsi="宋体" w:cs="宋体" w:eastAsiaTheme="minorEastAsia"/>
          <w:color w:val="auto"/>
          <w:kern w:val="2"/>
          <w:sz w:val="24"/>
          <w:szCs w:val="22"/>
          <w:highlight w:val="none"/>
          <w:lang w:val="en-US" w:eastAsia="zh-CN"/>
        </w:rPr>
        <w:t>对甲方净水厂中试试验全流程所产生的样品进行检测，具体检测项目详见《采购需求书》</w:t>
      </w:r>
      <w:r>
        <w:rPr>
          <w:rFonts w:hint="eastAsia" w:ascii="宋体" w:hAnsi="宋体" w:cs="宋体" w:eastAsiaTheme="minorEastAsia"/>
          <w:color w:val="auto"/>
          <w:kern w:val="2"/>
          <w:sz w:val="24"/>
          <w:szCs w:val="22"/>
          <w:highlight w:val="none"/>
        </w:rPr>
        <w:t>。</w:t>
      </w:r>
      <w:r>
        <w:rPr>
          <w:rFonts w:hint="eastAsia" w:ascii="宋体" w:hAnsi="宋体" w:cs="宋体" w:eastAsiaTheme="minorEastAsia"/>
          <w:color w:val="000000" w:themeColor="text1"/>
          <w:kern w:val="2"/>
          <w:sz w:val="24"/>
          <w:szCs w:val="22"/>
          <w:highlight w:val="none"/>
          <w14:textFill>
            <w14:solidFill>
              <w14:schemeClr w14:val="tx1"/>
            </w14:solidFill>
          </w14:textFill>
        </w:rPr>
        <w:t>在检测</w:t>
      </w:r>
      <w:r>
        <w:rPr>
          <w:rFonts w:hint="eastAsia" w:ascii="宋体" w:hAnsi="宋体" w:cs="宋体" w:eastAsiaTheme="minorEastAsia"/>
          <w:color w:val="000000" w:themeColor="text1"/>
          <w:kern w:val="2"/>
          <w:sz w:val="24"/>
          <w:szCs w:val="22"/>
          <w:highlight w:val="none"/>
          <w:lang w:val="en-US" w:eastAsia="zh-CN"/>
          <w14:textFill>
            <w14:solidFill>
              <w14:schemeClr w14:val="tx1"/>
            </w14:solidFill>
          </w14:textFill>
        </w:rPr>
        <w:t>项目不变</w:t>
      </w:r>
      <w:r>
        <w:rPr>
          <w:rFonts w:hint="eastAsia" w:ascii="宋体" w:hAnsi="宋体" w:cs="宋体" w:eastAsiaTheme="minorEastAsia"/>
          <w:color w:val="000000" w:themeColor="text1"/>
          <w:kern w:val="2"/>
          <w:sz w:val="24"/>
          <w:szCs w:val="22"/>
          <w:highlight w:val="none"/>
          <w14:textFill>
            <w14:solidFill>
              <w14:schemeClr w14:val="tx1"/>
            </w14:solidFill>
          </w14:textFill>
        </w:rPr>
        <w:t>的前提下，</w:t>
      </w:r>
      <w:r>
        <w:rPr>
          <w:rFonts w:hint="eastAsia" w:cs="宋体" w:eastAsiaTheme="minorEastAsia"/>
          <w:color w:val="000000" w:themeColor="text1"/>
          <w:kern w:val="2"/>
          <w:sz w:val="24"/>
          <w:szCs w:val="22"/>
          <w:highlight w:val="none"/>
          <w:lang w:val="en-US" w:eastAsia="zh-CN"/>
          <w14:textFill>
            <w14:solidFill>
              <w14:schemeClr w14:val="tx1"/>
            </w14:solidFill>
          </w14:textFill>
        </w:rPr>
        <w:t>检测数量、</w:t>
      </w:r>
      <w:r>
        <w:rPr>
          <w:rFonts w:hint="eastAsia" w:ascii="宋体" w:hAnsi="宋体" w:cs="宋体" w:eastAsiaTheme="minorEastAsia"/>
          <w:color w:val="000000" w:themeColor="text1"/>
          <w:kern w:val="2"/>
          <w:sz w:val="24"/>
          <w:szCs w:val="22"/>
          <w:highlight w:val="none"/>
          <w:lang w:val="en-US" w:eastAsia="zh-CN"/>
          <w14:textFill>
            <w14:solidFill>
              <w14:schemeClr w14:val="tx1"/>
            </w14:solidFill>
          </w14:textFill>
        </w:rPr>
        <w:t>检测频次</w:t>
      </w:r>
      <w:r>
        <w:rPr>
          <w:rFonts w:hint="eastAsia" w:cs="宋体" w:eastAsiaTheme="minorEastAsia"/>
          <w:color w:val="000000" w:themeColor="text1"/>
          <w:kern w:val="2"/>
          <w:sz w:val="24"/>
          <w:szCs w:val="22"/>
          <w:highlight w:val="none"/>
          <w:lang w:val="en-US" w:eastAsia="zh-CN"/>
          <w14:textFill>
            <w14:solidFill>
              <w14:schemeClr w14:val="tx1"/>
            </w14:solidFill>
          </w14:textFill>
        </w:rPr>
        <w:t>可以</w:t>
      </w:r>
      <w:r>
        <w:rPr>
          <w:rFonts w:hint="eastAsia" w:ascii="宋体" w:hAnsi="宋体" w:cs="宋体" w:eastAsiaTheme="minorEastAsia"/>
          <w:color w:val="000000" w:themeColor="text1"/>
          <w:kern w:val="2"/>
          <w:sz w:val="24"/>
          <w:szCs w:val="22"/>
          <w:highlight w:val="none"/>
          <w14:textFill>
            <w14:solidFill>
              <w14:schemeClr w14:val="tx1"/>
            </w14:solidFill>
          </w14:textFill>
        </w:rPr>
        <w:t>根据</w:t>
      </w:r>
      <w:r>
        <w:rPr>
          <w:rFonts w:hint="eastAsia" w:cs="宋体" w:eastAsiaTheme="minorEastAsia"/>
          <w:color w:val="000000" w:themeColor="text1"/>
          <w:kern w:val="2"/>
          <w:sz w:val="24"/>
          <w:szCs w:val="22"/>
          <w:highlight w:val="none"/>
          <w:lang w:val="en-US" w:eastAsia="zh-CN"/>
          <w14:textFill>
            <w14:solidFill>
              <w14:schemeClr w14:val="tx1"/>
            </w14:solidFill>
          </w14:textFill>
        </w:rPr>
        <w:t>甲方</w:t>
      </w:r>
      <w:r>
        <w:rPr>
          <w:rFonts w:hint="eastAsia" w:ascii="宋体" w:hAnsi="宋体" w:cs="宋体" w:eastAsiaTheme="minorEastAsia"/>
          <w:color w:val="000000" w:themeColor="text1"/>
          <w:kern w:val="2"/>
          <w:sz w:val="24"/>
          <w:szCs w:val="22"/>
          <w:highlight w:val="none"/>
          <w:lang w:val="en-US" w:eastAsia="zh-CN"/>
          <w14:textFill>
            <w14:solidFill>
              <w14:schemeClr w14:val="tx1"/>
            </w14:solidFill>
          </w14:textFill>
        </w:rPr>
        <w:t>研究需要</w:t>
      </w:r>
      <w:r>
        <w:rPr>
          <w:rFonts w:hint="eastAsia" w:ascii="宋体" w:hAnsi="宋体" w:cs="宋体" w:eastAsiaTheme="minorEastAsia"/>
          <w:color w:val="000000" w:themeColor="text1"/>
          <w:kern w:val="2"/>
          <w:sz w:val="24"/>
          <w:szCs w:val="22"/>
          <w:highlight w:val="none"/>
          <w14:textFill>
            <w14:solidFill>
              <w14:schemeClr w14:val="tx1"/>
            </w14:solidFill>
          </w14:textFill>
        </w:rPr>
        <w:t>做出调整。</w:t>
      </w:r>
    </w:p>
    <w:p>
      <w:pPr>
        <w:pStyle w:val="21"/>
        <w:ind w:firstLine="0" w:firstLineChars="0"/>
        <w:rPr>
          <w:rFonts w:hint="eastAsia" w:ascii="宋体" w:hAnsi="宋体" w:cs="宋体" w:eastAsiaTheme="minorEastAsia"/>
          <w:color w:val="auto"/>
          <w:kern w:val="2"/>
          <w:sz w:val="24"/>
          <w:szCs w:val="22"/>
          <w:highlight w:val="none"/>
          <w:lang w:val="en-US" w:eastAsia="zh-CN"/>
        </w:rPr>
      </w:pPr>
    </w:p>
    <w:p>
      <w:pPr>
        <w:pStyle w:val="21"/>
        <w:widowControl/>
        <w:spacing w:line="360" w:lineRule="auto"/>
        <w:ind w:firstLine="480" w:firstLineChars="200"/>
        <w:jc w:val="left"/>
        <w:rPr>
          <w:rFonts w:hint="eastAsia" w:ascii="宋体" w:hAnsi="宋体" w:cs="宋体" w:eastAsiaTheme="minorEastAsia"/>
          <w:color w:val="auto"/>
          <w:kern w:val="2"/>
          <w:sz w:val="24"/>
          <w:szCs w:val="22"/>
          <w:highlight w:val="none"/>
        </w:rPr>
      </w:pPr>
      <w:r>
        <w:rPr>
          <w:rFonts w:hint="eastAsia" w:cs="宋体" w:eastAsiaTheme="minorEastAsia"/>
          <w:color w:val="auto"/>
          <w:kern w:val="2"/>
          <w:sz w:val="24"/>
          <w:szCs w:val="22"/>
          <w:highlight w:val="none"/>
          <w:lang w:val="en-US" w:eastAsia="zh-CN"/>
        </w:rPr>
        <w:t>4</w:t>
      </w:r>
      <w:r>
        <w:rPr>
          <w:rFonts w:hint="eastAsia" w:ascii="宋体" w:hAnsi="宋体" w:cs="宋体" w:eastAsiaTheme="minorEastAsia"/>
          <w:color w:val="auto"/>
          <w:kern w:val="2"/>
          <w:sz w:val="24"/>
          <w:szCs w:val="22"/>
          <w:highlight w:val="none"/>
          <w:lang w:val="en-US" w:eastAsia="zh-CN"/>
        </w:rPr>
        <w:t>.</w:t>
      </w:r>
      <w:r>
        <w:rPr>
          <w:rFonts w:hint="eastAsia" w:ascii="宋体" w:hAnsi="宋体" w:cs="宋体" w:eastAsiaTheme="minorEastAsia"/>
          <w:color w:val="auto"/>
          <w:kern w:val="2"/>
          <w:sz w:val="24"/>
          <w:szCs w:val="22"/>
          <w:highlight w:val="none"/>
        </w:rPr>
        <w:t>检测报告要求</w:t>
      </w:r>
    </w:p>
    <w:p>
      <w:pPr>
        <w:pStyle w:val="21"/>
        <w:snapToGrid w:val="0"/>
        <w:spacing w:line="600" w:lineRule="exact"/>
        <w:ind w:firstLine="480" w:firstLineChars="200"/>
        <w:jc w:val="both"/>
        <w:rPr>
          <w:rFonts w:hint="eastAsia" w:ascii="宋体" w:hAnsi="宋体" w:cs="宋体" w:eastAsiaTheme="minorEastAsia"/>
          <w:color w:val="auto"/>
          <w:kern w:val="2"/>
          <w:sz w:val="24"/>
          <w:szCs w:val="22"/>
          <w:highlight w:val="none"/>
        </w:rPr>
      </w:pPr>
      <w:r>
        <w:rPr>
          <w:rFonts w:hint="eastAsia" w:cs="宋体" w:eastAsiaTheme="minorEastAsia"/>
          <w:color w:val="auto"/>
          <w:kern w:val="2"/>
          <w:sz w:val="24"/>
          <w:szCs w:val="22"/>
          <w:highlight w:val="none"/>
          <w:lang w:val="en-US" w:eastAsia="zh-CN"/>
        </w:rPr>
        <w:t>4</w:t>
      </w:r>
      <w:r>
        <w:rPr>
          <w:rFonts w:hint="eastAsia" w:hAnsi="宋体" w:cs="宋体" w:eastAsiaTheme="minorEastAsia"/>
          <w:color w:val="auto"/>
          <w:kern w:val="2"/>
          <w:sz w:val="24"/>
          <w:szCs w:val="22"/>
          <w:highlight w:val="none"/>
          <w:lang w:val="en-US" w:eastAsia="zh-CN"/>
        </w:rPr>
        <w:t>.1</w:t>
      </w:r>
      <w:r>
        <w:rPr>
          <w:rFonts w:hint="eastAsia" w:ascii="宋体" w:hAnsi="宋体" w:cs="宋体" w:eastAsiaTheme="minorEastAsia"/>
          <w:color w:val="auto"/>
          <w:kern w:val="2"/>
          <w:sz w:val="24"/>
          <w:szCs w:val="22"/>
          <w:highlight w:val="none"/>
        </w:rPr>
        <w:t>项目允许分包</w:t>
      </w:r>
      <w:r>
        <w:rPr>
          <w:rFonts w:hint="eastAsia" w:ascii="宋体" w:hAnsi="宋体" w:cs="宋体" w:eastAsiaTheme="minorEastAsia"/>
          <w:color w:val="auto"/>
          <w:kern w:val="2"/>
          <w:sz w:val="24"/>
          <w:szCs w:val="22"/>
          <w:highlight w:val="none"/>
          <w:lang w:eastAsia="zh-CN"/>
        </w:rPr>
        <w:t>，</w:t>
      </w:r>
      <w:r>
        <w:rPr>
          <w:rFonts w:hint="eastAsia" w:cs="宋体" w:eastAsiaTheme="minorEastAsia"/>
          <w:color w:val="auto"/>
          <w:kern w:val="2"/>
          <w:sz w:val="24"/>
          <w:szCs w:val="22"/>
          <w:highlight w:val="none"/>
          <w:lang w:val="en-US" w:eastAsia="zh-CN"/>
        </w:rPr>
        <w:t>常规水质指标</w:t>
      </w:r>
      <w:r>
        <w:rPr>
          <w:rFonts w:hint="eastAsia" w:ascii="宋体" w:hAnsi="宋体" w:cs="宋体" w:eastAsiaTheme="minorEastAsia"/>
          <w:color w:val="auto"/>
          <w:kern w:val="2"/>
          <w:sz w:val="24"/>
          <w:szCs w:val="22"/>
          <w:highlight w:val="none"/>
          <w:lang w:val="en-US" w:eastAsia="zh-CN"/>
        </w:rPr>
        <w:t>须</w:t>
      </w:r>
      <w:r>
        <w:rPr>
          <w:rFonts w:hint="eastAsia" w:ascii="宋体" w:hAnsi="宋体" w:cs="宋体" w:eastAsiaTheme="minorEastAsia"/>
          <w:color w:val="auto"/>
          <w:kern w:val="2"/>
          <w:sz w:val="24"/>
          <w:szCs w:val="22"/>
          <w:highlight w:val="none"/>
        </w:rPr>
        <w:t>出具CMA检测报告。</w:t>
      </w:r>
    </w:p>
    <w:p>
      <w:pPr>
        <w:pStyle w:val="21"/>
        <w:widowControl/>
        <w:numPr>
          <w:ilvl w:val="-1"/>
          <w:numId w:val="0"/>
        </w:numPr>
        <w:spacing w:line="360" w:lineRule="auto"/>
        <w:ind w:firstLine="480" w:firstLineChars="200"/>
        <w:jc w:val="left"/>
        <w:rPr>
          <w:rFonts w:hint="eastAsia" w:ascii="宋体" w:hAnsi="宋体" w:cs="宋体" w:eastAsiaTheme="minorEastAsia"/>
          <w:bCs w:val="0"/>
          <w:color w:val="auto"/>
          <w:kern w:val="2"/>
          <w:sz w:val="24"/>
          <w:szCs w:val="22"/>
          <w:highlight w:val="none"/>
        </w:rPr>
      </w:pPr>
      <w:r>
        <w:rPr>
          <w:rFonts w:hint="eastAsia" w:cs="宋体" w:eastAsiaTheme="minorEastAsia"/>
          <w:color w:val="auto"/>
          <w:kern w:val="2"/>
          <w:sz w:val="24"/>
          <w:szCs w:val="22"/>
          <w:highlight w:val="none"/>
          <w:lang w:val="en-US" w:eastAsia="zh-CN"/>
        </w:rPr>
        <w:t>4</w:t>
      </w:r>
      <w:r>
        <w:rPr>
          <w:rFonts w:hint="eastAsia" w:ascii="宋体" w:hAnsi="宋体" w:cs="宋体" w:eastAsiaTheme="minorEastAsia"/>
          <w:color w:val="auto"/>
          <w:kern w:val="2"/>
          <w:sz w:val="24"/>
          <w:szCs w:val="22"/>
          <w:highlight w:val="none"/>
          <w:lang w:val="en-US" w:eastAsia="zh-CN"/>
        </w:rPr>
        <w:t>.2</w:t>
      </w:r>
      <w:r>
        <w:rPr>
          <w:rFonts w:hint="eastAsia" w:ascii="宋体" w:hAnsi="宋体" w:cs="宋体" w:eastAsiaTheme="minorEastAsia"/>
          <w:color w:val="auto"/>
          <w:kern w:val="2"/>
          <w:sz w:val="24"/>
          <w:szCs w:val="22"/>
          <w:highlight w:val="none"/>
        </w:rPr>
        <w:t>乙方完成服务工作的形式:根据甲方要求，在指定的时间内</w:t>
      </w:r>
      <w:r>
        <w:rPr>
          <w:rFonts w:hint="eastAsia" w:ascii="宋体" w:hAnsi="宋体" w:cs="宋体" w:eastAsiaTheme="minorEastAsia"/>
          <w:color w:val="auto"/>
          <w:kern w:val="2"/>
          <w:sz w:val="24"/>
          <w:szCs w:val="22"/>
          <w:highlight w:val="none"/>
          <w:lang w:val="en-US"/>
        </w:rPr>
        <w:t>，按照约定的各检测指标相应的检测频率完成日常监测工作；</w:t>
      </w:r>
      <w:r>
        <w:rPr>
          <w:rFonts w:hint="eastAsia" w:ascii="宋体" w:hAnsi="宋体" w:cs="宋体" w:eastAsiaTheme="minorEastAsia"/>
          <w:color w:val="auto"/>
          <w:kern w:val="2"/>
          <w:sz w:val="24"/>
          <w:szCs w:val="22"/>
          <w:highlight w:val="none"/>
        </w:rPr>
        <w:t>具体采样时间由甲方确定，提前</w:t>
      </w:r>
      <w:r>
        <w:rPr>
          <w:rFonts w:hint="eastAsia" w:ascii="宋体" w:hAnsi="宋体" w:cs="宋体" w:eastAsiaTheme="minorEastAsia"/>
          <w:color w:val="auto"/>
          <w:kern w:val="2"/>
          <w:sz w:val="24"/>
          <w:szCs w:val="22"/>
          <w:highlight w:val="none"/>
          <w:lang w:val="en-US" w:eastAsia="zh-CN"/>
        </w:rPr>
        <w:t>2</w:t>
      </w:r>
      <w:r>
        <w:rPr>
          <w:rFonts w:hint="eastAsia" w:ascii="宋体" w:hAnsi="宋体" w:cs="宋体" w:eastAsiaTheme="minorEastAsia"/>
          <w:color w:val="auto"/>
          <w:kern w:val="2"/>
          <w:sz w:val="24"/>
          <w:szCs w:val="22"/>
          <w:highlight w:val="none"/>
        </w:rPr>
        <w:t>个工作日通知乙方</w:t>
      </w:r>
      <w:r>
        <w:rPr>
          <w:rFonts w:hint="eastAsia" w:ascii="宋体" w:hAnsi="宋体" w:cs="宋体" w:eastAsiaTheme="minorEastAsia"/>
          <w:color w:val="auto"/>
          <w:kern w:val="2"/>
          <w:sz w:val="24"/>
          <w:szCs w:val="22"/>
          <w:highlight w:val="none"/>
          <w:lang w:eastAsia="zh-CN"/>
        </w:rPr>
        <w:t>。</w:t>
      </w:r>
      <w:r>
        <w:rPr>
          <w:rFonts w:hint="eastAsia" w:ascii="宋体" w:hAnsi="宋体" w:cs="宋体" w:eastAsiaTheme="minorEastAsia"/>
          <w:color w:val="auto"/>
          <w:kern w:val="2"/>
          <w:sz w:val="24"/>
          <w:szCs w:val="22"/>
          <w:highlight w:val="none"/>
        </w:rPr>
        <w:t>乙方</w:t>
      </w:r>
      <w:r>
        <w:rPr>
          <w:rFonts w:hint="eastAsia" w:ascii="宋体" w:hAnsi="宋体" w:cs="宋体" w:eastAsiaTheme="minorEastAsia"/>
          <w:color w:val="auto"/>
          <w:kern w:val="2"/>
          <w:sz w:val="24"/>
          <w:szCs w:val="22"/>
          <w:highlight w:val="none"/>
          <w:lang w:val="en-US"/>
        </w:rPr>
        <w:t>采样后，</w:t>
      </w:r>
      <w:r>
        <w:rPr>
          <w:rFonts w:hint="eastAsia" w:ascii="宋体" w:hAnsi="宋体" w:cs="宋体" w:eastAsiaTheme="minorEastAsia"/>
          <w:color w:val="auto"/>
          <w:kern w:val="2"/>
          <w:sz w:val="24"/>
          <w:szCs w:val="22"/>
          <w:highlight w:val="none"/>
          <w:lang w:val="en-US" w:eastAsia="zh-CN"/>
        </w:rPr>
        <w:t>常规水质指标分析（除BOD</w:t>
      </w:r>
      <w:r>
        <w:rPr>
          <w:rFonts w:hint="eastAsia" w:ascii="宋体" w:hAnsi="宋体" w:cs="宋体" w:eastAsiaTheme="minorEastAsia"/>
          <w:color w:val="auto"/>
          <w:kern w:val="2"/>
          <w:sz w:val="24"/>
          <w:szCs w:val="22"/>
          <w:highlight w:val="none"/>
          <w:vertAlign w:val="baseline"/>
          <w:lang w:val="en-US" w:eastAsia="zh-CN"/>
        </w:rPr>
        <w:t>5</w:t>
      </w:r>
      <w:r>
        <w:rPr>
          <w:rFonts w:hint="eastAsia" w:ascii="宋体" w:hAnsi="宋体" w:cs="宋体" w:eastAsiaTheme="minorEastAsia"/>
          <w:color w:val="auto"/>
          <w:kern w:val="2"/>
          <w:sz w:val="24"/>
          <w:szCs w:val="22"/>
          <w:highlight w:val="none"/>
          <w:lang w:val="en-US" w:eastAsia="zh-CN"/>
        </w:rPr>
        <w:t>外）须在</w:t>
      </w:r>
      <w:r>
        <w:rPr>
          <w:rFonts w:hint="eastAsia" w:cs="宋体" w:eastAsiaTheme="minorEastAsia"/>
          <w:color w:val="auto"/>
          <w:kern w:val="2"/>
          <w:sz w:val="24"/>
          <w:szCs w:val="22"/>
          <w:highlight w:val="none"/>
          <w:u w:val="single"/>
          <w:lang w:val="en-US" w:eastAsia="zh-CN"/>
        </w:rPr>
        <w:t>4</w:t>
      </w:r>
      <w:r>
        <w:rPr>
          <w:rFonts w:hint="eastAsia" w:ascii="宋体" w:hAnsi="宋体" w:cs="宋体" w:eastAsiaTheme="minorEastAsia"/>
          <w:color w:val="auto"/>
          <w:kern w:val="2"/>
          <w:sz w:val="24"/>
          <w:szCs w:val="22"/>
          <w:highlight w:val="none"/>
        </w:rPr>
        <w:t>日内向</w:t>
      </w:r>
      <w:r>
        <w:rPr>
          <w:rFonts w:hint="eastAsia" w:ascii="宋体" w:hAnsi="宋体" w:cs="宋体" w:eastAsiaTheme="minorEastAsia"/>
          <w:color w:val="auto"/>
          <w:kern w:val="2"/>
          <w:sz w:val="24"/>
          <w:szCs w:val="22"/>
          <w:highlight w:val="none"/>
          <w:lang w:val="en-US" w:eastAsia="zh-CN"/>
        </w:rPr>
        <w:t>甲方</w:t>
      </w:r>
      <w:r>
        <w:rPr>
          <w:rFonts w:hint="eastAsia" w:ascii="宋体" w:hAnsi="宋体" w:cs="宋体" w:eastAsiaTheme="minorEastAsia"/>
          <w:color w:val="auto"/>
          <w:kern w:val="2"/>
          <w:sz w:val="24"/>
          <w:szCs w:val="22"/>
          <w:highlight w:val="none"/>
        </w:rPr>
        <w:t>出具检测报告（一式两份），</w:t>
      </w:r>
      <w:r>
        <w:rPr>
          <w:rFonts w:hint="eastAsia" w:ascii="宋体" w:hAnsi="宋体" w:cs="宋体" w:eastAsiaTheme="minorEastAsia"/>
          <w:color w:val="auto"/>
          <w:kern w:val="2"/>
          <w:szCs w:val="22"/>
          <w:highlight w:val="none"/>
        </w:rPr>
        <w:t>微生物群落结构分析</w:t>
      </w:r>
      <w:r>
        <w:rPr>
          <w:rFonts w:hint="eastAsia" w:ascii="宋体" w:hAnsi="宋体" w:cs="宋体" w:eastAsiaTheme="minorEastAsia"/>
          <w:color w:val="auto"/>
          <w:kern w:val="2"/>
          <w:szCs w:val="22"/>
          <w:highlight w:val="none"/>
          <w:lang w:val="en-US" w:eastAsia="zh-CN"/>
        </w:rPr>
        <w:t>须在</w:t>
      </w:r>
      <w:r>
        <w:rPr>
          <w:rFonts w:hint="eastAsia" w:ascii="宋体" w:hAnsi="宋体" w:cs="宋体" w:eastAsiaTheme="minorEastAsia"/>
          <w:color w:val="auto"/>
          <w:kern w:val="2"/>
          <w:szCs w:val="22"/>
          <w:highlight w:val="none"/>
          <w:u w:val="single"/>
          <w:lang w:val="en-US" w:eastAsia="zh-CN"/>
        </w:rPr>
        <w:t>40</w:t>
      </w:r>
      <w:r>
        <w:rPr>
          <w:rFonts w:hint="eastAsia" w:ascii="宋体" w:hAnsi="宋体" w:cs="宋体" w:eastAsiaTheme="minorEastAsia"/>
          <w:color w:val="auto"/>
          <w:kern w:val="2"/>
          <w:szCs w:val="22"/>
          <w:highlight w:val="none"/>
          <w:lang w:val="en-US" w:eastAsia="zh-CN"/>
        </w:rPr>
        <w:t>日内</w:t>
      </w:r>
      <w:r>
        <w:rPr>
          <w:rFonts w:hint="eastAsia" w:ascii="宋体" w:hAnsi="宋体" w:cs="宋体" w:eastAsiaTheme="minorEastAsia"/>
          <w:color w:val="auto"/>
          <w:kern w:val="2"/>
          <w:sz w:val="24"/>
          <w:szCs w:val="22"/>
          <w:highlight w:val="none"/>
        </w:rPr>
        <w:t>向</w:t>
      </w:r>
      <w:r>
        <w:rPr>
          <w:rFonts w:hint="eastAsia" w:ascii="宋体" w:hAnsi="宋体" w:cs="宋体" w:eastAsiaTheme="minorEastAsia"/>
          <w:color w:val="auto"/>
          <w:kern w:val="2"/>
          <w:sz w:val="24"/>
          <w:szCs w:val="22"/>
          <w:highlight w:val="none"/>
          <w:lang w:val="en-US" w:eastAsia="zh-CN"/>
        </w:rPr>
        <w:t>甲方</w:t>
      </w:r>
      <w:r>
        <w:rPr>
          <w:rFonts w:hint="eastAsia" w:ascii="宋体" w:hAnsi="宋体" w:cs="宋体" w:eastAsiaTheme="minorEastAsia"/>
          <w:color w:val="auto"/>
          <w:kern w:val="2"/>
          <w:sz w:val="24"/>
          <w:szCs w:val="22"/>
          <w:highlight w:val="none"/>
        </w:rPr>
        <w:t>出具检测报告（一式两份）</w:t>
      </w:r>
      <w:r>
        <w:rPr>
          <w:rFonts w:hint="eastAsia" w:ascii="宋体" w:hAnsi="宋体" w:cs="宋体" w:eastAsiaTheme="minorEastAsia"/>
          <w:color w:val="auto"/>
          <w:kern w:val="2"/>
          <w:sz w:val="24"/>
          <w:szCs w:val="22"/>
          <w:highlight w:val="none"/>
          <w:lang w:eastAsia="zh-CN"/>
        </w:rPr>
        <w:t>，</w:t>
      </w:r>
      <w:r>
        <w:rPr>
          <w:rFonts w:hint="eastAsia" w:ascii="宋体" w:hAnsi="宋体" w:cs="宋体" w:eastAsiaTheme="minorEastAsia"/>
          <w:color w:val="auto"/>
          <w:kern w:val="2"/>
          <w:sz w:val="24"/>
          <w:szCs w:val="22"/>
          <w:highlight w:val="none"/>
          <w:lang w:val="en-US" w:eastAsia="zh-CN"/>
        </w:rPr>
        <w:t>余下所有检测项目须在</w:t>
      </w:r>
      <w:r>
        <w:rPr>
          <w:rFonts w:hint="eastAsia" w:ascii="宋体" w:hAnsi="宋体" w:cs="宋体" w:eastAsiaTheme="minorEastAsia"/>
          <w:color w:val="auto"/>
          <w:kern w:val="2"/>
          <w:sz w:val="24"/>
          <w:szCs w:val="22"/>
          <w:highlight w:val="none"/>
          <w:u w:val="single"/>
          <w:lang w:val="en-US" w:eastAsia="zh-CN"/>
        </w:rPr>
        <w:t>15</w:t>
      </w:r>
      <w:r>
        <w:rPr>
          <w:rFonts w:hint="eastAsia" w:ascii="宋体" w:hAnsi="宋体" w:cs="宋体" w:eastAsiaTheme="minorEastAsia"/>
          <w:color w:val="auto"/>
          <w:kern w:val="2"/>
          <w:sz w:val="24"/>
          <w:szCs w:val="22"/>
          <w:highlight w:val="none"/>
          <w:lang w:val="en-US" w:eastAsia="zh-CN"/>
        </w:rPr>
        <w:t>日内向甲方</w:t>
      </w:r>
      <w:r>
        <w:rPr>
          <w:rFonts w:hint="eastAsia" w:ascii="宋体" w:hAnsi="宋体" w:cs="宋体" w:eastAsiaTheme="minorEastAsia"/>
          <w:color w:val="auto"/>
          <w:kern w:val="2"/>
          <w:sz w:val="24"/>
          <w:szCs w:val="22"/>
          <w:highlight w:val="none"/>
        </w:rPr>
        <w:t>出具检测报告（一式两份）。</w:t>
      </w:r>
    </w:p>
    <w:p>
      <w:pPr>
        <w:widowControl/>
        <w:spacing w:line="360" w:lineRule="auto"/>
        <w:ind w:firstLine="480" w:firstLineChars="200"/>
        <w:rPr>
          <w:rFonts w:ascii="Times New Roman" w:hAnsi="Times New Roman" w:cs="Times New Roman"/>
          <w:bCs/>
          <w:sz w:val="24"/>
          <w:highlight w:val="none"/>
        </w:rPr>
      </w:pPr>
      <w:r>
        <w:rPr>
          <w:rFonts w:hint="eastAsia" w:ascii="Times New Roman" w:hAnsi="Times New Roman" w:cs="Times New Roman"/>
          <w:bCs/>
          <w:sz w:val="24"/>
          <w:highlight w:val="none"/>
          <w:lang w:val="en-US" w:eastAsia="zh-CN"/>
        </w:rPr>
        <w:t xml:space="preserve">4.3 </w:t>
      </w:r>
      <w:r>
        <w:rPr>
          <w:rFonts w:hint="eastAsia" w:ascii="Times New Roman" w:hAnsi="Times New Roman" w:cs="Times New Roman"/>
          <w:bCs/>
          <w:sz w:val="24"/>
          <w:highlight w:val="none"/>
        </w:rPr>
        <w:t>乙方需按时提交检测报告给甲方，不得有延误和遗漏。乙方未按合同要求的时间或无故拖延提交检测报告，且未达到甲方要求的，延误提交1天以内的，甲方出工作联系单提醒乙方尽快提交检测报告；延误提交3天以上（不包括3天）的，每延误一天，向甲方按赔偿经济损失为合同暂定价的0.1%</w:t>
      </w:r>
      <w:r>
        <w:rPr>
          <w:rFonts w:hint="eastAsia" w:ascii="Times New Roman" w:hAnsi="Times New Roman" w:cs="Times New Roman"/>
          <w:bCs/>
          <w:sz w:val="24"/>
          <w:highlight w:val="none"/>
          <w:lang w:eastAsia="zh-CN"/>
        </w:rPr>
        <w:t>的</w:t>
      </w:r>
      <w:r>
        <w:rPr>
          <w:rFonts w:hint="eastAsia" w:ascii="Times New Roman" w:hAnsi="Times New Roman" w:cs="Times New Roman"/>
          <w:bCs/>
          <w:sz w:val="24"/>
          <w:highlight w:val="none"/>
        </w:rPr>
        <w:t>违约金。</w:t>
      </w:r>
    </w:p>
    <w:p>
      <w:pPr>
        <w:pStyle w:val="7"/>
        <w:numPr>
          <w:ilvl w:val="255"/>
          <w:numId w:val="0"/>
        </w:numPr>
        <w:spacing w:line="360" w:lineRule="auto"/>
        <w:ind w:firstLine="480" w:firstLineChars="200"/>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lang w:val="en-US" w:eastAsia="zh-CN"/>
        </w:rPr>
        <w:t>5.</w:t>
      </w:r>
      <w:r>
        <w:rPr>
          <w:rFonts w:hint="eastAsia" w:ascii="宋体" w:hAnsi="宋体" w:eastAsia="宋体" w:cs="Times New Roman"/>
          <w:kern w:val="0"/>
          <w:sz w:val="24"/>
          <w:szCs w:val="24"/>
          <w:highlight w:val="none"/>
        </w:rPr>
        <w:t xml:space="preserve"> 服务要求：</w:t>
      </w:r>
    </w:p>
    <w:p>
      <w:pPr>
        <w:pStyle w:val="7"/>
        <w:numPr>
          <w:ilvl w:val="-1"/>
          <w:numId w:val="0"/>
        </w:numPr>
        <w:spacing w:line="360" w:lineRule="auto"/>
        <w:ind w:firstLine="480" w:firstLineChars="200"/>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lang w:val="en-US" w:eastAsia="zh-CN"/>
        </w:rPr>
        <w:t>5.1</w:t>
      </w:r>
      <w:r>
        <w:rPr>
          <w:rFonts w:hint="eastAsia" w:ascii="宋体" w:hAnsi="宋体" w:eastAsia="宋体" w:cs="Times New Roman"/>
          <w:kern w:val="0"/>
          <w:sz w:val="24"/>
          <w:szCs w:val="24"/>
          <w:highlight w:val="none"/>
        </w:rPr>
        <w:t>双方签订《安全管理协议书》，自觉遵守甲方管理单位安全生产相关的管理制度，承担安全主体责任。</w:t>
      </w:r>
    </w:p>
    <w:p>
      <w:pPr>
        <w:pStyle w:val="7"/>
        <w:numPr>
          <w:ilvl w:val="-1"/>
          <w:numId w:val="0"/>
        </w:numPr>
        <w:spacing w:line="360" w:lineRule="auto"/>
        <w:ind w:firstLine="480" w:firstLineChars="200"/>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lang w:val="en-US" w:eastAsia="zh-CN"/>
        </w:rPr>
        <w:t>5.2</w:t>
      </w:r>
      <w:r>
        <w:rPr>
          <w:rFonts w:hint="eastAsia" w:ascii="宋体" w:hAnsi="宋体" w:eastAsia="宋体" w:cs="Times New Roman"/>
          <w:kern w:val="0"/>
          <w:sz w:val="24"/>
          <w:szCs w:val="24"/>
          <w:highlight w:val="none"/>
        </w:rPr>
        <w:t>乙方将取样检测计划报告甲方，经甲方审核同意后开展服务工作。</w:t>
      </w:r>
    </w:p>
    <w:p>
      <w:pPr>
        <w:pStyle w:val="7"/>
        <w:numPr>
          <w:ilvl w:val="-1"/>
          <w:numId w:val="0"/>
        </w:numPr>
        <w:spacing w:line="360" w:lineRule="auto"/>
        <w:ind w:firstLine="480" w:firstLineChars="200"/>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lang w:val="en-US" w:eastAsia="zh-CN"/>
        </w:rPr>
        <w:t>5.3</w:t>
      </w:r>
      <w:r>
        <w:rPr>
          <w:rFonts w:hint="eastAsia" w:ascii="宋体" w:hAnsi="宋体" w:eastAsia="宋体" w:cs="Times New Roman"/>
          <w:kern w:val="0"/>
          <w:sz w:val="24"/>
          <w:szCs w:val="24"/>
          <w:highlight w:val="none"/>
        </w:rPr>
        <w:t>乙方取样工作须在甲方陪同下</w:t>
      </w:r>
      <w:r>
        <w:rPr>
          <w:rFonts w:hint="eastAsia" w:ascii="宋体" w:hAnsi="宋体" w:eastAsia="宋体" w:cs="Times New Roman"/>
          <w:kern w:val="0"/>
          <w:sz w:val="24"/>
          <w:szCs w:val="24"/>
          <w:highlight w:val="none"/>
          <w:lang w:val="en-US" w:eastAsia="zh-CN"/>
        </w:rPr>
        <w:t>进行</w:t>
      </w:r>
      <w:r>
        <w:rPr>
          <w:rFonts w:hint="eastAsia" w:ascii="宋体" w:hAnsi="宋体" w:eastAsia="宋体" w:cs="Times New Roman"/>
          <w:kern w:val="0"/>
          <w:sz w:val="24"/>
          <w:szCs w:val="24"/>
          <w:highlight w:val="none"/>
        </w:rPr>
        <w:t>，且严格遵守厂区内各项管理规定。</w:t>
      </w:r>
    </w:p>
    <w:p>
      <w:pPr>
        <w:pStyle w:val="7"/>
        <w:numPr>
          <w:ilvl w:val="-1"/>
          <w:numId w:val="0"/>
        </w:numPr>
        <w:spacing w:line="360" w:lineRule="auto"/>
        <w:ind w:firstLine="480" w:firstLineChars="200"/>
        <w:rPr>
          <w:rFonts w:eastAsia="宋体"/>
          <w:sz w:val="24"/>
          <w:szCs w:val="24"/>
          <w:highlight w:val="none"/>
        </w:rPr>
      </w:pPr>
      <w:r>
        <w:rPr>
          <w:rFonts w:hint="eastAsia" w:ascii="宋体" w:hAnsi="宋体" w:eastAsia="宋体" w:cs="Times New Roman"/>
          <w:kern w:val="0"/>
          <w:sz w:val="24"/>
          <w:szCs w:val="24"/>
          <w:highlight w:val="none"/>
          <w:lang w:val="en-US" w:eastAsia="zh-CN"/>
        </w:rPr>
        <w:t>5.4</w:t>
      </w:r>
      <w:r>
        <w:rPr>
          <w:rFonts w:hint="eastAsia" w:ascii="宋体" w:hAnsi="宋体" w:eastAsia="宋体" w:cs="Times New Roman"/>
          <w:kern w:val="0"/>
          <w:sz w:val="24"/>
          <w:szCs w:val="24"/>
          <w:highlight w:val="none"/>
        </w:rPr>
        <w:t>本合同工作范围应包括提供所有需要的材料、人力以及其他采样、检测设备，双方完成合同文件里规定的工作和检测服务，并达到预期的目标。</w:t>
      </w:r>
    </w:p>
    <w:p>
      <w:pPr>
        <w:pStyle w:val="7"/>
        <w:numPr>
          <w:ilvl w:val="-1"/>
          <w:numId w:val="0"/>
        </w:numPr>
        <w:spacing w:line="360" w:lineRule="auto"/>
        <w:ind w:firstLine="480" w:firstLineChars="200"/>
        <w:rPr>
          <w:rFonts w:eastAsia="宋体"/>
          <w:sz w:val="24"/>
          <w:szCs w:val="24"/>
          <w:highlight w:val="none"/>
        </w:rPr>
      </w:pPr>
      <w:r>
        <w:rPr>
          <w:rFonts w:hint="eastAsia" w:ascii="宋体" w:hAnsi="宋体" w:eastAsia="宋体" w:cs="Times New Roman"/>
          <w:kern w:val="0"/>
          <w:sz w:val="24"/>
          <w:szCs w:val="24"/>
          <w:highlight w:val="none"/>
          <w:lang w:val="en-US" w:eastAsia="zh-CN"/>
        </w:rPr>
        <w:t>5.5</w:t>
      </w:r>
      <w:r>
        <w:rPr>
          <w:rFonts w:hint="eastAsia" w:ascii="宋体" w:hAnsi="宋体" w:eastAsia="宋体" w:cs="Times New Roman"/>
          <w:kern w:val="0"/>
          <w:sz w:val="24"/>
          <w:szCs w:val="24"/>
          <w:highlight w:val="none"/>
        </w:rPr>
        <w:t>对于甲方提出的临时调整的检测范围、指标和频率，乙方须积极配合完成。</w:t>
      </w:r>
    </w:p>
    <w:p>
      <w:pPr>
        <w:pStyle w:val="7"/>
        <w:numPr>
          <w:ilvl w:val="-1"/>
          <w:numId w:val="0"/>
        </w:numPr>
        <w:spacing w:line="360" w:lineRule="auto"/>
        <w:ind w:firstLine="480" w:firstLineChars="200"/>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lang w:val="en-US" w:eastAsia="zh-CN"/>
        </w:rPr>
        <w:t>5.6</w:t>
      </w:r>
      <w:r>
        <w:rPr>
          <w:rFonts w:hint="eastAsia" w:ascii="宋体" w:hAnsi="宋体" w:eastAsia="宋体" w:cs="Times New Roman"/>
          <w:kern w:val="0"/>
          <w:sz w:val="24"/>
          <w:szCs w:val="24"/>
          <w:highlight w:val="none"/>
        </w:rPr>
        <w:t>检测结果必须公平公正，不受外界影响；遵守相关保密条约；检测结果提供符合相关标准的纸质版检测报告和提供纸质版检测报告扫描件。</w:t>
      </w:r>
    </w:p>
    <w:p>
      <w:pPr>
        <w:pStyle w:val="7"/>
        <w:numPr>
          <w:ilvl w:val="-1"/>
          <w:numId w:val="0"/>
        </w:numPr>
        <w:spacing w:line="360" w:lineRule="auto"/>
        <w:ind w:firstLine="480" w:firstLineChars="200"/>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lang w:val="en-US" w:eastAsia="zh-CN"/>
        </w:rPr>
        <w:t>5.7</w:t>
      </w:r>
      <w:r>
        <w:rPr>
          <w:rFonts w:hint="eastAsia" w:ascii="宋体" w:hAnsi="宋体" w:eastAsia="宋体" w:cs="Times New Roman"/>
          <w:kern w:val="0"/>
          <w:sz w:val="24"/>
          <w:szCs w:val="24"/>
          <w:highlight w:val="none"/>
        </w:rPr>
        <w:t>乙方须对检测数据、甲方提供的所有资料以及双方履行本项目所交往的资料负有保密义务。未经甲方书面同意，乙方不得将上述资料向第三方转让或复制或另作他用。在乙方服务期间，所有甲方和乙方双方签署确认的文件（包括会议纪要、补充协议、往来信函）即成为本项目的有效组成部分。</w:t>
      </w:r>
    </w:p>
    <w:p>
      <w:pPr>
        <w:pStyle w:val="7"/>
        <w:numPr>
          <w:ilvl w:val="255"/>
          <w:numId w:val="0"/>
        </w:numPr>
        <w:spacing w:line="360" w:lineRule="auto"/>
        <w:ind w:firstLine="480" w:firstLineChars="200"/>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lang w:val="en-US" w:eastAsia="zh-CN"/>
        </w:rPr>
        <w:t>6.</w:t>
      </w:r>
      <w:r>
        <w:rPr>
          <w:rFonts w:hint="eastAsia" w:ascii="宋体" w:hAnsi="宋体" w:eastAsia="宋体" w:cs="Times New Roman"/>
          <w:kern w:val="0"/>
          <w:sz w:val="24"/>
          <w:szCs w:val="24"/>
          <w:highlight w:val="none"/>
        </w:rPr>
        <w:t>质量保证：</w:t>
      </w:r>
    </w:p>
    <w:p>
      <w:pPr>
        <w:pStyle w:val="7"/>
        <w:numPr>
          <w:ilvl w:val="255"/>
          <w:numId w:val="0"/>
        </w:numPr>
        <w:spacing w:line="360" w:lineRule="auto"/>
        <w:ind w:firstLine="480" w:firstLineChars="200"/>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lang w:val="en-US" w:eastAsia="zh-CN"/>
        </w:rPr>
        <w:t>6.1</w:t>
      </w:r>
      <w:r>
        <w:rPr>
          <w:rFonts w:hint="eastAsia" w:ascii="宋体" w:hAnsi="宋体" w:eastAsia="宋体" w:cs="Times New Roman"/>
          <w:kern w:val="0"/>
          <w:sz w:val="24"/>
          <w:szCs w:val="24"/>
          <w:highlight w:val="none"/>
        </w:rPr>
        <w:t>乙方必须严格按照所采用</w:t>
      </w:r>
      <w:r>
        <w:rPr>
          <w:rFonts w:hint="eastAsia" w:ascii="宋体" w:hAnsi="宋体" w:eastAsia="宋体" w:cs="Times New Roman"/>
          <w:kern w:val="0"/>
          <w:sz w:val="24"/>
          <w:szCs w:val="24"/>
          <w:highlight w:val="none"/>
          <w:lang w:val="en-US" w:eastAsia="zh-CN"/>
        </w:rPr>
        <w:t>最新的</w:t>
      </w:r>
      <w:r>
        <w:rPr>
          <w:rFonts w:hint="eastAsia" w:ascii="宋体" w:hAnsi="宋体" w:eastAsia="宋体" w:cs="Times New Roman"/>
          <w:kern w:val="0"/>
          <w:sz w:val="24"/>
          <w:szCs w:val="24"/>
          <w:highlight w:val="none"/>
        </w:rPr>
        <w:t>标准、规范及本技术协议制定取样和检测计划，并按月度报告甲方。取样和检测人员须具有检测/监测相关资格证书，取样检测所需车辆、工具、仪器、物料等符合检测规范要求。</w:t>
      </w:r>
    </w:p>
    <w:p>
      <w:pPr>
        <w:pStyle w:val="7"/>
        <w:numPr>
          <w:ilvl w:val="255"/>
          <w:numId w:val="0"/>
        </w:numPr>
        <w:spacing w:line="360" w:lineRule="auto"/>
        <w:ind w:firstLine="480" w:firstLineChars="200"/>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lang w:val="en-US" w:eastAsia="zh-CN"/>
        </w:rPr>
        <w:t>6.2</w:t>
      </w:r>
      <w:r>
        <w:rPr>
          <w:rFonts w:hint="eastAsia" w:ascii="宋体" w:hAnsi="宋体" w:eastAsia="宋体" w:cs="Times New Roman"/>
          <w:kern w:val="0"/>
          <w:sz w:val="24"/>
          <w:szCs w:val="24"/>
          <w:highlight w:val="none"/>
        </w:rPr>
        <w:t>取样检测服务要求：按照广州市净水有限公司安全生产管理规定</w:t>
      </w:r>
      <w:r>
        <w:rPr>
          <w:rFonts w:hint="eastAsia" w:ascii="宋体" w:hAnsi="宋体" w:eastAsia="宋体" w:cs="Times New Roman"/>
          <w:kern w:val="0"/>
          <w:sz w:val="24"/>
          <w:szCs w:val="24"/>
          <w:highlight w:val="none"/>
          <w:lang w:val="en-US" w:eastAsia="zh-CN"/>
        </w:rPr>
        <w:t>操作</w:t>
      </w:r>
      <w:r>
        <w:rPr>
          <w:rFonts w:hint="eastAsia" w:ascii="宋体" w:hAnsi="宋体" w:eastAsia="宋体" w:cs="Times New Roman"/>
          <w:kern w:val="0"/>
          <w:sz w:val="24"/>
          <w:szCs w:val="24"/>
          <w:highlight w:val="none"/>
        </w:rPr>
        <w:t>，签订安全生产管理协议书。取样检测服务期间必须做好防护措施，</w:t>
      </w:r>
      <w:r>
        <w:rPr>
          <w:rFonts w:hint="eastAsia" w:ascii="宋体" w:hAnsi="宋体" w:eastAsia="宋体" w:cs="Times New Roman"/>
          <w:kern w:val="0"/>
          <w:sz w:val="24"/>
          <w:szCs w:val="24"/>
          <w:highlight w:val="none"/>
          <w:lang w:val="en-US" w:eastAsia="zh-CN"/>
        </w:rPr>
        <w:t>操作</w:t>
      </w:r>
      <w:r>
        <w:rPr>
          <w:rFonts w:hint="eastAsia" w:ascii="宋体" w:hAnsi="宋体" w:eastAsia="宋体" w:cs="Times New Roman"/>
          <w:kern w:val="0"/>
          <w:sz w:val="24"/>
          <w:szCs w:val="24"/>
          <w:highlight w:val="none"/>
        </w:rPr>
        <w:t>人员需具备相关工作上岗证。</w:t>
      </w:r>
    </w:p>
    <w:p>
      <w:pPr>
        <w:pStyle w:val="7"/>
        <w:numPr>
          <w:ilvl w:val="255"/>
          <w:numId w:val="0"/>
        </w:numPr>
        <w:spacing w:line="360" w:lineRule="auto"/>
        <w:ind w:firstLine="480" w:firstLineChars="200"/>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lang w:val="en-US" w:eastAsia="zh-CN"/>
        </w:rPr>
        <w:t>6.3</w:t>
      </w:r>
      <w:r>
        <w:rPr>
          <w:rFonts w:hint="eastAsia" w:ascii="宋体" w:hAnsi="宋体" w:eastAsia="宋体" w:cs="Times New Roman"/>
          <w:kern w:val="0"/>
          <w:sz w:val="24"/>
          <w:szCs w:val="24"/>
          <w:highlight w:val="none"/>
        </w:rPr>
        <w:t>乙方须安排具有从事相应专业知识和专业技能的技术人员跟踪负责项目的取样、检测、数据审核、报告出具等流程工作，并与甲方做好对接工作。乙方技术人员对取样检测、结果评价过程中出现的问题情况，应及时与甲方联系，并就甲方反映的取样检测、数据审核、报告出具等环节中问题及时作出回应，及时安排取样复测或给出解决办法。</w:t>
      </w:r>
    </w:p>
    <w:p>
      <w:pPr>
        <w:widowControl/>
        <w:numPr>
          <w:ilvl w:val="255"/>
          <w:numId w:val="0"/>
        </w:numPr>
        <w:spacing w:line="360" w:lineRule="auto"/>
        <w:ind w:firstLine="482"/>
        <w:jc w:val="left"/>
        <w:rPr>
          <w:rFonts w:ascii="宋体" w:hAnsi="宋体" w:eastAsia="宋体" w:cs="Times New Roman"/>
          <w:b/>
          <w:kern w:val="0"/>
          <w:sz w:val="24"/>
          <w:szCs w:val="24"/>
          <w:highlight w:val="none"/>
        </w:rPr>
      </w:pPr>
      <w:r>
        <w:rPr>
          <w:rFonts w:hint="eastAsia" w:ascii="宋体" w:hAnsi="宋体" w:eastAsia="宋体" w:cs="Times New Roman"/>
          <w:b/>
          <w:kern w:val="0"/>
          <w:sz w:val="24"/>
          <w:szCs w:val="24"/>
          <w:highlight w:val="none"/>
        </w:rPr>
        <w:t>第三条 合同金额</w:t>
      </w:r>
    </w:p>
    <w:p>
      <w:pPr>
        <w:adjustRightInd w:val="0"/>
        <w:snapToGrid w:val="0"/>
        <w:spacing w:line="360" w:lineRule="auto"/>
        <w:ind w:firstLine="480" w:firstLineChars="200"/>
        <w:jc w:val="left"/>
        <w:textAlignment w:val="baseline"/>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kern w:val="0"/>
          <w:sz w:val="24"/>
          <w:szCs w:val="24"/>
          <w:highlight w:val="none"/>
        </w:rPr>
        <w:t>1.合同暂定含税总价为</w:t>
      </w:r>
      <w:r>
        <w:rPr>
          <w:rFonts w:hint="eastAsia" w:ascii="宋体" w:hAnsi="宋体" w:eastAsia="宋体" w:cs="Times New Roman"/>
          <w:kern w:val="0"/>
          <w:sz w:val="24"/>
          <w:szCs w:val="24"/>
          <w:highlight w:val="none"/>
          <w:u w:val="single"/>
          <w:lang w:val="en-US" w:eastAsia="zh-CN"/>
        </w:rPr>
        <w:t xml:space="preserve">          </w:t>
      </w:r>
      <w:r>
        <w:rPr>
          <w:rFonts w:hint="eastAsia" w:ascii="宋体" w:hAnsi="宋体"/>
          <w:sz w:val="24"/>
          <w:szCs w:val="24"/>
          <w:highlight w:val="none"/>
        </w:rPr>
        <w:t>元</w:t>
      </w:r>
      <w:r>
        <w:rPr>
          <w:rFonts w:hint="eastAsia" w:ascii="宋体" w:hAnsi="宋体" w:eastAsia="宋体" w:cs="Times New Roman"/>
          <w:kern w:val="0"/>
          <w:sz w:val="24"/>
          <w:szCs w:val="24"/>
          <w:highlight w:val="none"/>
        </w:rPr>
        <w:t>（大写：</w:t>
      </w:r>
      <w:r>
        <w:rPr>
          <w:rFonts w:hint="eastAsia" w:ascii="宋体" w:hAnsi="宋体" w:eastAsia="宋体" w:cs="Times New Roman"/>
          <w:kern w:val="0"/>
          <w:sz w:val="24"/>
          <w:szCs w:val="24"/>
          <w:highlight w:val="none"/>
          <w:lang w:val="en-US" w:eastAsia="zh-CN"/>
        </w:rPr>
        <w:t xml:space="preserve">       </w:t>
      </w:r>
      <w:r>
        <w:rPr>
          <w:rFonts w:hint="eastAsia" w:ascii="宋体" w:hAnsi="宋体" w:eastAsia="宋体" w:cs="Times New Roman"/>
          <w:kern w:val="0"/>
          <w:sz w:val="24"/>
          <w:szCs w:val="24"/>
          <w:highlight w:val="none"/>
        </w:rPr>
        <w:t>）</w:t>
      </w:r>
      <w:r>
        <w:rPr>
          <w:rFonts w:hint="eastAsia" w:ascii="宋体" w:hAnsi="宋体" w:cs="宋体"/>
          <w:color w:val="000000" w:themeColor="text1"/>
          <w:sz w:val="24"/>
          <w:szCs w:val="24"/>
          <w:highlight w:val="none"/>
          <w:lang w:val="en-US" w:eastAsia="zh-CN"/>
          <w14:textFill>
            <w14:solidFill>
              <w14:schemeClr w14:val="tx1"/>
            </w14:solidFill>
          </w14:textFill>
        </w:rPr>
        <w:t>。</w:t>
      </w:r>
    </w:p>
    <w:p>
      <w:pPr>
        <w:widowControl/>
        <w:numPr>
          <w:ilvl w:val="255"/>
          <w:numId w:val="0"/>
        </w:numPr>
        <w:spacing w:line="360" w:lineRule="auto"/>
        <w:ind w:firstLine="480" w:firstLineChars="200"/>
        <w:jc w:val="left"/>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最终按实际检测工作量结算，具体</w:t>
      </w:r>
      <w:r>
        <w:rPr>
          <w:rFonts w:hint="eastAsia" w:ascii="宋体" w:hAnsi="宋体" w:eastAsia="宋体" w:cs="Times New Roman"/>
          <w:kern w:val="0"/>
          <w:sz w:val="24"/>
          <w:szCs w:val="24"/>
          <w:highlight w:val="none"/>
          <w:lang w:val="en-US" w:eastAsia="zh-CN"/>
        </w:rPr>
        <w:t>检测需求</w:t>
      </w:r>
      <w:r>
        <w:rPr>
          <w:rFonts w:hint="eastAsia" w:ascii="宋体" w:hAnsi="宋体" w:eastAsia="宋体" w:cs="Times New Roman"/>
          <w:kern w:val="0"/>
          <w:sz w:val="24"/>
          <w:szCs w:val="24"/>
          <w:highlight w:val="none"/>
        </w:rPr>
        <w:t>详见</w:t>
      </w:r>
      <w:r>
        <w:rPr>
          <w:rFonts w:hint="eastAsia" w:ascii="宋体" w:hAnsi="宋体" w:eastAsia="宋体" w:cs="Times New Roman"/>
          <w:kern w:val="0"/>
          <w:sz w:val="24"/>
          <w:szCs w:val="24"/>
          <w:highlight w:val="none"/>
          <w:lang w:val="en-US" w:eastAsia="zh-CN"/>
        </w:rPr>
        <w:t>采购需求</w:t>
      </w:r>
      <w:r>
        <w:rPr>
          <w:rFonts w:hint="eastAsia" w:ascii="宋体" w:hAnsi="宋体" w:eastAsia="宋体" w:cs="Times New Roman"/>
          <w:kern w:val="0"/>
          <w:sz w:val="24"/>
          <w:szCs w:val="24"/>
          <w:highlight w:val="none"/>
        </w:rPr>
        <w:t>。</w:t>
      </w:r>
    </w:p>
    <w:p>
      <w:pPr>
        <w:widowControl/>
        <w:numPr>
          <w:ilvl w:val="255"/>
          <w:numId w:val="0"/>
        </w:numPr>
        <w:spacing w:line="360" w:lineRule="auto"/>
        <w:ind w:firstLine="480" w:firstLineChars="200"/>
        <w:jc w:val="left"/>
        <w:rPr>
          <w:rFonts w:ascii="宋体" w:hAnsi="宋体" w:eastAsia="宋体" w:cs="Times New Roman"/>
          <w:b/>
          <w:kern w:val="0"/>
          <w:sz w:val="24"/>
          <w:szCs w:val="24"/>
          <w:highlight w:val="none"/>
          <w:u w:val="single"/>
        </w:rPr>
      </w:pPr>
      <w:r>
        <w:rPr>
          <w:rFonts w:hint="eastAsia" w:ascii="宋体" w:hAnsi="宋体" w:eastAsia="宋体" w:cs="Times New Roman"/>
          <w:kern w:val="0"/>
          <w:sz w:val="24"/>
          <w:szCs w:val="24"/>
          <w:highlight w:val="none"/>
        </w:rPr>
        <w:t>本合同约定的价格为含税价（税率</w:t>
      </w:r>
      <w:r>
        <w:rPr>
          <w:rFonts w:hint="eastAsia" w:ascii="宋体" w:hAnsi="宋体" w:eastAsia="宋体" w:cs="Times New Roman"/>
          <w:kern w:val="0"/>
          <w:sz w:val="24"/>
          <w:szCs w:val="24"/>
          <w:highlight w:val="none"/>
          <w:u w:val="single"/>
          <w:lang w:val="en-US" w:eastAsia="zh-CN"/>
        </w:rPr>
        <w:t xml:space="preserve">    </w:t>
      </w:r>
      <w:r>
        <w:rPr>
          <w:rFonts w:hint="eastAsia" w:ascii="宋体" w:hAnsi="宋体" w:eastAsia="宋体" w:cs="Times New Roman"/>
          <w:kern w:val="0"/>
          <w:sz w:val="24"/>
          <w:szCs w:val="24"/>
          <w:highlight w:val="none"/>
        </w:rPr>
        <w:t>%），合同单价在合同有效期内为不变价，乙方已经充分考虑本合同履行期间的市场风险和国家政</w:t>
      </w:r>
      <w:r>
        <w:rPr>
          <w:rFonts w:hint="eastAsia"/>
          <w:sz w:val="24"/>
          <w:szCs w:val="24"/>
          <w:highlight w:val="none"/>
        </w:rPr>
        <w:t>策性调整风险系数，并已计入报价，因此合同单价今后不因任何因素而作调整。</w:t>
      </w:r>
      <w:r>
        <w:rPr>
          <w:rFonts w:hint="eastAsia" w:ascii="宋体" w:hAnsi="宋体" w:eastAsia="宋体" w:cs="Times New Roman"/>
          <w:kern w:val="0"/>
          <w:sz w:val="24"/>
          <w:szCs w:val="24"/>
          <w:highlight w:val="none"/>
        </w:rPr>
        <w:t>合同履行期间国家税率调整或乙方开票的实际税率与前述税率不一致的，价税合计按实际税率相应调整，以开具发票时间为准。</w:t>
      </w:r>
    </w:p>
    <w:p>
      <w:pPr>
        <w:widowControl/>
        <w:numPr>
          <w:ilvl w:val="255"/>
          <w:numId w:val="0"/>
        </w:numPr>
        <w:spacing w:line="360" w:lineRule="auto"/>
        <w:ind w:firstLine="480" w:firstLineChars="200"/>
        <w:jc w:val="left"/>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2.所有的服务价格包括了取样和检测所需车辆、人员、工具、仪器、物料、运输保存、化验检测和复测、报告出具、税费（含税率</w:t>
      </w:r>
      <w:r>
        <w:rPr>
          <w:rFonts w:hint="eastAsia" w:ascii="宋体" w:hAnsi="宋体" w:eastAsia="宋体" w:cs="Times New Roman"/>
          <w:kern w:val="0"/>
          <w:sz w:val="24"/>
          <w:szCs w:val="24"/>
          <w:highlight w:val="none"/>
          <w:u w:val="single"/>
          <w:lang w:val="en-US" w:eastAsia="zh-CN"/>
        </w:rPr>
        <w:t xml:space="preserve">    </w:t>
      </w:r>
      <w:r>
        <w:rPr>
          <w:rFonts w:hint="eastAsia" w:ascii="宋体" w:hAnsi="宋体" w:eastAsia="宋体" w:cs="Times New Roman"/>
          <w:kern w:val="0"/>
          <w:sz w:val="24"/>
          <w:szCs w:val="24"/>
          <w:highlight w:val="none"/>
        </w:rPr>
        <w:t>%）等的全部费用。</w:t>
      </w:r>
    </w:p>
    <w:p>
      <w:pPr>
        <w:widowControl/>
        <w:numPr>
          <w:ilvl w:val="255"/>
          <w:numId w:val="0"/>
        </w:numPr>
        <w:spacing w:line="360" w:lineRule="auto"/>
        <w:ind w:firstLine="480" w:firstLineChars="200"/>
        <w:jc w:val="left"/>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3.乙方向甲方开具中华人民共和国增值税专用发票。</w:t>
      </w:r>
    </w:p>
    <w:p>
      <w:pPr>
        <w:widowControl/>
        <w:numPr>
          <w:ilvl w:val="255"/>
          <w:numId w:val="0"/>
        </w:numPr>
        <w:spacing w:line="360" w:lineRule="auto"/>
        <w:ind w:firstLine="480" w:firstLineChars="200"/>
        <w:jc w:val="left"/>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4.服务期满后，甲方将根按乙方检测服务工作完成情况（包括但不限于取样检测频率和次数、样品和数据数量、出具报告及时性），审定乙方服务工作量，进行验收和结算审核。</w:t>
      </w:r>
    </w:p>
    <w:p>
      <w:pPr>
        <w:widowControl/>
        <w:numPr>
          <w:ilvl w:val="255"/>
          <w:numId w:val="0"/>
        </w:numPr>
        <w:spacing w:line="360" w:lineRule="auto"/>
        <w:ind w:firstLine="482"/>
        <w:jc w:val="left"/>
        <w:rPr>
          <w:rFonts w:ascii="宋体" w:hAnsi="宋体" w:eastAsia="宋体" w:cs="Times New Roman"/>
          <w:b/>
          <w:kern w:val="0"/>
          <w:sz w:val="24"/>
          <w:szCs w:val="24"/>
          <w:highlight w:val="none"/>
        </w:rPr>
      </w:pPr>
      <w:r>
        <w:rPr>
          <w:rFonts w:hint="eastAsia" w:ascii="宋体" w:hAnsi="宋体" w:eastAsia="宋体" w:cs="Times New Roman"/>
          <w:b/>
          <w:kern w:val="0"/>
          <w:sz w:val="24"/>
          <w:szCs w:val="24"/>
          <w:highlight w:val="none"/>
        </w:rPr>
        <w:t>第四条 合同期限</w:t>
      </w:r>
    </w:p>
    <w:p>
      <w:pPr>
        <w:pStyle w:val="7"/>
        <w:spacing w:line="360" w:lineRule="auto"/>
        <w:ind w:firstLine="480" w:firstLineChars="200"/>
        <w:rPr>
          <w:rFonts w:hint="default" w:ascii="宋体" w:hAnsi="宋体" w:cs="Times New Roman" w:eastAsiaTheme="minorEastAsia"/>
          <w:bCs/>
          <w:color w:val="000000" w:themeColor="text1"/>
          <w:kern w:val="0"/>
          <w:sz w:val="24"/>
          <w:szCs w:val="24"/>
          <w:highlight w:val="none"/>
          <w:lang w:val="en-US" w:eastAsia="zh-CN"/>
          <w14:textFill>
            <w14:solidFill>
              <w14:schemeClr w14:val="tx1"/>
            </w14:solidFill>
          </w14:textFill>
        </w:rPr>
      </w:pPr>
      <w:r>
        <w:rPr>
          <w:rFonts w:hint="eastAsia" w:ascii="宋体" w:hAnsi="宋体" w:cs="Times New Roman"/>
          <w:bCs/>
          <w:color w:val="000000" w:themeColor="text1"/>
          <w:kern w:val="0"/>
          <w:sz w:val="24"/>
          <w:szCs w:val="24"/>
          <w:highlight w:val="none"/>
          <w14:textFill>
            <w14:solidFill>
              <w14:schemeClr w14:val="tx1"/>
            </w14:solidFill>
          </w14:textFill>
        </w:rPr>
        <w:t>自合同签订之日</w:t>
      </w:r>
      <w:r>
        <w:rPr>
          <w:rFonts w:hint="eastAsia" w:ascii="宋体" w:hAnsi="宋体" w:cs="Times New Roman"/>
          <w:bCs/>
          <w:color w:val="000000" w:themeColor="text1"/>
          <w:kern w:val="0"/>
          <w:sz w:val="24"/>
          <w:szCs w:val="24"/>
          <w:highlight w:val="none"/>
          <w:lang w:val="en-US" w:eastAsia="zh-CN"/>
          <w14:textFill>
            <w14:solidFill>
              <w14:schemeClr w14:val="tx1"/>
            </w14:solidFill>
          </w14:textFill>
        </w:rPr>
        <w:t>起一年。</w:t>
      </w:r>
    </w:p>
    <w:p>
      <w:pPr>
        <w:widowControl/>
        <w:numPr>
          <w:ilvl w:val="255"/>
          <w:numId w:val="0"/>
        </w:numPr>
        <w:spacing w:line="360" w:lineRule="auto"/>
        <w:ind w:firstLine="482"/>
        <w:jc w:val="left"/>
        <w:rPr>
          <w:rFonts w:ascii="宋体" w:hAnsi="宋体" w:eastAsia="宋体" w:cs="Times New Roman"/>
          <w:b/>
          <w:kern w:val="0"/>
          <w:sz w:val="24"/>
          <w:szCs w:val="24"/>
          <w:highlight w:val="none"/>
        </w:rPr>
      </w:pPr>
      <w:r>
        <w:rPr>
          <w:rFonts w:hint="eastAsia" w:ascii="宋体" w:hAnsi="宋体" w:eastAsia="宋体" w:cs="Times New Roman"/>
          <w:b/>
          <w:kern w:val="0"/>
          <w:sz w:val="24"/>
          <w:szCs w:val="24"/>
          <w:highlight w:val="none"/>
        </w:rPr>
        <w:t>第五条 支付方式</w:t>
      </w:r>
    </w:p>
    <w:p>
      <w:pPr>
        <w:adjustRightInd w:val="0"/>
        <w:snapToGrid w:val="0"/>
        <w:spacing w:line="360" w:lineRule="auto"/>
        <w:ind w:firstLine="480" w:firstLineChars="200"/>
        <w:jc w:val="left"/>
        <w:textAlignment w:val="baseline"/>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检测分析</w:t>
      </w:r>
      <w:r>
        <w:rPr>
          <w:rFonts w:hint="eastAsia" w:ascii="宋体" w:hAnsi="宋体" w:cs="宋体"/>
          <w:color w:val="000000" w:themeColor="text1"/>
          <w:sz w:val="24"/>
          <w:szCs w:val="24"/>
          <w:highlight w:val="none"/>
          <w14:textFill>
            <w14:solidFill>
              <w14:schemeClr w14:val="tx1"/>
            </w14:solidFill>
          </w14:textFill>
        </w:rPr>
        <w:t>费由甲方分</w:t>
      </w:r>
      <w:r>
        <w:rPr>
          <w:rFonts w:hint="eastAsia" w:ascii="宋体" w:hAnsi="宋体" w:cs="宋体"/>
          <w:color w:val="000000" w:themeColor="text1"/>
          <w:sz w:val="24"/>
          <w:szCs w:val="24"/>
          <w:highlight w:val="none"/>
          <w:lang w:val="en-US" w:eastAsia="zh-CN"/>
          <w14:textFill>
            <w14:solidFill>
              <w14:schemeClr w14:val="tx1"/>
            </w14:solidFill>
          </w14:textFill>
        </w:rPr>
        <w:t>四</w:t>
      </w:r>
      <w:r>
        <w:rPr>
          <w:rFonts w:hint="eastAsia" w:ascii="宋体" w:hAnsi="宋体" w:cs="宋体"/>
          <w:color w:val="000000" w:themeColor="text1"/>
          <w:sz w:val="24"/>
          <w:szCs w:val="24"/>
          <w:highlight w:val="none"/>
          <w14:textFill>
            <w14:solidFill>
              <w14:schemeClr w14:val="tx1"/>
            </w14:solidFill>
          </w14:textFill>
        </w:rPr>
        <w:t>期支付给乙方，具体支付方式和时间如下：</w:t>
      </w:r>
    </w:p>
    <w:p>
      <w:pPr>
        <w:pStyle w:val="21"/>
        <w:ind w:firstLine="480" w:firstLineChars="200"/>
        <w:rPr>
          <w:rFonts w:hint="eastAsia" w:cs="宋体" w:eastAsiaTheme="minorEastAsia"/>
          <w:color w:val="000000" w:themeColor="text1"/>
          <w:kern w:val="2"/>
          <w:highlight w:val="none"/>
          <w:lang w:eastAsia="zh-CN"/>
          <w14:textFill>
            <w14:solidFill>
              <w14:schemeClr w14:val="tx1"/>
            </w14:solidFill>
          </w14:textFill>
        </w:rPr>
      </w:pPr>
      <w:r>
        <w:rPr>
          <w:rFonts w:hint="eastAsia" w:cs="宋体" w:eastAsiaTheme="minorEastAsia"/>
          <w:color w:val="000000" w:themeColor="text1"/>
          <w:kern w:val="2"/>
          <w:highlight w:val="none"/>
          <w14:textFill>
            <w14:solidFill>
              <w14:schemeClr w14:val="tx1"/>
            </w14:solidFill>
          </w14:textFill>
        </w:rPr>
        <w:t>第一期：</w:t>
      </w:r>
      <w:r>
        <w:rPr>
          <w:rFonts w:hint="eastAsia" w:cs="宋体" w:eastAsiaTheme="minorEastAsia"/>
          <w:color w:val="000000" w:themeColor="text1"/>
          <w:kern w:val="2"/>
          <w:highlight w:val="none"/>
          <w:lang w:val="en-US" w:eastAsia="zh-CN"/>
          <w14:textFill>
            <w14:solidFill>
              <w14:schemeClr w14:val="tx1"/>
            </w14:solidFill>
          </w14:textFill>
        </w:rPr>
        <w:t>2023年4月，</w:t>
      </w:r>
      <w:r>
        <w:rPr>
          <w:rFonts w:hint="eastAsia" w:cs="宋体" w:eastAsiaTheme="minorEastAsia"/>
          <w:color w:val="000000" w:themeColor="text1"/>
          <w:kern w:val="2"/>
          <w:highlight w:val="none"/>
          <w:lang w:eastAsia="zh-CN"/>
          <w14:textFill>
            <w14:solidFill>
              <w14:schemeClr w14:val="tx1"/>
            </w14:solidFill>
          </w14:textFill>
        </w:rPr>
        <w:t>第一季度检测完后，乙方向甲方提出支付申请，如乙方</w:t>
      </w:r>
      <w:r>
        <w:rPr>
          <w:rFonts w:hint="eastAsia" w:cs="宋体" w:eastAsiaTheme="minorEastAsia"/>
          <w:color w:val="000000" w:themeColor="text1"/>
          <w:kern w:val="2"/>
          <w:highlight w:val="none"/>
          <w14:textFill>
            <w14:solidFill>
              <w14:schemeClr w14:val="tx1"/>
            </w14:solidFill>
          </w14:textFill>
        </w:rPr>
        <w:t>实际检测服务工作量</w:t>
      </w:r>
      <w:r>
        <w:rPr>
          <w:rFonts w:hint="eastAsia" w:cs="宋体" w:eastAsiaTheme="minorEastAsia"/>
          <w:color w:val="000000" w:themeColor="text1"/>
          <w:kern w:val="2"/>
          <w:highlight w:val="none"/>
          <w:lang w:eastAsia="zh-CN"/>
          <w14:textFill>
            <w14:solidFill>
              <w14:schemeClr w14:val="tx1"/>
            </w14:solidFill>
          </w14:textFill>
        </w:rPr>
        <w:t>未超出合同</w:t>
      </w:r>
      <w:r>
        <w:rPr>
          <w:rFonts w:hint="eastAsia" w:ascii="宋体" w:hAnsi="宋体" w:cs="宋体" w:eastAsiaTheme="minorEastAsia"/>
          <w:color w:val="000000" w:themeColor="text1"/>
          <w:kern w:val="2"/>
          <w:sz w:val="24"/>
          <w:szCs w:val="24"/>
          <w:highlight w:val="none"/>
          <w:lang w:val="en-US" w:eastAsia="zh-CN"/>
          <w14:textFill>
            <w14:solidFill>
              <w14:schemeClr w14:val="tx1"/>
            </w14:solidFill>
          </w14:textFill>
        </w:rPr>
        <w:t>检测分析</w:t>
      </w:r>
      <w:r>
        <w:rPr>
          <w:rFonts w:hint="eastAsia" w:cs="宋体" w:eastAsiaTheme="minorEastAsia"/>
          <w:color w:val="000000" w:themeColor="text1"/>
          <w:kern w:val="2"/>
          <w:highlight w:val="none"/>
          <w:lang w:eastAsia="zh-CN"/>
          <w14:textFill>
            <w14:solidFill>
              <w14:schemeClr w14:val="tx1"/>
            </w14:solidFill>
          </w14:textFill>
        </w:rPr>
        <w:t>费用的</w:t>
      </w:r>
      <w:r>
        <w:rPr>
          <w:rFonts w:hint="eastAsia" w:cs="宋体" w:eastAsiaTheme="minorEastAsia"/>
          <w:color w:val="000000" w:themeColor="text1"/>
          <w:kern w:val="2"/>
          <w:highlight w:val="none"/>
          <w:lang w:val="en-US" w:eastAsia="zh-CN"/>
          <w14:textFill>
            <w14:solidFill>
              <w14:schemeClr w14:val="tx1"/>
            </w14:solidFill>
          </w14:textFill>
        </w:rPr>
        <w:t>1/4，甲方</w:t>
      </w:r>
      <w:r>
        <w:rPr>
          <w:rFonts w:hint="eastAsia" w:cs="宋体" w:eastAsiaTheme="minorEastAsia"/>
          <w:color w:val="000000" w:themeColor="text1"/>
          <w:kern w:val="2"/>
          <w:highlight w:val="none"/>
          <w:lang w:eastAsia="zh-CN"/>
          <w14:textFill>
            <w14:solidFill>
              <w14:schemeClr w14:val="tx1"/>
            </w14:solidFill>
          </w14:textFill>
        </w:rPr>
        <w:t>支付至已完成检测服务工作当季费用，如工作量超出合同</w:t>
      </w:r>
      <w:r>
        <w:rPr>
          <w:rFonts w:hint="eastAsia" w:ascii="宋体" w:hAnsi="宋体" w:cs="宋体" w:eastAsiaTheme="minorEastAsia"/>
          <w:color w:val="000000" w:themeColor="text1"/>
          <w:kern w:val="2"/>
          <w:sz w:val="24"/>
          <w:szCs w:val="24"/>
          <w:highlight w:val="none"/>
          <w:lang w:val="en-US" w:eastAsia="zh-CN"/>
          <w14:textFill>
            <w14:solidFill>
              <w14:schemeClr w14:val="tx1"/>
            </w14:solidFill>
          </w14:textFill>
        </w:rPr>
        <w:t>检测分析</w:t>
      </w:r>
      <w:r>
        <w:rPr>
          <w:rFonts w:hint="eastAsia" w:cs="宋体" w:eastAsiaTheme="minorEastAsia"/>
          <w:color w:val="000000" w:themeColor="text1"/>
          <w:kern w:val="2"/>
          <w:highlight w:val="none"/>
          <w:lang w:eastAsia="zh-CN"/>
          <w14:textFill>
            <w14:solidFill>
              <w14:schemeClr w14:val="tx1"/>
            </w14:solidFill>
          </w14:textFill>
        </w:rPr>
        <w:t>费用的</w:t>
      </w:r>
      <w:r>
        <w:rPr>
          <w:rFonts w:hint="eastAsia" w:cs="宋体" w:eastAsiaTheme="minorEastAsia"/>
          <w:color w:val="000000" w:themeColor="text1"/>
          <w:kern w:val="2"/>
          <w:highlight w:val="none"/>
          <w:lang w:val="en-US" w:eastAsia="zh-CN"/>
          <w14:textFill>
            <w14:solidFill>
              <w14:schemeClr w14:val="tx1"/>
            </w14:solidFill>
          </w14:textFill>
        </w:rPr>
        <w:t>1/4</w:t>
      </w:r>
      <w:r>
        <w:rPr>
          <w:rFonts w:hint="eastAsia" w:cs="宋体" w:eastAsiaTheme="minorEastAsia"/>
          <w:color w:val="000000" w:themeColor="text1"/>
          <w:kern w:val="2"/>
          <w:highlight w:val="none"/>
          <w:lang w:eastAsia="zh-CN"/>
          <w14:textFill>
            <w14:solidFill>
              <w14:schemeClr w14:val="tx1"/>
            </w14:solidFill>
          </w14:textFill>
        </w:rPr>
        <w:t>，甲方向乙方支付合同</w:t>
      </w:r>
      <w:r>
        <w:rPr>
          <w:rFonts w:hint="eastAsia" w:ascii="宋体" w:hAnsi="宋体" w:cs="宋体" w:eastAsiaTheme="minorEastAsia"/>
          <w:color w:val="000000" w:themeColor="text1"/>
          <w:kern w:val="2"/>
          <w:sz w:val="24"/>
          <w:szCs w:val="24"/>
          <w:highlight w:val="none"/>
          <w:lang w:val="en-US" w:eastAsia="zh-CN"/>
          <w14:textFill>
            <w14:solidFill>
              <w14:schemeClr w14:val="tx1"/>
            </w14:solidFill>
          </w14:textFill>
        </w:rPr>
        <w:t>检测分析</w:t>
      </w:r>
      <w:r>
        <w:rPr>
          <w:rFonts w:hint="eastAsia" w:cs="宋体" w:eastAsiaTheme="minorEastAsia"/>
          <w:color w:val="000000" w:themeColor="text1"/>
          <w:kern w:val="2"/>
          <w:highlight w:val="none"/>
          <w:lang w:eastAsia="zh-CN"/>
          <w14:textFill>
            <w14:solidFill>
              <w14:schemeClr w14:val="tx1"/>
            </w14:solidFill>
          </w14:textFill>
        </w:rPr>
        <w:t>费用的</w:t>
      </w:r>
      <w:r>
        <w:rPr>
          <w:rFonts w:hint="eastAsia" w:cs="宋体" w:eastAsiaTheme="minorEastAsia"/>
          <w:color w:val="000000" w:themeColor="text1"/>
          <w:kern w:val="2"/>
          <w:highlight w:val="none"/>
          <w:lang w:val="en-US" w:eastAsia="zh-CN"/>
          <w14:textFill>
            <w14:solidFill>
              <w14:schemeClr w14:val="tx1"/>
            </w14:solidFill>
          </w14:textFill>
        </w:rPr>
        <w:t>1/4</w:t>
      </w:r>
      <w:r>
        <w:rPr>
          <w:rFonts w:hint="eastAsia" w:cs="宋体" w:eastAsiaTheme="minorEastAsia"/>
          <w:color w:val="000000" w:themeColor="text1"/>
          <w:kern w:val="2"/>
          <w:highlight w:val="none"/>
          <w:lang w:eastAsia="zh-CN"/>
          <w14:textFill>
            <w14:solidFill>
              <w14:schemeClr w14:val="tx1"/>
            </w14:solidFill>
          </w14:textFill>
        </w:rPr>
        <w:t>。</w:t>
      </w:r>
    </w:p>
    <w:p>
      <w:pPr>
        <w:pStyle w:val="21"/>
        <w:ind w:firstLine="480" w:firstLineChars="200"/>
        <w:rPr>
          <w:rFonts w:hint="eastAsia" w:cs="宋体" w:eastAsiaTheme="minorEastAsia"/>
          <w:color w:val="000000" w:themeColor="text1"/>
          <w:kern w:val="2"/>
          <w:highlight w:val="none"/>
          <w:lang w:eastAsia="zh-CN"/>
          <w14:textFill>
            <w14:solidFill>
              <w14:schemeClr w14:val="tx1"/>
            </w14:solidFill>
          </w14:textFill>
        </w:rPr>
      </w:pPr>
      <w:r>
        <w:rPr>
          <w:rFonts w:hint="eastAsia" w:cs="宋体" w:eastAsiaTheme="minorEastAsia"/>
          <w:color w:val="000000" w:themeColor="text1"/>
          <w:kern w:val="2"/>
          <w:highlight w:val="none"/>
          <w:lang w:eastAsia="zh-CN"/>
          <w14:textFill>
            <w14:solidFill>
              <w14:schemeClr w14:val="tx1"/>
            </w14:solidFill>
          </w14:textFill>
        </w:rPr>
        <w:t>第二期：</w:t>
      </w:r>
      <w:r>
        <w:rPr>
          <w:rFonts w:hint="eastAsia" w:cs="宋体" w:eastAsiaTheme="minorEastAsia"/>
          <w:color w:val="000000" w:themeColor="text1"/>
          <w:kern w:val="2"/>
          <w:highlight w:val="none"/>
          <w:lang w:val="en-US" w:eastAsia="zh-CN"/>
          <w14:textFill>
            <w14:solidFill>
              <w14:schemeClr w14:val="tx1"/>
            </w14:solidFill>
          </w14:textFill>
        </w:rPr>
        <w:t>2023年7月，</w:t>
      </w:r>
      <w:r>
        <w:rPr>
          <w:rFonts w:hint="eastAsia" w:cs="宋体" w:eastAsiaTheme="minorEastAsia"/>
          <w:color w:val="000000" w:themeColor="text1"/>
          <w:kern w:val="2"/>
          <w:highlight w:val="none"/>
          <w:lang w:eastAsia="zh-CN"/>
          <w14:textFill>
            <w14:solidFill>
              <w14:schemeClr w14:val="tx1"/>
            </w14:solidFill>
          </w14:textFill>
        </w:rPr>
        <w:t>第二季度检测完后，乙方向甲方提出支付申请，如乙方</w:t>
      </w:r>
      <w:r>
        <w:rPr>
          <w:rFonts w:hint="eastAsia" w:cs="宋体" w:eastAsiaTheme="minorEastAsia"/>
          <w:color w:val="000000" w:themeColor="text1"/>
          <w:kern w:val="2"/>
          <w:highlight w:val="none"/>
          <w14:textFill>
            <w14:solidFill>
              <w14:schemeClr w14:val="tx1"/>
            </w14:solidFill>
          </w14:textFill>
        </w:rPr>
        <w:t>实际检测服务工作量</w:t>
      </w:r>
      <w:r>
        <w:rPr>
          <w:rFonts w:hint="eastAsia" w:cs="宋体" w:eastAsiaTheme="minorEastAsia"/>
          <w:color w:val="000000" w:themeColor="text1"/>
          <w:kern w:val="2"/>
          <w:highlight w:val="none"/>
          <w:lang w:eastAsia="zh-CN"/>
          <w14:textFill>
            <w14:solidFill>
              <w14:schemeClr w14:val="tx1"/>
            </w14:solidFill>
          </w14:textFill>
        </w:rPr>
        <w:t>未超出合同</w:t>
      </w:r>
      <w:r>
        <w:rPr>
          <w:rFonts w:hint="eastAsia" w:ascii="宋体" w:hAnsi="宋体" w:cs="宋体" w:eastAsiaTheme="minorEastAsia"/>
          <w:color w:val="000000" w:themeColor="text1"/>
          <w:kern w:val="2"/>
          <w:sz w:val="24"/>
          <w:szCs w:val="24"/>
          <w:highlight w:val="none"/>
          <w:lang w:val="en-US" w:eastAsia="zh-CN"/>
          <w14:textFill>
            <w14:solidFill>
              <w14:schemeClr w14:val="tx1"/>
            </w14:solidFill>
          </w14:textFill>
        </w:rPr>
        <w:t>检测分析</w:t>
      </w:r>
      <w:r>
        <w:rPr>
          <w:rFonts w:hint="eastAsia" w:cs="宋体" w:eastAsiaTheme="minorEastAsia"/>
          <w:color w:val="000000" w:themeColor="text1"/>
          <w:kern w:val="2"/>
          <w:highlight w:val="none"/>
          <w:lang w:eastAsia="zh-CN"/>
          <w14:textFill>
            <w14:solidFill>
              <w14:schemeClr w14:val="tx1"/>
            </w14:solidFill>
          </w14:textFill>
        </w:rPr>
        <w:t>费用的</w:t>
      </w:r>
      <w:r>
        <w:rPr>
          <w:rFonts w:hint="eastAsia" w:cs="宋体" w:eastAsiaTheme="minorEastAsia"/>
          <w:color w:val="000000" w:themeColor="text1"/>
          <w:kern w:val="2"/>
          <w:highlight w:val="none"/>
          <w:lang w:val="en-US" w:eastAsia="zh-CN"/>
          <w14:textFill>
            <w14:solidFill>
              <w14:schemeClr w14:val="tx1"/>
            </w14:solidFill>
          </w14:textFill>
        </w:rPr>
        <w:t>1/2，甲方</w:t>
      </w:r>
      <w:r>
        <w:rPr>
          <w:rFonts w:hint="eastAsia" w:cs="宋体" w:eastAsiaTheme="minorEastAsia"/>
          <w:color w:val="000000" w:themeColor="text1"/>
          <w:kern w:val="2"/>
          <w:highlight w:val="none"/>
          <w:lang w:eastAsia="zh-CN"/>
          <w14:textFill>
            <w14:solidFill>
              <w14:schemeClr w14:val="tx1"/>
            </w14:solidFill>
          </w14:textFill>
        </w:rPr>
        <w:t>支付至已完成检测服务工作当季费用，如工作量超出合同</w:t>
      </w:r>
      <w:r>
        <w:rPr>
          <w:rFonts w:hint="eastAsia" w:ascii="宋体" w:hAnsi="宋体" w:cs="宋体" w:eastAsiaTheme="minorEastAsia"/>
          <w:color w:val="000000" w:themeColor="text1"/>
          <w:kern w:val="2"/>
          <w:sz w:val="24"/>
          <w:szCs w:val="24"/>
          <w:highlight w:val="none"/>
          <w:lang w:val="en-US" w:eastAsia="zh-CN"/>
          <w14:textFill>
            <w14:solidFill>
              <w14:schemeClr w14:val="tx1"/>
            </w14:solidFill>
          </w14:textFill>
        </w:rPr>
        <w:t>检测分析</w:t>
      </w:r>
      <w:r>
        <w:rPr>
          <w:rFonts w:hint="eastAsia" w:cs="宋体" w:eastAsiaTheme="minorEastAsia"/>
          <w:color w:val="000000" w:themeColor="text1"/>
          <w:kern w:val="2"/>
          <w:highlight w:val="none"/>
          <w:lang w:eastAsia="zh-CN"/>
          <w14:textFill>
            <w14:solidFill>
              <w14:schemeClr w14:val="tx1"/>
            </w14:solidFill>
          </w14:textFill>
        </w:rPr>
        <w:t>费用的</w:t>
      </w:r>
      <w:r>
        <w:rPr>
          <w:rFonts w:hint="eastAsia" w:cs="宋体" w:eastAsiaTheme="minorEastAsia"/>
          <w:color w:val="000000" w:themeColor="text1"/>
          <w:kern w:val="2"/>
          <w:highlight w:val="none"/>
          <w:lang w:val="en-US" w:eastAsia="zh-CN"/>
          <w14:textFill>
            <w14:solidFill>
              <w14:schemeClr w14:val="tx1"/>
            </w14:solidFill>
          </w14:textFill>
        </w:rPr>
        <w:t>1/2</w:t>
      </w:r>
      <w:r>
        <w:rPr>
          <w:rFonts w:hint="eastAsia" w:cs="宋体" w:eastAsiaTheme="minorEastAsia"/>
          <w:color w:val="000000" w:themeColor="text1"/>
          <w:kern w:val="2"/>
          <w:highlight w:val="none"/>
          <w:lang w:eastAsia="zh-CN"/>
          <w14:textFill>
            <w14:solidFill>
              <w14:schemeClr w14:val="tx1"/>
            </w14:solidFill>
          </w14:textFill>
        </w:rPr>
        <w:t>，甲方向乙方支付合同</w:t>
      </w:r>
      <w:r>
        <w:rPr>
          <w:rFonts w:hint="eastAsia" w:ascii="宋体" w:hAnsi="宋体" w:cs="宋体" w:eastAsiaTheme="minorEastAsia"/>
          <w:color w:val="000000" w:themeColor="text1"/>
          <w:kern w:val="2"/>
          <w:sz w:val="24"/>
          <w:szCs w:val="24"/>
          <w:highlight w:val="none"/>
          <w:lang w:val="en-US" w:eastAsia="zh-CN"/>
          <w14:textFill>
            <w14:solidFill>
              <w14:schemeClr w14:val="tx1"/>
            </w14:solidFill>
          </w14:textFill>
        </w:rPr>
        <w:t>检测分析</w:t>
      </w:r>
      <w:r>
        <w:rPr>
          <w:rFonts w:hint="eastAsia" w:cs="宋体" w:eastAsiaTheme="minorEastAsia"/>
          <w:color w:val="000000" w:themeColor="text1"/>
          <w:kern w:val="2"/>
          <w:highlight w:val="none"/>
          <w:lang w:eastAsia="zh-CN"/>
          <w14:textFill>
            <w14:solidFill>
              <w14:schemeClr w14:val="tx1"/>
            </w14:solidFill>
          </w14:textFill>
        </w:rPr>
        <w:t>费用的</w:t>
      </w:r>
      <w:r>
        <w:rPr>
          <w:rFonts w:hint="eastAsia" w:cs="宋体" w:eastAsiaTheme="minorEastAsia"/>
          <w:color w:val="000000" w:themeColor="text1"/>
          <w:kern w:val="2"/>
          <w:highlight w:val="none"/>
          <w:lang w:val="en-US" w:eastAsia="zh-CN"/>
          <w14:textFill>
            <w14:solidFill>
              <w14:schemeClr w14:val="tx1"/>
            </w14:solidFill>
          </w14:textFill>
        </w:rPr>
        <w:t>1/2</w:t>
      </w:r>
      <w:r>
        <w:rPr>
          <w:rFonts w:hint="eastAsia" w:cs="宋体" w:eastAsiaTheme="minorEastAsia"/>
          <w:color w:val="000000" w:themeColor="text1"/>
          <w:kern w:val="2"/>
          <w:highlight w:val="none"/>
          <w:lang w:eastAsia="zh-CN"/>
          <w14:textFill>
            <w14:solidFill>
              <w14:schemeClr w14:val="tx1"/>
            </w14:solidFill>
          </w14:textFill>
        </w:rPr>
        <w:t>。</w:t>
      </w:r>
    </w:p>
    <w:p>
      <w:pPr>
        <w:pStyle w:val="21"/>
        <w:ind w:firstLine="480" w:firstLineChars="200"/>
        <w:rPr>
          <w:rFonts w:hint="eastAsia" w:cs="宋体" w:eastAsiaTheme="minorEastAsia"/>
          <w:color w:val="000000" w:themeColor="text1"/>
          <w:kern w:val="2"/>
          <w:highlight w:val="none"/>
          <w14:textFill>
            <w14:solidFill>
              <w14:schemeClr w14:val="tx1"/>
            </w14:solidFill>
          </w14:textFill>
        </w:rPr>
      </w:pPr>
      <w:r>
        <w:rPr>
          <w:rFonts w:hint="eastAsia" w:cs="宋体" w:eastAsiaTheme="minorEastAsia"/>
          <w:color w:val="000000" w:themeColor="text1"/>
          <w:kern w:val="2"/>
          <w:highlight w:val="none"/>
          <w14:textFill>
            <w14:solidFill>
              <w14:schemeClr w14:val="tx1"/>
            </w14:solidFill>
          </w14:textFill>
        </w:rPr>
        <w:t>第</w:t>
      </w:r>
      <w:r>
        <w:rPr>
          <w:rFonts w:hint="eastAsia" w:cs="宋体" w:eastAsiaTheme="minorEastAsia"/>
          <w:color w:val="000000" w:themeColor="text1"/>
          <w:kern w:val="2"/>
          <w:highlight w:val="none"/>
          <w:lang w:eastAsia="zh-CN"/>
          <w14:textFill>
            <w14:solidFill>
              <w14:schemeClr w14:val="tx1"/>
            </w14:solidFill>
          </w14:textFill>
        </w:rPr>
        <w:t>三</w:t>
      </w:r>
      <w:r>
        <w:rPr>
          <w:rFonts w:hint="eastAsia" w:cs="宋体" w:eastAsiaTheme="minorEastAsia"/>
          <w:color w:val="000000" w:themeColor="text1"/>
          <w:kern w:val="2"/>
          <w:highlight w:val="none"/>
          <w14:textFill>
            <w14:solidFill>
              <w14:schemeClr w14:val="tx1"/>
            </w14:solidFill>
          </w14:textFill>
        </w:rPr>
        <w:t>期：</w:t>
      </w:r>
      <w:r>
        <w:rPr>
          <w:rFonts w:hint="eastAsia" w:cs="宋体" w:eastAsiaTheme="minorEastAsia"/>
          <w:color w:val="000000" w:themeColor="text1"/>
          <w:kern w:val="2"/>
          <w:highlight w:val="none"/>
          <w:lang w:val="en-US" w:eastAsia="zh-CN"/>
          <w14:textFill>
            <w14:solidFill>
              <w14:schemeClr w14:val="tx1"/>
            </w14:solidFill>
          </w14:textFill>
        </w:rPr>
        <w:t>2023年10月，</w:t>
      </w:r>
      <w:r>
        <w:rPr>
          <w:rFonts w:hint="eastAsia" w:cs="宋体" w:eastAsiaTheme="minorEastAsia"/>
          <w:color w:val="000000" w:themeColor="text1"/>
          <w:kern w:val="2"/>
          <w:highlight w:val="none"/>
          <w:lang w:eastAsia="zh-CN"/>
          <w14:textFill>
            <w14:solidFill>
              <w14:schemeClr w14:val="tx1"/>
            </w14:solidFill>
          </w14:textFill>
        </w:rPr>
        <w:t>第三季度检测完后，乙方向甲方提出支付申请，如乙方</w:t>
      </w:r>
      <w:r>
        <w:rPr>
          <w:rFonts w:hint="eastAsia" w:cs="宋体" w:eastAsiaTheme="minorEastAsia"/>
          <w:color w:val="000000" w:themeColor="text1"/>
          <w:kern w:val="2"/>
          <w:highlight w:val="none"/>
          <w14:textFill>
            <w14:solidFill>
              <w14:schemeClr w14:val="tx1"/>
            </w14:solidFill>
          </w14:textFill>
        </w:rPr>
        <w:t>实际检测服务工作量</w:t>
      </w:r>
      <w:r>
        <w:rPr>
          <w:rFonts w:hint="eastAsia" w:cs="宋体" w:eastAsiaTheme="minorEastAsia"/>
          <w:color w:val="000000" w:themeColor="text1"/>
          <w:kern w:val="2"/>
          <w:highlight w:val="none"/>
          <w:lang w:eastAsia="zh-CN"/>
          <w14:textFill>
            <w14:solidFill>
              <w14:schemeClr w14:val="tx1"/>
            </w14:solidFill>
          </w14:textFill>
        </w:rPr>
        <w:t>未超出合同</w:t>
      </w:r>
      <w:r>
        <w:rPr>
          <w:rFonts w:hint="eastAsia" w:ascii="宋体" w:hAnsi="宋体" w:cs="宋体" w:eastAsiaTheme="minorEastAsia"/>
          <w:color w:val="000000" w:themeColor="text1"/>
          <w:kern w:val="2"/>
          <w:sz w:val="24"/>
          <w:szCs w:val="24"/>
          <w:highlight w:val="none"/>
          <w:lang w:val="en-US" w:eastAsia="zh-CN"/>
          <w14:textFill>
            <w14:solidFill>
              <w14:schemeClr w14:val="tx1"/>
            </w14:solidFill>
          </w14:textFill>
        </w:rPr>
        <w:t>检测分析</w:t>
      </w:r>
      <w:r>
        <w:rPr>
          <w:rFonts w:hint="eastAsia" w:cs="宋体" w:eastAsiaTheme="minorEastAsia"/>
          <w:color w:val="000000" w:themeColor="text1"/>
          <w:kern w:val="2"/>
          <w:highlight w:val="none"/>
          <w:lang w:eastAsia="zh-CN"/>
          <w14:textFill>
            <w14:solidFill>
              <w14:schemeClr w14:val="tx1"/>
            </w14:solidFill>
          </w14:textFill>
        </w:rPr>
        <w:t>费用的</w:t>
      </w:r>
      <w:r>
        <w:rPr>
          <w:rFonts w:hint="eastAsia" w:cs="宋体" w:eastAsiaTheme="minorEastAsia"/>
          <w:color w:val="000000" w:themeColor="text1"/>
          <w:kern w:val="2"/>
          <w:highlight w:val="none"/>
          <w:lang w:val="en-US" w:eastAsia="zh-CN"/>
          <w14:textFill>
            <w14:solidFill>
              <w14:schemeClr w14:val="tx1"/>
            </w14:solidFill>
          </w14:textFill>
        </w:rPr>
        <w:t>3/4，甲方</w:t>
      </w:r>
      <w:r>
        <w:rPr>
          <w:rFonts w:hint="eastAsia" w:cs="宋体" w:eastAsiaTheme="minorEastAsia"/>
          <w:color w:val="000000" w:themeColor="text1"/>
          <w:kern w:val="2"/>
          <w:highlight w:val="none"/>
          <w:lang w:eastAsia="zh-CN"/>
          <w14:textFill>
            <w14:solidFill>
              <w14:schemeClr w14:val="tx1"/>
            </w14:solidFill>
          </w14:textFill>
        </w:rPr>
        <w:t>支付至已完成检测服务工作当季费用，如工作量超出合同</w:t>
      </w:r>
      <w:r>
        <w:rPr>
          <w:rFonts w:hint="eastAsia" w:ascii="宋体" w:hAnsi="宋体" w:cs="宋体" w:eastAsiaTheme="minorEastAsia"/>
          <w:color w:val="000000" w:themeColor="text1"/>
          <w:kern w:val="2"/>
          <w:sz w:val="24"/>
          <w:szCs w:val="24"/>
          <w:highlight w:val="none"/>
          <w:lang w:val="en-US" w:eastAsia="zh-CN"/>
          <w14:textFill>
            <w14:solidFill>
              <w14:schemeClr w14:val="tx1"/>
            </w14:solidFill>
          </w14:textFill>
        </w:rPr>
        <w:t>检测分析</w:t>
      </w:r>
      <w:r>
        <w:rPr>
          <w:rFonts w:hint="eastAsia" w:cs="宋体" w:eastAsiaTheme="minorEastAsia"/>
          <w:color w:val="000000" w:themeColor="text1"/>
          <w:kern w:val="2"/>
          <w:highlight w:val="none"/>
          <w:lang w:eastAsia="zh-CN"/>
          <w14:textFill>
            <w14:solidFill>
              <w14:schemeClr w14:val="tx1"/>
            </w14:solidFill>
          </w14:textFill>
        </w:rPr>
        <w:t>费用的</w:t>
      </w:r>
      <w:r>
        <w:rPr>
          <w:rFonts w:hint="eastAsia" w:cs="宋体" w:eastAsiaTheme="minorEastAsia"/>
          <w:color w:val="000000" w:themeColor="text1"/>
          <w:kern w:val="2"/>
          <w:highlight w:val="none"/>
          <w:lang w:val="en-US" w:eastAsia="zh-CN"/>
          <w14:textFill>
            <w14:solidFill>
              <w14:schemeClr w14:val="tx1"/>
            </w14:solidFill>
          </w14:textFill>
        </w:rPr>
        <w:t>3/4</w:t>
      </w:r>
      <w:r>
        <w:rPr>
          <w:rFonts w:hint="eastAsia" w:cs="宋体" w:eastAsiaTheme="minorEastAsia"/>
          <w:color w:val="000000" w:themeColor="text1"/>
          <w:kern w:val="2"/>
          <w:highlight w:val="none"/>
          <w:lang w:eastAsia="zh-CN"/>
          <w14:textFill>
            <w14:solidFill>
              <w14:schemeClr w14:val="tx1"/>
            </w14:solidFill>
          </w14:textFill>
        </w:rPr>
        <w:t>，甲方向乙方支付合同</w:t>
      </w:r>
      <w:r>
        <w:rPr>
          <w:rFonts w:hint="eastAsia" w:ascii="宋体" w:hAnsi="宋体" w:cs="宋体" w:eastAsiaTheme="minorEastAsia"/>
          <w:color w:val="000000" w:themeColor="text1"/>
          <w:kern w:val="2"/>
          <w:sz w:val="24"/>
          <w:szCs w:val="24"/>
          <w:highlight w:val="none"/>
          <w:lang w:val="en-US" w:eastAsia="zh-CN"/>
          <w14:textFill>
            <w14:solidFill>
              <w14:schemeClr w14:val="tx1"/>
            </w14:solidFill>
          </w14:textFill>
        </w:rPr>
        <w:t>检测分析</w:t>
      </w:r>
      <w:r>
        <w:rPr>
          <w:rFonts w:hint="eastAsia" w:cs="宋体" w:eastAsiaTheme="minorEastAsia"/>
          <w:color w:val="000000" w:themeColor="text1"/>
          <w:kern w:val="2"/>
          <w:highlight w:val="none"/>
          <w:lang w:eastAsia="zh-CN"/>
          <w14:textFill>
            <w14:solidFill>
              <w14:schemeClr w14:val="tx1"/>
            </w14:solidFill>
          </w14:textFill>
        </w:rPr>
        <w:t>费用暂定金额的</w:t>
      </w:r>
      <w:r>
        <w:rPr>
          <w:rFonts w:hint="eastAsia" w:cs="宋体" w:eastAsiaTheme="minorEastAsia"/>
          <w:color w:val="000000" w:themeColor="text1"/>
          <w:kern w:val="2"/>
          <w:highlight w:val="none"/>
          <w:lang w:val="en-US" w:eastAsia="zh-CN"/>
          <w14:textFill>
            <w14:solidFill>
              <w14:schemeClr w14:val="tx1"/>
            </w14:solidFill>
          </w14:textFill>
        </w:rPr>
        <w:t>3/4</w:t>
      </w:r>
      <w:r>
        <w:rPr>
          <w:rFonts w:hint="eastAsia" w:cs="宋体" w:eastAsiaTheme="minorEastAsia"/>
          <w:color w:val="000000" w:themeColor="text1"/>
          <w:kern w:val="2"/>
          <w:highlight w:val="none"/>
          <w14:textFill>
            <w14:solidFill>
              <w14:schemeClr w14:val="tx1"/>
            </w14:solidFill>
          </w14:textFill>
        </w:rPr>
        <w:t>。</w:t>
      </w:r>
    </w:p>
    <w:p>
      <w:pPr>
        <w:pStyle w:val="21"/>
        <w:ind w:firstLine="480" w:firstLineChars="200"/>
        <w:rPr>
          <w:rFonts w:cs="宋体" w:eastAsiaTheme="minorEastAsia"/>
          <w:color w:val="000000" w:themeColor="text1"/>
          <w:kern w:val="2"/>
          <w:highlight w:val="none"/>
          <w14:textFill>
            <w14:solidFill>
              <w14:schemeClr w14:val="tx1"/>
            </w14:solidFill>
          </w14:textFill>
        </w:rPr>
      </w:pPr>
      <w:r>
        <w:rPr>
          <w:rFonts w:hint="eastAsia" w:cs="宋体" w:eastAsiaTheme="minorEastAsia"/>
          <w:color w:val="000000" w:themeColor="text1"/>
          <w:kern w:val="2"/>
          <w:highlight w:val="none"/>
          <w14:textFill>
            <w14:solidFill>
              <w14:schemeClr w14:val="tx1"/>
            </w14:solidFill>
          </w14:textFill>
        </w:rPr>
        <w:t>第</w:t>
      </w:r>
      <w:r>
        <w:rPr>
          <w:rFonts w:hint="eastAsia" w:cs="宋体" w:eastAsiaTheme="minorEastAsia"/>
          <w:color w:val="000000" w:themeColor="text1"/>
          <w:kern w:val="2"/>
          <w:highlight w:val="none"/>
          <w:lang w:eastAsia="zh-CN"/>
          <w14:textFill>
            <w14:solidFill>
              <w14:schemeClr w14:val="tx1"/>
            </w14:solidFill>
          </w14:textFill>
        </w:rPr>
        <w:t>四</w:t>
      </w:r>
      <w:r>
        <w:rPr>
          <w:rFonts w:hint="eastAsia" w:cs="宋体" w:eastAsiaTheme="minorEastAsia"/>
          <w:color w:val="000000" w:themeColor="text1"/>
          <w:kern w:val="2"/>
          <w:highlight w:val="none"/>
          <w14:textFill>
            <w14:solidFill>
              <w14:schemeClr w14:val="tx1"/>
            </w14:solidFill>
          </w14:textFill>
        </w:rPr>
        <w:t>期：</w:t>
      </w:r>
      <w:r>
        <w:rPr>
          <w:rFonts w:hint="eastAsia" w:cs="宋体" w:eastAsiaTheme="minorEastAsia"/>
          <w:color w:val="000000" w:themeColor="text1"/>
          <w:kern w:val="2"/>
          <w:highlight w:val="none"/>
          <w:lang w:eastAsia="zh-CN"/>
          <w14:textFill>
            <w14:solidFill>
              <w14:schemeClr w14:val="tx1"/>
            </w14:solidFill>
          </w14:textFill>
        </w:rPr>
        <w:t>合同到期后</w:t>
      </w:r>
      <w:r>
        <w:rPr>
          <w:rFonts w:hint="eastAsia" w:cs="宋体" w:eastAsiaTheme="minorEastAsia"/>
          <w:color w:val="000000" w:themeColor="text1"/>
          <w:kern w:val="2"/>
          <w:highlight w:val="none"/>
          <w:lang w:val="en-US" w:eastAsia="zh-CN"/>
          <w14:textFill>
            <w14:solidFill>
              <w14:schemeClr w14:val="tx1"/>
            </w14:solidFill>
          </w14:textFill>
        </w:rPr>
        <w:t>，</w:t>
      </w:r>
      <w:r>
        <w:rPr>
          <w:rFonts w:hint="eastAsia" w:cs="宋体" w:eastAsiaTheme="minorEastAsia"/>
          <w:color w:val="000000" w:themeColor="text1"/>
          <w:kern w:val="2"/>
          <w:highlight w:val="none"/>
          <w:lang w:eastAsia="zh-CN"/>
          <w14:textFill>
            <w14:solidFill>
              <w14:schemeClr w14:val="tx1"/>
            </w14:solidFill>
          </w14:textFill>
        </w:rPr>
        <w:t>完成全部检测工作，乙方向甲方提出支付申请，如乙方</w:t>
      </w:r>
      <w:r>
        <w:rPr>
          <w:rFonts w:hint="eastAsia" w:cs="宋体" w:eastAsiaTheme="minorEastAsia"/>
          <w:color w:val="000000" w:themeColor="text1"/>
          <w:kern w:val="2"/>
          <w:highlight w:val="none"/>
          <w14:textFill>
            <w14:solidFill>
              <w14:schemeClr w14:val="tx1"/>
            </w14:solidFill>
          </w14:textFill>
        </w:rPr>
        <w:t>实际检测服务工作量</w:t>
      </w:r>
      <w:r>
        <w:rPr>
          <w:rFonts w:hint="eastAsia" w:cs="宋体" w:eastAsiaTheme="minorEastAsia"/>
          <w:color w:val="000000" w:themeColor="text1"/>
          <w:kern w:val="2"/>
          <w:highlight w:val="none"/>
          <w:lang w:eastAsia="zh-CN"/>
          <w14:textFill>
            <w14:solidFill>
              <w14:schemeClr w14:val="tx1"/>
            </w14:solidFill>
          </w14:textFill>
        </w:rPr>
        <w:t>未超出合同</w:t>
      </w:r>
      <w:r>
        <w:rPr>
          <w:rFonts w:hint="eastAsia" w:ascii="宋体" w:hAnsi="宋体" w:cs="宋体" w:eastAsiaTheme="minorEastAsia"/>
          <w:color w:val="000000" w:themeColor="text1"/>
          <w:kern w:val="2"/>
          <w:sz w:val="24"/>
          <w:szCs w:val="24"/>
          <w:highlight w:val="none"/>
          <w:lang w:val="en-US" w:eastAsia="zh-CN"/>
          <w14:textFill>
            <w14:solidFill>
              <w14:schemeClr w14:val="tx1"/>
            </w14:solidFill>
          </w14:textFill>
        </w:rPr>
        <w:t>检测分析</w:t>
      </w:r>
      <w:r>
        <w:rPr>
          <w:rFonts w:hint="eastAsia" w:cs="宋体" w:eastAsiaTheme="minorEastAsia"/>
          <w:color w:val="000000" w:themeColor="text1"/>
          <w:kern w:val="2"/>
          <w:highlight w:val="none"/>
          <w:lang w:eastAsia="zh-CN"/>
          <w14:textFill>
            <w14:solidFill>
              <w14:schemeClr w14:val="tx1"/>
            </w14:solidFill>
          </w14:textFill>
        </w:rPr>
        <w:t>费用</w:t>
      </w:r>
      <w:r>
        <w:rPr>
          <w:rFonts w:hint="eastAsia" w:cs="宋体" w:eastAsiaTheme="minorEastAsia"/>
          <w:color w:val="000000" w:themeColor="text1"/>
          <w:kern w:val="2"/>
          <w:highlight w:val="none"/>
          <w:lang w:val="en-US" w:eastAsia="zh-CN"/>
          <w14:textFill>
            <w14:solidFill>
              <w14:schemeClr w14:val="tx1"/>
            </w14:solidFill>
          </w14:textFill>
        </w:rPr>
        <w:t>，甲方</w:t>
      </w:r>
      <w:r>
        <w:rPr>
          <w:rFonts w:hint="eastAsia" w:cs="宋体" w:eastAsiaTheme="minorEastAsia"/>
          <w:color w:val="000000" w:themeColor="text1"/>
          <w:kern w:val="2"/>
          <w:highlight w:val="none"/>
          <w:lang w:eastAsia="zh-CN"/>
          <w14:textFill>
            <w14:solidFill>
              <w14:schemeClr w14:val="tx1"/>
            </w14:solidFill>
          </w14:textFill>
        </w:rPr>
        <w:t>支付至已完成检测服务工作费用，如工作量超出合同</w:t>
      </w:r>
      <w:r>
        <w:rPr>
          <w:rFonts w:hint="eastAsia" w:ascii="宋体" w:hAnsi="宋体" w:cs="宋体" w:eastAsiaTheme="minorEastAsia"/>
          <w:color w:val="000000" w:themeColor="text1"/>
          <w:kern w:val="2"/>
          <w:sz w:val="24"/>
          <w:szCs w:val="24"/>
          <w:highlight w:val="none"/>
          <w:lang w:val="en-US" w:eastAsia="zh-CN"/>
          <w14:textFill>
            <w14:solidFill>
              <w14:schemeClr w14:val="tx1"/>
            </w14:solidFill>
          </w14:textFill>
        </w:rPr>
        <w:t>检测分析</w:t>
      </w:r>
      <w:r>
        <w:rPr>
          <w:rFonts w:hint="eastAsia" w:cs="宋体" w:eastAsiaTheme="minorEastAsia"/>
          <w:color w:val="000000" w:themeColor="text1"/>
          <w:kern w:val="2"/>
          <w:highlight w:val="none"/>
          <w:lang w:eastAsia="zh-CN"/>
          <w14:textFill>
            <w14:solidFill>
              <w14:schemeClr w14:val="tx1"/>
            </w14:solidFill>
          </w14:textFill>
        </w:rPr>
        <w:t>费用暂定金额的，甲方向乙方支付合同</w:t>
      </w:r>
      <w:r>
        <w:rPr>
          <w:rFonts w:hint="eastAsia" w:ascii="宋体" w:hAnsi="宋体" w:cs="宋体" w:eastAsiaTheme="minorEastAsia"/>
          <w:color w:val="000000" w:themeColor="text1"/>
          <w:kern w:val="2"/>
          <w:sz w:val="24"/>
          <w:szCs w:val="24"/>
          <w:highlight w:val="none"/>
          <w:lang w:val="en-US" w:eastAsia="zh-CN"/>
          <w14:textFill>
            <w14:solidFill>
              <w14:schemeClr w14:val="tx1"/>
            </w14:solidFill>
          </w14:textFill>
        </w:rPr>
        <w:t>检测分析</w:t>
      </w:r>
      <w:r>
        <w:rPr>
          <w:rFonts w:hint="eastAsia" w:cs="宋体" w:eastAsiaTheme="minorEastAsia"/>
          <w:color w:val="000000" w:themeColor="text1"/>
          <w:kern w:val="2"/>
          <w:highlight w:val="none"/>
          <w:lang w:eastAsia="zh-CN"/>
          <w14:textFill>
            <w14:solidFill>
              <w14:schemeClr w14:val="tx1"/>
            </w14:solidFill>
          </w14:textFill>
        </w:rPr>
        <w:t>费用暂定金额</w:t>
      </w:r>
      <w:r>
        <w:rPr>
          <w:rFonts w:hint="eastAsia" w:cs="宋体" w:eastAsiaTheme="minorEastAsia"/>
          <w:color w:val="000000" w:themeColor="text1"/>
          <w:kern w:val="2"/>
          <w:highlight w:val="none"/>
          <w14:textFill>
            <w14:solidFill>
              <w14:schemeClr w14:val="tx1"/>
            </w14:solidFill>
          </w14:textFill>
        </w:rPr>
        <w:t>。</w:t>
      </w:r>
    </w:p>
    <w:p>
      <w:pPr>
        <w:pStyle w:val="57"/>
        <w:adjustRightInd w:val="0"/>
        <w:snapToGrid w:val="0"/>
        <w:spacing w:line="360" w:lineRule="auto"/>
        <w:ind w:firstLine="480" w:firstLineChars="200"/>
        <w:jc w:val="both"/>
        <w:rPr>
          <w:spacing w:val="0"/>
          <w:szCs w:val="24"/>
          <w:highlight w:val="none"/>
        </w:rPr>
      </w:pPr>
      <w:r>
        <w:rPr>
          <w:rFonts w:hint="eastAsia"/>
          <w:spacing w:val="0"/>
          <w:szCs w:val="24"/>
          <w:highlight w:val="none"/>
          <w:lang w:val="en-US" w:eastAsia="zh-CN"/>
        </w:rPr>
        <w:t>2</w:t>
      </w:r>
      <w:r>
        <w:rPr>
          <w:rFonts w:hint="eastAsia"/>
          <w:spacing w:val="0"/>
          <w:szCs w:val="24"/>
          <w:highlight w:val="none"/>
        </w:rPr>
        <w:t>、付款资料：</w:t>
      </w:r>
    </w:p>
    <w:p>
      <w:pPr>
        <w:pStyle w:val="57"/>
        <w:adjustRightInd w:val="0"/>
        <w:snapToGrid w:val="0"/>
        <w:spacing w:line="360" w:lineRule="auto"/>
        <w:ind w:firstLine="480" w:firstLineChars="200"/>
        <w:jc w:val="both"/>
        <w:rPr>
          <w:spacing w:val="0"/>
          <w:szCs w:val="24"/>
          <w:highlight w:val="none"/>
        </w:rPr>
      </w:pPr>
      <w:r>
        <w:rPr>
          <w:rFonts w:hint="eastAsia"/>
          <w:spacing w:val="0"/>
          <w:szCs w:val="24"/>
          <w:highlight w:val="none"/>
        </w:rPr>
        <w:t>乙方确认工作量与结算金额后，向甲方出具请款报告、发票等资料至甲方作为付款资料。甲方确认工作量和结算金额无误后，向乙方支付服务费。</w:t>
      </w:r>
    </w:p>
    <w:p>
      <w:pPr>
        <w:pStyle w:val="57"/>
        <w:adjustRightInd w:val="0"/>
        <w:snapToGrid w:val="0"/>
        <w:spacing w:line="360" w:lineRule="auto"/>
        <w:ind w:firstLine="520" w:firstLineChars="200"/>
        <w:jc w:val="both"/>
        <w:rPr>
          <w:spacing w:val="0"/>
          <w:szCs w:val="24"/>
          <w:highlight w:val="none"/>
        </w:rPr>
      </w:pPr>
      <w:r>
        <w:rPr>
          <w:rFonts w:hint="eastAsia" w:ascii="Times New Roman" w:hAnsi="Times New Roman" w:cs="Times New Roman"/>
          <w:szCs w:val="24"/>
          <w:highlight w:val="none"/>
        </w:rPr>
        <w:t>4</w:t>
      </w:r>
      <w:r>
        <w:rPr>
          <w:rFonts w:hint="eastAsia"/>
          <w:spacing w:val="0"/>
          <w:szCs w:val="24"/>
          <w:highlight w:val="none"/>
        </w:rPr>
        <w:t>、乙方在收款前需</w:t>
      </w:r>
      <w:r>
        <w:rPr>
          <w:spacing w:val="0"/>
          <w:szCs w:val="24"/>
          <w:highlight w:val="none"/>
        </w:rPr>
        <w:t>开具</w:t>
      </w:r>
      <w:r>
        <w:rPr>
          <w:rFonts w:hint="eastAsia"/>
          <w:spacing w:val="0"/>
          <w:szCs w:val="24"/>
          <w:highlight w:val="none"/>
        </w:rPr>
        <w:t>等额增值税专用发票</w:t>
      </w:r>
      <w:r>
        <w:rPr>
          <w:spacing w:val="0"/>
          <w:szCs w:val="24"/>
          <w:highlight w:val="none"/>
        </w:rPr>
        <w:t>。</w:t>
      </w:r>
    </w:p>
    <w:p>
      <w:pPr>
        <w:adjustRightInd w:val="0"/>
        <w:snapToGrid w:val="0"/>
        <w:spacing w:line="360" w:lineRule="auto"/>
        <w:ind w:firstLine="480" w:firstLineChars="200"/>
        <w:rPr>
          <w:sz w:val="24"/>
          <w:szCs w:val="24"/>
          <w:highlight w:val="none"/>
        </w:rPr>
      </w:pPr>
      <w:r>
        <w:rPr>
          <w:sz w:val="24"/>
          <w:szCs w:val="24"/>
          <w:highlight w:val="none"/>
        </w:rPr>
        <w:t>付款方式：</w:t>
      </w:r>
      <w:r>
        <w:rPr>
          <w:rFonts w:hint="eastAsia"/>
          <w:sz w:val="24"/>
          <w:szCs w:val="24"/>
          <w:highlight w:val="none"/>
        </w:rPr>
        <w:t>网银转账</w:t>
      </w:r>
      <w:r>
        <w:rPr>
          <w:sz w:val="24"/>
          <w:szCs w:val="24"/>
          <w:highlight w:val="none"/>
        </w:rPr>
        <w:t>。</w:t>
      </w:r>
    </w:p>
    <w:p>
      <w:pPr>
        <w:adjustRightInd w:val="0"/>
        <w:snapToGrid w:val="0"/>
        <w:spacing w:line="360" w:lineRule="auto"/>
        <w:ind w:firstLine="480" w:firstLineChars="200"/>
        <w:rPr>
          <w:sz w:val="24"/>
          <w:szCs w:val="24"/>
          <w:highlight w:val="none"/>
        </w:rPr>
      </w:pPr>
      <w:r>
        <w:rPr>
          <w:rFonts w:hint="eastAsia"/>
          <w:sz w:val="24"/>
          <w:szCs w:val="24"/>
          <w:highlight w:val="none"/>
        </w:rPr>
        <w:t>付款单位：广州市净水有限公司</w:t>
      </w:r>
    </w:p>
    <w:p>
      <w:pPr>
        <w:pStyle w:val="57"/>
        <w:snapToGrid w:val="0"/>
        <w:spacing w:line="360" w:lineRule="auto"/>
        <w:ind w:firstLine="520" w:firstLineChars="200"/>
        <w:jc w:val="both"/>
        <w:rPr>
          <w:szCs w:val="24"/>
          <w:highlight w:val="none"/>
        </w:rPr>
      </w:pPr>
      <w:r>
        <w:rPr>
          <w:rFonts w:hint="eastAsia"/>
          <w:szCs w:val="24"/>
          <w:highlight w:val="none"/>
        </w:rPr>
        <w:t>乙方在收款前需提交相应金额的增值税专用发票给甲方。</w:t>
      </w:r>
    </w:p>
    <w:p>
      <w:pPr>
        <w:snapToGrid w:val="0"/>
        <w:spacing w:line="360" w:lineRule="auto"/>
        <w:ind w:firstLine="480" w:firstLineChars="200"/>
        <w:rPr>
          <w:sz w:val="24"/>
          <w:szCs w:val="24"/>
          <w:highlight w:val="none"/>
        </w:rPr>
      </w:pPr>
      <w:r>
        <w:rPr>
          <w:rFonts w:hint="eastAsia"/>
          <w:sz w:val="24"/>
          <w:szCs w:val="24"/>
          <w:highlight w:val="none"/>
        </w:rPr>
        <w:t>甲方开票资料</w:t>
      </w:r>
    </w:p>
    <w:p>
      <w:pPr>
        <w:snapToGrid w:val="0"/>
        <w:spacing w:line="360" w:lineRule="auto"/>
        <w:ind w:firstLine="480" w:firstLineChars="200"/>
        <w:rPr>
          <w:rFonts w:ascii="宋体" w:hAnsi="宋体" w:cs="宋体"/>
          <w:sz w:val="24"/>
          <w:szCs w:val="24"/>
          <w:highlight w:val="none"/>
        </w:rPr>
      </w:pPr>
      <w:r>
        <w:rPr>
          <w:rFonts w:hint="eastAsia"/>
          <w:sz w:val="24"/>
          <w:szCs w:val="24"/>
          <w:highlight w:val="none"/>
        </w:rPr>
        <w:t>单位名称</w:t>
      </w:r>
      <w:r>
        <w:rPr>
          <w:rFonts w:hint="eastAsia" w:ascii="宋体" w:hAnsi="宋体" w:cs="宋体"/>
          <w:sz w:val="24"/>
          <w:szCs w:val="24"/>
          <w:highlight w:val="none"/>
        </w:rPr>
        <w:t>：广州市净水有限公司</w:t>
      </w:r>
    </w:p>
    <w:p>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税号：</w:t>
      </w:r>
      <w:r>
        <w:rPr>
          <w:rFonts w:ascii="宋体" w:hAnsi="宋体" w:cs="宋体"/>
          <w:sz w:val="24"/>
          <w:szCs w:val="24"/>
          <w:highlight w:val="none"/>
          <w:u w:val="single"/>
        </w:rPr>
        <w:t>91440101755584729Q</w:t>
      </w:r>
    </w:p>
    <w:p>
      <w:pPr>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地址及电话：</w:t>
      </w:r>
      <w:r>
        <w:rPr>
          <w:rFonts w:hint="eastAsia" w:ascii="宋体" w:hAnsi="宋体" w:eastAsia="宋体" w:cs="宋体"/>
          <w:sz w:val="24"/>
          <w:szCs w:val="24"/>
          <w:highlight w:val="none"/>
          <w:u w:val="single"/>
        </w:rPr>
        <w:t>广州市天河区临江大道501号 020-38890283</w:t>
      </w:r>
      <w:r>
        <w:rPr>
          <w:rFonts w:hint="eastAsia" w:ascii="宋体" w:hAnsi="宋体" w:eastAsia="宋体" w:cs="宋体"/>
          <w:sz w:val="24"/>
          <w:szCs w:val="24"/>
          <w:highlight w:val="none"/>
        </w:rPr>
        <w:t>；</w:t>
      </w:r>
    </w:p>
    <w:p>
      <w:pPr>
        <w:snapToGrid w:val="0"/>
        <w:spacing w:line="360" w:lineRule="auto"/>
        <w:ind w:firstLine="480" w:firstLineChars="200"/>
        <w:rPr>
          <w:rFonts w:ascii="宋体" w:hAnsi="宋体" w:cs="宋体"/>
          <w:sz w:val="24"/>
          <w:szCs w:val="24"/>
          <w:highlight w:val="none"/>
        </w:rPr>
      </w:pPr>
      <w:r>
        <w:rPr>
          <w:rFonts w:hint="eastAsia" w:ascii="宋体" w:hAnsi="宋体" w:eastAsia="宋体" w:cs="宋体"/>
          <w:sz w:val="24"/>
          <w:szCs w:val="24"/>
          <w:highlight w:val="none"/>
        </w:rPr>
        <w:t>开户行/账号：</w:t>
      </w:r>
      <w:r>
        <w:rPr>
          <w:rFonts w:hint="eastAsia" w:ascii="宋体" w:hAnsi="宋体" w:eastAsia="宋体" w:cs="宋体"/>
          <w:sz w:val="24"/>
          <w:szCs w:val="24"/>
          <w:highlight w:val="none"/>
          <w:u w:val="single"/>
        </w:rPr>
        <w:t>民生银行广州分行0301014140006932</w:t>
      </w:r>
      <w:r>
        <w:rPr>
          <w:rFonts w:hint="eastAsia" w:ascii="宋体" w:hAnsi="宋体" w:eastAsia="宋体" w:cs="宋体"/>
          <w:sz w:val="24"/>
          <w:szCs w:val="24"/>
          <w:highlight w:val="none"/>
        </w:rPr>
        <w:t>。</w:t>
      </w:r>
    </w:p>
    <w:p>
      <w:pPr>
        <w:widowControl/>
        <w:snapToGrid w:val="0"/>
        <w:spacing w:line="360" w:lineRule="auto"/>
        <w:ind w:firstLine="480" w:firstLineChars="200"/>
        <w:rPr>
          <w:rFonts w:ascii="宋体" w:hAnsi="宋体" w:eastAsia="宋体"/>
          <w:kern w:val="0"/>
          <w:sz w:val="24"/>
          <w:szCs w:val="24"/>
          <w:highlight w:val="none"/>
        </w:rPr>
      </w:pPr>
      <w:r>
        <w:rPr>
          <w:rFonts w:hint="eastAsia" w:ascii="宋体" w:hAnsi="宋体"/>
          <w:kern w:val="0"/>
          <w:sz w:val="24"/>
          <w:szCs w:val="24"/>
          <w:highlight w:val="none"/>
        </w:rPr>
        <w:t>乙方开户银行名称和帐号：</w:t>
      </w:r>
    </w:p>
    <w:p>
      <w:pPr>
        <w:snapToGrid w:val="0"/>
        <w:spacing w:line="360" w:lineRule="auto"/>
        <w:ind w:firstLine="480" w:firstLineChars="200"/>
        <w:rPr>
          <w:rFonts w:ascii="宋体" w:hAnsi="宋体"/>
          <w:kern w:val="0"/>
          <w:sz w:val="24"/>
          <w:szCs w:val="24"/>
          <w:highlight w:val="none"/>
        </w:rPr>
      </w:pPr>
      <w:r>
        <w:rPr>
          <w:rFonts w:hint="eastAsia" w:ascii="宋体" w:hAnsi="宋体" w:eastAsia="宋体" w:cs="宋体"/>
          <w:sz w:val="24"/>
          <w:szCs w:val="24"/>
          <w:highlight w:val="none"/>
        </w:rPr>
        <w:t>单位名称：</w:t>
      </w:r>
    </w:p>
    <w:p>
      <w:pPr>
        <w:widowControl/>
        <w:snapToGrid w:val="0"/>
        <w:spacing w:line="360" w:lineRule="auto"/>
        <w:ind w:firstLine="480" w:firstLineChars="200"/>
        <w:rPr>
          <w:rFonts w:ascii="宋体" w:hAnsi="宋体"/>
          <w:kern w:val="0"/>
          <w:sz w:val="24"/>
          <w:szCs w:val="24"/>
          <w:highlight w:val="none"/>
        </w:rPr>
      </w:pPr>
      <w:r>
        <w:rPr>
          <w:rFonts w:hint="eastAsia" w:ascii="宋体" w:hAnsi="宋体"/>
          <w:kern w:val="0"/>
          <w:sz w:val="24"/>
          <w:szCs w:val="24"/>
          <w:highlight w:val="none"/>
        </w:rPr>
        <w:t>单位纳税人识别号：</w:t>
      </w:r>
    </w:p>
    <w:p>
      <w:pPr>
        <w:widowControl/>
        <w:snapToGrid w:val="0"/>
        <w:spacing w:line="360" w:lineRule="auto"/>
        <w:ind w:firstLine="480" w:firstLineChars="200"/>
        <w:rPr>
          <w:rFonts w:ascii="宋体" w:hAnsi="宋体"/>
          <w:kern w:val="0"/>
          <w:sz w:val="24"/>
          <w:szCs w:val="24"/>
          <w:highlight w:val="none"/>
        </w:rPr>
      </w:pPr>
      <w:r>
        <w:rPr>
          <w:rFonts w:hint="eastAsia" w:ascii="宋体" w:hAnsi="宋体"/>
          <w:kern w:val="0"/>
          <w:sz w:val="24"/>
          <w:szCs w:val="24"/>
          <w:highlight w:val="none"/>
        </w:rPr>
        <w:t>单位开户行：</w:t>
      </w:r>
    </w:p>
    <w:p>
      <w:pPr>
        <w:widowControl/>
        <w:snapToGrid w:val="0"/>
        <w:spacing w:line="360" w:lineRule="auto"/>
        <w:ind w:firstLine="480" w:firstLineChars="200"/>
        <w:rPr>
          <w:rFonts w:ascii="宋体" w:hAnsi="宋体" w:eastAsia="宋体" w:cs="Times New Roman"/>
          <w:b/>
          <w:kern w:val="0"/>
          <w:sz w:val="24"/>
          <w:szCs w:val="24"/>
          <w:highlight w:val="none"/>
        </w:rPr>
      </w:pPr>
      <w:r>
        <w:rPr>
          <w:rFonts w:hint="eastAsia" w:ascii="宋体" w:hAnsi="宋体"/>
          <w:kern w:val="0"/>
          <w:sz w:val="24"/>
          <w:szCs w:val="24"/>
          <w:highlight w:val="none"/>
        </w:rPr>
        <w:t>单位帐号：</w:t>
      </w:r>
    </w:p>
    <w:p>
      <w:pPr>
        <w:widowControl/>
        <w:numPr>
          <w:ilvl w:val="255"/>
          <w:numId w:val="0"/>
        </w:numPr>
        <w:adjustRightInd w:val="0"/>
        <w:snapToGrid w:val="0"/>
        <w:spacing w:before="156" w:beforeLines="50" w:line="360" w:lineRule="auto"/>
        <w:ind w:firstLine="482"/>
        <w:jc w:val="left"/>
        <w:rPr>
          <w:rFonts w:ascii="宋体" w:hAnsi="宋体" w:eastAsia="宋体" w:cs="Times New Roman"/>
          <w:b/>
          <w:kern w:val="0"/>
          <w:sz w:val="24"/>
          <w:szCs w:val="24"/>
          <w:highlight w:val="none"/>
        </w:rPr>
      </w:pPr>
      <w:r>
        <w:rPr>
          <w:rFonts w:hint="eastAsia" w:ascii="宋体" w:hAnsi="宋体" w:eastAsia="宋体" w:cs="Times New Roman"/>
          <w:b/>
          <w:kern w:val="0"/>
          <w:sz w:val="24"/>
          <w:szCs w:val="24"/>
          <w:highlight w:val="none"/>
        </w:rPr>
        <w:t>第六条 保密条款</w:t>
      </w:r>
    </w:p>
    <w:p>
      <w:pPr>
        <w:pStyle w:val="57"/>
        <w:adjustRightInd w:val="0"/>
        <w:snapToGrid w:val="0"/>
        <w:spacing w:line="360" w:lineRule="auto"/>
        <w:ind w:firstLine="480" w:firstLineChars="200"/>
        <w:jc w:val="both"/>
        <w:rPr>
          <w:spacing w:val="0"/>
          <w:szCs w:val="24"/>
          <w:highlight w:val="none"/>
        </w:rPr>
      </w:pPr>
      <w:r>
        <w:rPr>
          <w:rFonts w:hint="eastAsia"/>
          <w:spacing w:val="0"/>
          <w:szCs w:val="24"/>
          <w:highlight w:val="none"/>
        </w:rPr>
        <w:t>1.保密内容:乙方未经甲方同意不得将甲方提供的资料以及向甲方提供的其他资料向任何第三方提供、不得用于乙方本单位盈利性开发利用。</w:t>
      </w:r>
    </w:p>
    <w:p>
      <w:pPr>
        <w:pStyle w:val="57"/>
        <w:adjustRightInd w:val="0"/>
        <w:snapToGrid w:val="0"/>
        <w:spacing w:line="360" w:lineRule="auto"/>
        <w:ind w:firstLine="480" w:firstLineChars="200"/>
        <w:jc w:val="both"/>
        <w:rPr>
          <w:spacing w:val="0"/>
          <w:szCs w:val="24"/>
          <w:highlight w:val="none"/>
        </w:rPr>
      </w:pPr>
      <w:r>
        <w:rPr>
          <w:rFonts w:hint="eastAsia"/>
          <w:spacing w:val="0"/>
          <w:szCs w:val="24"/>
          <w:highlight w:val="none"/>
        </w:rPr>
        <w:t>2.涉密人员范围:乙方能接触到资料的所有人员。</w:t>
      </w:r>
    </w:p>
    <w:p>
      <w:pPr>
        <w:pStyle w:val="57"/>
        <w:adjustRightInd w:val="0"/>
        <w:snapToGrid w:val="0"/>
        <w:spacing w:line="360" w:lineRule="auto"/>
        <w:ind w:firstLine="480" w:firstLineChars="200"/>
        <w:jc w:val="both"/>
        <w:rPr>
          <w:spacing w:val="0"/>
          <w:szCs w:val="24"/>
          <w:highlight w:val="none"/>
        </w:rPr>
      </w:pPr>
      <w:r>
        <w:rPr>
          <w:rFonts w:hint="eastAsia"/>
          <w:spacing w:val="0"/>
          <w:szCs w:val="24"/>
          <w:highlight w:val="none"/>
        </w:rPr>
        <w:t>3.泄密责任:因乙方原因给甲方、第三方造成损失的，其各项行政责任、法律责任及经济损失，或导致任何第三方对甲方提出索赔和追责，其法律和行政责任、经济损失和费用均由乙方承担。</w:t>
      </w:r>
    </w:p>
    <w:p>
      <w:pPr>
        <w:widowControl/>
        <w:numPr>
          <w:ilvl w:val="255"/>
          <w:numId w:val="0"/>
        </w:numPr>
        <w:spacing w:line="360" w:lineRule="auto"/>
        <w:ind w:firstLine="482"/>
        <w:jc w:val="left"/>
        <w:rPr>
          <w:rFonts w:ascii="宋体" w:hAnsi="宋体" w:eastAsia="宋体" w:cs="Times New Roman"/>
          <w:b/>
          <w:kern w:val="0"/>
          <w:sz w:val="24"/>
          <w:szCs w:val="24"/>
          <w:highlight w:val="none"/>
        </w:rPr>
      </w:pPr>
      <w:r>
        <w:rPr>
          <w:rFonts w:hint="eastAsia" w:ascii="宋体" w:hAnsi="宋体" w:eastAsia="宋体" w:cs="Times New Roman"/>
          <w:b/>
          <w:kern w:val="0"/>
          <w:sz w:val="24"/>
          <w:szCs w:val="24"/>
          <w:highlight w:val="none"/>
        </w:rPr>
        <w:t>第七条 违约责任</w:t>
      </w:r>
    </w:p>
    <w:p>
      <w:pPr>
        <w:pStyle w:val="57"/>
        <w:adjustRightInd w:val="0"/>
        <w:snapToGrid w:val="0"/>
        <w:spacing w:line="360" w:lineRule="auto"/>
        <w:ind w:firstLine="480" w:firstLineChars="200"/>
        <w:jc w:val="both"/>
        <w:rPr>
          <w:spacing w:val="0"/>
          <w:szCs w:val="24"/>
          <w:highlight w:val="none"/>
        </w:rPr>
      </w:pPr>
      <w:r>
        <w:rPr>
          <w:rFonts w:hint="eastAsia"/>
          <w:spacing w:val="0"/>
          <w:szCs w:val="24"/>
          <w:highlight w:val="none"/>
        </w:rPr>
        <w:t>1.因人力不可抗拒因素(如战争、台风、洪水或双方同意的其它情况)引起检测进度延误，在此情况下，检测进度应相应顺延，如延期超过30天，任何一方有权终止合同，但双方继续履行在合同终止生效日期之前的责任和义务。</w:t>
      </w:r>
    </w:p>
    <w:p>
      <w:pPr>
        <w:pStyle w:val="57"/>
        <w:adjustRightInd w:val="0"/>
        <w:snapToGrid w:val="0"/>
        <w:spacing w:line="360" w:lineRule="auto"/>
        <w:ind w:firstLine="480" w:firstLineChars="200"/>
        <w:jc w:val="both"/>
        <w:rPr>
          <w:spacing w:val="0"/>
          <w:szCs w:val="24"/>
          <w:highlight w:val="none"/>
        </w:rPr>
      </w:pPr>
      <w:r>
        <w:rPr>
          <w:rFonts w:hint="eastAsia"/>
          <w:spacing w:val="0"/>
          <w:szCs w:val="24"/>
          <w:highlight w:val="none"/>
        </w:rPr>
        <w:t>2.若违反本合同的约定，违约方应当按照当时生效的《中华人民共和国民法典》及相关法律法规，承担违约责任。</w:t>
      </w:r>
    </w:p>
    <w:p>
      <w:pPr>
        <w:pStyle w:val="57"/>
        <w:adjustRightInd w:val="0"/>
        <w:snapToGrid w:val="0"/>
        <w:spacing w:line="360" w:lineRule="auto"/>
        <w:ind w:firstLine="480" w:firstLineChars="200"/>
        <w:jc w:val="both"/>
        <w:rPr>
          <w:spacing w:val="0"/>
          <w:szCs w:val="24"/>
          <w:highlight w:val="none"/>
        </w:rPr>
      </w:pPr>
      <w:r>
        <w:rPr>
          <w:rFonts w:hint="eastAsia"/>
          <w:spacing w:val="0"/>
          <w:szCs w:val="24"/>
          <w:highlight w:val="none"/>
          <w:lang w:eastAsia="zh-CN"/>
        </w:rPr>
        <w:t>3</w:t>
      </w:r>
      <w:r>
        <w:rPr>
          <w:rFonts w:hint="eastAsia"/>
          <w:spacing w:val="0"/>
          <w:szCs w:val="24"/>
          <w:highlight w:val="none"/>
        </w:rPr>
        <w:t>.若乙方未按合同要求进行检测且没有事先与甲方沟通，造成甲方损失的，应由乙方赔偿甲方损失。如果原样品在有效期内且甲方明确要求重检，乙方免费安排重新检测。</w:t>
      </w:r>
    </w:p>
    <w:p>
      <w:pPr>
        <w:pStyle w:val="7"/>
        <w:numPr>
          <w:ilvl w:val="255"/>
          <w:numId w:val="0"/>
        </w:numPr>
        <w:spacing w:line="360" w:lineRule="auto"/>
        <w:ind w:firstLine="480" w:firstLineChars="200"/>
        <w:rPr>
          <w:rFonts w:ascii="宋体" w:hAnsi="宋体" w:eastAsia="宋体" w:cs="Times New Roman"/>
          <w:bCs/>
          <w:kern w:val="0"/>
          <w:sz w:val="24"/>
          <w:szCs w:val="24"/>
          <w:highlight w:val="none"/>
        </w:rPr>
      </w:pPr>
      <w:r>
        <w:rPr>
          <w:rFonts w:hint="eastAsia" w:ascii="宋体" w:hAnsi="宋体" w:eastAsia="宋体" w:cs="Times New Roman"/>
          <w:bCs/>
          <w:kern w:val="0"/>
          <w:sz w:val="24"/>
          <w:szCs w:val="24"/>
          <w:highlight w:val="none"/>
          <w:lang w:eastAsia="zh-CN"/>
        </w:rPr>
        <w:t>4</w:t>
      </w:r>
      <w:r>
        <w:rPr>
          <w:rFonts w:hint="eastAsia" w:ascii="宋体" w:hAnsi="宋体" w:eastAsia="宋体" w:cs="Times New Roman"/>
          <w:bCs/>
          <w:kern w:val="0"/>
          <w:sz w:val="24"/>
          <w:szCs w:val="24"/>
          <w:highlight w:val="none"/>
        </w:rPr>
        <w:t>.乙方应自觉维护甲方利益，对本项目咨询内容及所检测数据信息严格保密，未经甲方同意不得向任何单位或个人泄露。如因乙方泄密造成甲方损失，由乙方承担赔偿责任。</w:t>
      </w:r>
    </w:p>
    <w:p>
      <w:pPr>
        <w:pStyle w:val="7"/>
        <w:spacing w:line="360" w:lineRule="auto"/>
        <w:ind w:firstLine="480" w:firstLineChars="200"/>
        <w:rPr>
          <w:rFonts w:ascii="宋体" w:hAnsi="宋体" w:eastAsia="宋体" w:cs="Times New Roman"/>
          <w:bCs/>
          <w:kern w:val="0"/>
          <w:sz w:val="24"/>
          <w:szCs w:val="24"/>
          <w:highlight w:val="none"/>
        </w:rPr>
      </w:pPr>
      <w:r>
        <w:rPr>
          <w:rFonts w:hint="eastAsia" w:ascii="宋体" w:hAnsi="宋体" w:eastAsia="宋体" w:cs="Times New Roman"/>
          <w:bCs/>
          <w:kern w:val="0"/>
          <w:sz w:val="24"/>
          <w:szCs w:val="24"/>
          <w:highlight w:val="none"/>
          <w:lang w:eastAsia="zh-CN"/>
        </w:rPr>
        <w:t>5</w:t>
      </w:r>
      <w:r>
        <w:rPr>
          <w:rFonts w:hint="eastAsia" w:ascii="宋体" w:hAnsi="宋体" w:eastAsia="宋体" w:cs="Times New Roman"/>
          <w:bCs/>
          <w:kern w:val="0"/>
          <w:sz w:val="24"/>
          <w:szCs w:val="24"/>
          <w:highlight w:val="none"/>
        </w:rPr>
        <w:t>.非乙方原因造成违反合同条款或不能按时向甲方提交服务材料的，乙方需提前以信息或书面形式告知甲方项目联系人，甲方核实情况后可免除扣罚。</w:t>
      </w:r>
    </w:p>
    <w:p>
      <w:pPr>
        <w:pStyle w:val="7"/>
        <w:spacing w:line="360" w:lineRule="auto"/>
        <w:ind w:firstLine="480" w:firstLineChars="200"/>
        <w:rPr>
          <w:rFonts w:ascii="宋体" w:hAnsi="宋体" w:eastAsia="宋体" w:cs="Times New Roman"/>
          <w:bCs/>
          <w:kern w:val="0"/>
          <w:sz w:val="24"/>
          <w:szCs w:val="24"/>
          <w:highlight w:val="none"/>
        </w:rPr>
      </w:pPr>
      <w:r>
        <w:rPr>
          <w:rFonts w:hint="eastAsia" w:ascii="宋体" w:hAnsi="宋体" w:eastAsia="宋体" w:cs="Times New Roman"/>
          <w:bCs/>
          <w:kern w:val="0"/>
          <w:sz w:val="24"/>
          <w:szCs w:val="24"/>
          <w:highlight w:val="none"/>
          <w:lang w:eastAsia="zh-CN"/>
        </w:rPr>
        <w:t>6</w:t>
      </w:r>
      <w:r>
        <w:rPr>
          <w:rFonts w:hint="eastAsia" w:ascii="宋体" w:hAnsi="宋体" w:eastAsia="宋体" w:cs="Times New Roman"/>
          <w:bCs/>
          <w:kern w:val="0"/>
          <w:sz w:val="24"/>
          <w:szCs w:val="24"/>
          <w:highlight w:val="none"/>
        </w:rPr>
        <w:t>.除本合同约定的违约责任外，因乙方原因给甲方、第三方造成损失的，其各项行政责任、法律责任及经济损失，或导致任何第三方对甲方提出索赔和追责，其法律和行政责任、经济损失和费用均由乙方承担。</w:t>
      </w:r>
    </w:p>
    <w:p>
      <w:pPr>
        <w:pStyle w:val="7"/>
        <w:spacing w:line="360" w:lineRule="auto"/>
        <w:ind w:firstLine="480" w:firstLineChars="200"/>
        <w:rPr>
          <w:rFonts w:ascii="宋体" w:hAnsi="宋体" w:eastAsia="宋体" w:cs="Times New Roman"/>
          <w:bCs/>
          <w:kern w:val="0"/>
          <w:sz w:val="24"/>
          <w:szCs w:val="24"/>
          <w:highlight w:val="none"/>
        </w:rPr>
      </w:pPr>
      <w:r>
        <w:rPr>
          <w:rFonts w:hint="eastAsia" w:ascii="宋体" w:hAnsi="宋体" w:eastAsia="宋体" w:cs="Times New Roman"/>
          <w:bCs/>
          <w:kern w:val="0"/>
          <w:sz w:val="24"/>
          <w:szCs w:val="24"/>
          <w:highlight w:val="none"/>
          <w:lang w:eastAsia="zh-CN"/>
        </w:rPr>
        <w:t>7</w:t>
      </w:r>
      <w:r>
        <w:rPr>
          <w:rFonts w:hint="eastAsia" w:ascii="宋体" w:hAnsi="宋体" w:eastAsia="宋体" w:cs="Times New Roman"/>
          <w:bCs/>
          <w:kern w:val="0"/>
          <w:sz w:val="24"/>
          <w:szCs w:val="24"/>
          <w:highlight w:val="none"/>
        </w:rPr>
        <w:t>.甲方有权从当期支付乙方的服务费用中优先扣除本合同所涉及的乙方应支付的违约金和赔偿金。</w:t>
      </w:r>
    </w:p>
    <w:p>
      <w:pPr>
        <w:widowControl/>
        <w:numPr>
          <w:ilvl w:val="255"/>
          <w:numId w:val="0"/>
        </w:numPr>
        <w:spacing w:line="360" w:lineRule="auto"/>
        <w:ind w:firstLine="482"/>
        <w:jc w:val="left"/>
        <w:rPr>
          <w:rFonts w:ascii="宋体" w:hAnsi="宋体" w:eastAsia="宋体" w:cs="Times New Roman"/>
          <w:b/>
          <w:kern w:val="0"/>
          <w:sz w:val="24"/>
          <w:szCs w:val="24"/>
          <w:highlight w:val="none"/>
        </w:rPr>
      </w:pPr>
      <w:r>
        <w:rPr>
          <w:rFonts w:hint="eastAsia" w:ascii="宋体" w:hAnsi="宋体" w:eastAsia="宋体" w:cs="Times New Roman"/>
          <w:b/>
          <w:kern w:val="0"/>
          <w:sz w:val="24"/>
          <w:szCs w:val="24"/>
          <w:highlight w:val="none"/>
        </w:rPr>
        <w:t>第八条</w:t>
      </w:r>
      <w:r>
        <w:rPr>
          <w:rFonts w:ascii="宋体" w:hAnsi="宋体" w:eastAsia="宋体" w:cs="Times New Roman"/>
          <w:b/>
          <w:kern w:val="0"/>
          <w:sz w:val="24"/>
          <w:szCs w:val="24"/>
          <w:highlight w:val="none"/>
        </w:rPr>
        <w:t xml:space="preserve"> 合同</w:t>
      </w:r>
      <w:r>
        <w:rPr>
          <w:rFonts w:hint="eastAsia" w:ascii="宋体" w:hAnsi="宋体" w:eastAsia="宋体" w:cs="Times New Roman"/>
          <w:b/>
          <w:kern w:val="0"/>
          <w:sz w:val="24"/>
          <w:szCs w:val="24"/>
          <w:highlight w:val="none"/>
        </w:rPr>
        <w:t>的解除</w:t>
      </w:r>
    </w:p>
    <w:p>
      <w:pPr>
        <w:spacing w:line="360" w:lineRule="auto"/>
        <w:ind w:firstLine="482"/>
        <w:rPr>
          <w:rFonts w:ascii="宋体" w:hAnsi="宋体"/>
          <w:bCs/>
          <w:sz w:val="24"/>
          <w:highlight w:val="none"/>
        </w:rPr>
      </w:pPr>
      <w:r>
        <w:rPr>
          <w:rFonts w:hint="eastAsia" w:ascii="宋体" w:hAnsi="宋体"/>
          <w:bCs/>
          <w:sz w:val="24"/>
          <w:highlight w:val="none"/>
        </w:rPr>
        <w:t>1.</w:t>
      </w:r>
      <w:r>
        <w:rPr>
          <w:rFonts w:ascii="宋体" w:hAnsi="宋体"/>
          <w:bCs/>
          <w:sz w:val="24"/>
          <w:highlight w:val="none"/>
        </w:rPr>
        <w:t>甲方解除合同</w:t>
      </w:r>
    </w:p>
    <w:p>
      <w:pPr>
        <w:spacing w:line="360" w:lineRule="auto"/>
        <w:ind w:firstLine="482"/>
        <w:rPr>
          <w:rFonts w:ascii="宋体" w:hAnsi="宋体"/>
          <w:bCs/>
          <w:sz w:val="24"/>
          <w:highlight w:val="none"/>
        </w:rPr>
      </w:pPr>
      <w:r>
        <w:rPr>
          <w:rFonts w:ascii="宋体" w:hAnsi="宋体"/>
          <w:bCs/>
          <w:sz w:val="24"/>
          <w:highlight w:val="none"/>
        </w:rPr>
        <w:t>如乙方存在下述情况</w:t>
      </w:r>
      <w:r>
        <w:rPr>
          <w:rFonts w:hint="eastAsia" w:ascii="宋体" w:hAnsi="宋体"/>
          <w:bCs/>
          <w:sz w:val="24"/>
          <w:highlight w:val="none"/>
        </w:rPr>
        <w:t>之一</w:t>
      </w:r>
      <w:r>
        <w:rPr>
          <w:rFonts w:ascii="宋体" w:hAnsi="宋体"/>
          <w:bCs/>
          <w:sz w:val="24"/>
          <w:highlight w:val="none"/>
        </w:rPr>
        <w:t>，甲方有权向乙方发出书面通知，全部或部分解除本合同：</w:t>
      </w:r>
    </w:p>
    <w:p>
      <w:pPr>
        <w:spacing w:line="360" w:lineRule="auto"/>
        <w:ind w:firstLine="482"/>
        <w:rPr>
          <w:rFonts w:ascii="宋体" w:hAnsi="宋体"/>
          <w:bCs/>
          <w:sz w:val="24"/>
          <w:highlight w:val="none"/>
        </w:rPr>
      </w:pPr>
      <w:r>
        <w:rPr>
          <w:rFonts w:hint="eastAsia" w:ascii="宋体" w:hAnsi="宋体"/>
          <w:bCs/>
          <w:sz w:val="24"/>
          <w:highlight w:val="none"/>
        </w:rPr>
        <w:t>1.1</w:t>
      </w:r>
      <w:r>
        <w:rPr>
          <w:rFonts w:ascii="宋体" w:hAnsi="宋体"/>
          <w:bCs/>
          <w:sz w:val="24"/>
          <w:highlight w:val="none"/>
        </w:rPr>
        <w:t>乙方未能在本合同约定或甲方另行指定的期限内提供部分或全部</w:t>
      </w:r>
      <w:r>
        <w:rPr>
          <w:rFonts w:hint="eastAsia" w:ascii="宋体" w:hAnsi="宋体"/>
          <w:bCs/>
          <w:sz w:val="24"/>
          <w:highlight w:val="none"/>
        </w:rPr>
        <w:t>服务，</w:t>
      </w:r>
      <w:r>
        <w:rPr>
          <w:rFonts w:ascii="宋体" w:hAnsi="宋体"/>
          <w:bCs/>
          <w:sz w:val="24"/>
          <w:highlight w:val="none"/>
        </w:rPr>
        <w:t>并经甲方催告后在</w:t>
      </w:r>
      <w:r>
        <w:rPr>
          <w:rFonts w:hint="eastAsia" w:ascii="宋体" w:hAnsi="宋体"/>
          <w:bCs/>
          <w:sz w:val="24"/>
          <w:highlight w:val="none"/>
          <w:lang w:eastAsia="zh-CN"/>
        </w:rPr>
        <w:t>甲方要求的时间</w:t>
      </w:r>
      <w:r>
        <w:rPr>
          <w:rFonts w:ascii="宋体" w:hAnsi="宋体"/>
          <w:bCs/>
          <w:sz w:val="24"/>
          <w:highlight w:val="none"/>
        </w:rPr>
        <w:t>内仍未</w:t>
      </w:r>
      <w:r>
        <w:rPr>
          <w:rFonts w:hint="eastAsia" w:ascii="宋体" w:hAnsi="宋体"/>
          <w:bCs/>
          <w:sz w:val="24"/>
          <w:highlight w:val="none"/>
        </w:rPr>
        <w:t>提供</w:t>
      </w:r>
      <w:r>
        <w:rPr>
          <w:rFonts w:ascii="宋体" w:hAnsi="宋体"/>
          <w:bCs/>
          <w:sz w:val="24"/>
          <w:highlight w:val="none"/>
        </w:rPr>
        <w:t>；</w:t>
      </w:r>
    </w:p>
    <w:p>
      <w:pPr>
        <w:spacing w:line="360" w:lineRule="auto"/>
        <w:ind w:firstLine="482"/>
        <w:rPr>
          <w:rFonts w:ascii="宋体" w:hAnsi="宋体"/>
          <w:bCs/>
          <w:sz w:val="24"/>
          <w:highlight w:val="none"/>
        </w:rPr>
      </w:pPr>
      <w:r>
        <w:rPr>
          <w:rFonts w:ascii="宋体" w:hAnsi="宋体"/>
          <w:bCs/>
          <w:sz w:val="24"/>
          <w:highlight w:val="none"/>
        </w:rPr>
        <w:t>1.2 乙方</w:t>
      </w:r>
      <w:r>
        <w:rPr>
          <w:rFonts w:hint="eastAsia" w:ascii="宋体" w:hAnsi="宋体"/>
          <w:bCs/>
          <w:sz w:val="24"/>
          <w:highlight w:val="none"/>
        </w:rPr>
        <w:t>提供服务</w:t>
      </w:r>
      <w:r>
        <w:rPr>
          <w:rFonts w:ascii="宋体" w:hAnsi="宋体"/>
          <w:bCs/>
          <w:sz w:val="24"/>
          <w:highlight w:val="none"/>
        </w:rPr>
        <w:t>存在严重的质量问题，导致本合同目的不能实现；</w:t>
      </w:r>
    </w:p>
    <w:p>
      <w:pPr>
        <w:spacing w:line="360" w:lineRule="auto"/>
        <w:ind w:firstLine="482"/>
        <w:rPr>
          <w:rFonts w:ascii="宋体" w:hAnsi="宋体"/>
          <w:bCs/>
          <w:sz w:val="24"/>
          <w:highlight w:val="none"/>
        </w:rPr>
      </w:pPr>
      <w:r>
        <w:rPr>
          <w:rFonts w:ascii="宋体" w:hAnsi="宋体"/>
          <w:bCs/>
          <w:sz w:val="24"/>
          <w:highlight w:val="none"/>
        </w:rPr>
        <w:t>1.3 乙方存在违反合同义务的其他情形；</w:t>
      </w:r>
    </w:p>
    <w:p>
      <w:pPr>
        <w:spacing w:line="360" w:lineRule="auto"/>
        <w:ind w:firstLine="482"/>
        <w:rPr>
          <w:rFonts w:ascii="宋体" w:hAnsi="宋体"/>
          <w:bCs/>
          <w:sz w:val="24"/>
          <w:highlight w:val="none"/>
        </w:rPr>
      </w:pPr>
      <w:r>
        <w:rPr>
          <w:rFonts w:ascii="宋体" w:hAnsi="宋体"/>
          <w:bCs/>
          <w:sz w:val="24"/>
          <w:highlight w:val="none"/>
        </w:rPr>
        <w:t>2</w:t>
      </w:r>
      <w:r>
        <w:rPr>
          <w:rFonts w:hint="eastAsia" w:ascii="宋体" w:hAnsi="宋体"/>
          <w:bCs/>
          <w:sz w:val="24"/>
          <w:highlight w:val="none"/>
        </w:rPr>
        <w:t>.</w:t>
      </w:r>
      <w:r>
        <w:rPr>
          <w:rFonts w:ascii="宋体" w:hAnsi="宋体"/>
          <w:bCs/>
          <w:sz w:val="24"/>
          <w:highlight w:val="none"/>
        </w:rPr>
        <w:t>乙方解除合同</w:t>
      </w:r>
    </w:p>
    <w:p>
      <w:pPr>
        <w:spacing w:line="360" w:lineRule="auto"/>
        <w:ind w:firstLine="482"/>
        <w:rPr>
          <w:rFonts w:ascii="宋体" w:hAnsi="宋体"/>
          <w:bCs/>
          <w:sz w:val="24"/>
          <w:highlight w:val="none"/>
        </w:rPr>
      </w:pPr>
      <w:r>
        <w:rPr>
          <w:rFonts w:ascii="宋体" w:hAnsi="宋体"/>
          <w:bCs/>
          <w:sz w:val="24"/>
          <w:highlight w:val="none"/>
        </w:rPr>
        <w:t>如甲方</w:t>
      </w:r>
      <w:r>
        <w:rPr>
          <w:rFonts w:hint="eastAsia" w:ascii="宋体" w:hAnsi="宋体"/>
          <w:bCs/>
          <w:sz w:val="24"/>
          <w:highlight w:val="none"/>
        </w:rPr>
        <w:t>无正当理由</w:t>
      </w:r>
      <w:r>
        <w:rPr>
          <w:rFonts w:ascii="宋体" w:hAnsi="宋体"/>
          <w:bCs/>
          <w:sz w:val="24"/>
          <w:highlight w:val="none"/>
        </w:rPr>
        <w:t>未能按本合同约定期限向乙方支付合同款，并经乙方催告后在合理期限内仍未支付，乙方有权以书面</w:t>
      </w:r>
      <w:r>
        <w:rPr>
          <w:rFonts w:hint="eastAsia" w:ascii="宋体" w:hAnsi="宋体"/>
          <w:bCs/>
          <w:sz w:val="24"/>
          <w:highlight w:val="none"/>
          <w:lang w:eastAsia="zh-CN"/>
        </w:rPr>
        <w:t>形式</w:t>
      </w:r>
      <w:r>
        <w:rPr>
          <w:rFonts w:ascii="宋体" w:hAnsi="宋体"/>
          <w:bCs/>
          <w:sz w:val="24"/>
          <w:highlight w:val="none"/>
        </w:rPr>
        <w:t>通知解除本合同。</w:t>
      </w:r>
    </w:p>
    <w:p>
      <w:pPr>
        <w:spacing w:line="360" w:lineRule="auto"/>
        <w:ind w:firstLine="482"/>
        <w:rPr>
          <w:rFonts w:ascii="宋体" w:hAnsi="宋体"/>
          <w:bCs/>
          <w:sz w:val="24"/>
          <w:highlight w:val="none"/>
        </w:rPr>
      </w:pPr>
      <w:r>
        <w:rPr>
          <w:rFonts w:ascii="宋体" w:hAnsi="宋体"/>
          <w:bCs/>
          <w:sz w:val="24"/>
          <w:highlight w:val="none"/>
        </w:rPr>
        <w:t>3</w:t>
      </w:r>
      <w:r>
        <w:rPr>
          <w:rFonts w:hint="eastAsia" w:ascii="宋体" w:hAnsi="宋体"/>
          <w:bCs/>
          <w:sz w:val="24"/>
          <w:highlight w:val="none"/>
        </w:rPr>
        <w:t>.</w:t>
      </w:r>
      <w:r>
        <w:rPr>
          <w:rFonts w:ascii="宋体" w:hAnsi="宋体"/>
          <w:bCs/>
          <w:sz w:val="24"/>
          <w:highlight w:val="none"/>
        </w:rPr>
        <w:t xml:space="preserve"> 如本合同因任何一方根据本条约定行使合同解除权而全部解除，本合同尚未履行部分终止履行；对本合同已经履行部分，行使合同解除权的一方有权根据本合同其他条款之约定采取救济措施，包括要求对方</w:t>
      </w:r>
      <w:r>
        <w:rPr>
          <w:rFonts w:hint="eastAsia" w:ascii="宋体" w:hAnsi="宋体"/>
          <w:bCs/>
          <w:sz w:val="24"/>
          <w:highlight w:val="none"/>
        </w:rPr>
        <w:t>支付违约金、</w:t>
      </w:r>
      <w:r>
        <w:rPr>
          <w:rFonts w:ascii="宋体" w:hAnsi="宋体"/>
          <w:bCs/>
          <w:sz w:val="24"/>
          <w:highlight w:val="none"/>
        </w:rPr>
        <w:t>赔偿</w:t>
      </w:r>
      <w:r>
        <w:rPr>
          <w:rFonts w:hint="eastAsia" w:ascii="宋体" w:hAnsi="宋体"/>
          <w:bCs/>
          <w:sz w:val="24"/>
          <w:highlight w:val="none"/>
        </w:rPr>
        <w:t>守约方</w:t>
      </w:r>
      <w:r>
        <w:rPr>
          <w:rFonts w:ascii="宋体" w:hAnsi="宋体"/>
          <w:bCs/>
          <w:sz w:val="24"/>
          <w:highlight w:val="none"/>
        </w:rPr>
        <w:t>因执行本合同而发生的一切支出</w:t>
      </w:r>
      <w:r>
        <w:rPr>
          <w:rFonts w:hint="eastAsia" w:ascii="宋体" w:hAnsi="宋体"/>
          <w:bCs/>
          <w:sz w:val="24"/>
          <w:highlight w:val="none"/>
        </w:rPr>
        <w:t>费用及由此造成的</w:t>
      </w:r>
      <w:r>
        <w:rPr>
          <w:rFonts w:ascii="宋体" w:hAnsi="宋体"/>
          <w:bCs/>
          <w:sz w:val="24"/>
          <w:highlight w:val="none"/>
        </w:rPr>
        <w:t>一切损失。</w:t>
      </w:r>
    </w:p>
    <w:p>
      <w:pPr>
        <w:spacing w:line="360" w:lineRule="auto"/>
        <w:ind w:firstLine="482" w:firstLineChars="200"/>
        <w:rPr>
          <w:rFonts w:ascii="宋体" w:hAnsi="宋体"/>
          <w:b/>
          <w:sz w:val="24"/>
          <w:highlight w:val="none"/>
        </w:rPr>
      </w:pPr>
      <w:r>
        <w:rPr>
          <w:rFonts w:hint="eastAsia" w:ascii="宋体" w:hAnsi="宋体"/>
          <w:b/>
          <w:sz w:val="24"/>
          <w:highlight w:val="none"/>
        </w:rPr>
        <w:t>第九条</w:t>
      </w:r>
      <w:r>
        <w:rPr>
          <w:rFonts w:ascii="宋体" w:hAnsi="宋体"/>
          <w:b/>
          <w:sz w:val="24"/>
          <w:highlight w:val="none"/>
        </w:rPr>
        <w:t xml:space="preserve"> 不可抗力</w:t>
      </w:r>
    </w:p>
    <w:p>
      <w:pPr>
        <w:spacing w:line="360" w:lineRule="auto"/>
        <w:ind w:firstLine="482"/>
        <w:rPr>
          <w:rFonts w:ascii="宋体" w:hAnsi="宋体"/>
          <w:bCs/>
          <w:sz w:val="24"/>
          <w:highlight w:val="none"/>
        </w:rPr>
      </w:pPr>
      <w:r>
        <w:rPr>
          <w:rFonts w:hint="eastAsia" w:ascii="宋体" w:hAnsi="宋体"/>
          <w:bCs/>
          <w:sz w:val="24"/>
          <w:highlight w:val="none"/>
        </w:rPr>
        <w:t>1.</w:t>
      </w:r>
      <w:r>
        <w:rPr>
          <w:rFonts w:ascii="宋体" w:hAnsi="宋体"/>
          <w:bCs/>
          <w:sz w:val="24"/>
          <w:highlight w:val="none"/>
        </w:rPr>
        <w:t>在本合同履行期间，</w:t>
      </w:r>
      <w:r>
        <w:rPr>
          <w:rFonts w:hint="eastAsia" w:ascii="宋体" w:hAnsi="宋体"/>
          <w:bCs/>
          <w:sz w:val="24"/>
          <w:highlight w:val="none"/>
        </w:rPr>
        <w:t>甲乙</w:t>
      </w:r>
      <w:r>
        <w:rPr>
          <w:rFonts w:ascii="宋体" w:hAnsi="宋体"/>
          <w:bCs/>
          <w:sz w:val="24"/>
          <w:highlight w:val="none"/>
        </w:rPr>
        <w:t>任何一方因不可抗力事件，致使该方不能全部或部分履行其合同义务或延迟履行合同义务，免除该方的违约责任。</w:t>
      </w:r>
    </w:p>
    <w:p>
      <w:pPr>
        <w:spacing w:line="360" w:lineRule="auto"/>
        <w:ind w:firstLine="482"/>
        <w:rPr>
          <w:rFonts w:ascii="宋体" w:hAnsi="宋体"/>
          <w:bCs/>
          <w:sz w:val="24"/>
          <w:highlight w:val="none"/>
        </w:rPr>
      </w:pPr>
      <w:r>
        <w:rPr>
          <w:rFonts w:hint="eastAsia" w:ascii="宋体" w:hAnsi="宋体"/>
          <w:bCs/>
          <w:sz w:val="24"/>
          <w:highlight w:val="none"/>
        </w:rPr>
        <w:t>2.</w:t>
      </w:r>
      <w:r>
        <w:rPr>
          <w:rFonts w:ascii="宋体" w:hAnsi="宋体"/>
          <w:bCs/>
          <w:sz w:val="24"/>
          <w:highlight w:val="none"/>
        </w:rPr>
        <w:t>受不可抗力事件影响的一方应在</w:t>
      </w:r>
      <w:r>
        <w:rPr>
          <w:rFonts w:hint="eastAsia" w:ascii="宋体" w:hAnsi="宋体"/>
          <w:bCs/>
          <w:sz w:val="24"/>
          <w:highlight w:val="none"/>
        </w:rPr>
        <w:t>其后</w:t>
      </w:r>
      <w:r>
        <w:rPr>
          <w:rFonts w:ascii="宋体" w:hAnsi="宋体"/>
          <w:bCs/>
          <w:sz w:val="24"/>
          <w:highlight w:val="none"/>
        </w:rPr>
        <w:t xml:space="preserve">5日内的时间内用传真或电子邮件通知另一方，说明事件发生的详情和对合同履行的影响程度； </w:t>
      </w:r>
    </w:p>
    <w:p>
      <w:pPr>
        <w:spacing w:line="360" w:lineRule="auto"/>
        <w:ind w:firstLine="482"/>
        <w:rPr>
          <w:rFonts w:ascii="宋体" w:hAnsi="宋体"/>
          <w:bCs/>
          <w:sz w:val="24"/>
          <w:highlight w:val="none"/>
        </w:rPr>
      </w:pPr>
      <w:r>
        <w:rPr>
          <w:rFonts w:hint="eastAsia" w:ascii="宋体" w:hAnsi="宋体"/>
          <w:bCs/>
          <w:sz w:val="24"/>
          <w:highlight w:val="none"/>
        </w:rPr>
        <w:t>3.</w:t>
      </w:r>
      <w:r>
        <w:rPr>
          <w:rFonts w:ascii="宋体" w:hAnsi="宋体"/>
          <w:bCs/>
          <w:sz w:val="24"/>
          <w:highlight w:val="none"/>
        </w:rPr>
        <w:t>受不可抗力影响的一方应尽量设法缩小不可抗力事件对合同履行的影响。</w:t>
      </w:r>
    </w:p>
    <w:p>
      <w:pPr>
        <w:spacing w:line="360" w:lineRule="auto"/>
        <w:ind w:firstLine="482" w:firstLineChars="200"/>
        <w:rPr>
          <w:rFonts w:ascii="宋体" w:hAnsi="宋体"/>
          <w:b/>
          <w:sz w:val="24"/>
          <w:highlight w:val="none"/>
        </w:rPr>
      </w:pPr>
      <w:r>
        <w:rPr>
          <w:rFonts w:hint="eastAsia" w:ascii="宋体" w:hAnsi="宋体"/>
          <w:b/>
          <w:sz w:val="24"/>
          <w:highlight w:val="none"/>
        </w:rPr>
        <w:t xml:space="preserve">第十条 </w:t>
      </w:r>
      <w:r>
        <w:rPr>
          <w:rFonts w:ascii="宋体" w:hAnsi="宋体"/>
          <w:b/>
          <w:sz w:val="24"/>
          <w:highlight w:val="none"/>
        </w:rPr>
        <w:t>争议解决</w:t>
      </w:r>
    </w:p>
    <w:p>
      <w:pPr>
        <w:pStyle w:val="7"/>
        <w:spacing w:line="360" w:lineRule="auto"/>
        <w:ind w:firstLine="480" w:firstLineChars="200"/>
        <w:rPr>
          <w:rFonts w:ascii="宋体" w:hAnsi="宋体"/>
          <w:bCs/>
          <w:sz w:val="24"/>
          <w:highlight w:val="none"/>
        </w:rPr>
      </w:pPr>
      <w:r>
        <w:rPr>
          <w:rFonts w:hint="eastAsia" w:ascii="宋体" w:hAnsi="宋体"/>
          <w:bCs/>
          <w:sz w:val="24"/>
          <w:highlight w:val="none"/>
        </w:rPr>
        <w:t>1.甲、乙</w:t>
      </w:r>
      <w:r>
        <w:rPr>
          <w:rFonts w:ascii="宋体" w:hAnsi="宋体"/>
          <w:bCs/>
          <w:sz w:val="24"/>
          <w:highlight w:val="none"/>
        </w:rPr>
        <w:t>双方应通过友好协商，解决在执行本合同所发生的或与本合同有关的一切争议。如协商不能解决争议，任何一方均可</w:t>
      </w:r>
      <w:r>
        <w:rPr>
          <w:rFonts w:hint="eastAsia" w:ascii="宋体" w:hAnsi="宋体"/>
          <w:bCs/>
          <w:sz w:val="24"/>
          <w:highlight w:val="none"/>
        </w:rPr>
        <w:t>甲方所在人民法院起诉。</w:t>
      </w:r>
    </w:p>
    <w:p>
      <w:pPr>
        <w:pStyle w:val="7"/>
        <w:spacing w:line="360" w:lineRule="auto"/>
        <w:ind w:firstLine="480" w:firstLineChars="200"/>
        <w:rPr>
          <w:rFonts w:ascii="宋体" w:hAnsi="宋体"/>
          <w:bCs/>
          <w:sz w:val="24"/>
          <w:highlight w:val="none"/>
        </w:rPr>
      </w:pPr>
      <w:r>
        <w:rPr>
          <w:rFonts w:hint="eastAsia" w:ascii="宋体" w:hAnsi="宋体"/>
          <w:bCs/>
          <w:sz w:val="24"/>
          <w:highlight w:val="none"/>
        </w:rPr>
        <w:t>2.在进行法院审理期间，除提交法院审理的事项外，合同其他部分仍应继续履行。</w:t>
      </w:r>
    </w:p>
    <w:p>
      <w:pPr>
        <w:spacing w:line="360" w:lineRule="auto"/>
        <w:ind w:firstLine="482" w:firstLineChars="200"/>
        <w:rPr>
          <w:rFonts w:ascii="宋体" w:hAnsi="宋体"/>
          <w:b/>
          <w:sz w:val="24"/>
          <w:highlight w:val="none"/>
        </w:rPr>
      </w:pPr>
      <w:r>
        <w:rPr>
          <w:rFonts w:hint="eastAsia" w:ascii="宋体" w:hAnsi="宋体"/>
          <w:b/>
          <w:sz w:val="24"/>
          <w:highlight w:val="none"/>
        </w:rPr>
        <w:t xml:space="preserve">第十条 </w:t>
      </w:r>
      <w:r>
        <w:rPr>
          <w:rFonts w:ascii="宋体" w:hAnsi="宋体"/>
          <w:b/>
          <w:sz w:val="24"/>
          <w:highlight w:val="none"/>
        </w:rPr>
        <w:t>合同生效及其他</w:t>
      </w:r>
    </w:p>
    <w:p>
      <w:pPr>
        <w:spacing w:line="360" w:lineRule="auto"/>
        <w:ind w:firstLine="480"/>
        <w:rPr>
          <w:rFonts w:ascii="宋体" w:hAnsi="宋体"/>
          <w:sz w:val="24"/>
          <w:highlight w:val="none"/>
        </w:rPr>
      </w:pPr>
      <w:r>
        <w:rPr>
          <w:rFonts w:hint="eastAsia" w:ascii="宋体" w:hAnsi="宋体"/>
          <w:sz w:val="24"/>
          <w:highlight w:val="none"/>
        </w:rPr>
        <w:t>本合同经甲、乙双方法定代表人或授权代表签字并加盖章后生效。</w:t>
      </w:r>
    </w:p>
    <w:p>
      <w:pPr>
        <w:widowControl/>
        <w:spacing w:line="360" w:lineRule="auto"/>
        <w:ind w:firstLine="480"/>
        <w:jc w:val="left"/>
        <w:rPr>
          <w:rFonts w:ascii="宋体" w:hAnsi="宋体" w:eastAsia="宋体" w:cs="Times New Roman"/>
          <w:b/>
          <w:bCs/>
          <w:kern w:val="0"/>
          <w:sz w:val="24"/>
          <w:szCs w:val="24"/>
          <w:highlight w:val="none"/>
        </w:rPr>
      </w:pPr>
      <w:r>
        <w:rPr>
          <w:rFonts w:hint="eastAsia" w:ascii="宋体" w:hAnsi="宋体"/>
          <w:b/>
          <w:sz w:val="24"/>
          <w:highlight w:val="none"/>
        </w:rPr>
        <w:t>第十条</w:t>
      </w:r>
      <w:r>
        <w:rPr>
          <w:rFonts w:hint="eastAsia" w:ascii="宋体" w:hAnsi="宋体" w:eastAsia="宋体" w:cs="Times New Roman"/>
          <w:b/>
          <w:bCs/>
          <w:kern w:val="0"/>
          <w:sz w:val="24"/>
          <w:szCs w:val="24"/>
          <w:highlight w:val="none"/>
        </w:rPr>
        <w:t>其它</w:t>
      </w:r>
    </w:p>
    <w:p>
      <w:pPr>
        <w:widowControl/>
        <w:spacing w:line="360" w:lineRule="auto"/>
        <w:ind w:firstLine="480"/>
        <w:jc w:val="left"/>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1.本合同之所有附件均为合同的有效组成部分，与本合同具有同样法律效力。</w:t>
      </w:r>
    </w:p>
    <w:p>
      <w:pPr>
        <w:widowControl/>
        <w:spacing w:line="360" w:lineRule="auto"/>
        <w:ind w:firstLine="480"/>
        <w:jc w:val="left"/>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2.执行本合同的过程中，所有经甲乙双方签署确认的文件（包括会议纪要、补充协议、往来信函）即成为本合同的有效组成部分。</w:t>
      </w:r>
    </w:p>
    <w:p>
      <w:pPr>
        <w:widowControl/>
        <w:spacing w:line="360" w:lineRule="auto"/>
        <w:ind w:firstLine="480"/>
        <w:jc w:val="left"/>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3.除甲方事先书面同意外，乙方不得将部分或全部转让其应履行的合同项下的义务。</w:t>
      </w:r>
    </w:p>
    <w:p>
      <w:pPr>
        <w:widowControl/>
        <w:spacing w:line="360" w:lineRule="auto"/>
        <w:ind w:firstLine="480"/>
        <w:jc w:val="left"/>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4.</w:t>
      </w:r>
      <w:r>
        <w:rPr>
          <w:rFonts w:hint="eastAsia" w:asciiTheme="minorEastAsia" w:hAnsiTheme="minorEastAsia" w:eastAsiaTheme="minorEastAsia" w:cstheme="minorEastAsia"/>
          <w:sz w:val="24"/>
          <w:szCs w:val="22"/>
          <w:highlight w:val="none"/>
        </w:rPr>
        <w:t>本协议一式</w:t>
      </w:r>
      <w:r>
        <w:rPr>
          <w:rFonts w:hint="eastAsia" w:asciiTheme="minorEastAsia" w:hAnsiTheme="minorEastAsia" w:eastAsiaTheme="minorEastAsia" w:cstheme="minorEastAsia"/>
          <w:sz w:val="24"/>
          <w:szCs w:val="22"/>
          <w:highlight w:val="none"/>
          <w:u w:val="single"/>
        </w:rPr>
        <w:t xml:space="preserve"> 8</w:t>
      </w:r>
      <w:r>
        <w:rPr>
          <w:rFonts w:asciiTheme="minorEastAsia" w:hAnsiTheme="minorEastAsia" w:eastAsiaTheme="minorEastAsia" w:cstheme="minorEastAsia"/>
          <w:sz w:val="24"/>
          <w:szCs w:val="22"/>
          <w:highlight w:val="none"/>
          <w:u w:val="single"/>
        </w:rPr>
        <w:t xml:space="preserve"> </w:t>
      </w:r>
      <w:r>
        <w:rPr>
          <w:rFonts w:hint="eastAsia" w:asciiTheme="minorEastAsia" w:hAnsiTheme="minorEastAsia" w:eastAsiaTheme="minorEastAsia" w:cstheme="minorEastAsia"/>
          <w:sz w:val="24"/>
          <w:szCs w:val="22"/>
          <w:highlight w:val="none"/>
        </w:rPr>
        <w:t>份，甲方执</w:t>
      </w:r>
      <w:r>
        <w:rPr>
          <w:rFonts w:hint="eastAsia" w:asciiTheme="minorEastAsia" w:hAnsiTheme="minorEastAsia" w:eastAsiaTheme="minorEastAsia" w:cstheme="minorEastAsia"/>
          <w:sz w:val="24"/>
          <w:szCs w:val="22"/>
          <w:highlight w:val="none"/>
          <w:u w:val="single"/>
        </w:rPr>
        <w:t xml:space="preserve"> 6</w:t>
      </w:r>
      <w:r>
        <w:rPr>
          <w:rFonts w:asciiTheme="minorEastAsia" w:hAnsiTheme="minorEastAsia" w:eastAsiaTheme="minorEastAsia" w:cstheme="minorEastAsia"/>
          <w:sz w:val="24"/>
          <w:szCs w:val="22"/>
          <w:highlight w:val="none"/>
          <w:u w:val="single"/>
        </w:rPr>
        <w:t xml:space="preserve"> </w:t>
      </w:r>
      <w:r>
        <w:rPr>
          <w:rFonts w:hint="eastAsia" w:asciiTheme="minorEastAsia" w:hAnsiTheme="minorEastAsia" w:eastAsiaTheme="minorEastAsia" w:cstheme="minorEastAsia"/>
          <w:sz w:val="24"/>
          <w:szCs w:val="22"/>
          <w:highlight w:val="none"/>
        </w:rPr>
        <w:t>份，乙方执</w:t>
      </w:r>
      <w:r>
        <w:rPr>
          <w:rFonts w:hint="eastAsia" w:asciiTheme="minorEastAsia" w:hAnsiTheme="minorEastAsia" w:eastAsiaTheme="minorEastAsia" w:cstheme="minorEastAsia"/>
          <w:sz w:val="24"/>
          <w:szCs w:val="22"/>
          <w:highlight w:val="none"/>
          <w:u w:val="single"/>
        </w:rPr>
        <w:t xml:space="preserve"> 2</w:t>
      </w:r>
      <w:r>
        <w:rPr>
          <w:rFonts w:asciiTheme="minorEastAsia" w:hAnsiTheme="minorEastAsia" w:eastAsiaTheme="minorEastAsia" w:cstheme="minorEastAsia"/>
          <w:sz w:val="24"/>
          <w:szCs w:val="22"/>
          <w:highlight w:val="none"/>
          <w:u w:val="single"/>
        </w:rPr>
        <w:t xml:space="preserve"> </w:t>
      </w:r>
      <w:r>
        <w:rPr>
          <w:rFonts w:hint="eastAsia" w:asciiTheme="minorEastAsia" w:hAnsiTheme="minorEastAsia" w:eastAsiaTheme="minorEastAsia" w:cstheme="minorEastAsia"/>
          <w:sz w:val="24"/>
          <w:szCs w:val="22"/>
          <w:highlight w:val="none"/>
        </w:rPr>
        <w:t>份。均具有同等法律效力。</w:t>
      </w:r>
    </w:p>
    <w:p>
      <w:pPr>
        <w:numPr>
          <w:ilvl w:val="255"/>
          <w:numId w:val="0"/>
        </w:numPr>
        <w:rPr>
          <w:rFonts w:ascii="宋体" w:hAnsi="宋体" w:cs="宋体"/>
          <w:b/>
          <w:bCs/>
          <w:szCs w:val="21"/>
          <w:highlight w:val="none"/>
        </w:rPr>
      </w:pPr>
    </w:p>
    <w:p>
      <w:pPr>
        <w:widowControl/>
        <w:spacing w:line="360" w:lineRule="auto"/>
        <w:ind w:firstLine="480" w:firstLineChars="200"/>
        <w:jc w:val="left"/>
        <w:rPr>
          <w:rFonts w:hint="eastAsia" w:ascii="宋体" w:hAnsi="宋体" w:eastAsia="宋体" w:cs="Times New Roman"/>
          <w:kern w:val="0"/>
          <w:sz w:val="24"/>
          <w:szCs w:val="24"/>
        </w:rPr>
      </w:pPr>
    </w:p>
    <w:p>
      <w:pPr>
        <w:widowControl/>
        <w:spacing w:line="360" w:lineRule="auto"/>
        <w:ind w:firstLine="480" w:firstLineChars="200"/>
        <w:jc w:val="left"/>
        <w:rPr>
          <w:rFonts w:hint="eastAsia" w:ascii="宋体" w:hAnsi="宋体" w:eastAsia="宋体" w:cs="Times New Roman"/>
          <w:kern w:val="0"/>
          <w:sz w:val="24"/>
          <w:szCs w:val="24"/>
        </w:rPr>
      </w:pPr>
    </w:p>
    <w:p>
      <w:pPr>
        <w:pStyle w:val="21"/>
        <w:rPr>
          <w:rFonts w:hint="eastAsia"/>
        </w:rPr>
      </w:pPr>
    </w:p>
    <w:p>
      <w:pPr>
        <w:widowControl/>
        <w:spacing w:line="360" w:lineRule="auto"/>
        <w:ind w:firstLine="480" w:firstLineChars="200"/>
        <w:jc w:val="left"/>
        <w:rPr>
          <w:rFonts w:hint="eastAsia" w:ascii="宋体" w:hAnsi="宋体" w:eastAsia="宋体" w:cs="Times New Roman"/>
          <w:kern w:val="0"/>
          <w:sz w:val="24"/>
          <w:szCs w:val="24"/>
        </w:rPr>
      </w:pPr>
    </w:p>
    <w:p>
      <w:pPr>
        <w:widowControl/>
        <w:spacing w:line="360" w:lineRule="auto"/>
        <w:ind w:firstLine="0" w:firstLineChars="0"/>
        <w:jc w:val="left"/>
        <w:rPr>
          <w:rFonts w:ascii="宋体" w:hAnsi="宋体" w:eastAsia="宋体" w:cs="Times New Roman"/>
          <w:kern w:val="0"/>
          <w:sz w:val="24"/>
          <w:szCs w:val="24"/>
        </w:rPr>
      </w:pPr>
      <w:r>
        <w:rPr>
          <w:rFonts w:hint="eastAsia" w:ascii="宋体" w:hAnsi="宋体" w:eastAsia="宋体" w:cs="Times New Roman"/>
          <w:kern w:val="0"/>
          <w:sz w:val="24"/>
          <w:szCs w:val="24"/>
        </w:rPr>
        <w:t>附件：</w:t>
      </w:r>
    </w:p>
    <w:p>
      <w:pPr>
        <w:widowControl/>
        <w:spacing w:line="360" w:lineRule="auto"/>
        <w:ind w:firstLine="482" w:firstLineChars="200"/>
        <w:jc w:val="left"/>
        <w:rPr>
          <w:rFonts w:hint="default" w:ascii="宋体" w:hAnsi="宋体" w:cs="宋体" w:eastAsiaTheme="minorEastAsia"/>
          <w:b/>
          <w:bCs/>
          <w:sz w:val="24"/>
          <w:szCs w:val="24"/>
          <w:lang w:val="en-US" w:eastAsia="zh-CN"/>
        </w:rPr>
      </w:pPr>
      <w:r>
        <w:rPr>
          <w:rFonts w:hint="eastAsia" w:ascii="宋体" w:hAnsi="宋体" w:cs="宋体"/>
          <w:b/>
          <w:bCs/>
          <w:sz w:val="24"/>
          <w:szCs w:val="24"/>
        </w:rPr>
        <w:t>附件</w:t>
      </w:r>
      <w:r>
        <w:rPr>
          <w:rFonts w:hint="eastAsia" w:ascii="宋体" w:hAnsi="宋体" w:cs="宋体"/>
          <w:b/>
          <w:bCs/>
          <w:sz w:val="24"/>
          <w:szCs w:val="24"/>
          <w:lang w:val="en-US" w:eastAsia="zh-CN"/>
        </w:rPr>
        <w:t>1</w:t>
      </w:r>
      <w:r>
        <w:rPr>
          <w:rFonts w:hint="eastAsia" w:ascii="宋体" w:hAnsi="宋体" w:cs="宋体"/>
          <w:b/>
          <w:bCs/>
          <w:sz w:val="24"/>
          <w:szCs w:val="24"/>
        </w:rPr>
        <w:t>：</w:t>
      </w:r>
      <w:r>
        <w:rPr>
          <w:rFonts w:hint="eastAsia" w:ascii="宋体" w:hAnsi="宋体" w:cs="宋体"/>
          <w:b/>
          <w:bCs/>
          <w:sz w:val="24"/>
          <w:szCs w:val="24"/>
          <w:lang w:val="en-US" w:eastAsia="zh-CN"/>
        </w:rPr>
        <w:t>发包通知书</w:t>
      </w:r>
    </w:p>
    <w:p>
      <w:pPr>
        <w:widowControl/>
        <w:spacing w:line="360" w:lineRule="auto"/>
        <w:ind w:firstLine="482" w:firstLineChars="200"/>
        <w:jc w:val="left"/>
        <w:rPr>
          <w:rFonts w:ascii="宋体" w:hAnsi="宋体" w:cs="宋体"/>
          <w:b/>
          <w:bCs/>
          <w:sz w:val="24"/>
          <w:szCs w:val="24"/>
        </w:rPr>
      </w:pPr>
      <w:r>
        <w:rPr>
          <w:rFonts w:hint="eastAsia" w:ascii="宋体" w:hAnsi="宋体" w:cs="宋体"/>
          <w:b/>
          <w:bCs/>
          <w:sz w:val="24"/>
          <w:szCs w:val="24"/>
          <w:lang w:val="en-US" w:eastAsia="zh-CN"/>
        </w:rPr>
        <w:t>附件2：</w:t>
      </w:r>
      <w:r>
        <w:rPr>
          <w:rFonts w:hint="eastAsia" w:ascii="宋体" w:hAnsi="宋体" w:cs="宋体"/>
          <w:b/>
          <w:bCs/>
          <w:sz w:val="24"/>
          <w:szCs w:val="24"/>
        </w:rPr>
        <w:t>廉洁协议</w:t>
      </w:r>
    </w:p>
    <w:p>
      <w:pPr>
        <w:widowControl/>
        <w:spacing w:line="360" w:lineRule="auto"/>
        <w:ind w:left="479" w:leftChars="228" w:firstLine="0" w:firstLineChars="0"/>
        <w:jc w:val="left"/>
        <w:rPr>
          <w:rFonts w:hint="default" w:ascii="宋体" w:hAnsi="宋体" w:cs="宋体" w:eastAsiaTheme="minorEastAsia"/>
          <w:b/>
          <w:bCs/>
          <w:sz w:val="24"/>
          <w:szCs w:val="24"/>
          <w:u w:val="single"/>
          <w:lang w:val="en-US" w:eastAsia="zh-CN"/>
        </w:rPr>
      </w:pPr>
      <w:r>
        <w:rPr>
          <w:rFonts w:hint="eastAsia" w:ascii="宋体" w:hAnsi="宋体" w:cs="宋体"/>
          <w:b/>
          <w:bCs/>
          <w:sz w:val="24"/>
          <w:szCs w:val="24"/>
        </w:rPr>
        <w:t>附件</w:t>
      </w:r>
      <w:r>
        <w:rPr>
          <w:rFonts w:hint="eastAsia" w:ascii="宋体" w:hAnsi="宋体" w:cs="宋体"/>
          <w:b/>
          <w:bCs/>
          <w:sz w:val="24"/>
          <w:szCs w:val="24"/>
          <w:lang w:val="en-US" w:eastAsia="zh-CN"/>
        </w:rPr>
        <w:t>3</w:t>
      </w:r>
      <w:r>
        <w:rPr>
          <w:rFonts w:hint="eastAsia" w:ascii="宋体" w:hAnsi="宋体" w:cs="宋体"/>
          <w:b/>
          <w:bCs/>
          <w:sz w:val="24"/>
          <w:szCs w:val="24"/>
        </w:rPr>
        <w:t>：安全协议书</w:t>
      </w:r>
    </w:p>
    <w:p>
      <w:pPr>
        <w:pStyle w:val="14"/>
        <w:spacing w:after="0" w:line="360" w:lineRule="auto"/>
        <w:ind w:leftChars="0"/>
        <w:rPr>
          <w:rFonts w:hint="default" w:ascii="宋体" w:hAnsi="宋体" w:cs="宋体" w:eastAsiaTheme="minorEastAsia"/>
          <w:b/>
          <w:bCs/>
          <w:sz w:val="24"/>
          <w:szCs w:val="24"/>
          <w:lang w:val="en-US" w:eastAsia="zh-CN"/>
        </w:rPr>
      </w:pPr>
      <w:r>
        <w:rPr>
          <w:rFonts w:hint="eastAsia" w:ascii="宋体" w:hAnsi="宋体" w:cs="宋体"/>
          <w:b/>
          <w:bCs/>
          <w:sz w:val="24"/>
          <w:szCs w:val="24"/>
          <w:lang w:val="en-US" w:eastAsia="zh-CN"/>
        </w:rPr>
        <w:t>附件4: 报价清单</w:t>
      </w:r>
    </w:p>
    <w:p>
      <w:pPr>
        <w:pStyle w:val="14"/>
        <w:spacing w:after="0" w:line="360" w:lineRule="auto"/>
        <w:ind w:leftChars="0"/>
        <w:rPr>
          <w:rFonts w:ascii="宋体" w:hAnsi="宋体" w:cs="宋体"/>
          <w:sz w:val="24"/>
          <w:szCs w:val="24"/>
        </w:rPr>
      </w:pPr>
      <w:r>
        <w:rPr>
          <w:rFonts w:hint="eastAsia" w:ascii="宋体" w:hAnsi="宋体" w:cs="宋体"/>
          <w:sz w:val="24"/>
          <w:szCs w:val="24"/>
        </w:rPr>
        <w:t>（以下无正文）</w:t>
      </w:r>
    </w:p>
    <w:tbl>
      <w:tblPr>
        <w:tblStyle w:val="22"/>
        <w:tblpPr w:leftFromText="180" w:rightFromText="180" w:vertAnchor="text" w:horzAnchor="page" w:tblpXSpec="center" w:tblpY="188"/>
        <w:tblOverlap w:val="never"/>
        <w:tblW w:w="8426" w:type="dxa"/>
        <w:jc w:val="center"/>
        <w:tblLayout w:type="fixed"/>
        <w:tblCellMar>
          <w:top w:w="0" w:type="dxa"/>
          <w:left w:w="28" w:type="dxa"/>
          <w:bottom w:w="0" w:type="dxa"/>
          <w:right w:w="28" w:type="dxa"/>
        </w:tblCellMar>
      </w:tblPr>
      <w:tblGrid>
        <w:gridCol w:w="3857"/>
        <w:gridCol w:w="562"/>
        <w:gridCol w:w="4007"/>
      </w:tblGrid>
      <w:tr>
        <w:tblPrEx>
          <w:tblCellMar>
            <w:top w:w="0" w:type="dxa"/>
            <w:left w:w="28" w:type="dxa"/>
            <w:bottom w:w="0" w:type="dxa"/>
            <w:right w:w="28" w:type="dxa"/>
          </w:tblCellMar>
        </w:tblPrEx>
        <w:trPr>
          <w:trHeight w:val="454" w:hRule="atLeast"/>
          <w:jc w:val="center"/>
        </w:trPr>
        <w:tc>
          <w:tcPr>
            <w:tcW w:w="3857" w:type="dxa"/>
            <w:vAlign w:val="center"/>
          </w:tcPr>
          <w:p>
            <w:pPr>
              <w:rPr>
                <w:rFonts w:ascii="宋体" w:hAnsi="宋体" w:cs="宋体"/>
                <w:sz w:val="24"/>
                <w:szCs w:val="24"/>
              </w:rPr>
            </w:pPr>
            <w:r>
              <w:rPr>
                <w:rFonts w:hint="eastAsia" w:ascii="宋体" w:hAnsi="宋体" w:cs="宋体"/>
                <w:sz w:val="24"/>
                <w:szCs w:val="24"/>
              </w:rPr>
              <w:t>甲方：广州市净水有限公司</w:t>
            </w:r>
          </w:p>
        </w:tc>
        <w:tc>
          <w:tcPr>
            <w:tcW w:w="562" w:type="dxa"/>
            <w:vAlign w:val="center"/>
          </w:tcPr>
          <w:p>
            <w:pPr>
              <w:rPr>
                <w:rFonts w:ascii="宋体" w:hAnsi="宋体" w:cs="宋体"/>
                <w:sz w:val="24"/>
                <w:szCs w:val="24"/>
              </w:rPr>
            </w:pPr>
          </w:p>
        </w:tc>
        <w:tc>
          <w:tcPr>
            <w:tcW w:w="4007" w:type="dxa"/>
            <w:vAlign w:val="center"/>
          </w:tcPr>
          <w:p>
            <w:pPr>
              <w:rPr>
                <w:rFonts w:ascii="宋体" w:hAnsi="宋体" w:cs="宋体"/>
                <w:sz w:val="24"/>
                <w:szCs w:val="24"/>
              </w:rPr>
            </w:pPr>
            <w:r>
              <w:rPr>
                <w:rFonts w:hint="eastAsia" w:ascii="宋体" w:hAnsi="宋体" w:cs="宋体"/>
                <w:sz w:val="24"/>
                <w:szCs w:val="24"/>
              </w:rPr>
              <w:t>乙方：</w:t>
            </w:r>
          </w:p>
        </w:tc>
      </w:tr>
      <w:tr>
        <w:tblPrEx>
          <w:tblCellMar>
            <w:top w:w="0" w:type="dxa"/>
            <w:left w:w="28" w:type="dxa"/>
            <w:bottom w:w="0" w:type="dxa"/>
            <w:right w:w="28" w:type="dxa"/>
          </w:tblCellMar>
        </w:tblPrEx>
        <w:trPr>
          <w:trHeight w:val="454" w:hRule="atLeast"/>
          <w:jc w:val="center"/>
        </w:trPr>
        <w:tc>
          <w:tcPr>
            <w:tcW w:w="3857" w:type="dxa"/>
          </w:tcPr>
          <w:p>
            <w:pPr>
              <w:rPr>
                <w:rFonts w:ascii="宋体" w:hAnsi="宋体" w:cs="宋体"/>
                <w:sz w:val="24"/>
                <w:szCs w:val="24"/>
              </w:rPr>
            </w:pPr>
            <w:r>
              <w:rPr>
                <w:rFonts w:hint="eastAsia" w:ascii="宋体" w:hAnsi="宋体" w:cs="宋体"/>
                <w:sz w:val="24"/>
                <w:szCs w:val="24"/>
              </w:rPr>
              <w:t>(盖章)</w:t>
            </w:r>
          </w:p>
          <w:p>
            <w:pPr>
              <w:rPr>
                <w:rFonts w:ascii="宋体" w:hAnsi="宋体" w:cs="宋体"/>
                <w:sz w:val="24"/>
                <w:szCs w:val="24"/>
              </w:rPr>
            </w:pPr>
          </w:p>
        </w:tc>
        <w:tc>
          <w:tcPr>
            <w:tcW w:w="562" w:type="dxa"/>
          </w:tcPr>
          <w:p>
            <w:pPr>
              <w:rPr>
                <w:rFonts w:ascii="宋体" w:hAnsi="宋体" w:cs="宋体"/>
                <w:sz w:val="24"/>
                <w:szCs w:val="24"/>
              </w:rPr>
            </w:pPr>
          </w:p>
        </w:tc>
        <w:tc>
          <w:tcPr>
            <w:tcW w:w="4007" w:type="dxa"/>
          </w:tcPr>
          <w:p>
            <w:pPr>
              <w:rPr>
                <w:rFonts w:ascii="宋体" w:hAnsi="宋体" w:cs="宋体"/>
                <w:sz w:val="24"/>
                <w:szCs w:val="24"/>
              </w:rPr>
            </w:pPr>
            <w:r>
              <w:rPr>
                <w:rFonts w:hint="eastAsia" w:ascii="宋体" w:hAnsi="宋体" w:cs="宋体"/>
                <w:sz w:val="24"/>
                <w:szCs w:val="24"/>
              </w:rPr>
              <w:t>(盖章)</w:t>
            </w:r>
          </w:p>
        </w:tc>
      </w:tr>
      <w:tr>
        <w:tblPrEx>
          <w:tblCellMar>
            <w:top w:w="0" w:type="dxa"/>
            <w:left w:w="28" w:type="dxa"/>
            <w:bottom w:w="0" w:type="dxa"/>
            <w:right w:w="28" w:type="dxa"/>
          </w:tblCellMar>
        </w:tblPrEx>
        <w:trPr>
          <w:trHeight w:val="454" w:hRule="atLeast"/>
          <w:jc w:val="center"/>
        </w:trPr>
        <w:tc>
          <w:tcPr>
            <w:tcW w:w="3857" w:type="dxa"/>
          </w:tcPr>
          <w:p>
            <w:pPr>
              <w:rPr>
                <w:rFonts w:ascii="宋体" w:hAnsi="宋体" w:cs="宋体"/>
                <w:sz w:val="24"/>
                <w:szCs w:val="24"/>
              </w:rPr>
            </w:pPr>
            <w:r>
              <w:rPr>
                <w:rFonts w:hint="eastAsia" w:ascii="宋体" w:hAnsi="宋体" w:cs="宋体"/>
                <w:sz w:val="24"/>
                <w:szCs w:val="24"/>
              </w:rPr>
              <w:t>法定代表人/授权代理人：</w:t>
            </w:r>
          </w:p>
          <w:p>
            <w:pPr>
              <w:rPr>
                <w:rFonts w:ascii="宋体" w:hAnsi="宋体" w:cs="宋体"/>
                <w:sz w:val="24"/>
                <w:szCs w:val="24"/>
              </w:rPr>
            </w:pPr>
          </w:p>
        </w:tc>
        <w:tc>
          <w:tcPr>
            <w:tcW w:w="562" w:type="dxa"/>
          </w:tcPr>
          <w:p>
            <w:pPr>
              <w:rPr>
                <w:rFonts w:ascii="宋体" w:hAnsi="宋体" w:cs="宋体"/>
                <w:sz w:val="24"/>
                <w:szCs w:val="24"/>
              </w:rPr>
            </w:pPr>
          </w:p>
        </w:tc>
        <w:tc>
          <w:tcPr>
            <w:tcW w:w="4007" w:type="dxa"/>
          </w:tcPr>
          <w:p>
            <w:pPr>
              <w:rPr>
                <w:rFonts w:ascii="宋体" w:hAnsi="宋体" w:cs="宋体"/>
                <w:sz w:val="24"/>
                <w:szCs w:val="24"/>
              </w:rPr>
            </w:pPr>
            <w:r>
              <w:rPr>
                <w:rFonts w:hint="eastAsia" w:ascii="宋体" w:hAnsi="宋体" w:cs="宋体"/>
                <w:sz w:val="24"/>
                <w:szCs w:val="24"/>
              </w:rPr>
              <w:t>法定代表人/授权代理人：</w:t>
            </w:r>
          </w:p>
        </w:tc>
      </w:tr>
      <w:tr>
        <w:tblPrEx>
          <w:tblCellMar>
            <w:top w:w="0" w:type="dxa"/>
            <w:left w:w="28" w:type="dxa"/>
            <w:bottom w:w="0" w:type="dxa"/>
            <w:right w:w="28" w:type="dxa"/>
          </w:tblCellMar>
        </w:tblPrEx>
        <w:trPr>
          <w:trHeight w:val="454" w:hRule="atLeast"/>
          <w:jc w:val="center"/>
        </w:trPr>
        <w:tc>
          <w:tcPr>
            <w:tcW w:w="3857" w:type="dxa"/>
            <w:vAlign w:val="center"/>
          </w:tcPr>
          <w:p>
            <w:pPr>
              <w:rPr>
                <w:rFonts w:ascii="宋体" w:hAnsi="宋体" w:cs="宋体"/>
                <w:sz w:val="24"/>
                <w:szCs w:val="24"/>
              </w:rPr>
            </w:pPr>
            <w:r>
              <w:rPr>
                <w:rFonts w:hint="eastAsia" w:ascii="宋体" w:hAnsi="宋体" w:cs="宋体"/>
                <w:sz w:val="24"/>
                <w:szCs w:val="24"/>
              </w:rPr>
              <w:t>联系人：</w:t>
            </w:r>
          </w:p>
        </w:tc>
        <w:tc>
          <w:tcPr>
            <w:tcW w:w="562" w:type="dxa"/>
            <w:vAlign w:val="center"/>
          </w:tcPr>
          <w:p>
            <w:pPr>
              <w:rPr>
                <w:rFonts w:ascii="宋体" w:hAnsi="宋体" w:cs="宋体"/>
                <w:sz w:val="24"/>
                <w:szCs w:val="24"/>
              </w:rPr>
            </w:pPr>
          </w:p>
        </w:tc>
        <w:tc>
          <w:tcPr>
            <w:tcW w:w="4007" w:type="dxa"/>
            <w:vAlign w:val="center"/>
          </w:tcPr>
          <w:p>
            <w:pPr>
              <w:ind w:right="-19" w:rightChars="-9"/>
              <w:rPr>
                <w:rFonts w:ascii="宋体" w:hAnsi="宋体" w:cs="宋体"/>
                <w:sz w:val="24"/>
                <w:szCs w:val="24"/>
              </w:rPr>
            </w:pPr>
            <w:r>
              <w:rPr>
                <w:rFonts w:hint="eastAsia" w:ascii="宋体" w:hAnsi="宋体" w:cs="宋体"/>
                <w:sz w:val="24"/>
                <w:szCs w:val="24"/>
              </w:rPr>
              <w:t>联系人：</w:t>
            </w:r>
          </w:p>
        </w:tc>
      </w:tr>
      <w:tr>
        <w:tblPrEx>
          <w:tblCellMar>
            <w:top w:w="0" w:type="dxa"/>
            <w:left w:w="28" w:type="dxa"/>
            <w:bottom w:w="0" w:type="dxa"/>
            <w:right w:w="28" w:type="dxa"/>
          </w:tblCellMar>
        </w:tblPrEx>
        <w:trPr>
          <w:trHeight w:val="454" w:hRule="atLeast"/>
          <w:jc w:val="center"/>
        </w:trPr>
        <w:tc>
          <w:tcPr>
            <w:tcW w:w="3857" w:type="dxa"/>
          </w:tcPr>
          <w:p>
            <w:pPr>
              <w:rPr>
                <w:rFonts w:ascii="宋体" w:hAnsi="宋体" w:cs="宋体"/>
                <w:sz w:val="24"/>
                <w:szCs w:val="24"/>
              </w:rPr>
            </w:pPr>
            <w:r>
              <w:rPr>
                <w:rFonts w:hint="eastAsia" w:ascii="宋体" w:hAnsi="宋体" w:cs="宋体"/>
                <w:sz w:val="24"/>
                <w:szCs w:val="24"/>
              </w:rPr>
              <w:t>地址：广州市天河区临江大道501号</w:t>
            </w:r>
          </w:p>
        </w:tc>
        <w:tc>
          <w:tcPr>
            <w:tcW w:w="562" w:type="dxa"/>
          </w:tcPr>
          <w:p>
            <w:pPr>
              <w:rPr>
                <w:rFonts w:ascii="宋体" w:hAnsi="宋体" w:cs="宋体"/>
                <w:sz w:val="24"/>
                <w:szCs w:val="24"/>
              </w:rPr>
            </w:pPr>
          </w:p>
        </w:tc>
        <w:tc>
          <w:tcPr>
            <w:tcW w:w="4007" w:type="dxa"/>
          </w:tcPr>
          <w:p>
            <w:pPr>
              <w:rPr>
                <w:rFonts w:ascii="宋体" w:hAnsi="宋体" w:cs="宋体"/>
                <w:sz w:val="24"/>
                <w:szCs w:val="24"/>
              </w:rPr>
            </w:pPr>
            <w:r>
              <w:rPr>
                <w:rFonts w:hint="eastAsia" w:ascii="宋体" w:hAnsi="宋体" w:cs="宋体"/>
                <w:sz w:val="24"/>
                <w:szCs w:val="24"/>
              </w:rPr>
              <w:t>地址：</w:t>
            </w:r>
          </w:p>
        </w:tc>
      </w:tr>
      <w:tr>
        <w:tblPrEx>
          <w:tblCellMar>
            <w:top w:w="0" w:type="dxa"/>
            <w:left w:w="28" w:type="dxa"/>
            <w:bottom w:w="0" w:type="dxa"/>
            <w:right w:w="28" w:type="dxa"/>
          </w:tblCellMar>
        </w:tblPrEx>
        <w:trPr>
          <w:trHeight w:val="454" w:hRule="atLeast"/>
          <w:jc w:val="center"/>
        </w:trPr>
        <w:tc>
          <w:tcPr>
            <w:tcW w:w="3857" w:type="dxa"/>
            <w:vAlign w:val="center"/>
          </w:tcPr>
          <w:p>
            <w:pPr>
              <w:tabs>
                <w:tab w:val="right" w:pos="4098"/>
              </w:tabs>
              <w:rPr>
                <w:rFonts w:ascii="宋体" w:hAnsi="宋体" w:cs="宋体"/>
                <w:sz w:val="24"/>
                <w:szCs w:val="24"/>
              </w:rPr>
            </w:pPr>
            <w:r>
              <w:rPr>
                <w:rFonts w:hint="eastAsia" w:ascii="宋体" w:hAnsi="宋体" w:cs="宋体"/>
                <w:sz w:val="24"/>
                <w:szCs w:val="24"/>
              </w:rPr>
              <w:t>邮政编码：510655</w:t>
            </w:r>
            <w:r>
              <w:rPr>
                <w:rFonts w:hint="eastAsia" w:ascii="宋体" w:hAnsi="宋体" w:cs="宋体"/>
                <w:sz w:val="24"/>
                <w:szCs w:val="24"/>
              </w:rPr>
              <w:tab/>
            </w:r>
          </w:p>
        </w:tc>
        <w:tc>
          <w:tcPr>
            <w:tcW w:w="562" w:type="dxa"/>
            <w:vAlign w:val="center"/>
          </w:tcPr>
          <w:p>
            <w:pPr>
              <w:rPr>
                <w:rFonts w:ascii="宋体" w:hAnsi="宋体" w:cs="宋体"/>
                <w:sz w:val="24"/>
                <w:szCs w:val="24"/>
              </w:rPr>
            </w:pPr>
          </w:p>
        </w:tc>
        <w:tc>
          <w:tcPr>
            <w:tcW w:w="4007" w:type="dxa"/>
            <w:vAlign w:val="center"/>
          </w:tcPr>
          <w:p>
            <w:pPr>
              <w:rPr>
                <w:rFonts w:ascii="宋体" w:hAnsi="宋体" w:cs="宋体"/>
                <w:sz w:val="24"/>
                <w:szCs w:val="24"/>
              </w:rPr>
            </w:pPr>
            <w:r>
              <w:rPr>
                <w:rFonts w:hint="eastAsia" w:ascii="宋体" w:hAnsi="宋体" w:cs="宋体"/>
                <w:sz w:val="24"/>
                <w:szCs w:val="24"/>
              </w:rPr>
              <w:t>邮政编码：</w:t>
            </w:r>
          </w:p>
        </w:tc>
      </w:tr>
      <w:tr>
        <w:tblPrEx>
          <w:tblCellMar>
            <w:top w:w="0" w:type="dxa"/>
            <w:left w:w="28" w:type="dxa"/>
            <w:bottom w:w="0" w:type="dxa"/>
            <w:right w:w="28" w:type="dxa"/>
          </w:tblCellMar>
        </w:tblPrEx>
        <w:trPr>
          <w:trHeight w:val="454" w:hRule="atLeast"/>
          <w:jc w:val="center"/>
        </w:trPr>
        <w:tc>
          <w:tcPr>
            <w:tcW w:w="3857" w:type="dxa"/>
            <w:vAlign w:val="center"/>
          </w:tcPr>
          <w:p>
            <w:pPr>
              <w:rPr>
                <w:rFonts w:ascii="宋体" w:hAnsi="宋体" w:cs="宋体"/>
                <w:sz w:val="24"/>
                <w:szCs w:val="24"/>
              </w:rPr>
            </w:pPr>
            <w:r>
              <w:rPr>
                <w:rFonts w:hint="eastAsia" w:ascii="宋体" w:hAnsi="宋体" w:cs="宋体"/>
                <w:sz w:val="24"/>
                <w:szCs w:val="24"/>
              </w:rPr>
              <w:t>电话：</w:t>
            </w:r>
          </w:p>
        </w:tc>
        <w:tc>
          <w:tcPr>
            <w:tcW w:w="562" w:type="dxa"/>
            <w:vAlign w:val="center"/>
          </w:tcPr>
          <w:p>
            <w:pPr>
              <w:rPr>
                <w:rFonts w:ascii="宋体" w:hAnsi="宋体" w:cs="宋体"/>
                <w:sz w:val="24"/>
                <w:szCs w:val="24"/>
              </w:rPr>
            </w:pPr>
          </w:p>
        </w:tc>
        <w:tc>
          <w:tcPr>
            <w:tcW w:w="4007" w:type="dxa"/>
            <w:vAlign w:val="center"/>
          </w:tcPr>
          <w:p>
            <w:pPr>
              <w:rPr>
                <w:rFonts w:ascii="宋体" w:hAnsi="宋体" w:cs="宋体"/>
                <w:sz w:val="24"/>
                <w:szCs w:val="24"/>
              </w:rPr>
            </w:pPr>
            <w:r>
              <w:rPr>
                <w:rFonts w:hint="eastAsia" w:ascii="宋体" w:hAnsi="宋体" w:cs="宋体"/>
                <w:sz w:val="24"/>
                <w:szCs w:val="24"/>
              </w:rPr>
              <w:t>电话：</w:t>
            </w:r>
          </w:p>
        </w:tc>
      </w:tr>
      <w:tr>
        <w:tblPrEx>
          <w:tblCellMar>
            <w:top w:w="0" w:type="dxa"/>
            <w:left w:w="28" w:type="dxa"/>
            <w:bottom w:w="0" w:type="dxa"/>
            <w:right w:w="28" w:type="dxa"/>
          </w:tblCellMar>
        </w:tblPrEx>
        <w:trPr>
          <w:trHeight w:val="454" w:hRule="atLeast"/>
          <w:jc w:val="center"/>
        </w:trPr>
        <w:tc>
          <w:tcPr>
            <w:tcW w:w="3857" w:type="dxa"/>
            <w:vAlign w:val="center"/>
          </w:tcPr>
          <w:p>
            <w:pPr>
              <w:rPr>
                <w:rFonts w:ascii="宋体" w:hAnsi="宋体" w:cs="宋体"/>
                <w:sz w:val="24"/>
                <w:szCs w:val="24"/>
              </w:rPr>
            </w:pPr>
            <w:r>
              <w:rPr>
                <w:rFonts w:hint="eastAsia" w:ascii="宋体" w:hAnsi="宋体" w:cs="宋体"/>
                <w:sz w:val="24"/>
                <w:szCs w:val="24"/>
              </w:rPr>
              <w:t>传真：</w:t>
            </w:r>
          </w:p>
        </w:tc>
        <w:tc>
          <w:tcPr>
            <w:tcW w:w="562" w:type="dxa"/>
            <w:vAlign w:val="center"/>
          </w:tcPr>
          <w:p>
            <w:pPr>
              <w:rPr>
                <w:rFonts w:ascii="宋体" w:hAnsi="宋体" w:cs="宋体"/>
                <w:sz w:val="24"/>
                <w:szCs w:val="24"/>
              </w:rPr>
            </w:pPr>
          </w:p>
        </w:tc>
        <w:tc>
          <w:tcPr>
            <w:tcW w:w="4007" w:type="dxa"/>
            <w:vAlign w:val="center"/>
          </w:tcPr>
          <w:p>
            <w:pPr>
              <w:rPr>
                <w:rFonts w:ascii="宋体" w:hAnsi="宋体" w:cs="宋体"/>
                <w:sz w:val="24"/>
                <w:szCs w:val="24"/>
              </w:rPr>
            </w:pPr>
            <w:r>
              <w:rPr>
                <w:rFonts w:hint="eastAsia" w:ascii="宋体" w:hAnsi="宋体" w:cs="宋体"/>
                <w:sz w:val="24"/>
                <w:szCs w:val="24"/>
              </w:rPr>
              <w:t>传真：</w:t>
            </w:r>
          </w:p>
        </w:tc>
      </w:tr>
      <w:tr>
        <w:tblPrEx>
          <w:tblCellMar>
            <w:top w:w="0" w:type="dxa"/>
            <w:left w:w="28" w:type="dxa"/>
            <w:bottom w:w="0" w:type="dxa"/>
            <w:right w:w="28" w:type="dxa"/>
          </w:tblCellMar>
        </w:tblPrEx>
        <w:trPr>
          <w:trHeight w:val="454" w:hRule="atLeast"/>
          <w:jc w:val="center"/>
        </w:trPr>
        <w:tc>
          <w:tcPr>
            <w:tcW w:w="3857" w:type="dxa"/>
            <w:vAlign w:val="center"/>
          </w:tcPr>
          <w:p>
            <w:pPr>
              <w:rPr>
                <w:rFonts w:ascii="宋体" w:hAnsi="宋体" w:cs="宋体"/>
                <w:sz w:val="24"/>
                <w:szCs w:val="24"/>
              </w:rPr>
            </w:pPr>
            <w:r>
              <w:rPr>
                <w:rFonts w:hint="eastAsia" w:ascii="宋体" w:hAnsi="宋体" w:cs="宋体"/>
                <w:sz w:val="24"/>
                <w:szCs w:val="24"/>
              </w:rPr>
              <w:t>签约日期：2021年 月 日</w:t>
            </w:r>
          </w:p>
        </w:tc>
        <w:tc>
          <w:tcPr>
            <w:tcW w:w="562" w:type="dxa"/>
            <w:vAlign w:val="center"/>
          </w:tcPr>
          <w:p>
            <w:pPr>
              <w:rPr>
                <w:rFonts w:ascii="宋体" w:hAnsi="宋体" w:cs="宋体"/>
                <w:sz w:val="24"/>
                <w:szCs w:val="24"/>
              </w:rPr>
            </w:pPr>
          </w:p>
        </w:tc>
        <w:tc>
          <w:tcPr>
            <w:tcW w:w="4007" w:type="dxa"/>
            <w:vAlign w:val="center"/>
          </w:tcPr>
          <w:p>
            <w:pPr>
              <w:rPr>
                <w:rFonts w:ascii="宋体" w:hAnsi="宋体" w:cs="宋体"/>
                <w:sz w:val="24"/>
                <w:szCs w:val="24"/>
              </w:rPr>
            </w:pPr>
            <w:r>
              <w:rPr>
                <w:rFonts w:hint="eastAsia" w:ascii="宋体" w:hAnsi="宋体" w:cs="宋体"/>
                <w:sz w:val="24"/>
                <w:szCs w:val="24"/>
              </w:rPr>
              <w:t>签约日期：2021年月日</w:t>
            </w:r>
          </w:p>
        </w:tc>
      </w:tr>
    </w:tbl>
    <w:p>
      <w:pPr>
        <w:numPr>
          <w:ilvl w:val="255"/>
          <w:numId w:val="0"/>
        </w:numPr>
        <w:rPr>
          <w:rFonts w:hint="eastAsia" w:ascii="宋体" w:hAnsi="宋体" w:cs="宋体"/>
          <w:b/>
          <w:bCs/>
          <w:szCs w:val="21"/>
          <w:highlight w:val="none"/>
        </w:rPr>
      </w:pPr>
    </w:p>
    <w:p>
      <w:pPr>
        <w:numPr>
          <w:ilvl w:val="255"/>
          <w:numId w:val="0"/>
        </w:numPr>
        <w:rPr>
          <w:rFonts w:hint="eastAsia" w:ascii="宋体" w:hAnsi="宋体" w:cs="宋体"/>
          <w:b/>
          <w:bCs/>
          <w:szCs w:val="21"/>
          <w:highlight w:val="none"/>
        </w:rPr>
      </w:pPr>
    </w:p>
    <w:p>
      <w:pPr>
        <w:numPr>
          <w:ilvl w:val="255"/>
          <w:numId w:val="0"/>
        </w:numPr>
        <w:rPr>
          <w:rFonts w:hint="eastAsia" w:ascii="宋体" w:hAnsi="宋体" w:cs="宋体"/>
          <w:b/>
          <w:bCs/>
          <w:szCs w:val="21"/>
          <w:highlight w:val="none"/>
        </w:rPr>
      </w:pPr>
    </w:p>
    <w:p>
      <w:pPr>
        <w:numPr>
          <w:ilvl w:val="255"/>
          <w:numId w:val="0"/>
        </w:numPr>
        <w:rPr>
          <w:rFonts w:hint="eastAsia" w:ascii="宋体" w:hAnsi="宋体" w:cs="宋体"/>
          <w:b/>
          <w:bCs/>
          <w:szCs w:val="21"/>
          <w:highlight w:val="none"/>
        </w:rPr>
      </w:pPr>
    </w:p>
    <w:p>
      <w:pPr>
        <w:numPr>
          <w:ilvl w:val="255"/>
          <w:numId w:val="0"/>
        </w:numPr>
        <w:rPr>
          <w:rFonts w:hint="eastAsia" w:ascii="宋体" w:hAnsi="宋体" w:cs="宋体"/>
          <w:b/>
          <w:bCs/>
          <w:szCs w:val="21"/>
          <w:highlight w:val="none"/>
        </w:rPr>
      </w:pPr>
    </w:p>
    <w:p>
      <w:pPr>
        <w:numPr>
          <w:ilvl w:val="255"/>
          <w:numId w:val="0"/>
        </w:numPr>
        <w:rPr>
          <w:rFonts w:hint="eastAsia" w:ascii="宋体" w:hAnsi="宋体" w:cs="宋体"/>
          <w:b/>
          <w:bCs/>
          <w:szCs w:val="21"/>
          <w:highlight w:val="none"/>
        </w:rPr>
      </w:pPr>
    </w:p>
    <w:p>
      <w:pPr>
        <w:numPr>
          <w:ilvl w:val="255"/>
          <w:numId w:val="0"/>
        </w:numPr>
        <w:rPr>
          <w:rFonts w:hint="eastAsia" w:ascii="宋体" w:hAnsi="宋体" w:cs="宋体"/>
          <w:b/>
          <w:bCs/>
          <w:szCs w:val="21"/>
          <w:highlight w:val="none"/>
        </w:rPr>
      </w:pPr>
    </w:p>
    <w:p>
      <w:pPr>
        <w:numPr>
          <w:ilvl w:val="255"/>
          <w:numId w:val="0"/>
        </w:numPr>
        <w:rPr>
          <w:rFonts w:hint="eastAsia" w:ascii="宋体" w:hAnsi="宋体" w:cs="宋体"/>
          <w:b/>
          <w:bCs/>
          <w:szCs w:val="21"/>
          <w:highlight w:val="none"/>
        </w:rPr>
      </w:pPr>
    </w:p>
    <w:p>
      <w:pPr>
        <w:numPr>
          <w:ilvl w:val="255"/>
          <w:numId w:val="0"/>
        </w:numPr>
        <w:rPr>
          <w:rFonts w:hint="eastAsia" w:ascii="宋体" w:hAnsi="宋体" w:cs="宋体"/>
          <w:b/>
          <w:bCs/>
          <w:szCs w:val="21"/>
          <w:highlight w:val="none"/>
        </w:rPr>
      </w:pPr>
    </w:p>
    <w:p>
      <w:pPr>
        <w:numPr>
          <w:ilvl w:val="255"/>
          <w:numId w:val="0"/>
        </w:numPr>
        <w:rPr>
          <w:rFonts w:hint="eastAsia" w:ascii="宋体" w:hAnsi="宋体" w:cs="宋体"/>
          <w:b/>
          <w:bCs/>
          <w:szCs w:val="21"/>
          <w:highlight w:val="none"/>
        </w:rPr>
      </w:pPr>
    </w:p>
    <w:p>
      <w:pPr>
        <w:numPr>
          <w:ilvl w:val="255"/>
          <w:numId w:val="0"/>
        </w:numPr>
        <w:rPr>
          <w:rFonts w:hint="eastAsia" w:ascii="宋体" w:hAnsi="宋体" w:cs="宋体"/>
          <w:b/>
          <w:bCs/>
          <w:szCs w:val="21"/>
          <w:highlight w:val="none"/>
        </w:rPr>
      </w:pPr>
    </w:p>
    <w:p>
      <w:pPr>
        <w:numPr>
          <w:ilvl w:val="255"/>
          <w:numId w:val="0"/>
        </w:numPr>
        <w:rPr>
          <w:rFonts w:hint="eastAsia" w:ascii="宋体" w:hAnsi="宋体" w:cs="宋体"/>
          <w:b/>
          <w:bCs/>
          <w:szCs w:val="21"/>
          <w:highlight w:val="none"/>
        </w:rPr>
      </w:pPr>
    </w:p>
    <w:p>
      <w:pPr>
        <w:numPr>
          <w:ilvl w:val="255"/>
          <w:numId w:val="0"/>
        </w:numPr>
        <w:rPr>
          <w:rFonts w:hint="eastAsia" w:ascii="宋体" w:hAnsi="宋体" w:cs="宋体"/>
          <w:b/>
          <w:bCs/>
          <w:szCs w:val="21"/>
          <w:highlight w:val="none"/>
        </w:rPr>
      </w:pPr>
    </w:p>
    <w:p>
      <w:pPr>
        <w:numPr>
          <w:ilvl w:val="255"/>
          <w:numId w:val="0"/>
        </w:numPr>
        <w:rPr>
          <w:rFonts w:hint="eastAsia" w:ascii="宋体" w:hAnsi="宋体" w:cs="宋体"/>
          <w:b/>
          <w:bCs/>
          <w:szCs w:val="21"/>
          <w:highlight w:val="none"/>
        </w:rPr>
      </w:pPr>
    </w:p>
    <w:p>
      <w:pPr>
        <w:numPr>
          <w:ilvl w:val="255"/>
          <w:numId w:val="0"/>
        </w:numPr>
        <w:rPr>
          <w:rFonts w:hint="eastAsia" w:ascii="宋体" w:hAnsi="宋体" w:cs="宋体"/>
          <w:b/>
          <w:bCs/>
          <w:szCs w:val="21"/>
          <w:highlight w:val="none"/>
        </w:rPr>
      </w:pPr>
    </w:p>
    <w:p>
      <w:pPr>
        <w:numPr>
          <w:ilvl w:val="255"/>
          <w:numId w:val="0"/>
        </w:numPr>
        <w:rPr>
          <w:rFonts w:hint="default" w:ascii="宋体" w:hAnsi="宋体" w:cs="宋体" w:eastAsiaTheme="minorEastAsia"/>
          <w:b/>
          <w:bCs/>
          <w:szCs w:val="21"/>
          <w:highlight w:val="none"/>
          <w:lang w:val="en-US" w:eastAsia="zh-CN"/>
        </w:rPr>
      </w:pPr>
      <w:r>
        <w:rPr>
          <w:rFonts w:hint="eastAsia" w:ascii="宋体" w:hAnsi="宋体" w:cs="宋体"/>
          <w:b/>
          <w:bCs/>
          <w:szCs w:val="21"/>
          <w:highlight w:val="none"/>
          <w:lang w:val="en-US" w:eastAsia="zh-CN"/>
        </w:rPr>
        <w:t>附件1 发包通知书</w:t>
      </w:r>
    </w:p>
    <w:p>
      <w:pPr>
        <w:numPr>
          <w:ilvl w:val="255"/>
          <w:numId w:val="0"/>
        </w:numPr>
        <w:rPr>
          <w:rFonts w:ascii="宋体" w:hAnsi="宋体" w:cs="宋体"/>
          <w:b/>
          <w:bCs/>
          <w:szCs w:val="21"/>
          <w:highlight w:val="none"/>
        </w:rPr>
      </w:pPr>
      <w:r>
        <w:rPr>
          <w:rFonts w:hint="eastAsia" w:ascii="宋体" w:hAnsi="宋体" w:cs="宋体"/>
          <w:b/>
          <w:bCs/>
          <w:szCs w:val="21"/>
          <w:highlight w:val="none"/>
        </w:rPr>
        <w:t>附件</w:t>
      </w:r>
      <w:r>
        <w:rPr>
          <w:rFonts w:hint="eastAsia" w:ascii="宋体" w:hAnsi="宋体" w:cs="宋体"/>
          <w:b/>
          <w:bCs/>
          <w:szCs w:val="21"/>
          <w:highlight w:val="none"/>
          <w:lang w:val="en-US" w:eastAsia="zh-CN"/>
        </w:rPr>
        <w:t>2</w:t>
      </w:r>
      <w:r>
        <w:rPr>
          <w:rFonts w:hint="eastAsia" w:ascii="宋体" w:hAnsi="宋体" w:cs="宋体"/>
          <w:b/>
          <w:bCs/>
          <w:szCs w:val="21"/>
          <w:highlight w:val="none"/>
        </w:rPr>
        <w:t>廉洁协议</w:t>
      </w:r>
    </w:p>
    <w:p>
      <w:pPr>
        <w:pStyle w:val="46"/>
        <w:rPr>
          <w:color w:val="auto"/>
          <w:highlight w:val="none"/>
        </w:rPr>
      </w:pPr>
    </w:p>
    <w:p>
      <w:pPr>
        <w:spacing w:line="520" w:lineRule="exact"/>
        <w:jc w:val="center"/>
        <w:rPr>
          <w:rFonts w:ascii="仿宋" w:hAnsi="仿宋" w:eastAsia="仿宋" w:cs="仿宋"/>
          <w:bCs/>
          <w:sz w:val="28"/>
          <w:szCs w:val="28"/>
          <w:highlight w:val="none"/>
        </w:rPr>
      </w:pPr>
      <w:r>
        <w:rPr>
          <w:rFonts w:hint="eastAsia" w:ascii="仿宋" w:hAnsi="仿宋" w:eastAsia="仿宋" w:cs="仿宋"/>
          <w:bCs/>
          <w:sz w:val="28"/>
          <w:szCs w:val="28"/>
          <w:highlight w:val="none"/>
        </w:rPr>
        <w:t>廉洁协议</w:t>
      </w:r>
    </w:p>
    <w:p>
      <w:pPr>
        <w:spacing w:line="520" w:lineRule="exact"/>
        <w:ind w:firstLine="630" w:firstLineChars="225"/>
        <w:rPr>
          <w:rFonts w:ascii="仿宋" w:hAnsi="仿宋" w:eastAsia="仿宋" w:cs="仿宋"/>
          <w:bCs/>
          <w:sz w:val="28"/>
          <w:szCs w:val="28"/>
          <w:highlight w:val="none"/>
        </w:rPr>
      </w:pPr>
      <w:r>
        <w:rPr>
          <w:rFonts w:hint="eastAsia" w:ascii="仿宋" w:hAnsi="仿宋" w:eastAsia="仿宋" w:cs="仿宋"/>
          <w:bCs/>
          <w:sz w:val="28"/>
          <w:szCs w:val="28"/>
          <w:highlight w:val="none"/>
        </w:rPr>
        <w:t>为促进双方诚信经营、廉洁从业，防范商业贿赂，保护国家、集体和当事人的合法权益，根据国家有关法律法规和广东省、广州市廉政建设的规定，</w:t>
      </w:r>
      <w:r>
        <w:rPr>
          <w:rFonts w:hint="eastAsia" w:ascii="仿宋" w:hAnsi="仿宋" w:eastAsia="仿宋" w:cs="仿宋"/>
          <w:bCs/>
          <w:sz w:val="28"/>
          <w:szCs w:val="28"/>
          <w:highlight w:val="none"/>
          <w:u w:val="single"/>
        </w:rPr>
        <w:t>广州市净水有限公司</w:t>
      </w:r>
      <w:r>
        <w:rPr>
          <w:rFonts w:hint="eastAsia" w:ascii="仿宋" w:hAnsi="仿宋" w:eastAsia="仿宋" w:cs="仿宋"/>
          <w:bCs/>
          <w:sz w:val="28"/>
          <w:szCs w:val="28"/>
          <w:highlight w:val="none"/>
        </w:rPr>
        <w:t>(以下称甲方)与(以下称乙方)，特此订立本协议共同遵照执行。</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第一条 甲乙双方的权利和义务</w:t>
      </w:r>
    </w:p>
    <w:p>
      <w:pPr>
        <w:spacing w:line="520" w:lineRule="exact"/>
        <w:ind w:firstLine="420" w:firstLineChars="150"/>
        <w:rPr>
          <w:rFonts w:ascii="仿宋" w:hAnsi="仿宋" w:eastAsia="仿宋" w:cs="仿宋"/>
          <w:bCs/>
          <w:sz w:val="28"/>
          <w:szCs w:val="28"/>
          <w:highlight w:val="none"/>
        </w:rPr>
      </w:pPr>
      <w:r>
        <w:rPr>
          <w:rFonts w:hint="eastAsia" w:ascii="仿宋" w:hAnsi="仿宋" w:eastAsia="仿宋" w:cs="仿宋"/>
          <w:bCs/>
          <w:sz w:val="28"/>
          <w:szCs w:val="28"/>
          <w:highlight w:val="none"/>
        </w:rPr>
        <w:t>（一）甲乙双方严格遵守国家关于市场准入、项目招标投标、市场经营活动等有关法律、法规相关政策及廉政建设的各项规定。</w:t>
      </w:r>
    </w:p>
    <w:p>
      <w:pPr>
        <w:spacing w:line="520" w:lineRule="exact"/>
        <w:ind w:firstLine="420" w:firstLineChars="150"/>
        <w:rPr>
          <w:rFonts w:ascii="仿宋" w:hAnsi="仿宋" w:eastAsia="仿宋" w:cs="仿宋"/>
          <w:bCs/>
          <w:sz w:val="28"/>
          <w:szCs w:val="28"/>
          <w:highlight w:val="none"/>
        </w:rPr>
      </w:pPr>
      <w:r>
        <w:rPr>
          <w:rFonts w:hint="eastAsia" w:ascii="仿宋" w:hAnsi="仿宋" w:eastAsia="仿宋" w:cs="仿宋"/>
          <w:bCs/>
          <w:sz w:val="28"/>
          <w:szCs w:val="28"/>
          <w:highlight w:val="none"/>
        </w:rPr>
        <w:t>（二）严格执行合同（以下简称：主合同），自觉履行合同约定的相关义务。</w:t>
      </w:r>
    </w:p>
    <w:p>
      <w:pPr>
        <w:spacing w:line="520" w:lineRule="exact"/>
        <w:ind w:firstLine="420" w:firstLineChars="150"/>
        <w:rPr>
          <w:rFonts w:ascii="仿宋" w:hAnsi="仿宋" w:eastAsia="仿宋" w:cs="仿宋"/>
          <w:bCs/>
          <w:sz w:val="28"/>
          <w:szCs w:val="28"/>
          <w:highlight w:val="none"/>
        </w:rPr>
      </w:pPr>
      <w:r>
        <w:rPr>
          <w:rFonts w:hint="eastAsia" w:ascii="仿宋" w:hAnsi="仿宋" w:eastAsia="仿宋" w:cs="仿宋"/>
          <w:bCs/>
          <w:sz w:val="28"/>
          <w:szCs w:val="28"/>
          <w:highlight w:val="none"/>
        </w:rPr>
        <w:t>（三）在业务活动中坚持公开、公正、诚信、透明的原则，不得损害国家、集体利益。</w:t>
      </w:r>
    </w:p>
    <w:p>
      <w:pPr>
        <w:spacing w:line="520" w:lineRule="exact"/>
        <w:ind w:firstLine="420" w:firstLineChars="150"/>
        <w:rPr>
          <w:rFonts w:ascii="仿宋" w:hAnsi="仿宋" w:eastAsia="仿宋" w:cs="仿宋"/>
          <w:bCs/>
          <w:sz w:val="28"/>
          <w:szCs w:val="28"/>
          <w:highlight w:val="none"/>
        </w:rPr>
      </w:pPr>
      <w:r>
        <w:rPr>
          <w:rFonts w:hint="eastAsia" w:ascii="仿宋" w:hAnsi="仿宋" w:eastAsia="仿宋" w:cs="仿宋"/>
          <w:bCs/>
          <w:sz w:val="28"/>
          <w:szCs w:val="28"/>
          <w:highlight w:val="none"/>
        </w:rPr>
        <w:t>（四）建立健全廉洁从业制度，开展廉洁教育，公布举报电话，监督并认真查处不廉洁及违法违纪行为。</w:t>
      </w:r>
    </w:p>
    <w:p>
      <w:pPr>
        <w:spacing w:line="520" w:lineRule="exact"/>
        <w:ind w:firstLine="420" w:firstLineChars="150"/>
        <w:rPr>
          <w:rFonts w:ascii="仿宋" w:hAnsi="仿宋" w:eastAsia="仿宋" w:cs="仿宋"/>
          <w:bCs/>
          <w:sz w:val="28"/>
          <w:szCs w:val="28"/>
          <w:highlight w:val="none"/>
        </w:rPr>
      </w:pPr>
      <w:r>
        <w:rPr>
          <w:rFonts w:hint="eastAsia" w:ascii="仿宋" w:hAnsi="仿宋" w:eastAsia="仿宋" w:cs="仿宋"/>
          <w:bCs/>
          <w:sz w:val="28"/>
          <w:szCs w:val="28"/>
          <w:highlight w:val="none"/>
        </w:rPr>
        <w:t>（五）发现对方在业务活动中有不廉洁行为，应及时提醒对方纠正。情节严重的，应向其有关监督部门检举。</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第二条甲方的义务</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（一）甲方及其工作人员不得索要或接受乙方的礼金、有价证券和贵重物品，不得在乙方报销任何应由甲方或个人支付的费用等。</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（三）甲方及其工作人员不得要求或者接受乙方为其住房装修、婚丧嫁娶活动、配偶子女工作安排以及出国出境、旅游等提供方便等。</w:t>
      </w:r>
    </w:p>
    <w:p>
      <w:pPr>
        <w:spacing w:line="520" w:lineRule="exact"/>
        <w:ind w:left="15" w:leftChars="7"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（四）甲方工作人员不得在乙方或与乙方有股权关联的企业兼职，不得向乙方介绍家属或者亲友从事与甲方业务有关的经济活动。</w:t>
      </w:r>
    </w:p>
    <w:p>
      <w:pPr>
        <w:spacing w:line="520" w:lineRule="exact"/>
        <w:ind w:left="15" w:leftChars="7"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（六）甲方工作人员不得利用职务之便收受乙方以回扣、手续费、加班费、咨询费、劳务费、协调费、辛苦费等各种名义给予或赠送的钱物。</w:t>
      </w:r>
    </w:p>
    <w:p>
      <w:pPr>
        <w:spacing w:line="520" w:lineRule="exact"/>
        <w:ind w:left="15" w:leftChars="7"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（七）甲方工作人员不得接受乙方给予或赠送的干股或红利。</w:t>
      </w:r>
    </w:p>
    <w:p>
      <w:pPr>
        <w:spacing w:line="520" w:lineRule="exact"/>
        <w:ind w:left="15" w:leftChars="7"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(八）不得存在其他违反廉洁规定的行为。</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第三条乙方的义务</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（一）乙方不得以任何理由向甲方及其工作人员行贿或馈赠礼金、有价证券、贵重礼品。</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（二)乙方不得以任何名义为甲方及其工作人员报销应由甲方单位或个人支付的任何费用。</w:t>
      </w:r>
    </w:p>
    <w:p>
      <w:pPr>
        <w:spacing w:line="520" w:lineRule="exact"/>
        <w:ind w:left="25" w:leftChars="12"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（三）乙方不得以任何理由安排甲方工作人员参加可能影响相关业务公开、公正、公平性的宴请及娱乐活动。</w:t>
      </w:r>
    </w:p>
    <w:p>
      <w:pPr>
        <w:pStyle w:val="14"/>
        <w:spacing w:line="520" w:lineRule="exact"/>
        <w:rPr>
          <w:rFonts w:ascii="仿宋" w:hAnsi="仿宋" w:eastAsia="仿宋" w:cs="仿宋"/>
          <w:bCs/>
          <w:sz w:val="28"/>
          <w:szCs w:val="28"/>
          <w:highlight w:val="none"/>
        </w:rPr>
      </w:pPr>
      <w:r>
        <w:rPr>
          <w:rFonts w:hint="eastAsia" w:ascii="仿宋" w:hAnsi="仿宋" w:eastAsia="仿宋" w:cs="仿宋"/>
          <w:bCs/>
          <w:sz w:val="28"/>
          <w:szCs w:val="28"/>
          <w:highlight w:val="none"/>
        </w:rPr>
        <w:t>（四）乙方不得为甲方单位和个人购置或提供通讯工具和高档办公用品等物品，也不得为甲方提供与工作无关的房屋、汽车等。</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（五）乙方不得擅自与甲方工作人员就主合同中的质量、数量、价格、工程量、验收等条款进行私下商谈或者达成默契。</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（六）乙方不得以回扣、手续费、加班费、咨询费、劳务费、协调费、辛苦费等各种名义向甲方工作人员给予或赠送钱物。</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（七）乙方不得向甲方工作人员提供干股或红利。</w:t>
      </w:r>
    </w:p>
    <w:p>
      <w:pPr>
        <w:spacing w:line="520" w:lineRule="exact"/>
        <w:ind w:left="15" w:leftChars="7"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(八）不得存在其他违反廉洁规定的行为。</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第四条违约责任</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甲方举报投诉联系部门：广州市净水有限公司</w:t>
      </w:r>
      <w:r>
        <w:rPr>
          <w:rFonts w:hint="eastAsia" w:ascii="仿宋" w:hAnsi="仿宋" w:eastAsia="仿宋" w:cs="仿宋"/>
          <w:bCs/>
          <w:sz w:val="28"/>
          <w:szCs w:val="28"/>
          <w:highlight w:val="none"/>
          <w:u w:val="single"/>
        </w:rPr>
        <w:t>纪检室</w:t>
      </w:r>
      <w:r>
        <w:rPr>
          <w:rFonts w:hint="eastAsia" w:ascii="仿宋" w:hAnsi="仿宋" w:eastAsia="仿宋" w:cs="仿宋"/>
          <w:bCs/>
          <w:sz w:val="28"/>
          <w:szCs w:val="28"/>
          <w:highlight w:val="none"/>
        </w:rPr>
        <w:t>，联系电话：</w:t>
      </w:r>
      <w:r>
        <w:rPr>
          <w:rFonts w:hint="eastAsia" w:ascii="仿宋" w:hAnsi="仿宋" w:eastAsia="仿宋" w:cs="仿宋"/>
          <w:bCs/>
          <w:sz w:val="28"/>
          <w:szCs w:val="28"/>
          <w:highlight w:val="none"/>
          <w:u w:val="single"/>
        </w:rPr>
        <w:t xml:space="preserve"> 020-38890265 </w:t>
      </w:r>
      <w:r>
        <w:rPr>
          <w:rFonts w:hint="eastAsia" w:ascii="仿宋" w:hAnsi="仿宋" w:eastAsia="仿宋" w:cs="仿宋"/>
          <w:bCs/>
          <w:sz w:val="28"/>
          <w:szCs w:val="28"/>
          <w:highlight w:val="none"/>
        </w:rPr>
        <w:t>。</w:t>
      </w:r>
    </w:p>
    <w:p>
      <w:pPr>
        <w:pStyle w:val="20"/>
        <w:spacing w:beforeAutospacing="0" w:line="520" w:lineRule="exac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0"/>
        <w:spacing w:beforeAutospacing="0" w:line="520" w:lineRule="exac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1、扣除主合同的全部履约保证金；</w:t>
      </w:r>
    </w:p>
    <w:p>
      <w:pPr>
        <w:pStyle w:val="20"/>
        <w:spacing w:beforeAutospacing="0" w:line="520" w:lineRule="exac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2、解除主合同；</w:t>
      </w:r>
    </w:p>
    <w:p>
      <w:pPr>
        <w:pStyle w:val="20"/>
        <w:spacing w:beforeAutospacing="0" w:line="520" w:lineRule="exac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3、追究乙方其他违约责任；</w:t>
      </w:r>
    </w:p>
    <w:p>
      <w:pPr>
        <w:pStyle w:val="20"/>
        <w:spacing w:beforeAutospacing="0" w:line="520" w:lineRule="exac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4、根据甲方的有关规章制度，在一定时间内暂停乙方参与甲方及下属单位所有项目的交易资格；</w:t>
      </w:r>
    </w:p>
    <w:p>
      <w:pPr>
        <w:pStyle w:val="20"/>
        <w:spacing w:beforeAutospacing="0" w:line="520" w:lineRule="exac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5、根据甲方的有关规章制度，将乙方清退出甲方相关企业库；</w:t>
      </w:r>
    </w:p>
    <w:p>
      <w:pPr>
        <w:pStyle w:val="20"/>
        <w:spacing w:beforeAutospacing="0" w:line="520" w:lineRule="exac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6、根据甲方上级单位、行政主管部门的意见、决定执行；</w:t>
      </w:r>
    </w:p>
    <w:p>
      <w:pPr>
        <w:pStyle w:val="20"/>
        <w:spacing w:beforeAutospacing="0" w:line="520" w:lineRule="exac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7、按规定向有关行政监督部门、乙方业务管理部门进行投诉、报告。</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乙方无条件接受甲方的处理决定并承担给甲方造成的损失，全额返还通过不正当手段获取的非法所得，并承担相应的法律责任。</w:t>
      </w:r>
    </w:p>
    <w:p>
      <w:pPr>
        <w:spacing w:line="520" w:lineRule="exact"/>
        <w:ind w:firstLine="560" w:firstLineChars="200"/>
        <w:rPr>
          <w:rFonts w:ascii="仿宋" w:hAnsi="仿宋" w:eastAsia="仿宋" w:cs="仿宋"/>
          <w:bCs/>
          <w:kern w:val="0"/>
          <w:sz w:val="28"/>
          <w:szCs w:val="28"/>
          <w:highlight w:val="none"/>
        </w:rPr>
      </w:pPr>
      <w:r>
        <w:rPr>
          <w:rFonts w:hint="eastAsia" w:ascii="仿宋" w:hAnsi="仿宋" w:eastAsia="仿宋" w:cs="仿宋"/>
          <w:bCs/>
          <w:sz w:val="28"/>
          <w:szCs w:val="28"/>
          <w:highlight w:val="none"/>
        </w:rPr>
        <w:t xml:space="preserve">第五条 </w:t>
      </w:r>
      <w:r>
        <w:rPr>
          <w:rFonts w:hint="eastAsia" w:ascii="仿宋" w:hAnsi="仿宋" w:eastAsia="仿宋" w:cs="仿宋"/>
          <w:bCs/>
          <w:kern w:val="0"/>
          <w:sz w:val="28"/>
          <w:szCs w:val="28"/>
          <w:highlight w:val="none"/>
        </w:rPr>
        <w:t xml:space="preserve">本协议执行情况，接受有管辖权的纪检、监察部门的监督，双方应予以配合检查调查。 </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第六条本协议作为</w:t>
      </w:r>
      <w:r>
        <w:rPr>
          <w:rFonts w:hint="eastAsia" w:ascii="仿宋" w:hAnsi="仿宋" w:eastAsia="仿宋" w:cs="仿宋"/>
          <w:bCs/>
          <w:sz w:val="28"/>
          <w:szCs w:val="28"/>
          <w:highlight w:val="none"/>
          <w:u w:val="single"/>
        </w:rPr>
        <w:t>（合同名称）+（合同编号）</w:t>
      </w:r>
      <w:r>
        <w:rPr>
          <w:rFonts w:hint="eastAsia" w:ascii="仿宋" w:hAnsi="仿宋" w:eastAsia="仿宋" w:cs="仿宋"/>
          <w:bCs/>
          <w:sz w:val="28"/>
          <w:szCs w:val="28"/>
          <w:highlight w:val="none"/>
        </w:rPr>
        <w:t>合同的附件，并具有同等的法律效力，本协议自双方签字盖章之日起生效，与主合同同时终止。</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第七条本协议一式</w:t>
      </w:r>
      <w:r>
        <w:rPr>
          <w:rFonts w:hint="eastAsia" w:ascii="仿宋" w:hAnsi="仿宋" w:eastAsia="仿宋" w:cs="仿宋"/>
          <w:bCs/>
          <w:sz w:val="28"/>
          <w:szCs w:val="28"/>
          <w:highlight w:val="none"/>
          <w:u w:val="single"/>
        </w:rPr>
        <w:t>…</w:t>
      </w:r>
      <w:r>
        <w:rPr>
          <w:rFonts w:hint="eastAsia" w:ascii="仿宋" w:hAnsi="仿宋" w:eastAsia="仿宋" w:cs="仿宋"/>
          <w:bCs/>
          <w:sz w:val="28"/>
          <w:szCs w:val="28"/>
          <w:highlight w:val="none"/>
        </w:rPr>
        <w:t>份，甲方</w:t>
      </w:r>
      <w:r>
        <w:rPr>
          <w:rFonts w:hint="eastAsia" w:ascii="仿宋" w:hAnsi="仿宋" w:eastAsia="仿宋" w:cs="仿宋"/>
          <w:bCs/>
          <w:sz w:val="28"/>
          <w:szCs w:val="28"/>
          <w:highlight w:val="none"/>
          <w:u w:val="single"/>
        </w:rPr>
        <w:t>…</w:t>
      </w:r>
      <w:r>
        <w:rPr>
          <w:rFonts w:hint="eastAsia" w:ascii="仿宋" w:hAnsi="仿宋" w:eastAsia="仿宋" w:cs="仿宋"/>
          <w:bCs/>
          <w:sz w:val="28"/>
          <w:szCs w:val="28"/>
          <w:highlight w:val="none"/>
        </w:rPr>
        <w:t>份，乙方</w:t>
      </w:r>
      <w:r>
        <w:rPr>
          <w:rFonts w:hint="eastAsia" w:ascii="仿宋" w:hAnsi="仿宋" w:eastAsia="仿宋" w:cs="仿宋"/>
          <w:bCs/>
          <w:sz w:val="28"/>
          <w:szCs w:val="28"/>
          <w:highlight w:val="none"/>
          <w:u w:val="single"/>
        </w:rPr>
        <w:t>…</w:t>
      </w:r>
      <w:r>
        <w:rPr>
          <w:rFonts w:hint="eastAsia" w:ascii="仿宋" w:hAnsi="仿宋" w:eastAsia="仿宋" w:cs="仿宋"/>
          <w:bCs/>
          <w:sz w:val="28"/>
          <w:szCs w:val="28"/>
          <w:highlight w:val="none"/>
        </w:rPr>
        <w:t>份。</w:t>
      </w:r>
    </w:p>
    <w:p>
      <w:pPr>
        <w:spacing w:line="520" w:lineRule="exact"/>
        <w:ind w:firstLine="560" w:firstLineChars="200"/>
        <w:rPr>
          <w:rFonts w:ascii="仿宋" w:hAnsi="仿宋" w:eastAsia="仿宋" w:cs="仿宋"/>
          <w:bCs/>
          <w:sz w:val="28"/>
          <w:szCs w:val="28"/>
          <w:highlight w:val="none"/>
        </w:rPr>
      </w:pPr>
    </w:p>
    <w:p>
      <w:pPr>
        <w:spacing w:line="520" w:lineRule="exact"/>
        <w:rPr>
          <w:rFonts w:ascii="仿宋" w:hAnsi="仿宋" w:eastAsia="仿宋" w:cs="仿宋"/>
          <w:bCs/>
          <w:sz w:val="28"/>
          <w:szCs w:val="28"/>
          <w:highlight w:val="none"/>
        </w:rPr>
      </w:pPr>
    </w:p>
    <w:p>
      <w:pPr>
        <w:spacing w:line="520" w:lineRule="exact"/>
        <w:rPr>
          <w:rFonts w:ascii="仿宋" w:hAnsi="仿宋" w:eastAsia="仿宋" w:cs="仿宋"/>
          <w:bCs/>
          <w:sz w:val="28"/>
          <w:szCs w:val="28"/>
          <w:highlight w:val="none"/>
        </w:rPr>
      </w:pPr>
      <w:r>
        <w:rPr>
          <w:rFonts w:hint="eastAsia" w:ascii="仿宋" w:hAnsi="仿宋" w:eastAsia="仿宋" w:cs="仿宋"/>
          <w:bCs/>
          <w:sz w:val="28"/>
          <w:szCs w:val="28"/>
          <w:highlight w:val="none"/>
        </w:rPr>
        <w:t>甲方（盖章）：                     乙方（盖章）：</w:t>
      </w:r>
    </w:p>
    <w:p>
      <w:pPr>
        <w:pStyle w:val="33"/>
        <w:tabs>
          <w:tab w:val="left" w:pos="5100"/>
        </w:tabs>
        <w:spacing w:line="520" w:lineRule="exact"/>
        <w:ind w:left="7200" w:firstLine="0" w:firstLineChars="0"/>
        <w:jc w:val="left"/>
        <w:rPr>
          <w:rFonts w:ascii="仿宋" w:hAnsi="仿宋" w:eastAsia="仿宋" w:cs="仿宋"/>
          <w:bCs/>
          <w:sz w:val="28"/>
          <w:szCs w:val="28"/>
          <w:highlight w:val="none"/>
        </w:rPr>
      </w:pPr>
    </w:p>
    <w:p>
      <w:pPr>
        <w:tabs>
          <w:tab w:val="left" w:pos="5100"/>
        </w:tabs>
        <w:spacing w:line="520" w:lineRule="exact"/>
        <w:ind w:left="8400" w:hanging="8400" w:hangingChars="3000"/>
        <w:rPr>
          <w:rFonts w:ascii="仿宋" w:hAnsi="仿宋" w:eastAsia="仿宋" w:cs="仿宋"/>
          <w:bCs/>
          <w:sz w:val="28"/>
          <w:szCs w:val="28"/>
          <w:highlight w:val="none"/>
        </w:rPr>
      </w:pPr>
      <w:r>
        <w:rPr>
          <w:rFonts w:hint="eastAsia" w:ascii="仿宋" w:hAnsi="仿宋" w:eastAsia="仿宋" w:cs="仿宋"/>
          <w:bCs/>
          <w:sz w:val="28"/>
          <w:szCs w:val="28"/>
          <w:highlight w:val="none"/>
        </w:rPr>
        <w:t>签约代表：                         签约代表：</w:t>
      </w:r>
    </w:p>
    <w:p>
      <w:pPr>
        <w:tabs>
          <w:tab w:val="left" w:pos="4170"/>
        </w:tabs>
        <w:spacing w:line="360" w:lineRule="auto"/>
        <w:rPr>
          <w:rFonts w:ascii="宋体" w:hAnsi="宋体"/>
          <w:sz w:val="24"/>
          <w:highlight w:val="none"/>
        </w:rPr>
      </w:pPr>
      <w:r>
        <w:rPr>
          <w:rFonts w:hint="eastAsia" w:ascii="仿宋" w:hAnsi="仿宋" w:eastAsia="仿宋" w:cs="仿宋"/>
          <w:bCs/>
          <w:sz w:val="28"/>
          <w:szCs w:val="28"/>
          <w:highlight w:val="none"/>
        </w:rPr>
        <w:t>日期:    年  月  日</w:t>
      </w:r>
      <w:r>
        <w:rPr>
          <w:rFonts w:hint="eastAsia" w:ascii="仿宋" w:hAnsi="仿宋" w:eastAsia="仿宋" w:cs="仿宋"/>
          <w:bCs/>
          <w:sz w:val="28"/>
          <w:szCs w:val="28"/>
          <w:highlight w:val="none"/>
        </w:rPr>
        <w:tab/>
      </w:r>
      <w:r>
        <w:rPr>
          <w:rFonts w:hint="eastAsia" w:ascii="仿宋" w:hAnsi="仿宋" w:eastAsia="仿宋" w:cs="仿宋"/>
          <w:bCs/>
          <w:sz w:val="28"/>
          <w:szCs w:val="28"/>
          <w:highlight w:val="none"/>
        </w:rPr>
        <w:t>日期：  年  月  日</w:t>
      </w:r>
    </w:p>
    <w:p>
      <w:pPr>
        <w:rPr>
          <w:b/>
          <w:sz w:val="28"/>
          <w:szCs w:val="28"/>
          <w:highlight w:val="none"/>
        </w:rPr>
        <w:sectPr>
          <w:pgSz w:w="11906" w:h="16838"/>
          <w:pgMar w:top="2098" w:right="1474" w:bottom="1985" w:left="1588" w:header="851" w:footer="992" w:gutter="0"/>
          <w:pgNumType w:start="0"/>
          <w:cols w:space="425" w:num="1"/>
          <w:titlePg/>
          <w:docGrid w:type="lines" w:linePitch="312" w:charSpace="0"/>
        </w:sectPr>
      </w:pPr>
    </w:p>
    <w:p>
      <w:pPr>
        <w:numPr>
          <w:ilvl w:val="255"/>
          <w:numId w:val="0"/>
        </w:numPr>
        <w:rPr>
          <w:rFonts w:ascii="宋体" w:hAnsi="宋体" w:cs="宋体"/>
          <w:b/>
          <w:bCs/>
          <w:szCs w:val="21"/>
          <w:highlight w:val="none"/>
        </w:rPr>
      </w:pPr>
      <w:r>
        <w:rPr>
          <w:rFonts w:hint="eastAsia" w:ascii="宋体" w:hAnsi="宋体" w:cs="宋体"/>
          <w:b/>
          <w:bCs/>
          <w:szCs w:val="21"/>
          <w:highlight w:val="none"/>
        </w:rPr>
        <w:t>附件</w:t>
      </w:r>
      <w:r>
        <w:rPr>
          <w:rFonts w:hint="eastAsia" w:ascii="宋体" w:hAnsi="宋体" w:cs="宋体"/>
          <w:b/>
          <w:bCs/>
          <w:szCs w:val="21"/>
          <w:highlight w:val="none"/>
          <w:lang w:val="en-US" w:eastAsia="zh-CN"/>
        </w:rPr>
        <w:t>3</w:t>
      </w:r>
      <w:r>
        <w:rPr>
          <w:rFonts w:hint="eastAsia" w:ascii="宋体" w:hAnsi="宋体" w:cs="宋体"/>
          <w:b/>
          <w:bCs/>
          <w:szCs w:val="21"/>
          <w:highlight w:val="none"/>
        </w:rPr>
        <w:t>：安全协议书</w:t>
      </w: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5"/>
          <w:rFonts w:asciiTheme="minorEastAsia" w:hAnsiTheme="minorEastAsia" w:eastAsiaTheme="minorEastAsia"/>
          <w:b w:val="0"/>
          <w:u w:val="single"/>
        </w:rPr>
      </w:pP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根据《中华人民共和国安全生产法》、《生产安全事故报告和调查处理条例》等国家及地方有关安全生产法律法规, 经双方协商，签订本协议书，以明确各自的安全生产、职业卫生责任、消防安全责任并共同遵守。</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的组成部分，与主合同具有同等法律。</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二、甲方权责</w:t>
      </w:r>
    </w:p>
    <w:p>
      <w:pPr>
        <w:adjustRightInd w:val="0"/>
        <w:snapToGrid w:val="0"/>
        <w:spacing w:line="560" w:lineRule="exact"/>
        <w:ind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（一）告知乙方该场所可能存在的安全风险，要求乙方在作业前应重新识别现场的安全风险并采取措施进行管控。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（二）乙方对存在问题拒不整改，或违法甲方安全管理要求的，视为违约，甲方有权按主合同相关条款对乙方进行违约金扣罚。如乙方拒不缴纳违约金的，甲方有权在履约保证金中扣除。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三、乙方权责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（二）根据乙方单位管理制度及合同约定的本次工作，制定相应的应急预案。明确发生突发事件时，相关人员按预案开展应急处置工作。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（三）严格执行国家、地方和行业主管部门的强制性标准、地方行政法规、管理要求。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（四）遵守甲方制定的安全管理要求。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严格履行本协议，遵守甲方各项安全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（七）乙方聘请、委托的个人或单位，违反本协议的，全部责任均由乙方承担。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四、事故责任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（五）乙方各类人员在甲方生产区域内发生人身伤害事故和其他事故，由乙方负责调查、处理和统计上报，并报甲方安全监督部门备案。</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（七）委托的第三方运输单位或个人，违反本协议的，全部责任均由乙方承担。</w:t>
      </w:r>
    </w:p>
    <w:p>
      <w:pPr>
        <w:pStyle w:val="36"/>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六、附则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Theme="minorEastAsia" w:hAnsiTheme="minorEastAsia" w:eastAsiaTheme="minorEastAsia"/>
          <w:sz w:val="24"/>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adjustRightInd w:val="0"/>
        <w:snapToGrid w:val="0"/>
        <w:spacing w:line="336" w:lineRule="auto"/>
        <w:ind w:firstLine="0" w:firstLineChars="0"/>
        <w:rPr>
          <w:rFonts w:hint="eastAsia" w:ascii="仿宋_GB2312" w:hAnsi="宋体" w:eastAsia="仿宋_GB2312"/>
          <w:b/>
          <w:sz w:val="24"/>
          <w:lang w:val="en-US" w:eastAsia="zh-CN"/>
        </w:rPr>
      </w:pPr>
    </w:p>
    <w:p>
      <w:pPr>
        <w:adjustRightInd w:val="0"/>
        <w:snapToGrid w:val="0"/>
        <w:spacing w:line="336" w:lineRule="auto"/>
        <w:ind w:firstLine="0" w:firstLineChars="0"/>
        <w:rPr>
          <w:rFonts w:hint="eastAsia" w:ascii="仿宋_GB2312" w:hAnsi="宋体" w:eastAsia="仿宋_GB2312"/>
          <w:b/>
          <w:sz w:val="24"/>
          <w:lang w:val="en-US" w:eastAsia="zh-CN"/>
        </w:rPr>
      </w:pPr>
    </w:p>
    <w:p>
      <w:pPr>
        <w:pStyle w:val="21"/>
        <w:ind w:firstLine="0"/>
        <w:rPr>
          <w:rFonts w:hint="default" w:eastAsia="等线"/>
          <w:lang w:val="en-US" w:eastAsia="zh-CN"/>
        </w:rPr>
      </w:pPr>
      <w:r>
        <w:rPr>
          <w:rFonts w:hint="eastAsia" w:ascii="宋体" w:hAnsi="宋体" w:cs="宋体" w:eastAsiaTheme="minorEastAsia"/>
          <w:b/>
          <w:bCs/>
          <w:color w:val="auto"/>
          <w:kern w:val="2"/>
          <w:sz w:val="21"/>
          <w:szCs w:val="21"/>
          <w:highlight w:val="none"/>
          <w:lang w:val="en-US" w:eastAsia="zh-CN" w:bidi="ar-SA"/>
        </w:rPr>
        <w:t>附件5 报价清单（详见响应文件报价清单）</w:t>
      </w:r>
    </w:p>
    <w:p>
      <w:pPr>
        <w:pStyle w:val="21"/>
      </w:pPr>
    </w:p>
    <w:p>
      <w:pPr>
        <w:pStyle w:val="21"/>
      </w:pPr>
    </w:p>
    <w:p>
      <w:pPr>
        <w:pStyle w:val="21"/>
      </w:pPr>
    </w:p>
    <w:p>
      <w:pPr>
        <w:pStyle w:val="54"/>
        <w:jc w:val="center"/>
        <w:rPr>
          <w:rFonts w:eastAsia="方正小标宋简体"/>
          <w:b/>
          <w:bCs/>
          <w:sz w:val="48"/>
          <w:szCs w:val="48"/>
        </w:rPr>
      </w:pPr>
    </w:p>
    <w:p>
      <w:pPr>
        <w:pStyle w:val="54"/>
        <w:jc w:val="center"/>
        <w:rPr>
          <w:rFonts w:eastAsia="方正小标宋简体"/>
          <w:sz w:val="48"/>
          <w:szCs w:val="48"/>
        </w:rPr>
      </w:pPr>
    </w:p>
    <w:p>
      <w:pPr>
        <w:pStyle w:val="55"/>
        <w:rPr>
          <w:rFonts w:eastAsia="方正小标宋简体"/>
          <w:sz w:val="48"/>
          <w:szCs w:val="48"/>
        </w:rPr>
      </w:pPr>
    </w:p>
    <w:p>
      <w:pPr>
        <w:pStyle w:val="55"/>
        <w:rPr>
          <w:rFonts w:eastAsia="方正小标宋简体"/>
          <w:sz w:val="48"/>
          <w:szCs w:val="48"/>
        </w:rPr>
      </w:pPr>
    </w:p>
    <w:p>
      <w:pPr>
        <w:pStyle w:val="55"/>
        <w:rPr>
          <w:rFonts w:eastAsia="方正小标宋简体"/>
          <w:sz w:val="48"/>
          <w:szCs w:val="48"/>
        </w:rPr>
      </w:pPr>
    </w:p>
    <w:p>
      <w:pPr>
        <w:pStyle w:val="55"/>
        <w:ind w:firstLine="0" w:firstLineChars="0"/>
        <w:rPr>
          <w:rFonts w:eastAsia="方正小标宋简体"/>
          <w:sz w:val="48"/>
          <w:szCs w:val="48"/>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1"/>
        <w:rPr>
          <w:rFonts w:ascii="仿宋_GB2312" w:eastAsia="仿宋_GB2312"/>
          <w:color w:val="auto"/>
          <w:sz w:val="28"/>
          <w:szCs w:val="28"/>
          <w:highlight w:val="none"/>
        </w:rPr>
      </w:pPr>
    </w:p>
    <w:p>
      <w:pPr>
        <w:rPr>
          <w:rFonts w:hint="eastAsia"/>
          <w:color w:val="auto"/>
          <w:highlight w:val="none"/>
        </w:rPr>
      </w:pPr>
    </w:p>
    <w:p>
      <w:pPr>
        <w:pStyle w:val="21"/>
        <w:rPr>
          <w:rFonts w:hint="eastAsia"/>
          <w:color w:val="auto"/>
          <w:highlight w:val="none"/>
        </w:rPr>
      </w:pPr>
    </w:p>
    <w:p>
      <w:pPr>
        <w:pStyle w:val="3"/>
        <w:rPr>
          <w:rFonts w:hint="eastAsia"/>
          <w:color w:val="auto"/>
          <w:highlight w:val="none"/>
        </w:rPr>
      </w:pP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16" name="自选图形 2"/>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 o:spid="_x0000_s1026" o:spt="32" type="#_x0000_t32" style="position:absolute;left:0pt;margin-left:181.6pt;margin-top:56.7pt;height:0pt;width:75.5pt;z-index:251676672;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WSZPA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15" name="自选图形 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4" o:spid="_x0000_s1026" o:spt="32" type="#_x0000_t32" style="position:absolute;left:0pt;margin-left:183.1pt;margin-top:21.3pt;height:0pt;width:75.5pt;z-index:251675648;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6awAM8gEAAOM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M84cWLrx&#10;u8/ff336cvv15+2Pb+x5lqgPWFPkym3iaYdhEzPfQxtt/hMTdiiyHs+yqkNigg5fzubzGQku7l3V&#10;Q16ImF4rb1k2Go4pgt51aeWdo7vzcVJUhf0bTFSZEu8TclHjWJ/hp9S6AJrFlmaATBuID7pdyUVv&#10;tLzWxuQMjLvtykS2hzwP5cv8CPevsFxkDdgNccU1TEqnQL5ykqVjIKEcPRCeW7BKcmYUvadsESDU&#10;CbS5JJJKG0cdZIkHUbO19fJYtC7ndPelx9Oc5uH6c1+yH97m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msADPIBAADj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第七章</w:t>
      </w:r>
    </w:p>
    <w:p>
      <w:pPr>
        <w:pStyle w:val="3"/>
        <w:rPr>
          <w:rFonts w:ascii="方正小标宋简体" w:eastAsia="方正小标宋简体"/>
          <w:color w:val="auto"/>
          <w:sz w:val="44"/>
          <w:szCs w:val="44"/>
          <w:highlight w:val="none"/>
        </w:rPr>
      </w:pPr>
      <w:r>
        <w:rPr>
          <w:rFonts w:hint="eastAsia"/>
          <w:color w:val="auto"/>
          <w:highlight w:val="none"/>
        </w:rPr>
        <w:t>响应文件</w:t>
      </w:r>
      <w:r>
        <w:rPr>
          <w:rFonts w:hint="eastAsia"/>
          <w:color w:val="auto"/>
          <w:highlight w:val="none"/>
          <w:lang w:val="en-US" w:eastAsia="zh-CN"/>
        </w:rPr>
        <w:t>格式要求</w:t>
      </w:r>
    </w:p>
    <w:p>
      <w:pPr>
        <w:pStyle w:val="12"/>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12"/>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85" w:name="_Toc88209952"/>
      <w:bookmarkStart w:id="86" w:name="_Toc87616389"/>
      <w:r>
        <w:rPr>
          <w:rFonts w:hint="eastAsia" w:ascii="仿宋_GB2312" w:eastAsia="仿宋_GB2312"/>
          <w:color w:val="auto"/>
          <w:sz w:val="28"/>
          <w:szCs w:val="28"/>
          <w:highlight w:val="none"/>
        </w:rPr>
        <w:t>1.响应函</w:t>
      </w:r>
      <w:bookmarkEnd w:id="85"/>
      <w:bookmarkEnd w:id="86"/>
    </w:p>
    <w:p>
      <w:pPr>
        <w:spacing w:line="600" w:lineRule="exact"/>
        <w:rPr>
          <w:rFonts w:hint="eastAsia" w:ascii="仿宋_GB2312" w:eastAsia="仿宋_GB2312"/>
          <w:color w:val="auto"/>
          <w:sz w:val="28"/>
          <w:szCs w:val="28"/>
          <w:highlight w:val="none"/>
        </w:rPr>
      </w:pPr>
      <w:bookmarkStart w:id="87" w:name="_Toc88209953"/>
      <w:bookmarkStart w:id="88" w:name="_Toc87616390"/>
      <w:r>
        <w:rPr>
          <w:rFonts w:hint="eastAsia" w:ascii="仿宋_GB2312" w:eastAsia="仿宋_GB2312"/>
          <w:color w:val="auto"/>
          <w:sz w:val="28"/>
          <w:szCs w:val="28"/>
          <w:highlight w:val="none"/>
        </w:rPr>
        <w:t>2.法定代表人证明或授权委托书</w:t>
      </w:r>
      <w:bookmarkEnd w:id="87"/>
      <w:bookmarkEnd w:id="88"/>
      <w:bookmarkStart w:id="89" w:name="_Toc88209956"/>
      <w:bookmarkStart w:id="90"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89"/>
      <w:bookmarkEnd w:id="90"/>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pPr>
    </w:p>
    <w:p>
      <w:pPr>
        <w:pStyle w:val="21"/>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5"/>
        <w:rPr>
          <w:rFonts w:asciiTheme="minorEastAsia" w:hAnsiTheme="minorEastAsia" w:eastAsiaTheme="minorEastAsia"/>
          <w:color w:val="auto"/>
          <w:sz w:val="28"/>
          <w:szCs w:val="28"/>
          <w:highlight w:val="none"/>
        </w:rPr>
      </w:pPr>
      <w:bookmarkStart w:id="91" w:name="_Toc28619645"/>
      <w:bookmarkStart w:id="92" w:name="_Toc6313"/>
      <w:bookmarkStart w:id="93" w:name="_Toc88209957"/>
      <w:bookmarkStart w:id="94" w:name="_Toc12665"/>
      <w:bookmarkStart w:id="95" w:name="_Toc87616394"/>
      <w:r>
        <w:rPr>
          <w:rFonts w:hint="eastAsia" w:asciiTheme="minorEastAsia" w:hAnsiTheme="minorEastAsia" w:eastAsiaTheme="minorEastAsia"/>
          <w:color w:val="auto"/>
          <w:sz w:val="28"/>
          <w:szCs w:val="28"/>
          <w:highlight w:val="none"/>
        </w:rPr>
        <w:t>1.响应函</w:t>
      </w:r>
      <w:bookmarkEnd w:id="91"/>
      <w:bookmarkEnd w:id="92"/>
      <w:bookmarkEnd w:id="93"/>
      <w:bookmarkEnd w:id="94"/>
      <w:bookmarkEnd w:id="95"/>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1"/>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bookmarkStart w:id="96" w:name="_Toc22527"/>
      <w:bookmarkStart w:id="97" w:name="_Toc29833"/>
      <w:bookmarkStart w:id="98" w:name="_Toc88209958"/>
      <w:bookmarkStart w:id="99" w:name="_Toc87616395"/>
    </w:p>
    <w:p>
      <w:pPr>
        <w:pStyle w:val="12"/>
        <w:rPr>
          <w:rFonts w:hint="eastAsia"/>
        </w:rPr>
      </w:pPr>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96"/>
      <w:bookmarkEnd w:id="97"/>
      <w:bookmarkEnd w:id="98"/>
      <w:bookmarkEnd w:id="99"/>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8"/>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7"/>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2"/>
        <w:snapToGrid w:val="0"/>
        <w:spacing w:line="600" w:lineRule="exact"/>
        <w:ind w:firstLine="3907" w:firstLineChars="1221"/>
        <w:rPr>
          <w:rFonts w:ascii="仿宋_GB2312" w:hAnsi="宋体" w:eastAsia="仿宋_GB2312" w:cs="Times New Roman"/>
          <w:color w:val="auto"/>
          <w:sz w:val="32"/>
          <w:szCs w:val="32"/>
          <w:highlight w:val="none"/>
        </w:rPr>
      </w:pPr>
    </w:p>
    <w:p>
      <w:pPr>
        <w:pStyle w:val="12"/>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6"/>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2"/>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2"/>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2"/>
        <w:spacing w:after="0" w:line="600" w:lineRule="exact"/>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pStyle w:val="2"/>
        <w:spacing w:after="0" w:line="600" w:lineRule="exact"/>
        <w:ind w:firstLine="0"/>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5"/>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00" w:name="_Toc8086"/>
      <w:bookmarkStart w:id="101" w:name="_Toc19830"/>
      <w:bookmarkStart w:id="102" w:name="_Toc87616400"/>
      <w:bookmarkStart w:id="103" w:name="_Toc88209963"/>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00"/>
      <w:bookmarkEnd w:id="101"/>
      <w:bookmarkEnd w:id="102"/>
      <w:bookmarkEnd w:id="103"/>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04"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04"/>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1"/>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1"/>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2"/>
        <w:rPr>
          <w:rFonts w:hint="eastAsia" w:cs="Times New Roman" w:asciiTheme="minorEastAsia" w:hAnsiTheme="minorEastAsia"/>
          <w:b/>
          <w:bCs/>
          <w:color w:val="auto"/>
          <w:sz w:val="28"/>
          <w:szCs w:val="28"/>
          <w:highlight w:val="none"/>
          <w:lang w:val="en-US" w:eastAsia="zh-CN"/>
        </w:rPr>
      </w:pPr>
    </w:p>
    <w:p>
      <w:pPr>
        <w:pStyle w:val="2"/>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1"/>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1"/>
        <w:rPr>
          <w:rFonts w:hint="default" w:ascii="仿宋_GB2312" w:eastAsia="仿宋_GB2312" w:hAnsiTheme="minorEastAsia"/>
          <w:color w:val="auto"/>
          <w:sz w:val="28"/>
          <w:szCs w:val="28"/>
          <w:highlight w:val="none"/>
          <w:lang w:val="en-US" w:eastAsia="zh-CN"/>
        </w:rPr>
      </w:pPr>
    </w:p>
    <w:p>
      <w:pPr>
        <w:pStyle w:val="21"/>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adjustRightInd w:val="0"/>
        <w:snapToGrid w:val="0"/>
        <w:spacing w:line="360" w:lineRule="auto"/>
        <w:jc w:val="right"/>
        <w:rPr>
          <w:rFonts w:hint="eastAsia" w:ascii="仿宋_GB2312" w:eastAsia="仿宋_GB2312" w:hAnsiTheme="minorEastAsia"/>
          <w:color w:val="auto"/>
          <w:sz w:val="28"/>
          <w:szCs w:val="28"/>
          <w:highlight w:val="none"/>
          <w:lang w:val="en-US" w:eastAsia="zh-CN"/>
        </w:rPr>
        <w:sectPr>
          <w:headerReference r:id="rId6" w:type="first"/>
          <w:footerReference r:id="rId8" w:type="first"/>
          <w:footerReference r:id="rId7" w:type="default"/>
          <w:pgSz w:w="11906" w:h="16838"/>
          <w:pgMar w:top="2098" w:right="1474" w:bottom="1985" w:left="1588" w:header="851" w:footer="992" w:gutter="0"/>
          <w:pgNumType w:start="0"/>
          <w:cols w:space="425" w:num="1"/>
          <w:titlePg/>
          <w:docGrid w:type="lines" w:linePitch="312" w:charSpace="0"/>
        </w:sectPr>
      </w:pPr>
      <w:bookmarkStart w:id="105" w:name="_Toc32430"/>
      <w:bookmarkStart w:id="106" w:name="_Toc19423"/>
    </w:p>
    <w:p>
      <w:pPr>
        <w:pStyle w:val="5"/>
        <w:numPr>
          <w:ilvl w:val="0"/>
          <w:numId w:val="4"/>
        </w:numPr>
        <w:rPr>
          <w:rFonts w:hint="eastAsia" w:asciiTheme="minorEastAsia" w:hAnsiTheme="minorEastAsia" w:eastAsiaTheme="minorEastAsia"/>
          <w:color w:val="auto"/>
          <w:sz w:val="28"/>
          <w:szCs w:val="28"/>
          <w:highlight w:val="none"/>
          <w:lang w:eastAsia="zh-CN"/>
        </w:rPr>
      </w:pPr>
      <w:r>
        <w:rPr>
          <w:rFonts w:hint="eastAsia" w:asciiTheme="minorEastAsia" w:hAnsiTheme="minorEastAsia" w:eastAsiaTheme="minorEastAsia"/>
          <w:color w:val="auto"/>
          <w:sz w:val="28"/>
          <w:szCs w:val="28"/>
          <w:highlight w:val="none"/>
        </w:rPr>
        <w:t>报价表</w:t>
      </w:r>
      <w:bookmarkEnd w:id="105"/>
      <w:bookmarkEnd w:id="106"/>
    </w:p>
    <w:p>
      <w:pPr>
        <w:numPr>
          <w:ilvl w:val="-1"/>
          <w:numId w:val="0"/>
        </w:numPr>
        <w:jc w:val="both"/>
        <w:rPr>
          <w:rFonts w:hint="eastAsia"/>
          <w:lang w:eastAsia="zh-CN"/>
        </w:rPr>
      </w:pPr>
    </w:p>
    <w:p>
      <w:pPr>
        <w:numPr>
          <w:ilvl w:val="-1"/>
          <w:numId w:val="0"/>
        </w:numPr>
        <w:jc w:val="both"/>
        <w:rPr>
          <w:rFonts w:hint="eastAsia"/>
          <w:lang w:eastAsia="zh-CN"/>
        </w:rPr>
      </w:pPr>
    </w:p>
    <w:p>
      <w:pPr>
        <w:numPr>
          <w:ilvl w:val="-1"/>
          <w:numId w:val="0"/>
        </w:numPr>
        <w:jc w:val="both"/>
        <w:rPr>
          <w:rFonts w:hint="eastAsia"/>
          <w:lang w:eastAsia="zh-CN"/>
        </w:rPr>
      </w:pPr>
    </w:p>
    <w:p>
      <w:pPr>
        <w:numPr>
          <w:ilvl w:val="-1"/>
          <w:numId w:val="0"/>
        </w:numPr>
        <w:jc w:val="center"/>
        <w:rPr>
          <w:rFonts w:hint="default"/>
          <w:lang w:val="en-US" w:eastAsia="zh-CN"/>
        </w:rPr>
      </w:pPr>
      <w:r>
        <w:rPr>
          <w:rFonts w:hint="eastAsia"/>
          <w:lang w:val="en-US" w:eastAsia="zh-CN"/>
        </w:rPr>
        <w:t>检测项目报价表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
        <w:gridCol w:w="1194"/>
        <w:gridCol w:w="3051"/>
        <w:gridCol w:w="1243"/>
        <w:gridCol w:w="688"/>
        <w:gridCol w:w="646"/>
        <w:gridCol w:w="816"/>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05" w:type="dxa"/>
            <w:vAlign w:val="center"/>
          </w:tcPr>
          <w:p>
            <w:pPr>
              <w:widowControl/>
              <w:numPr>
                <w:ilvl w:val="0"/>
                <w:numId w:val="0"/>
              </w:numPr>
              <w:spacing w:before="0" w:beforeLines="-2147483648" w:after="0" w:afterLines="-2147483648" w:line="240" w:lineRule="auto"/>
              <w:jc w:val="both"/>
              <w:rPr>
                <w:rFonts w:hint="eastAsia"/>
                <w:sz w:val="20"/>
                <w:szCs w:val="20"/>
                <w:vertAlign w:val="baseline"/>
                <w:lang w:val="en-US" w:eastAsia="zh-CN"/>
              </w:rPr>
            </w:pPr>
            <w:bookmarkStart w:id="107" w:name="_Toc88209965"/>
            <w:bookmarkStart w:id="108" w:name="_Toc16386"/>
            <w:bookmarkStart w:id="109" w:name="_Toc6058"/>
            <w:bookmarkStart w:id="110" w:name="_Toc87616402"/>
            <w:r>
              <w:rPr>
                <w:rFonts w:ascii="Times New Roman" w:hAnsi="Times New Roman" w:eastAsia="宋体" w:cs="Times New Roman"/>
                <w:kern w:val="0"/>
                <w:sz w:val="20"/>
                <w:szCs w:val="20"/>
              </w:rPr>
              <w:t>序号</w:t>
            </w:r>
          </w:p>
        </w:tc>
        <w:tc>
          <w:tcPr>
            <w:tcW w:w="1194" w:type="dxa"/>
            <w:vAlign w:val="center"/>
          </w:tcPr>
          <w:p>
            <w:pPr>
              <w:widowControl/>
              <w:numPr>
                <w:ilvl w:val="0"/>
                <w:numId w:val="0"/>
              </w:numPr>
              <w:spacing w:before="0" w:beforeLines="-2147483648" w:after="0" w:afterLines="-2147483648" w:line="240" w:lineRule="auto"/>
              <w:jc w:val="both"/>
              <w:rPr>
                <w:rFonts w:hint="eastAsia"/>
                <w:sz w:val="20"/>
                <w:szCs w:val="20"/>
                <w:vertAlign w:val="baseline"/>
                <w:lang w:val="en-US" w:eastAsia="zh-CN"/>
              </w:rPr>
            </w:pPr>
            <w:r>
              <w:rPr>
                <w:rFonts w:hint="eastAsia" w:ascii="Times New Roman" w:hAnsi="Times New Roman" w:eastAsia="宋体" w:cs="Times New Roman"/>
                <w:kern w:val="0"/>
                <w:sz w:val="20"/>
                <w:szCs w:val="20"/>
              </w:rPr>
              <w:t>检测项目</w:t>
            </w:r>
          </w:p>
        </w:tc>
        <w:tc>
          <w:tcPr>
            <w:tcW w:w="3051" w:type="dxa"/>
            <w:vAlign w:val="center"/>
          </w:tcPr>
          <w:p>
            <w:pPr>
              <w:widowControl/>
              <w:numPr>
                <w:ilvl w:val="0"/>
                <w:numId w:val="0"/>
              </w:numPr>
              <w:spacing w:before="0" w:beforeLines="-2147483648" w:after="0" w:afterLines="-2147483648" w:line="240" w:lineRule="auto"/>
              <w:jc w:val="both"/>
              <w:rPr>
                <w:rFonts w:hint="eastAsia"/>
                <w:sz w:val="20"/>
                <w:szCs w:val="20"/>
                <w:vertAlign w:val="baseline"/>
                <w:lang w:val="en-US" w:eastAsia="zh-CN"/>
              </w:rPr>
            </w:pPr>
            <w:r>
              <w:rPr>
                <w:rFonts w:hint="eastAsia" w:ascii="Times New Roman" w:hAnsi="Times New Roman" w:eastAsia="宋体" w:cs="Times New Roman"/>
                <w:kern w:val="0"/>
                <w:sz w:val="20"/>
                <w:szCs w:val="20"/>
              </w:rPr>
              <w:t>主要</w:t>
            </w:r>
            <w:r>
              <w:rPr>
                <w:rFonts w:ascii="Times New Roman" w:hAnsi="Times New Roman" w:eastAsia="宋体" w:cs="Times New Roman"/>
                <w:kern w:val="0"/>
                <w:sz w:val="20"/>
                <w:szCs w:val="20"/>
              </w:rPr>
              <w:t>检测内容</w:t>
            </w:r>
          </w:p>
        </w:tc>
        <w:tc>
          <w:tcPr>
            <w:tcW w:w="1243" w:type="dxa"/>
            <w:vAlign w:val="center"/>
          </w:tcPr>
          <w:p>
            <w:pPr>
              <w:widowControl/>
              <w:numPr>
                <w:ilvl w:val="0"/>
                <w:numId w:val="0"/>
              </w:numPr>
              <w:spacing w:before="0" w:beforeLines="-2147483648" w:after="0" w:afterLines="-2147483648" w:line="240" w:lineRule="auto"/>
              <w:jc w:val="both"/>
              <w:rPr>
                <w:rFonts w:hint="eastAsia"/>
                <w:sz w:val="20"/>
                <w:szCs w:val="20"/>
                <w:vertAlign w:val="baseline"/>
                <w:lang w:val="en-US" w:eastAsia="zh-CN"/>
              </w:rPr>
            </w:pPr>
            <w:r>
              <w:rPr>
                <w:rFonts w:hint="eastAsia" w:ascii="Times New Roman" w:hAnsi="Times New Roman" w:eastAsia="宋体" w:cs="Times New Roman"/>
                <w:kern w:val="0"/>
                <w:sz w:val="20"/>
                <w:szCs w:val="20"/>
              </w:rPr>
              <w:t>检测频次</w:t>
            </w:r>
          </w:p>
        </w:tc>
        <w:tc>
          <w:tcPr>
            <w:tcW w:w="688" w:type="dxa"/>
            <w:vAlign w:val="center"/>
          </w:tcPr>
          <w:p>
            <w:pPr>
              <w:widowControl/>
              <w:numPr>
                <w:ilvl w:val="0"/>
                <w:numId w:val="0"/>
              </w:numPr>
              <w:spacing w:before="0" w:beforeLines="-2147483648" w:after="0" w:afterLines="-2147483648" w:line="240" w:lineRule="auto"/>
              <w:jc w:val="both"/>
              <w:rPr>
                <w:rFonts w:hint="eastAsia"/>
                <w:sz w:val="20"/>
                <w:szCs w:val="20"/>
                <w:vertAlign w:val="baseline"/>
                <w:lang w:val="en-US" w:eastAsia="zh-CN"/>
              </w:rPr>
            </w:pPr>
            <w:r>
              <w:rPr>
                <w:rFonts w:ascii="Times New Roman" w:hAnsi="Times New Roman" w:eastAsia="宋体" w:cs="Times New Roman"/>
                <w:kern w:val="0"/>
                <w:sz w:val="20"/>
                <w:szCs w:val="20"/>
              </w:rPr>
              <w:t>数量</w:t>
            </w:r>
          </w:p>
        </w:tc>
        <w:tc>
          <w:tcPr>
            <w:tcW w:w="646" w:type="dxa"/>
            <w:tcMar>
              <w:top w:w="0" w:type="dxa"/>
              <w:left w:w="108" w:type="dxa"/>
              <w:bottom w:w="0" w:type="dxa"/>
              <w:right w:w="108" w:type="dxa"/>
            </w:tcMar>
            <w:vAlign w:val="center"/>
          </w:tcPr>
          <w:p>
            <w:pPr>
              <w:numPr>
                <w:ilvl w:val="0"/>
                <w:numId w:val="0"/>
              </w:numPr>
            </w:pPr>
          </w:p>
          <w:p>
            <w:pPr>
              <w:numPr>
                <w:ilvl w:val="0"/>
                <w:numId w:val="0"/>
              </w:numPr>
              <w:spacing w:before="0" w:beforeLines="-2147483648" w:after="0" w:afterLines="-2147483648" w:line="240" w:lineRule="auto"/>
              <w:jc w:val="both"/>
              <w:rPr>
                <w:rFonts w:hint="eastAsia"/>
                <w:sz w:val="20"/>
                <w:szCs w:val="20"/>
                <w:vertAlign w:val="baseline"/>
                <w:lang w:val="en-US" w:eastAsia="zh-CN"/>
              </w:rPr>
            </w:pPr>
            <w:r>
              <w:rPr>
                <w:rFonts w:ascii="Times New Roman" w:hAnsi="Times New Roman" w:eastAsia="宋体" w:cs="Times New Roman"/>
                <w:kern w:val="0"/>
                <w:sz w:val="20"/>
                <w:szCs w:val="20"/>
              </w:rPr>
              <w:t>单位</w:t>
            </w:r>
          </w:p>
        </w:tc>
        <w:tc>
          <w:tcPr>
            <w:tcW w:w="816" w:type="dxa"/>
            <w:vAlign w:val="center"/>
          </w:tcPr>
          <w:p>
            <w:pPr>
              <w:numPr>
                <w:ilvl w:val="0"/>
                <w:numId w:val="0"/>
              </w:numPr>
              <w:ind w:firstLine="0"/>
              <w:jc w:val="both"/>
              <w:rPr>
                <w:rFonts w:hint="default"/>
                <w:sz w:val="20"/>
                <w:szCs w:val="20"/>
                <w:vertAlign w:val="baseline"/>
                <w:lang w:val="en-US" w:eastAsia="zh-CN"/>
              </w:rPr>
            </w:pPr>
            <w:r>
              <w:rPr>
                <w:rFonts w:hint="eastAsia"/>
                <w:sz w:val="20"/>
                <w:szCs w:val="20"/>
                <w:vertAlign w:val="baseline"/>
                <w:lang w:val="en-US" w:eastAsia="zh-CN"/>
              </w:rPr>
              <w:t>单价（元）</w:t>
            </w:r>
          </w:p>
        </w:tc>
        <w:tc>
          <w:tcPr>
            <w:tcW w:w="817" w:type="dxa"/>
            <w:vAlign w:val="center"/>
          </w:tcPr>
          <w:p>
            <w:pPr>
              <w:numPr>
                <w:ilvl w:val="0"/>
                <w:numId w:val="0"/>
              </w:numPr>
              <w:jc w:val="both"/>
              <w:rPr>
                <w:rFonts w:hint="default"/>
                <w:sz w:val="20"/>
                <w:szCs w:val="20"/>
                <w:vertAlign w:val="baseline"/>
                <w:lang w:val="en-US" w:eastAsia="zh-CN"/>
              </w:rPr>
            </w:pPr>
            <w:r>
              <w:rPr>
                <w:rFonts w:hint="eastAsia"/>
                <w:sz w:val="20"/>
                <w:szCs w:val="20"/>
                <w:vertAlign w:val="baseline"/>
                <w:lang w:val="en-US" w:eastAsia="zh-CN"/>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pPr>
              <w:widowControl/>
              <w:spacing w:before="156" w:beforeLines="50" w:after="156" w:afterLines="50" w:line="360" w:lineRule="auto"/>
              <w:jc w:val="center"/>
              <w:rPr>
                <w:rFonts w:hint="eastAsia"/>
                <w:vertAlign w:val="baseline"/>
                <w:lang w:val="en-US" w:eastAsia="zh-CN"/>
              </w:rPr>
            </w:pPr>
            <w:r>
              <w:rPr>
                <w:rFonts w:ascii="Times New Roman" w:hAnsi="Times New Roman" w:eastAsia="宋体" w:cs="Times New Roman"/>
                <w:kern w:val="0"/>
                <w:szCs w:val="21"/>
              </w:rPr>
              <w:t>1</w:t>
            </w:r>
          </w:p>
        </w:tc>
        <w:tc>
          <w:tcPr>
            <w:tcW w:w="1194" w:type="dxa"/>
            <w:vAlign w:val="center"/>
          </w:tcPr>
          <w:p>
            <w:pPr>
              <w:widowControl/>
              <w:spacing w:before="156" w:beforeLines="50" w:after="156" w:afterLines="50" w:line="360" w:lineRule="auto"/>
              <w:jc w:val="center"/>
              <w:rPr>
                <w:rFonts w:hint="eastAsia"/>
                <w:vertAlign w:val="baseline"/>
                <w:lang w:val="en-US" w:eastAsia="zh-CN"/>
              </w:rPr>
            </w:pPr>
            <w:r>
              <w:rPr>
                <w:rFonts w:hint="eastAsia" w:ascii="Times New Roman" w:hAnsi="Times New Roman" w:eastAsia="宋体" w:cs="Times New Roman"/>
                <w:kern w:val="0"/>
                <w:szCs w:val="21"/>
              </w:rPr>
              <w:t>常规水质指标分析</w:t>
            </w:r>
          </w:p>
        </w:tc>
        <w:tc>
          <w:tcPr>
            <w:tcW w:w="3051" w:type="dxa"/>
            <w:vAlign w:val="center"/>
          </w:tcPr>
          <w:p>
            <w:pPr>
              <w:widowControl/>
              <w:spacing w:before="156" w:beforeLines="50" w:after="156" w:afterLines="50" w:line="360" w:lineRule="auto"/>
              <w:jc w:val="center"/>
              <w:rPr>
                <w:rFonts w:hint="eastAsia"/>
                <w:vertAlign w:val="baseline"/>
                <w:lang w:val="en-US" w:eastAsia="zh-CN"/>
              </w:rPr>
            </w:pPr>
            <w:r>
              <w:rPr>
                <w:rFonts w:hint="eastAsia" w:ascii="Times New Roman" w:hAnsi="Times New Roman" w:eastAsia="宋体" w:cs="Times New Roman"/>
                <w:kern w:val="0"/>
                <w:szCs w:val="21"/>
              </w:rPr>
              <w:t>试验装置进出水水质，包括pH、SS、</w:t>
            </w:r>
            <w:r>
              <w:rPr>
                <w:rFonts w:ascii="Times New Roman" w:hAnsi="Times New Roman" w:eastAsia="宋体" w:cs="Times New Roman"/>
                <w:kern w:val="0"/>
                <w:szCs w:val="21"/>
              </w:rPr>
              <w:t>COD</w:t>
            </w:r>
            <w:r>
              <w:rPr>
                <w:rFonts w:hint="eastAsia" w:ascii="Times New Roman" w:hAnsi="Times New Roman" w:eastAsia="宋体" w:cs="Times New Roman"/>
                <w:kern w:val="0"/>
                <w:szCs w:val="21"/>
                <w:vertAlign w:val="subscript"/>
              </w:rPr>
              <w:t>Cr</w:t>
            </w:r>
            <w:r>
              <w:rPr>
                <w:rFonts w:ascii="Times New Roman" w:hAnsi="Times New Roman" w:eastAsia="宋体" w:cs="Times New Roman"/>
                <w:kern w:val="0"/>
                <w:szCs w:val="21"/>
              </w:rPr>
              <w:t>、BOD</w:t>
            </w:r>
            <w:r>
              <w:rPr>
                <w:rFonts w:ascii="Times New Roman" w:hAnsi="Times New Roman" w:eastAsia="宋体" w:cs="Times New Roman"/>
                <w:kern w:val="0"/>
                <w:szCs w:val="21"/>
                <w:vertAlign w:val="subscript"/>
              </w:rPr>
              <w:t>5</w:t>
            </w:r>
            <w:r>
              <w:rPr>
                <w:rFonts w:ascii="Times New Roman" w:hAnsi="Times New Roman" w:eastAsia="宋体" w:cs="Times New Roman"/>
                <w:kern w:val="0"/>
                <w:szCs w:val="21"/>
              </w:rPr>
              <w:t>、TN、NH</w:t>
            </w:r>
            <w:r>
              <w:rPr>
                <w:rFonts w:ascii="Times New Roman" w:hAnsi="Times New Roman" w:eastAsia="宋体" w:cs="Times New Roman"/>
                <w:kern w:val="0"/>
                <w:szCs w:val="21"/>
                <w:vertAlign w:val="subscript"/>
              </w:rPr>
              <w:t>3</w:t>
            </w:r>
            <w:r>
              <w:rPr>
                <w:rFonts w:ascii="Times New Roman" w:hAnsi="Times New Roman" w:eastAsia="宋体" w:cs="Times New Roman"/>
                <w:kern w:val="0"/>
                <w:szCs w:val="21"/>
              </w:rPr>
              <w:t>-</w:t>
            </w:r>
            <w:r>
              <w:rPr>
                <w:rFonts w:hint="eastAsia" w:ascii="Times New Roman" w:hAnsi="Times New Roman" w:eastAsia="宋体" w:cs="Times New Roman"/>
                <w:kern w:val="0"/>
                <w:szCs w:val="21"/>
              </w:rPr>
              <w:t>N</w:t>
            </w:r>
            <w:r>
              <w:rPr>
                <w:rFonts w:ascii="Times New Roman" w:hAnsi="Times New Roman" w:eastAsia="宋体" w:cs="Times New Roman"/>
                <w:kern w:val="0"/>
                <w:szCs w:val="21"/>
              </w:rPr>
              <w:t>、TP</w:t>
            </w:r>
            <w:r>
              <w:rPr>
                <w:rFonts w:hint="eastAsia" w:ascii="Times New Roman" w:hAnsi="Times New Roman" w:eastAsia="宋体" w:cs="Times New Roman"/>
                <w:kern w:val="0"/>
                <w:szCs w:val="21"/>
              </w:rPr>
              <w:t>、类大肠菌群数</w:t>
            </w:r>
            <w:r>
              <w:rPr>
                <w:rFonts w:ascii="Times New Roman" w:hAnsi="Times New Roman" w:eastAsia="宋体" w:cs="Times New Roman"/>
                <w:kern w:val="0"/>
                <w:szCs w:val="21"/>
              </w:rPr>
              <w:t>等常规</w:t>
            </w:r>
            <w:r>
              <w:rPr>
                <w:rFonts w:hint="eastAsia" w:ascii="Times New Roman" w:hAnsi="Times New Roman" w:eastAsia="宋体" w:cs="Times New Roman"/>
                <w:kern w:val="0"/>
                <w:szCs w:val="21"/>
              </w:rPr>
              <w:t>水质</w:t>
            </w:r>
            <w:r>
              <w:rPr>
                <w:rFonts w:ascii="Times New Roman" w:hAnsi="Times New Roman" w:eastAsia="宋体" w:cs="Times New Roman"/>
                <w:kern w:val="0"/>
                <w:szCs w:val="21"/>
              </w:rPr>
              <w:t>指标</w:t>
            </w:r>
          </w:p>
        </w:tc>
        <w:tc>
          <w:tcPr>
            <w:tcW w:w="1243" w:type="dxa"/>
            <w:vAlign w:val="center"/>
          </w:tcPr>
          <w:p>
            <w:pPr>
              <w:widowControl/>
              <w:spacing w:before="156" w:beforeLines="50" w:after="156" w:afterLines="50" w:line="360" w:lineRule="auto"/>
              <w:jc w:val="center"/>
              <w:rPr>
                <w:rFonts w:hint="eastAsia"/>
                <w:vertAlign w:val="baseline"/>
                <w:lang w:val="en-US" w:eastAsia="zh-CN"/>
              </w:rPr>
            </w:pPr>
            <w:r>
              <w:rPr>
                <w:rFonts w:hint="eastAsia" w:ascii="Times New Roman" w:hAnsi="Times New Roman" w:eastAsia="宋体" w:cs="Times New Roman"/>
                <w:kern w:val="0"/>
                <w:szCs w:val="21"/>
              </w:rPr>
              <w:t>每周2次，1年共1</w:t>
            </w:r>
            <w:r>
              <w:rPr>
                <w:rFonts w:ascii="Times New Roman" w:hAnsi="Times New Roman" w:eastAsia="宋体" w:cs="Times New Roman"/>
                <w:kern w:val="0"/>
                <w:szCs w:val="21"/>
              </w:rPr>
              <w:t>00</w:t>
            </w:r>
            <w:r>
              <w:rPr>
                <w:rFonts w:hint="eastAsia" w:ascii="Times New Roman" w:hAnsi="Times New Roman" w:eastAsia="宋体" w:cs="Times New Roman"/>
                <w:kern w:val="0"/>
                <w:szCs w:val="21"/>
              </w:rPr>
              <w:t>次</w:t>
            </w:r>
          </w:p>
        </w:tc>
        <w:tc>
          <w:tcPr>
            <w:tcW w:w="688" w:type="dxa"/>
            <w:vAlign w:val="center"/>
          </w:tcPr>
          <w:p>
            <w:pPr>
              <w:widowControl/>
              <w:spacing w:before="156" w:beforeLines="50" w:after="156" w:afterLines="50" w:line="360" w:lineRule="auto"/>
              <w:jc w:val="center"/>
              <w:rPr>
                <w:rFonts w:hint="eastAsia"/>
                <w:vertAlign w:val="baseline"/>
                <w:lang w:val="en-US" w:eastAsia="zh-CN"/>
              </w:rPr>
            </w:pPr>
            <w:r>
              <w:rPr>
                <w:rFonts w:ascii="Times New Roman" w:hAnsi="Times New Roman" w:eastAsia="宋体" w:cs="Times New Roman"/>
                <w:kern w:val="0"/>
                <w:szCs w:val="21"/>
              </w:rPr>
              <w:t>100</w:t>
            </w:r>
          </w:p>
        </w:tc>
        <w:tc>
          <w:tcPr>
            <w:tcW w:w="646" w:type="dxa"/>
            <w:vAlign w:val="center"/>
          </w:tcPr>
          <w:p>
            <w:pPr>
              <w:widowControl/>
              <w:spacing w:before="156" w:beforeLines="50" w:after="156" w:afterLines="50" w:line="360" w:lineRule="auto"/>
              <w:jc w:val="center"/>
              <w:rPr>
                <w:rFonts w:hint="eastAsia"/>
                <w:vertAlign w:val="baseline"/>
                <w:lang w:val="en-US" w:eastAsia="zh-CN"/>
              </w:rPr>
            </w:pPr>
            <w:r>
              <w:rPr>
                <w:rFonts w:hint="eastAsia" w:ascii="Times New Roman" w:hAnsi="Times New Roman" w:eastAsia="宋体" w:cs="Times New Roman"/>
                <w:kern w:val="0"/>
                <w:szCs w:val="21"/>
              </w:rPr>
              <w:t>次</w:t>
            </w:r>
          </w:p>
        </w:tc>
        <w:tc>
          <w:tcPr>
            <w:tcW w:w="816" w:type="dxa"/>
            <w:vAlign w:val="center"/>
          </w:tcPr>
          <w:p>
            <w:pPr>
              <w:pStyle w:val="21"/>
              <w:jc w:val="center"/>
              <w:rPr>
                <w:rFonts w:hint="eastAsia"/>
                <w:vertAlign w:val="baseline"/>
                <w:lang w:val="en-US" w:eastAsia="zh-CN"/>
              </w:rPr>
            </w:pPr>
          </w:p>
        </w:tc>
        <w:tc>
          <w:tcPr>
            <w:tcW w:w="817" w:type="dxa"/>
            <w:vAlign w:val="center"/>
          </w:tcPr>
          <w:p>
            <w:pPr>
              <w:pStyle w:val="21"/>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pPr>
              <w:widowControl/>
              <w:spacing w:before="156" w:beforeLines="50" w:after="156" w:afterLines="50" w:line="360" w:lineRule="auto"/>
              <w:jc w:val="center"/>
              <w:rPr>
                <w:rFonts w:hint="eastAsia"/>
                <w:vertAlign w:val="baseline"/>
                <w:lang w:val="en-US" w:eastAsia="zh-CN"/>
              </w:rPr>
            </w:pPr>
            <w:r>
              <w:rPr>
                <w:rFonts w:ascii="Times New Roman" w:hAnsi="Times New Roman" w:eastAsia="宋体" w:cs="Times New Roman"/>
                <w:kern w:val="0"/>
                <w:szCs w:val="21"/>
              </w:rPr>
              <w:t>2</w:t>
            </w:r>
          </w:p>
        </w:tc>
        <w:tc>
          <w:tcPr>
            <w:tcW w:w="1194" w:type="dxa"/>
            <w:vAlign w:val="center"/>
          </w:tcPr>
          <w:p>
            <w:pPr>
              <w:widowControl/>
              <w:spacing w:before="156" w:beforeLines="50" w:after="156" w:afterLines="50" w:line="360" w:lineRule="auto"/>
              <w:jc w:val="center"/>
              <w:rPr>
                <w:rFonts w:hint="eastAsia"/>
                <w:vertAlign w:val="baseline"/>
                <w:lang w:val="en-US" w:eastAsia="zh-CN"/>
              </w:rPr>
            </w:pPr>
            <w:r>
              <w:rPr>
                <w:rFonts w:hint="eastAsia" w:ascii="Times New Roman" w:hAnsi="Times New Roman" w:eastAsia="宋体" w:cs="Times New Roman"/>
                <w:kern w:val="0"/>
                <w:sz w:val="20"/>
                <w:szCs w:val="20"/>
              </w:rPr>
              <w:t>内碳源系统发酵上清液挥发酸分析</w:t>
            </w:r>
          </w:p>
        </w:tc>
        <w:tc>
          <w:tcPr>
            <w:tcW w:w="3051" w:type="dxa"/>
            <w:vAlign w:val="center"/>
          </w:tcPr>
          <w:p>
            <w:pPr>
              <w:widowControl/>
              <w:spacing w:before="156" w:beforeLines="50" w:after="156" w:afterLines="50" w:line="360" w:lineRule="auto"/>
              <w:jc w:val="center"/>
              <w:rPr>
                <w:rFonts w:hint="eastAsia"/>
                <w:vertAlign w:val="baseline"/>
                <w:lang w:val="en-US" w:eastAsia="zh-CN"/>
              </w:rPr>
            </w:pPr>
            <w:r>
              <w:rPr>
                <w:rFonts w:hint="eastAsia" w:ascii="Times New Roman" w:hAnsi="Times New Roman" w:eastAsia="宋体" w:cs="Times New Roman"/>
                <w:kern w:val="0"/>
                <w:sz w:val="20"/>
                <w:szCs w:val="20"/>
              </w:rPr>
              <w:t>采用</w:t>
            </w:r>
            <w:r>
              <w:rPr>
                <w:rFonts w:ascii="Times New Roman" w:hAnsi="Times New Roman" w:eastAsia="宋体" w:cs="Times New Roman"/>
                <w:kern w:val="0"/>
                <w:sz w:val="20"/>
                <w:szCs w:val="20"/>
              </w:rPr>
              <w:t>气相色谱</w:t>
            </w:r>
            <w:r>
              <w:rPr>
                <w:rFonts w:hint="eastAsia" w:ascii="Times New Roman" w:hAnsi="Times New Roman" w:eastAsia="宋体" w:cs="Times New Roman"/>
                <w:kern w:val="0"/>
                <w:sz w:val="20"/>
                <w:szCs w:val="20"/>
              </w:rPr>
              <w:t>分析乙酸、丙酸、丁酸等挥发性脂肪酸浓度</w:t>
            </w:r>
          </w:p>
        </w:tc>
        <w:tc>
          <w:tcPr>
            <w:tcW w:w="1243" w:type="dxa"/>
            <w:vAlign w:val="center"/>
          </w:tcPr>
          <w:p>
            <w:pPr>
              <w:widowControl/>
              <w:spacing w:before="156" w:beforeLines="50" w:after="156" w:afterLines="50" w:line="360" w:lineRule="auto"/>
              <w:jc w:val="center"/>
              <w:rPr>
                <w:rFonts w:hint="eastAsia"/>
                <w:vertAlign w:val="baseline"/>
                <w:lang w:val="en-US" w:eastAsia="zh-CN"/>
              </w:rPr>
            </w:pPr>
            <w:r>
              <w:rPr>
                <w:rFonts w:hint="eastAsia" w:ascii="Times New Roman" w:hAnsi="Times New Roman" w:eastAsia="宋体" w:cs="Times New Roman"/>
                <w:kern w:val="0"/>
                <w:sz w:val="20"/>
                <w:szCs w:val="20"/>
              </w:rPr>
              <w:t>试验期间内每月1次，每次</w:t>
            </w:r>
            <w:r>
              <w:rPr>
                <w:rFonts w:ascii="Times New Roman" w:hAnsi="Times New Roman" w:eastAsia="宋体" w:cs="Times New Roman"/>
                <w:kern w:val="0"/>
                <w:sz w:val="20"/>
                <w:szCs w:val="20"/>
              </w:rPr>
              <w:t>10</w:t>
            </w:r>
            <w:r>
              <w:rPr>
                <w:rFonts w:hint="eastAsia" w:ascii="Times New Roman" w:hAnsi="Times New Roman" w:eastAsia="宋体" w:cs="Times New Roman"/>
                <w:kern w:val="0"/>
                <w:sz w:val="20"/>
                <w:szCs w:val="20"/>
              </w:rPr>
              <w:t>个样，小计1</w:t>
            </w:r>
            <w:r>
              <w:rPr>
                <w:rFonts w:ascii="Times New Roman" w:hAnsi="Times New Roman" w:eastAsia="宋体" w:cs="Times New Roman"/>
                <w:kern w:val="0"/>
                <w:sz w:val="20"/>
                <w:szCs w:val="20"/>
              </w:rPr>
              <w:t>20</w:t>
            </w:r>
            <w:r>
              <w:rPr>
                <w:rFonts w:hint="eastAsia" w:ascii="Times New Roman" w:hAnsi="Times New Roman" w:eastAsia="宋体" w:cs="Times New Roman"/>
                <w:kern w:val="0"/>
                <w:sz w:val="20"/>
                <w:szCs w:val="20"/>
              </w:rPr>
              <w:t>个样</w:t>
            </w:r>
          </w:p>
        </w:tc>
        <w:tc>
          <w:tcPr>
            <w:tcW w:w="688" w:type="dxa"/>
            <w:vAlign w:val="center"/>
          </w:tcPr>
          <w:p>
            <w:pPr>
              <w:widowControl/>
              <w:spacing w:before="156" w:beforeLines="50" w:after="156" w:afterLines="50" w:line="360" w:lineRule="auto"/>
              <w:jc w:val="center"/>
              <w:rPr>
                <w:rFonts w:hint="eastAsia"/>
                <w:vertAlign w:val="baseline"/>
                <w:lang w:val="en-US" w:eastAsia="zh-CN"/>
              </w:rPr>
            </w:pPr>
            <w:r>
              <w:rPr>
                <w:rFonts w:ascii="Times New Roman" w:hAnsi="Times New Roman" w:eastAsia="宋体" w:cs="Times New Roman"/>
                <w:kern w:val="0"/>
                <w:sz w:val="20"/>
                <w:szCs w:val="20"/>
              </w:rPr>
              <w:t>120</w:t>
            </w:r>
          </w:p>
        </w:tc>
        <w:tc>
          <w:tcPr>
            <w:tcW w:w="646" w:type="dxa"/>
            <w:vAlign w:val="center"/>
          </w:tcPr>
          <w:p>
            <w:pPr>
              <w:widowControl/>
              <w:spacing w:before="156" w:beforeLines="50" w:after="156" w:afterLines="50" w:line="360" w:lineRule="auto"/>
              <w:jc w:val="center"/>
              <w:rPr>
                <w:rFonts w:hint="eastAsia"/>
                <w:vertAlign w:val="baseline"/>
                <w:lang w:val="en-US" w:eastAsia="zh-CN"/>
              </w:rPr>
            </w:pPr>
            <w:r>
              <w:rPr>
                <w:rFonts w:ascii="Times New Roman" w:hAnsi="Times New Roman" w:eastAsia="宋体" w:cs="Times New Roman"/>
                <w:kern w:val="0"/>
                <w:sz w:val="20"/>
                <w:szCs w:val="20"/>
              </w:rPr>
              <w:t>个</w:t>
            </w:r>
          </w:p>
        </w:tc>
        <w:tc>
          <w:tcPr>
            <w:tcW w:w="816" w:type="dxa"/>
          </w:tcPr>
          <w:p>
            <w:pPr>
              <w:pStyle w:val="21"/>
              <w:rPr>
                <w:rFonts w:hint="eastAsia"/>
                <w:vertAlign w:val="baseline"/>
                <w:lang w:val="en-US" w:eastAsia="zh-CN"/>
              </w:rPr>
            </w:pPr>
          </w:p>
        </w:tc>
        <w:tc>
          <w:tcPr>
            <w:tcW w:w="817" w:type="dxa"/>
          </w:tcPr>
          <w:p>
            <w:pPr>
              <w:pStyle w:val="21"/>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pPr>
              <w:widowControl/>
              <w:spacing w:before="156" w:beforeLines="50" w:after="156" w:afterLines="50" w:line="360" w:lineRule="auto"/>
              <w:jc w:val="center"/>
              <w:rPr>
                <w:rFonts w:hint="eastAsia"/>
                <w:vertAlign w:val="baseline"/>
                <w:lang w:val="en-US" w:eastAsia="zh-CN"/>
              </w:rPr>
            </w:pPr>
            <w:r>
              <w:rPr>
                <w:rFonts w:ascii="Times New Roman" w:hAnsi="Times New Roman" w:eastAsia="宋体" w:cs="Times New Roman"/>
                <w:kern w:val="0"/>
                <w:sz w:val="20"/>
                <w:szCs w:val="20"/>
              </w:rPr>
              <w:t>3</w:t>
            </w:r>
          </w:p>
        </w:tc>
        <w:tc>
          <w:tcPr>
            <w:tcW w:w="1194" w:type="dxa"/>
            <w:vAlign w:val="center"/>
          </w:tcPr>
          <w:p>
            <w:pPr>
              <w:widowControl/>
              <w:spacing w:before="156" w:beforeLines="50" w:after="156" w:afterLines="50" w:line="360" w:lineRule="auto"/>
              <w:jc w:val="center"/>
              <w:rPr>
                <w:rFonts w:hint="eastAsia"/>
                <w:vertAlign w:val="baseline"/>
                <w:lang w:val="en-US" w:eastAsia="zh-CN"/>
              </w:rPr>
            </w:pPr>
            <w:r>
              <w:rPr>
                <w:rFonts w:hint="eastAsia" w:ascii="Times New Roman" w:hAnsi="Times New Roman" w:eastAsia="宋体" w:cs="Times New Roman"/>
                <w:kern w:val="0"/>
                <w:sz w:val="20"/>
                <w:szCs w:val="20"/>
              </w:rPr>
              <w:t>非常规污染物分析</w:t>
            </w:r>
          </w:p>
        </w:tc>
        <w:tc>
          <w:tcPr>
            <w:tcW w:w="3051" w:type="dxa"/>
            <w:vAlign w:val="center"/>
          </w:tcPr>
          <w:p>
            <w:pPr>
              <w:widowControl/>
              <w:spacing w:before="156" w:beforeLines="50" w:after="156" w:afterLines="50" w:line="360" w:lineRule="auto"/>
              <w:jc w:val="center"/>
              <w:rPr>
                <w:rFonts w:hint="eastAsia"/>
                <w:vertAlign w:val="baseline"/>
                <w:lang w:val="en-US" w:eastAsia="zh-CN"/>
              </w:rPr>
            </w:pPr>
            <w:r>
              <w:rPr>
                <w:rFonts w:hint="eastAsia" w:ascii="Times New Roman" w:hAnsi="Times New Roman" w:eastAsia="宋体" w:cs="Times New Roman"/>
                <w:kern w:val="0"/>
                <w:sz w:val="20"/>
                <w:szCs w:val="20"/>
              </w:rPr>
              <w:t>进出水中非常规污染物分析，包括重金属（</w:t>
            </w:r>
            <w:r>
              <w:rPr>
                <w:rFonts w:ascii="Times New Roman" w:hAnsi="Times New Roman" w:eastAsia="宋体" w:cs="Times New Roman"/>
                <w:kern w:val="0"/>
                <w:sz w:val="20"/>
                <w:szCs w:val="20"/>
              </w:rPr>
              <w:t>19</w:t>
            </w:r>
            <w:r>
              <w:rPr>
                <w:rFonts w:hint="eastAsia" w:ascii="Times New Roman" w:hAnsi="Times New Roman" w:eastAsia="宋体" w:cs="Times New Roman"/>
                <w:kern w:val="0"/>
                <w:sz w:val="20"/>
                <w:szCs w:val="20"/>
              </w:rPr>
              <w:t>种）、农药（1</w:t>
            </w:r>
            <w:r>
              <w:rPr>
                <w:rFonts w:ascii="Times New Roman" w:hAnsi="Times New Roman" w:eastAsia="宋体" w:cs="Times New Roman"/>
                <w:kern w:val="0"/>
                <w:sz w:val="20"/>
                <w:szCs w:val="20"/>
              </w:rPr>
              <w:t>0</w:t>
            </w:r>
            <w:r>
              <w:rPr>
                <w:rFonts w:hint="eastAsia" w:ascii="Times New Roman" w:hAnsi="Times New Roman" w:eastAsia="宋体" w:cs="Times New Roman"/>
                <w:kern w:val="0"/>
                <w:sz w:val="20"/>
                <w:szCs w:val="20"/>
              </w:rPr>
              <w:t>种）、抗生素（1</w:t>
            </w:r>
            <w:r>
              <w:rPr>
                <w:rFonts w:ascii="Times New Roman" w:hAnsi="Times New Roman" w:eastAsia="宋体" w:cs="Times New Roman"/>
                <w:kern w:val="0"/>
                <w:sz w:val="20"/>
                <w:szCs w:val="20"/>
              </w:rPr>
              <w:t>0</w:t>
            </w:r>
            <w:r>
              <w:rPr>
                <w:rFonts w:hint="eastAsia" w:ascii="Times New Roman" w:hAnsi="Times New Roman" w:eastAsia="宋体" w:cs="Times New Roman"/>
                <w:kern w:val="0"/>
                <w:sz w:val="20"/>
                <w:szCs w:val="20"/>
              </w:rPr>
              <w:t>种）、布匹纤维等非常规污染物分析，具体参考</w:t>
            </w:r>
            <w:r>
              <w:rPr>
                <w:rFonts w:ascii="Times New Roman" w:hAnsi="Times New Roman" w:eastAsia="宋体" w:cs="Times New Roman"/>
                <w:kern w:val="0"/>
                <w:sz w:val="20"/>
                <w:szCs w:val="20"/>
              </w:rPr>
              <w:t>GB5749-2006《生活饮用水卫生标准》</w:t>
            </w:r>
            <w:r>
              <w:rPr>
                <w:rFonts w:hint="eastAsia" w:ascii="Times New Roman" w:hAnsi="Times New Roman" w:eastAsia="宋体" w:cs="Times New Roman"/>
                <w:kern w:val="0"/>
                <w:sz w:val="20"/>
                <w:szCs w:val="20"/>
              </w:rPr>
              <w:t>中相关项目</w:t>
            </w:r>
          </w:p>
        </w:tc>
        <w:tc>
          <w:tcPr>
            <w:tcW w:w="1243" w:type="dxa"/>
            <w:vAlign w:val="center"/>
          </w:tcPr>
          <w:p>
            <w:pPr>
              <w:widowControl/>
              <w:spacing w:before="156" w:beforeLines="50" w:after="156" w:afterLines="50" w:line="360" w:lineRule="auto"/>
              <w:jc w:val="center"/>
              <w:rPr>
                <w:rFonts w:hint="eastAsia"/>
                <w:vertAlign w:val="baseline"/>
                <w:lang w:val="en-US" w:eastAsia="zh-CN"/>
              </w:rPr>
            </w:pPr>
            <w:r>
              <w:rPr>
                <w:rFonts w:hint="eastAsia" w:ascii="Times New Roman" w:hAnsi="Times New Roman" w:eastAsia="宋体" w:cs="Times New Roman"/>
                <w:kern w:val="0"/>
                <w:sz w:val="20"/>
                <w:szCs w:val="20"/>
              </w:rPr>
              <w:t>每月1次，1年共1</w:t>
            </w:r>
            <w:r>
              <w:rPr>
                <w:rFonts w:ascii="Times New Roman" w:hAnsi="Times New Roman" w:eastAsia="宋体" w:cs="Times New Roman"/>
                <w:kern w:val="0"/>
                <w:sz w:val="20"/>
                <w:szCs w:val="20"/>
              </w:rPr>
              <w:t>2</w:t>
            </w:r>
            <w:r>
              <w:rPr>
                <w:rFonts w:hint="eastAsia" w:ascii="Times New Roman" w:hAnsi="Times New Roman" w:eastAsia="宋体" w:cs="Times New Roman"/>
                <w:kern w:val="0"/>
                <w:sz w:val="20"/>
                <w:szCs w:val="20"/>
              </w:rPr>
              <w:t>次，每次2个样品分析4</w:t>
            </w:r>
            <w:r>
              <w:rPr>
                <w:rFonts w:ascii="Times New Roman" w:hAnsi="Times New Roman" w:eastAsia="宋体" w:cs="Times New Roman"/>
                <w:kern w:val="0"/>
                <w:sz w:val="20"/>
                <w:szCs w:val="20"/>
              </w:rPr>
              <w:t>0</w:t>
            </w:r>
            <w:r>
              <w:rPr>
                <w:rFonts w:hint="eastAsia" w:ascii="Times New Roman" w:hAnsi="Times New Roman" w:eastAsia="宋体" w:cs="Times New Roman"/>
                <w:kern w:val="0"/>
                <w:sz w:val="20"/>
                <w:szCs w:val="20"/>
              </w:rPr>
              <w:t>种污染物，小计9</w:t>
            </w:r>
            <w:r>
              <w:rPr>
                <w:rFonts w:ascii="Times New Roman" w:hAnsi="Times New Roman" w:eastAsia="宋体" w:cs="Times New Roman"/>
                <w:kern w:val="0"/>
                <w:sz w:val="20"/>
                <w:szCs w:val="20"/>
              </w:rPr>
              <w:t>60</w:t>
            </w:r>
            <w:r>
              <w:rPr>
                <w:rFonts w:hint="eastAsia" w:ascii="Times New Roman" w:hAnsi="Times New Roman" w:eastAsia="宋体" w:cs="Times New Roman"/>
                <w:kern w:val="0"/>
                <w:sz w:val="20"/>
                <w:szCs w:val="20"/>
              </w:rPr>
              <w:t>项分析</w:t>
            </w:r>
          </w:p>
        </w:tc>
        <w:tc>
          <w:tcPr>
            <w:tcW w:w="688" w:type="dxa"/>
            <w:vAlign w:val="center"/>
          </w:tcPr>
          <w:p>
            <w:pPr>
              <w:widowControl/>
              <w:spacing w:before="156" w:beforeLines="50" w:after="156" w:afterLines="50" w:line="360" w:lineRule="auto"/>
              <w:jc w:val="center"/>
              <w:rPr>
                <w:rFonts w:hint="eastAsia"/>
                <w:vertAlign w:val="baseline"/>
                <w:lang w:val="en-US" w:eastAsia="zh-CN"/>
              </w:rPr>
            </w:pPr>
            <w:r>
              <w:rPr>
                <w:rFonts w:ascii="Times New Roman" w:hAnsi="Times New Roman" w:eastAsia="宋体" w:cs="Times New Roman"/>
                <w:kern w:val="0"/>
                <w:sz w:val="20"/>
                <w:szCs w:val="20"/>
              </w:rPr>
              <w:t>960</w:t>
            </w:r>
          </w:p>
        </w:tc>
        <w:tc>
          <w:tcPr>
            <w:tcW w:w="646" w:type="dxa"/>
            <w:vAlign w:val="center"/>
          </w:tcPr>
          <w:p>
            <w:pPr>
              <w:widowControl/>
              <w:spacing w:before="156" w:beforeLines="50" w:after="156" w:afterLines="50" w:line="360" w:lineRule="auto"/>
              <w:jc w:val="center"/>
              <w:rPr>
                <w:rFonts w:hint="eastAsia"/>
                <w:vertAlign w:val="baseline"/>
                <w:lang w:val="en-US" w:eastAsia="zh-CN"/>
              </w:rPr>
            </w:pPr>
            <w:r>
              <w:rPr>
                <w:rFonts w:hint="eastAsia" w:ascii="Times New Roman" w:hAnsi="Times New Roman" w:eastAsia="宋体" w:cs="Times New Roman"/>
                <w:kern w:val="0"/>
                <w:sz w:val="20"/>
                <w:szCs w:val="20"/>
              </w:rPr>
              <w:t>项</w:t>
            </w:r>
          </w:p>
        </w:tc>
        <w:tc>
          <w:tcPr>
            <w:tcW w:w="816" w:type="dxa"/>
          </w:tcPr>
          <w:p>
            <w:pPr>
              <w:pStyle w:val="21"/>
              <w:rPr>
                <w:rFonts w:hint="eastAsia"/>
                <w:vertAlign w:val="baseline"/>
                <w:lang w:val="en-US" w:eastAsia="zh-CN"/>
              </w:rPr>
            </w:pPr>
          </w:p>
        </w:tc>
        <w:tc>
          <w:tcPr>
            <w:tcW w:w="817" w:type="dxa"/>
          </w:tcPr>
          <w:p>
            <w:pPr>
              <w:pStyle w:val="21"/>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pPr>
              <w:widowControl/>
              <w:spacing w:before="156" w:beforeLines="50" w:after="156" w:afterLines="50" w:line="360" w:lineRule="auto"/>
              <w:jc w:val="center"/>
              <w:rPr>
                <w:rFonts w:hint="eastAsia"/>
                <w:vertAlign w:val="baseline"/>
                <w:lang w:val="en-US" w:eastAsia="zh-CN"/>
              </w:rPr>
            </w:pPr>
            <w:r>
              <w:rPr>
                <w:rFonts w:ascii="Times New Roman" w:hAnsi="Times New Roman" w:eastAsia="宋体" w:cs="Times New Roman"/>
                <w:kern w:val="0"/>
                <w:sz w:val="20"/>
                <w:szCs w:val="20"/>
              </w:rPr>
              <w:t>4</w:t>
            </w:r>
          </w:p>
        </w:tc>
        <w:tc>
          <w:tcPr>
            <w:tcW w:w="1194" w:type="dxa"/>
            <w:vAlign w:val="center"/>
          </w:tcPr>
          <w:p>
            <w:pPr>
              <w:widowControl/>
              <w:spacing w:before="156" w:beforeLines="50" w:after="156" w:afterLines="50" w:line="360" w:lineRule="auto"/>
              <w:jc w:val="center"/>
              <w:rPr>
                <w:rFonts w:hint="eastAsia"/>
                <w:vertAlign w:val="baseline"/>
                <w:lang w:val="en-US" w:eastAsia="zh-CN"/>
              </w:rPr>
            </w:pPr>
            <w:r>
              <w:rPr>
                <w:rFonts w:hint="eastAsia" w:ascii="Times New Roman" w:hAnsi="Times New Roman" w:eastAsia="宋体" w:cs="Times New Roman"/>
                <w:kern w:val="0"/>
                <w:szCs w:val="21"/>
              </w:rPr>
              <w:t>消毒副产物分析</w:t>
            </w:r>
          </w:p>
        </w:tc>
        <w:tc>
          <w:tcPr>
            <w:tcW w:w="3051" w:type="dxa"/>
            <w:vAlign w:val="center"/>
          </w:tcPr>
          <w:p>
            <w:pPr>
              <w:widowControl/>
              <w:spacing w:before="156" w:beforeLines="50" w:after="156" w:afterLines="50" w:line="360" w:lineRule="auto"/>
              <w:jc w:val="center"/>
              <w:rPr>
                <w:rFonts w:hint="eastAsia"/>
                <w:vertAlign w:val="baseline"/>
                <w:lang w:val="en-US" w:eastAsia="zh-CN"/>
              </w:rPr>
            </w:pPr>
            <w:r>
              <w:rPr>
                <w:rFonts w:hint="eastAsia" w:ascii="Times New Roman" w:hAnsi="Times New Roman" w:eastAsia="宋体" w:cs="Times New Roman"/>
                <w:kern w:val="0"/>
                <w:szCs w:val="21"/>
              </w:rPr>
              <w:t>分析不同消毒工艺出水常见消毒副产物氯酸盐、亚氯酸盐、溴酸盐、三卤甲烷</w:t>
            </w:r>
            <w:r>
              <w:rPr>
                <w:rFonts w:ascii="Times New Roman" w:hAnsi="Times New Roman" w:eastAsia="宋体" w:cs="Times New Roman"/>
                <w:kern w:val="0"/>
                <w:szCs w:val="21"/>
              </w:rPr>
              <w:t xml:space="preserve"> (THM) 和卤代乙酸</w:t>
            </w:r>
            <w:r>
              <w:rPr>
                <w:rFonts w:hint="eastAsia" w:ascii="Times New Roman" w:hAnsi="Times New Roman" w:eastAsia="宋体" w:cs="Times New Roman"/>
                <w:kern w:val="0"/>
                <w:szCs w:val="21"/>
              </w:rPr>
              <w:t>的浓度，</w:t>
            </w:r>
            <w:r>
              <w:rPr>
                <w:rFonts w:hint="eastAsia" w:ascii="Times New Roman" w:hAnsi="Times New Roman" w:eastAsia="宋体" w:cs="Times New Roman"/>
                <w:kern w:val="0"/>
                <w:sz w:val="20"/>
                <w:szCs w:val="20"/>
              </w:rPr>
              <w:t>具体参考</w:t>
            </w:r>
            <w:r>
              <w:rPr>
                <w:rFonts w:ascii="Times New Roman" w:hAnsi="Times New Roman" w:eastAsia="宋体" w:cs="Times New Roman"/>
                <w:kern w:val="0"/>
                <w:sz w:val="20"/>
                <w:szCs w:val="20"/>
              </w:rPr>
              <w:t>GB5749-2006《生活饮用水卫生标准》</w:t>
            </w:r>
            <w:r>
              <w:rPr>
                <w:rFonts w:hint="eastAsia" w:ascii="Times New Roman" w:hAnsi="Times New Roman" w:eastAsia="宋体" w:cs="Times New Roman"/>
                <w:kern w:val="0"/>
                <w:sz w:val="20"/>
                <w:szCs w:val="20"/>
              </w:rPr>
              <w:t>中相关项目</w:t>
            </w:r>
          </w:p>
        </w:tc>
        <w:tc>
          <w:tcPr>
            <w:tcW w:w="1243" w:type="dxa"/>
            <w:vAlign w:val="center"/>
          </w:tcPr>
          <w:p>
            <w:pPr>
              <w:widowControl/>
              <w:spacing w:before="156" w:beforeLines="50" w:after="156" w:afterLines="50" w:line="360" w:lineRule="auto"/>
              <w:jc w:val="center"/>
              <w:rPr>
                <w:rFonts w:hint="eastAsia"/>
                <w:vertAlign w:val="baseline"/>
                <w:lang w:val="en-US" w:eastAsia="zh-CN"/>
              </w:rPr>
            </w:pPr>
            <w:r>
              <w:rPr>
                <w:rFonts w:hint="eastAsia" w:ascii="Times New Roman" w:hAnsi="Times New Roman" w:eastAsia="宋体" w:cs="Times New Roman"/>
                <w:kern w:val="0"/>
                <w:szCs w:val="21"/>
              </w:rPr>
              <w:t>集中送样，3种消毒模式，每种模式1</w:t>
            </w:r>
            <w:r>
              <w:rPr>
                <w:rFonts w:ascii="Times New Roman" w:hAnsi="Times New Roman" w:eastAsia="宋体" w:cs="Times New Roman"/>
                <w:kern w:val="0"/>
                <w:szCs w:val="21"/>
              </w:rPr>
              <w:t>0</w:t>
            </w:r>
            <w:r>
              <w:rPr>
                <w:rFonts w:hint="eastAsia" w:ascii="Times New Roman" w:hAnsi="Times New Roman" w:eastAsia="宋体" w:cs="Times New Roman"/>
                <w:kern w:val="0"/>
                <w:szCs w:val="21"/>
              </w:rPr>
              <w:t>个样，小计3</w:t>
            </w:r>
            <w:r>
              <w:rPr>
                <w:rFonts w:ascii="Times New Roman" w:hAnsi="Times New Roman" w:eastAsia="宋体" w:cs="Times New Roman"/>
                <w:kern w:val="0"/>
                <w:szCs w:val="21"/>
              </w:rPr>
              <w:t>0</w:t>
            </w:r>
            <w:r>
              <w:rPr>
                <w:rFonts w:hint="eastAsia" w:ascii="Times New Roman" w:hAnsi="Times New Roman" w:eastAsia="宋体" w:cs="Times New Roman"/>
                <w:kern w:val="0"/>
                <w:szCs w:val="21"/>
              </w:rPr>
              <w:t>个样品</w:t>
            </w:r>
          </w:p>
        </w:tc>
        <w:tc>
          <w:tcPr>
            <w:tcW w:w="688" w:type="dxa"/>
            <w:vAlign w:val="center"/>
          </w:tcPr>
          <w:p>
            <w:pPr>
              <w:widowControl/>
              <w:spacing w:before="156" w:beforeLines="50" w:after="156" w:afterLines="50" w:line="360" w:lineRule="auto"/>
              <w:jc w:val="center"/>
              <w:rPr>
                <w:rFonts w:hint="eastAsia"/>
                <w:vertAlign w:val="baseline"/>
                <w:lang w:val="en-US" w:eastAsia="zh-CN"/>
              </w:rPr>
            </w:pPr>
            <w:r>
              <w:rPr>
                <w:rFonts w:ascii="Times New Roman" w:hAnsi="Times New Roman" w:eastAsia="宋体" w:cs="Times New Roman"/>
                <w:kern w:val="0"/>
                <w:szCs w:val="21"/>
              </w:rPr>
              <w:t>30</w:t>
            </w:r>
          </w:p>
        </w:tc>
        <w:tc>
          <w:tcPr>
            <w:tcW w:w="646" w:type="dxa"/>
            <w:vAlign w:val="center"/>
          </w:tcPr>
          <w:p>
            <w:pPr>
              <w:widowControl/>
              <w:spacing w:before="156" w:beforeLines="50" w:after="156" w:afterLines="50" w:line="360" w:lineRule="auto"/>
              <w:jc w:val="center"/>
              <w:rPr>
                <w:rFonts w:hint="eastAsia"/>
                <w:vertAlign w:val="baseline"/>
                <w:lang w:val="en-US" w:eastAsia="zh-CN"/>
              </w:rPr>
            </w:pPr>
            <w:r>
              <w:rPr>
                <w:rFonts w:ascii="Times New Roman" w:hAnsi="Times New Roman" w:eastAsia="宋体" w:cs="Times New Roman"/>
                <w:kern w:val="0"/>
                <w:szCs w:val="21"/>
              </w:rPr>
              <w:t>个</w:t>
            </w:r>
          </w:p>
        </w:tc>
        <w:tc>
          <w:tcPr>
            <w:tcW w:w="816" w:type="dxa"/>
          </w:tcPr>
          <w:p>
            <w:pPr>
              <w:pStyle w:val="21"/>
              <w:rPr>
                <w:rFonts w:hint="eastAsia"/>
                <w:vertAlign w:val="baseline"/>
                <w:lang w:val="en-US" w:eastAsia="zh-CN"/>
              </w:rPr>
            </w:pPr>
          </w:p>
        </w:tc>
        <w:tc>
          <w:tcPr>
            <w:tcW w:w="817" w:type="dxa"/>
          </w:tcPr>
          <w:p>
            <w:pPr>
              <w:pStyle w:val="21"/>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pPr>
              <w:widowControl/>
              <w:spacing w:before="156" w:beforeLines="50" w:after="156" w:afterLines="50" w:line="360" w:lineRule="auto"/>
              <w:jc w:val="center"/>
              <w:rPr>
                <w:rFonts w:hint="eastAsia"/>
                <w:vertAlign w:val="baseline"/>
                <w:lang w:val="en-US" w:eastAsia="zh-CN"/>
              </w:rPr>
            </w:pPr>
            <w:r>
              <w:rPr>
                <w:rFonts w:ascii="Times New Roman" w:hAnsi="Times New Roman" w:eastAsia="宋体" w:cs="Times New Roman"/>
                <w:kern w:val="0"/>
                <w:szCs w:val="21"/>
              </w:rPr>
              <w:t>5</w:t>
            </w:r>
          </w:p>
        </w:tc>
        <w:tc>
          <w:tcPr>
            <w:tcW w:w="1194" w:type="dxa"/>
            <w:vAlign w:val="center"/>
          </w:tcPr>
          <w:p>
            <w:pPr>
              <w:widowControl/>
              <w:spacing w:before="156" w:beforeLines="50" w:after="156" w:afterLines="50" w:line="360" w:lineRule="auto"/>
              <w:jc w:val="center"/>
              <w:rPr>
                <w:rFonts w:hint="eastAsia"/>
                <w:vertAlign w:val="baseline"/>
                <w:lang w:val="en-US" w:eastAsia="zh-CN"/>
              </w:rPr>
            </w:pPr>
            <w:r>
              <w:rPr>
                <w:rFonts w:ascii="Times New Roman" w:hAnsi="Times New Roman" w:eastAsia="宋体" w:cs="Times New Roman"/>
                <w:kern w:val="0"/>
                <w:szCs w:val="21"/>
              </w:rPr>
              <w:t>颗粒粒度分布</w:t>
            </w:r>
            <w:r>
              <w:rPr>
                <w:rFonts w:hint="eastAsia" w:ascii="Times New Roman" w:hAnsi="Times New Roman" w:eastAsia="宋体" w:cs="Times New Roman"/>
                <w:kern w:val="0"/>
                <w:szCs w:val="21"/>
              </w:rPr>
              <w:t>分析</w:t>
            </w:r>
          </w:p>
        </w:tc>
        <w:tc>
          <w:tcPr>
            <w:tcW w:w="3051" w:type="dxa"/>
            <w:vAlign w:val="center"/>
          </w:tcPr>
          <w:p>
            <w:pPr>
              <w:widowControl/>
              <w:spacing w:before="156" w:beforeLines="50" w:after="156" w:afterLines="50" w:line="360" w:lineRule="auto"/>
              <w:jc w:val="center"/>
              <w:rPr>
                <w:rFonts w:hint="eastAsia"/>
                <w:vertAlign w:val="baseline"/>
                <w:lang w:val="en-US" w:eastAsia="zh-CN"/>
              </w:rPr>
            </w:pPr>
            <w:r>
              <w:rPr>
                <w:rFonts w:hint="eastAsia" w:ascii="Times New Roman" w:hAnsi="Times New Roman" w:eastAsia="宋体" w:cs="Times New Roman"/>
                <w:kern w:val="0"/>
                <w:szCs w:val="21"/>
              </w:rPr>
              <w:t>进水、细格栅、沉砂池、膜格栅后污水中悬浮颗粒粒度分析</w:t>
            </w:r>
          </w:p>
        </w:tc>
        <w:tc>
          <w:tcPr>
            <w:tcW w:w="1243" w:type="dxa"/>
            <w:vAlign w:val="center"/>
          </w:tcPr>
          <w:p>
            <w:pPr>
              <w:widowControl/>
              <w:spacing w:before="156" w:beforeLines="50" w:after="156" w:afterLines="50" w:line="360" w:lineRule="auto"/>
              <w:jc w:val="center"/>
              <w:rPr>
                <w:rFonts w:hint="eastAsia"/>
                <w:vertAlign w:val="baseline"/>
                <w:lang w:val="en-US" w:eastAsia="zh-CN"/>
              </w:rPr>
            </w:pPr>
            <w:r>
              <w:rPr>
                <w:rFonts w:hint="eastAsia" w:ascii="Times New Roman" w:hAnsi="Times New Roman" w:eastAsia="宋体" w:cs="Times New Roman"/>
                <w:kern w:val="0"/>
                <w:szCs w:val="21"/>
              </w:rPr>
              <w:t>每周1次，1年共5</w:t>
            </w:r>
            <w:r>
              <w:rPr>
                <w:rFonts w:ascii="Times New Roman" w:hAnsi="Times New Roman" w:eastAsia="宋体" w:cs="Times New Roman"/>
                <w:kern w:val="0"/>
                <w:szCs w:val="21"/>
              </w:rPr>
              <w:t>0</w:t>
            </w:r>
            <w:r>
              <w:rPr>
                <w:rFonts w:hint="eastAsia" w:ascii="Times New Roman" w:hAnsi="Times New Roman" w:eastAsia="宋体" w:cs="Times New Roman"/>
                <w:kern w:val="0"/>
                <w:szCs w:val="21"/>
              </w:rPr>
              <w:t>次，每次</w:t>
            </w:r>
            <w:r>
              <w:rPr>
                <w:rFonts w:ascii="Times New Roman" w:hAnsi="Times New Roman" w:eastAsia="宋体" w:cs="Times New Roman"/>
                <w:kern w:val="0"/>
                <w:szCs w:val="21"/>
              </w:rPr>
              <w:t>4</w:t>
            </w:r>
            <w:r>
              <w:rPr>
                <w:rFonts w:hint="eastAsia" w:ascii="Times New Roman" w:hAnsi="Times New Roman" w:eastAsia="宋体" w:cs="Times New Roman"/>
                <w:kern w:val="0"/>
                <w:szCs w:val="21"/>
              </w:rPr>
              <w:t>个样，小计</w:t>
            </w:r>
            <w:r>
              <w:rPr>
                <w:rFonts w:ascii="Times New Roman" w:hAnsi="Times New Roman" w:eastAsia="宋体" w:cs="Times New Roman"/>
                <w:kern w:val="0"/>
                <w:szCs w:val="21"/>
              </w:rPr>
              <w:t>200</w:t>
            </w:r>
            <w:r>
              <w:rPr>
                <w:rFonts w:hint="eastAsia" w:ascii="Times New Roman" w:hAnsi="Times New Roman" w:eastAsia="宋体" w:cs="Times New Roman"/>
                <w:kern w:val="0"/>
                <w:szCs w:val="21"/>
              </w:rPr>
              <w:t>个样</w:t>
            </w:r>
          </w:p>
        </w:tc>
        <w:tc>
          <w:tcPr>
            <w:tcW w:w="688" w:type="dxa"/>
            <w:vAlign w:val="center"/>
          </w:tcPr>
          <w:p>
            <w:pPr>
              <w:widowControl/>
              <w:spacing w:before="156" w:beforeLines="50" w:after="156" w:afterLines="50" w:line="360" w:lineRule="auto"/>
              <w:jc w:val="center"/>
              <w:rPr>
                <w:rFonts w:hint="eastAsia"/>
                <w:vertAlign w:val="baseline"/>
                <w:lang w:val="en-US" w:eastAsia="zh-CN"/>
              </w:rPr>
            </w:pPr>
            <w:r>
              <w:rPr>
                <w:rFonts w:ascii="Times New Roman" w:hAnsi="Times New Roman" w:eastAsia="宋体" w:cs="Times New Roman"/>
                <w:kern w:val="0"/>
                <w:szCs w:val="21"/>
              </w:rPr>
              <w:t>200</w:t>
            </w:r>
          </w:p>
        </w:tc>
        <w:tc>
          <w:tcPr>
            <w:tcW w:w="646" w:type="dxa"/>
            <w:vAlign w:val="center"/>
          </w:tcPr>
          <w:p>
            <w:pPr>
              <w:widowControl/>
              <w:spacing w:before="156" w:beforeLines="50" w:after="156" w:afterLines="50" w:line="360" w:lineRule="auto"/>
              <w:jc w:val="center"/>
              <w:rPr>
                <w:rFonts w:hint="eastAsia"/>
                <w:vertAlign w:val="baseline"/>
                <w:lang w:val="en-US" w:eastAsia="zh-CN"/>
              </w:rPr>
            </w:pPr>
            <w:r>
              <w:rPr>
                <w:rFonts w:ascii="Times New Roman" w:hAnsi="Times New Roman" w:eastAsia="宋体" w:cs="Times New Roman"/>
                <w:kern w:val="0"/>
                <w:szCs w:val="21"/>
              </w:rPr>
              <w:t>个</w:t>
            </w:r>
          </w:p>
        </w:tc>
        <w:tc>
          <w:tcPr>
            <w:tcW w:w="816" w:type="dxa"/>
          </w:tcPr>
          <w:p>
            <w:pPr>
              <w:pStyle w:val="21"/>
              <w:rPr>
                <w:rFonts w:hint="eastAsia"/>
                <w:vertAlign w:val="baseline"/>
                <w:lang w:val="en-US" w:eastAsia="zh-CN"/>
              </w:rPr>
            </w:pPr>
          </w:p>
        </w:tc>
        <w:tc>
          <w:tcPr>
            <w:tcW w:w="817" w:type="dxa"/>
          </w:tcPr>
          <w:p>
            <w:pPr>
              <w:pStyle w:val="21"/>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pPr>
              <w:widowControl/>
              <w:spacing w:before="156" w:beforeLines="50" w:after="156" w:afterLines="50" w:line="360" w:lineRule="auto"/>
              <w:jc w:val="center"/>
              <w:rPr>
                <w:rFonts w:hint="eastAsia"/>
                <w:vertAlign w:val="baseline"/>
                <w:lang w:val="en-US" w:eastAsia="zh-CN"/>
              </w:rPr>
            </w:pPr>
            <w:r>
              <w:rPr>
                <w:rFonts w:ascii="Times New Roman" w:hAnsi="Times New Roman" w:eastAsia="宋体" w:cs="Times New Roman"/>
                <w:kern w:val="0"/>
                <w:szCs w:val="21"/>
              </w:rPr>
              <w:t>6</w:t>
            </w:r>
          </w:p>
        </w:tc>
        <w:tc>
          <w:tcPr>
            <w:tcW w:w="1194" w:type="dxa"/>
            <w:vAlign w:val="center"/>
          </w:tcPr>
          <w:p>
            <w:pPr>
              <w:widowControl/>
              <w:spacing w:before="156" w:beforeLines="50" w:after="156" w:afterLines="50" w:line="360" w:lineRule="auto"/>
              <w:jc w:val="center"/>
              <w:rPr>
                <w:rFonts w:hint="eastAsia"/>
                <w:vertAlign w:val="baseline"/>
                <w:lang w:val="en-US" w:eastAsia="zh-CN"/>
              </w:rPr>
            </w:pPr>
            <w:r>
              <w:rPr>
                <w:rFonts w:hint="eastAsia" w:ascii="Times New Roman" w:hAnsi="Times New Roman" w:eastAsia="宋体" w:cs="Times New Roman"/>
                <w:kern w:val="0"/>
                <w:szCs w:val="21"/>
              </w:rPr>
              <w:t>微生物群落结构分析</w:t>
            </w:r>
          </w:p>
        </w:tc>
        <w:tc>
          <w:tcPr>
            <w:tcW w:w="3051" w:type="dxa"/>
            <w:vAlign w:val="center"/>
          </w:tcPr>
          <w:p>
            <w:pPr>
              <w:widowControl/>
              <w:spacing w:before="156" w:beforeLines="50" w:after="156" w:afterLines="50" w:line="360" w:lineRule="auto"/>
              <w:jc w:val="center"/>
              <w:rPr>
                <w:rFonts w:hint="eastAsia"/>
                <w:vertAlign w:val="baseline"/>
                <w:lang w:val="en-US" w:eastAsia="zh-CN"/>
              </w:rPr>
            </w:pPr>
            <w:r>
              <w:rPr>
                <w:rFonts w:hint="eastAsia" w:ascii="Times New Roman" w:hAnsi="Times New Roman" w:eastAsia="宋体" w:cs="Times New Roman"/>
                <w:kern w:val="0"/>
                <w:szCs w:val="21"/>
              </w:rPr>
              <w:t>采用高通量测序方法分析活性污泥、内碳源发酵系统中微生物组成、丰度及多样性（含分析）</w:t>
            </w:r>
          </w:p>
        </w:tc>
        <w:tc>
          <w:tcPr>
            <w:tcW w:w="1243" w:type="dxa"/>
            <w:vAlign w:val="center"/>
          </w:tcPr>
          <w:p>
            <w:pPr>
              <w:widowControl/>
              <w:spacing w:before="156" w:beforeLines="50" w:after="156" w:afterLines="50" w:line="360" w:lineRule="auto"/>
              <w:jc w:val="center"/>
              <w:rPr>
                <w:rFonts w:hint="eastAsia"/>
                <w:vertAlign w:val="baseline"/>
                <w:lang w:val="en-US" w:eastAsia="zh-CN"/>
              </w:rPr>
            </w:pPr>
            <w:r>
              <w:rPr>
                <w:rFonts w:hint="eastAsia" w:ascii="Times New Roman" w:hAnsi="Times New Roman" w:eastAsia="宋体" w:cs="Times New Roman"/>
                <w:kern w:val="0"/>
                <w:szCs w:val="21"/>
              </w:rPr>
              <w:t>每周1次，1年共5</w:t>
            </w:r>
            <w:r>
              <w:rPr>
                <w:rFonts w:ascii="Times New Roman" w:hAnsi="Times New Roman" w:eastAsia="宋体" w:cs="Times New Roman"/>
                <w:kern w:val="0"/>
                <w:szCs w:val="21"/>
              </w:rPr>
              <w:t>0</w:t>
            </w:r>
            <w:r>
              <w:rPr>
                <w:rFonts w:hint="eastAsia" w:ascii="Times New Roman" w:hAnsi="Times New Roman" w:eastAsia="宋体" w:cs="Times New Roman"/>
                <w:kern w:val="0"/>
                <w:szCs w:val="21"/>
              </w:rPr>
              <w:t>次，每次2个样，小计1</w:t>
            </w:r>
            <w:r>
              <w:rPr>
                <w:rFonts w:ascii="Times New Roman" w:hAnsi="Times New Roman" w:eastAsia="宋体" w:cs="Times New Roman"/>
                <w:kern w:val="0"/>
                <w:szCs w:val="21"/>
              </w:rPr>
              <w:t>00</w:t>
            </w:r>
            <w:r>
              <w:rPr>
                <w:rFonts w:hint="eastAsia" w:ascii="Times New Roman" w:hAnsi="Times New Roman" w:eastAsia="宋体" w:cs="Times New Roman"/>
                <w:kern w:val="0"/>
                <w:szCs w:val="21"/>
              </w:rPr>
              <w:t>个样</w:t>
            </w:r>
          </w:p>
        </w:tc>
        <w:tc>
          <w:tcPr>
            <w:tcW w:w="688" w:type="dxa"/>
            <w:vAlign w:val="center"/>
          </w:tcPr>
          <w:p>
            <w:pPr>
              <w:widowControl/>
              <w:spacing w:before="156" w:beforeLines="50" w:after="156" w:afterLines="50" w:line="360" w:lineRule="auto"/>
              <w:jc w:val="center"/>
              <w:rPr>
                <w:rFonts w:hint="eastAsia"/>
                <w:vertAlign w:val="baseline"/>
                <w:lang w:val="en-US" w:eastAsia="zh-CN"/>
              </w:rPr>
            </w:pPr>
            <w:r>
              <w:rPr>
                <w:rFonts w:ascii="Times New Roman" w:hAnsi="Times New Roman" w:eastAsia="宋体" w:cs="Times New Roman"/>
                <w:kern w:val="0"/>
                <w:szCs w:val="21"/>
              </w:rPr>
              <w:t>100</w:t>
            </w:r>
          </w:p>
        </w:tc>
        <w:tc>
          <w:tcPr>
            <w:tcW w:w="646" w:type="dxa"/>
            <w:vAlign w:val="center"/>
          </w:tcPr>
          <w:p>
            <w:pPr>
              <w:widowControl/>
              <w:spacing w:before="156" w:beforeLines="50" w:after="156" w:afterLines="50" w:line="360" w:lineRule="auto"/>
              <w:jc w:val="center"/>
              <w:rPr>
                <w:rFonts w:hint="eastAsia"/>
                <w:vertAlign w:val="baseline"/>
                <w:lang w:val="en-US" w:eastAsia="zh-CN"/>
              </w:rPr>
            </w:pPr>
            <w:r>
              <w:rPr>
                <w:rFonts w:ascii="Times New Roman" w:hAnsi="Times New Roman" w:eastAsia="宋体" w:cs="Times New Roman"/>
                <w:kern w:val="0"/>
                <w:szCs w:val="21"/>
              </w:rPr>
              <w:t>个</w:t>
            </w:r>
          </w:p>
        </w:tc>
        <w:tc>
          <w:tcPr>
            <w:tcW w:w="816" w:type="dxa"/>
          </w:tcPr>
          <w:p>
            <w:pPr>
              <w:pStyle w:val="21"/>
              <w:rPr>
                <w:rFonts w:hint="eastAsia"/>
                <w:vertAlign w:val="baseline"/>
                <w:lang w:val="en-US" w:eastAsia="zh-CN"/>
              </w:rPr>
            </w:pPr>
          </w:p>
        </w:tc>
        <w:tc>
          <w:tcPr>
            <w:tcW w:w="817" w:type="dxa"/>
          </w:tcPr>
          <w:p>
            <w:pPr>
              <w:pStyle w:val="21"/>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pPr>
              <w:widowControl/>
              <w:spacing w:before="156" w:beforeLines="50" w:after="156" w:afterLines="50" w:line="360" w:lineRule="auto"/>
              <w:jc w:val="center"/>
              <w:rPr>
                <w:rFonts w:hint="eastAsia"/>
                <w:vertAlign w:val="baseline"/>
                <w:lang w:val="en-US" w:eastAsia="zh-CN"/>
              </w:rPr>
            </w:pPr>
            <w:r>
              <w:rPr>
                <w:rFonts w:ascii="Times New Roman" w:hAnsi="Times New Roman" w:eastAsia="宋体" w:cs="Times New Roman"/>
                <w:kern w:val="0"/>
                <w:szCs w:val="21"/>
              </w:rPr>
              <w:t>7</w:t>
            </w:r>
          </w:p>
        </w:tc>
        <w:tc>
          <w:tcPr>
            <w:tcW w:w="1194" w:type="dxa"/>
            <w:vAlign w:val="center"/>
          </w:tcPr>
          <w:p>
            <w:pPr>
              <w:widowControl/>
              <w:spacing w:before="156" w:beforeLines="50" w:after="156" w:afterLines="50" w:line="360" w:lineRule="auto"/>
              <w:jc w:val="center"/>
              <w:rPr>
                <w:rFonts w:hint="eastAsia"/>
                <w:vertAlign w:val="baseline"/>
                <w:lang w:val="en-US" w:eastAsia="zh-CN"/>
              </w:rPr>
            </w:pPr>
            <w:r>
              <w:rPr>
                <w:rFonts w:ascii="Times New Roman" w:hAnsi="Times New Roman" w:eastAsia="宋体" w:cs="Times New Roman"/>
                <w:kern w:val="0"/>
                <w:szCs w:val="21"/>
              </w:rPr>
              <w:t>扫描电镜（</w:t>
            </w:r>
            <w:r>
              <w:rPr>
                <w:rFonts w:hint="eastAsia" w:ascii="Times New Roman" w:hAnsi="Times New Roman" w:eastAsia="宋体" w:cs="Times New Roman"/>
                <w:kern w:val="0"/>
                <w:szCs w:val="21"/>
              </w:rPr>
              <w:t>含</w:t>
            </w:r>
            <w:r>
              <w:rPr>
                <w:rFonts w:ascii="Times New Roman" w:hAnsi="Times New Roman" w:eastAsia="宋体" w:cs="Times New Roman"/>
                <w:kern w:val="0"/>
                <w:szCs w:val="21"/>
              </w:rPr>
              <w:t>EDS）分析</w:t>
            </w:r>
          </w:p>
        </w:tc>
        <w:tc>
          <w:tcPr>
            <w:tcW w:w="3051" w:type="dxa"/>
            <w:vAlign w:val="center"/>
          </w:tcPr>
          <w:p>
            <w:pPr>
              <w:widowControl/>
              <w:spacing w:before="156" w:beforeLines="50" w:after="156" w:afterLines="50" w:line="360" w:lineRule="auto"/>
              <w:jc w:val="center"/>
              <w:rPr>
                <w:rFonts w:hint="eastAsia"/>
                <w:vertAlign w:val="baseline"/>
                <w:lang w:val="en-US" w:eastAsia="zh-CN"/>
              </w:rPr>
            </w:pPr>
            <w:r>
              <w:rPr>
                <w:rFonts w:hint="eastAsia" w:ascii="Times New Roman" w:hAnsi="Times New Roman" w:eastAsia="宋体" w:cs="Times New Roman"/>
                <w:kern w:val="0"/>
                <w:szCs w:val="21"/>
              </w:rPr>
              <w:t>粗细格栅、膜格栅截留物、活性污泥、中空纤维膜的形貌、微观结构及元素组成分析</w:t>
            </w:r>
          </w:p>
        </w:tc>
        <w:tc>
          <w:tcPr>
            <w:tcW w:w="1243" w:type="dxa"/>
            <w:vAlign w:val="center"/>
          </w:tcPr>
          <w:p>
            <w:pPr>
              <w:widowControl/>
              <w:spacing w:before="156" w:beforeLines="50" w:after="156" w:afterLines="50" w:line="360" w:lineRule="auto"/>
              <w:jc w:val="center"/>
              <w:rPr>
                <w:rFonts w:hint="eastAsia"/>
                <w:vertAlign w:val="baseline"/>
                <w:lang w:val="en-US" w:eastAsia="zh-CN"/>
              </w:rPr>
            </w:pPr>
            <w:r>
              <w:rPr>
                <w:rFonts w:hint="eastAsia" w:ascii="Times New Roman" w:hAnsi="Times New Roman" w:eastAsia="宋体" w:cs="Times New Roman"/>
                <w:kern w:val="0"/>
                <w:szCs w:val="21"/>
              </w:rPr>
              <w:t>每月1次，1年共1</w:t>
            </w:r>
            <w:r>
              <w:rPr>
                <w:rFonts w:ascii="Times New Roman" w:hAnsi="Times New Roman" w:eastAsia="宋体" w:cs="Times New Roman"/>
                <w:kern w:val="0"/>
                <w:szCs w:val="21"/>
              </w:rPr>
              <w:t>2</w:t>
            </w:r>
            <w:r>
              <w:rPr>
                <w:rFonts w:hint="eastAsia" w:ascii="Times New Roman" w:hAnsi="Times New Roman" w:eastAsia="宋体" w:cs="Times New Roman"/>
                <w:kern w:val="0"/>
                <w:szCs w:val="21"/>
              </w:rPr>
              <w:t>次，每次1</w:t>
            </w:r>
            <w:r>
              <w:rPr>
                <w:rFonts w:ascii="Times New Roman" w:hAnsi="Times New Roman" w:eastAsia="宋体" w:cs="Times New Roman"/>
                <w:kern w:val="0"/>
                <w:szCs w:val="21"/>
              </w:rPr>
              <w:t>0</w:t>
            </w:r>
            <w:r>
              <w:rPr>
                <w:rFonts w:hint="eastAsia" w:ascii="Times New Roman" w:hAnsi="Times New Roman" w:eastAsia="宋体" w:cs="Times New Roman"/>
                <w:kern w:val="0"/>
                <w:szCs w:val="21"/>
              </w:rPr>
              <w:t>个样，小计1</w:t>
            </w:r>
            <w:r>
              <w:rPr>
                <w:rFonts w:ascii="Times New Roman" w:hAnsi="Times New Roman" w:eastAsia="宋体" w:cs="Times New Roman"/>
                <w:kern w:val="0"/>
                <w:szCs w:val="21"/>
              </w:rPr>
              <w:t>20</w:t>
            </w:r>
            <w:r>
              <w:rPr>
                <w:rFonts w:hint="eastAsia" w:ascii="Times New Roman" w:hAnsi="Times New Roman" w:eastAsia="宋体" w:cs="Times New Roman"/>
                <w:kern w:val="0"/>
                <w:szCs w:val="21"/>
              </w:rPr>
              <w:t>个样</w:t>
            </w:r>
          </w:p>
        </w:tc>
        <w:tc>
          <w:tcPr>
            <w:tcW w:w="688" w:type="dxa"/>
            <w:vAlign w:val="center"/>
          </w:tcPr>
          <w:p>
            <w:pPr>
              <w:widowControl/>
              <w:spacing w:before="156" w:beforeLines="50" w:after="156" w:afterLines="50" w:line="360" w:lineRule="auto"/>
              <w:jc w:val="center"/>
              <w:rPr>
                <w:rFonts w:hint="eastAsia"/>
                <w:vertAlign w:val="baseline"/>
                <w:lang w:val="en-US" w:eastAsia="zh-CN"/>
              </w:rPr>
            </w:pPr>
            <w:r>
              <w:rPr>
                <w:rFonts w:ascii="Times New Roman" w:hAnsi="Times New Roman" w:eastAsia="宋体" w:cs="Times New Roman"/>
                <w:kern w:val="0"/>
                <w:szCs w:val="21"/>
              </w:rPr>
              <w:t>120</w:t>
            </w:r>
          </w:p>
        </w:tc>
        <w:tc>
          <w:tcPr>
            <w:tcW w:w="646" w:type="dxa"/>
            <w:vAlign w:val="center"/>
          </w:tcPr>
          <w:p>
            <w:pPr>
              <w:widowControl/>
              <w:spacing w:before="156" w:beforeLines="50" w:after="156" w:afterLines="50" w:line="360" w:lineRule="auto"/>
              <w:jc w:val="center"/>
              <w:rPr>
                <w:rFonts w:hint="eastAsia"/>
                <w:vertAlign w:val="baseline"/>
                <w:lang w:val="en-US" w:eastAsia="zh-CN"/>
              </w:rPr>
            </w:pPr>
            <w:r>
              <w:rPr>
                <w:rFonts w:ascii="Times New Roman" w:hAnsi="Times New Roman" w:eastAsia="宋体" w:cs="Times New Roman"/>
                <w:kern w:val="0"/>
                <w:szCs w:val="21"/>
              </w:rPr>
              <w:t>个</w:t>
            </w:r>
          </w:p>
        </w:tc>
        <w:tc>
          <w:tcPr>
            <w:tcW w:w="816" w:type="dxa"/>
          </w:tcPr>
          <w:p>
            <w:pPr>
              <w:pStyle w:val="21"/>
              <w:rPr>
                <w:rFonts w:hint="eastAsia"/>
                <w:vertAlign w:val="baseline"/>
                <w:lang w:val="en-US" w:eastAsia="zh-CN"/>
              </w:rPr>
            </w:pPr>
          </w:p>
        </w:tc>
        <w:tc>
          <w:tcPr>
            <w:tcW w:w="817" w:type="dxa"/>
          </w:tcPr>
          <w:p>
            <w:pPr>
              <w:pStyle w:val="21"/>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pPr>
              <w:widowControl/>
              <w:spacing w:before="156" w:beforeLines="50" w:after="156" w:afterLines="50" w:line="360" w:lineRule="auto"/>
              <w:jc w:val="center"/>
              <w:rPr>
                <w:rFonts w:hint="eastAsia"/>
                <w:vertAlign w:val="baseline"/>
                <w:lang w:val="en-US" w:eastAsia="zh-CN"/>
              </w:rPr>
            </w:pPr>
            <w:r>
              <w:rPr>
                <w:rFonts w:ascii="Times New Roman" w:hAnsi="Times New Roman" w:eastAsia="宋体" w:cs="Times New Roman"/>
                <w:kern w:val="0"/>
                <w:szCs w:val="21"/>
              </w:rPr>
              <w:t>8</w:t>
            </w:r>
          </w:p>
        </w:tc>
        <w:tc>
          <w:tcPr>
            <w:tcW w:w="1194" w:type="dxa"/>
            <w:vAlign w:val="center"/>
          </w:tcPr>
          <w:p>
            <w:pPr>
              <w:widowControl/>
              <w:spacing w:before="156" w:beforeLines="50" w:after="156" w:afterLines="50" w:line="360" w:lineRule="auto"/>
              <w:jc w:val="center"/>
              <w:rPr>
                <w:rFonts w:hint="eastAsia"/>
                <w:vertAlign w:val="baseline"/>
                <w:lang w:val="en-US" w:eastAsia="zh-CN"/>
              </w:rPr>
            </w:pPr>
            <w:r>
              <w:rPr>
                <w:rFonts w:hint="eastAsia" w:ascii="Times New Roman" w:hAnsi="Times New Roman" w:eastAsia="宋体" w:cs="Times New Roman"/>
                <w:kern w:val="0"/>
                <w:szCs w:val="21"/>
              </w:rPr>
              <w:t>傅里叶红外光谱（FTIR）分析</w:t>
            </w:r>
          </w:p>
        </w:tc>
        <w:tc>
          <w:tcPr>
            <w:tcW w:w="3051" w:type="dxa"/>
            <w:vAlign w:val="center"/>
          </w:tcPr>
          <w:p>
            <w:pPr>
              <w:widowControl/>
              <w:spacing w:before="156" w:beforeLines="50" w:after="156" w:afterLines="50" w:line="360" w:lineRule="auto"/>
              <w:jc w:val="center"/>
              <w:rPr>
                <w:rFonts w:hint="eastAsia"/>
                <w:vertAlign w:val="baseline"/>
                <w:lang w:val="en-US" w:eastAsia="zh-CN"/>
              </w:rPr>
            </w:pPr>
            <w:r>
              <w:rPr>
                <w:rFonts w:hint="eastAsia" w:ascii="Times New Roman" w:hAnsi="Times New Roman" w:eastAsia="宋体" w:cs="Times New Roman"/>
                <w:kern w:val="0"/>
                <w:szCs w:val="21"/>
              </w:rPr>
              <w:t>分析MBR中空纤维膜有机污染物的特征官能团、分子结构和化学组成</w:t>
            </w:r>
          </w:p>
        </w:tc>
        <w:tc>
          <w:tcPr>
            <w:tcW w:w="1243" w:type="dxa"/>
            <w:vAlign w:val="center"/>
          </w:tcPr>
          <w:p>
            <w:pPr>
              <w:widowControl/>
              <w:spacing w:before="156" w:beforeLines="50" w:after="156" w:afterLines="50" w:line="360" w:lineRule="auto"/>
              <w:jc w:val="center"/>
              <w:rPr>
                <w:rFonts w:hint="eastAsia"/>
                <w:vertAlign w:val="baseline"/>
                <w:lang w:val="en-US" w:eastAsia="zh-CN"/>
              </w:rPr>
            </w:pPr>
            <w:r>
              <w:rPr>
                <w:rFonts w:hint="eastAsia" w:ascii="Times New Roman" w:hAnsi="Times New Roman" w:eastAsia="宋体" w:cs="Times New Roman"/>
                <w:kern w:val="0"/>
                <w:szCs w:val="21"/>
              </w:rPr>
              <w:t>集中送样，2</w:t>
            </w:r>
            <w:r>
              <w:rPr>
                <w:rFonts w:ascii="Times New Roman" w:hAnsi="Times New Roman" w:eastAsia="宋体" w:cs="Times New Roman"/>
                <w:kern w:val="0"/>
                <w:szCs w:val="21"/>
              </w:rPr>
              <w:t>0</w:t>
            </w:r>
            <w:r>
              <w:rPr>
                <w:rFonts w:hint="eastAsia" w:ascii="Times New Roman" w:hAnsi="Times New Roman" w:eastAsia="宋体" w:cs="Times New Roman"/>
                <w:kern w:val="0"/>
                <w:szCs w:val="21"/>
              </w:rPr>
              <w:t>个样品</w:t>
            </w:r>
          </w:p>
        </w:tc>
        <w:tc>
          <w:tcPr>
            <w:tcW w:w="688" w:type="dxa"/>
            <w:vAlign w:val="center"/>
          </w:tcPr>
          <w:p>
            <w:pPr>
              <w:widowControl/>
              <w:spacing w:before="156" w:beforeLines="50" w:after="156" w:afterLines="50" w:line="360" w:lineRule="auto"/>
              <w:jc w:val="center"/>
              <w:rPr>
                <w:rFonts w:hint="eastAsia"/>
                <w:vertAlign w:val="baseline"/>
                <w:lang w:val="en-US" w:eastAsia="zh-CN"/>
              </w:rPr>
            </w:pPr>
            <w:r>
              <w:rPr>
                <w:rFonts w:ascii="Times New Roman" w:hAnsi="Times New Roman" w:eastAsia="宋体" w:cs="Times New Roman"/>
                <w:kern w:val="0"/>
                <w:szCs w:val="21"/>
              </w:rPr>
              <w:t>20</w:t>
            </w:r>
          </w:p>
        </w:tc>
        <w:tc>
          <w:tcPr>
            <w:tcW w:w="646" w:type="dxa"/>
            <w:vAlign w:val="center"/>
          </w:tcPr>
          <w:p>
            <w:pPr>
              <w:widowControl/>
              <w:spacing w:before="156" w:beforeLines="50" w:after="156" w:afterLines="50" w:line="360" w:lineRule="auto"/>
              <w:jc w:val="center"/>
              <w:rPr>
                <w:rFonts w:hint="eastAsia"/>
                <w:vertAlign w:val="baseline"/>
                <w:lang w:val="en-US" w:eastAsia="zh-CN"/>
              </w:rPr>
            </w:pPr>
            <w:r>
              <w:rPr>
                <w:rFonts w:ascii="Times New Roman" w:hAnsi="Times New Roman" w:eastAsia="宋体" w:cs="Times New Roman"/>
                <w:kern w:val="0"/>
                <w:szCs w:val="21"/>
              </w:rPr>
              <w:t>个</w:t>
            </w:r>
          </w:p>
        </w:tc>
        <w:tc>
          <w:tcPr>
            <w:tcW w:w="816" w:type="dxa"/>
          </w:tcPr>
          <w:p>
            <w:pPr>
              <w:pStyle w:val="21"/>
              <w:rPr>
                <w:rFonts w:hint="eastAsia"/>
                <w:vertAlign w:val="baseline"/>
                <w:lang w:val="en-US" w:eastAsia="zh-CN"/>
              </w:rPr>
            </w:pPr>
          </w:p>
        </w:tc>
        <w:tc>
          <w:tcPr>
            <w:tcW w:w="817" w:type="dxa"/>
          </w:tcPr>
          <w:p>
            <w:pPr>
              <w:pStyle w:val="21"/>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trPr>
        <w:tc>
          <w:tcPr>
            <w:tcW w:w="605" w:type="dxa"/>
            <w:vAlign w:val="center"/>
          </w:tcPr>
          <w:p>
            <w:pPr>
              <w:widowControl/>
              <w:spacing w:before="156" w:beforeLines="50" w:after="156" w:afterLines="50" w:line="360" w:lineRule="auto"/>
              <w:jc w:val="center"/>
              <w:rPr>
                <w:rFonts w:hint="eastAsia"/>
                <w:vertAlign w:val="baseline"/>
                <w:lang w:val="en-US" w:eastAsia="zh-CN"/>
              </w:rPr>
            </w:pPr>
            <w:r>
              <w:rPr>
                <w:rFonts w:hint="eastAsia" w:ascii="Times New Roman" w:hAnsi="Times New Roman" w:eastAsia="宋体" w:cs="Times New Roman"/>
                <w:kern w:val="0"/>
                <w:szCs w:val="21"/>
              </w:rPr>
              <w:t>9</w:t>
            </w:r>
          </w:p>
        </w:tc>
        <w:tc>
          <w:tcPr>
            <w:tcW w:w="1194" w:type="dxa"/>
            <w:vAlign w:val="center"/>
          </w:tcPr>
          <w:p>
            <w:pPr>
              <w:widowControl/>
              <w:spacing w:before="156" w:beforeLines="50" w:after="156" w:afterLines="50" w:line="360" w:lineRule="auto"/>
              <w:jc w:val="center"/>
              <w:rPr>
                <w:rFonts w:hint="eastAsia"/>
                <w:vertAlign w:val="baseline"/>
                <w:lang w:val="en-US" w:eastAsia="zh-CN"/>
              </w:rPr>
            </w:pPr>
            <w:r>
              <w:rPr>
                <w:rFonts w:ascii="Times New Roman" w:hAnsi="Times New Roman" w:eastAsia="宋体" w:cs="Times New Roman"/>
                <w:kern w:val="0"/>
                <w:szCs w:val="21"/>
              </w:rPr>
              <w:t>X射线光电子能谱</w:t>
            </w:r>
            <w:r>
              <w:rPr>
                <w:rFonts w:hint="eastAsia" w:ascii="Times New Roman" w:hAnsi="Times New Roman" w:eastAsia="宋体" w:cs="Times New Roman"/>
                <w:kern w:val="0"/>
                <w:szCs w:val="21"/>
              </w:rPr>
              <w:t>（XPS）分析</w:t>
            </w:r>
          </w:p>
        </w:tc>
        <w:tc>
          <w:tcPr>
            <w:tcW w:w="3051" w:type="dxa"/>
            <w:vAlign w:val="center"/>
          </w:tcPr>
          <w:p>
            <w:pPr>
              <w:widowControl/>
              <w:spacing w:before="156" w:beforeLines="50" w:after="156" w:afterLines="50" w:line="360" w:lineRule="auto"/>
              <w:jc w:val="center"/>
              <w:rPr>
                <w:rFonts w:hint="eastAsia"/>
                <w:vertAlign w:val="baseline"/>
                <w:lang w:val="en-US" w:eastAsia="zh-CN"/>
              </w:rPr>
            </w:pPr>
            <w:r>
              <w:rPr>
                <w:rFonts w:hint="eastAsia" w:ascii="Times New Roman" w:hAnsi="Times New Roman" w:eastAsia="宋体" w:cs="Times New Roman"/>
                <w:kern w:val="0"/>
                <w:szCs w:val="21"/>
              </w:rPr>
              <w:t>分析MBR中空纤维膜表面污染物元素组成、价态等</w:t>
            </w:r>
          </w:p>
        </w:tc>
        <w:tc>
          <w:tcPr>
            <w:tcW w:w="1243" w:type="dxa"/>
            <w:vAlign w:val="center"/>
          </w:tcPr>
          <w:p>
            <w:pPr>
              <w:widowControl/>
              <w:spacing w:before="156" w:beforeLines="50" w:after="156" w:afterLines="50" w:line="360" w:lineRule="auto"/>
              <w:jc w:val="center"/>
              <w:rPr>
                <w:rFonts w:hint="eastAsia"/>
                <w:vertAlign w:val="baseline"/>
                <w:lang w:val="en-US" w:eastAsia="zh-CN"/>
              </w:rPr>
            </w:pPr>
            <w:r>
              <w:rPr>
                <w:rFonts w:hint="eastAsia" w:ascii="Times New Roman" w:hAnsi="Times New Roman" w:eastAsia="宋体" w:cs="Times New Roman"/>
                <w:kern w:val="0"/>
                <w:szCs w:val="21"/>
              </w:rPr>
              <w:t>集中送样，2</w:t>
            </w:r>
            <w:r>
              <w:rPr>
                <w:rFonts w:ascii="Times New Roman" w:hAnsi="Times New Roman" w:eastAsia="宋体" w:cs="Times New Roman"/>
                <w:kern w:val="0"/>
                <w:szCs w:val="21"/>
              </w:rPr>
              <w:t>0</w:t>
            </w:r>
            <w:r>
              <w:rPr>
                <w:rFonts w:hint="eastAsia" w:ascii="Times New Roman" w:hAnsi="Times New Roman" w:eastAsia="宋体" w:cs="Times New Roman"/>
                <w:kern w:val="0"/>
                <w:szCs w:val="21"/>
              </w:rPr>
              <w:t>个样品</w:t>
            </w:r>
          </w:p>
        </w:tc>
        <w:tc>
          <w:tcPr>
            <w:tcW w:w="688" w:type="dxa"/>
            <w:vAlign w:val="center"/>
          </w:tcPr>
          <w:p>
            <w:pPr>
              <w:widowControl/>
              <w:spacing w:before="156" w:beforeLines="50" w:after="156" w:afterLines="50" w:line="360" w:lineRule="auto"/>
              <w:jc w:val="center"/>
              <w:rPr>
                <w:rFonts w:hint="eastAsia"/>
                <w:vertAlign w:val="baseline"/>
                <w:lang w:val="en-US" w:eastAsia="zh-CN"/>
              </w:rPr>
            </w:pPr>
            <w:r>
              <w:rPr>
                <w:rFonts w:hint="eastAsia" w:ascii="Times New Roman" w:hAnsi="Times New Roman" w:eastAsia="宋体" w:cs="Times New Roman"/>
                <w:kern w:val="0"/>
                <w:szCs w:val="21"/>
              </w:rPr>
              <w:t>2</w:t>
            </w:r>
            <w:r>
              <w:rPr>
                <w:rFonts w:ascii="Times New Roman" w:hAnsi="Times New Roman" w:eastAsia="宋体" w:cs="Times New Roman"/>
                <w:kern w:val="0"/>
                <w:szCs w:val="21"/>
              </w:rPr>
              <w:t>0</w:t>
            </w:r>
          </w:p>
        </w:tc>
        <w:tc>
          <w:tcPr>
            <w:tcW w:w="646" w:type="dxa"/>
            <w:vAlign w:val="center"/>
          </w:tcPr>
          <w:p>
            <w:pPr>
              <w:widowControl/>
              <w:spacing w:before="156" w:beforeLines="50" w:after="156" w:afterLines="50" w:line="360" w:lineRule="auto"/>
              <w:jc w:val="center"/>
              <w:rPr>
                <w:rFonts w:hint="eastAsia"/>
                <w:vertAlign w:val="baseline"/>
                <w:lang w:val="en-US" w:eastAsia="zh-CN"/>
              </w:rPr>
            </w:pPr>
            <w:r>
              <w:rPr>
                <w:rFonts w:hint="eastAsia" w:ascii="Times New Roman" w:hAnsi="Times New Roman" w:eastAsia="宋体" w:cs="Times New Roman"/>
                <w:kern w:val="0"/>
                <w:szCs w:val="21"/>
              </w:rPr>
              <w:t>个</w:t>
            </w:r>
          </w:p>
        </w:tc>
        <w:tc>
          <w:tcPr>
            <w:tcW w:w="816" w:type="dxa"/>
          </w:tcPr>
          <w:p>
            <w:pPr>
              <w:pStyle w:val="21"/>
              <w:rPr>
                <w:rFonts w:hint="eastAsia"/>
                <w:vertAlign w:val="baseline"/>
                <w:lang w:val="en-US" w:eastAsia="zh-CN"/>
              </w:rPr>
            </w:pPr>
          </w:p>
        </w:tc>
        <w:tc>
          <w:tcPr>
            <w:tcW w:w="817" w:type="dxa"/>
          </w:tcPr>
          <w:p>
            <w:pPr>
              <w:pStyle w:val="21"/>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605" w:type="dxa"/>
            <w:vAlign w:val="center"/>
          </w:tcPr>
          <w:p>
            <w:pPr>
              <w:widowControl/>
              <w:spacing w:before="156" w:beforeLines="50" w:after="156" w:afterLines="50" w:line="360" w:lineRule="auto"/>
              <w:jc w:val="center"/>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Cs w:val="21"/>
              </w:rPr>
              <w:t>1</w:t>
            </w:r>
            <w:r>
              <w:rPr>
                <w:rFonts w:ascii="Times New Roman" w:hAnsi="Times New Roman" w:eastAsia="宋体" w:cs="Times New Roman"/>
                <w:kern w:val="0"/>
                <w:szCs w:val="21"/>
              </w:rPr>
              <w:t>0</w:t>
            </w:r>
          </w:p>
        </w:tc>
        <w:tc>
          <w:tcPr>
            <w:tcW w:w="1194" w:type="dxa"/>
            <w:vAlign w:val="center"/>
          </w:tcPr>
          <w:p>
            <w:pPr>
              <w:widowControl/>
              <w:spacing w:before="156" w:beforeLines="50" w:after="156" w:afterLines="50" w:line="360" w:lineRule="auto"/>
              <w:jc w:val="center"/>
              <w:rPr>
                <w:rFonts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Cs w:val="21"/>
              </w:rPr>
              <w:t>三维荧光光谱（EEM）分析</w:t>
            </w:r>
          </w:p>
        </w:tc>
        <w:tc>
          <w:tcPr>
            <w:tcW w:w="3051" w:type="dxa"/>
            <w:vAlign w:val="center"/>
          </w:tcPr>
          <w:p>
            <w:pPr>
              <w:widowControl/>
              <w:spacing w:before="156" w:beforeLines="50" w:after="156" w:afterLines="50" w:line="360" w:lineRule="auto"/>
              <w:jc w:val="center"/>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Cs w:val="21"/>
              </w:rPr>
              <w:t>生化及MBR工艺进出水中微生物溶解性产物（SMP）荧光类有机物组成及含量分析</w:t>
            </w:r>
          </w:p>
        </w:tc>
        <w:tc>
          <w:tcPr>
            <w:tcW w:w="1243" w:type="dxa"/>
            <w:vAlign w:val="center"/>
          </w:tcPr>
          <w:p>
            <w:pPr>
              <w:widowControl/>
              <w:spacing w:before="156" w:beforeLines="50" w:after="156" w:afterLines="50" w:line="360" w:lineRule="auto"/>
              <w:jc w:val="center"/>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Cs w:val="21"/>
              </w:rPr>
              <w:t>集中送样，每天</w:t>
            </w:r>
            <w:r>
              <w:rPr>
                <w:rFonts w:ascii="Times New Roman" w:hAnsi="Times New Roman" w:eastAsia="宋体" w:cs="Times New Roman"/>
                <w:kern w:val="0"/>
                <w:szCs w:val="21"/>
              </w:rPr>
              <w:t>1</w:t>
            </w:r>
            <w:r>
              <w:rPr>
                <w:rFonts w:hint="eastAsia" w:ascii="Times New Roman" w:hAnsi="Times New Roman" w:eastAsia="宋体" w:cs="Times New Roman"/>
                <w:kern w:val="0"/>
                <w:szCs w:val="21"/>
              </w:rPr>
              <w:t>次，每次3个样，连续检测1</w:t>
            </w:r>
            <w:r>
              <w:rPr>
                <w:rFonts w:ascii="Times New Roman" w:hAnsi="Times New Roman" w:eastAsia="宋体" w:cs="Times New Roman"/>
                <w:kern w:val="0"/>
                <w:szCs w:val="21"/>
              </w:rPr>
              <w:t>00</w:t>
            </w:r>
            <w:r>
              <w:rPr>
                <w:rFonts w:hint="eastAsia" w:ascii="Times New Roman" w:hAnsi="Times New Roman" w:eastAsia="宋体" w:cs="Times New Roman"/>
                <w:kern w:val="0"/>
                <w:szCs w:val="21"/>
              </w:rPr>
              <w:t>天，合计3</w:t>
            </w:r>
            <w:r>
              <w:rPr>
                <w:rFonts w:ascii="Times New Roman" w:hAnsi="Times New Roman" w:eastAsia="宋体" w:cs="Times New Roman"/>
                <w:kern w:val="0"/>
                <w:szCs w:val="21"/>
              </w:rPr>
              <w:t>00</w:t>
            </w:r>
            <w:r>
              <w:rPr>
                <w:rFonts w:hint="eastAsia" w:ascii="Times New Roman" w:hAnsi="Times New Roman" w:eastAsia="宋体" w:cs="Times New Roman"/>
                <w:kern w:val="0"/>
                <w:szCs w:val="21"/>
              </w:rPr>
              <w:t>个样。</w:t>
            </w:r>
          </w:p>
        </w:tc>
        <w:tc>
          <w:tcPr>
            <w:tcW w:w="688" w:type="dxa"/>
            <w:vAlign w:val="center"/>
          </w:tcPr>
          <w:p>
            <w:pPr>
              <w:widowControl/>
              <w:spacing w:before="156" w:beforeLines="50" w:after="156" w:afterLines="50" w:line="360" w:lineRule="auto"/>
              <w:jc w:val="center"/>
              <w:rPr>
                <w:rFonts w:hint="eastAsia" w:ascii="Times New Roman" w:hAnsi="Times New Roman" w:eastAsia="宋体" w:cs="Times New Roman"/>
                <w:kern w:val="0"/>
                <w:sz w:val="21"/>
                <w:szCs w:val="21"/>
                <w:lang w:val="en-US" w:eastAsia="zh-CN" w:bidi="ar-SA"/>
              </w:rPr>
            </w:pPr>
            <w:r>
              <w:rPr>
                <w:rFonts w:ascii="Times New Roman" w:hAnsi="Times New Roman" w:eastAsia="宋体" w:cs="Times New Roman"/>
                <w:kern w:val="0"/>
                <w:szCs w:val="21"/>
              </w:rPr>
              <w:t>300</w:t>
            </w:r>
          </w:p>
        </w:tc>
        <w:tc>
          <w:tcPr>
            <w:tcW w:w="646" w:type="dxa"/>
            <w:vAlign w:val="center"/>
          </w:tcPr>
          <w:p>
            <w:pPr>
              <w:widowControl/>
              <w:spacing w:before="156" w:beforeLines="50" w:after="156" w:afterLines="50" w:line="360" w:lineRule="auto"/>
              <w:jc w:val="center"/>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个</w:t>
            </w:r>
          </w:p>
        </w:tc>
        <w:tc>
          <w:tcPr>
            <w:tcW w:w="816" w:type="dxa"/>
          </w:tcPr>
          <w:p>
            <w:pPr>
              <w:pStyle w:val="21"/>
              <w:rPr>
                <w:rFonts w:hint="eastAsia"/>
                <w:vertAlign w:val="baseline"/>
                <w:lang w:val="en-US" w:eastAsia="zh-CN"/>
              </w:rPr>
            </w:pPr>
          </w:p>
        </w:tc>
        <w:tc>
          <w:tcPr>
            <w:tcW w:w="817" w:type="dxa"/>
          </w:tcPr>
          <w:p>
            <w:pPr>
              <w:pStyle w:val="21"/>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43" w:type="dxa"/>
            <w:gridSpan w:val="7"/>
            <w:vAlign w:val="center"/>
          </w:tcPr>
          <w:p>
            <w:pPr>
              <w:pStyle w:val="21"/>
              <w:jc w:val="center"/>
              <w:rPr>
                <w:rFonts w:hint="eastAsia"/>
                <w:vertAlign w:val="baseline"/>
                <w:lang w:val="en-US" w:eastAsia="zh-CN"/>
              </w:rPr>
            </w:pPr>
            <w:r>
              <w:rPr>
                <w:rFonts w:hint="eastAsia" w:ascii="微软雅黑" w:hAnsi="微软雅黑" w:eastAsia="微软雅黑" w:cs="微软雅黑"/>
                <w:i w:val="0"/>
                <w:color w:val="000000"/>
                <w:sz w:val="20"/>
                <w:szCs w:val="20"/>
                <w:u w:val="none"/>
                <w:lang w:val="en-US" w:eastAsia="zh-CN"/>
              </w:rPr>
              <w:t>合计（含税   %）</w:t>
            </w:r>
          </w:p>
        </w:tc>
        <w:tc>
          <w:tcPr>
            <w:tcW w:w="817" w:type="dxa"/>
          </w:tcPr>
          <w:p>
            <w:pPr>
              <w:pStyle w:val="21"/>
              <w:rPr>
                <w:rFonts w:hint="eastAsia"/>
                <w:vertAlign w:val="baseline"/>
                <w:lang w:val="en-US" w:eastAsia="zh-CN"/>
              </w:rPr>
            </w:pPr>
          </w:p>
        </w:tc>
      </w:tr>
    </w:tbl>
    <w:p>
      <w:pPr>
        <w:pStyle w:val="5"/>
        <w:rPr>
          <w:rFonts w:hint="eastAsia" w:eastAsiaTheme="majorEastAsia"/>
          <w:color w:val="auto"/>
          <w:highlight w:val="none"/>
          <w:lang w:val="en-US" w:eastAsia="zh-CN"/>
        </w:rPr>
      </w:pPr>
    </w:p>
    <w:p>
      <w:pPr>
        <w:pStyle w:val="5"/>
        <w:rPr>
          <w:rFonts w:asciiTheme="majorEastAsia" w:hAnsiTheme="majorEastAsia" w:eastAsiaTheme="majorEastAsia"/>
          <w:color w:val="auto"/>
          <w:sz w:val="28"/>
          <w:szCs w:val="28"/>
          <w:highlight w:val="none"/>
        </w:rPr>
      </w:pPr>
      <w:r>
        <w:rPr>
          <w:rFonts w:hint="eastAsia" w:asciiTheme="majorEastAsia" w:hAnsiTheme="majorEastAsia" w:eastAsiaTheme="majorEastAsia"/>
          <w:color w:val="auto"/>
          <w:sz w:val="28"/>
          <w:szCs w:val="28"/>
          <w:highlight w:val="none"/>
          <w:lang w:val="en-US" w:eastAsia="zh-CN"/>
        </w:rPr>
        <w:t>6.</w:t>
      </w:r>
      <w:r>
        <w:rPr>
          <w:rFonts w:hint="eastAsia" w:asciiTheme="majorEastAsia" w:hAnsiTheme="majorEastAsia" w:eastAsiaTheme="majorEastAsia"/>
          <w:color w:val="auto"/>
          <w:sz w:val="28"/>
          <w:szCs w:val="28"/>
          <w:highlight w:val="none"/>
        </w:rPr>
        <w:t>其他资料</w:t>
      </w:r>
      <w:bookmarkEnd w:id="107"/>
      <w:bookmarkEnd w:id="108"/>
      <w:bookmarkEnd w:id="109"/>
      <w:bookmarkEnd w:id="110"/>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14935" cy="302260"/>
              <wp:effectExtent l="0" t="0" r="0" b="0"/>
              <wp:wrapNone/>
              <wp:docPr id="23" name="Text Box 4"/>
              <wp:cNvGraphicFramePr/>
              <a:graphic xmlns:a="http://schemas.openxmlformats.org/drawingml/2006/main">
                <a:graphicData uri="http://schemas.microsoft.com/office/word/2010/wordprocessingShape">
                  <wps:wsp>
                    <wps:cNvSpPr txBox="1">
                      <a:spLocks noChangeArrowheads="1"/>
                    </wps:cNvSpPr>
                    <wps:spPr bwMode="auto">
                      <a:xfrm>
                        <a:off x="0" y="0"/>
                        <a:ext cx="114935" cy="302260"/>
                      </a:xfrm>
                      <a:prstGeom prst="rect">
                        <a:avLst/>
                      </a:prstGeom>
                      <a:noFill/>
                      <a:ln>
                        <a:noFill/>
                      </a:ln>
                      <a:effectLst/>
                    </wps:spPr>
                    <wps:txbx>
                      <w:txbxContent>
                        <w:p>
                          <w:pPr>
                            <w:pStyle w:val="16"/>
                          </w:pPr>
                        </w:p>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23.8pt;width:9.05pt;mso-position-horizontal:center;mso-position-horizontal-relative:margin;mso-wrap-style:none;z-index:251674624;mso-width-relative:page;mso-height-relative:page;" filled="f" stroked="f" coordsize="21600,21600" o:gfxdata="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7G5YnRAAAAAwEAAA8AAAAAAAAAAQAgAAAAIgAAAGRycy9kb3ducmV2Lnht&#10;bFBLAQIUABQAAAAIAIdO4kAbJgDWAAIAABAEAAAOAAAAAAAAAAEAIAAAACABAABkcnMvZTJvRG9j&#10;LnhtbFBLBQYAAAAABgAGAFkBAACSBQ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58420" cy="139700"/>
              <wp:effectExtent l="0" t="0" r="0" b="0"/>
              <wp:wrapNone/>
              <wp:docPr id="7" name="Text Box 3"/>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ffectLst/>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1pt;width:4.6pt;mso-position-horizontal:center;mso-position-horizontal-relative:margin;mso-wrap-style:none;z-index:251680768;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tbuXfQAAAAAgEAAA8AAAAAAAAAAQAgAAAAIgAAAGRycy9kb3ducmV2LnhtbFBL&#10;AQIUABQAAAAIAIdO4kBmt8Pu/gEAAA4EAAAOAAAAAAAAAAEAIAAAAB8BAABkcnMvZTJvRG9jLnht&#10;bFBLBQYAAAAABgAGAFkBAACPBQ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14935" cy="302260"/>
              <wp:effectExtent l="0" t="0" r="0" b="0"/>
              <wp:wrapNone/>
              <wp:docPr id="8" name="Text Box 4"/>
              <wp:cNvGraphicFramePr/>
              <a:graphic xmlns:a="http://schemas.openxmlformats.org/drawingml/2006/main">
                <a:graphicData uri="http://schemas.microsoft.com/office/word/2010/wordprocessingShape">
                  <wps:wsp>
                    <wps:cNvSpPr txBox="1">
                      <a:spLocks noChangeArrowheads="1"/>
                    </wps:cNvSpPr>
                    <wps:spPr bwMode="auto">
                      <a:xfrm>
                        <a:off x="0" y="0"/>
                        <a:ext cx="114935" cy="302260"/>
                      </a:xfrm>
                      <a:prstGeom prst="rect">
                        <a:avLst/>
                      </a:prstGeom>
                      <a:noFill/>
                      <a:ln>
                        <a:noFill/>
                      </a:ln>
                      <a:effectLst/>
                    </wps:spPr>
                    <wps:txbx>
                      <w:txbxContent>
                        <w:p>
                          <w:pPr>
                            <w:pStyle w:val="16"/>
                          </w:pPr>
                        </w:p>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23.8pt;width:9.05pt;mso-position-horizontal:center;mso-position-horizontal-relative:margin;mso-wrap-style:none;z-index:251679744;mso-width-relative:page;mso-height-relative:page;" filled="f" stroked="f" coordsize="21600,21600" o:gfxdata="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sblidEAAAADAQAADwAAAAAAAAABACAAAAAiAAAAZHJzL2Rvd25yZXYueG1s&#10;UEsBAhQAFAAAAAgAh07iQBlvxHD/AQAADwQAAA4AAAAAAAAAAQAgAAAAIAEAAGRycy9lMm9Eb2Mu&#10;eG1sUEsFBgAAAAAGAAYAWQEAAJEFA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58420" cy="139700"/>
              <wp:effectExtent l="0" t="0" r="0" b="0"/>
              <wp:wrapNone/>
              <wp:docPr id="22" name="Text Box 1"/>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ffectLst/>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1pt;width:4.6pt;mso-position-horizontal:center;mso-position-horizontal-relative:margin;mso-wrap-style:none;z-index:251681792;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tbuXfQAAAAAgEAAA8AAAAAAAAAAQAgAAAAIgAAAGRycy9kb3ducmV2LnhtbFBL&#10;AQIUABQAAAAIAIdO4kBQXxYK/gEAAA8EAAAOAAAAAAAAAAEAIAAAAB8BAABkcnMvZTJvRG9jLnht&#10;bFBLBQYAAAAABgAGAFkBAACPBQ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IWtvs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pJieMWJ375/u3y49fl51fy&#10;O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sha2+yQEAAJoDAAAOAAAAAAAAAAEAIAAAAB4BAABkcnMvZTJvRG9j&#10;LnhtbFBLBQYAAAAABgAGAFkBAABZBQ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CqOxskBAACaAwAADgAAAGRycy9lMm9Eb2MueG1srVPNjtMwEL4j8Q6W&#10;79TZC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YKo7GyQEAAJoDAAAOAAAAAAAAAAEAIAAAAB4BAABkcnMvZTJvRG9j&#10;LnhtbFBLBQYAAAAABgAGAFkBAABZBQ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wR1fskBAACa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i2oUuUxHGLEz9//3b+8ev88yt5&#10;nfXpA9SY9hgwMQ1v/YBbM/sBnZn2oKLNXyREMI5Qp4u6ckhE5Eer5WpVYUhgbL4gPnt6HiKkB+kt&#10;yUZDI46vqMqP7yGNqXNKrub8vTamjNC4vxyImT0s9z72mK007IaJ0M63J+TT4+Qb6nDRKTHvHAqL&#10;/aXZiLOxm41DiHrflS3K9SC8OSRsovSWK4ywU2EcWWE3rVfeiT/vJevpl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XBHV+yQEAAJoDAAAOAAAAAAAAAAEAIAAAAB4BAABkcnMvZTJvRG9j&#10;LnhtbFBLBQYAAAAABgAGAFkBAABZBQ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549B9FA0"/>
    <w:multiLevelType w:val="singleLevel"/>
    <w:tmpl w:val="549B9FA0"/>
    <w:lvl w:ilvl="0" w:tentative="0">
      <w:start w:val="5"/>
      <w:numFmt w:val="decimal"/>
      <w:lvlText w:val="%1."/>
      <w:lvlJc w:val="left"/>
      <w:pPr>
        <w:tabs>
          <w:tab w:val="left" w:pos="312"/>
        </w:tabs>
      </w:pPr>
    </w:lvl>
  </w:abstractNum>
  <w:abstractNum w:abstractNumId="3">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1D10AB"/>
    <w:rsid w:val="003D60BA"/>
    <w:rsid w:val="00411689"/>
    <w:rsid w:val="005D618A"/>
    <w:rsid w:val="00775C4F"/>
    <w:rsid w:val="00911ECD"/>
    <w:rsid w:val="00A042E0"/>
    <w:rsid w:val="00B26BB1"/>
    <w:rsid w:val="00B26E21"/>
    <w:rsid w:val="00B741D7"/>
    <w:rsid w:val="00C10FDD"/>
    <w:rsid w:val="00D4533C"/>
    <w:rsid w:val="00F4718E"/>
    <w:rsid w:val="00F83B64"/>
    <w:rsid w:val="013E3461"/>
    <w:rsid w:val="01BB0F13"/>
    <w:rsid w:val="01F80A87"/>
    <w:rsid w:val="02090C75"/>
    <w:rsid w:val="021A1D23"/>
    <w:rsid w:val="02A23A3C"/>
    <w:rsid w:val="02FB196F"/>
    <w:rsid w:val="03220D71"/>
    <w:rsid w:val="035D130A"/>
    <w:rsid w:val="039110A9"/>
    <w:rsid w:val="03AC246A"/>
    <w:rsid w:val="03AE6061"/>
    <w:rsid w:val="03B23056"/>
    <w:rsid w:val="03DA023E"/>
    <w:rsid w:val="03DC3EBA"/>
    <w:rsid w:val="03F9794D"/>
    <w:rsid w:val="046A2461"/>
    <w:rsid w:val="04FA7324"/>
    <w:rsid w:val="051C2970"/>
    <w:rsid w:val="05216546"/>
    <w:rsid w:val="060C3611"/>
    <w:rsid w:val="0633762F"/>
    <w:rsid w:val="06636E50"/>
    <w:rsid w:val="066E3C86"/>
    <w:rsid w:val="06932DB8"/>
    <w:rsid w:val="06C64829"/>
    <w:rsid w:val="070E7B6E"/>
    <w:rsid w:val="071D62B7"/>
    <w:rsid w:val="0779155C"/>
    <w:rsid w:val="077D16D2"/>
    <w:rsid w:val="07831D4A"/>
    <w:rsid w:val="082A69F3"/>
    <w:rsid w:val="08675FC8"/>
    <w:rsid w:val="08B466A8"/>
    <w:rsid w:val="09B713FD"/>
    <w:rsid w:val="09D64A27"/>
    <w:rsid w:val="09EB5953"/>
    <w:rsid w:val="09EF6ACC"/>
    <w:rsid w:val="0A315056"/>
    <w:rsid w:val="0A3E3B7B"/>
    <w:rsid w:val="0A694621"/>
    <w:rsid w:val="0A6E7BBD"/>
    <w:rsid w:val="0AA213B4"/>
    <w:rsid w:val="0AF61C7E"/>
    <w:rsid w:val="0AFB45AD"/>
    <w:rsid w:val="0B351E9B"/>
    <w:rsid w:val="0B4C50D3"/>
    <w:rsid w:val="0B806B92"/>
    <w:rsid w:val="0B827E94"/>
    <w:rsid w:val="0B842F76"/>
    <w:rsid w:val="0BD070E1"/>
    <w:rsid w:val="0BD65B6B"/>
    <w:rsid w:val="0C1E1DDF"/>
    <w:rsid w:val="0C2361E7"/>
    <w:rsid w:val="0C247926"/>
    <w:rsid w:val="0CAE077E"/>
    <w:rsid w:val="0D794204"/>
    <w:rsid w:val="0DB22A89"/>
    <w:rsid w:val="0DE84808"/>
    <w:rsid w:val="0E2125D1"/>
    <w:rsid w:val="0E214211"/>
    <w:rsid w:val="0E5F2769"/>
    <w:rsid w:val="0ED8332F"/>
    <w:rsid w:val="0F4D75A3"/>
    <w:rsid w:val="0F5B2DCA"/>
    <w:rsid w:val="0F714D08"/>
    <w:rsid w:val="0FA20605"/>
    <w:rsid w:val="0FBD460F"/>
    <w:rsid w:val="0FED051E"/>
    <w:rsid w:val="0FEE4C29"/>
    <w:rsid w:val="0FFD33F6"/>
    <w:rsid w:val="10031608"/>
    <w:rsid w:val="10046082"/>
    <w:rsid w:val="10266EB0"/>
    <w:rsid w:val="104974DD"/>
    <w:rsid w:val="10547045"/>
    <w:rsid w:val="111703D2"/>
    <w:rsid w:val="112B101A"/>
    <w:rsid w:val="119B53FC"/>
    <w:rsid w:val="120E47BF"/>
    <w:rsid w:val="1215733B"/>
    <w:rsid w:val="12424CDC"/>
    <w:rsid w:val="127C2CA2"/>
    <w:rsid w:val="129A2738"/>
    <w:rsid w:val="12B56BF1"/>
    <w:rsid w:val="12CB1A89"/>
    <w:rsid w:val="13090350"/>
    <w:rsid w:val="131840FB"/>
    <w:rsid w:val="13467417"/>
    <w:rsid w:val="136E76CF"/>
    <w:rsid w:val="145F08C6"/>
    <w:rsid w:val="14BF1116"/>
    <w:rsid w:val="14E43F59"/>
    <w:rsid w:val="15776308"/>
    <w:rsid w:val="15BC6B3C"/>
    <w:rsid w:val="15EC2C59"/>
    <w:rsid w:val="16360A7B"/>
    <w:rsid w:val="163E0EF7"/>
    <w:rsid w:val="164D40B0"/>
    <w:rsid w:val="1679600B"/>
    <w:rsid w:val="1694429A"/>
    <w:rsid w:val="17635326"/>
    <w:rsid w:val="17A0779F"/>
    <w:rsid w:val="17B606B5"/>
    <w:rsid w:val="17B803EA"/>
    <w:rsid w:val="1815096B"/>
    <w:rsid w:val="18236EFD"/>
    <w:rsid w:val="18377249"/>
    <w:rsid w:val="185D743E"/>
    <w:rsid w:val="189D5B1F"/>
    <w:rsid w:val="18A34CD0"/>
    <w:rsid w:val="191C5AE8"/>
    <w:rsid w:val="19A53EA8"/>
    <w:rsid w:val="19B64DBC"/>
    <w:rsid w:val="19EC6A4A"/>
    <w:rsid w:val="1A373ACF"/>
    <w:rsid w:val="1A7B10BA"/>
    <w:rsid w:val="1A895341"/>
    <w:rsid w:val="1AF97157"/>
    <w:rsid w:val="1B0D071F"/>
    <w:rsid w:val="1B0D6EF9"/>
    <w:rsid w:val="1B4568CE"/>
    <w:rsid w:val="1B9015B7"/>
    <w:rsid w:val="1B950DA6"/>
    <w:rsid w:val="1BF54245"/>
    <w:rsid w:val="1C44045B"/>
    <w:rsid w:val="1D0E6976"/>
    <w:rsid w:val="1D5A79EE"/>
    <w:rsid w:val="1DEC6F1E"/>
    <w:rsid w:val="1E0E2CD0"/>
    <w:rsid w:val="1E831280"/>
    <w:rsid w:val="1EA12BB3"/>
    <w:rsid w:val="1EBC4704"/>
    <w:rsid w:val="1EE522C8"/>
    <w:rsid w:val="1F172EB5"/>
    <w:rsid w:val="1F1B7DF6"/>
    <w:rsid w:val="1F22070B"/>
    <w:rsid w:val="1F94592D"/>
    <w:rsid w:val="1FB273B5"/>
    <w:rsid w:val="1FB860DE"/>
    <w:rsid w:val="201E643D"/>
    <w:rsid w:val="203C5A02"/>
    <w:rsid w:val="204524A0"/>
    <w:rsid w:val="209D4C94"/>
    <w:rsid w:val="20B44FCD"/>
    <w:rsid w:val="20E84705"/>
    <w:rsid w:val="20EE157B"/>
    <w:rsid w:val="218400BA"/>
    <w:rsid w:val="21AB1E2F"/>
    <w:rsid w:val="21D40498"/>
    <w:rsid w:val="21FA238E"/>
    <w:rsid w:val="22493963"/>
    <w:rsid w:val="226B4196"/>
    <w:rsid w:val="22767047"/>
    <w:rsid w:val="23A05588"/>
    <w:rsid w:val="240476A1"/>
    <w:rsid w:val="24E953B9"/>
    <w:rsid w:val="25431AEB"/>
    <w:rsid w:val="255412DC"/>
    <w:rsid w:val="25B875EB"/>
    <w:rsid w:val="25BE3BFB"/>
    <w:rsid w:val="25BF43FD"/>
    <w:rsid w:val="25F86BCD"/>
    <w:rsid w:val="2605748B"/>
    <w:rsid w:val="26396D26"/>
    <w:rsid w:val="264544A6"/>
    <w:rsid w:val="267702FB"/>
    <w:rsid w:val="269E416A"/>
    <w:rsid w:val="26C11C6B"/>
    <w:rsid w:val="272100D3"/>
    <w:rsid w:val="272C72FC"/>
    <w:rsid w:val="27482A70"/>
    <w:rsid w:val="275067C9"/>
    <w:rsid w:val="275131CB"/>
    <w:rsid w:val="278F6521"/>
    <w:rsid w:val="279E1B51"/>
    <w:rsid w:val="27EB149D"/>
    <w:rsid w:val="27FD3E52"/>
    <w:rsid w:val="28E11370"/>
    <w:rsid w:val="2923234A"/>
    <w:rsid w:val="294A756A"/>
    <w:rsid w:val="29781BF8"/>
    <w:rsid w:val="297939E2"/>
    <w:rsid w:val="29C33ED0"/>
    <w:rsid w:val="29D5322D"/>
    <w:rsid w:val="29DC2838"/>
    <w:rsid w:val="2A025DD9"/>
    <w:rsid w:val="2A2619CB"/>
    <w:rsid w:val="2A7317D3"/>
    <w:rsid w:val="2A7C2231"/>
    <w:rsid w:val="2A920E4F"/>
    <w:rsid w:val="2ABB753D"/>
    <w:rsid w:val="2AFE6EC4"/>
    <w:rsid w:val="2B2E2BE9"/>
    <w:rsid w:val="2B345DDC"/>
    <w:rsid w:val="2B7A49FA"/>
    <w:rsid w:val="2B9F7F04"/>
    <w:rsid w:val="2C615D26"/>
    <w:rsid w:val="2CB679ED"/>
    <w:rsid w:val="2CE83C37"/>
    <w:rsid w:val="2CEB2FFC"/>
    <w:rsid w:val="2D173C07"/>
    <w:rsid w:val="2D424A86"/>
    <w:rsid w:val="2DDA66B7"/>
    <w:rsid w:val="2E6F2D11"/>
    <w:rsid w:val="2E7B52DB"/>
    <w:rsid w:val="2ED60115"/>
    <w:rsid w:val="2F324CFE"/>
    <w:rsid w:val="2F734B27"/>
    <w:rsid w:val="2FBA09F1"/>
    <w:rsid w:val="2FEF2ACF"/>
    <w:rsid w:val="2FF93D20"/>
    <w:rsid w:val="30540211"/>
    <w:rsid w:val="30E45100"/>
    <w:rsid w:val="31112A0D"/>
    <w:rsid w:val="3118711F"/>
    <w:rsid w:val="311F4B20"/>
    <w:rsid w:val="312D7741"/>
    <w:rsid w:val="316F137F"/>
    <w:rsid w:val="31815AF3"/>
    <w:rsid w:val="31D93D3D"/>
    <w:rsid w:val="31DF525F"/>
    <w:rsid w:val="31EC162B"/>
    <w:rsid w:val="3209722F"/>
    <w:rsid w:val="32324C2E"/>
    <w:rsid w:val="327171DF"/>
    <w:rsid w:val="333823B8"/>
    <w:rsid w:val="3391569E"/>
    <w:rsid w:val="33B661B7"/>
    <w:rsid w:val="341E3434"/>
    <w:rsid w:val="34BB4442"/>
    <w:rsid w:val="34D728CD"/>
    <w:rsid w:val="35825C96"/>
    <w:rsid w:val="3584136B"/>
    <w:rsid w:val="35D07049"/>
    <w:rsid w:val="35FF5AA4"/>
    <w:rsid w:val="360B7EBA"/>
    <w:rsid w:val="36416867"/>
    <w:rsid w:val="367D5DD4"/>
    <w:rsid w:val="369C32FD"/>
    <w:rsid w:val="37666E72"/>
    <w:rsid w:val="38081EA3"/>
    <w:rsid w:val="38167A04"/>
    <w:rsid w:val="381C3783"/>
    <w:rsid w:val="394B167A"/>
    <w:rsid w:val="39720B80"/>
    <w:rsid w:val="39AD34EA"/>
    <w:rsid w:val="39DA2868"/>
    <w:rsid w:val="39DF6BF2"/>
    <w:rsid w:val="3A055F4B"/>
    <w:rsid w:val="3A4E4336"/>
    <w:rsid w:val="3A6007FE"/>
    <w:rsid w:val="3A802587"/>
    <w:rsid w:val="3A852164"/>
    <w:rsid w:val="3AF93D6C"/>
    <w:rsid w:val="3AFD06C8"/>
    <w:rsid w:val="3B2C0E8E"/>
    <w:rsid w:val="3B477B26"/>
    <w:rsid w:val="3B7C2CE4"/>
    <w:rsid w:val="3BA2603F"/>
    <w:rsid w:val="3BAF716B"/>
    <w:rsid w:val="3C0514EF"/>
    <w:rsid w:val="3C0B5355"/>
    <w:rsid w:val="3CD34AC0"/>
    <w:rsid w:val="3CD4176B"/>
    <w:rsid w:val="3D1F44D9"/>
    <w:rsid w:val="3D2A310C"/>
    <w:rsid w:val="3D5C38CD"/>
    <w:rsid w:val="3E5070F1"/>
    <w:rsid w:val="3E7569E0"/>
    <w:rsid w:val="3EC370CB"/>
    <w:rsid w:val="3F6C3589"/>
    <w:rsid w:val="3F850180"/>
    <w:rsid w:val="3F9004D6"/>
    <w:rsid w:val="3FEE7CFA"/>
    <w:rsid w:val="400E4D5E"/>
    <w:rsid w:val="40767B9E"/>
    <w:rsid w:val="40E1138C"/>
    <w:rsid w:val="413814BA"/>
    <w:rsid w:val="41872511"/>
    <w:rsid w:val="41A133F9"/>
    <w:rsid w:val="41DF1251"/>
    <w:rsid w:val="41F96883"/>
    <w:rsid w:val="424236D9"/>
    <w:rsid w:val="42466655"/>
    <w:rsid w:val="42C82F57"/>
    <w:rsid w:val="435707E5"/>
    <w:rsid w:val="439927E1"/>
    <w:rsid w:val="43C76AF7"/>
    <w:rsid w:val="43E97E4A"/>
    <w:rsid w:val="440D65DA"/>
    <w:rsid w:val="44476D65"/>
    <w:rsid w:val="446828F0"/>
    <w:rsid w:val="45093E85"/>
    <w:rsid w:val="450B3BFA"/>
    <w:rsid w:val="45926799"/>
    <w:rsid w:val="45C13B4D"/>
    <w:rsid w:val="46054BCA"/>
    <w:rsid w:val="464C6AFC"/>
    <w:rsid w:val="468B0091"/>
    <w:rsid w:val="46A107C3"/>
    <w:rsid w:val="46B15CE2"/>
    <w:rsid w:val="46BE113D"/>
    <w:rsid w:val="46E44B13"/>
    <w:rsid w:val="4703508A"/>
    <w:rsid w:val="475023F8"/>
    <w:rsid w:val="475A4861"/>
    <w:rsid w:val="479A1E7B"/>
    <w:rsid w:val="479D361E"/>
    <w:rsid w:val="47A04ACD"/>
    <w:rsid w:val="47B74789"/>
    <w:rsid w:val="48032A55"/>
    <w:rsid w:val="480F2B9D"/>
    <w:rsid w:val="48102176"/>
    <w:rsid w:val="48282920"/>
    <w:rsid w:val="483E1347"/>
    <w:rsid w:val="485321E0"/>
    <w:rsid w:val="48546AD3"/>
    <w:rsid w:val="48CA4868"/>
    <w:rsid w:val="48F005D3"/>
    <w:rsid w:val="492A5C87"/>
    <w:rsid w:val="49466522"/>
    <w:rsid w:val="49547ADD"/>
    <w:rsid w:val="49732351"/>
    <w:rsid w:val="498F4AF1"/>
    <w:rsid w:val="49C05787"/>
    <w:rsid w:val="49CF518D"/>
    <w:rsid w:val="49D56585"/>
    <w:rsid w:val="4A1A11E9"/>
    <w:rsid w:val="4A5F55D8"/>
    <w:rsid w:val="4A7F3979"/>
    <w:rsid w:val="4ADA1F63"/>
    <w:rsid w:val="4AE23D89"/>
    <w:rsid w:val="4B2038D0"/>
    <w:rsid w:val="4B296E7D"/>
    <w:rsid w:val="4B79394E"/>
    <w:rsid w:val="4B877F28"/>
    <w:rsid w:val="4C5B5DB5"/>
    <w:rsid w:val="4CD200BA"/>
    <w:rsid w:val="4D2044E7"/>
    <w:rsid w:val="4D916BA6"/>
    <w:rsid w:val="4DC44169"/>
    <w:rsid w:val="4DE24E21"/>
    <w:rsid w:val="4E1B19A3"/>
    <w:rsid w:val="4E48787F"/>
    <w:rsid w:val="4EF0709E"/>
    <w:rsid w:val="4F0469A4"/>
    <w:rsid w:val="500E56F4"/>
    <w:rsid w:val="50540C73"/>
    <w:rsid w:val="505428F9"/>
    <w:rsid w:val="50752AF8"/>
    <w:rsid w:val="50E854B9"/>
    <w:rsid w:val="513C6A7B"/>
    <w:rsid w:val="517300C9"/>
    <w:rsid w:val="5200087A"/>
    <w:rsid w:val="52EC6EC2"/>
    <w:rsid w:val="532D486F"/>
    <w:rsid w:val="5333545B"/>
    <w:rsid w:val="53486355"/>
    <w:rsid w:val="538D0E89"/>
    <w:rsid w:val="5450213C"/>
    <w:rsid w:val="546711F3"/>
    <w:rsid w:val="546C3825"/>
    <w:rsid w:val="54B54838"/>
    <w:rsid w:val="54D24048"/>
    <w:rsid w:val="54D64CD5"/>
    <w:rsid w:val="5532287C"/>
    <w:rsid w:val="55887D69"/>
    <w:rsid w:val="55EE5D11"/>
    <w:rsid w:val="561A0928"/>
    <w:rsid w:val="56423872"/>
    <w:rsid w:val="569E06BC"/>
    <w:rsid w:val="56B279F0"/>
    <w:rsid w:val="56BC05A1"/>
    <w:rsid w:val="56F20F86"/>
    <w:rsid w:val="575A19C0"/>
    <w:rsid w:val="578C371E"/>
    <w:rsid w:val="579D710E"/>
    <w:rsid w:val="57CB2E18"/>
    <w:rsid w:val="581F22F6"/>
    <w:rsid w:val="585B1260"/>
    <w:rsid w:val="586E1E17"/>
    <w:rsid w:val="58862C35"/>
    <w:rsid w:val="58C14957"/>
    <w:rsid w:val="58CC23D2"/>
    <w:rsid w:val="58E66050"/>
    <w:rsid w:val="596B36B6"/>
    <w:rsid w:val="598C3A36"/>
    <w:rsid w:val="59E63F07"/>
    <w:rsid w:val="59FC7994"/>
    <w:rsid w:val="5AE83A50"/>
    <w:rsid w:val="5B353193"/>
    <w:rsid w:val="5B647768"/>
    <w:rsid w:val="5BAB2917"/>
    <w:rsid w:val="5BFC33FA"/>
    <w:rsid w:val="5C3107A4"/>
    <w:rsid w:val="5C3B1B93"/>
    <w:rsid w:val="5C9220DF"/>
    <w:rsid w:val="5CAA31F1"/>
    <w:rsid w:val="5CDB7368"/>
    <w:rsid w:val="5D103668"/>
    <w:rsid w:val="5D4A15F3"/>
    <w:rsid w:val="5D5914B3"/>
    <w:rsid w:val="5D69542A"/>
    <w:rsid w:val="5D783B72"/>
    <w:rsid w:val="5DD62B9F"/>
    <w:rsid w:val="5E0930EF"/>
    <w:rsid w:val="5E3D4D53"/>
    <w:rsid w:val="5E4717E6"/>
    <w:rsid w:val="5E516FB7"/>
    <w:rsid w:val="5E55774C"/>
    <w:rsid w:val="5E8A70FF"/>
    <w:rsid w:val="60045F96"/>
    <w:rsid w:val="60104DDC"/>
    <w:rsid w:val="605C0804"/>
    <w:rsid w:val="60913E6F"/>
    <w:rsid w:val="61733C3E"/>
    <w:rsid w:val="6189617B"/>
    <w:rsid w:val="61B52BB6"/>
    <w:rsid w:val="61B749C2"/>
    <w:rsid w:val="621709F6"/>
    <w:rsid w:val="62280D20"/>
    <w:rsid w:val="626A42BB"/>
    <w:rsid w:val="62B4786E"/>
    <w:rsid w:val="62C30B9C"/>
    <w:rsid w:val="62CA2457"/>
    <w:rsid w:val="62F15CAF"/>
    <w:rsid w:val="638240A1"/>
    <w:rsid w:val="63833423"/>
    <w:rsid w:val="63A5257B"/>
    <w:rsid w:val="63BD3DCC"/>
    <w:rsid w:val="63C61741"/>
    <w:rsid w:val="640805B4"/>
    <w:rsid w:val="64560967"/>
    <w:rsid w:val="6534357D"/>
    <w:rsid w:val="656B1D10"/>
    <w:rsid w:val="65B841F9"/>
    <w:rsid w:val="65FE3864"/>
    <w:rsid w:val="66022B28"/>
    <w:rsid w:val="664A38E2"/>
    <w:rsid w:val="66581E87"/>
    <w:rsid w:val="66766EBB"/>
    <w:rsid w:val="66C331D1"/>
    <w:rsid w:val="66FA11D5"/>
    <w:rsid w:val="6711010F"/>
    <w:rsid w:val="674302C7"/>
    <w:rsid w:val="67CB09D8"/>
    <w:rsid w:val="67EE3B0F"/>
    <w:rsid w:val="680A5986"/>
    <w:rsid w:val="680D5F4B"/>
    <w:rsid w:val="68113F51"/>
    <w:rsid w:val="68B272C7"/>
    <w:rsid w:val="68E94770"/>
    <w:rsid w:val="68EC1CEF"/>
    <w:rsid w:val="68F949C9"/>
    <w:rsid w:val="695A4290"/>
    <w:rsid w:val="696F3649"/>
    <w:rsid w:val="69BC2D00"/>
    <w:rsid w:val="6A267606"/>
    <w:rsid w:val="6A334932"/>
    <w:rsid w:val="6A3353FF"/>
    <w:rsid w:val="6A5D63E6"/>
    <w:rsid w:val="6A5F24D1"/>
    <w:rsid w:val="6ACA70C4"/>
    <w:rsid w:val="6AE347EB"/>
    <w:rsid w:val="6AEF46C6"/>
    <w:rsid w:val="6B330365"/>
    <w:rsid w:val="6B434AF0"/>
    <w:rsid w:val="6B57675A"/>
    <w:rsid w:val="6B87098A"/>
    <w:rsid w:val="6BDD7B4D"/>
    <w:rsid w:val="6C96357D"/>
    <w:rsid w:val="6D0324F1"/>
    <w:rsid w:val="6DB62FD5"/>
    <w:rsid w:val="6DD44347"/>
    <w:rsid w:val="6EBC0B3A"/>
    <w:rsid w:val="6EF51C7D"/>
    <w:rsid w:val="6F8363E5"/>
    <w:rsid w:val="6F841DCF"/>
    <w:rsid w:val="6FA80CCD"/>
    <w:rsid w:val="6FAC3CC5"/>
    <w:rsid w:val="6FC746F5"/>
    <w:rsid w:val="6FE33EF5"/>
    <w:rsid w:val="70317AC6"/>
    <w:rsid w:val="704B26F7"/>
    <w:rsid w:val="70697B21"/>
    <w:rsid w:val="70863262"/>
    <w:rsid w:val="70A76ED3"/>
    <w:rsid w:val="71860B17"/>
    <w:rsid w:val="719A5571"/>
    <w:rsid w:val="723B27CC"/>
    <w:rsid w:val="72687227"/>
    <w:rsid w:val="72A03FD9"/>
    <w:rsid w:val="73406CFF"/>
    <w:rsid w:val="7383028C"/>
    <w:rsid w:val="73A25E44"/>
    <w:rsid w:val="741F68CF"/>
    <w:rsid w:val="75252DF3"/>
    <w:rsid w:val="75621536"/>
    <w:rsid w:val="757F2F4C"/>
    <w:rsid w:val="75BF3154"/>
    <w:rsid w:val="75DA4A2D"/>
    <w:rsid w:val="764A07CF"/>
    <w:rsid w:val="764F6B3D"/>
    <w:rsid w:val="76CD2B7B"/>
    <w:rsid w:val="76D80645"/>
    <w:rsid w:val="76E03371"/>
    <w:rsid w:val="771211AA"/>
    <w:rsid w:val="77736C04"/>
    <w:rsid w:val="780E5898"/>
    <w:rsid w:val="782642CC"/>
    <w:rsid w:val="7894095E"/>
    <w:rsid w:val="78964555"/>
    <w:rsid w:val="78CF4963"/>
    <w:rsid w:val="79000679"/>
    <w:rsid w:val="7916258F"/>
    <w:rsid w:val="791C0FE5"/>
    <w:rsid w:val="79A416F0"/>
    <w:rsid w:val="79B03EB6"/>
    <w:rsid w:val="79B61437"/>
    <w:rsid w:val="7AE15A5C"/>
    <w:rsid w:val="7AF37579"/>
    <w:rsid w:val="7AF87F64"/>
    <w:rsid w:val="7B1C0C84"/>
    <w:rsid w:val="7B5A62DF"/>
    <w:rsid w:val="7B7A04A8"/>
    <w:rsid w:val="7B8E4662"/>
    <w:rsid w:val="7BF75C30"/>
    <w:rsid w:val="7C0C3F6D"/>
    <w:rsid w:val="7C22163C"/>
    <w:rsid w:val="7C457B4B"/>
    <w:rsid w:val="7C595075"/>
    <w:rsid w:val="7C6B07B2"/>
    <w:rsid w:val="7D133243"/>
    <w:rsid w:val="7D945420"/>
    <w:rsid w:val="7D997857"/>
    <w:rsid w:val="7DD07A4B"/>
    <w:rsid w:val="7E1431D7"/>
    <w:rsid w:val="7E161DB1"/>
    <w:rsid w:val="7E394207"/>
    <w:rsid w:val="7E4007A2"/>
    <w:rsid w:val="7E791CAD"/>
    <w:rsid w:val="7EA50DFB"/>
    <w:rsid w:val="7EC86878"/>
    <w:rsid w:val="7F0C590B"/>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Body Text 3"/>
    <w:basedOn w:val="1"/>
    <w:link w:val="40"/>
    <w:unhideWhenUsed/>
    <w:qFormat/>
    <w:uiPriority w:val="99"/>
    <w:pPr>
      <w:spacing w:after="120"/>
    </w:pPr>
    <w:rPr>
      <w:sz w:val="16"/>
      <w:szCs w:val="16"/>
    </w:rPr>
  </w:style>
  <w:style w:type="paragraph" w:styleId="7">
    <w:name w:val="Body Text"/>
    <w:basedOn w:val="1"/>
    <w:next w:val="8"/>
    <w:qFormat/>
    <w:uiPriority w:val="99"/>
    <w:pPr>
      <w:spacing w:after="120"/>
    </w:pPr>
  </w:style>
  <w:style w:type="paragraph" w:styleId="8">
    <w:name w:val="Body Text 2"/>
    <w:basedOn w:val="1"/>
    <w:qFormat/>
    <w:uiPriority w:val="0"/>
    <w:pPr>
      <w:spacing w:after="120" w:line="480" w:lineRule="auto"/>
    </w:pPr>
  </w:style>
  <w:style w:type="paragraph" w:styleId="9">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next w:val="12"/>
    <w:qFormat/>
    <w:uiPriority w:val="0"/>
    <w:rPr>
      <w:rFonts w:ascii="宋体" w:hAnsi="Courier New"/>
      <w:szCs w:val="21"/>
    </w:rPr>
  </w:style>
  <w:style w:type="paragraph" w:customStyle="1" w:styleId="12">
    <w:name w:val="Default"/>
    <w:next w:val="13"/>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3">
    <w:name w:val="List"/>
    <w:basedOn w:val="1"/>
    <w:next w:val="1"/>
    <w:qFormat/>
    <w:uiPriority w:val="0"/>
    <w:pPr>
      <w:snapToGrid w:val="0"/>
    </w:pPr>
    <w:rPr>
      <w:szCs w:val="24"/>
    </w:rPr>
  </w:style>
  <w:style w:type="paragraph" w:styleId="14">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5">
    <w:name w:val="Balloon Text"/>
    <w:basedOn w:val="1"/>
    <w:link w:val="35"/>
    <w:semiHidden/>
    <w:unhideWhenUsed/>
    <w:qFormat/>
    <w:uiPriority w:val="99"/>
    <w:rPr>
      <w:sz w:val="18"/>
      <w:szCs w:val="18"/>
    </w:rPr>
  </w:style>
  <w:style w:type="paragraph" w:styleId="16">
    <w:name w:val="footer"/>
    <w:basedOn w:val="1"/>
    <w:link w:val="29"/>
    <w:unhideWhenUsed/>
    <w:qFormat/>
    <w:uiPriority w:val="99"/>
    <w:pPr>
      <w:tabs>
        <w:tab w:val="center" w:pos="4153"/>
        <w:tab w:val="right" w:pos="8306"/>
      </w:tabs>
      <w:snapToGrid w:val="0"/>
      <w:jc w:val="left"/>
    </w:pPr>
    <w:rPr>
      <w:sz w:val="18"/>
      <w:szCs w:val="18"/>
    </w:rPr>
  </w:style>
  <w:style w:type="paragraph" w:styleId="17">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basedOn w:val="1"/>
    <w:qFormat/>
    <w:uiPriority w:val="99"/>
    <w:pPr>
      <w:spacing w:before="100" w:beforeAutospacing="1" w:after="100" w:afterAutospacing="1" w:line="240" w:lineRule="auto"/>
    </w:pPr>
    <w:rPr>
      <w:rFonts w:ascii="宋体" w:hAnsi="宋体" w:cs="Times New Roman"/>
      <w:color w:val="auto"/>
      <w:kern w:val="0"/>
      <w:sz w:val="24"/>
      <w:szCs w:val="24"/>
    </w:rPr>
  </w:style>
  <w:style w:type="paragraph" w:styleId="21">
    <w:name w:val="Body Text First Indent 2"/>
    <w:basedOn w:val="9"/>
    <w:qFormat/>
    <w:uiPriority w:val="0"/>
    <w:pPr>
      <w:adjustRightInd w:val="0"/>
      <w:spacing w:line="360" w:lineRule="auto"/>
      <w:ind w:left="0" w:leftChars="0" w:firstLine="420"/>
      <w:textAlignment w:val="baseline"/>
    </w:pPr>
    <w:rPr>
      <w:rFonts w:eastAsia="等线" w:cs="Times New Roman"/>
      <w:color w:val="000000"/>
      <w:szCs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basedOn w:val="24"/>
    <w:qFormat/>
    <w:uiPriority w:val="22"/>
    <w:rPr>
      <w:b/>
      <w:bCs/>
    </w:rPr>
  </w:style>
  <w:style w:type="character" w:styleId="26">
    <w:name w:val="page number"/>
    <w:basedOn w:val="24"/>
    <w:qFormat/>
    <w:uiPriority w:val="0"/>
  </w:style>
  <w:style w:type="character" w:styleId="27">
    <w:name w:val="Hyperlink"/>
    <w:basedOn w:val="24"/>
    <w:unhideWhenUsed/>
    <w:qFormat/>
    <w:uiPriority w:val="99"/>
    <w:rPr>
      <w:color w:val="0000FF" w:themeColor="hyperlink"/>
      <w:u w:val="single"/>
      <w14:textFill>
        <w14:solidFill>
          <w14:schemeClr w14:val="hlink"/>
        </w14:solidFill>
      </w14:textFill>
    </w:rPr>
  </w:style>
  <w:style w:type="character" w:customStyle="1" w:styleId="28">
    <w:name w:val="页眉 Char"/>
    <w:basedOn w:val="24"/>
    <w:link w:val="17"/>
    <w:semiHidden/>
    <w:qFormat/>
    <w:uiPriority w:val="99"/>
    <w:rPr>
      <w:sz w:val="18"/>
      <w:szCs w:val="18"/>
    </w:rPr>
  </w:style>
  <w:style w:type="character" w:customStyle="1" w:styleId="29">
    <w:name w:val="页脚 Char"/>
    <w:basedOn w:val="24"/>
    <w:link w:val="16"/>
    <w:qFormat/>
    <w:uiPriority w:val="99"/>
    <w:rPr>
      <w:sz w:val="18"/>
      <w:szCs w:val="18"/>
    </w:rPr>
  </w:style>
  <w:style w:type="character" w:customStyle="1" w:styleId="30">
    <w:name w:val="标题 1 Char"/>
    <w:basedOn w:val="24"/>
    <w:link w:val="3"/>
    <w:qFormat/>
    <w:uiPriority w:val="9"/>
    <w:rPr>
      <w:rFonts w:eastAsia="方正小标宋简体"/>
      <w:bCs/>
      <w:kern w:val="44"/>
      <w:sz w:val="44"/>
      <w:szCs w:val="44"/>
    </w:rPr>
  </w:style>
  <w:style w:type="character" w:customStyle="1" w:styleId="31">
    <w:name w:val="标题 2 Char"/>
    <w:basedOn w:val="24"/>
    <w:link w:val="4"/>
    <w:qFormat/>
    <w:uiPriority w:val="9"/>
    <w:rPr>
      <w:rFonts w:eastAsia="方正小标宋简体" w:asciiTheme="majorHAnsi" w:hAnsiTheme="majorHAnsi" w:cstheme="majorBidi"/>
      <w:bCs/>
      <w:sz w:val="36"/>
      <w:szCs w:val="32"/>
    </w:rPr>
  </w:style>
  <w:style w:type="character" w:customStyle="1" w:styleId="32">
    <w:name w:val="标题 3 Char"/>
    <w:basedOn w:val="24"/>
    <w:link w:val="5"/>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4"/>
    <w:link w:val="15"/>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2"/>
    <w:next w:val="12"/>
    <w:qFormat/>
    <w:uiPriority w:val="0"/>
    <w:pPr>
      <w:spacing w:after="373"/>
    </w:pPr>
    <w:rPr>
      <w:color w:val="auto"/>
    </w:rPr>
  </w:style>
  <w:style w:type="paragraph" w:customStyle="1" w:styleId="38">
    <w:name w:val="CM91"/>
    <w:basedOn w:val="12"/>
    <w:next w:val="12"/>
    <w:qFormat/>
    <w:uiPriority w:val="0"/>
    <w:pPr>
      <w:spacing w:after="160"/>
    </w:pPr>
    <w:rPr>
      <w:color w:val="auto"/>
    </w:rPr>
  </w:style>
  <w:style w:type="character" w:customStyle="1" w:styleId="39">
    <w:name w:val="正文文本 3 Char"/>
    <w:link w:val="6"/>
    <w:qFormat/>
    <w:uiPriority w:val="99"/>
    <w:rPr>
      <w:sz w:val="16"/>
      <w:szCs w:val="16"/>
    </w:rPr>
  </w:style>
  <w:style w:type="character" w:customStyle="1" w:styleId="40">
    <w:name w:val="正文文本 3 Char1"/>
    <w:basedOn w:val="24"/>
    <w:link w:val="6"/>
    <w:semiHidden/>
    <w:qFormat/>
    <w:uiPriority w:val="99"/>
    <w:rPr>
      <w:sz w:val="16"/>
      <w:szCs w:val="16"/>
    </w:rPr>
  </w:style>
  <w:style w:type="character" w:customStyle="1" w:styleId="41">
    <w:name w:val="列出段落 Char"/>
    <w:link w:val="33"/>
    <w:qFormat/>
    <w:uiPriority w:val="34"/>
  </w:style>
  <w:style w:type="paragraph" w:customStyle="1" w:styleId="42">
    <w:name w:val="1"/>
    <w:basedOn w:val="1"/>
    <w:next w:val="11"/>
    <w:qFormat/>
    <w:uiPriority w:val="99"/>
    <w:pPr>
      <w:widowControl w:val="0"/>
      <w:jc w:val="both"/>
    </w:pPr>
    <w:rPr>
      <w:rFonts w:ascii="宋体" w:hAnsi="Courier New"/>
      <w:kern w:val="2"/>
    </w:rPr>
  </w:style>
  <w:style w:type="paragraph" w:customStyle="1" w:styleId="43">
    <w:name w:val="WPSOffice手动目录 1"/>
    <w:qFormat/>
    <w:uiPriority w:val="0"/>
    <w:pPr>
      <w:ind w:leftChars="0"/>
    </w:pPr>
    <w:rPr>
      <w:rFonts w:asciiTheme="minorHAnsi" w:hAnsiTheme="minorHAnsi" w:eastAsiaTheme="minorEastAsia" w:cstheme="minorBidi"/>
      <w:sz w:val="20"/>
      <w:szCs w:val="20"/>
    </w:rPr>
  </w:style>
  <w:style w:type="paragraph" w:customStyle="1" w:styleId="44">
    <w:name w:val="WPSOffice手动目录 2"/>
    <w:qFormat/>
    <w:uiPriority w:val="0"/>
    <w:pPr>
      <w:ind w:leftChars="200"/>
    </w:pPr>
    <w:rPr>
      <w:rFonts w:asciiTheme="minorHAnsi" w:hAnsiTheme="minorHAnsi" w:eastAsiaTheme="minorEastAsia" w:cstheme="minorBidi"/>
      <w:sz w:val="20"/>
      <w:szCs w:val="20"/>
    </w:rPr>
  </w:style>
  <w:style w:type="paragraph" w:customStyle="1" w:styleId="45">
    <w:name w:val="WPSOffice手动目录 3"/>
    <w:qFormat/>
    <w:uiPriority w:val="0"/>
    <w:pPr>
      <w:ind w:leftChars="400"/>
    </w:pPr>
    <w:rPr>
      <w:rFonts w:asciiTheme="minorHAnsi" w:hAnsiTheme="minorHAnsi" w:eastAsiaTheme="minorEastAsia" w:cstheme="minorBidi"/>
      <w:sz w:val="20"/>
      <w:szCs w:val="20"/>
    </w:rPr>
  </w:style>
  <w:style w:type="paragraph" w:customStyle="1" w:styleId="46">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47">
    <w:name w:val="font01"/>
    <w:basedOn w:val="24"/>
    <w:qFormat/>
    <w:uiPriority w:val="0"/>
    <w:rPr>
      <w:rFonts w:hint="eastAsia" w:ascii="宋体" w:hAnsi="宋体" w:eastAsia="宋体" w:cs="宋体"/>
      <w:color w:val="000000"/>
      <w:sz w:val="22"/>
      <w:szCs w:val="22"/>
      <w:u w:val="none"/>
    </w:rPr>
  </w:style>
  <w:style w:type="character" w:customStyle="1" w:styleId="48">
    <w:name w:val="font11"/>
    <w:basedOn w:val="24"/>
    <w:qFormat/>
    <w:uiPriority w:val="0"/>
    <w:rPr>
      <w:rFonts w:hint="default" w:ascii="Times New Roman" w:hAnsi="Times New Roman" w:cs="Times New Roman"/>
      <w:color w:val="000000"/>
      <w:sz w:val="22"/>
      <w:szCs w:val="22"/>
      <w:u w:val="none"/>
    </w:rPr>
  </w:style>
  <w:style w:type="character" w:customStyle="1" w:styleId="49">
    <w:name w:val="font71"/>
    <w:basedOn w:val="24"/>
    <w:qFormat/>
    <w:uiPriority w:val="0"/>
    <w:rPr>
      <w:rFonts w:hint="eastAsia" w:ascii="宋体" w:hAnsi="宋体" w:eastAsia="宋体" w:cs="宋体"/>
      <w:color w:val="000000"/>
      <w:sz w:val="22"/>
      <w:szCs w:val="22"/>
      <w:u w:val="none"/>
    </w:rPr>
  </w:style>
  <w:style w:type="character" w:customStyle="1" w:styleId="50">
    <w:name w:val="font51"/>
    <w:basedOn w:val="24"/>
    <w:qFormat/>
    <w:uiPriority w:val="0"/>
    <w:rPr>
      <w:rFonts w:hint="eastAsia" w:ascii="宋体" w:hAnsi="宋体" w:eastAsia="宋体" w:cs="宋体"/>
      <w:b/>
      <w:bCs/>
      <w:color w:val="000000"/>
      <w:sz w:val="22"/>
      <w:szCs w:val="22"/>
      <w:u w:val="none"/>
    </w:rPr>
  </w:style>
  <w:style w:type="character" w:customStyle="1" w:styleId="51">
    <w:name w:val="font61"/>
    <w:basedOn w:val="24"/>
    <w:qFormat/>
    <w:uiPriority w:val="0"/>
    <w:rPr>
      <w:rFonts w:hint="eastAsia" w:ascii="宋体" w:hAnsi="宋体" w:eastAsia="宋体" w:cs="宋体"/>
      <w:color w:val="000000"/>
      <w:sz w:val="22"/>
      <w:szCs w:val="22"/>
      <w:u w:val="none"/>
    </w:rPr>
  </w:style>
  <w:style w:type="character" w:customStyle="1" w:styleId="52">
    <w:name w:val="font31"/>
    <w:basedOn w:val="24"/>
    <w:qFormat/>
    <w:uiPriority w:val="0"/>
    <w:rPr>
      <w:rFonts w:hint="default" w:ascii="Times New Roman" w:hAnsi="Times New Roman" w:cs="Times New Roman"/>
      <w:color w:val="000000"/>
      <w:sz w:val="22"/>
      <w:szCs w:val="22"/>
      <w:u w:val="none"/>
    </w:rPr>
  </w:style>
  <w:style w:type="character" w:customStyle="1" w:styleId="53">
    <w:name w:val="font41"/>
    <w:basedOn w:val="24"/>
    <w:qFormat/>
    <w:uiPriority w:val="0"/>
    <w:rPr>
      <w:rFonts w:hint="eastAsia" w:ascii="宋体" w:hAnsi="宋体" w:eastAsia="宋体" w:cs="宋体"/>
      <w:b/>
      <w:bCs/>
      <w:color w:val="000000"/>
      <w:sz w:val="22"/>
      <w:szCs w:val="22"/>
      <w:u w:val="none"/>
    </w:rPr>
  </w:style>
  <w:style w:type="paragraph" w:customStyle="1" w:styleId="54">
    <w:name w:val="无标题条"/>
    <w:next w:val="55"/>
    <w:qFormat/>
    <w:uiPriority w:val="0"/>
    <w:pPr>
      <w:jc w:val="both"/>
    </w:pPr>
    <w:rPr>
      <w:rFonts w:ascii="Times New Roman" w:hAnsi="Times New Roman" w:eastAsia="宋体" w:cs="Times New Roman"/>
      <w:sz w:val="21"/>
      <w:lang w:val="en-US" w:eastAsia="zh-CN" w:bidi="ar-SA"/>
    </w:rPr>
  </w:style>
  <w:style w:type="paragraph" w:customStyle="1" w:styleId="55">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56">
    <w:name w:val="二级条标题"/>
    <w:basedOn w:val="1"/>
    <w:next w:val="1"/>
    <w:qFormat/>
    <w:uiPriority w:val="0"/>
    <w:pPr>
      <w:spacing w:after="0" w:line="240" w:lineRule="auto"/>
      <w:jc w:val="both"/>
      <w:outlineLvl w:val="3"/>
    </w:pPr>
    <w:rPr>
      <w:rFonts w:ascii="黑体" w:hAnsi="等线" w:eastAsia="黑体" w:cs="Times New Roman"/>
      <w:b/>
      <w:color w:val="auto"/>
    </w:rPr>
  </w:style>
  <w:style w:type="paragraph" w:customStyle="1" w:styleId="57">
    <w:name w:val="表格文字"/>
    <w:basedOn w:val="1"/>
    <w:next w:val="7"/>
    <w:qFormat/>
    <w:uiPriority w:val="0"/>
    <w:pPr>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17987</Words>
  <Characters>18754</Characters>
  <Lines>300</Lines>
  <Paragraphs>84</Paragraphs>
  <TotalTime>3</TotalTime>
  <ScaleCrop>false</ScaleCrop>
  <LinksUpToDate>false</LinksUpToDate>
  <CharactersWithSpaces>20569</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2023-03-14T08:01:00Z</cp:lastPrinted>
  <dcterms:modified xsi:type="dcterms:W3CDTF">2023-03-16T07:21:09Z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A16D6DC8326945AC9168607D4B687526</vt:lpwstr>
  </property>
</Properties>
</file>