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3" w:name="_GoBack"/>
      <w:bookmarkEnd w:id="133"/>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广州市净水有限公司环城北净水厂</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安全预评价技术服务项目（第二次）</w:t>
      </w:r>
    </w:p>
    <w:p>
      <w:pPr>
        <w:jc w:val="center"/>
        <w:rPr>
          <w:rFonts w:hint="eastAsia" w:ascii="方正小标宋简体" w:eastAsia="方正小标宋简体"/>
          <w:color w:val="auto"/>
          <w:sz w:val="52"/>
          <w:szCs w:val="52"/>
          <w:highlight w:val="none"/>
          <w:lang w:val="en-US" w:eastAsia="zh-CN"/>
        </w:rPr>
      </w:pPr>
    </w:p>
    <w:p>
      <w:pPr>
        <w:jc w:val="center"/>
        <w:rPr>
          <w:rFonts w:ascii="仿宋_GB2312" w:eastAsia="仿宋_GB2312"/>
          <w:color w:val="auto"/>
          <w:sz w:val="32"/>
          <w:szCs w:val="3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jc w:val="both"/>
        <w:rPr>
          <w:rFonts w:hint="eastAsia"/>
          <w:color w:val="auto"/>
          <w:highlight w:val="none"/>
        </w:rPr>
      </w:pPr>
      <w:bookmarkStart w:id="4" w:name="_Toc1669"/>
      <w:bookmarkStart w:id="5" w:name="_Toc7519"/>
      <w:bookmarkStart w:id="6" w:name="_Toc11322"/>
      <w:bookmarkStart w:id="7" w:name="_Toc19609"/>
      <w:bookmarkStart w:id="8" w:name="_Toc17801"/>
      <w:bookmarkStart w:id="9" w:name="_Toc4275"/>
      <w:bookmarkStart w:id="10" w:name="_Toc31938"/>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2366010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a:headEnd type="none" w="med" len="med"/>
                          <a:tailEnd type="none" w="med" len="med"/>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id="自选图形 17" o:spid="_x0000_s1026" o:spt="32" type="#_x0000_t32" style="position:absolute;left:0pt;margin-left:186.3pt;margin-top:39.95pt;height:0pt;width:75.5pt;z-index:251671552;mso-width-relative:page;mso-height-relative:page;" filled="f" stroked="t" coordsize="21600,21600" o:gfxdata="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Tfv4vZAAAACQEA&#10;AA8AAAAAAAAAAQAgAAAAIgAAAGRycy9kb3ducmV2LnhtbFBLAQIUABQAAAAIAIdO4kD5SfrDGQIA&#10;ADMEAAAOAAAAAAAAAAEAIAAAACgBAABkcnMvZTJvRG9jLnhtbFBLBQYAAAAABgAGAFkBAACzBQAA&#10;AAA=&#10;">
                <v:fill on="f" focussize="0,0"/>
                <v:stroke color="#98B954 [3206]"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广州市净水有限公司环城北净水厂安全预评价技术服务项目（第二次）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广州市净水有限公司环城北净水厂安全预评价技术服务项目（第二次）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XJ-20230307-3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6.183万元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根据现行最新的安全预评价要求对上述项目开展安全预评价工作，编制报告，配合建设单位组织安全预评价报告专家评审并按照评审意见对成果进行修改完善。</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合同签订之日起至合同约定履行完成</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spacing w:line="360" w:lineRule="auto"/>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安全预评价报告</w:t>
      </w:r>
      <w:r>
        <w:rPr>
          <w:rFonts w:hint="eastAsia" w:ascii="仿宋_GB2312" w:hAnsi="仿宋_GB2312" w:eastAsia="仿宋_GB2312" w:cs="仿宋_GB2312"/>
          <w:color w:val="auto"/>
          <w:sz w:val="28"/>
          <w:szCs w:val="28"/>
          <w:highlight w:val="none"/>
          <w:u w:val="single"/>
        </w:rPr>
        <w:t>通过专家评审并修改完善后提供最终成果</w:t>
      </w:r>
      <w:r>
        <w:rPr>
          <w:rFonts w:hint="eastAsia" w:ascii="仿宋_GB2312" w:hAnsi="仿宋_GB2312" w:eastAsia="仿宋_GB2312" w:cs="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安全评价资质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一项类似的企业安全预评价技术服务</w:t>
      </w:r>
      <w:r>
        <w:rPr>
          <w:rFonts w:hint="eastAsia" w:ascii="仿宋_GB2312" w:eastAsia="仿宋_GB2312"/>
          <w:color w:val="auto"/>
          <w:sz w:val="28"/>
          <w:szCs w:val="28"/>
          <w:highlight w:val="none"/>
        </w:rPr>
        <w:t>业绩。（提供合同复印件证明，包括但不限于项目名称、金额及实施内容、合同盖章、签订日期，</w:t>
      </w:r>
      <w:r>
        <w:rPr>
          <w:rFonts w:hint="eastAsia" w:ascii="仿宋_GB2312" w:eastAsia="仿宋_GB2312"/>
          <w:color w:val="auto"/>
          <w:sz w:val="28"/>
          <w:szCs w:val="28"/>
          <w:highlight w:val="none"/>
          <w:lang w:val="en-US" w:eastAsia="zh-CN"/>
        </w:rPr>
        <w:t>以及对应的成果（报告封面、专家评审意见）</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并</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）项目负责人应当具备一级安全评价师</w:t>
      </w:r>
      <w:r>
        <w:rPr>
          <w:rFonts w:hint="eastAsia" w:ascii="仿宋_GB2312" w:eastAsia="仿宋_GB2312"/>
          <w:color w:val="auto"/>
          <w:sz w:val="28"/>
          <w:szCs w:val="28"/>
          <w:highlight w:val="none"/>
          <w:lang w:val="en-US" w:eastAsia="zh-CN"/>
        </w:rPr>
        <w:t>资质和</w:t>
      </w:r>
      <w:r>
        <w:rPr>
          <w:rFonts w:hint="eastAsia" w:ascii="仿宋_GB2312" w:eastAsia="仿宋_GB2312"/>
          <w:color w:val="auto"/>
          <w:sz w:val="28"/>
          <w:szCs w:val="28"/>
          <w:highlight w:val="none"/>
        </w:rPr>
        <w:t>注册安全工程师</w:t>
      </w:r>
      <w:r>
        <w:rPr>
          <w:rFonts w:hint="eastAsia" w:ascii="仿宋_GB2312" w:eastAsia="仿宋_GB2312"/>
          <w:color w:val="auto"/>
          <w:sz w:val="28"/>
          <w:szCs w:val="28"/>
          <w:highlight w:val="none"/>
          <w:lang w:val="en-US" w:eastAsia="zh-CN"/>
        </w:rPr>
        <w:t>资质</w:t>
      </w:r>
      <w:r>
        <w:rPr>
          <w:rFonts w:hint="eastAsia" w:ascii="仿宋_GB2312" w:hAnsi="仿宋" w:eastAsia="仿宋_GB2312" w:cs="仿宋"/>
          <w:color w:val="auto"/>
          <w:sz w:val="28"/>
          <w:szCs w:val="28"/>
          <w:highlight w:val="none"/>
          <w:u w:val="none"/>
        </w:rPr>
        <w:t>，并提供在本单位近三个月社保记录</w:t>
      </w:r>
      <w:r>
        <w:rPr>
          <w:rFonts w:hint="eastAsia" w:ascii="仿宋_GB2312" w:hAnsi="仿宋" w:eastAsia="仿宋_GB2312" w:cs="仿宋"/>
          <w:color w:val="auto"/>
          <w:sz w:val="28"/>
          <w:szCs w:val="28"/>
          <w:highlight w:val="none"/>
          <w:u w:val="none"/>
          <w:lang w:eastAsia="zh-CN"/>
        </w:rPr>
        <w:t>（以加盖社会保险基金管理中心印章的《缴费历史明细表》或《社会保险参保人员证明》为准，</w:t>
      </w:r>
      <w:r>
        <w:rPr>
          <w:rFonts w:hint="eastAsia" w:ascii="仿宋_GB2312" w:hAnsi="仿宋" w:eastAsia="仿宋_GB2312" w:cs="仿宋"/>
          <w:color w:val="auto"/>
          <w:sz w:val="28"/>
          <w:szCs w:val="28"/>
          <w:highlight w:val="none"/>
          <w:u w:val="none"/>
          <w:lang w:val="en-US" w:eastAsia="zh-CN"/>
        </w:rPr>
        <w:t>加盖单位公章</w:t>
      </w:r>
      <w:r>
        <w:rPr>
          <w:rFonts w:hint="eastAsia" w:ascii="仿宋_GB2312" w:hAnsi="仿宋" w:eastAsia="仿宋_GB2312" w:cs="仿宋"/>
          <w:color w:val="auto"/>
          <w:sz w:val="28"/>
          <w:szCs w:val="28"/>
          <w:highlight w:val="none"/>
          <w:u w:val="none"/>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r>
        <w:rPr>
          <w:rFonts w:hint="eastAsia" w:asciiTheme="minorEastAsia" w:hAnsiTheme="minorEastAsia"/>
          <w:b/>
          <w:color w:val="auto"/>
          <w:sz w:val="32"/>
          <w:szCs w:val="32"/>
          <w:highlight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eastAsia="zh-CN"/>
        </w:rPr>
        <w:t>1</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w:t>
      </w:r>
      <w:r>
        <w:rPr>
          <w:rFonts w:hint="eastAsia" w:ascii="仿宋_GB2312" w:eastAsia="仿宋_GB2312" w:hAnsiTheme="minorHAnsi" w:cstheme="minorBidi"/>
          <w:color w:val="auto"/>
          <w:kern w:val="2"/>
          <w:sz w:val="28"/>
          <w:szCs w:val="28"/>
          <w:highlight w:val="none"/>
          <w:lang w:val="en-US" w:eastAsia="zh-CN"/>
        </w:rPr>
        <w:t>当天</w:t>
      </w:r>
      <w:r>
        <w:rPr>
          <w:rFonts w:hint="eastAsia" w:ascii="仿宋_GB2312" w:eastAsia="仿宋_GB2312" w:hAnsiTheme="minorHAnsi" w:cstheme="minorBidi"/>
          <w:color w:val="auto"/>
          <w:kern w:val="2"/>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9448"/>
      <w:bookmarkStart w:id="15" w:name="_Toc32588"/>
      <w:bookmarkStart w:id="16" w:name="_Toc23749"/>
      <w:bookmarkStart w:id="17" w:name="_Toc16557"/>
      <w:bookmarkStart w:id="18" w:name="_Toc16705"/>
      <w:bookmarkStart w:id="19" w:name="_Toc2331"/>
      <w:bookmarkStart w:id="20" w:name="_Toc7340"/>
      <w:bookmarkStart w:id="21" w:name="_Toc25603"/>
      <w:bookmarkStart w:id="22" w:name="_Toc19295"/>
      <w:bookmarkStart w:id="23" w:name="_Toc2324"/>
    </w:p>
    <w:p>
      <w:pPr>
        <w:pStyle w:val="3"/>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2353310</wp:posOffset>
                </wp:positionH>
                <wp:positionV relativeFrom="paragraph">
                  <wp:posOffset>488950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3pt;margin-top:38.5pt;height:0pt;width:75.5pt;z-index:251673600;mso-width-relative:page;mso-height-relative:page;" filled="f" stroked="t" coordsize="21600,21600" o:gfxdata="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aHHe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1.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编号：XJ-20230209-1</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汇安（广东）检测评价咨询有限公司：</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广州市净水有限公司环城北净水厂</w:t>
      </w:r>
      <w:r>
        <w:rPr>
          <w:rFonts w:hint="eastAsia" w:ascii="仿宋_GB2312" w:eastAsia="仿宋_GB2312" w:hAnsiTheme="majorEastAsia"/>
          <w:color w:val="auto"/>
          <w:sz w:val="28"/>
          <w:szCs w:val="28"/>
          <w:highlight w:val="none"/>
          <w:lang w:eastAsia="zh-CN"/>
        </w:rPr>
        <w:t>安全预评价技术服务项目（第二次）</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hint="default" w:ascii="仿宋_GB2312" w:eastAsia="仿宋_GB2312" w:hAnsiTheme="majorEastAsia"/>
          <w:color w:val="auto"/>
          <w:sz w:val="28"/>
          <w:szCs w:val="28"/>
          <w:highlight w:val="none"/>
          <w:lang w:val="en-US" w:eastAsia="zh-CN"/>
        </w:rPr>
      </w:pPr>
      <w:r>
        <w:rPr>
          <w:rFonts w:hint="eastAsia" w:ascii="仿宋_GB2312" w:eastAsia="仿宋_GB2312" w:hAnsiTheme="majorEastAsia"/>
          <w:color w:val="auto"/>
          <w:sz w:val="28"/>
          <w:szCs w:val="28"/>
          <w:highlight w:val="none"/>
        </w:rPr>
        <w:t>1.</w:t>
      </w:r>
      <w:r>
        <w:rPr>
          <w:rFonts w:hint="eastAsia" w:ascii="仿宋_GB2312" w:eastAsia="仿宋_GB2312" w:hAnsiTheme="majorEastAsia"/>
          <w:color w:val="auto"/>
          <w:sz w:val="28"/>
          <w:szCs w:val="28"/>
          <w:highlight w:val="none"/>
          <w:lang w:val="en-US" w:eastAsia="zh-CN"/>
        </w:rPr>
        <w:t>税前价格超过税后价，属计算错误，请核实。</w:t>
      </w:r>
    </w:p>
    <w:p>
      <w:pPr>
        <w:adjustRightInd w:val="0"/>
        <w:snapToGrid w:val="0"/>
        <w:spacing w:line="600" w:lineRule="exact"/>
        <w:ind w:firstLine="555"/>
        <w:jc w:val="left"/>
        <w:rPr>
          <w:rFonts w:hint="default" w:ascii="仿宋_GB2312" w:eastAsia="仿宋_GB2312" w:hAnsiTheme="majorEastAsia"/>
          <w:color w:val="auto"/>
          <w:sz w:val="28"/>
          <w:szCs w:val="28"/>
          <w:highlight w:val="none"/>
          <w:lang w:val="en-US" w:eastAsia="zh-CN"/>
        </w:rPr>
      </w:pPr>
      <w:r>
        <w:rPr>
          <w:rFonts w:hint="eastAsia" w:ascii="仿宋_GB2312" w:eastAsia="仿宋_GB2312" w:hAnsiTheme="majorEastAsia"/>
          <w:color w:val="auto"/>
          <w:sz w:val="28"/>
          <w:szCs w:val="28"/>
          <w:highlight w:val="none"/>
        </w:rPr>
        <w:t>2.法定代表人授权委托书</w:t>
      </w:r>
      <w:r>
        <w:rPr>
          <w:rFonts w:hint="eastAsia" w:ascii="仿宋_GB2312" w:eastAsia="仿宋_GB2312" w:hAnsiTheme="majorEastAsia"/>
          <w:color w:val="auto"/>
          <w:sz w:val="28"/>
          <w:szCs w:val="28"/>
          <w:highlight w:val="none"/>
          <w:lang w:val="en-US" w:eastAsia="zh-CN"/>
        </w:rPr>
        <w:t>法人签名与上述不为同一人，请核实。</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lang w:val="en-US" w:eastAsia="zh-CN"/>
        </w:rPr>
        <w:t>2023</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lang w:val="en-US" w:eastAsia="zh-CN"/>
        </w:rPr>
        <w:t>2</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lang w:val="en-US" w:eastAsia="zh-CN"/>
        </w:rPr>
        <w:t>15</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lang w:val="en-US" w:eastAsia="zh-CN"/>
        </w:rPr>
        <w:t>16</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lang w:val="en-US" w:eastAsia="zh-CN"/>
        </w:rPr>
        <w:t>净水公司</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2240" w:firstLineChars="8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（环城北净水厂</w:t>
      </w:r>
      <w:r>
        <w:rPr>
          <w:rFonts w:hint="eastAsia" w:ascii="仿宋_GB2312" w:eastAsia="仿宋_GB2312" w:hAnsiTheme="majorEastAsia"/>
          <w:color w:val="auto"/>
          <w:sz w:val="28"/>
          <w:szCs w:val="28"/>
          <w:highlight w:val="none"/>
          <w:u w:val="single"/>
          <w:lang w:eastAsia="zh-CN"/>
        </w:rPr>
        <w:t>安全预评价技术服务项目（第二次）</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Theme="majorEastAsia" w:hAnsiTheme="majorEastAsia" w:eastAsiaTheme="majorEastAsia"/>
          <w:b/>
          <w:color w:val="auto"/>
          <w:sz w:val="28"/>
          <w:szCs w:val="28"/>
          <w:highlight w:val="none"/>
          <w:u w:val="single"/>
          <w:lang w:val="en-US" w:eastAsia="zh-CN"/>
        </w:rPr>
        <w:t xml:space="preserve">                     </w:t>
      </w:r>
      <w:r>
        <w:rPr>
          <w:rFonts w:hint="eastAsia" w:asciiTheme="majorEastAsia" w:hAnsiTheme="majorEastAsia" w:eastAsiaTheme="majorEastAsia"/>
          <w:b/>
          <w:color w:val="auto"/>
          <w:sz w:val="28"/>
          <w:szCs w:val="28"/>
          <w:highlight w:val="none"/>
          <w:u w:val="single"/>
        </w:rPr>
        <w:t xml:space="preserve">   </w:t>
      </w:r>
      <w:r>
        <w:rPr>
          <w:rFonts w:hint="eastAsia" w:asciiTheme="majorEastAsia" w:hAnsiTheme="majorEastAsia" w:eastAsiaTheme="majorEastAsia"/>
          <w:b/>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lang w:val="en-US" w:eastAsia="zh-CN"/>
        </w:rPr>
        <w:t>2023</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lang w:val="en-US" w:eastAsia="zh-CN"/>
        </w:rPr>
        <w:t>2</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lang w:val="en-US" w:eastAsia="zh-CN"/>
        </w:rPr>
        <w:t>15</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49530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3.9pt;height:0pt;width:75.5pt;z-index:251660288;mso-width-relative:page;mso-height-relative:page;" filled="f" stroked="t" coordsize="21600,21600" o:gfxdata="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C0Ha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jc w:val="center"/>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color w:val="auto"/>
          <w:sz w:val="28"/>
          <w:szCs w:val="28"/>
          <w:highlight w:val="none"/>
        </w:rPr>
      </w:pPr>
    </w:p>
    <w:p>
      <w:pPr>
        <w:pStyle w:val="3"/>
        <w:rPr>
          <w:rFonts w:hint="eastAsia"/>
          <w:color w:val="auto"/>
          <w:highlight w:val="none"/>
        </w:rPr>
      </w:pPr>
      <w:bookmarkStart w:id="34" w:name="_Toc7437"/>
      <w:bookmarkStart w:id="35" w:name="_Toc3156"/>
      <w:bookmarkStart w:id="36" w:name="_Toc7118"/>
      <w:bookmarkStart w:id="37" w:name="_Toc19759"/>
      <w:bookmarkStart w:id="38" w:name="_Toc14552"/>
      <w:bookmarkStart w:id="39" w:name="_Toc14870"/>
      <w:bookmarkStart w:id="40" w:name="_Toc4952"/>
      <w:bookmarkStart w:id="41" w:name="_Toc10930"/>
      <w:bookmarkStart w:id="42" w:name="_Toc19050"/>
      <w:bookmarkStart w:id="43" w:name="_Toc23581"/>
      <w:bookmarkStart w:id="44" w:name="_Toc20594"/>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2331720</wp:posOffset>
                </wp:positionH>
                <wp:positionV relativeFrom="paragraph">
                  <wp:posOffset>38735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6pt;margin-top:3.05pt;height:0pt;width:75.5pt;z-index:251662336;mso-width-relative:page;mso-height-relative:page;" filled="f" stroked="t" coordsize="21600,21600" o:gfxdata="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qYqm1AAAAAcBAAAPAAAAAAAAAAEAIAAAACIAAABkcnMvZG93bnJldi54bWxQSwECFAAUAAAA&#10;CACHTuJAkDHAsPIBAADiAwAADgAAAAAAAAABACAAAAAj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519430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40.9pt;height:0pt;width:75.5pt;z-index:251663360;mso-width-relative:page;mso-height-relative:page;" filled="f" stroked="t" coordsize="21600,21600" o:gfxdata="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EmtxPWAAAACQ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12177"/>
      <w:bookmarkStart w:id="46" w:name="_Toc22212"/>
      <w:bookmarkStart w:id="47" w:name="_Toc88209941"/>
      <w:bookmarkStart w:id="48" w:name="_Toc87616378"/>
      <w:bookmarkStart w:id="49" w:name="_Toc29484"/>
      <w:bookmarkStart w:id="50" w:name="_Toc13898"/>
      <w:bookmarkStart w:id="51" w:name="_Toc30530"/>
      <w:bookmarkStart w:id="52" w:name="_Toc29345"/>
      <w:bookmarkStart w:id="53" w:name="_Toc6308"/>
      <w:bookmarkStart w:id="54" w:name="_Toc21840"/>
      <w:bookmarkStart w:id="55" w:name="_Toc32607"/>
      <w:bookmarkStart w:id="56" w:name="_Toc21079"/>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pStyle w:val="3"/>
        <w:jc w:val="both"/>
        <w:rPr>
          <w:rFonts w:hint="eastAsia"/>
          <w:color w:val="auto"/>
          <w:highlight w:val="none"/>
        </w:rPr>
      </w:pPr>
    </w:p>
    <w:p>
      <w:pPr>
        <w:pStyle w:val="3"/>
        <w:jc w:val="both"/>
        <w:rPr>
          <w:rFonts w:hint="eastAsia"/>
          <w:color w:val="auto"/>
          <w:highlight w:val="none"/>
        </w:rPr>
      </w:pPr>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2159635</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0.05pt;margin-top:8.5pt;height:0pt;width:75.5pt;z-index:251674624;mso-width-relative:page;mso-height-relative:page;" filled="f" stroked="t" coordsize="21600,21600" o:gfxdata="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5jfwD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2152650</wp:posOffset>
                </wp:positionH>
                <wp:positionV relativeFrom="paragraph">
                  <wp:posOffset>501015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69.5pt;margin-top:39.45pt;height:0pt;width:75.5pt;z-index:251675648;mso-width-relative:page;mso-height-relative:page;" filled="f" stroked="t" coordsize="21600,21600" o:gfxdata="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lmnN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ind w:firstLine="588" w:firstLineChars="210"/>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lang w:val="en-US" w:eastAsia="zh-CN"/>
        </w:rPr>
        <w:t>环城北</w:t>
      </w:r>
      <w:r>
        <w:rPr>
          <w:rFonts w:hint="eastAsia" w:ascii="仿宋_GB2312" w:hAnsi="仿宋" w:eastAsia="仿宋_GB2312" w:cs="仿宋"/>
          <w:color w:val="auto"/>
          <w:sz w:val="28"/>
          <w:szCs w:val="28"/>
          <w:highlight w:val="none"/>
          <w:u w:val="none"/>
        </w:rPr>
        <w:t>净水厂，建设规模：新建10万吨/日污水处理厂。工程估算总投资</w:t>
      </w:r>
      <w:r>
        <w:rPr>
          <w:rFonts w:hint="eastAsia" w:ascii="仿宋_GB2312" w:hAnsi="仿宋" w:eastAsia="仿宋_GB2312" w:cs="仿宋"/>
          <w:color w:val="auto"/>
          <w:sz w:val="28"/>
          <w:szCs w:val="28"/>
          <w:highlight w:val="none"/>
          <w:u w:val="none"/>
          <w:lang w:val="en-US" w:eastAsia="zh-CN"/>
        </w:rPr>
        <w:t>约13.79亿元</w:t>
      </w:r>
      <w:r>
        <w:rPr>
          <w:rFonts w:hint="eastAsia" w:ascii="仿宋_GB2312" w:hAnsi="仿宋" w:eastAsia="仿宋_GB2312" w:cs="仿宋"/>
          <w:color w:val="auto"/>
          <w:sz w:val="28"/>
          <w:szCs w:val="28"/>
          <w:highlight w:val="none"/>
          <w:u w:val="none"/>
        </w:rPr>
        <w:t>。</w:t>
      </w:r>
    </w:p>
    <w:p>
      <w:pPr>
        <w:numPr>
          <w:ilvl w:val="0"/>
          <w:numId w:val="3"/>
        </w:num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项目内容及需求</w:t>
      </w:r>
    </w:p>
    <w:p>
      <w:pPr>
        <w:pStyle w:val="22"/>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根据现行最新的安全预评价要求对上述项目开展安全预评价工作，编制报告，配合建设单位组织安全预评价报告专家评审并按照评审意见对成果进行修改完善。</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rPr>
        <w:t>项目技术要求</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1.根据《中华人民共和国安全生产法》（中华人民共和国主席令第</w:t>
      </w:r>
      <w:r>
        <w:rPr>
          <w:rFonts w:hint="eastAsia" w:ascii="仿宋_GB2312" w:hAnsi="仿宋_GB2312" w:eastAsia="仿宋_GB2312" w:cs="仿宋_GB2312"/>
          <w:color w:val="auto"/>
          <w:sz w:val="28"/>
          <w:szCs w:val="28"/>
          <w:highlight w:val="none"/>
          <w:lang w:val="en-US" w:eastAsia="zh-CN"/>
        </w:rPr>
        <w:t>88</w:t>
      </w:r>
      <w:r>
        <w:rPr>
          <w:rFonts w:hint="eastAsia" w:ascii="仿宋_GB2312" w:hAnsi="仿宋_GB2312" w:eastAsia="仿宋_GB2312" w:cs="仿宋_GB2312"/>
          <w:color w:val="auto"/>
          <w:sz w:val="28"/>
          <w:szCs w:val="28"/>
          <w:highlight w:val="none"/>
        </w:rPr>
        <w:t>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《广东省安全生产条例》（广东省第十二届人民代表大会常务委员会公告(第</w:t>
      </w:r>
      <w:r>
        <w:rPr>
          <w:rFonts w:hint="eastAsia" w:ascii="仿宋_GB2312" w:hAnsi="仿宋_GB2312" w:eastAsia="仿宋_GB2312" w:cs="仿宋_GB2312"/>
          <w:color w:val="auto"/>
          <w:sz w:val="28"/>
          <w:szCs w:val="28"/>
          <w:highlight w:val="none"/>
          <w:lang w:val="en-US" w:eastAsia="zh-CN"/>
        </w:rPr>
        <w:t>94</w:t>
      </w:r>
      <w:r>
        <w:rPr>
          <w:rFonts w:hint="eastAsia" w:ascii="仿宋_GB2312" w:hAnsi="仿宋_GB2312" w:eastAsia="仿宋_GB2312" w:cs="仿宋_GB2312"/>
          <w:color w:val="auto"/>
          <w:sz w:val="28"/>
          <w:szCs w:val="28"/>
          <w:highlight w:val="none"/>
        </w:rPr>
        <w:t>号)；《建筑设计防火规范》（GB50016-2014）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建设项目安全设施“三同时”监督管理办法》（2015年修订）等</w:t>
      </w:r>
      <w:r>
        <w:rPr>
          <w:rFonts w:hint="eastAsia" w:ascii="仿宋_GB2312" w:hAnsi="仿宋_GB2312" w:eastAsia="仿宋_GB2312" w:cs="仿宋_GB2312"/>
          <w:color w:val="auto"/>
          <w:sz w:val="28"/>
          <w:szCs w:val="28"/>
          <w:highlight w:val="none"/>
          <w:lang w:val="zh-CN"/>
        </w:rPr>
        <w:t>国家相关的职业卫生法律、法规、技术标准及其他规范性文件</w:t>
      </w:r>
      <w:r>
        <w:rPr>
          <w:rFonts w:hint="eastAsia" w:ascii="仿宋_GB2312" w:hAnsi="仿宋_GB2312" w:eastAsia="仿宋_GB2312" w:cs="仿宋_GB2312"/>
          <w:color w:val="auto"/>
          <w:sz w:val="28"/>
          <w:szCs w:val="28"/>
          <w:highlight w:val="none"/>
        </w:rPr>
        <w:t>，编制符合质量要求的</w:t>
      </w:r>
      <w:r>
        <w:rPr>
          <w:rFonts w:hint="eastAsia" w:ascii="仿宋_GB2312" w:hAnsi="仿宋" w:eastAsia="仿宋_GB2312" w:cs="仿宋"/>
          <w:color w:val="auto"/>
          <w:sz w:val="28"/>
          <w:szCs w:val="28"/>
          <w:highlight w:val="none"/>
          <w:u w:val="none"/>
          <w:lang w:val="en-US" w:eastAsia="zh-CN"/>
        </w:rPr>
        <w:t>安全</w:t>
      </w:r>
      <w:r>
        <w:rPr>
          <w:rFonts w:hint="eastAsia" w:ascii="仿宋_GB2312" w:hAnsi="仿宋" w:eastAsia="仿宋_GB2312" w:cs="仿宋"/>
          <w:color w:val="auto"/>
          <w:sz w:val="28"/>
          <w:szCs w:val="28"/>
          <w:highlight w:val="none"/>
          <w:u w:val="none"/>
        </w:rPr>
        <w:t>预评价</w:t>
      </w:r>
      <w:r>
        <w:rPr>
          <w:rFonts w:hint="eastAsia" w:ascii="仿宋_GB2312" w:hAnsi="仿宋" w:eastAsia="仿宋_GB2312" w:cs="仿宋"/>
          <w:color w:val="auto"/>
          <w:sz w:val="28"/>
          <w:szCs w:val="28"/>
          <w:highlight w:val="none"/>
          <w:u w:val="none"/>
          <w:lang w:val="en-US" w:eastAsia="zh-CN"/>
        </w:rPr>
        <w:t>报告</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在</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val="zh-CN"/>
        </w:rPr>
        <w:t>过程中，能够积极主动的配合、指导建设单位，解决可能出现的其他问题。</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2.质量要求：安全预评价报告通过专家评审并修改完善后提供最终成果。</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pStyle w:val="22"/>
        <w:rPr>
          <w:rFonts w:hint="default" w:ascii="仿宋_GB2312" w:hAnsi="仿宋" w:eastAsia="仿宋_GB2312" w:cs="仿宋"/>
          <w:color w:val="auto"/>
          <w:kern w:val="2"/>
          <w:sz w:val="28"/>
          <w:szCs w:val="28"/>
          <w:highlight w:val="none"/>
          <w:u w:val="none"/>
          <w:lang w:val="en-US" w:eastAsia="zh-CN" w:bidi="ar-SA"/>
        </w:rPr>
      </w:pPr>
      <w:r>
        <w:rPr>
          <w:rFonts w:hint="default" w:ascii="仿宋_GB2312" w:hAnsi="仿宋" w:eastAsia="仿宋_GB2312" w:cs="仿宋"/>
          <w:color w:val="auto"/>
          <w:kern w:val="2"/>
          <w:sz w:val="28"/>
          <w:szCs w:val="28"/>
          <w:highlight w:val="none"/>
          <w:u w:val="none"/>
          <w:lang w:val="en-US" w:eastAsia="zh-CN" w:bidi="ar-SA"/>
        </w:rPr>
        <w:t>本合同采用总价包干，工作内容包括完成本合同项下的所有工作，包含但不限于成果编制和报审、修改完善、专家评审费用等</w:t>
      </w:r>
      <w:r>
        <w:rPr>
          <w:rFonts w:hint="eastAsia" w:ascii="仿宋_GB2312" w:hAnsi="仿宋_GB2312" w:eastAsia="仿宋_GB2312" w:cs="仿宋_GB2312"/>
          <w:color w:val="auto"/>
          <w:sz w:val="28"/>
          <w:szCs w:val="28"/>
          <w:highlight w:val="none"/>
        </w:rPr>
        <w:t>。</w:t>
      </w:r>
    </w:p>
    <w:p>
      <w:pPr>
        <w:pStyle w:val="22"/>
        <w:rPr>
          <w:rFonts w:hint="eastAsia"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rFonts w:hint="eastAsia"/>
          <w:color w:val="auto"/>
          <w:highlight w:val="none"/>
          <w:lang w:eastAsia="zh-CN"/>
        </w:rPr>
      </w:pPr>
    </w:p>
    <w:p>
      <w:pPr>
        <w:pStyle w:val="22"/>
        <w:rPr>
          <w:rFonts w:hint="eastAsia"/>
          <w:color w:val="auto"/>
          <w:highlight w:val="none"/>
          <w:lang w:eastAsia="zh-CN"/>
        </w:rPr>
      </w:pPr>
    </w:p>
    <w:p>
      <w:pPr>
        <w:pStyle w:val="22"/>
        <w:rPr>
          <w:rFonts w:hint="eastAsia"/>
          <w:color w:val="auto"/>
          <w:highlight w:val="none"/>
          <w:lang w:eastAsia="zh-CN"/>
        </w:rPr>
      </w:pPr>
    </w:p>
    <w:p>
      <w:pPr>
        <w:pStyle w:val="22"/>
        <w:rPr>
          <w:rFonts w:hint="eastAsia"/>
          <w:color w:val="auto"/>
          <w:highlight w:val="none"/>
          <w:lang w:eastAsia="zh-CN"/>
        </w:rPr>
      </w:pPr>
    </w:p>
    <w:p>
      <w:pPr>
        <w:pStyle w:val="22"/>
        <w:rPr>
          <w:rFonts w:hint="eastAsia"/>
          <w:color w:val="auto"/>
          <w:highlight w:val="none"/>
          <w:lang w:eastAsia="zh-CN"/>
        </w:rPr>
      </w:pPr>
    </w:p>
    <w:p>
      <w:pPr>
        <w:pStyle w:val="3"/>
        <w:rPr>
          <w:rFonts w:hint="eastAsia"/>
          <w:color w:val="auto"/>
          <w:highlight w:val="none"/>
        </w:rPr>
      </w:pPr>
      <w:bookmarkStart w:id="61" w:name="_Toc15570"/>
      <w:bookmarkStart w:id="62" w:name="_Toc23330"/>
      <w:bookmarkStart w:id="63" w:name="_Toc25925"/>
      <w:bookmarkStart w:id="64" w:name="_Toc4680"/>
      <w:bookmarkStart w:id="65" w:name="_Toc1284"/>
      <w:bookmarkStart w:id="66" w:name="_Toc18538"/>
      <w:bookmarkStart w:id="67" w:name="_Toc29835"/>
      <w:bookmarkStart w:id="68" w:name="_Toc12135"/>
      <w:bookmarkStart w:id="69" w:name="_Toc537"/>
      <w:bookmarkStart w:id="70" w:name="_Toc1496"/>
      <w:bookmarkStart w:id="71" w:name="_Toc23353"/>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2343785</wp:posOffset>
                </wp:positionH>
                <wp:positionV relativeFrom="paragraph">
                  <wp:posOffset>537845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4.55pt;margin-top:42.35pt;height:0pt;width:75.5pt;z-index:251665408;mso-width-relative:page;mso-height-relative:page;" filled="f" stroked="t" coordsize="21600,21600" o:gfxdata="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yhoV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2337435</wp:posOffset>
                </wp:positionH>
                <wp:positionV relativeFrom="paragraph">
                  <wp:posOffset>69850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05pt;margin-top:5.5pt;height:0pt;width:75.5pt;z-index:251664384;mso-width-relative:page;mso-height-relative:page;" filled="f" stroked="t" coordsize="21600,21600" o:gfxdata="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Cj4TN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13309"/>
      <w:bookmarkStart w:id="73" w:name="_Toc19686"/>
      <w:bookmarkStart w:id="74" w:name="_Toc22797"/>
      <w:bookmarkStart w:id="75" w:name="_Toc88209949"/>
      <w:bookmarkStart w:id="76" w:name="_Toc12968"/>
      <w:bookmarkStart w:id="77" w:name="_Toc8183"/>
      <w:bookmarkStart w:id="78" w:name="_Toc12980"/>
      <w:bookmarkStart w:id="79" w:name="_Toc22501"/>
      <w:bookmarkStart w:id="80" w:name="_Toc323"/>
      <w:bookmarkStart w:id="81" w:name="_Toc1375"/>
      <w:bookmarkStart w:id="82" w:name="_Toc19088"/>
      <w:bookmarkStart w:id="83" w:name="_Toc87616386"/>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pP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第四部分 合同书格式</w:t>
      </w: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合同文件</w:t>
      </w:r>
    </w:p>
    <w:p>
      <w:pPr>
        <w:pStyle w:val="22"/>
        <w:rPr>
          <w:highlight w:val="none"/>
        </w:rPr>
      </w:pPr>
    </w:p>
    <w:p>
      <w:pPr>
        <w:adjustRightInd/>
        <w:spacing w:line="240" w:lineRule="auto"/>
        <w:ind w:firstLine="480" w:firstLineChars="200"/>
        <w:jc w:val="both"/>
        <w:textAlignment w:val="auto"/>
        <w:rPr>
          <w:rFonts w:ascii="宋体" w:eastAsia="宋体"/>
          <w:kern w:val="2"/>
          <w:sz w:val="24"/>
          <w:szCs w:val="24"/>
          <w:highlight w:val="none"/>
          <w:u w:val="single"/>
        </w:rPr>
      </w:pPr>
      <w:r>
        <w:rPr>
          <w:rFonts w:hint="eastAsia" w:ascii="宋体" w:hAnsi="宋体" w:eastAsia="宋体" w:cs="宋体"/>
          <w:kern w:val="2"/>
          <w:sz w:val="24"/>
          <w:szCs w:val="24"/>
          <w:highlight w:val="none"/>
        </w:rPr>
        <w:t>甲方（发包人）</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rPr>
        <w:t>广州市净水有限公司</w:t>
      </w:r>
    </w:p>
    <w:p>
      <w:pPr>
        <w:adjustRightInd/>
        <w:spacing w:line="240" w:lineRule="auto"/>
        <w:ind w:firstLine="480" w:firstLineChars="200"/>
        <w:jc w:val="both"/>
        <w:textAlignment w:val="auto"/>
        <w:rPr>
          <w:rFonts w:ascii="宋体" w:eastAsia="宋体"/>
          <w:kern w:val="2"/>
          <w:sz w:val="24"/>
          <w:szCs w:val="24"/>
          <w:highlight w:val="none"/>
        </w:rPr>
      </w:pPr>
    </w:p>
    <w:p>
      <w:pPr>
        <w:adjustRightInd/>
        <w:spacing w:line="240" w:lineRule="auto"/>
        <w:ind w:firstLine="480" w:firstLineChars="200"/>
        <w:jc w:val="both"/>
        <w:textAlignment w:val="auto"/>
        <w:rPr>
          <w:rFonts w:hint="default" w:ascii="宋体" w:eastAsia="宋体"/>
          <w:kern w:val="2"/>
          <w:sz w:val="24"/>
          <w:szCs w:val="24"/>
          <w:highlight w:val="none"/>
          <w:u w:val="single"/>
          <w:lang w:val="en-US" w:eastAsia="zh-CN"/>
        </w:rPr>
      </w:pPr>
      <w:r>
        <w:rPr>
          <w:rFonts w:hint="eastAsia" w:ascii="宋体" w:hAnsi="宋体" w:eastAsia="宋体" w:cs="宋体"/>
          <w:kern w:val="2"/>
          <w:sz w:val="24"/>
          <w:szCs w:val="24"/>
          <w:highlight w:val="none"/>
        </w:rPr>
        <w:t>乙方（承包人）</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lang w:val="en-US" w:eastAsia="zh-CN"/>
        </w:rPr>
        <w:t xml:space="preserve">                           </w:t>
      </w:r>
    </w:p>
    <w:p>
      <w:pPr>
        <w:pStyle w:val="11"/>
        <w:spacing w:line="360" w:lineRule="auto"/>
        <w:ind w:firstLine="480" w:firstLineChars="200"/>
        <w:rPr>
          <w:rFonts w:hAnsi="宋体"/>
          <w:color w:val="000000"/>
          <w:kern w:val="0"/>
          <w:sz w:val="24"/>
          <w:szCs w:val="24"/>
          <w:highlight w:val="none"/>
          <w:u w:val="single"/>
        </w:rPr>
      </w:pPr>
    </w:p>
    <w:p>
      <w:pPr>
        <w:pStyle w:val="11"/>
        <w:spacing w:line="360" w:lineRule="auto"/>
        <w:ind w:firstLine="480" w:firstLineChars="200"/>
        <w:rPr>
          <w:rFonts w:hAnsi="宋体" w:cs="宋体"/>
          <w:sz w:val="24"/>
          <w:szCs w:val="24"/>
          <w:highlight w:val="none"/>
        </w:rPr>
      </w:pPr>
      <w:r>
        <w:rPr>
          <w:rFonts w:hint="eastAsia" w:hAnsi="宋体" w:cs="宋体"/>
          <w:sz w:val="24"/>
          <w:szCs w:val="24"/>
          <w:highlight w:val="none"/>
        </w:rPr>
        <w:t>甲方就</w:t>
      </w:r>
      <w:r>
        <w:rPr>
          <w:rFonts w:hint="eastAsia" w:hAnsi="宋体" w:cs="宋体"/>
          <w:sz w:val="24"/>
          <w:szCs w:val="24"/>
          <w:highlight w:val="none"/>
          <w:u w:val="single"/>
          <w:lang w:val="en-US" w:eastAsia="zh-CN"/>
        </w:rPr>
        <w:t>广州市净水有限公司环城北净水厂安全预评价技术服务项目（第二次）</w:t>
      </w:r>
      <w:r>
        <w:rPr>
          <w:rFonts w:hint="eastAsia" w:hAnsi="宋体" w:cs="宋体"/>
          <w:sz w:val="24"/>
          <w:szCs w:val="24"/>
          <w:highlight w:val="none"/>
        </w:rPr>
        <w:t>委托乙方提供相应工作成果。经双方协商一致，签订本合同。</w:t>
      </w:r>
    </w:p>
    <w:p>
      <w:pPr>
        <w:rPr>
          <w:rFonts w:ascii="宋体" w:hAnsi="宋体"/>
          <w:b/>
          <w:color w:val="000000"/>
          <w:sz w:val="28"/>
          <w:szCs w:val="28"/>
          <w:highlight w:val="none"/>
        </w:rPr>
      </w:pPr>
      <w:r>
        <w:rPr>
          <w:rFonts w:hint="eastAsia" w:ascii="宋体" w:hAnsi="宋体"/>
          <w:b/>
          <w:bCs/>
          <w:color w:val="000000"/>
          <w:sz w:val="28"/>
          <w:szCs w:val="28"/>
          <w:highlight w:val="none"/>
        </w:rPr>
        <w:t>第一条</w:t>
      </w:r>
      <w:r>
        <w:rPr>
          <w:rFonts w:hint="eastAsia" w:ascii="宋体" w:hAnsi="宋体"/>
          <w:b/>
          <w:color w:val="000000"/>
          <w:sz w:val="28"/>
          <w:szCs w:val="28"/>
          <w:highlight w:val="none"/>
        </w:rPr>
        <w:t xml:space="preserve">  签订依据 </w:t>
      </w:r>
    </w:p>
    <w:p>
      <w:pPr>
        <w:overflowPunct w:val="0"/>
        <w:spacing w:line="360" w:lineRule="auto"/>
        <w:ind w:firstLine="420" w:firstLineChars="200"/>
        <w:rPr>
          <w:rFonts w:hint="eastAsia" w:ascii="宋体" w:hAnsi="宋体" w:eastAsia="宋体"/>
          <w:color w:val="000000"/>
          <w:highlight w:val="none"/>
          <w:lang w:val="en-US" w:eastAsia="zh-CN"/>
        </w:rPr>
      </w:pPr>
      <w:r>
        <w:rPr>
          <w:rFonts w:hint="eastAsia" w:ascii="宋体" w:hAnsi="宋体"/>
          <w:color w:val="000000"/>
          <w:highlight w:val="none"/>
        </w:rPr>
        <w:t>1.1</w:t>
      </w:r>
      <w:r>
        <w:rPr>
          <w:rFonts w:hint="eastAsia" w:ascii="宋体" w:hAnsi="宋体"/>
          <w:color w:val="000000"/>
          <w:highlight w:val="none"/>
          <w:lang w:val="en-US" w:eastAsia="zh-CN"/>
        </w:rPr>
        <w:t>《中华人民共和国民法典》</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1.2</w:t>
      </w:r>
      <w:r>
        <w:rPr>
          <w:rFonts w:hint="eastAsia" w:ascii="宋体" w:hAnsi="宋体"/>
          <w:color w:val="000000"/>
          <w:highlight w:val="none"/>
          <w:lang w:val="en-US" w:eastAsia="zh-CN"/>
        </w:rPr>
        <w:t>参照《建设项目前期工作咨询收费暂行规定》（计价格(1999)1283号）</w:t>
      </w:r>
      <w:r>
        <w:rPr>
          <w:rFonts w:hint="eastAsia" w:ascii="宋体" w:hAnsi="宋体"/>
          <w:color w:val="000000"/>
          <w:highlight w:val="none"/>
        </w:rPr>
        <w:t>。</w:t>
      </w:r>
    </w:p>
    <w:p>
      <w:pPr>
        <w:tabs>
          <w:tab w:val="left" w:pos="360"/>
        </w:tabs>
        <w:overflowPunct w:val="0"/>
        <w:spacing w:line="360" w:lineRule="auto"/>
        <w:rPr>
          <w:rFonts w:ascii="宋体"/>
          <w:b/>
          <w:color w:val="000000"/>
          <w:sz w:val="28"/>
          <w:szCs w:val="28"/>
          <w:highlight w:val="none"/>
        </w:rPr>
      </w:pPr>
      <w:r>
        <w:rPr>
          <w:rFonts w:hint="eastAsia" w:ascii="宋体"/>
          <w:b/>
          <w:color w:val="000000"/>
          <w:sz w:val="28"/>
          <w:szCs w:val="28"/>
          <w:highlight w:val="none"/>
        </w:rPr>
        <w:t>第二条  编制依据</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2.1甲方给乙方的</w:t>
      </w:r>
      <w:r>
        <w:rPr>
          <w:rFonts w:hint="eastAsia" w:ascii="宋体" w:hAnsi="宋体" w:cs="宋体"/>
          <w:color w:val="000000"/>
          <w:highlight w:val="none"/>
          <w:lang w:val="en-US" w:eastAsia="zh-CN"/>
        </w:rPr>
        <w:t>成交</w:t>
      </w:r>
      <w:r>
        <w:rPr>
          <w:rFonts w:hint="eastAsia" w:ascii="宋体" w:hAnsi="宋体" w:cs="宋体"/>
          <w:color w:val="000000"/>
          <w:highlight w:val="none"/>
        </w:rPr>
        <w:t>通知书</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2.2 甲方提交的基础资料</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2.3 乙方采用的技术标准包括不限于：</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（1）《中华人民共和国安全生产法》（中华人民共和国主席令第</w:t>
      </w:r>
      <w:r>
        <w:rPr>
          <w:rFonts w:hint="eastAsia" w:ascii="宋体" w:hAnsi="宋体"/>
          <w:color w:val="000000"/>
          <w:highlight w:val="none"/>
          <w:lang w:val="en-US" w:eastAsia="zh-CN"/>
        </w:rPr>
        <w:t>88</w:t>
      </w:r>
      <w:r>
        <w:rPr>
          <w:rFonts w:hint="eastAsia" w:ascii="宋体" w:hAnsi="宋体"/>
          <w:color w:val="000000"/>
          <w:highlight w:val="none"/>
        </w:rPr>
        <w:t>号）；</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（2）《危险化学品安全管理条例》（国务院令第645号修改）；</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（3）《广东省安全生产条例》（广东省第十二届人民代表大会常务委员会公告(第</w:t>
      </w:r>
      <w:r>
        <w:rPr>
          <w:rFonts w:hint="eastAsia" w:ascii="宋体" w:hAnsi="宋体"/>
          <w:color w:val="000000"/>
          <w:highlight w:val="none"/>
          <w:lang w:val="en-US" w:eastAsia="zh-CN"/>
        </w:rPr>
        <w:t>94</w:t>
      </w:r>
      <w:r>
        <w:rPr>
          <w:rFonts w:hint="eastAsia" w:ascii="宋体" w:hAnsi="宋体"/>
          <w:color w:val="000000"/>
          <w:highlight w:val="none"/>
        </w:rPr>
        <w:t>号)；</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w:t>
      </w:r>
      <w:r>
        <w:rPr>
          <w:rFonts w:hint="eastAsia" w:ascii="宋体" w:hAnsi="宋体"/>
          <w:color w:val="000000"/>
          <w:highlight w:val="none"/>
          <w:lang w:val="en-US" w:eastAsia="zh-CN"/>
        </w:rPr>
        <w:t>4</w:t>
      </w:r>
      <w:r>
        <w:rPr>
          <w:rFonts w:hint="eastAsia" w:ascii="宋体" w:hAnsi="宋体"/>
          <w:color w:val="000000"/>
          <w:highlight w:val="none"/>
        </w:rPr>
        <w:t>）《建筑设计防火规范》（GB50016-2014）；</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w:t>
      </w:r>
      <w:r>
        <w:rPr>
          <w:rFonts w:hint="eastAsia" w:ascii="宋体" w:hAnsi="宋体"/>
          <w:color w:val="000000"/>
          <w:highlight w:val="none"/>
          <w:lang w:val="en-US" w:eastAsia="zh-CN"/>
        </w:rPr>
        <w:t>5</w:t>
      </w:r>
      <w:r>
        <w:rPr>
          <w:rFonts w:hint="eastAsia" w:ascii="宋体" w:hAnsi="宋体"/>
          <w:color w:val="000000"/>
          <w:highlight w:val="none"/>
        </w:rPr>
        <w:t>）《危险化学品重大危险源辨识》（GB18218-20</w:t>
      </w:r>
      <w:r>
        <w:rPr>
          <w:rFonts w:hint="eastAsia" w:ascii="宋体" w:hAnsi="宋体"/>
          <w:color w:val="000000"/>
          <w:highlight w:val="none"/>
          <w:lang w:val="en-US" w:eastAsia="zh-CN"/>
        </w:rPr>
        <w:t>18</w:t>
      </w:r>
      <w:r>
        <w:rPr>
          <w:rFonts w:hint="eastAsia" w:ascii="宋体" w:hAnsi="宋体"/>
          <w:color w:val="000000"/>
          <w:highlight w:val="none"/>
        </w:rPr>
        <w:t>）；</w:t>
      </w:r>
    </w:p>
    <w:p>
      <w:pPr>
        <w:overflowPunct w:val="0"/>
        <w:spacing w:line="360" w:lineRule="auto"/>
        <w:ind w:firstLine="420" w:firstLineChars="200"/>
        <w:rPr>
          <w:rFonts w:hint="eastAsia" w:ascii="宋体" w:hAnsi="宋体"/>
          <w:color w:val="000000"/>
          <w:highlight w:val="none"/>
        </w:rPr>
      </w:pPr>
      <w:r>
        <w:rPr>
          <w:rFonts w:hint="eastAsia" w:ascii="宋体" w:hAnsi="宋体"/>
          <w:color w:val="000000"/>
          <w:highlight w:val="none"/>
        </w:rPr>
        <w:t>（</w:t>
      </w:r>
      <w:r>
        <w:rPr>
          <w:rFonts w:hint="eastAsia" w:ascii="宋体" w:hAnsi="宋体"/>
          <w:color w:val="000000"/>
          <w:highlight w:val="none"/>
          <w:lang w:val="en-US" w:eastAsia="zh-CN"/>
        </w:rPr>
        <w:t>6</w:t>
      </w:r>
      <w:r>
        <w:rPr>
          <w:rFonts w:hint="eastAsia" w:ascii="宋体" w:hAnsi="宋体"/>
          <w:color w:val="000000"/>
          <w:highlight w:val="none"/>
        </w:rPr>
        <w:t>）《危险化学品目录》（2015版）；</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rPr>
        <w:t>（</w:t>
      </w:r>
      <w:r>
        <w:rPr>
          <w:rFonts w:hint="eastAsia" w:ascii="宋体" w:hAnsi="宋体"/>
          <w:color w:val="000000"/>
          <w:highlight w:val="none"/>
          <w:lang w:val="en-US" w:eastAsia="zh-CN"/>
        </w:rPr>
        <w:t>7</w:t>
      </w:r>
      <w:r>
        <w:rPr>
          <w:rFonts w:hint="eastAsia" w:ascii="宋体" w:hAnsi="宋体"/>
          <w:color w:val="000000"/>
          <w:highlight w:val="none"/>
        </w:rPr>
        <w:t>）</w:t>
      </w:r>
      <w:r>
        <w:rPr>
          <w:rFonts w:hint="eastAsia" w:ascii="宋体" w:hAnsi="宋体"/>
          <w:color w:val="000000"/>
          <w:highlight w:val="none"/>
          <w:lang w:eastAsia="zh-CN"/>
        </w:rPr>
        <w:t>《</w:t>
      </w:r>
      <w:r>
        <w:rPr>
          <w:rFonts w:hint="eastAsia" w:ascii="宋体" w:hAnsi="宋体"/>
          <w:color w:val="000000"/>
          <w:highlight w:val="none"/>
          <w:lang w:val="en-US" w:eastAsia="zh-CN"/>
        </w:rPr>
        <w:t>建设项目安全设施“三同时”监督管理办法》（2015年修订）；</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（8）《中华人民共和国环境保护法》（国家主席令第9号2014年修订）；</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（9）《中华人民共和国水污染防治法》（国家主席令第70号2017年修改）；</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（10）《城市污水处理工程项目建设标准(修订)》（建标198-2022）；</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（11）《地下式城镇污水处理厂工程技术指南》（T/CAEPI23-2019）；</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（12）《城镇污水处理厂运行监督管理技术规范》（HJ2038-2014）；</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（13）《城镇污水处理厂运行、维护及安全技术规程》（CJJ60-2011）；</w:t>
      </w:r>
    </w:p>
    <w:p>
      <w:pPr>
        <w:overflowPunct w:val="0"/>
        <w:spacing w:line="360" w:lineRule="auto"/>
        <w:ind w:firstLine="420" w:firstLineChars="200"/>
        <w:rPr>
          <w:rFonts w:hint="default" w:ascii="宋体" w:hAnsi="宋体"/>
          <w:color w:val="000000"/>
          <w:highlight w:val="none"/>
          <w:lang w:val="en-US" w:eastAsia="zh-CN"/>
        </w:rPr>
      </w:pPr>
      <w:r>
        <w:rPr>
          <w:rFonts w:hint="eastAsia" w:ascii="宋体" w:hAnsi="宋体"/>
          <w:color w:val="000000"/>
          <w:highlight w:val="none"/>
          <w:lang w:val="en-US" w:eastAsia="zh-CN"/>
        </w:rPr>
        <w:t>（14）《城镇污水处理厂污泥处理技术规程》（CJJ131-2009）；</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（15）《城镇污水处理厂污染物排放标准》（GB18918-2002）</w:t>
      </w:r>
    </w:p>
    <w:p>
      <w:pPr>
        <w:overflowPunct w:val="0"/>
        <w:spacing w:line="360" w:lineRule="auto"/>
        <w:ind w:left="420" w:leftChars="200" w:firstLine="0" w:firstLineChars="0"/>
        <w:rPr>
          <w:rFonts w:ascii="宋体" w:hAnsi="宋体" w:cs="宋体"/>
          <w:color w:val="000000"/>
          <w:highlight w:val="none"/>
        </w:rPr>
      </w:pPr>
      <w:r>
        <w:rPr>
          <w:rFonts w:hint="eastAsia" w:ascii="宋体" w:hAnsi="宋体" w:cs="宋体"/>
          <w:color w:val="000000"/>
          <w:highlight w:val="none"/>
        </w:rPr>
        <w:t>上述规范如有更新的，以最新版本为准。</w:t>
      </w:r>
    </w:p>
    <w:p>
      <w:pPr>
        <w:spacing w:line="360" w:lineRule="auto"/>
        <w:rPr>
          <w:rFonts w:ascii="宋体" w:hAnsi="宋体" w:cs="宋体"/>
          <w:b/>
          <w:color w:val="000000"/>
          <w:sz w:val="28"/>
          <w:szCs w:val="28"/>
          <w:highlight w:val="none"/>
        </w:rPr>
      </w:pPr>
      <w:r>
        <w:rPr>
          <w:rFonts w:hint="eastAsia" w:ascii="宋体" w:hAnsi="宋体" w:cs="宋体"/>
          <w:b/>
          <w:bCs/>
          <w:color w:val="000000"/>
          <w:sz w:val="28"/>
          <w:szCs w:val="28"/>
          <w:highlight w:val="none"/>
        </w:rPr>
        <w:t>第三条</w:t>
      </w:r>
      <w:r>
        <w:rPr>
          <w:rFonts w:hint="eastAsia" w:ascii="宋体" w:hAnsi="宋体" w:cs="宋体"/>
          <w:b/>
          <w:color w:val="000000"/>
          <w:sz w:val="28"/>
          <w:szCs w:val="28"/>
          <w:highlight w:val="none"/>
        </w:rPr>
        <w:t xml:space="preserve">  合同文件的优先次序</w:t>
      </w:r>
    </w:p>
    <w:p>
      <w:pPr>
        <w:spacing w:line="360" w:lineRule="auto"/>
        <w:ind w:firstLine="420" w:firstLineChars="200"/>
        <w:rPr>
          <w:rFonts w:ascii="宋体" w:hAnsi="宋体"/>
          <w:color w:val="000000"/>
          <w:highlight w:val="none"/>
        </w:rPr>
      </w:pPr>
      <w:r>
        <w:rPr>
          <w:rFonts w:hint="eastAsia" w:ascii="宋体" w:hAnsi="宋体"/>
          <w:color w:val="000000"/>
          <w:highlight w:val="none"/>
        </w:rPr>
        <w:t>构成本合同的文件可视为是能互相说明的，如果合同文件存在歧义或不一致，则根据如下优先次序来判断其效力：</w:t>
      </w:r>
    </w:p>
    <w:p>
      <w:pPr>
        <w:spacing w:line="360" w:lineRule="auto"/>
        <w:ind w:firstLine="420" w:firstLineChars="200"/>
        <w:rPr>
          <w:rFonts w:ascii="宋体" w:hAnsi="宋体"/>
          <w:color w:val="000000"/>
          <w:highlight w:val="none"/>
        </w:rPr>
      </w:pPr>
      <w:r>
        <w:rPr>
          <w:rFonts w:hint="eastAsia" w:ascii="宋体" w:hAnsi="宋体"/>
          <w:color w:val="000000"/>
          <w:highlight w:val="none"/>
        </w:rPr>
        <w:t>3.1合同书</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3.2</w:t>
      </w:r>
      <w:r>
        <w:rPr>
          <w:rFonts w:hint="eastAsia" w:ascii="宋体" w:hAnsi="宋体" w:cs="宋体"/>
          <w:color w:val="000000"/>
          <w:highlight w:val="none"/>
          <w:lang w:val="en-US" w:eastAsia="zh-CN"/>
        </w:rPr>
        <w:t>成交</w:t>
      </w:r>
      <w:r>
        <w:rPr>
          <w:rFonts w:hint="eastAsia" w:ascii="宋体" w:hAnsi="宋体" w:cs="宋体"/>
          <w:color w:val="000000"/>
          <w:highlight w:val="none"/>
        </w:rPr>
        <w:t>通知书</w:t>
      </w:r>
    </w:p>
    <w:p>
      <w:pPr>
        <w:spacing w:line="360" w:lineRule="auto"/>
        <w:ind w:firstLine="420" w:firstLineChars="200"/>
        <w:rPr>
          <w:rFonts w:ascii="宋体" w:hAnsi="宋体"/>
          <w:color w:val="000000"/>
          <w:highlight w:val="none"/>
        </w:rPr>
      </w:pPr>
      <w:r>
        <w:rPr>
          <w:rFonts w:hint="eastAsia" w:ascii="宋体" w:hAnsi="宋体"/>
          <w:color w:val="000000"/>
          <w:highlight w:val="none"/>
        </w:rPr>
        <w:t xml:space="preserve">3.3甲方的要求 </w:t>
      </w:r>
    </w:p>
    <w:p>
      <w:pPr>
        <w:spacing w:line="360" w:lineRule="auto"/>
        <w:ind w:firstLine="420" w:firstLineChars="200"/>
        <w:rPr>
          <w:rFonts w:ascii="宋体" w:hAnsi="宋体"/>
          <w:color w:val="000000"/>
          <w:highlight w:val="none"/>
        </w:rPr>
      </w:pPr>
      <w:r>
        <w:rPr>
          <w:rFonts w:hint="eastAsia" w:ascii="宋体" w:hAnsi="宋体"/>
          <w:color w:val="000000"/>
          <w:highlight w:val="none"/>
        </w:rPr>
        <w:t>3.4技术规范</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第四条  工程概况</w:t>
      </w:r>
    </w:p>
    <w:p>
      <w:pPr>
        <w:spacing w:line="360" w:lineRule="auto"/>
        <w:ind w:firstLine="480" w:firstLineChars="200"/>
        <w:rPr>
          <w:rFonts w:ascii="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u w:val="single"/>
          <w:lang w:val="en-US" w:eastAsia="zh-CN"/>
        </w:rPr>
        <w:t>广州市净水有限公司环城北净水厂安全预评价技术服务项目（第二次）</w:t>
      </w:r>
      <w:r>
        <w:rPr>
          <w:rFonts w:hint="eastAsia" w:ascii="宋体" w:hAnsi="宋体" w:cs="宋体"/>
          <w:sz w:val="24"/>
          <w:szCs w:val="24"/>
          <w:highlight w:val="none"/>
        </w:rPr>
        <w:t>，</w:t>
      </w:r>
      <w:r>
        <w:rPr>
          <w:rFonts w:hint="eastAsia" w:ascii="宋体" w:hAnsi="宋体" w:cs="宋体"/>
          <w:color w:val="000000"/>
          <w:sz w:val="24"/>
          <w:szCs w:val="24"/>
          <w:highlight w:val="none"/>
        </w:rPr>
        <w:t>建设规模:</w:t>
      </w:r>
      <w:r>
        <w:rPr>
          <w:rFonts w:hint="eastAsia"/>
          <w:color w:val="000000"/>
          <w:sz w:val="24"/>
          <w:szCs w:val="24"/>
          <w:highlight w:val="none"/>
          <w:u w:val="single"/>
          <w:lang w:val="en-US" w:eastAsia="zh-CN"/>
        </w:rPr>
        <w:t>新建10万吨/日污水处理厂</w:t>
      </w:r>
      <w:r>
        <w:rPr>
          <w:rFonts w:hint="eastAsia" w:ascii="宋体" w:hAnsi="宋体" w:cs="宋体"/>
          <w:color w:val="000000"/>
          <w:sz w:val="24"/>
          <w:szCs w:val="24"/>
          <w:highlight w:val="none"/>
        </w:rPr>
        <w:t>，投资估算</w:t>
      </w:r>
      <w:r>
        <w:rPr>
          <w:rFonts w:hint="eastAsia" w:ascii="宋体" w:hAnsi="宋体" w:cs="宋体"/>
          <w:color w:val="000000"/>
          <w:sz w:val="24"/>
          <w:szCs w:val="24"/>
          <w:highlight w:val="none"/>
          <w:u w:val="none"/>
        </w:rPr>
        <w:t>：</w:t>
      </w:r>
      <w:r>
        <w:rPr>
          <w:rFonts w:hint="eastAsia" w:ascii="宋体" w:hAnsi="宋体" w:cs="宋体"/>
          <w:color w:val="000000"/>
          <w:sz w:val="24"/>
          <w:szCs w:val="24"/>
          <w:highlight w:val="none"/>
          <w:u w:val="single"/>
          <w:lang w:val="en-US" w:eastAsia="zh-CN"/>
        </w:rPr>
        <w:t>137900</w:t>
      </w:r>
      <w:r>
        <w:rPr>
          <w:rFonts w:hint="eastAsia" w:ascii="宋体" w:hAnsi="宋体" w:cs="宋体"/>
          <w:color w:val="000000"/>
          <w:sz w:val="24"/>
          <w:szCs w:val="24"/>
          <w:highlight w:val="none"/>
        </w:rPr>
        <w:t>万元。</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第五条 乙方向甲方交付资料及文件</w:t>
      </w:r>
    </w:p>
    <w:p>
      <w:pPr>
        <w:adjustRightInd/>
        <w:spacing w:line="360" w:lineRule="auto"/>
        <w:ind w:firstLine="420" w:firstLineChars="200"/>
        <w:jc w:val="both"/>
        <w:textAlignment w:val="auto"/>
        <w:rPr>
          <w:rFonts w:hint="eastAsia" w:ascii="宋体" w:hAnsi="宋体" w:cs="宋体"/>
          <w:sz w:val="24"/>
          <w:szCs w:val="24"/>
          <w:highlight w:val="none"/>
        </w:rPr>
      </w:pPr>
      <w:r>
        <w:rPr>
          <w:rFonts w:hint="eastAsia" w:ascii="宋体" w:hAnsi="宋体" w:cs="宋体"/>
          <w:color w:val="000000"/>
          <w:highlight w:val="none"/>
        </w:rPr>
        <w:t>5.1</w:t>
      </w:r>
      <w:r>
        <w:rPr>
          <w:rFonts w:hint="eastAsia" w:ascii="宋体" w:hAnsi="宋体" w:cs="宋体"/>
          <w:sz w:val="24"/>
          <w:szCs w:val="24"/>
          <w:highlight w:val="none"/>
        </w:rPr>
        <w:t>本合同签订后，乙方应在3个工作日内提交编制计划及参编人员名单，报经甲方批准。乙方如需更换编制人员的，需征得甲方书面同意，如有违反，甲方有权解除合同并要求乙方支付10000元/人次作为违约金，以及赔偿由此造成的一切损失。</w:t>
      </w:r>
      <w:r>
        <w:rPr>
          <w:rFonts w:hint="eastAsia" w:ascii="宋体" w:hAnsi="宋体" w:cs="宋体"/>
          <w:sz w:val="24"/>
          <w:szCs w:val="24"/>
          <w:highlight w:val="none"/>
          <w:lang w:val="en-US" w:eastAsia="zh-CN"/>
        </w:rPr>
        <w:t>安全预评价报告</w:t>
      </w:r>
      <w:r>
        <w:rPr>
          <w:rFonts w:hint="eastAsia" w:ascii="宋体" w:hAnsi="宋体" w:cs="宋体"/>
          <w:sz w:val="24"/>
          <w:szCs w:val="24"/>
          <w:highlight w:val="none"/>
        </w:rPr>
        <w:t>应按编制计划所列时间提交。</w:t>
      </w:r>
    </w:p>
    <w:p>
      <w:pPr>
        <w:spacing w:line="360" w:lineRule="auto"/>
        <w:ind w:firstLine="480" w:firstLineChars="200"/>
        <w:jc w:val="left"/>
        <w:textAlignment w:val="baseline"/>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ascii="宋体" w:hAnsi="宋体" w:cs="宋体"/>
          <w:sz w:val="24"/>
          <w:szCs w:val="24"/>
          <w:highlight w:val="none"/>
        </w:rPr>
        <w:t>.2</w:t>
      </w:r>
      <w:r>
        <w:rPr>
          <w:rFonts w:hint="eastAsia" w:ascii="宋体" w:hAnsi="宋体" w:cs="宋体"/>
          <w:sz w:val="24"/>
          <w:szCs w:val="24"/>
          <w:highlight w:val="none"/>
          <w:lang w:val="en-US" w:eastAsia="zh-CN"/>
        </w:rPr>
        <w:t>安全预评价报告</w:t>
      </w:r>
      <w:r>
        <w:rPr>
          <w:rFonts w:hint="eastAsia" w:ascii="宋体" w:hAnsi="宋体" w:cs="宋体"/>
          <w:sz w:val="24"/>
          <w:szCs w:val="24"/>
          <w:highlight w:val="none"/>
        </w:rPr>
        <w:t>初稿经专家评审确认后</w:t>
      </w:r>
      <w:r>
        <w:rPr>
          <w:rFonts w:ascii="宋体" w:hAnsi="宋体" w:cs="宋体"/>
          <w:sz w:val="24"/>
          <w:szCs w:val="24"/>
          <w:highlight w:val="none"/>
          <w:u w:val="single"/>
        </w:rPr>
        <w:t>5</w:t>
      </w:r>
      <w:r>
        <w:rPr>
          <w:rFonts w:hint="eastAsia" w:ascii="宋体" w:hAnsi="宋体" w:cs="宋体"/>
          <w:sz w:val="24"/>
          <w:szCs w:val="24"/>
          <w:highlight w:val="none"/>
          <w:u w:val="single"/>
        </w:rPr>
        <w:t>个</w:t>
      </w:r>
      <w:r>
        <w:rPr>
          <w:rFonts w:hint="eastAsia" w:ascii="宋体" w:hAnsi="宋体" w:cs="宋体"/>
          <w:sz w:val="24"/>
          <w:szCs w:val="24"/>
          <w:highlight w:val="none"/>
        </w:rPr>
        <w:t>工作日内，乙方向甲方交付正式的成果报告书，</w:t>
      </w:r>
      <w:r>
        <w:rPr>
          <w:rFonts w:hint="eastAsia" w:ascii="宋体" w:hAnsi="宋体" w:cs="宋体"/>
          <w:sz w:val="24"/>
          <w:szCs w:val="24"/>
          <w:highlight w:val="none"/>
          <w:lang w:val="en-US" w:eastAsia="zh-CN"/>
        </w:rPr>
        <w:t>安全</w:t>
      </w:r>
      <w:r>
        <w:rPr>
          <w:rFonts w:hint="eastAsia" w:ascii="宋体" w:hAnsi="宋体" w:cs="宋体"/>
          <w:sz w:val="24"/>
          <w:szCs w:val="24"/>
          <w:highlight w:val="none"/>
        </w:rPr>
        <w:t>预评价成果报告一式八份，电子光盘</w:t>
      </w:r>
      <w:r>
        <w:rPr>
          <w:rFonts w:ascii="宋体" w:hAnsi="宋体" w:cs="宋体"/>
          <w:sz w:val="24"/>
          <w:szCs w:val="24"/>
          <w:highlight w:val="none"/>
        </w:rPr>
        <w:t>1</w:t>
      </w:r>
      <w:r>
        <w:rPr>
          <w:rFonts w:hint="eastAsia" w:ascii="宋体" w:hAnsi="宋体" w:cs="宋体"/>
          <w:sz w:val="24"/>
          <w:szCs w:val="24"/>
          <w:highlight w:val="none"/>
        </w:rPr>
        <w:t>份（未加密且可编辑格式）。</w:t>
      </w:r>
    </w:p>
    <w:p>
      <w:pPr>
        <w:spacing w:line="360" w:lineRule="auto"/>
        <w:ind w:firstLine="480" w:firstLineChars="200"/>
        <w:jc w:val="left"/>
        <w:textAlignment w:val="baseline"/>
        <w:rPr>
          <w:rFonts w:ascii="宋体"/>
          <w:b/>
          <w:bCs/>
          <w:sz w:val="28"/>
          <w:szCs w:val="28"/>
          <w:highlight w:val="none"/>
        </w:rPr>
      </w:pPr>
      <w:r>
        <w:rPr>
          <w:rFonts w:hint="eastAsia" w:ascii="宋体" w:hAnsi="宋体" w:cs="宋体"/>
          <w:sz w:val="24"/>
          <w:szCs w:val="24"/>
          <w:highlight w:val="none"/>
          <w:lang w:val="en-US" w:eastAsia="zh-CN"/>
        </w:rPr>
        <w:t>5</w:t>
      </w:r>
      <w:r>
        <w:rPr>
          <w:rFonts w:ascii="宋体" w:hAnsi="宋体" w:cs="宋体"/>
          <w:sz w:val="24"/>
          <w:szCs w:val="24"/>
          <w:highlight w:val="none"/>
        </w:rPr>
        <w:t>.3</w:t>
      </w:r>
      <w:r>
        <w:rPr>
          <w:rFonts w:hint="eastAsia" w:ascii="宋体" w:hAnsi="宋体" w:cs="宋体"/>
          <w:sz w:val="24"/>
          <w:szCs w:val="24"/>
          <w:highlight w:val="none"/>
        </w:rPr>
        <w:t>乙方应配合甲方开展结算工作并提交结算的相关资料</w:t>
      </w:r>
      <w:r>
        <w:rPr>
          <w:rFonts w:ascii="宋体" w:cs="宋体"/>
          <w:sz w:val="24"/>
          <w:szCs w:val="24"/>
          <w:highlight w:val="none"/>
        </w:rPr>
        <w:t>,</w:t>
      </w:r>
      <w:r>
        <w:rPr>
          <w:rFonts w:hint="eastAsia" w:ascii="宋体" w:hAnsi="宋体" w:cs="宋体"/>
          <w:sz w:val="24"/>
          <w:szCs w:val="24"/>
          <w:highlight w:val="none"/>
        </w:rPr>
        <w:t>若乙方逾期超过</w:t>
      </w:r>
      <w:r>
        <w:rPr>
          <w:rFonts w:ascii="宋体" w:hAnsi="宋体" w:cs="宋体"/>
          <w:sz w:val="24"/>
          <w:szCs w:val="24"/>
          <w:highlight w:val="none"/>
        </w:rPr>
        <w:t>30</w:t>
      </w:r>
      <w:r>
        <w:rPr>
          <w:rFonts w:hint="eastAsia" w:ascii="宋体" w:hAnsi="宋体" w:cs="宋体"/>
          <w:sz w:val="24"/>
          <w:szCs w:val="24"/>
          <w:highlight w:val="none"/>
        </w:rPr>
        <w:t>天未提交完整的结算资料和结算报告等，甲方有权单方自行结算，由此产生的一切责任由乙方承担。</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第六条 费用 </w:t>
      </w:r>
    </w:p>
    <w:p>
      <w:pPr>
        <w:adjustRightInd/>
        <w:spacing w:line="360" w:lineRule="auto"/>
        <w:ind w:firstLine="420" w:firstLineChars="200"/>
        <w:jc w:val="both"/>
        <w:textAlignment w:val="auto"/>
        <w:rPr>
          <w:rFonts w:hint="eastAsia" w:ascii="宋体" w:hAnsi="宋体" w:cs="宋体"/>
          <w:sz w:val="24"/>
          <w:szCs w:val="24"/>
          <w:highlight w:val="none"/>
        </w:rPr>
      </w:pPr>
      <w:r>
        <w:rPr>
          <w:rFonts w:hint="eastAsia" w:ascii="宋体" w:hAnsi="宋体" w:cs="宋体"/>
          <w:color w:val="000000"/>
          <w:highlight w:val="none"/>
        </w:rPr>
        <w:t>6.1</w:t>
      </w:r>
      <w:r>
        <w:rPr>
          <w:rFonts w:hint="eastAsia" w:ascii="宋体" w:hAnsi="宋体" w:cs="宋体"/>
          <w:sz w:val="24"/>
          <w:szCs w:val="24"/>
          <w:highlight w:val="none"/>
        </w:rPr>
        <w:t>本合同</w:t>
      </w:r>
      <w:r>
        <w:rPr>
          <w:rFonts w:hint="eastAsia" w:ascii="宋体" w:hAnsi="宋体" w:cs="宋体"/>
          <w:b w:val="0"/>
          <w:bCs w:val="0"/>
          <w:sz w:val="24"/>
          <w:szCs w:val="24"/>
          <w:highlight w:val="none"/>
        </w:rPr>
        <w:t>总价包干</w:t>
      </w:r>
      <w:r>
        <w:rPr>
          <w:rFonts w:hint="eastAsia" w:ascii="宋体" w:hAnsi="宋体" w:cs="宋体"/>
          <w:b w:val="0"/>
          <w:bCs w:val="0"/>
          <w:sz w:val="24"/>
          <w:szCs w:val="24"/>
          <w:highlight w:val="none"/>
          <w:lang w:eastAsia="zh-CN"/>
        </w:rPr>
        <w:t>，暂定</w:t>
      </w:r>
      <w:r>
        <w:rPr>
          <w:rFonts w:hint="eastAsia" w:ascii="宋体" w:hAnsi="宋体" w:cs="宋体"/>
          <w:sz w:val="24"/>
          <w:szCs w:val="24"/>
          <w:highlight w:val="none"/>
        </w:rPr>
        <w:t>为人民币</w:t>
      </w:r>
      <w:r>
        <w:rPr>
          <w:rFonts w:hint="eastAsia" w:ascii="宋体" w:hAnsi="宋体" w:cs="宋体"/>
          <w:b/>
          <w:bCs/>
          <w:sz w:val="24"/>
          <w:szCs w:val="24"/>
          <w:highlight w:val="none"/>
          <w:u w:val="single"/>
          <w:lang w:val="en-US" w:eastAsia="zh-CN"/>
        </w:rPr>
        <w:t xml:space="preserve">    </w:t>
      </w:r>
      <w:r>
        <w:rPr>
          <w:rFonts w:hint="eastAsia" w:ascii="宋体" w:hAnsi="宋体" w:cs="宋体"/>
          <w:sz w:val="24"/>
          <w:szCs w:val="24"/>
          <w:highlight w:val="none"/>
        </w:rPr>
        <w:t>万元</w:t>
      </w:r>
      <w:r>
        <w:rPr>
          <w:rFonts w:hint="eastAsia" w:ascii="宋体" w:hAnsi="宋体" w:cs="宋体"/>
          <w:sz w:val="24"/>
          <w:szCs w:val="24"/>
          <w:highlight w:val="none"/>
          <w:lang w:eastAsia="zh-CN"/>
        </w:rPr>
        <w:t>（大写：</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元整，含税率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甲、乙双方同意，对属于《广州市财政投资评审</w:t>
      </w:r>
      <w:r>
        <w:rPr>
          <w:rFonts w:hint="eastAsia" w:ascii="宋体" w:hAnsi="宋体" w:cs="宋体"/>
          <w:sz w:val="24"/>
          <w:szCs w:val="24"/>
          <w:highlight w:val="none"/>
          <w:lang w:val="en-US" w:eastAsia="zh-CN"/>
        </w:rPr>
        <w:t>监督</w:t>
      </w:r>
      <w:r>
        <w:rPr>
          <w:rFonts w:hint="eastAsia" w:ascii="宋体" w:hAnsi="宋体" w:cs="宋体"/>
          <w:sz w:val="24"/>
          <w:szCs w:val="24"/>
          <w:highlight w:val="none"/>
        </w:rPr>
        <w:t>管理办法》评审范围的财政性资金投资项目，财政投资评审结果作为该项目价款结算的依据。</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w:t>
      </w:r>
      <w:r>
        <w:rPr>
          <w:rFonts w:hint="eastAsia" w:ascii="宋体" w:hAnsi="宋体" w:cs="宋体"/>
          <w:sz w:val="24"/>
          <w:szCs w:val="24"/>
          <w:highlight w:val="none"/>
        </w:rPr>
        <w:t>率相应调整，以开具发票时间为准。</w:t>
      </w:r>
    </w:p>
    <w:p>
      <w:pPr>
        <w:adjustRightInd w:val="0"/>
        <w:spacing w:line="360" w:lineRule="auto"/>
        <w:ind w:firstLine="480" w:firstLineChars="200"/>
        <w:jc w:val="left"/>
        <w:textAlignment w:val="baseline"/>
        <w:rPr>
          <w:rFonts w:hint="eastAsia" w:ascii="宋体" w:hAnsi="宋体" w:cs="宋体"/>
          <w:sz w:val="24"/>
          <w:highlight w:val="none"/>
          <w:lang w:eastAsia="zh-CN"/>
        </w:rPr>
      </w:pPr>
      <w:r>
        <w:rPr>
          <w:rFonts w:hint="eastAsia" w:ascii="宋体" w:hAnsi="宋体" w:cs="宋体"/>
          <w:sz w:val="24"/>
          <w:highlight w:val="none"/>
          <w:lang w:val="en-US" w:eastAsia="zh-CN"/>
        </w:rPr>
        <w:t>6</w:t>
      </w:r>
      <w:r>
        <w:rPr>
          <w:rFonts w:hint="eastAsia" w:ascii="宋体" w:hAnsi="宋体" w:cs="宋体"/>
          <w:sz w:val="24"/>
          <w:highlight w:val="none"/>
        </w:rPr>
        <w:t>.2本合同采用总价包干，工作内容包括完成本合同项下的所有工作，包含但不限于成果编制和报审、修改完善</w:t>
      </w:r>
      <w:r>
        <w:rPr>
          <w:rFonts w:hint="eastAsia" w:ascii="宋体" w:hAnsi="宋体" w:cs="宋体"/>
          <w:sz w:val="24"/>
          <w:highlight w:val="none"/>
          <w:lang w:eastAsia="zh-CN"/>
        </w:rPr>
        <w:t>、</w:t>
      </w:r>
      <w:r>
        <w:rPr>
          <w:rFonts w:hint="eastAsia" w:ascii="宋体" w:hAnsi="宋体" w:cs="宋体"/>
          <w:sz w:val="24"/>
          <w:szCs w:val="24"/>
          <w:highlight w:val="none"/>
          <w:lang w:val="en-US" w:eastAsia="zh-CN"/>
        </w:rPr>
        <w:t>专家评审费用</w:t>
      </w:r>
      <w:r>
        <w:rPr>
          <w:rFonts w:hint="eastAsia" w:ascii="宋体" w:hAnsi="宋体" w:cs="宋体"/>
          <w:sz w:val="24"/>
          <w:highlight w:val="none"/>
          <w:lang w:eastAsia="zh-CN"/>
        </w:rPr>
        <w:t>等。</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第七条 支付方式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支付办法：</w:t>
      </w:r>
      <w:r>
        <w:rPr>
          <w:rFonts w:hint="eastAsia" w:ascii="宋体" w:hAnsi="宋体"/>
          <w:color w:val="000000"/>
          <w:sz w:val="24"/>
          <w:highlight w:val="none"/>
        </w:rPr>
        <w:t>本合同生效后，甲方按照</w:t>
      </w:r>
      <w:r>
        <w:rPr>
          <w:rFonts w:hint="eastAsia" w:ascii="宋体" w:hAnsi="宋体" w:cs="宋体"/>
          <w:sz w:val="24"/>
          <w:highlight w:val="none"/>
          <w:u w:val="single"/>
        </w:rPr>
        <w:t>《广州市净水有限公司资金集中支付管理办法》</w:t>
      </w:r>
      <w:r>
        <w:rPr>
          <w:rFonts w:hint="eastAsia" w:ascii="宋体" w:hAnsi="宋体"/>
          <w:color w:val="000000"/>
          <w:sz w:val="24"/>
          <w:highlight w:val="none"/>
        </w:rPr>
        <w:t>，向乙方支付项目费用</w:t>
      </w:r>
      <w:r>
        <w:rPr>
          <w:rFonts w:hint="eastAsia" w:ascii="宋体" w:hAnsi="宋体" w:cs="宋体"/>
          <w:sz w:val="24"/>
          <w:szCs w:val="24"/>
          <w:highlight w:val="none"/>
        </w:rPr>
        <w:t>。</w:t>
      </w:r>
    </w:p>
    <w:p>
      <w:pPr>
        <w:pStyle w:val="46"/>
        <w:ind w:firstLine="480" w:firstLineChars="200"/>
        <w:rPr>
          <w:rFonts w:hAnsi="宋体" w:eastAsia="宋体"/>
          <w:color w:val="auto"/>
          <w:highlight w:val="none"/>
        </w:rPr>
      </w:pPr>
      <w:r>
        <w:rPr>
          <w:rFonts w:hint="eastAsia" w:hAnsi="宋体"/>
          <w:color w:val="auto"/>
          <w:highlight w:val="none"/>
          <w:lang w:val="en-US" w:eastAsia="zh-CN"/>
        </w:rPr>
        <w:t>6</w:t>
      </w:r>
      <w:r>
        <w:rPr>
          <w:rFonts w:hint="eastAsia" w:hAnsi="宋体"/>
          <w:color w:val="auto"/>
          <w:highlight w:val="none"/>
        </w:rPr>
        <w:t xml:space="preserve">.1.2 </w:t>
      </w:r>
      <w:r>
        <w:rPr>
          <w:rFonts w:hint="eastAsia" w:hAnsi="宋体" w:eastAsia="宋体"/>
          <w:color w:val="auto"/>
          <w:highlight w:val="none"/>
        </w:rPr>
        <w:t>乙方收款账号资料</w:t>
      </w:r>
    </w:p>
    <w:p>
      <w:pPr>
        <w:spacing w:line="384" w:lineRule="auto"/>
        <w:ind w:firstLine="720" w:firstLineChars="300"/>
        <w:rPr>
          <w:rFonts w:ascii="宋体" w:hAnsi="宋体" w:cs="宋体"/>
          <w:sz w:val="24"/>
          <w:highlight w:val="none"/>
        </w:rPr>
      </w:pP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84" w:lineRule="auto"/>
        <w:ind w:firstLine="720" w:firstLineChars="300"/>
        <w:rPr>
          <w:rFonts w:ascii="宋体" w:hAnsi="宋体" w:cs="宋体"/>
          <w:sz w:val="24"/>
          <w:highlight w:val="none"/>
        </w:rPr>
      </w:pPr>
      <w:r>
        <w:rPr>
          <w:rFonts w:hint="eastAsia" w:ascii="宋体" w:hAnsi="宋体" w:cs="宋体"/>
          <w:sz w:val="24"/>
          <w:highlight w:val="none"/>
        </w:rPr>
        <w:t>乙方在收款前需提交等额增值税专用发票给甲方。增值税专用发票信息：</w:t>
      </w:r>
    </w:p>
    <w:p>
      <w:pPr>
        <w:spacing w:line="384" w:lineRule="auto"/>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384" w:lineRule="auto"/>
        <w:ind w:firstLine="960" w:firstLineChars="400"/>
        <w:rPr>
          <w:rFonts w:ascii="宋体" w:hAnsi="宋体" w:cs="宋体"/>
          <w:sz w:val="24"/>
          <w:highlight w:val="none"/>
        </w:rPr>
      </w:pPr>
      <w:r>
        <w:rPr>
          <w:rFonts w:hint="eastAsia" w:ascii="宋体" w:hAnsi="宋体" w:cs="宋体"/>
          <w:sz w:val="24"/>
          <w:highlight w:val="none"/>
        </w:rPr>
        <w:t>税号：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pStyle w:val="46"/>
        <w:ind w:firstLine="960" w:firstLineChars="400"/>
        <w:rPr>
          <w:rFonts w:hAnsi="宋体" w:eastAsia="宋体"/>
          <w:color w:val="auto"/>
          <w:highlight w:val="none"/>
        </w:rPr>
      </w:pPr>
      <w:r>
        <w:rPr>
          <w:rFonts w:hint="eastAsia" w:hAnsi="宋体" w:eastAsia="宋体"/>
          <w:color w:val="auto"/>
          <w:highlight w:val="none"/>
        </w:rPr>
        <w:t>地址：</w:t>
      </w:r>
      <w:r>
        <w:rPr>
          <w:rFonts w:hint="eastAsia" w:hAnsi="宋体" w:eastAsia="宋体"/>
          <w:color w:val="auto"/>
          <w:highlight w:val="none"/>
          <w:u w:val="single"/>
          <w:lang w:val="en-US" w:eastAsia="zh-CN"/>
        </w:rPr>
        <w:t xml:space="preserve">                        </w:t>
      </w:r>
      <w:r>
        <w:rPr>
          <w:rFonts w:hint="eastAsia" w:hAnsi="宋体" w:eastAsia="宋体"/>
          <w:color w:val="auto"/>
          <w:highlight w:val="none"/>
        </w:rPr>
        <w:t>：</w:t>
      </w:r>
    </w:p>
    <w:p>
      <w:pPr>
        <w:spacing w:line="360" w:lineRule="auto"/>
        <w:ind w:firstLine="480" w:firstLineChars="200"/>
        <w:rPr>
          <w:rFonts w:ascii="宋体"/>
          <w:sz w:val="24"/>
          <w:szCs w:val="24"/>
          <w:highlight w:val="none"/>
        </w:rPr>
      </w:pPr>
      <w:r>
        <w:rPr>
          <w:rFonts w:ascii="宋体" w:hAnsi="宋体" w:cs="宋体"/>
          <w:sz w:val="24"/>
          <w:szCs w:val="24"/>
          <w:highlight w:val="none"/>
        </w:rPr>
        <w:t>6.2</w:t>
      </w:r>
      <w:r>
        <w:rPr>
          <w:rFonts w:hint="eastAsia" w:ascii="宋体" w:hAnsi="宋体" w:cs="宋体"/>
          <w:sz w:val="24"/>
          <w:szCs w:val="24"/>
          <w:highlight w:val="none"/>
          <w:lang w:val="en-US" w:eastAsia="zh-CN"/>
        </w:rPr>
        <w:t>.1</w:t>
      </w:r>
      <w:r>
        <w:rPr>
          <w:rFonts w:ascii="宋体" w:hAnsi="宋体" w:cs="宋体"/>
          <w:sz w:val="24"/>
          <w:szCs w:val="24"/>
          <w:highlight w:val="none"/>
        </w:rPr>
        <w:t xml:space="preserve"> </w:t>
      </w:r>
      <w:r>
        <w:rPr>
          <w:rFonts w:hint="eastAsia" w:ascii="宋体" w:hAnsi="宋体" w:cs="宋体"/>
          <w:sz w:val="24"/>
          <w:szCs w:val="24"/>
          <w:highlight w:val="none"/>
          <w:lang w:val="en-US" w:eastAsia="zh-CN"/>
        </w:rPr>
        <w:t>乙方提交安全预评价报告初稿，经甲方确认后，</w:t>
      </w:r>
      <w:r>
        <w:rPr>
          <w:rFonts w:hint="eastAsia" w:ascii="宋体" w:hAnsi="宋体" w:cs="宋体"/>
          <w:sz w:val="24"/>
          <w:szCs w:val="24"/>
          <w:highlight w:val="none"/>
        </w:rPr>
        <w:t>乙方向甲方提出支付申请，甲方向乙方支付合同</w:t>
      </w:r>
      <w:r>
        <w:rPr>
          <w:rFonts w:hint="eastAsia" w:ascii="宋体" w:hAnsi="宋体" w:cs="宋体"/>
          <w:sz w:val="24"/>
          <w:szCs w:val="24"/>
          <w:highlight w:val="none"/>
          <w:lang w:val="en-US" w:eastAsia="zh-CN"/>
        </w:rPr>
        <w:t>暂定</w:t>
      </w:r>
      <w:r>
        <w:rPr>
          <w:rFonts w:hint="eastAsia" w:ascii="宋体" w:hAnsi="宋体" w:cs="宋体"/>
          <w:sz w:val="24"/>
          <w:szCs w:val="24"/>
          <w:highlight w:val="none"/>
        </w:rPr>
        <w:t>价的</w:t>
      </w:r>
      <w:r>
        <w:rPr>
          <w:rFonts w:hint="eastAsia" w:ascii="宋体" w:hAnsi="宋体" w:cs="宋体"/>
          <w:b/>
          <w:bCs/>
          <w:sz w:val="24"/>
          <w:szCs w:val="24"/>
          <w:highlight w:val="none"/>
          <w:lang w:val="en-US" w:eastAsia="zh-CN"/>
        </w:rPr>
        <w:t>3</w:t>
      </w:r>
      <w:r>
        <w:rPr>
          <w:rFonts w:ascii="宋体" w:hAnsi="宋体" w:cs="宋体"/>
          <w:b/>
          <w:bCs/>
          <w:sz w:val="24"/>
          <w:szCs w:val="24"/>
          <w:highlight w:val="none"/>
        </w:rPr>
        <w:t>0</w:t>
      </w:r>
      <w:r>
        <w:rPr>
          <w:rFonts w:hint="eastAsia" w:ascii="宋体" w:hAnsi="宋体" w:cs="宋体"/>
          <w:b/>
          <w:bCs/>
          <w:sz w:val="24"/>
          <w:szCs w:val="24"/>
          <w:highlight w:val="none"/>
        </w:rPr>
        <w:t>％</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lang w:val="en-US" w:eastAsia="zh-CN"/>
        </w:rPr>
        <w:t>2.2</w:t>
      </w:r>
      <w:r>
        <w:rPr>
          <w:rFonts w:hint="eastAsia" w:ascii="宋体" w:hAnsi="宋体" w:cs="宋体"/>
          <w:sz w:val="24"/>
          <w:szCs w:val="24"/>
          <w:highlight w:val="none"/>
        </w:rPr>
        <w:t>乙方</w:t>
      </w:r>
      <w:r>
        <w:rPr>
          <w:rFonts w:hint="eastAsia" w:ascii="宋体" w:hAnsi="宋体" w:cs="宋体"/>
          <w:sz w:val="24"/>
          <w:szCs w:val="24"/>
          <w:highlight w:val="none"/>
          <w:lang w:val="en-US" w:eastAsia="zh-CN"/>
        </w:rPr>
        <w:t>向甲方提交安全</w:t>
      </w:r>
      <w:r>
        <w:rPr>
          <w:rFonts w:hint="eastAsia" w:ascii="宋体" w:hAnsi="宋体" w:cs="宋体"/>
          <w:sz w:val="24"/>
          <w:szCs w:val="24"/>
          <w:highlight w:val="none"/>
          <w:lang w:eastAsia="zh-CN"/>
        </w:rPr>
        <w:t>预</w:t>
      </w:r>
      <w:r>
        <w:rPr>
          <w:rFonts w:hint="eastAsia" w:ascii="宋体" w:hAnsi="宋体" w:cs="宋体"/>
          <w:sz w:val="24"/>
          <w:szCs w:val="24"/>
          <w:highlight w:val="none"/>
        </w:rPr>
        <w:t>评价报告，</w:t>
      </w:r>
      <w:r>
        <w:rPr>
          <w:rFonts w:hint="eastAsia" w:ascii="宋体" w:hAnsi="宋体" w:cs="宋体"/>
          <w:sz w:val="24"/>
          <w:szCs w:val="24"/>
          <w:highlight w:val="none"/>
          <w:lang w:eastAsia="zh-CN"/>
        </w:rPr>
        <w:t>通过专家评审并修改完善</w:t>
      </w:r>
      <w:r>
        <w:rPr>
          <w:rFonts w:hint="eastAsia" w:ascii="宋体" w:hAnsi="宋体" w:cs="宋体"/>
          <w:sz w:val="24"/>
          <w:szCs w:val="24"/>
          <w:highlight w:val="none"/>
          <w:lang w:val="en-US" w:eastAsia="zh-CN"/>
        </w:rPr>
        <w:t>提供最终成果报告书</w:t>
      </w:r>
      <w:r>
        <w:rPr>
          <w:rFonts w:hint="eastAsia" w:ascii="宋体" w:hAnsi="宋体" w:cs="宋体"/>
          <w:sz w:val="24"/>
          <w:szCs w:val="24"/>
          <w:highlight w:val="none"/>
          <w:lang w:eastAsia="zh-CN"/>
        </w:rPr>
        <w:t>后</w:t>
      </w:r>
      <w:r>
        <w:rPr>
          <w:rFonts w:hint="eastAsia" w:ascii="宋体" w:hAnsi="宋体" w:cs="宋体"/>
          <w:sz w:val="24"/>
          <w:szCs w:val="24"/>
          <w:highlight w:val="none"/>
        </w:rPr>
        <w:t>，乙方应于当月</w:t>
      </w:r>
      <w:r>
        <w:rPr>
          <w:rFonts w:ascii="宋体" w:hAnsi="宋体" w:cs="宋体"/>
          <w:sz w:val="24"/>
          <w:szCs w:val="24"/>
          <w:highlight w:val="none"/>
        </w:rPr>
        <w:t>20</w:t>
      </w:r>
      <w:r>
        <w:rPr>
          <w:rFonts w:hint="eastAsia" w:ascii="宋体" w:hAnsi="宋体" w:cs="宋体"/>
          <w:sz w:val="24"/>
          <w:szCs w:val="24"/>
          <w:highlight w:val="none"/>
        </w:rPr>
        <w:t>日前将工程支付申请书一式</w:t>
      </w:r>
      <w:r>
        <w:rPr>
          <w:rFonts w:hint="eastAsia" w:ascii="宋体" w:hAnsi="宋体" w:cs="宋体"/>
          <w:sz w:val="24"/>
          <w:szCs w:val="24"/>
          <w:highlight w:val="none"/>
          <w:lang w:eastAsia="zh-CN"/>
        </w:rPr>
        <w:t>两</w:t>
      </w:r>
      <w:r>
        <w:rPr>
          <w:rFonts w:hint="eastAsia" w:ascii="宋体" w:hAnsi="宋体" w:cs="宋体"/>
          <w:sz w:val="24"/>
          <w:szCs w:val="24"/>
          <w:highlight w:val="none"/>
        </w:rPr>
        <w:t>份报送给甲方，</w:t>
      </w:r>
      <w:r>
        <w:rPr>
          <w:rFonts w:hint="eastAsia" w:ascii="宋体" w:cs="宋体"/>
          <w:sz w:val="24"/>
          <w:szCs w:val="24"/>
          <w:highlight w:val="none"/>
        </w:rPr>
        <w:t>甲方向乙方支付至</w:t>
      </w:r>
      <w:r>
        <w:rPr>
          <w:rFonts w:hint="eastAsia" w:ascii="宋体" w:cs="宋体"/>
          <w:sz w:val="24"/>
          <w:szCs w:val="24"/>
          <w:highlight w:val="none"/>
          <w:lang w:val="en-US" w:eastAsia="zh-CN"/>
        </w:rPr>
        <w:t>合同暂定价</w:t>
      </w:r>
      <w:r>
        <w:rPr>
          <w:rFonts w:hint="eastAsia" w:ascii="宋体" w:cs="宋体"/>
          <w:sz w:val="24"/>
          <w:szCs w:val="24"/>
          <w:highlight w:val="none"/>
        </w:rPr>
        <w:t>的</w:t>
      </w:r>
      <w:r>
        <w:rPr>
          <w:rFonts w:ascii="宋体" w:cs="宋体"/>
          <w:sz w:val="24"/>
          <w:szCs w:val="24"/>
          <w:highlight w:val="none"/>
        </w:rPr>
        <w:t>80%</w:t>
      </w:r>
      <w:r>
        <w:rPr>
          <w:rFonts w:hint="eastAsia" w:ascii="宋体" w:hAnsi="宋体" w:cs="宋体"/>
          <w:sz w:val="24"/>
          <w:szCs w:val="24"/>
          <w:highlight w:val="none"/>
        </w:rPr>
        <w:t>。</w:t>
      </w:r>
    </w:p>
    <w:p>
      <w:pPr>
        <w:spacing w:line="360" w:lineRule="auto"/>
        <w:ind w:firstLine="480" w:firstLineChars="200"/>
        <w:rPr>
          <w:rFonts w:ascii="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lang w:val="en-US" w:eastAsia="zh-CN"/>
        </w:rPr>
        <w:t>2.3</w:t>
      </w:r>
      <w:r>
        <w:rPr>
          <w:rFonts w:hint="eastAsia" w:ascii="宋体" w:hAnsi="宋体" w:cs="宋体"/>
          <w:sz w:val="24"/>
          <w:szCs w:val="24"/>
          <w:highlight w:val="none"/>
        </w:rPr>
        <w:t>待相关部门结算</w:t>
      </w:r>
      <w:r>
        <w:rPr>
          <w:rFonts w:hint="eastAsia" w:ascii="宋体" w:hAnsi="宋体" w:cs="宋体"/>
          <w:sz w:val="24"/>
          <w:szCs w:val="24"/>
          <w:highlight w:val="none"/>
          <w:lang w:val="en-US" w:eastAsia="zh-CN"/>
        </w:rPr>
        <w:t>审核</w:t>
      </w:r>
      <w:r>
        <w:rPr>
          <w:rFonts w:hint="eastAsia" w:ascii="宋体" w:hAnsi="宋体" w:cs="宋体"/>
          <w:sz w:val="24"/>
          <w:szCs w:val="24"/>
          <w:highlight w:val="none"/>
        </w:rPr>
        <w:t>后，甲方支付至合同结算</w:t>
      </w:r>
      <w:r>
        <w:rPr>
          <w:rFonts w:hint="eastAsia" w:ascii="宋体" w:hAnsi="宋体" w:cs="宋体"/>
          <w:sz w:val="24"/>
          <w:szCs w:val="24"/>
          <w:highlight w:val="none"/>
          <w:lang w:val="en-US" w:eastAsia="zh-CN"/>
        </w:rPr>
        <w:t>审定</w:t>
      </w:r>
      <w:r>
        <w:rPr>
          <w:rFonts w:hint="eastAsia" w:ascii="宋体" w:hAnsi="宋体" w:cs="宋体"/>
          <w:sz w:val="24"/>
          <w:szCs w:val="24"/>
          <w:highlight w:val="none"/>
        </w:rPr>
        <w:t>价的</w:t>
      </w:r>
      <w:r>
        <w:rPr>
          <w:rFonts w:ascii="宋体" w:hAnsi="宋体" w:cs="宋体"/>
          <w:sz w:val="24"/>
          <w:szCs w:val="24"/>
          <w:highlight w:val="none"/>
        </w:rPr>
        <w:t>100%</w:t>
      </w:r>
      <w:r>
        <w:rPr>
          <w:rFonts w:hint="eastAsia" w:ascii="宋体" w:hAnsi="宋体" w:cs="宋体"/>
          <w:sz w:val="24"/>
          <w:szCs w:val="24"/>
          <w:highlight w:val="none"/>
        </w:rPr>
        <w:t>。</w:t>
      </w:r>
    </w:p>
    <w:p>
      <w:pPr>
        <w:spacing w:line="360" w:lineRule="auto"/>
        <w:ind w:firstLine="480" w:firstLineChars="200"/>
        <w:rPr>
          <w:rFonts w:ascii="宋体"/>
          <w:sz w:val="24"/>
          <w:szCs w:val="24"/>
          <w:highlight w:val="none"/>
        </w:rPr>
      </w:pPr>
      <w:r>
        <w:rPr>
          <w:rFonts w:ascii="宋体" w:hAnsi="宋体" w:cs="宋体"/>
          <w:sz w:val="24"/>
          <w:szCs w:val="24"/>
          <w:highlight w:val="none"/>
        </w:rPr>
        <w:t>6.4</w:t>
      </w:r>
      <w:r>
        <w:rPr>
          <w:rFonts w:hint="eastAsia" w:ascii="宋体" w:hAnsi="宋体" w:cs="宋体"/>
          <w:sz w:val="24"/>
          <w:szCs w:val="24"/>
          <w:highlight w:val="none"/>
        </w:rPr>
        <w:t>在合同履行期间，甲方要求终止或解除合同，由双方协商支付费用，最高支付至合同</w:t>
      </w:r>
      <w:r>
        <w:rPr>
          <w:rFonts w:hint="eastAsia" w:ascii="宋体" w:hAnsi="宋体" w:cs="宋体"/>
          <w:sz w:val="24"/>
          <w:szCs w:val="24"/>
          <w:highlight w:val="none"/>
          <w:lang w:val="en-US" w:eastAsia="zh-CN"/>
        </w:rPr>
        <w:t>暂定包干</w:t>
      </w:r>
      <w:r>
        <w:rPr>
          <w:rFonts w:hint="eastAsia" w:ascii="宋体" w:hAnsi="宋体" w:cs="宋体"/>
          <w:sz w:val="24"/>
          <w:szCs w:val="24"/>
          <w:highlight w:val="none"/>
        </w:rPr>
        <w:t>价的六成。</w:t>
      </w:r>
    </w:p>
    <w:p>
      <w:pPr>
        <w:spacing w:line="360" w:lineRule="auto"/>
        <w:ind w:firstLine="480" w:firstLineChars="200"/>
        <w:rPr>
          <w:rFonts w:ascii="宋体" w:hAnsi="宋体" w:cs="宋体"/>
          <w:sz w:val="24"/>
          <w:highlight w:val="none"/>
        </w:rPr>
      </w:pPr>
      <w:r>
        <w:rPr>
          <w:rFonts w:ascii="宋体" w:hAnsi="宋体" w:cs="宋体"/>
          <w:sz w:val="24"/>
          <w:szCs w:val="24"/>
          <w:highlight w:val="none"/>
        </w:rPr>
        <w:t>6.5</w:t>
      </w:r>
      <w:r>
        <w:rPr>
          <w:rFonts w:hint="eastAsia" w:ascii="宋体" w:hAnsi="宋体" w:cs="宋体"/>
          <w:sz w:val="24"/>
          <w:highlight w:val="none"/>
        </w:rPr>
        <w:t xml:space="preserve"> 付款方式：</w:t>
      </w:r>
      <w:r>
        <w:rPr>
          <w:rFonts w:hint="eastAsia" w:ascii="宋体" w:hAnsi="宋体" w:cs="宋体"/>
          <w:sz w:val="24"/>
          <w:highlight w:val="none"/>
        </w:rPr>
        <w:sym w:font="Wingdings" w:char="00FE"/>
      </w:r>
      <w:r>
        <w:rPr>
          <w:rFonts w:hint="eastAsia" w:ascii="宋体" w:hAnsi="宋体" w:cs="宋体"/>
          <w:sz w:val="24"/>
          <w:highlight w:val="none"/>
        </w:rPr>
        <w:t>网银支付；</w:t>
      </w:r>
      <w:r>
        <w:rPr>
          <w:rFonts w:hint="eastAsia" w:ascii="宋体" w:hAnsi="宋体" w:cs="宋体"/>
          <w:sz w:val="24"/>
          <w:highlight w:val="none"/>
        </w:rPr>
        <w:sym w:font="Wingdings" w:char="00A8"/>
      </w:r>
      <w:r>
        <w:rPr>
          <w:rFonts w:hint="eastAsia" w:ascii="宋体" w:hAnsi="宋体" w:cs="宋体"/>
          <w:sz w:val="24"/>
          <w:highlight w:val="none"/>
        </w:rPr>
        <w:t>支票；</w:t>
      </w:r>
      <w:r>
        <w:rPr>
          <w:rFonts w:hint="eastAsia" w:ascii="宋体" w:hAnsi="宋体" w:cs="宋体"/>
          <w:sz w:val="24"/>
          <w:highlight w:val="none"/>
        </w:rPr>
        <w:sym w:font="Wingdings" w:char="00A8"/>
      </w:r>
      <w:r>
        <w:rPr>
          <w:rFonts w:hint="eastAsia" w:ascii="宋体" w:hAnsi="宋体" w:cs="宋体"/>
          <w:sz w:val="24"/>
          <w:highlight w:val="none"/>
        </w:rPr>
        <w:t>其他：/</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第八条 双方责任</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8.1甲方责任</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8.1.1甲方有权对乙方履行合同进行督导，对于乙方不履行合同、不正确履行合同、不完全履行合同等行为，甲方有权要求乙方立即更正，并采取其他补救措施。</w:t>
      </w:r>
    </w:p>
    <w:p>
      <w:pPr>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highlight w:val="none"/>
        </w:rPr>
        <w:t>8.1.</w:t>
      </w:r>
      <w:r>
        <w:rPr>
          <w:rFonts w:hint="eastAsia" w:ascii="宋体" w:hAnsi="宋体" w:cs="宋体"/>
          <w:color w:val="000000"/>
          <w:highlight w:val="none"/>
          <w:lang w:val="en-US" w:eastAsia="zh-CN"/>
        </w:rPr>
        <w:t>2</w:t>
      </w:r>
      <w:r>
        <w:rPr>
          <w:rFonts w:hint="eastAsia" w:ascii="宋体" w:hAnsi="宋体" w:cs="宋体"/>
          <w:color w:val="000000"/>
          <w:sz w:val="21"/>
          <w:szCs w:val="22"/>
          <w:highlight w:val="none"/>
        </w:rPr>
        <w:t>在合同履行期间，已开始编制工作，非乙方原因，甲方要求终止或解除合同，甲方根据乙方已进行的实际工作量按实进行结算</w:t>
      </w:r>
      <w:r>
        <w:rPr>
          <w:rFonts w:hint="eastAsia" w:ascii="宋体" w:hAnsi="宋体" w:cs="宋体"/>
          <w:color w:val="000000"/>
          <w:sz w:val="21"/>
          <w:szCs w:val="22"/>
          <w:highlight w:val="none"/>
          <w:lang w:eastAsia="zh-CN"/>
        </w:rPr>
        <w:t>，</w:t>
      </w:r>
      <w:r>
        <w:rPr>
          <w:rFonts w:hint="eastAsia" w:ascii="宋体" w:hAnsi="宋体" w:cs="宋体"/>
          <w:color w:val="000000"/>
          <w:sz w:val="21"/>
          <w:szCs w:val="22"/>
          <w:highlight w:val="none"/>
        </w:rPr>
        <w:t>最高支付至合同</w:t>
      </w:r>
      <w:r>
        <w:rPr>
          <w:rFonts w:hint="eastAsia" w:ascii="宋体" w:hAnsi="宋体" w:cs="宋体"/>
          <w:color w:val="000000"/>
          <w:sz w:val="21"/>
          <w:szCs w:val="22"/>
          <w:highlight w:val="none"/>
          <w:lang w:val="en-US" w:eastAsia="zh-CN"/>
        </w:rPr>
        <w:t>暂定包干</w:t>
      </w:r>
      <w:r>
        <w:rPr>
          <w:rFonts w:hint="eastAsia" w:ascii="宋体" w:hAnsi="宋体" w:cs="宋体"/>
          <w:color w:val="000000"/>
          <w:sz w:val="21"/>
          <w:szCs w:val="22"/>
          <w:highlight w:val="none"/>
        </w:rPr>
        <w:t>价的六成。</w:t>
      </w:r>
    </w:p>
    <w:p>
      <w:pPr>
        <w:adjustRightInd/>
        <w:spacing w:line="360" w:lineRule="auto"/>
        <w:ind w:firstLine="420" w:firstLineChars="200"/>
        <w:jc w:val="both"/>
        <w:textAlignment w:val="auto"/>
        <w:rPr>
          <w:rFonts w:hint="eastAsia" w:ascii="宋体" w:hAnsi="宋体" w:cs="宋体"/>
          <w:color w:val="000000"/>
          <w:highlight w:val="none"/>
        </w:rPr>
      </w:pPr>
      <w:r>
        <w:rPr>
          <w:rFonts w:hint="eastAsia" w:ascii="宋体" w:hAnsi="宋体" w:cs="宋体"/>
          <w:color w:val="000000"/>
          <w:highlight w:val="none"/>
        </w:rPr>
        <w:t>8.1</w:t>
      </w:r>
      <w:r>
        <w:rPr>
          <w:rFonts w:hint="eastAsia" w:ascii="宋体" w:hAnsi="宋体" w:cs="宋体"/>
          <w:color w:val="000000"/>
          <w:highlight w:val="none"/>
          <w:lang w:val="en-US" w:eastAsia="zh-CN"/>
        </w:rPr>
        <w:t>34</w:t>
      </w:r>
      <w:r>
        <w:rPr>
          <w:rFonts w:hint="eastAsia" w:ascii="宋体" w:hAnsi="宋体" w:cs="宋体"/>
          <w:color w:val="000000"/>
          <w:highlight w:val="none"/>
        </w:rPr>
        <w:t>甲方要求乙方比合同规定时间提前交付编制文件时，需征得乙方同意，不得严重背离合理编制周期。</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8.2乙方责任</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8.2.1乙方应在商定的时间内向甲方提交有关技术文件，乙方保证具备相应的资质并对提交的文件、报告及所出的结论负责。</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highlight w:val="none"/>
        </w:rPr>
        <w:t>8.2.2</w:t>
      </w:r>
      <w:r>
        <w:rPr>
          <w:rFonts w:hint="eastAsia" w:ascii="宋体" w:hAnsi="宋体" w:cs="宋体"/>
          <w:color w:val="000000"/>
          <w:szCs w:val="24"/>
          <w:highlight w:val="none"/>
        </w:rPr>
        <w:t>因文件质量问题引起返工，除由乙方继续完善外，并视造成损失大小，减收直至免收</w:t>
      </w:r>
      <w:r>
        <w:rPr>
          <w:rFonts w:hint="eastAsia" w:ascii="宋体" w:hAnsi="宋体" w:cs="宋体"/>
          <w:color w:val="000000"/>
          <w:szCs w:val="24"/>
          <w:highlight w:val="none"/>
          <w:lang w:val="en-US" w:eastAsia="zh-CN"/>
        </w:rPr>
        <w:t>编制</w:t>
      </w:r>
      <w:r>
        <w:rPr>
          <w:rFonts w:hint="eastAsia" w:ascii="宋体" w:hAnsi="宋体" w:cs="宋体"/>
          <w:color w:val="000000"/>
          <w:szCs w:val="24"/>
          <w:highlight w:val="none"/>
        </w:rPr>
        <w:t>费。</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8.2.3乙方应</w:t>
      </w:r>
      <w:r>
        <w:rPr>
          <w:rFonts w:hint="eastAsia" w:ascii="宋体" w:hAnsi="宋体" w:cs="宋体"/>
          <w:color w:val="000000"/>
          <w:highlight w:val="none"/>
          <w:lang w:val="en-US" w:eastAsia="zh-CN"/>
        </w:rPr>
        <w:t>按甲方要求，配合</w:t>
      </w:r>
      <w:r>
        <w:rPr>
          <w:rFonts w:hint="eastAsia" w:ascii="宋体" w:hAnsi="宋体" w:cs="宋体"/>
          <w:color w:val="000000"/>
          <w:highlight w:val="none"/>
          <w:lang w:eastAsia="zh-CN"/>
        </w:rPr>
        <w:t>组织</w:t>
      </w:r>
      <w:r>
        <w:rPr>
          <w:rFonts w:hint="eastAsia" w:ascii="宋体" w:hAnsi="宋体" w:cs="宋体"/>
          <w:color w:val="000000"/>
          <w:highlight w:val="none"/>
          <w:lang w:val="en-US" w:eastAsia="zh-CN"/>
        </w:rPr>
        <w:t>安全预评价报告</w:t>
      </w:r>
      <w:r>
        <w:rPr>
          <w:rFonts w:hint="eastAsia" w:ascii="宋体" w:hAnsi="宋体" w:cs="宋体"/>
          <w:color w:val="000000"/>
          <w:highlight w:val="none"/>
          <w:lang w:eastAsia="zh-CN"/>
        </w:rPr>
        <w:t>专家评审并按照评审意见对成果进行修改完善</w:t>
      </w:r>
      <w:r>
        <w:rPr>
          <w:rFonts w:hint="eastAsia" w:ascii="宋体" w:hAnsi="宋体" w:cs="宋体"/>
          <w:color w:val="000000"/>
          <w:highlight w:val="none"/>
        </w:rPr>
        <w:t>。</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lang w:val="en-US" w:eastAsia="zh-CN"/>
        </w:rPr>
        <w:t>8.2.4</w:t>
      </w:r>
      <w:r>
        <w:rPr>
          <w:rFonts w:hint="eastAsia" w:ascii="宋体" w:hAnsi="宋体" w:cs="宋体"/>
          <w:color w:val="000000"/>
          <w:highlight w:val="none"/>
        </w:rPr>
        <w:t>乙方有责任对甲方提供的资料保密，未经许可，不得提供给与本工程无关的单位和人员使用。乙方未尽保密义务，给甲方造成损失的，应该承担赔偿责任，并向甲方一次性支付合同</w:t>
      </w:r>
      <w:r>
        <w:rPr>
          <w:rFonts w:hint="eastAsia" w:ascii="宋体" w:hAnsi="宋体" w:cs="宋体"/>
          <w:color w:val="000000"/>
          <w:highlight w:val="none"/>
          <w:lang w:val="en-US" w:eastAsia="zh-CN"/>
        </w:rPr>
        <w:t>暂定总价</w:t>
      </w:r>
      <w:r>
        <w:rPr>
          <w:rFonts w:hint="eastAsia" w:ascii="宋体" w:hAnsi="宋体" w:cs="宋体"/>
          <w:color w:val="000000"/>
          <w:highlight w:val="none"/>
        </w:rPr>
        <w:t>1%的违约金。不论何种情况下保密内容失密的，乙方应当及时采取救济措施。若乙方怠于救济导致甲方损失扩大的，乙方对扩大部分承担赔偿责任。</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8.2.5若标准或计划变更，经甲方同意，乙方可顺延期。</w:t>
      </w:r>
    </w:p>
    <w:p>
      <w:pPr>
        <w:spacing w:line="360" w:lineRule="auto"/>
        <w:ind w:firstLine="420" w:firstLineChars="200"/>
        <w:jc w:val="left"/>
        <w:textAlignment w:val="auto"/>
        <w:rPr>
          <w:rFonts w:hint="eastAsia" w:ascii="宋体" w:hAnsi="宋体" w:cs="宋体"/>
          <w:color w:val="000000"/>
          <w:sz w:val="21"/>
          <w:szCs w:val="22"/>
          <w:highlight w:val="none"/>
        </w:rPr>
      </w:pPr>
      <w:r>
        <w:rPr>
          <w:rFonts w:hint="eastAsia" w:ascii="宋体" w:hAnsi="宋体" w:cs="宋体"/>
          <w:color w:val="000000"/>
          <w:sz w:val="21"/>
          <w:szCs w:val="22"/>
          <w:highlight w:val="none"/>
          <w:lang w:val="en-US" w:eastAsia="zh-CN"/>
        </w:rPr>
        <w:t>8</w:t>
      </w:r>
      <w:r>
        <w:rPr>
          <w:rFonts w:hint="eastAsia" w:ascii="宋体" w:hAnsi="宋体" w:cs="宋体"/>
          <w:color w:val="000000"/>
          <w:sz w:val="21"/>
          <w:szCs w:val="22"/>
          <w:highlight w:val="none"/>
        </w:rPr>
        <w:t>.2.6</w:t>
      </w:r>
      <w:r>
        <w:rPr>
          <w:rFonts w:hint="eastAsia" w:ascii="宋体" w:hAnsi="宋体" w:cs="宋体"/>
          <w:color w:val="000000"/>
          <w:sz w:val="21"/>
          <w:highlight w:val="none"/>
        </w:rPr>
        <w:t>非甲方原因乙方要求解除合同的，应</w:t>
      </w:r>
      <w:r>
        <w:rPr>
          <w:rFonts w:hint="eastAsia" w:ascii="宋体" w:hAnsi="宋体" w:cs="宋体"/>
          <w:color w:val="000000"/>
          <w:sz w:val="21"/>
          <w:highlight w:val="none"/>
          <w:lang w:val="en-US" w:eastAsia="zh-CN"/>
        </w:rPr>
        <w:t>返还已支付的全部费用，由此造成的损失，由乙方负责赔偿</w:t>
      </w:r>
      <w:r>
        <w:rPr>
          <w:rFonts w:hint="eastAsia" w:ascii="宋体" w:hAnsi="宋体" w:cs="宋体"/>
          <w:color w:val="000000"/>
          <w:sz w:val="21"/>
          <w:highlight w:val="none"/>
        </w:rPr>
        <w:t>。</w:t>
      </w:r>
    </w:p>
    <w:p>
      <w:pPr>
        <w:adjustRightInd/>
        <w:spacing w:line="360" w:lineRule="auto"/>
        <w:ind w:firstLine="420" w:firstLineChars="200"/>
        <w:jc w:val="left"/>
        <w:textAlignment w:val="auto"/>
        <w:rPr>
          <w:rFonts w:hint="eastAsia" w:ascii="宋体" w:hAnsi="宋体" w:cs="宋体"/>
          <w:color w:val="000000"/>
          <w:szCs w:val="22"/>
          <w:highlight w:val="none"/>
        </w:rPr>
      </w:pPr>
      <w:r>
        <w:rPr>
          <w:rFonts w:hint="eastAsia" w:ascii="宋体" w:hAnsi="宋体" w:cs="宋体"/>
          <w:color w:val="000000"/>
          <w:szCs w:val="22"/>
          <w:highlight w:val="none"/>
        </w:rPr>
        <w:t>8.2.7由于乙方自身原因，延误了按本合同第五条规定的安全</w:t>
      </w:r>
      <w:r>
        <w:rPr>
          <w:rFonts w:hint="eastAsia" w:ascii="宋体" w:hAnsi="宋体" w:cs="宋体"/>
          <w:color w:val="000000"/>
          <w:szCs w:val="22"/>
          <w:highlight w:val="none"/>
          <w:lang w:val="en-US" w:eastAsia="zh-CN"/>
        </w:rPr>
        <w:t>预评价</w:t>
      </w:r>
      <w:r>
        <w:rPr>
          <w:rFonts w:hint="eastAsia" w:ascii="宋体" w:hAnsi="宋体" w:cs="宋体"/>
          <w:color w:val="000000"/>
          <w:szCs w:val="22"/>
          <w:highlight w:val="none"/>
        </w:rPr>
        <w:t>报告成果交付时间，每延误一天</w:t>
      </w:r>
      <w:r>
        <w:rPr>
          <w:rFonts w:hint="eastAsia" w:ascii="宋体" w:hAnsi="宋体" w:cs="宋体"/>
          <w:color w:val="000000"/>
          <w:szCs w:val="22"/>
          <w:highlight w:val="none"/>
          <w:lang w:eastAsia="zh-CN"/>
        </w:rPr>
        <w:t>，</w:t>
      </w:r>
      <w:r>
        <w:rPr>
          <w:rFonts w:hint="eastAsia" w:ascii="宋体" w:hAnsi="宋体" w:cs="宋体"/>
          <w:color w:val="000000"/>
          <w:szCs w:val="22"/>
          <w:highlight w:val="none"/>
          <w:lang w:val="en-US" w:eastAsia="zh-CN"/>
        </w:rPr>
        <w:t>按合同暂定总价</w:t>
      </w:r>
      <w:r>
        <w:rPr>
          <w:rFonts w:hint="eastAsia" w:ascii="宋体" w:hAnsi="宋体" w:cs="宋体"/>
          <w:color w:val="000000"/>
          <w:szCs w:val="22"/>
          <w:highlight w:val="none"/>
        </w:rPr>
        <w:t>的2‰</w:t>
      </w:r>
      <w:r>
        <w:rPr>
          <w:rFonts w:hint="eastAsia" w:ascii="宋体" w:hAnsi="宋体" w:cs="宋体"/>
          <w:color w:val="000000"/>
          <w:szCs w:val="22"/>
          <w:highlight w:val="none"/>
          <w:lang w:val="en-US" w:eastAsia="zh-CN"/>
        </w:rPr>
        <w:t>支付违约金</w:t>
      </w:r>
      <w:r>
        <w:rPr>
          <w:rFonts w:hint="eastAsia" w:ascii="宋体" w:hAnsi="宋体" w:cs="宋体"/>
          <w:color w:val="000000"/>
          <w:szCs w:val="22"/>
          <w:highlight w:val="none"/>
        </w:rPr>
        <w:t>，逾期超过30天，甲方有权解除合同。由此给甲方造成损失的，乙方应承担赔偿责任。</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第九条  知识产权</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第十条  仲裁、起诉</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本合同履行过程中发生争议，由双方当事人协商解决。协商不成的依法向甲方所在地的人民法院起诉。</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第十一条  合同生效及其他</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11.1合同生效的条件：合同签订盖章。</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11.2甲方委托乙方承担本合同内容以外的工作服务，需另行签订协议并支付费用。</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11.3当项目的建设业主变更时，甲方应书面通知乙方并协商合同终止或变更事宜。</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11.4由于不可抗力因素致使合同无法履行时，双方应及时协商解决。</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11.5本合同正本一式</w:t>
      </w:r>
      <w:r>
        <w:rPr>
          <w:rFonts w:hint="eastAsia" w:ascii="宋体" w:hAnsi="宋体" w:cs="宋体"/>
          <w:color w:val="000000"/>
          <w:szCs w:val="24"/>
          <w:highlight w:val="none"/>
          <w:u w:val="single"/>
        </w:rPr>
        <w:t>贰</w:t>
      </w:r>
      <w:r>
        <w:rPr>
          <w:rFonts w:hint="eastAsia" w:ascii="宋体" w:hAnsi="宋体" w:cs="宋体"/>
          <w:color w:val="000000"/>
          <w:szCs w:val="24"/>
          <w:highlight w:val="none"/>
        </w:rPr>
        <w:t>份，甲方执</w:t>
      </w:r>
      <w:r>
        <w:rPr>
          <w:rFonts w:hint="eastAsia" w:ascii="宋体" w:hAnsi="宋体" w:cs="宋体"/>
          <w:color w:val="000000"/>
          <w:szCs w:val="24"/>
          <w:highlight w:val="none"/>
          <w:u w:val="single"/>
        </w:rPr>
        <w:t>壹</w:t>
      </w:r>
      <w:r>
        <w:rPr>
          <w:rFonts w:hint="eastAsia" w:ascii="宋体" w:hAnsi="宋体" w:cs="宋体"/>
          <w:color w:val="000000"/>
          <w:szCs w:val="24"/>
          <w:highlight w:val="none"/>
        </w:rPr>
        <w:t>份，乙方执</w:t>
      </w:r>
      <w:r>
        <w:rPr>
          <w:rFonts w:hint="eastAsia" w:ascii="宋体" w:hAnsi="宋体" w:cs="宋体"/>
          <w:color w:val="000000"/>
          <w:szCs w:val="24"/>
          <w:highlight w:val="none"/>
          <w:u w:val="single"/>
        </w:rPr>
        <w:t>壹</w:t>
      </w:r>
      <w:r>
        <w:rPr>
          <w:rFonts w:hint="eastAsia" w:ascii="宋体" w:hAnsi="宋体" w:cs="宋体"/>
          <w:color w:val="000000"/>
          <w:szCs w:val="24"/>
          <w:highlight w:val="none"/>
        </w:rPr>
        <w:t>份；副本</w:t>
      </w:r>
      <w:r>
        <w:rPr>
          <w:rFonts w:hint="eastAsia" w:ascii="宋体" w:hAnsi="宋体" w:cs="宋体"/>
          <w:color w:val="auto"/>
          <w:szCs w:val="24"/>
          <w:highlight w:val="none"/>
        </w:rPr>
        <w:t>一式</w:t>
      </w:r>
      <w:r>
        <w:rPr>
          <w:rFonts w:hint="eastAsia" w:ascii="宋体" w:hAnsi="宋体" w:cs="宋体"/>
          <w:color w:val="auto"/>
          <w:szCs w:val="24"/>
          <w:highlight w:val="none"/>
          <w:u w:val="single"/>
        </w:rPr>
        <w:t>陆</w:t>
      </w:r>
      <w:r>
        <w:rPr>
          <w:rFonts w:hint="eastAsia" w:ascii="宋体" w:hAnsi="宋体" w:cs="宋体"/>
          <w:color w:val="auto"/>
          <w:szCs w:val="24"/>
          <w:highlight w:val="none"/>
        </w:rPr>
        <w:t>份，甲方执</w:t>
      </w:r>
      <w:r>
        <w:rPr>
          <w:rFonts w:hint="eastAsia" w:ascii="宋体" w:hAnsi="宋体" w:cs="宋体"/>
          <w:color w:val="auto"/>
          <w:szCs w:val="24"/>
          <w:highlight w:val="none"/>
          <w:u w:val="single"/>
          <w:lang w:val="en-US" w:eastAsia="zh-CN"/>
        </w:rPr>
        <w:t>肆</w:t>
      </w:r>
      <w:r>
        <w:rPr>
          <w:rFonts w:hint="eastAsia" w:ascii="宋体" w:hAnsi="宋体" w:cs="宋体"/>
          <w:color w:val="auto"/>
          <w:szCs w:val="24"/>
          <w:highlight w:val="none"/>
        </w:rPr>
        <w:t>份，乙方执</w:t>
      </w:r>
      <w:r>
        <w:rPr>
          <w:rFonts w:hint="eastAsia" w:ascii="宋体" w:hAnsi="宋体" w:cs="宋体"/>
          <w:color w:val="auto"/>
          <w:szCs w:val="24"/>
          <w:highlight w:val="none"/>
          <w:u w:val="single"/>
          <w:lang w:val="en-US" w:eastAsia="zh-CN"/>
        </w:rPr>
        <w:t>贰</w:t>
      </w:r>
      <w:r>
        <w:rPr>
          <w:rFonts w:hint="eastAsia" w:ascii="宋体" w:hAnsi="宋体" w:cs="宋体"/>
          <w:color w:val="auto"/>
          <w:szCs w:val="24"/>
          <w:highlight w:val="none"/>
        </w:rPr>
        <w:t>份，双方所执合同具同等法律效力（若正本与副本有差异，</w:t>
      </w:r>
      <w:r>
        <w:rPr>
          <w:rFonts w:hint="eastAsia" w:ascii="宋体" w:hAnsi="宋体" w:cs="宋体"/>
          <w:color w:val="000000"/>
          <w:szCs w:val="24"/>
          <w:highlight w:val="none"/>
        </w:rPr>
        <w:t>以正本为准。）</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11.6双方履行完合同规定的义务后，本合同即行终止。</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11.7双方认可的来往传真、会议纪要等，均为合同的组成部分，与本合同具有同等法律效力。</w:t>
      </w:r>
    </w:p>
    <w:p>
      <w:pPr>
        <w:spacing w:line="360" w:lineRule="auto"/>
        <w:ind w:firstLine="420" w:firstLineChars="200"/>
        <w:outlineLvl w:val="0"/>
        <w:rPr>
          <w:rFonts w:hint="eastAsia" w:ascii="宋体" w:hAnsi="宋体" w:cs="宋体"/>
          <w:color w:val="000000"/>
          <w:szCs w:val="24"/>
          <w:highlight w:val="none"/>
        </w:rPr>
      </w:pPr>
      <w:r>
        <w:rPr>
          <w:rFonts w:hint="eastAsia" w:ascii="宋体" w:hAnsi="宋体" w:cs="宋体"/>
          <w:color w:val="000000"/>
          <w:szCs w:val="24"/>
          <w:highlight w:val="none"/>
        </w:rPr>
        <w:t>11.8未尽事宜，双方协商一致，可签订补充协议，补充协议与本合同具有同等效力。</w:t>
      </w:r>
    </w:p>
    <w:p>
      <w:pPr>
        <w:adjustRightInd/>
        <w:spacing w:line="360" w:lineRule="auto"/>
        <w:ind w:firstLine="480" w:firstLineChars="200"/>
        <w:jc w:val="both"/>
        <w:textAlignment w:val="auto"/>
        <w:rPr>
          <w:rFonts w:ascii="宋体" w:hAnsi="宋体" w:cs="宋体"/>
          <w:kern w:val="2"/>
          <w:sz w:val="24"/>
          <w:szCs w:val="21"/>
          <w:highlight w:val="none"/>
        </w:rPr>
      </w:pPr>
      <w:r>
        <w:rPr>
          <w:rFonts w:hint="eastAsia" w:ascii="宋体" w:hAnsi="宋体" w:cs="宋体"/>
          <w:kern w:val="2"/>
          <w:sz w:val="24"/>
          <w:szCs w:val="21"/>
          <w:highlight w:val="none"/>
        </w:rPr>
        <w:t>1</w:t>
      </w:r>
      <w:r>
        <w:rPr>
          <w:rFonts w:hint="eastAsia" w:ascii="宋体" w:hAnsi="宋体" w:cs="宋体"/>
          <w:kern w:val="2"/>
          <w:sz w:val="24"/>
          <w:szCs w:val="21"/>
          <w:highlight w:val="none"/>
          <w:lang w:val="en-US" w:eastAsia="zh-CN"/>
        </w:rPr>
        <w:t>0</w:t>
      </w:r>
      <w:r>
        <w:rPr>
          <w:rFonts w:hint="eastAsia" w:ascii="宋体" w:hAnsi="宋体" w:cs="宋体"/>
          <w:kern w:val="2"/>
          <w:sz w:val="24"/>
          <w:szCs w:val="21"/>
          <w:highlight w:val="none"/>
        </w:rPr>
        <w:t>.9本合同附件是合同不可分割的一部分，具有相同的法律效力，具体附件如下：</w:t>
      </w:r>
    </w:p>
    <w:p>
      <w:pPr>
        <w:widowControl w:val="0"/>
        <w:adjustRightInd w:val="0"/>
        <w:spacing w:after="120" w:line="360" w:lineRule="auto"/>
        <w:ind w:left="0" w:leftChars="0" w:firstLine="480" w:firstLineChars="200"/>
        <w:jc w:val="left"/>
        <w:textAlignment w:val="baseline"/>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附件1：成交通知书 </w:t>
      </w:r>
    </w:p>
    <w:p>
      <w:pPr>
        <w:widowControl w:val="0"/>
        <w:adjustRightInd w:val="0"/>
        <w:spacing w:after="120" w:line="360" w:lineRule="auto"/>
        <w:ind w:left="0" w:leftChars="0" w:firstLine="480" w:firstLineChars="200"/>
        <w:jc w:val="left"/>
        <w:textAlignment w:val="baseline"/>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附件2：廉洁协议 </w:t>
      </w:r>
    </w:p>
    <w:p>
      <w:pPr>
        <w:widowControl w:val="0"/>
        <w:adjustRightInd w:val="0"/>
        <w:spacing w:after="120" w:line="360" w:lineRule="auto"/>
        <w:ind w:left="0" w:leftChars="0" w:firstLine="480" w:firstLineChars="200"/>
        <w:jc w:val="left"/>
        <w:textAlignment w:val="baseline"/>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附件3：安全协议书</w:t>
      </w:r>
    </w:p>
    <w:p>
      <w:pPr>
        <w:pStyle w:val="14"/>
        <w:spacing w:line="360" w:lineRule="auto"/>
        <w:ind w:left="0" w:firstLine="420" w:firstLineChars="200"/>
        <w:jc w:val="center"/>
        <w:rPr>
          <w:rFonts w:ascii="宋体" w:hAnsi="宋体" w:eastAsia="宋体" w:cs="宋体"/>
          <w:bCs/>
          <w:szCs w:val="24"/>
          <w:highlight w:val="none"/>
        </w:rPr>
      </w:pPr>
      <w:r>
        <w:rPr>
          <w:rFonts w:hint="eastAsia" w:ascii="宋体" w:hAnsi="宋体" w:eastAsia="宋体" w:cs="宋体"/>
          <w:color w:val="000000"/>
          <w:szCs w:val="24"/>
          <w:highlight w:val="none"/>
        </w:rPr>
        <w:t>（以下无正文）</w:t>
      </w: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tbl>
      <w:tblPr>
        <w:tblStyle w:val="23"/>
        <w:tblW w:w="9167" w:type="dxa"/>
        <w:jc w:val="center"/>
        <w:tblLayout w:type="fixed"/>
        <w:tblCellMar>
          <w:top w:w="0" w:type="dxa"/>
          <w:left w:w="28" w:type="dxa"/>
          <w:bottom w:w="0" w:type="dxa"/>
          <w:right w:w="28" w:type="dxa"/>
        </w:tblCellMar>
      </w:tblPr>
      <w:tblGrid>
        <w:gridCol w:w="4161"/>
        <w:gridCol w:w="5006"/>
      </w:tblGrid>
      <w:tr>
        <w:tblPrEx>
          <w:tblCellMar>
            <w:top w:w="0" w:type="dxa"/>
            <w:left w:w="28" w:type="dxa"/>
            <w:bottom w:w="0" w:type="dxa"/>
            <w:right w:w="28" w:type="dxa"/>
          </w:tblCellMar>
        </w:tblPrEx>
        <w:trPr>
          <w:trHeight w:val="310"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甲方：</w:t>
            </w:r>
            <w:r>
              <w:rPr>
                <w:rFonts w:hint="eastAsia" w:ascii="宋体" w:hAnsi="宋体" w:cs="宋体"/>
                <w:color w:val="000000"/>
                <w:highlight w:val="none"/>
              </w:rPr>
              <w:t>广州市净水有限公司</w:t>
            </w:r>
          </w:p>
        </w:tc>
        <w:tc>
          <w:tcPr>
            <w:tcW w:w="5006" w:type="dxa"/>
          </w:tcPr>
          <w:p>
            <w:pPr>
              <w:spacing w:line="360" w:lineRule="auto"/>
              <w:jc w:val="both"/>
              <w:rPr>
                <w:rFonts w:ascii="宋体" w:hAnsi="宋体" w:cs="宋体"/>
                <w:highlight w:val="none"/>
              </w:rPr>
            </w:pPr>
            <w:r>
              <w:rPr>
                <w:rFonts w:hint="eastAsia" w:ascii="宋体" w:hAnsi="宋体" w:cs="宋体"/>
                <w:highlight w:val="none"/>
              </w:rPr>
              <w:t>乙方：</w:t>
            </w:r>
          </w:p>
        </w:tc>
      </w:tr>
      <w:tr>
        <w:tblPrEx>
          <w:tblCellMar>
            <w:top w:w="0" w:type="dxa"/>
            <w:left w:w="28" w:type="dxa"/>
            <w:bottom w:w="0" w:type="dxa"/>
            <w:right w:w="28" w:type="dxa"/>
          </w:tblCellMar>
        </w:tblPrEx>
        <w:trPr>
          <w:trHeight w:val="620"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（盖章）</w:t>
            </w:r>
          </w:p>
          <w:p>
            <w:pPr>
              <w:spacing w:line="360" w:lineRule="auto"/>
              <w:jc w:val="both"/>
              <w:rPr>
                <w:rFonts w:ascii="宋体" w:hAnsi="宋体" w:cs="宋体"/>
                <w:highlight w:val="none"/>
              </w:rPr>
            </w:pPr>
          </w:p>
        </w:tc>
        <w:tc>
          <w:tcPr>
            <w:tcW w:w="5006" w:type="dxa"/>
          </w:tcPr>
          <w:p>
            <w:pPr>
              <w:spacing w:line="360" w:lineRule="auto"/>
              <w:jc w:val="both"/>
              <w:rPr>
                <w:rFonts w:ascii="宋体" w:hAnsi="宋体" w:cs="宋体"/>
                <w:highlight w:val="none"/>
              </w:rPr>
            </w:pPr>
            <w:r>
              <w:rPr>
                <w:rFonts w:hint="eastAsia" w:ascii="宋体" w:hAnsi="宋体" w:cs="宋体"/>
                <w:highlight w:val="none"/>
              </w:rPr>
              <w:t>（盖章）</w:t>
            </w:r>
          </w:p>
          <w:p>
            <w:pPr>
              <w:spacing w:line="360" w:lineRule="auto"/>
              <w:jc w:val="both"/>
              <w:rPr>
                <w:rFonts w:ascii="宋体" w:hAnsi="宋体" w:cs="宋体"/>
                <w:highlight w:val="none"/>
              </w:rPr>
            </w:pPr>
          </w:p>
        </w:tc>
      </w:tr>
      <w:tr>
        <w:tblPrEx>
          <w:tblCellMar>
            <w:top w:w="0" w:type="dxa"/>
            <w:left w:w="28" w:type="dxa"/>
            <w:bottom w:w="0" w:type="dxa"/>
            <w:right w:w="28" w:type="dxa"/>
          </w:tblCellMar>
        </w:tblPrEx>
        <w:trPr>
          <w:trHeight w:val="930"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法定代表人/授权代理人：</w:t>
            </w:r>
          </w:p>
          <w:p>
            <w:pPr>
              <w:spacing w:line="360" w:lineRule="auto"/>
              <w:jc w:val="both"/>
              <w:rPr>
                <w:rFonts w:ascii="宋体" w:hAnsi="宋体" w:cs="宋体"/>
                <w:highlight w:val="none"/>
              </w:rPr>
            </w:pPr>
          </w:p>
        </w:tc>
        <w:tc>
          <w:tcPr>
            <w:tcW w:w="5006" w:type="dxa"/>
          </w:tcPr>
          <w:p>
            <w:pPr>
              <w:spacing w:line="360" w:lineRule="auto"/>
              <w:jc w:val="both"/>
              <w:rPr>
                <w:rFonts w:ascii="宋体" w:hAnsi="宋体" w:cs="宋体"/>
                <w:highlight w:val="none"/>
              </w:rPr>
            </w:pPr>
            <w:r>
              <w:rPr>
                <w:rFonts w:hint="eastAsia" w:ascii="宋体" w:hAnsi="宋体" w:cs="宋体"/>
                <w:highlight w:val="none"/>
              </w:rPr>
              <w:t>法定代表人/授权代理人：</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联系人：</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 xml:space="preserve">联系人： </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地址：广州市临江大道501号</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地址：</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邮政编码：</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邮政编码：</w:t>
            </w:r>
          </w:p>
        </w:tc>
      </w:tr>
      <w:tr>
        <w:trPr>
          <w:trHeight w:val="465" w:hRule="atLeast"/>
          <w:jc w:val="center"/>
        </w:trPr>
        <w:tc>
          <w:tcPr>
            <w:tcW w:w="4161" w:type="dxa"/>
            <w:vAlign w:val="center"/>
          </w:tcPr>
          <w:p>
            <w:pPr>
              <w:spacing w:line="360" w:lineRule="auto"/>
              <w:rPr>
                <w:rFonts w:ascii="宋体" w:hAnsi="宋体" w:cs="宋体"/>
                <w:highlight w:val="none"/>
              </w:rPr>
            </w:pPr>
            <w:r>
              <w:rPr>
                <w:rFonts w:hint="eastAsia" w:ascii="宋体" w:hAnsi="宋体" w:cs="宋体"/>
                <w:color w:val="000000"/>
                <w:highlight w:val="none"/>
              </w:rPr>
              <w:t>电话：</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电话：</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rPr>
                <w:rFonts w:ascii="宋体" w:hAnsi="宋体" w:cs="宋体"/>
                <w:highlight w:val="none"/>
              </w:rPr>
            </w:pPr>
            <w:r>
              <w:rPr>
                <w:rFonts w:hint="eastAsia" w:ascii="宋体" w:hAnsi="宋体" w:cs="宋体"/>
                <w:color w:val="000000"/>
                <w:highlight w:val="none"/>
              </w:rPr>
              <w:t>传真：</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联系人：</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p>
        </w:tc>
        <w:tc>
          <w:tcPr>
            <w:tcW w:w="5006" w:type="dxa"/>
          </w:tcPr>
          <w:p>
            <w:pPr>
              <w:spacing w:line="360" w:lineRule="auto"/>
              <w:jc w:val="both"/>
              <w:rPr>
                <w:rFonts w:ascii="宋体" w:hAnsi="宋体" w:cs="宋体"/>
                <w:highlight w:val="none"/>
              </w:rPr>
            </w:pPr>
            <w:r>
              <w:rPr>
                <w:rFonts w:hint="eastAsia" w:ascii="宋体" w:hAnsi="宋体" w:cs="宋体"/>
                <w:highlight w:val="none"/>
              </w:rPr>
              <w:t>开户行：</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p>
        </w:tc>
        <w:tc>
          <w:tcPr>
            <w:tcW w:w="5006" w:type="dxa"/>
          </w:tcPr>
          <w:p>
            <w:pPr>
              <w:spacing w:line="360" w:lineRule="auto"/>
              <w:jc w:val="both"/>
              <w:rPr>
                <w:rFonts w:ascii="宋体" w:hAnsi="宋体" w:cs="宋体"/>
                <w:highlight w:val="none"/>
              </w:rPr>
            </w:pPr>
            <w:r>
              <w:rPr>
                <w:rFonts w:hint="eastAsia" w:ascii="宋体" w:hAnsi="宋体" w:cs="宋体"/>
                <w:highlight w:val="none"/>
              </w:rPr>
              <w:t>账号：</w:t>
            </w:r>
          </w:p>
        </w:tc>
      </w:tr>
      <w:tr>
        <w:tblPrEx>
          <w:tblCellMar>
            <w:top w:w="0" w:type="dxa"/>
            <w:left w:w="28" w:type="dxa"/>
            <w:bottom w:w="0" w:type="dxa"/>
            <w:right w:w="28" w:type="dxa"/>
          </w:tblCellMar>
        </w:tblPrEx>
        <w:trPr>
          <w:trHeight w:val="414"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签定日期：</w:t>
            </w:r>
            <w:r>
              <w:rPr>
                <w:rFonts w:hint="eastAsia" w:ascii="宋体" w:hAnsi="宋体" w:cs="宋体"/>
                <w:highlight w:val="none"/>
                <w:lang w:val="en-US" w:eastAsia="zh-CN"/>
              </w:rPr>
              <w:t>2023</w:t>
            </w:r>
            <w:r>
              <w:rPr>
                <w:rFonts w:hint="eastAsia" w:ascii="宋体" w:hAnsi="宋体" w:cs="宋体"/>
                <w:highlight w:val="none"/>
              </w:rPr>
              <w:t>年</w:t>
            </w:r>
            <w:r>
              <w:rPr>
                <w:rFonts w:hint="eastAsia" w:ascii="宋体" w:hAnsi="宋体" w:cs="宋体"/>
                <w:highlight w:val="non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rPr>
              <w:t>日</w:t>
            </w:r>
          </w:p>
        </w:tc>
        <w:tc>
          <w:tcPr>
            <w:tcW w:w="5006" w:type="dxa"/>
          </w:tcPr>
          <w:p>
            <w:pPr>
              <w:spacing w:line="360" w:lineRule="auto"/>
              <w:jc w:val="both"/>
              <w:rPr>
                <w:rFonts w:ascii="宋体" w:hAnsi="宋体" w:cs="宋体"/>
                <w:highlight w:val="none"/>
              </w:rPr>
            </w:pPr>
            <w:r>
              <w:rPr>
                <w:rFonts w:hint="eastAsia" w:ascii="宋体" w:hAnsi="宋体" w:cs="宋体"/>
                <w:highlight w:val="none"/>
              </w:rPr>
              <w:t>签定日期：20</w:t>
            </w:r>
            <w:r>
              <w:rPr>
                <w:rFonts w:hint="eastAsia" w:ascii="宋体" w:hAnsi="宋体" w:cs="宋体"/>
                <w:highlight w:val="none"/>
                <w:lang w:val="en-US" w:eastAsia="zh-CN"/>
              </w:rPr>
              <w:t>23</w:t>
            </w:r>
            <w:r>
              <w:rPr>
                <w:rFonts w:hint="eastAsia" w:ascii="宋体" w:hAnsi="宋体" w:cs="宋体"/>
                <w:highlight w:val="none"/>
              </w:rPr>
              <w:t>年</w:t>
            </w:r>
            <w:r>
              <w:rPr>
                <w:rFonts w:hint="eastAsia" w:ascii="宋体" w:hAnsi="宋体" w:cs="宋体"/>
                <w:highlight w:val="non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rPr>
              <w:t>日</w:t>
            </w:r>
          </w:p>
        </w:tc>
      </w:tr>
    </w:tbl>
    <w:p>
      <w:pPr>
        <w:rPr>
          <w:highlight w:val="none"/>
        </w:rPr>
        <w:sectPr>
          <w:headerReference r:id="rId9"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cs="宋体"/>
          <w:b/>
          <w:bCs/>
          <w:szCs w:val="21"/>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val="en-US" w:eastAsia="zh-CN"/>
        </w:rPr>
        <w:t>成交</w:t>
      </w:r>
      <w:r>
        <w:rPr>
          <w:rFonts w:hint="eastAsia" w:ascii="宋体" w:hAnsi="宋体" w:cs="宋体"/>
          <w:b/>
          <w:bCs/>
          <w:szCs w:val="21"/>
          <w:highlight w:val="none"/>
        </w:rPr>
        <w:t>通知书</w:t>
      </w:r>
    </w:p>
    <w:p>
      <w:pPr>
        <w:ind w:right="-932" w:rightChars="-444"/>
        <w:rPr>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附件2  廉洁协议</w:t>
      </w:r>
    </w:p>
    <w:p>
      <w:pPr>
        <w:pStyle w:val="46"/>
        <w:rPr>
          <w:color w:val="auto"/>
          <w:highlight w:val="none"/>
        </w:rPr>
      </w:pPr>
    </w:p>
    <w:p>
      <w:pPr>
        <w:spacing w:line="52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廉洁协议</w:t>
      </w:r>
    </w:p>
    <w:p>
      <w:pPr>
        <w:spacing w:line="520" w:lineRule="exact"/>
        <w:ind w:firstLine="630" w:firstLineChars="225"/>
        <w:rPr>
          <w:rFonts w:ascii="仿宋" w:hAnsi="仿宋" w:eastAsia="仿宋" w:cs="仿宋"/>
          <w:bCs/>
          <w:sz w:val="28"/>
          <w:szCs w:val="28"/>
          <w:highlight w:val="none"/>
        </w:rPr>
      </w:pPr>
      <w:r>
        <w:rPr>
          <w:rFonts w:hint="eastAsia" w:ascii="仿宋" w:hAnsi="仿宋" w:eastAsia="仿宋" w:cs="仿宋"/>
          <w:bCs/>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highlight w:val="none"/>
          <w:u w:val="single"/>
        </w:rPr>
        <w:t>广州市净水有限公司</w:t>
      </w:r>
      <w:r>
        <w:rPr>
          <w:rFonts w:hint="eastAsia" w:ascii="仿宋" w:hAnsi="仿宋" w:eastAsia="仿宋" w:cs="仿宋"/>
          <w:bCs/>
          <w:sz w:val="28"/>
          <w:szCs w:val="28"/>
          <w:highlight w:val="none"/>
        </w:rPr>
        <w:t>(以下称甲方)与</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rPr>
        <w:t>(以下称乙方)，特此订立本协议共同遵照执行。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第一条 甲乙双方的权利和义务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（二）严格执行</w:t>
      </w:r>
      <w:r>
        <w:rPr>
          <w:rFonts w:hint="eastAsia" w:ascii="仿宋_GB2312" w:eastAsia="仿宋_GB2312"/>
          <w:color w:val="auto"/>
          <w:sz w:val="28"/>
          <w:szCs w:val="28"/>
          <w:highlight w:val="none"/>
          <w:u w:val="single"/>
          <w:lang w:val="en-US" w:eastAsia="zh-CN"/>
        </w:rPr>
        <w:t>广州市净水有限公司环城北净水厂安全预评价技术服务项目（第二次）</w:t>
      </w:r>
      <w:r>
        <w:rPr>
          <w:rFonts w:hint="eastAsia" w:ascii="仿宋" w:hAnsi="仿宋" w:eastAsia="仿宋" w:cs="仿宋"/>
          <w:bCs/>
          <w:sz w:val="28"/>
          <w:szCs w:val="28"/>
          <w:highlight w:val="none"/>
        </w:rPr>
        <w:t>合同（以下简称：主合同），自觉履行合同约定的相关义务。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第二条甲方的义务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第三条乙方的义务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（三）乙方不得以任何理由安排甲方工作人员参加可能影响相关业务公开、公正、公平性的宴请及娱乐活动。</w:t>
      </w:r>
    </w:p>
    <w:p>
      <w:pPr>
        <w:spacing w:line="520" w:lineRule="exact"/>
        <w:ind w:left="25" w:leftChars="12"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（七）乙方不得向甲方工作人员提供干股或红利。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第四条违约责任</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甲方举报投诉联系部门：广州市净水有限公司</w:t>
      </w:r>
      <w:r>
        <w:rPr>
          <w:rFonts w:hint="eastAsia" w:ascii="仿宋" w:hAnsi="仿宋" w:eastAsia="仿宋" w:cs="仿宋"/>
          <w:bCs/>
          <w:sz w:val="28"/>
          <w:szCs w:val="28"/>
          <w:highlight w:val="none"/>
          <w:u w:val="single"/>
        </w:rPr>
        <w:t>纪检室</w:t>
      </w: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u w:val="single"/>
        </w:rPr>
        <w:t xml:space="preserve"> 020-38890265 </w:t>
      </w:r>
      <w:r>
        <w:rPr>
          <w:rFonts w:hint="eastAsia" w:ascii="仿宋" w:hAnsi="仿宋" w:eastAsia="仿宋" w:cs="仿宋"/>
          <w:bCs/>
          <w:sz w:val="28"/>
          <w:szCs w:val="28"/>
          <w:highlight w:val="none"/>
        </w:rPr>
        <w:t>。</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1、扣除主合同的全部履约保证金；</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2、解除主合同；</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3、追究乙方其他违约责任；</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4、根据甲方的有关规章制度，在一定时间内暂停乙方参与甲方及下属单位所有项目的交易资格；</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5、根据甲方的有关规章制度，将乙方清退出甲方相关企业库；</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6、根据甲方上级单位、行政主管部门的意见、决定执行；</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sz w:val="28"/>
          <w:szCs w:val="28"/>
          <w:highlight w:val="none"/>
        </w:rPr>
        <w:t xml:space="preserve">第五条 </w:t>
      </w:r>
      <w:r>
        <w:rPr>
          <w:rFonts w:hint="eastAsia" w:ascii="仿宋" w:hAnsi="仿宋" w:eastAsia="仿宋" w:cs="仿宋"/>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第六条本协议作为</w:t>
      </w:r>
      <w:r>
        <w:rPr>
          <w:rFonts w:hint="eastAsia" w:ascii="仿宋" w:hAnsi="仿宋" w:eastAsia="仿宋" w:cs="仿宋"/>
          <w:bCs/>
          <w:sz w:val="28"/>
          <w:szCs w:val="28"/>
          <w:highlight w:val="none"/>
          <w:u w:val="single"/>
          <w:lang w:val="en-US" w:eastAsia="zh-CN"/>
        </w:rPr>
        <w:t>广州市净水有限公司环城北净水厂安全预评价技术服务项目（第二次）合同</w:t>
      </w:r>
      <w:r>
        <w:rPr>
          <w:rFonts w:hint="eastAsia" w:ascii="仿宋" w:hAnsi="仿宋" w:eastAsia="仿宋" w:cs="仿宋"/>
          <w:bCs/>
          <w:sz w:val="28"/>
          <w:szCs w:val="28"/>
          <w:highlight w:val="none"/>
          <w:u w:val="single"/>
        </w:rPr>
        <w:t>（穗净水合[202</w:t>
      </w:r>
      <w:r>
        <w:rPr>
          <w:rFonts w:hint="eastAsia" w:ascii="仿宋" w:hAnsi="仿宋" w:eastAsia="仿宋" w:cs="仿宋"/>
          <w:bCs/>
          <w:sz w:val="28"/>
          <w:szCs w:val="28"/>
          <w:highlight w:val="none"/>
          <w:u w:val="single"/>
          <w:lang w:val="en-US" w:eastAsia="zh-CN"/>
        </w:rPr>
        <w:t>3</w:t>
      </w:r>
      <w:r>
        <w:rPr>
          <w:rFonts w:hint="eastAsia" w:ascii="仿宋" w:hAnsi="仿宋" w:eastAsia="仿宋" w:cs="仿宋"/>
          <w:bCs/>
          <w:sz w:val="28"/>
          <w:szCs w:val="28"/>
          <w:highlight w:val="none"/>
          <w:u w:val="single"/>
        </w:rPr>
        <w:t>]   号）</w:t>
      </w:r>
      <w:r>
        <w:rPr>
          <w:rFonts w:hint="eastAsia" w:ascii="仿宋" w:hAnsi="仿宋" w:eastAsia="仿宋" w:cs="仿宋"/>
          <w:bCs/>
          <w:sz w:val="28"/>
          <w:szCs w:val="28"/>
          <w:highlight w:val="none"/>
        </w:rPr>
        <w:t>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第七条本协议一式</w:t>
      </w:r>
      <w:r>
        <w:rPr>
          <w:rFonts w:hint="eastAsia" w:ascii="仿宋" w:hAnsi="仿宋" w:eastAsia="仿宋" w:cs="仿宋"/>
          <w:bCs/>
          <w:sz w:val="28"/>
          <w:szCs w:val="28"/>
          <w:highlight w:val="none"/>
          <w:u w:val="single"/>
          <w:lang w:val="en-US" w:eastAsia="zh-CN"/>
        </w:rPr>
        <w:t>捌</w:t>
      </w:r>
      <w:r>
        <w:rPr>
          <w:rFonts w:hint="eastAsia" w:ascii="仿宋" w:hAnsi="仿宋" w:eastAsia="仿宋" w:cs="仿宋"/>
          <w:bCs/>
          <w:sz w:val="28"/>
          <w:szCs w:val="28"/>
          <w:highlight w:val="none"/>
        </w:rPr>
        <w:t>份，甲方</w:t>
      </w:r>
      <w:r>
        <w:rPr>
          <w:rFonts w:hint="eastAsia" w:ascii="仿宋" w:hAnsi="仿宋" w:eastAsia="仿宋" w:cs="仿宋"/>
          <w:bCs/>
          <w:sz w:val="28"/>
          <w:szCs w:val="28"/>
          <w:highlight w:val="none"/>
          <w:u w:val="single"/>
          <w:lang w:val="en-US" w:eastAsia="zh-CN"/>
        </w:rPr>
        <w:t>伍</w:t>
      </w:r>
      <w:r>
        <w:rPr>
          <w:rFonts w:hint="eastAsia" w:ascii="仿宋" w:hAnsi="仿宋" w:eastAsia="仿宋" w:cs="仿宋"/>
          <w:bCs/>
          <w:sz w:val="28"/>
          <w:szCs w:val="28"/>
          <w:highlight w:val="none"/>
        </w:rPr>
        <w:t>份，乙方</w:t>
      </w:r>
      <w:r>
        <w:rPr>
          <w:rFonts w:hint="eastAsia" w:ascii="仿宋" w:hAnsi="仿宋" w:eastAsia="仿宋" w:cs="仿宋"/>
          <w:bCs/>
          <w:sz w:val="28"/>
          <w:szCs w:val="28"/>
          <w:highlight w:val="none"/>
          <w:u w:val="single"/>
          <w:lang w:val="en-US" w:eastAsia="zh-CN"/>
        </w:rPr>
        <w:t>叁</w:t>
      </w:r>
      <w:r>
        <w:rPr>
          <w:rFonts w:hint="eastAsia" w:ascii="仿宋" w:hAnsi="仿宋" w:eastAsia="仿宋" w:cs="仿宋"/>
          <w:bCs/>
          <w:sz w:val="28"/>
          <w:szCs w:val="28"/>
          <w:highlight w:val="none"/>
        </w:rPr>
        <w:t>份。</w:t>
      </w:r>
    </w:p>
    <w:p>
      <w:pPr>
        <w:spacing w:line="520" w:lineRule="exact"/>
        <w:ind w:firstLine="560" w:firstLineChars="200"/>
        <w:rPr>
          <w:rFonts w:ascii="仿宋" w:hAnsi="仿宋" w:eastAsia="仿宋" w:cs="仿宋"/>
          <w:bCs/>
          <w:sz w:val="28"/>
          <w:szCs w:val="28"/>
          <w:highlight w:val="none"/>
        </w:rPr>
      </w:pPr>
    </w:p>
    <w:p>
      <w:pPr>
        <w:spacing w:line="520" w:lineRule="exact"/>
        <w:rPr>
          <w:rFonts w:ascii="仿宋" w:hAnsi="仿宋" w:eastAsia="仿宋" w:cs="仿宋"/>
          <w:bCs/>
          <w:sz w:val="28"/>
          <w:szCs w:val="28"/>
          <w:highlight w:val="none"/>
        </w:rPr>
      </w:pPr>
    </w:p>
    <w:p>
      <w:pPr>
        <w:pStyle w:val="22"/>
        <w:rPr>
          <w:color w:val="auto"/>
          <w:highlight w:val="none"/>
        </w:rPr>
      </w:pPr>
    </w:p>
    <w:p>
      <w:pPr>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甲方（盖章）：                     乙方（盖章）：</w:t>
      </w:r>
    </w:p>
    <w:p>
      <w:pPr>
        <w:pStyle w:val="33"/>
        <w:tabs>
          <w:tab w:val="left" w:pos="5100"/>
        </w:tabs>
        <w:spacing w:line="520" w:lineRule="exact"/>
        <w:ind w:left="7200" w:firstLine="0" w:firstLineChars="0"/>
        <w:jc w:val="left"/>
        <w:rPr>
          <w:rFonts w:ascii="仿宋" w:hAnsi="仿宋" w:eastAsia="仿宋" w:cs="仿宋"/>
          <w:bCs/>
          <w:sz w:val="28"/>
          <w:szCs w:val="28"/>
          <w:highlight w:val="none"/>
        </w:rPr>
      </w:pPr>
    </w:p>
    <w:p>
      <w:pPr>
        <w:tabs>
          <w:tab w:val="left" w:pos="5100"/>
        </w:tabs>
        <w:spacing w:line="520" w:lineRule="exact"/>
        <w:ind w:left="8400" w:hanging="8400" w:hangingChars="3000"/>
        <w:rPr>
          <w:rFonts w:ascii="仿宋" w:hAnsi="仿宋" w:eastAsia="仿宋" w:cs="仿宋"/>
          <w:bCs/>
          <w:sz w:val="28"/>
          <w:szCs w:val="28"/>
          <w:highlight w:val="none"/>
        </w:rPr>
      </w:pPr>
      <w:r>
        <w:rPr>
          <w:rFonts w:hint="eastAsia" w:ascii="仿宋" w:hAnsi="仿宋" w:eastAsia="仿宋" w:cs="仿宋"/>
          <w:bCs/>
          <w:sz w:val="28"/>
          <w:szCs w:val="28"/>
          <w:highlight w:val="none"/>
        </w:rPr>
        <w:t>签约代表：                         签约代表：</w:t>
      </w:r>
    </w:p>
    <w:p>
      <w:pPr>
        <w:tabs>
          <w:tab w:val="left" w:pos="4170"/>
        </w:tabs>
        <w:spacing w:line="520" w:lineRule="exact"/>
        <w:rPr>
          <w:rFonts w:ascii="仿宋_GB2312" w:hAnsi="仿宋_GB2312" w:eastAsia="仿宋_GB2312" w:cs="仿宋_GB2312"/>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t xml:space="preserve">     日期：</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日</w:t>
      </w:r>
    </w:p>
    <w:p>
      <w:pPr>
        <w:pStyle w:val="46"/>
        <w:rPr>
          <w:color w:val="auto"/>
          <w:highlight w:val="none"/>
        </w:rPr>
        <w:sectPr>
          <w:pgSz w:w="11906" w:h="16838"/>
          <w:pgMar w:top="1440" w:right="1800" w:bottom="1440" w:left="1800" w:header="851" w:footer="992" w:gutter="0"/>
          <w:cols w:space="425" w:num="1"/>
          <w:docGrid w:type="lines" w:linePitch="312" w:charSpace="0"/>
        </w:sectPr>
      </w:pPr>
    </w:p>
    <w:p>
      <w:pPr>
        <w:spacing w:line="560" w:lineRule="exact"/>
        <w:jc w:val="left"/>
        <w:rPr>
          <w:rFonts w:ascii="宋体" w:hAnsi="宋体" w:cs="宋体"/>
          <w:b/>
          <w:bCs/>
          <w:szCs w:val="21"/>
          <w:highlight w:val="none"/>
        </w:rPr>
      </w:pPr>
      <w:r>
        <w:rPr>
          <w:rFonts w:hint="eastAsia" w:ascii="宋体" w:hAnsi="宋体" w:eastAsia="宋体" w:cs="宋体"/>
          <w:b/>
          <w:bCs/>
          <w:szCs w:val="21"/>
          <w:highlight w:val="none"/>
        </w:rPr>
        <w:t>附件3</w:t>
      </w:r>
      <w:r>
        <w:rPr>
          <w:rFonts w:hint="eastAsia" w:ascii="宋体" w:hAnsi="宋体" w:cs="宋体"/>
          <w:b/>
          <w:bCs/>
          <w:szCs w:val="21"/>
          <w:highlight w:val="none"/>
        </w:rPr>
        <w:t xml:space="preserve"> 安全协议书</w:t>
      </w:r>
    </w:p>
    <w:p>
      <w:pPr>
        <w:spacing w:line="360" w:lineRule="auto"/>
        <w:rPr>
          <w:rFonts w:ascii="宋体" w:hAnsi="宋体"/>
          <w:szCs w:val="21"/>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甲方：广州市净水有限公司</w:t>
      </w:r>
      <w:r>
        <w:rPr>
          <w:rFonts w:hint="eastAsia"/>
          <w:sz w:val="24"/>
          <w:highlight w:val="none"/>
        </w:rPr>
        <w:t xml:space="preserve">  </w:t>
      </w:r>
    </w:p>
    <w:p>
      <w:pPr>
        <w:spacing w:line="560" w:lineRule="exact"/>
        <w:rPr>
          <w:rFonts w:ascii="宋体" w:hAnsi="宋体" w:cs="Arial"/>
          <w:kern w:val="0"/>
          <w:sz w:val="24"/>
          <w:highlight w:val="none"/>
        </w:rPr>
      </w:pPr>
      <w:r>
        <w:rPr>
          <w:rFonts w:hint="eastAsia" w:ascii="宋体" w:hAnsi="宋体" w:cs="Arial"/>
          <w:kern w:val="0"/>
          <w:sz w:val="24"/>
          <w:highlight w:val="none"/>
        </w:rPr>
        <w:t>乙方：</w:t>
      </w:r>
      <w:r>
        <w:rPr>
          <w:rFonts w:hint="eastAsia" w:ascii="宋体" w:hAnsi="宋体" w:cs="宋体"/>
          <w:sz w:val="24"/>
          <w:highlight w:val="none"/>
        </w:rPr>
        <w:t xml:space="preserve">    </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lang w:val="en-US" w:eastAsia="zh-CN"/>
        </w:rPr>
        <w:t>广州市净水有限公司环城北净水厂安全预评价技术服务项目（第二次）</w:t>
      </w:r>
      <w:r>
        <w:rPr>
          <w:rFonts w:hint="eastAsia" w:ascii="宋体" w:hAnsi="宋体"/>
          <w:sz w:val="24"/>
          <w:highlight w:val="none"/>
        </w:rPr>
        <w:t>合同的组成部分，与主合同具有同等法律。</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二、甲方权责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（四）遵守甲方制定的安全管理要求。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highlight w:val="none"/>
        </w:rPr>
      </w:pPr>
      <w:r>
        <w:rPr>
          <w:rFonts w:hint="eastAsia" w:ascii="宋体" w:hAnsi="宋体"/>
          <w:sz w:val="24"/>
          <w:highlight w:val="none"/>
        </w:rPr>
        <w:t>（七）委托的第三方运输单位或个人，违反本协议的，全部责任均由乙方承担。</w:t>
      </w:r>
    </w:p>
    <w:p>
      <w:pPr>
        <w:pStyle w:val="36"/>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hint="eastAsia" w:ascii="宋体" w:hAnsi="宋体"/>
          <w:sz w:val="24"/>
          <w:highlight w:val="none"/>
          <w:u w:val="single"/>
        </w:rPr>
        <w:t xml:space="preserve"> 无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sz w:val="24"/>
          <w:highlight w:val="none"/>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sz w:val="24"/>
                <w:highlight w:val="none"/>
              </w:rPr>
            </w:pPr>
            <w:r>
              <w:rPr>
                <w:rFonts w:hint="eastAsia" w:ascii="宋体" w:hAnsi="宋体"/>
                <w:sz w:val="24"/>
                <w:highlight w:val="none"/>
              </w:rPr>
              <w:t xml:space="preserve">甲方：广州市净水有限公司 </w:t>
            </w:r>
          </w:p>
          <w:p>
            <w:pPr>
              <w:adjustRightInd w:val="0"/>
              <w:snapToGrid w:val="0"/>
              <w:spacing w:line="560" w:lineRule="exact"/>
              <w:rPr>
                <w:rFonts w:ascii="宋体" w:hAnsi="宋体"/>
                <w:sz w:val="24"/>
                <w:highlight w:val="none"/>
              </w:rPr>
            </w:pP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hint="eastAsia" w:ascii="宋体" w:hAnsi="宋体" w:eastAsia="宋体"/>
                <w:sz w:val="24"/>
                <w:highlight w:val="none"/>
                <w:lang w:val="en-US" w:eastAsia="zh-CN"/>
              </w:rPr>
            </w:pPr>
            <w:r>
              <w:rPr>
                <w:rFonts w:hint="eastAsia" w:ascii="宋体" w:hAnsi="宋体"/>
                <w:sz w:val="24"/>
                <w:highlight w:val="none"/>
              </w:rPr>
              <w:t>联系电话：</w:t>
            </w:r>
            <w:r>
              <w:rPr>
                <w:rFonts w:hint="eastAsia" w:ascii="宋体" w:hAnsi="宋体"/>
                <w:sz w:val="24"/>
                <w:highlight w:val="none"/>
                <w:lang w:val="en-US" w:eastAsia="zh-CN"/>
              </w:rPr>
              <w:t xml:space="preserve"> </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tc>
        <w:tc>
          <w:tcPr>
            <w:tcW w:w="4474" w:type="dxa"/>
            <w:noWrap/>
          </w:tcPr>
          <w:p>
            <w:pPr>
              <w:adjustRightInd w:val="0"/>
              <w:snapToGrid w:val="0"/>
              <w:spacing w:line="560" w:lineRule="exact"/>
              <w:rPr>
                <w:rFonts w:hint="eastAsia" w:ascii="宋体" w:hAnsi="宋体" w:eastAsia="宋体"/>
                <w:sz w:val="24"/>
                <w:highlight w:val="none"/>
                <w:lang w:eastAsia="zh-CN"/>
              </w:rPr>
            </w:pPr>
            <w:r>
              <w:rPr>
                <w:rFonts w:hint="eastAsia" w:ascii="宋体" w:hAnsi="宋体"/>
                <w:sz w:val="24"/>
                <w:highlight w:val="none"/>
              </w:rPr>
              <w:t>乙方：</w:t>
            </w:r>
            <w:r>
              <w:rPr>
                <w:rFonts w:hint="eastAsia" w:ascii="宋体" w:hAnsi="宋体"/>
                <w:sz w:val="24"/>
                <w:highlight w:val="none"/>
                <w:lang w:val="en-US" w:eastAsia="zh-CN"/>
              </w:rPr>
              <w:t xml:space="preserve"> </w:t>
            </w:r>
          </w:p>
          <w:p>
            <w:pPr>
              <w:pStyle w:val="22"/>
              <w:rPr>
                <w:color w:val="auto"/>
                <w:highlight w:val="none"/>
              </w:rPr>
            </w:pP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hint="eastAsia" w:ascii="宋体" w:hAnsi="宋体" w:eastAsia="宋体"/>
                <w:sz w:val="24"/>
                <w:highlight w:val="none"/>
                <w:lang w:val="en-US" w:eastAsia="zh-CN"/>
              </w:rPr>
            </w:pPr>
            <w:r>
              <w:rPr>
                <w:rFonts w:hint="eastAsia" w:ascii="宋体" w:hAnsi="宋体"/>
                <w:sz w:val="24"/>
                <w:highlight w:val="none"/>
              </w:rPr>
              <w:t>联系电话：</w:t>
            </w:r>
            <w:r>
              <w:rPr>
                <w:rFonts w:hint="eastAsia" w:ascii="宋体" w:hAnsi="宋体"/>
                <w:sz w:val="24"/>
                <w:highlight w:val="none"/>
                <w:lang w:val="en-US" w:eastAsia="zh-CN"/>
              </w:rPr>
              <w:t xml:space="preserve"> </w:t>
            </w:r>
          </w:p>
          <w:p>
            <w:pPr>
              <w:adjustRightInd w:val="0"/>
              <w:snapToGrid w:val="0"/>
              <w:spacing w:line="560" w:lineRule="exact"/>
              <w:jc w:val="right"/>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tc>
      </w:tr>
    </w:tbl>
    <w:p>
      <w:pPr>
        <w:ind w:firstLine="480" w:firstLineChars="200"/>
        <w:rPr>
          <w:rFonts w:hint="eastAsia" w:ascii="宋体" w:hAnsi="宋体" w:cs="宋体"/>
          <w:sz w:val="24"/>
          <w:szCs w:val="24"/>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spacing w:line="360" w:lineRule="auto"/>
        <w:ind w:right="-1153" w:rightChars="-549"/>
        <w:rPr>
          <w:rFonts w:hint="eastAsia" w:eastAsia="宋体"/>
          <w:highlight w:val="none"/>
          <w:lang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3"/>
        <w:rPr>
          <w:color w:val="auto"/>
          <w:highlight w:val="none"/>
        </w:rPr>
      </w:pPr>
      <w:bookmarkStart w:id="85" w:name="_Toc5129"/>
      <w:bookmarkStart w:id="86" w:name="_Toc12169"/>
      <w:bookmarkStart w:id="87" w:name="_Toc1563"/>
      <w:bookmarkStart w:id="88" w:name="_Toc8147"/>
      <w:bookmarkStart w:id="89" w:name="_Toc21847"/>
      <w:bookmarkStart w:id="90" w:name="_Toc30824"/>
      <w:bookmarkStart w:id="91" w:name="_Toc6230"/>
      <w:bookmarkStart w:id="92" w:name="_Toc23515"/>
      <w:bookmarkStart w:id="93" w:name="_Toc28358"/>
      <w:bookmarkStart w:id="94" w:name="_Toc3723"/>
      <w:bookmarkStart w:id="95" w:name="_Toc16552"/>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3"/>
        <w:rPr>
          <w:color w:val="auto"/>
          <w:highlight w:val="none"/>
        </w:rPr>
      </w:pPr>
      <w:bookmarkStart w:id="96" w:name="_Toc17119"/>
      <w:bookmarkStart w:id="97" w:name="_Toc87616388"/>
      <w:bookmarkStart w:id="98" w:name="_Toc12610"/>
      <w:bookmarkStart w:id="99" w:name="_Toc12769"/>
      <w:bookmarkStart w:id="100" w:name="_Toc24815"/>
      <w:bookmarkStart w:id="101" w:name="_Toc21675"/>
      <w:bookmarkStart w:id="102" w:name="_Toc88209951"/>
      <w:bookmarkStart w:id="103" w:name="_Toc10840"/>
      <w:bookmarkStart w:id="104" w:name="_Toc30157"/>
      <w:bookmarkStart w:id="105" w:name="_Toc22764"/>
      <w:bookmarkStart w:id="106" w:name="_Toc31564"/>
      <w:bookmarkStart w:id="107" w:name="_Toc24490"/>
      <w:bookmarkStart w:id="108" w:name="_Toc5342"/>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val="en-US" w:eastAsia="zh-CN"/>
        </w:rPr>
        <w:t>广州市净水有限公司环城北净水厂</w:t>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安全预评价技术服务项目（第二次））</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15" w:name="_Toc88209957"/>
      <w:bookmarkStart w:id="116" w:name="_Toc87616394"/>
      <w:bookmarkStart w:id="117" w:name="_Toc28619645"/>
      <w:bookmarkStart w:id="118" w:name="_Toc12665"/>
      <w:bookmarkStart w:id="119" w:name="_Toc6313"/>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88209958"/>
      <w:bookmarkStart w:id="122" w:name="_Toc29833"/>
      <w:bookmarkStart w:id="123"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19830"/>
      <w:bookmarkStart w:id="125" w:name="_Toc87616400"/>
      <w:bookmarkStart w:id="126" w:name="_Toc88209963"/>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广州市净水有限公司环城北净水厂安全预评价技术服务项目（第二次）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29" w:name="_Toc88209965"/>
      <w:bookmarkStart w:id="130" w:name="_Toc16386"/>
      <w:bookmarkStart w:id="131" w:name="_Toc6058"/>
      <w:bookmarkStart w:id="132" w:name="_Toc87616402"/>
      <w:r>
        <w:rPr>
          <w:rFonts w:hint="eastAsia" w:eastAsiaTheme="majorEastAsia"/>
          <w:color w:val="auto"/>
          <w:highlight w:val="none"/>
          <w:lang w:val="en-US" w:eastAsia="zh-CN"/>
        </w:rPr>
        <w:t>5</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6E6810"/>
    <w:rsid w:val="00911ECD"/>
    <w:rsid w:val="00A042E0"/>
    <w:rsid w:val="00B26BB1"/>
    <w:rsid w:val="00B26E21"/>
    <w:rsid w:val="00B741D7"/>
    <w:rsid w:val="00D4533C"/>
    <w:rsid w:val="00F83B64"/>
    <w:rsid w:val="013E3461"/>
    <w:rsid w:val="01BB0F13"/>
    <w:rsid w:val="02090C75"/>
    <w:rsid w:val="027E65FC"/>
    <w:rsid w:val="02A23A3C"/>
    <w:rsid w:val="02FB196F"/>
    <w:rsid w:val="035D130A"/>
    <w:rsid w:val="039110A9"/>
    <w:rsid w:val="03AC246A"/>
    <w:rsid w:val="03AE6061"/>
    <w:rsid w:val="03B23056"/>
    <w:rsid w:val="03DA023E"/>
    <w:rsid w:val="03DC3EBA"/>
    <w:rsid w:val="03F9794D"/>
    <w:rsid w:val="046A2461"/>
    <w:rsid w:val="051C2970"/>
    <w:rsid w:val="060C3611"/>
    <w:rsid w:val="06C64829"/>
    <w:rsid w:val="06FA0DFD"/>
    <w:rsid w:val="070E7B6E"/>
    <w:rsid w:val="071D62B7"/>
    <w:rsid w:val="077D16D2"/>
    <w:rsid w:val="07915854"/>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CC25F19"/>
    <w:rsid w:val="0D794204"/>
    <w:rsid w:val="0E2125D1"/>
    <w:rsid w:val="0E214211"/>
    <w:rsid w:val="0E5F2769"/>
    <w:rsid w:val="0ED8332F"/>
    <w:rsid w:val="0F4D75A3"/>
    <w:rsid w:val="0F5B2DCA"/>
    <w:rsid w:val="0FA20605"/>
    <w:rsid w:val="0FED051E"/>
    <w:rsid w:val="0FEE4C29"/>
    <w:rsid w:val="0FFD33F6"/>
    <w:rsid w:val="10031608"/>
    <w:rsid w:val="10046082"/>
    <w:rsid w:val="104974DD"/>
    <w:rsid w:val="108C3B91"/>
    <w:rsid w:val="10C96CBC"/>
    <w:rsid w:val="11027205"/>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377249"/>
    <w:rsid w:val="189D5B1F"/>
    <w:rsid w:val="18A34CD0"/>
    <w:rsid w:val="195D0693"/>
    <w:rsid w:val="19A53EA8"/>
    <w:rsid w:val="19B64DBC"/>
    <w:rsid w:val="19EC6A4A"/>
    <w:rsid w:val="1A3558AB"/>
    <w:rsid w:val="1A373ACF"/>
    <w:rsid w:val="1A7B10BA"/>
    <w:rsid w:val="1A895341"/>
    <w:rsid w:val="1B0D071F"/>
    <w:rsid w:val="1B4568CE"/>
    <w:rsid w:val="1B6C00C4"/>
    <w:rsid w:val="1B9015B7"/>
    <w:rsid w:val="1B950DA6"/>
    <w:rsid w:val="1BA34DFD"/>
    <w:rsid w:val="1BF54245"/>
    <w:rsid w:val="1D0E6976"/>
    <w:rsid w:val="1D5A79EE"/>
    <w:rsid w:val="1E0E2CD0"/>
    <w:rsid w:val="1E831280"/>
    <w:rsid w:val="1EBC4704"/>
    <w:rsid w:val="1F172EB5"/>
    <w:rsid w:val="1F22070B"/>
    <w:rsid w:val="1F446C62"/>
    <w:rsid w:val="1F695E3D"/>
    <w:rsid w:val="1F94592D"/>
    <w:rsid w:val="1FB860DE"/>
    <w:rsid w:val="1FDF2EF9"/>
    <w:rsid w:val="203C5A02"/>
    <w:rsid w:val="209D4C94"/>
    <w:rsid w:val="20B44FCD"/>
    <w:rsid w:val="20E84705"/>
    <w:rsid w:val="218400BA"/>
    <w:rsid w:val="21AB1E2F"/>
    <w:rsid w:val="21D40498"/>
    <w:rsid w:val="21DB788C"/>
    <w:rsid w:val="22493963"/>
    <w:rsid w:val="22767047"/>
    <w:rsid w:val="23A05588"/>
    <w:rsid w:val="240476A1"/>
    <w:rsid w:val="240D5638"/>
    <w:rsid w:val="247C0C4C"/>
    <w:rsid w:val="25431AEB"/>
    <w:rsid w:val="25B875EB"/>
    <w:rsid w:val="25BE3BFB"/>
    <w:rsid w:val="25BF43FD"/>
    <w:rsid w:val="25F86BCD"/>
    <w:rsid w:val="2605748B"/>
    <w:rsid w:val="26351E29"/>
    <w:rsid w:val="26396D26"/>
    <w:rsid w:val="264544A6"/>
    <w:rsid w:val="267702FB"/>
    <w:rsid w:val="269E416A"/>
    <w:rsid w:val="26C11C6B"/>
    <w:rsid w:val="272100D3"/>
    <w:rsid w:val="272C72FC"/>
    <w:rsid w:val="275131CB"/>
    <w:rsid w:val="278F6521"/>
    <w:rsid w:val="27AF3945"/>
    <w:rsid w:val="27EB149D"/>
    <w:rsid w:val="27FD3E52"/>
    <w:rsid w:val="28E11370"/>
    <w:rsid w:val="294A756A"/>
    <w:rsid w:val="29722B26"/>
    <w:rsid w:val="29781BF8"/>
    <w:rsid w:val="297939E2"/>
    <w:rsid w:val="29C33ED0"/>
    <w:rsid w:val="29CA47AF"/>
    <w:rsid w:val="29D5322D"/>
    <w:rsid w:val="2A025DD9"/>
    <w:rsid w:val="2A2619CB"/>
    <w:rsid w:val="2A7317D3"/>
    <w:rsid w:val="2A7376EA"/>
    <w:rsid w:val="2A7C2231"/>
    <w:rsid w:val="2A920E4F"/>
    <w:rsid w:val="2ABB753D"/>
    <w:rsid w:val="2AEA3681"/>
    <w:rsid w:val="2AFE6EC4"/>
    <w:rsid w:val="2B7A49FA"/>
    <w:rsid w:val="2C615D26"/>
    <w:rsid w:val="2CB679ED"/>
    <w:rsid w:val="2CE83C37"/>
    <w:rsid w:val="2D173C07"/>
    <w:rsid w:val="2D424A86"/>
    <w:rsid w:val="2D6F75A0"/>
    <w:rsid w:val="2DDA66B7"/>
    <w:rsid w:val="2E6F2D11"/>
    <w:rsid w:val="2E7B52DB"/>
    <w:rsid w:val="2ED60115"/>
    <w:rsid w:val="2EF44F80"/>
    <w:rsid w:val="2F324CFE"/>
    <w:rsid w:val="2F8B6144"/>
    <w:rsid w:val="2FBA09F1"/>
    <w:rsid w:val="2FEB3379"/>
    <w:rsid w:val="2FEF2ACF"/>
    <w:rsid w:val="2FF93D20"/>
    <w:rsid w:val="30540211"/>
    <w:rsid w:val="30E45100"/>
    <w:rsid w:val="31112A0D"/>
    <w:rsid w:val="3118711F"/>
    <w:rsid w:val="311F4B20"/>
    <w:rsid w:val="312D7741"/>
    <w:rsid w:val="316F137F"/>
    <w:rsid w:val="31DF525F"/>
    <w:rsid w:val="31EC162B"/>
    <w:rsid w:val="32324C2E"/>
    <w:rsid w:val="327171DF"/>
    <w:rsid w:val="328D514A"/>
    <w:rsid w:val="3391569E"/>
    <w:rsid w:val="341E3434"/>
    <w:rsid w:val="34BB4442"/>
    <w:rsid w:val="3584136B"/>
    <w:rsid w:val="3597671C"/>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D605B13"/>
    <w:rsid w:val="3E391C30"/>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5E7EDC"/>
    <w:rsid w:val="45C13B4D"/>
    <w:rsid w:val="46054BCA"/>
    <w:rsid w:val="464C6AFC"/>
    <w:rsid w:val="468B0091"/>
    <w:rsid w:val="46A107C3"/>
    <w:rsid w:val="46B15CE2"/>
    <w:rsid w:val="46BE113D"/>
    <w:rsid w:val="46E44B13"/>
    <w:rsid w:val="4703508A"/>
    <w:rsid w:val="4725637F"/>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AFA4BD3"/>
    <w:rsid w:val="4B2038D0"/>
    <w:rsid w:val="4B296E7D"/>
    <w:rsid w:val="4B79394E"/>
    <w:rsid w:val="4B877F28"/>
    <w:rsid w:val="4B900F47"/>
    <w:rsid w:val="4CD200BA"/>
    <w:rsid w:val="4D2044E7"/>
    <w:rsid w:val="4D916BA6"/>
    <w:rsid w:val="4DC44169"/>
    <w:rsid w:val="4DC52AAE"/>
    <w:rsid w:val="4DE24E21"/>
    <w:rsid w:val="4E1B19A3"/>
    <w:rsid w:val="4E48787F"/>
    <w:rsid w:val="4E617F29"/>
    <w:rsid w:val="4EF0709E"/>
    <w:rsid w:val="4F0469A4"/>
    <w:rsid w:val="4F62727E"/>
    <w:rsid w:val="500E56F4"/>
    <w:rsid w:val="50540C73"/>
    <w:rsid w:val="50752AF8"/>
    <w:rsid w:val="508000EF"/>
    <w:rsid w:val="509727E6"/>
    <w:rsid w:val="513C6A7B"/>
    <w:rsid w:val="517300C9"/>
    <w:rsid w:val="51DC7598"/>
    <w:rsid w:val="52EC6EC2"/>
    <w:rsid w:val="532D486F"/>
    <w:rsid w:val="5333545B"/>
    <w:rsid w:val="538D0E89"/>
    <w:rsid w:val="5450213C"/>
    <w:rsid w:val="546711F3"/>
    <w:rsid w:val="546C3825"/>
    <w:rsid w:val="54B00268"/>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246BE1"/>
    <w:rsid w:val="59EC3BB9"/>
    <w:rsid w:val="59FC7994"/>
    <w:rsid w:val="5A006DFE"/>
    <w:rsid w:val="5AE83A50"/>
    <w:rsid w:val="5B353193"/>
    <w:rsid w:val="5B724FEB"/>
    <w:rsid w:val="5BAB2917"/>
    <w:rsid w:val="5BFC33FA"/>
    <w:rsid w:val="5C3107A4"/>
    <w:rsid w:val="5C3B1B93"/>
    <w:rsid w:val="5C9220DF"/>
    <w:rsid w:val="5D4A15F3"/>
    <w:rsid w:val="5D69542A"/>
    <w:rsid w:val="5D783B72"/>
    <w:rsid w:val="5E0930EF"/>
    <w:rsid w:val="5E3D4D53"/>
    <w:rsid w:val="5E4717E6"/>
    <w:rsid w:val="5E55774C"/>
    <w:rsid w:val="5E873E9A"/>
    <w:rsid w:val="5E8A70FF"/>
    <w:rsid w:val="60045F96"/>
    <w:rsid w:val="60104DDC"/>
    <w:rsid w:val="605C0804"/>
    <w:rsid w:val="60913E6F"/>
    <w:rsid w:val="610E15B4"/>
    <w:rsid w:val="61733C3E"/>
    <w:rsid w:val="6189617B"/>
    <w:rsid w:val="61B52BB6"/>
    <w:rsid w:val="61B749C2"/>
    <w:rsid w:val="61F335F4"/>
    <w:rsid w:val="62280D20"/>
    <w:rsid w:val="62B4786E"/>
    <w:rsid w:val="62CA2457"/>
    <w:rsid w:val="6311467A"/>
    <w:rsid w:val="638240A1"/>
    <w:rsid w:val="63833423"/>
    <w:rsid w:val="63A5257B"/>
    <w:rsid w:val="63BD3DCC"/>
    <w:rsid w:val="63C61741"/>
    <w:rsid w:val="64560967"/>
    <w:rsid w:val="6492188A"/>
    <w:rsid w:val="656B1D10"/>
    <w:rsid w:val="65B36835"/>
    <w:rsid w:val="65B841F9"/>
    <w:rsid w:val="66022B28"/>
    <w:rsid w:val="661E7FC8"/>
    <w:rsid w:val="664A38E2"/>
    <w:rsid w:val="66581E87"/>
    <w:rsid w:val="66766EBB"/>
    <w:rsid w:val="66FA11D5"/>
    <w:rsid w:val="674302C7"/>
    <w:rsid w:val="676D67DA"/>
    <w:rsid w:val="67CB09D8"/>
    <w:rsid w:val="67EE3B0F"/>
    <w:rsid w:val="680A5986"/>
    <w:rsid w:val="680D5F4B"/>
    <w:rsid w:val="68113F51"/>
    <w:rsid w:val="6828259E"/>
    <w:rsid w:val="68691A4F"/>
    <w:rsid w:val="68AD09A1"/>
    <w:rsid w:val="68C10EF1"/>
    <w:rsid w:val="68E94770"/>
    <w:rsid w:val="68EC1CEF"/>
    <w:rsid w:val="68F949C9"/>
    <w:rsid w:val="695A4290"/>
    <w:rsid w:val="696F3649"/>
    <w:rsid w:val="699E5B68"/>
    <w:rsid w:val="6A334932"/>
    <w:rsid w:val="6A3353FF"/>
    <w:rsid w:val="6A5D63E6"/>
    <w:rsid w:val="6A5F24D1"/>
    <w:rsid w:val="6ACA70C4"/>
    <w:rsid w:val="6AE347EB"/>
    <w:rsid w:val="6B330365"/>
    <w:rsid w:val="6B434AF0"/>
    <w:rsid w:val="6B57675A"/>
    <w:rsid w:val="6B87098A"/>
    <w:rsid w:val="6BDD7B4D"/>
    <w:rsid w:val="6D0B3207"/>
    <w:rsid w:val="6E380D0C"/>
    <w:rsid w:val="6EBC0B3A"/>
    <w:rsid w:val="6EF51C7D"/>
    <w:rsid w:val="6F8363E5"/>
    <w:rsid w:val="6F841DCF"/>
    <w:rsid w:val="6FA80CCD"/>
    <w:rsid w:val="6FAC3CC5"/>
    <w:rsid w:val="6FB31EE8"/>
    <w:rsid w:val="6FC746F5"/>
    <w:rsid w:val="6FE33EF5"/>
    <w:rsid w:val="70317AC6"/>
    <w:rsid w:val="704B26F7"/>
    <w:rsid w:val="70697B21"/>
    <w:rsid w:val="70863262"/>
    <w:rsid w:val="70A76ED3"/>
    <w:rsid w:val="71860B17"/>
    <w:rsid w:val="723B27CC"/>
    <w:rsid w:val="72687227"/>
    <w:rsid w:val="72A03FD9"/>
    <w:rsid w:val="72F247EE"/>
    <w:rsid w:val="73406CFF"/>
    <w:rsid w:val="7383028C"/>
    <w:rsid w:val="73A25E44"/>
    <w:rsid w:val="741F68CF"/>
    <w:rsid w:val="74313B39"/>
    <w:rsid w:val="74753290"/>
    <w:rsid w:val="75252DF3"/>
    <w:rsid w:val="75583DB0"/>
    <w:rsid w:val="75621536"/>
    <w:rsid w:val="75BF3154"/>
    <w:rsid w:val="764A07CF"/>
    <w:rsid w:val="764F6B3D"/>
    <w:rsid w:val="769D4813"/>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FF3026"/>
    <w:rsid w:val="7AE15A5C"/>
    <w:rsid w:val="7AF37579"/>
    <w:rsid w:val="7AF87F64"/>
    <w:rsid w:val="7B1C0C84"/>
    <w:rsid w:val="7B305ECD"/>
    <w:rsid w:val="7B5A62DF"/>
    <w:rsid w:val="7B7A04A8"/>
    <w:rsid w:val="7C0C3F6D"/>
    <w:rsid w:val="7C22163C"/>
    <w:rsid w:val="7C457B4B"/>
    <w:rsid w:val="7C595075"/>
    <w:rsid w:val="7C6B07B2"/>
    <w:rsid w:val="7D133243"/>
    <w:rsid w:val="7D6617E7"/>
    <w:rsid w:val="7D945420"/>
    <w:rsid w:val="7D997857"/>
    <w:rsid w:val="7E394207"/>
    <w:rsid w:val="7E4007A2"/>
    <w:rsid w:val="7E634D85"/>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spacing w:before="100" w:beforeAutospacing="1" w:after="100" w:afterAutospacing="1"/>
      <w:jc w:val="left"/>
    </w:pPr>
    <w:rPr>
      <w:rFonts w:cs="Times New Roman"/>
      <w:kern w:val="0"/>
      <w:sz w:val="24"/>
    </w:rPr>
  </w:style>
  <w:style w:type="paragraph" w:styleId="21">
    <w:name w:val="Body Text First Indent"/>
    <w:basedOn w:val="7"/>
    <w:unhideWhenUsed/>
    <w:qFormat/>
    <w:uiPriority w:val="99"/>
    <w:pPr>
      <w:spacing w:after="120"/>
      <w:ind w:firstLine="420"/>
    </w:pPr>
    <w:rPr>
      <w:sz w:val="21"/>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21"/>
    <w:basedOn w:val="25"/>
    <w:qFormat/>
    <w:uiPriority w:val="0"/>
    <w:rPr>
      <w:rFonts w:hint="eastAsia" w:ascii="宋体" w:hAnsi="宋体" w:eastAsia="宋体" w:cs="宋体"/>
      <w:b/>
      <w:bCs/>
      <w:color w:val="000000"/>
      <w:sz w:val="18"/>
      <w:szCs w:val="18"/>
      <w:u w:val="none"/>
    </w:rPr>
  </w:style>
  <w:style w:type="character" w:customStyle="1" w:styleId="48">
    <w:name w:val="font11"/>
    <w:basedOn w:val="2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14879</Words>
  <Characters>15608</Characters>
  <Lines>300</Lines>
  <Paragraphs>84</Paragraphs>
  <TotalTime>52</TotalTime>
  <ScaleCrop>false</ScaleCrop>
  <LinksUpToDate>false</LinksUpToDate>
  <CharactersWithSpaces>17136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2022-09-06T06:31:00Z</cp:lastPrinted>
  <dcterms:modified xsi:type="dcterms:W3CDTF">2023-03-07T08:55:37Z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A7DC380C8DC74A24A3AA8205A8B88F1E</vt:lpwstr>
  </property>
</Properties>
</file>