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广州市净水有限公司江高分公司2022年鼓风机齿轮箱主呼吸器滤芯采购项目</w:t>
      </w:r>
    </w:p>
    <w:p>
      <w:pPr>
        <w:pStyle w:val="2"/>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669"/>
      <w:bookmarkStart w:id="5" w:name="_Toc11322"/>
      <w:bookmarkStart w:id="6" w:name="_Toc19609"/>
      <w:bookmarkStart w:id="7" w:name="_Toc4275"/>
      <w:bookmarkStart w:id="8" w:name="_Toc7519"/>
      <w:bookmarkStart w:id="9" w:name="_Toc31938"/>
      <w:bookmarkStart w:id="10" w:name="_Toc17801"/>
    </w:p>
    <w:p>
      <w:pPr>
        <w:pStyle w:val="3"/>
        <w:rPr>
          <w:rFonts w:hint="eastAsia"/>
          <w:color w:val="auto"/>
          <w:highlight w:val="none"/>
        </w:rPr>
      </w:pPr>
    </w:p>
    <w:p>
      <w:pPr>
        <w:pStyle w:val="3"/>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2197100</wp:posOffset>
                </wp:positionH>
                <wp:positionV relativeFrom="paragraph">
                  <wp:posOffset>84455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3pt;margin-top:6.65pt;height:0pt;width:75.5pt;z-index:251670528;mso-width-relative:page;mso-height-relative:page;" filled="f" stroked="t" coordsize="21600,21600" o:gfxdata="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PP52dcAAAAJ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2213610</wp:posOffset>
                </wp:positionH>
                <wp:positionV relativeFrom="paragraph">
                  <wp:posOffset>539115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4.3pt;margin-top:42.45pt;height:0pt;width:75.5pt;z-index:251671552;mso-width-relative:page;mso-height-relative:page;" filled="f" stroked="t" coordsize="21600,21600" o:gfxdata="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TKhW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b w:val="0"/>
          <w:bCs w:val="0"/>
          <w:color w:val="auto"/>
          <w:sz w:val="28"/>
          <w:szCs w:val="28"/>
          <w:highlight w:val="none"/>
          <w:u w:val="single"/>
        </w:rPr>
      </w:pPr>
      <w:r>
        <w:rPr>
          <w:rFonts w:hint="eastAsia" w:ascii="仿宋" w:hAnsi="仿宋" w:eastAsia="仿宋" w:cs="仿宋_GB2312"/>
          <w:b w:val="0"/>
          <w:bCs w:val="0"/>
          <w:sz w:val="28"/>
          <w:szCs w:val="28"/>
          <w:u w:val="single"/>
          <w:lang w:eastAsia="zh-CN"/>
        </w:rPr>
        <w:t>广州市净水有限公司江高分公司2022年鼓风机齿轮箱主呼吸器滤芯采购项目</w:t>
      </w:r>
      <w:r>
        <w:rPr>
          <w:rFonts w:hint="eastAsia" w:ascii="仿宋_GB2312" w:eastAsia="仿宋_GB2312"/>
          <w:b w:val="0"/>
          <w:bCs w:val="0"/>
          <w:color w:val="auto"/>
          <w:sz w:val="28"/>
          <w:szCs w:val="28"/>
          <w:highlight w:val="none"/>
        </w:rPr>
        <w:t>已具备采购条件，</w:t>
      </w:r>
      <w:r>
        <w:rPr>
          <w:rFonts w:hint="eastAsia" w:ascii="仿宋_GB2312" w:eastAsia="仿宋_GB2312"/>
          <w:b w:val="0"/>
          <w:bCs w:val="0"/>
          <w:sz w:val="28"/>
          <w:szCs w:val="28"/>
        </w:rPr>
        <w:t>现</w:t>
      </w:r>
      <w:r>
        <w:rPr>
          <w:rFonts w:hint="eastAsia" w:ascii="仿宋_GB2312" w:eastAsia="仿宋_GB2312"/>
          <w:b w:val="0"/>
          <w:bCs w:val="0"/>
          <w:sz w:val="28"/>
          <w:szCs w:val="28"/>
          <w:lang w:val="en-US" w:eastAsia="zh-CN"/>
        </w:rPr>
        <w:t>邀请合格</w:t>
      </w:r>
      <w:r>
        <w:rPr>
          <w:rFonts w:hint="eastAsia" w:ascii="仿宋_GB2312" w:eastAsia="仿宋_GB2312"/>
          <w:b w:val="0"/>
          <w:bCs w:val="0"/>
          <w:sz w:val="28"/>
          <w:szCs w:val="28"/>
          <w:u w:val="none"/>
          <w:lang w:val="en-US" w:eastAsia="zh-CN"/>
        </w:rPr>
        <w:t>单位</w:t>
      </w:r>
      <w:r>
        <w:rPr>
          <w:rFonts w:hint="eastAsia" w:ascii="仿宋_GB2312" w:eastAsia="仿宋_GB2312"/>
          <w:b w:val="0"/>
          <w:bCs w:val="0"/>
          <w:sz w:val="28"/>
          <w:szCs w:val="28"/>
        </w:rPr>
        <w:t xml:space="preserve">参加本□施工  </w:t>
      </w:r>
      <w:r>
        <w:rPr>
          <w:rFonts w:hint="eastAsia" w:ascii="仿宋_GB2312" w:eastAsia="仿宋_GB2312"/>
          <w:b w:val="0"/>
          <w:bCs w:val="0"/>
          <w:sz w:val="28"/>
          <w:szCs w:val="28"/>
          <w:lang w:eastAsia="zh-CN"/>
        </w:rPr>
        <w:t>☑</w:t>
      </w:r>
      <w:r>
        <w:rPr>
          <w:rFonts w:hint="eastAsia" w:ascii="仿宋_GB2312" w:eastAsia="仿宋_GB2312"/>
          <w:b w:val="0"/>
          <w:bCs w:val="0"/>
          <w:sz w:val="28"/>
          <w:szCs w:val="28"/>
        </w:rPr>
        <w:t>货物 □服务项目采购活动，采用□</w:t>
      </w:r>
      <w:r>
        <w:rPr>
          <w:rFonts w:hint="eastAsia" w:ascii="仿宋_GB2312" w:eastAsia="仿宋_GB2312"/>
          <w:b w:val="0"/>
          <w:bCs w:val="0"/>
          <w:sz w:val="28"/>
          <w:szCs w:val="28"/>
          <w:u w:val="single"/>
          <w:lang w:val="en-US" w:eastAsia="zh-CN"/>
        </w:rPr>
        <w:t>邀请</w:t>
      </w:r>
      <w:r>
        <w:rPr>
          <w:rFonts w:hint="eastAsia" w:ascii="仿宋_GB2312" w:eastAsia="仿宋_GB2312"/>
          <w:b w:val="0"/>
          <w:bCs w:val="0"/>
          <w:sz w:val="28"/>
          <w:szCs w:val="28"/>
          <w:u w:val="single"/>
        </w:rPr>
        <w:t>询比</w:t>
      </w:r>
      <w:r>
        <w:rPr>
          <w:rFonts w:hint="eastAsia" w:ascii="仿宋_GB2312" w:eastAsia="仿宋_GB2312"/>
          <w:b w:val="0"/>
          <w:bCs w:val="0"/>
          <w:sz w:val="28"/>
          <w:szCs w:val="28"/>
          <w:u w:val="single"/>
          <w:lang w:val="en-US" w:eastAsia="zh-CN"/>
        </w:rPr>
        <w:t xml:space="preserve"> </w:t>
      </w:r>
      <w:r>
        <w:rPr>
          <w:rFonts w:hint="eastAsia" w:ascii="仿宋_GB2312" w:eastAsia="仿宋_GB2312"/>
          <w:b w:val="0"/>
          <w:bCs w:val="0"/>
          <w:sz w:val="28"/>
          <w:szCs w:val="28"/>
          <w:lang w:eastAsia="zh-CN"/>
        </w:rPr>
        <w:t>☑</w:t>
      </w:r>
      <w:r>
        <w:rPr>
          <w:rFonts w:hint="eastAsia" w:ascii="仿宋_GB2312" w:eastAsia="仿宋_GB2312"/>
          <w:b w:val="0"/>
          <w:bCs w:val="0"/>
          <w:sz w:val="28"/>
          <w:szCs w:val="28"/>
          <w:u w:val="single"/>
          <w:lang w:val="en-US" w:eastAsia="zh-CN"/>
        </w:rPr>
        <w:t>公开询比</w:t>
      </w:r>
      <w:r>
        <w:rPr>
          <w:rFonts w:hint="eastAsia" w:ascii="仿宋_GB2312" w:eastAsia="仿宋_GB2312"/>
          <w:b w:val="0"/>
          <w:bCs w:val="0"/>
          <w:sz w:val="28"/>
          <w:szCs w:val="28"/>
        </w:rPr>
        <w:t>的方式邀请合格供应商参加本项目采购活动。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b w:val="0"/>
          <w:bCs w:val="0"/>
          <w:color w:val="auto"/>
          <w:sz w:val="28"/>
          <w:szCs w:val="28"/>
          <w:highlight w:val="none"/>
        </w:rPr>
        <w:t>1.1采购项目名称：</w:t>
      </w:r>
      <w:r>
        <w:rPr>
          <w:rFonts w:hint="eastAsia" w:ascii="仿宋" w:hAnsi="仿宋" w:eastAsia="仿宋" w:cs="仿宋_GB2312"/>
          <w:b w:val="0"/>
          <w:bCs w:val="0"/>
          <w:sz w:val="28"/>
          <w:szCs w:val="28"/>
          <w:u w:val="single"/>
          <w:lang w:eastAsia="zh-CN"/>
        </w:rPr>
        <w:t>广州市净水有限公司江高分公司2022年鼓风机齿轮箱主呼吸器滤芯采购项目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XJ-20230131-4</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7.488万元（人民币）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numPr>
          <w:ilvl w:val="0"/>
          <w:numId w:val="2"/>
        </w:numPr>
        <w:adjustRightInd w:val="0"/>
        <w:snapToGrid w:val="0"/>
        <w:spacing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采购内容和范围</w:t>
      </w:r>
    </w:p>
    <w:p>
      <w:pPr>
        <w:pStyle w:val="21"/>
        <w:numPr>
          <w:ilvl w:val="0"/>
          <w:numId w:val="0"/>
        </w:numPr>
        <w:ind w:left="420" w:leftChars="0"/>
      </w:pPr>
    </w:p>
    <w:p>
      <w:pPr>
        <w:pStyle w:val="48"/>
        <w:shd w:val="clear" w:color="auto" w:fill="auto"/>
        <w:spacing w:line="367" w:lineRule="exac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豪顿华牌SG45A-CVC型鼓风机的齿轮箱主呼吸器滤芯12个。</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自签订合同之日起90天内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广州市白云区江高镇南贤路1号广州市净水有限公司江高分公司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lang w:val="en-US" w:eastAsia="zh-CN"/>
        </w:rPr>
        <w:t xml:space="preserve"> 所提供报价货物均为制造商全新原装产品，并有相关合格证、出厂证明。</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single"/>
          <w:lang w:val="en-US" w:eastAsia="zh-CN"/>
        </w:rPr>
        <w:t>豪顿华鼓风机设备或备件</w:t>
      </w:r>
      <w:r>
        <w:rPr>
          <w:rFonts w:hint="eastAsia" w:ascii="仿宋_GB2312" w:eastAsia="仿宋_GB2312"/>
          <w:color w:val="auto"/>
          <w:sz w:val="28"/>
          <w:szCs w:val="28"/>
          <w:highlight w:val="none"/>
          <w:u w:val="none"/>
          <w:lang w:val="en-US" w:eastAsia="zh-CN"/>
        </w:rPr>
        <w:t>的供货</w:t>
      </w:r>
      <w:r>
        <w:rPr>
          <w:rFonts w:hint="eastAsia" w:ascii="仿宋_GB2312" w:eastAsia="仿宋_GB2312"/>
          <w:color w:val="auto"/>
          <w:sz w:val="28"/>
          <w:szCs w:val="28"/>
          <w:highlight w:val="none"/>
          <w:u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 xml:space="preserve">）项目负责人应当具备        </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资格条件。</w:t>
      </w:r>
    </w:p>
    <w:p>
      <w:pPr>
        <w:pStyle w:val="21"/>
        <w:ind w:left="0" w:leftChars="0" w:firstLine="0" w:firstLineChars="0"/>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val="en-US" w:eastAsia="zh-CN"/>
        </w:rPr>
        <w:t>报价人提交的响应文件需说明响应设备的型号规格表、尺寸图、产品彩叶，用于核实响应设备是否满足技术要求，资料可为（中、英、日）语，如无相关资料报价一律视为无效报价。</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w:t>
      </w:r>
      <w:r>
        <w:rPr>
          <w:rFonts w:hint="eastAsia" w:ascii="仿宋_GB2312" w:eastAsia="仿宋_GB2312"/>
          <w:color w:val="auto"/>
          <w:sz w:val="28"/>
          <w:szCs w:val="28"/>
          <w:highlight w:val="none"/>
          <w:lang w:eastAsia="zh-CN"/>
        </w:rPr>
        <w:t>报价</w:t>
      </w:r>
      <w:r>
        <w:rPr>
          <w:rFonts w:hint="eastAsia" w:ascii="仿宋_GB2312" w:eastAsia="仿宋_GB2312"/>
          <w:color w:val="auto"/>
          <w:sz w:val="28"/>
          <w:szCs w:val="28"/>
          <w:highlight w:val="none"/>
        </w:rPr>
        <w:t>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u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□组织</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04"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04"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04"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黄工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04"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04" w:type="dxa"/>
            <w:vAlign w:val="top"/>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31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1"/>
        <w:rPr>
          <w:rFonts w:hint="eastAsia"/>
          <w:color w:val="auto"/>
          <w:highlight w:val="none"/>
        </w:rPr>
      </w:pPr>
      <w:bookmarkStart w:id="13" w:name="_Toc10891"/>
    </w:p>
    <w:p>
      <w:pPr>
        <w:pStyle w:val="21"/>
        <w:rPr>
          <w:rFonts w:hint="eastAsia"/>
          <w:color w:val="auto"/>
          <w:highlight w:val="none"/>
        </w:rPr>
      </w:pPr>
    </w:p>
    <w:p>
      <w:pPr>
        <w:pStyle w:val="3"/>
        <w:rPr>
          <w:color w:val="auto"/>
          <w:highlight w:val="none"/>
        </w:rPr>
      </w:pPr>
      <w:bookmarkStart w:id="14" w:name="_Toc9448"/>
      <w:bookmarkStart w:id="15" w:name="_Toc2324"/>
      <w:bookmarkStart w:id="16" w:name="_Toc16557"/>
      <w:bookmarkStart w:id="17" w:name="_Toc23749"/>
      <w:bookmarkStart w:id="18" w:name="_Toc32588"/>
      <w:bookmarkStart w:id="19" w:name="_Toc25603"/>
      <w:bookmarkStart w:id="20" w:name="_Toc2331"/>
      <w:bookmarkStart w:id="21" w:name="_Toc16705"/>
      <w:bookmarkStart w:id="22" w:name="_Toc19295"/>
      <w:bookmarkStart w:id="23" w:name="_Toc7340"/>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116205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65pt;margin-top:9.15pt;height:0pt;width:75.5pt;z-index:251672576;mso-width-relative:page;mso-height-relative:page;" filled="f" stroked="t" coordsize="21600,21600" o:gfxdata="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KyQCt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2181860</wp:posOffset>
                </wp:positionH>
                <wp:positionV relativeFrom="paragraph">
                  <wp:posOffset>737235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1.8pt;margin-top:58.05pt;height:0pt;width:75.5pt;z-index:251673600;mso-width-relative:page;mso-height-relative:page;" filled="f" stroked="t" coordsize="21600,21600" o:gfxdata="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MkruN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pStyle w:val="21"/>
        <w:ind w:left="0" w:leftChars="0" w:firstLine="0" w:firstLineChars="0"/>
        <w:rPr>
          <w:rFonts w:hint="eastAsia" w:asciiTheme="minorEastAsia" w:hAnsiTheme="minorEastAsia"/>
          <w:b/>
          <w:color w:val="auto"/>
          <w:sz w:val="32"/>
          <w:szCs w:val="32"/>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Theme="majorEastAsia" w:hAnsiTheme="majorEastAsia" w:eastAsiaTheme="majorEastAsia"/>
          <w:b/>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cstheme="minorBidi"/>
          <w:b w:val="0"/>
          <w:bCs w:val="0"/>
          <w:color w:val="auto"/>
          <w:sz w:val="28"/>
          <w:szCs w:val="28"/>
          <w:highlight w:val="none"/>
        </w:rPr>
      </w:pPr>
      <w:r>
        <w:rPr>
          <w:rFonts w:hint="eastAsia" w:ascii="仿宋_GB2312" w:eastAsia="仿宋_GB2312" w:hAnsiTheme="minorHAnsi" w:cstheme="minorBidi"/>
          <w:b w:val="0"/>
          <w:bCs w:val="0"/>
          <w:color w:val="auto"/>
          <w:sz w:val="28"/>
          <w:szCs w:val="28"/>
          <w:highlight w:val="none"/>
        </w:rPr>
        <w:t>附件</w:t>
      </w:r>
      <w:r>
        <w:rPr>
          <w:rFonts w:hint="eastAsia" w:ascii="仿宋_GB2312" w:eastAsia="仿宋_GB2312" w:cstheme="minorBidi"/>
          <w:b w:val="0"/>
          <w:bCs w:val="0"/>
          <w:color w:val="auto"/>
          <w:sz w:val="28"/>
          <w:szCs w:val="28"/>
          <w:highlight w:val="none"/>
          <w:lang w:eastAsia="zh-CN"/>
        </w:rPr>
        <w:t>5</w:t>
      </w:r>
      <w:r>
        <w:rPr>
          <w:rFonts w:hint="eastAsia" w:ascii="仿宋_GB2312" w:eastAsia="仿宋_GB2312" w:hAnsiTheme="minorHAnsi" w:cstheme="minorBidi"/>
          <w:b w:val="0"/>
          <w:bCs w:val="0"/>
          <w:color w:val="auto"/>
          <w:sz w:val="28"/>
          <w:szCs w:val="28"/>
          <w:highlight w:val="none"/>
        </w:rPr>
        <w:t>：关于</w:t>
      </w:r>
      <w:r>
        <w:rPr>
          <w:rFonts w:hint="eastAsia" w:ascii="仿宋_GB2312" w:eastAsia="仿宋_GB2312" w:hAnsiTheme="minorHAnsi" w:cstheme="minorBidi"/>
          <w:b w:val="0"/>
          <w:bCs w:val="0"/>
          <w:color w:val="auto"/>
          <w:sz w:val="28"/>
          <w:szCs w:val="28"/>
          <w:highlight w:val="none"/>
          <w:lang w:val="en-US" w:eastAsia="zh-CN"/>
        </w:rPr>
        <w:t>**</w:t>
      </w:r>
      <w:r>
        <w:rPr>
          <w:rFonts w:hint="eastAsia" w:ascii="仿宋_GB2312" w:eastAsia="仿宋_GB2312" w:hAnsiTheme="minorHAnsi" w:cstheme="minorBidi"/>
          <w:b w:val="0"/>
          <w:bCs w:val="0"/>
          <w:color w:val="auto"/>
          <w:sz w:val="28"/>
          <w:szCs w:val="28"/>
          <w:highlight w:val="none"/>
        </w:rPr>
        <w:t>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1"/>
        <w:ind w:firstLine="0"/>
        <w:rPr>
          <w:rFonts w:hint="eastAsia"/>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ind w:firstLine="0"/>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ind w:firstLine="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ind w:firstLine="3520" w:firstLineChars="800"/>
        <w:jc w:val="both"/>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2223135</wp:posOffset>
                </wp:positionH>
                <wp:positionV relativeFrom="paragraph">
                  <wp:posOffset>665480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5.05pt;margin-top:52.4pt;height:0pt;width:75.5pt;z-index:251661312;mso-width-relative:page;mso-height-relative:page;" filled="f" stroked="t" coordsize="21600,21600" o:gfxdata="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MuGzzlzYOnCf376&#10;9uvj57svP+6+f2WLrNAQsKbAjbuJpx2Gm5jpHtpo85+IsENR9XhWVR0SE3T4YrFcLkhvce+qHvJC&#10;xPRKecuy0XBMEXTXp413jq7Ox1kRFfavMVFlSrxPyEWNY0OGny8IHGgUWxoBMm0gOui6koveaHmt&#10;jckZGLvdxkS2hzwO5cv8CPevsFxkC9iPccU1DkqvQL50kqVjIKEcvQ+eW7BKcmYUPadsESDUCbS5&#10;JJJKG0cdZIlHUbO18/JYtC7ndPWlx9OY5tn6c1+yH57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WX51QAAAAsBAAAPAAAAAAAAAAEAIAAAACIAAABkcnMvZG93bnJldi54bWxQSwECFAAUAAAA&#10;CACHTuJAtG2Kt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2245995</wp:posOffset>
                </wp:positionH>
                <wp:positionV relativeFrom="paragraph">
                  <wp:posOffset>146050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6.85pt;margin-top:11.5pt;height:0pt;width:75.5pt;z-index:251660288;mso-width-relative:page;mso-height-relative:page;" filled="f" stroked="t" coordsize="21600,21600" o:gfxdata="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oNF4N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ind w:firstLine="3600" w:firstLineChars="1000"/>
        <w:jc w:val="both"/>
        <w:rPr>
          <w:color w:val="auto"/>
          <w:highlight w:val="none"/>
        </w:rPr>
      </w:pPr>
      <w:bookmarkStart w:id="28" w:name="_Toc7303"/>
      <w:bookmarkStart w:id="29" w:name="_Toc87616371"/>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ind w:firstLine="3520" w:firstLineChars="800"/>
        <w:jc w:val="both"/>
        <w:rPr>
          <w:color w:val="auto"/>
          <w:highlight w:val="none"/>
        </w:rPr>
      </w:pPr>
      <w:bookmarkStart w:id="34" w:name="_Toc19759"/>
      <w:bookmarkStart w:id="35" w:name="_Toc19050"/>
      <w:bookmarkStart w:id="36" w:name="_Toc23581"/>
      <w:bookmarkStart w:id="37" w:name="_Toc14870"/>
      <w:bookmarkStart w:id="38" w:name="_Toc10930"/>
      <w:bookmarkStart w:id="39" w:name="_Toc7437"/>
      <w:bookmarkStart w:id="40" w:name="_Toc14552"/>
      <w:bookmarkStart w:id="41" w:name="_Toc3156"/>
      <w:bookmarkStart w:id="42" w:name="_Toc4952"/>
      <w:bookmarkStart w:id="43" w:name="_Toc7118"/>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2226945</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5.35pt;margin-top:56.7pt;height:0pt;width:75.5pt;z-index:251663360;mso-width-relative:page;mso-height-relative:page;" filled="f" stroked="t" coordsize="21600,21600" o:gfxdata="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07G5T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2230120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5.6pt;margin-top:21.3pt;height:0pt;width:75.5pt;z-index:251662336;mso-width-relative:page;mso-height-relative:page;" filled="f" stroked="t" coordsize="21600,21600" o:gfxdata="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Gnhyj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9345"/>
      <w:bookmarkStart w:id="46" w:name="_Toc88209941"/>
      <w:bookmarkStart w:id="47" w:name="_Toc30530"/>
      <w:bookmarkStart w:id="48" w:name="_Toc13898"/>
      <w:bookmarkStart w:id="49" w:name="_Toc87616378"/>
      <w:bookmarkStart w:id="50" w:name="_Toc7831"/>
      <w:bookmarkStart w:id="51" w:name="_Toc21840"/>
      <w:bookmarkStart w:id="52" w:name="_Toc6308"/>
      <w:bookmarkStart w:id="53" w:name="_Toc29484"/>
      <w:bookmarkStart w:id="54" w:name="_Toc21079"/>
      <w:bookmarkStart w:id="55" w:name="_Toc32607"/>
      <w:bookmarkStart w:id="56" w:name="_Toc22212"/>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rPr>
          <w:rFonts w:hint="eastAsia"/>
        </w:rPr>
      </w:pPr>
      <w:bookmarkStart w:id="58" w:name="_Toc23033"/>
      <w:bookmarkStart w:id="59" w:name="_Toc26826"/>
    </w:p>
    <w:p>
      <w:pPr>
        <w:pStyle w:val="4"/>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2189480</wp:posOffset>
                </wp:positionH>
                <wp:positionV relativeFrom="paragraph">
                  <wp:posOffset>84455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2.4pt;margin-top:6.65pt;height:0pt;width:75.5pt;z-index:251674624;mso-width-relative:page;mso-height-relative:page;" filled="f" stroked="t" coordsize="21600,21600" o:gfxdata="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BMfQ7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2213610</wp:posOffset>
                </wp:positionH>
                <wp:positionV relativeFrom="paragraph">
                  <wp:posOffset>554990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4.3pt;margin-top:43.7pt;height:0pt;width:75.5pt;z-index:251675648;mso-width-relative:page;mso-height-relative:page;" filled="f" stroked="t" coordsize="21600,21600" o:gfxdata="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O3CRN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pStyle w:val="4"/>
        <w:rPr>
          <w:color w:val="auto"/>
          <w:szCs w:val="44"/>
          <w:highlight w:val="none"/>
        </w:rPr>
      </w:pPr>
    </w:p>
    <w:p>
      <w:pPr>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rPr>
          <w:color w:val="auto"/>
          <w:szCs w:val="44"/>
          <w:highlight w:val="none"/>
        </w:rPr>
      </w:pPr>
    </w:p>
    <w:p>
      <w:pPr>
        <w:pStyle w:val="21"/>
        <w:ind w:firstLine="0"/>
        <w:rPr>
          <w:color w:val="auto"/>
          <w:szCs w:val="44"/>
          <w:highlight w:val="none"/>
        </w:rPr>
      </w:pPr>
    </w:p>
    <w:p>
      <w:pPr>
        <w:pStyle w:val="11"/>
        <w:adjustRightInd w:val="0"/>
        <w:snapToGrid w:val="0"/>
        <w:spacing w:line="300" w:lineRule="auto"/>
        <w:rPr>
          <w:rFonts w:hint="eastAsia" w:ascii="仿宋_GB2312" w:hAnsi="仿宋_GB2312" w:eastAsia="仿宋_GB2312" w:cs="仿宋_GB2312"/>
          <w:bCs/>
          <w:color w:val="000000"/>
          <w:sz w:val="30"/>
          <w:szCs w:val="30"/>
        </w:rPr>
      </w:pPr>
    </w:p>
    <w:p>
      <w:pPr>
        <w:pStyle w:val="11"/>
        <w:numPr>
          <w:ilvl w:val="0"/>
          <w:numId w:val="5"/>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spacing w:line="360" w:lineRule="auto"/>
        <w:ind w:firstLine="560" w:firstLineChars="200"/>
        <w:rPr>
          <w:rFonts w:hint="eastAsia" w:ascii="仿宋_GB2312" w:hAnsi="仿宋_GB2312" w:eastAsia="仿宋_GB2312" w:cs="仿宋_GB2312"/>
          <w:color w:val="000000"/>
          <w:kern w:val="2"/>
          <w:sz w:val="28"/>
          <w:szCs w:val="28"/>
          <w:vertAlign w:val="baseline"/>
          <w:lang w:val="en-US" w:eastAsia="zh-CN" w:bidi="ar-SA"/>
        </w:rPr>
      </w:pPr>
      <w:r>
        <w:rPr>
          <w:rFonts w:hint="eastAsia" w:ascii="仿宋_GB2312" w:hAnsi="仿宋_GB2312" w:eastAsia="仿宋_GB2312" w:cs="仿宋_GB2312"/>
          <w:color w:val="000000"/>
          <w:kern w:val="2"/>
          <w:sz w:val="28"/>
          <w:szCs w:val="28"/>
          <w:vertAlign w:val="baseline"/>
          <w:lang w:val="en-US" w:eastAsia="zh-CN" w:bidi="ar-SA"/>
        </w:rPr>
        <w:t>目前广州市净水有限公司江高分公司运行中的鼓风机共12台，按保养计划及实际情况考滤,部分鼓风机需要更换齿轮箱主呼吸器滤芯，现江高分公司无鼓风机齿轮箱主呼吸器滤芯备件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kern w:val="2"/>
          <w:sz w:val="28"/>
          <w:szCs w:val="28"/>
          <w:vertAlign w:val="baseline"/>
          <w:lang w:val="en-US" w:eastAsia="zh-CN" w:bidi="ar-SA"/>
        </w:rPr>
        <w:t>。</w:t>
      </w:r>
    </w:p>
    <w:p>
      <w:pPr>
        <w:pStyle w:val="27"/>
        <w:rPr>
          <w:rFonts w:hint="eastAsia"/>
          <w:lang w:val="zh-CN" w:eastAsia="zh-CN"/>
        </w:rPr>
      </w:pPr>
    </w:p>
    <w:p>
      <w:pPr>
        <w:pStyle w:val="11"/>
        <w:numPr>
          <w:ilvl w:val="0"/>
          <w:numId w:val="6"/>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11"/>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1.采购清单</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89"/>
        <w:gridCol w:w="1248"/>
        <w:gridCol w:w="673"/>
        <w:gridCol w:w="962"/>
        <w:gridCol w:w="4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0" w:hRule="atLeast"/>
        </w:trPr>
        <w:tc>
          <w:tcPr>
            <w:tcW w:w="1008"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备件名称</w:t>
            </w:r>
          </w:p>
        </w:tc>
        <w:tc>
          <w:tcPr>
            <w:tcW w:w="703"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highlight w:val="none"/>
                <w:u w:val="none"/>
                <w:lang w:val="en-US" w:eastAsia="zh-CN" w:bidi="ar"/>
              </w:rPr>
            </w:pPr>
            <w:r>
              <w:rPr>
                <w:rFonts w:hint="eastAsia" w:ascii="仿宋" w:hAnsi="仿宋" w:eastAsia="仿宋" w:cs="仿宋"/>
                <w:b/>
                <w:i w:val="0"/>
                <w:color w:val="000000"/>
                <w:kern w:val="0"/>
                <w:sz w:val="22"/>
                <w:szCs w:val="22"/>
                <w:highlight w:val="none"/>
                <w:u w:val="none"/>
                <w:lang w:val="en-US" w:eastAsia="zh-CN" w:bidi="ar"/>
              </w:rPr>
              <w:t>品牌</w:t>
            </w:r>
          </w:p>
          <w:p>
            <w:pPr>
              <w:keepNext w:val="0"/>
              <w:keepLines w:val="0"/>
              <w:widowControl/>
              <w:suppressLineNumbers w:val="0"/>
              <w:jc w:val="center"/>
              <w:textAlignment w:val="center"/>
              <w:rPr>
                <w:rFonts w:hint="default" w:ascii="仿宋" w:hAnsi="仿宋" w:eastAsia="仿宋" w:cs="仿宋"/>
                <w:b/>
                <w:i w:val="0"/>
                <w:color w:val="000000"/>
                <w:kern w:val="0"/>
                <w:sz w:val="22"/>
                <w:szCs w:val="22"/>
                <w:highlight w:val="none"/>
                <w:u w:val="none"/>
                <w:lang w:val="en-US" w:eastAsia="zh-CN" w:bidi="ar"/>
              </w:rPr>
            </w:pPr>
          </w:p>
        </w:tc>
        <w:tc>
          <w:tcPr>
            <w:tcW w:w="379"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542"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限价</w:t>
            </w:r>
          </w:p>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金额</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（万元）</w:t>
            </w:r>
          </w:p>
        </w:tc>
        <w:tc>
          <w:tcPr>
            <w:tcW w:w="2364" w:type="pc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008"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sz w:val="24"/>
                <w:szCs w:val="24"/>
                <w:highlight w:val="none"/>
                <w:u w:val="none"/>
                <w:lang w:val="en-US" w:eastAsia="zh-CN"/>
              </w:rPr>
              <w:t>鼓风机齿轮箱主呼吸器滤芯</w:t>
            </w:r>
          </w:p>
        </w:tc>
        <w:tc>
          <w:tcPr>
            <w:tcW w:w="70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val="0"/>
                <w:bCs/>
                <w:i w:val="0"/>
                <w:color w:val="000000"/>
                <w:sz w:val="24"/>
                <w:szCs w:val="24"/>
                <w:highlight w:val="none"/>
                <w:u w:val="none"/>
                <w:lang w:val="en-US" w:eastAsia="zh-CN"/>
              </w:rPr>
            </w:pPr>
            <w:r>
              <w:rPr>
                <w:rFonts w:hint="eastAsia" w:ascii="仿宋" w:hAnsi="仿宋" w:eastAsia="仿宋" w:cs="仿宋"/>
                <w:b w:val="0"/>
                <w:bCs/>
                <w:i w:val="0"/>
                <w:color w:val="000000"/>
                <w:sz w:val="24"/>
                <w:szCs w:val="24"/>
                <w:highlight w:val="none"/>
                <w:u w:val="none"/>
                <w:lang w:val="en-US" w:eastAsia="zh-CN"/>
              </w:rPr>
              <w:t>豪顿华</w:t>
            </w:r>
          </w:p>
        </w:tc>
        <w:tc>
          <w:tcPr>
            <w:tcW w:w="3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12个</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7.488</w:t>
            </w:r>
          </w:p>
        </w:tc>
        <w:tc>
          <w:tcPr>
            <w:tcW w:w="2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b w:val="0"/>
                <w:bCs/>
                <w:i w:val="0"/>
                <w:color w:val="000000"/>
                <w:sz w:val="24"/>
                <w:szCs w:val="24"/>
                <w:highlight w:val="none"/>
                <w:u w:val="none"/>
                <w:lang w:val="en-US" w:eastAsia="zh-CN"/>
              </w:rPr>
              <w:t>SG45A-CVC型鼓风机的齿轮箱主呼吸器滤芯12个</w:t>
            </w:r>
          </w:p>
        </w:tc>
      </w:tr>
    </w:tbl>
    <w:p>
      <w:pPr>
        <w:pStyle w:val="11"/>
        <w:numPr>
          <w:ilvl w:val="0"/>
          <w:numId w:val="0"/>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p>
    <w:p>
      <w:pPr>
        <w:spacing w:line="360" w:lineRule="auto"/>
        <w:rPr>
          <w:rFonts w:hint="default" w:eastAsiaTheme="minorEastAsia"/>
          <w:b/>
          <w:bCs w:val="0"/>
          <w:sz w:val="24"/>
          <w:szCs w:val="24"/>
          <w:lang w:val="en-US" w:eastAsia="zh-CN"/>
        </w:rPr>
      </w:pPr>
      <w:r>
        <w:rPr>
          <w:rFonts w:hint="eastAsia" w:ascii="仿宋_GB2312" w:hAnsi="仿宋_GB2312" w:eastAsia="仿宋_GB2312" w:cs="仿宋_GB2312"/>
          <w:b w:val="0"/>
          <w:bCs/>
          <w:color w:val="000000"/>
          <w:kern w:val="2"/>
          <w:sz w:val="28"/>
          <w:szCs w:val="28"/>
          <w:lang w:val="en-US" w:eastAsia="zh-CN" w:bidi="ar-SA"/>
        </w:rPr>
        <w:t>2.基本要求</w:t>
      </w:r>
    </w:p>
    <w:p>
      <w:pPr>
        <w:spacing w:line="360" w:lineRule="auto"/>
        <w:ind w:firstLine="480" w:firstLineChars="200"/>
        <w:rPr>
          <w:bCs/>
          <w:sz w:val="24"/>
          <w:szCs w:val="24"/>
        </w:rPr>
      </w:pPr>
      <w:r>
        <w:rPr>
          <w:rFonts w:hint="eastAsia"/>
          <w:bCs/>
          <w:sz w:val="24"/>
          <w:szCs w:val="24"/>
          <w:lang w:val="en-US" w:eastAsia="zh-CN"/>
        </w:rPr>
        <w:t>2.1、</w:t>
      </w:r>
      <w:r>
        <w:rPr>
          <w:bCs/>
          <w:sz w:val="24"/>
          <w:szCs w:val="24"/>
        </w:rPr>
        <w:t>供货范围</w:t>
      </w:r>
      <w:r>
        <w:rPr>
          <w:rFonts w:hint="eastAsia"/>
          <w:bCs/>
          <w:sz w:val="24"/>
          <w:szCs w:val="24"/>
        </w:rPr>
        <w:t>：</w:t>
      </w:r>
    </w:p>
    <w:p>
      <w:pPr>
        <w:spacing w:line="360" w:lineRule="auto"/>
        <w:ind w:firstLine="480" w:firstLineChars="200"/>
        <w:rPr>
          <w:rFonts w:ascii="Calibri" w:hAnsi="Calibri"/>
          <w:sz w:val="24"/>
          <w:szCs w:val="24"/>
          <w:lang w:val="zh-CN"/>
        </w:rPr>
      </w:pPr>
      <w:r>
        <w:rPr>
          <w:sz w:val="24"/>
          <w:szCs w:val="24"/>
        </w:rPr>
        <w:t>总则：标准化的外观、运行、维修、备品备件以及制造商服务，所提供的设备必须是一个制造商的最终产品。每</w:t>
      </w:r>
      <w:r>
        <w:rPr>
          <w:rFonts w:hint="eastAsia"/>
          <w:sz w:val="24"/>
          <w:szCs w:val="24"/>
          <w:lang w:val="en-US" w:eastAsia="zh-CN"/>
        </w:rPr>
        <w:t>个滤芯</w:t>
      </w:r>
      <w:r>
        <w:rPr>
          <w:sz w:val="24"/>
          <w:szCs w:val="24"/>
        </w:rPr>
        <w:t>应成套地配备安全、有效及可靠运行所需的附件，</w:t>
      </w:r>
      <w:r>
        <w:rPr>
          <w:rFonts w:hint="eastAsia"/>
          <w:sz w:val="24"/>
          <w:szCs w:val="24"/>
          <w:lang w:val="en-US" w:eastAsia="zh-CN"/>
        </w:rPr>
        <w:t>滤芯</w:t>
      </w:r>
      <w:r>
        <w:rPr>
          <w:sz w:val="24"/>
          <w:szCs w:val="24"/>
        </w:rPr>
        <w:t>主要包括，但不限于：</w:t>
      </w:r>
    </w:p>
    <w:p>
      <w:pPr>
        <w:spacing w:line="360" w:lineRule="auto"/>
        <w:ind w:firstLine="480" w:firstLineChars="200"/>
        <w:rPr>
          <w:rFonts w:hint="eastAsia" w:ascii="Times New Roman" w:hAnsi="Times New Roman" w:cs="Times New Roman"/>
          <w:sz w:val="24"/>
          <w:szCs w:val="24"/>
          <w:lang w:val="en-US" w:eastAsia="zh-CN"/>
        </w:rPr>
      </w:pPr>
      <w:r>
        <w:rPr>
          <w:rFonts w:ascii="Times New Roman" w:hAnsi="Times New Roman" w:cs="Times New Roman"/>
          <w:sz w:val="24"/>
          <w:szCs w:val="24"/>
          <w:lang w:val="zh-CN"/>
        </w:rPr>
        <w:t>装配完整的全新、未经使用的</w:t>
      </w:r>
      <w:r>
        <w:rPr>
          <w:rFonts w:hint="eastAsia" w:ascii="Times New Roman" w:hAnsi="Times New Roman" w:cs="Times New Roman"/>
          <w:sz w:val="24"/>
          <w:szCs w:val="24"/>
          <w:lang w:val="en-US" w:eastAsia="zh-CN"/>
        </w:rPr>
        <w:t>滤芯</w:t>
      </w:r>
      <w:r>
        <w:rPr>
          <w:rFonts w:hint="eastAsia" w:ascii="Times New Roman" w:hAnsi="Times New Roman" w:cs="Times New Roman"/>
          <w:sz w:val="24"/>
          <w:szCs w:val="24"/>
          <w:lang w:val="zh-CN"/>
        </w:rPr>
        <w:t>，</w:t>
      </w:r>
      <w:r>
        <w:rPr>
          <w:rFonts w:hint="eastAsia" w:ascii="Times New Roman" w:hAnsi="Times New Roman" w:cs="Times New Roman"/>
          <w:sz w:val="24"/>
          <w:szCs w:val="24"/>
          <w:lang w:val="en-US" w:eastAsia="zh-CN"/>
        </w:rPr>
        <w:t>滤芯需完全符合现场安装尺寸及</w:t>
      </w:r>
      <w:r>
        <w:rPr>
          <w:rFonts w:ascii="Times New Roman" w:hAnsi="Times New Roman" w:cs="Times New Roman"/>
          <w:sz w:val="24"/>
          <w:szCs w:val="24"/>
          <w:lang w:val="zh-CN"/>
        </w:rPr>
        <w:t>适配至相关位置中，</w:t>
      </w:r>
      <w:r>
        <w:rPr>
          <w:rFonts w:hint="eastAsia" w:ascii="Times New Roman" w:hAnsi="Times New Roman" w:cs="Times New Roman"/>
          <w:sz w:val="24"/>
          <w:szCs w:val="24"/>
          <w:lang w:val="en-US" w:eastAsia="zh-CN"/>
        </w:rPr>
        <w:t>确保滤芯无需对安装位置做任何改造即可正常安装</w:t>
      </w:r>
      <w:r>
        <w:rPr>
          <w:rFonts w:ascii="Times New Roman" w:hAnsi="Times New Roman" w:cs="Times New Roman"/>
          <w:sz w:val="24"/>
          <w:szCs w:val="24"/>
          <w:lang w:val="zh-CN"/>
        </w:rPr>
        <w:t>并使用</w:t>
      </w:r>
      <w:r>
        <w:rPr>
          <w:rFonts w:hint="eastAsia" w:ascii="Times New Roman" w:hAnsi="Times New Roman" w:cs="Times New Roman"/>
          <w:sz w:val="24"/>
          <w:szCs w:val="24"/>
          <w:lang w:val="en-US" w:eastAsia="zh-CN"/>
        </w:rPr>
        <w:t>。</w:t>
      </w:r>
    </w:p>
    <w:p>
      <w:pPr>
        <w:pStyle w:val="21"/>
        <w:ind w:left="0" w:leftChars="0" w:firstLine="480" w:firstLineChars="200"/>
        <w:rPr>
          <w:rFonts w:hint="default"/>
          <w:highlight w:val="none"/>
          <w:lang w:val="en-US"/>
        </w:rPr>
      </w:pPr>
      <w:r>
        <w:rPr>
          <w:rFonts w:hint="eastAsia" w:ascii="Times New Roman" w:hAnsi="Times New Roman" w:eastAsia="宋体" w:cs="Times New Roman"/>
          <w:color w:val="auto"/>
          <w:kern w:val="2"/>
          <w:sz w:val="24"/>
          <w:szCs w:val="24"/>
          <w:highlight w:val="none"/>
          <w:lang w:val="en-US" w:eastAsia="zh-CN" w:bidi="ar-SA"/>
        </w:rPr>
        <w:t>报价人提交的响应文件需说明响应设备的品牌和型号，并附滤芯说明书或型式试验证书等资料用于核实响应设备是否满足技术要求。</w:t>
      </w:r>
    </w:p>
    <w:p>
      <w:pPr>
        <w:spacing w:line="360" w:lineRule="auto"/>
        <w:ind w:firstLine="480" w:firstLineChars="200"/>
        <w:rPr>
          <w:rFonts w:hint="default" w:ascii="Calibri" w:hAnsi="Calibri" w:eastAsiaTheme="minorEastAsia"/>
          <w:b/>
          <w:bCs w:val="0"/>
          <w:sz w:val="24"/>
          <w:szCs w:val="24"/>
          <w:lang w:val="en-US" w:eastAsia="zh-CN"/>
        </w:rPr>
      </w:pPr>
      <w:r>
        <w:rPr>
          <w:rFonts w:hint="eastAsia"/>
          <w:b w:val="0"/>
          <w:bCs/>
          <w:sz w:val="24"/>
          <w:szCs w:val="24"/>
          <w:lang w:val="en-US" w:eastAsia="zh-CN"/>
        </w:rPr>
        <w:t>2.2、滤芯图片</w:t>
      </w:r>
    </w:p>
    <w:p>
      <w:pPr>
        <w:pStyle w:val="49"/>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drawing>
          <wp:inline distT="0" distB="0" distL="114300" distR="114300">
            <wp:extent cx="2640330" cy="2522220"/>
            <wp:effectExtent l="0" t="0" r="7620" b="11430"/>
            <wp:docPr id="18" name="图片 1" descr="0aedae6bdaf09bc3a9fe8e97f014f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0aedae6bdaf09bc3a9fe8e97f014f7e"/>
                    <pic:cNvPicPr>
                      <a:picLocks noChangeAspect="1"/>
                    </pic:cNvPicPr>
                  </pic:nvPicPr>
                  <pic:blipFill>
                    <a:blip r:embed="rId6"/>
                    <a:srcRect t="20514" b="25769"/>
                    <a:stretch>
                      <a:fillRect/>
                    </a:stretch>
                  </pic:blipFill>
                  <pic:spPr>
                    <a:xfrm>
                      <a:off x="0" y="0"/>
                      <a:ext cx="2640330" cy="2522220"/>
                    </a:xfrm>
                    <a:prstGeom prst="rect">
                      <a:avLst/>
                    </a:prstGeom>
                    <a:noFill/>
                    <a:ln>
                      <a:noFill/>
                    </a:ln>
                  </pic:spPr>
                </pic:pic>
              </a:graphicData>
            </a:graphic>
          </wp:inline>
        </w:drawing>
      </w:r>
      <w:r>
        <w:rPr>
          <w:rFonts w:hint="eastAsia" w:ascii="仿宋_GB2312" w:hAnsi="仿宋_GB2312" w:eastAsia="仿宋_GB2312" w:cs="仿宋_GB2312"/>
          <w:b/>
          <w:bCs/>
          <w:sz w:val="32"/>
          <w:szCs w:val="32"/>
          <w:lang w:eastAsia="zh-CN"/>
        </w:rPr>
        <w:drawing>
          <wp:inline distT="0" distB="0" distL="114300" distR="114300">
            <wp:extent cx="2618105" cy="2520315"/>
            <wp:effectExtent l="0" t="0" r="10795" b="13335"/>
            <wp:docPr id="19" name="图片 2" descr="6d3ec4dc50c2f224709af2a2fcce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6d3ec4dc50c2f224709af2a2fcce4e0"/>
                    <pic:cNvPicPr>
                      <a:picLocks noChangeAspect="1"/>
                    </pic:cNvPicPr>
                  </pic:nvPicPr>
                  <pic:blipFill>
                    <a:blip r:embed="rId7"/>
                    <a:srcRect l="9947" t="4216" r="34181" b="171"/>
                    <a:stretch>
                      <a:fillRect/>
                    </a:stretch>
                  </pic:blipFill>
                  <pic:spPr>
                    <a:xfrm>
                      <a:off x="0" y="0"/>
                      <a:ext cx="2618105" cy="2520315"/>
                    </a:xfrm>
                    <a:prstGeom prst="rect">
                      <a:avLst/>
                    </a:prstGeom>
                    <a:noFill/>
                    <a:ln>
                      <a:noFill/>
                    </a:ln>
                  </pic:spPr>
                </pic:pic>
              </a:graphicData>
            </a:graphic>
          </wp:inline>
        </w:drawing>
      </w:r>
    </w:p>
    <w:p>
      <w:pPr>
        <w:pStyle w:val="21"/>
        <w:ind w:left="0" w:leftChars="0" w:firstLine="0" w:firstLineChars="0"/>
        <w:rPr>
          <w:rFonts w:hint="eastAsia" w:ascii="仿宋_GB2312" w:eastAsia="仿宋_GB2312"/>
          <w:color w:val="auto"/>
          <w:sz w:val="28"/>
          <w:szCs w:val="28"/>
          <w:highlight w:val="none"/>
        </w:rPr>
      </w:pPr>
    </w:p>
    <w:p>
      <w:pPr>
        <w:pStyle w:val="21"/>
        <w:ind w:left="0" w:leftChars="0" w:firstLine="280" w:firstLineChars="1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三、项目商务要求</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1.包装、运输、安装及保管、保险：</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（1）报价人所供货物应为制造商原装出厂包装，包装须符合同等相关标准，因包装不良造成的损失由报价人负责。</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（2）报价人负责将产品送到现场过程中的全部运输，包括装卸车、货物现场的搬运等。</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（3）供货期：合同签订后</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日内到货；</w:t>
      </w:r>
    </w:p>
    <w:p>
      <w:pPr>
        <w:pStyle w:val="21"/>
        <w:ind w:firstLine="1120" w:firstLineChars="4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u w:val="single"/>
          <w:lang w:val="en-US" w:eastAsia="zh-CN"/>
        </w:rPr>
        <w:t>广州市白云区江高镇南贤路1号广州市净水有限公司江高分公司</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2.质量保证及售后服务：</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（1）确保货物为原装未拆封或未使用的产品；</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（2）货物在质保期为自供货验收合格之日起1年内免费提供维保服务。</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（3）质保期如有质量问题，报价人必须24小时内派技术人员免费到现场进行维修。</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3.总包及分包规定：</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乙方不得转包、分包。否则，甲方有权单方面终止合同，拒收其货物，由此而造成的经济损失由乙方负责赔偿。</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4.询价人将自承包商履行完合同义务之日起15个工作日内组织验收，审定报价人供货的货物合格情况，进行结算审核。</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5.付款方式：</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（1）采用支票、银行汇票形式。</w:t>
      </w:r>
    </w:p>
    <w:p>
      <w:pPr>
        <w:pStyle w:val="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（2）报价人在收款前需提交所交货物相应金额增值税专用发票给需求单位。</w:t>
      </w:r>
    </w:p>
    <w:p>
      <w:pPr>
        <w:pStyle w:val="21"/>
        <w:rPr>
          <w:rFonts w:ascii="仿宋_GB2312" w:eastAsia="仿宋_GB2312"/>
          <w:color w:val="auto"/>
          <w:sz w:val="28"/>
          <w:szCs w:val="28"/>
          <w:highlight w:val="none"/>
        </w:rPr>
      </w:pPr>
      <w:r>
        <w:rPr>
          <w:rFonts w:hint="eastAsia" w:ascii="仿宋" w:hAnsi="仿宋" w:eastAsia="仿宋" w:cs="仿宋"/>
          <w:color w:val="auto"/>
          <w:sz w:val="28"/>
          <w:szCs w:val="28"/>
          <w:highlight w:val="none"/>
        </w:rPr>
        <w:t>6.承包方式：单价包干。</w:t>
      </w: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ind w:firstLine="0"/>
        <w:rPr>
          <w:color w:val="auto"/>
          <w:highlight w:val="none"/>
        </w:rPr>
      </w:pPr>
    </w:p>
    <w:p>
      <w:pPr>
        <w:pStyle w:val="3"/>
        <w:rPr>
          <w:color w:val="auto"/>
          <w:highlight w:val="none"/>
        </w:rPr>
      </w:pPr>
      <w:bookmarkStart w:id="61" w:name="_Toc1496"/>
      <w:bookmarkStart w:id="62" w:name="_Toc23330"/>
      <w:bookmarkStart w:id="63" w:name="_Toc18538"/>
      <w:bookmarkStart w:id="64" w:name="_Toc15570"/>
      <w:bookmarkStart w:id="65" w:name="_Toc12135"/>
      <w:bookmarkStart w:id="66" w:name="_Toc537"/>
      <w:bookmarkStart w:id="67" w:name="_Toc1284"/>
      <w:bookmarkStart w:id="68" w:name="_Toc25925"/>
      <w:bookmarkStart w:id="69" w:name="_Toc4680"/>
      <w:bookmarkStart w:id="70" w:name="_Toc23353"/>
      <w:bookmarkStart w:id="71" w:name="_Toc29835"/>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2258695</wp:posOffset>
                </wp:positionH>
                <wp:positionV relativeFrom="paragraph">
                  <wp:posOffset>711835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7.85pt;margin-top:56.05pt;height:0pt;width:75.5pt;z-index:251665408;mso-width-relative:page;mso-height-relative:page;" filled="f" stroked="t" coordsize="21600,21600" o:gfxdata="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fPIo7WAAAACw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2269490</wp:posOffset>
                </wp:positionH>
                <wp:positionV relativeFrom="paragraph">
                  <wp:posOffset>262890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8.7pt;margin-top:20.7pt;height:0pt;width:75.5pt;z-index:251664384;mso-width-relative:page;mso-height-relative:page;" filled="f" stroked="t" coordsize="21600,21600" o:gfxdata="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JfkGn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87616386"/>
      <w:bookmarkStart w:id="73" w:name="_Toc19686"/>
      <w:bookmarkStart w:id="74" w:name="_Toc12980"/>
      <w:bookmarkStart w:id="75" w:name="_Toc88209949"/>
      <w:bookmarkStart w:id="76" w:name="_Toc22797"/>
      <w:bookmarkStart w:id="77" w:name="_Toc12721"/>
      <w:bookmarkStart w:id="78" w:name="_Toc12968"/>
      <w:bookmarkStart w:id="79" w:name="_Toc19088"/>
      <w:bookmarkStart w:id="80" w:name="_Toc22501"/>
      <w:bookmarkStart w:id="81" w:name="_Toc1375"/>
      <w:bookmarkStart w:id="82" w:name="_Toc323"/>
      <w:bookmarkStart w:id="83" w:name="_Toc8183"/>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widowControl w:val="0"/>
        <w:spacing w:after="0" w:line="400" w:lineRule="atLeast"/>
        <w:jc w:val="center"/>
        <w:rPr>
          <w:rFonts w:hint="eastAsia" w:ascii="宋体" w:hAnsi="宋体" w:cs="Times New Roman"/>
          <w:b/>
          <w:color w:val="auto"/>
          <w:sz w:val="48"/>
          <w:szCs w:val="48"/>
        </w:rPr>
      </w:pPr>
    </w:p>
    <w:p>
      <w:pPr>
        <w:jc w:val="both"/>
        <w:rPr>
          <w:b/>
          <w:color w:val="000000" w:themeColor="text1"/>
          <w:sz w:val="52"/>
          <w:szCs w:val="84"/>
          <w14:textFill>
            <w14:solidFill>
              <w14:schemeClr w14:val="tx1"/>
            </w14:solidFill>
          </w14:textFill>
        </w:rPr>
      </w:pP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14:textFill>
            <w14:solidFill>
              <w14:schemeClr w14:val="tx1"/>
            </w14:solidFill>
          </w14:textFill>
        </w:rPr>
        <w:t>广州市净水有限公司</w:t>
      </w:r>
    </w:p>
    <w:p>
      <w:pPr>
        <w:jc w:val="center"/>
        <w:rPr>
          <w:b/>
          <w:bCs w:val="0"/>
          <w:color w:val="000000" w:themeColor="text1"/>
          <w:sz w:val="48"/>
          <w:szCs w:val="48"/>
          <w14:textFill>
            <w14:solidFill>
              <w14:schemeClr w14:val="tx1"/>
            </w14:solidFill>
          </w14:textFill>
        </w:rPr>
      </w:pPr>
      <w:r>
        <w:rPr>
          <w:rFonts w:hint="eastAsia"/>
          <w:b/>
          <w:bCs w:val="0"/>
          <w:color w:val="000000" w:themeColor="text1"/>
          <w:sz w:val="48"/>
          <w:szCs w:val="48"/>
          <w:u w:val="single"/>
          <w:lang w:val="en-US" w:eastAsia="zh-CN"/>
          <w14:textFill>
            <w14:solidFill>
              <w14:schemeClr w14:val="tx1"/>
            </w14:solidFill>
          </w14:textFill>
        </w:rPr>
        <w:t>厂区设备</w:t>
      </w:r>
      <w:r>
        <w:rPr>
          <w:rFonts w:hint="eastAsia"/>
          <w:b/>
          <w:bCs w:val="0"/>
          <w:color w:val="000000" w:themeColor="text1"/>
          <w:sz w:val="48"/>
          <w:szCs w:val="48"/>
          <w:u w:val="single"/>
          <w:lang w:eastAsia="zh-CN"/>
          <w14:textFill>
            <w14:solidFill>
              <w14:schemeClr w14:val="tx1"/>
            </w14:solidFill>
          </w14:textFill>
        </w:rPr>
        <w:t>备件</w:t>
      </w:r>
      <w:r>
        <w:rPr>
          <w:rFonts w:hint="eastAsia"/>
          <w:b/>
          <w:bCs w:val="0"/>
          <w:color w:val="000000" w:themeColor="text1"/>
          <w:sz w:val="48"/>
          <w:szCs w:val="48"/>
          <w14:textFill>
            <w14:solidFill>
              <w14:schemeClr w14:val="tx1"/>
            </w14:solidFill>
          </w14:textFill>
        </w:rPr>
        <w:t>采购合同</w:t>
      </w:r>
    </w:p>
    <w:p>
      <w:pPr>
        <w:widowControl w:val="0"/>
        <w:spacing w:after="0" w:line="360" w:lineRule="auto"/>
        <w:jc w:val="center"/>
        <w:rPr>
          <w:rFonts w:ascii="宋体" w:hAnsi="宋体" w:cs="宋体"/>
          <w:color w:val="000000" w:themeColor="text1"/>
          <w:sz w:val="28"/>
          <w:szCs w:val="28"/>
          <w14:textFill>
            <w14:solidFill>
              <w14:schemeClr w14:val="tx1"/>
            </w14:solidFill>
          </w14:textFill>
        </w:rPr>
      </w:pPr>
    </w:p>
    <w:p>
      <w:pPr>
        <w:jc w:val="center"/>
        <w:rPr>
          <w:b/>
          <w:bCs w:val="0"/>
          <w:color w:val="000000" w:themeColor="text1"/>
          <w:sz w:val="28"/>
          <w:szCs w:val="28"/>
          <w14:textFill>
            <w14:solidFill>
              <w14:schemeClr w14:val="tx1"/>
            </w14:solidFill>
          </w14:textFill>
        </w:rPr>
      </w:pPr>
    </w:p>
    <w:p>
      <w:pPr>
        <w:jc w:val="center"/>
        <w:rPr>
          <w:b/>
          <w:bCs w:val="0"/>
          <w:color w:val="000000" w:themeColor="text1"/>
          <w:sz w:val="30"/>
          <w14:textFill>
            <w14:solidFill>
              <w14:schemeClr w14:val="tx1"/>
            </w14:solidFill>
          </w14:textFill>
        </w:rPr>
      </w:pPr>
    </w:p>
    <w:p>
      <w:pPr>
        <w:rPr>
          <w:rFonts w:hint="eastAsia"/>
          <w:b/>
          <w:bCs w:val="0"/>
          <w:color w:val="000000" w:themeColor="text1"/>
          <w:sz w:val="30"/>
          <w14:textFill>
            <w14:solidFill>
              <w14:schemeClr w14:val="tx1"/>
            </w14:solidFill>
          </w14:textFill>
        </w:rPr>
      </w:pPr>
      <w:r>
        <w:rPr>
          <w:rFonts w:hint="eastAsia"/>
          <w:b/>
          <w:bCs w:val="0"/>
          <w:color w:val="000000" w:themeColor="text1"/>
          <w:sz w:val="30"/>
          <w14:textFill>
            <w14:solidFill>
              <w14:schemeClr w14:val="tx1"/>
            </w14:solidFill>
          </w14:textFill>
        </w:rPr>
        <w:t>项目名称：</w:t>
      </w:r>
      <w:r>
        <w:rPr>
          <w:rFonts w:hint="eastAsia"/>
          <w:b/>
          <w:bCs w:val="0"/>
          <w:color w:val="000000" w:themeColor="text1"/>
          <w:sz w:val="30"/>
          <w:lang w:val="en-US" w:eastAsia="zh-CN"/>
          <w14:textFill>
            <w14:solidFill>
              <w14:schemeClr w14:val="tx1"/>
            </w14:solidFill>
          </w14:textFill>
        </w:rPr>
        <w:t>广州市净水有限公司江高分公司2022年鼓风机齿轮箱主呼吸器滤芯采购项目</w:t>
      </w:r>
    </w:p>
    <w:p>
      <w:pPr>
        <w:rPr>
          <w:rFonts w:hint="eastAsia"/>
          <w:b/>
          <w:bCs w:val="0"/>
          <w:color w:val="000000" w:themeColor="text1"/>
          <w:sz w:val="30"/>
          <w:lang w:val="en-US" w:eastAsia="zh-CN"/>
          <w14:textFill>
            <w14:solidFill>
              <w14:schemeClr w14:val="tx1"/>
            </w14:solidFill>
          </w14:textFill>
        </w:rPr>
      </w:pPr>
    </w:p>
    <w:p>
      <w:pPr>
        <w:rPr>
          <w:rFonts w:hint="eastAsia"/>
          <w:b/>
          <w:bCs w:val="0"/>
          <w:color w:val="000000" w:themeColor="text1"/>
          <w:sz w:val="30"/>
          <w:lang w:val="en-US" w:eastAsia="zh-CN"/>
          <w14:textFill>
            <w14:solidFill>
              <w14:schemeClr w14:val="tx1"/>
            </w14:solidFill>
          </w14:textFill>
        </w:rPr>
      </w:pPr>
      <w:r>
        <w:rPr>
          <w:rFonts w:hint="eastAsia"/>
          <w:b/>
          <w:bCs w:val="0"/>
          <w:color w:val="000000" w:themeColor="text1"/>
          <w:sz w:val="30"/>
          <w:lang w:val="en-US" w:eastAsia="zh-CN"/>
          <w14:textFill>
            <w14:solidFill>
              <w14:schemeClr w14:val="tx1"/>
            </w14:solidFill>
          </w14:textFill>
        </w:rPr>
        <w:t>项目编号：</w:t>
      </w:r>
    </w:p>
    <w:p>
      <w:pPr>
        <w:rPr>
          <w:rFonts w:hint="eastAsia"/>
          <w:b/>
          <w:bCs w:val="0"/>
          <w:color w:val="000000" w:themeColor="text1"/>
          <w:sz w:val="30"/>
          <w:lang w:val="en-US" w:eastAsia="zh-CN"/>
          <w14:textFill>
            <w14:solidFill>
              <w14:schemeClr w14:val="tx1"/>
            </w14:solidFill>
          </w14:textFill>
        </w:rPr>
      </w:pPr>
    </w:p>
    <w:p>
      <w:pPr>
        <w:rPr>
          <w:b/>
          <w:bCs w:val="0"/>
          <w:color w:val="000000" w:themeColor="text1"/>
          <w:sz w:val="30"/>
          <w:szCs w:val="30"/>
          <w14:textFill>
            <w14:solidFill>
              <w14:schemeClr w14:val="tx1"/>
            </w14:solidFill>
          </w14:textFill>
        </w:rPr>
      </w:pPr>
      <w:r>
        <w:rPr>
          <w:rFonts w:hint="eastAsia"/>
          <w:b/>
          <w:bCs w:val="0"/>
          <w:color w:val="000000" w:themeColor="text1"/>
          <w:sz w:val="30"/>
          <w14:textFill>
            <w14:solidFill>
              <w14:schemeClr w14:val="tx1"/>
            </w14:solidFill>
          </w14:textFill>
        </w:rPr>
        <w:t>合同编号：</w:t>
      </w:r>
      <w:r>
        <w:rPr>
          <w:rFonts w:hint="eastAsia" w:ascii="宋体" w:hAnsi="宋体" w:cs="宋体"/>
          <w:b/>
          <w:bCs w:val="0"/>
          <w:color w:val="000000" w:themeColor="text1"/>
          <w:sz w:val="30"/>
          <w:szCs w:val="30"/>
          <w14:textFill>
            <w14:solidFill>
              <w14:schemeClr w14:val="tx1"/>
            </w14:solidFill>
          </w14:textFill>
        </w:rPr>
        <w:t>穗净水合</w:t>
      </w:r>
      <w:r>
        <w:rPr>
          <w:rFonts w:ascii="宋体" w:hAnsi="宋体" w:cs="宋体"/>
          <w:b/>
          <w:bCs w:val="0"/>
          <w:color w:val="000000" w:themeColor="text1"/>
          <w:sz w:val="30"/>
          <w:szCs w:val="30"/>
          <w14:textFill>
            <w14:solidFill>
              <w14:schemeClr w14:val="tx1"/>
            </w14:solidFill>
          </w14:textFill>
        </w:rPr>
        <w:t xml:space="preserve">[     ]    </w:t>
      </w:r>
      <w:r>
        <w:rPr>
          <w:rFonts w:hint="eastAsia" w:ascii="宋体" w:hAnsi="宋体" w:cs="宋体"/>
          <w:b/>
          <w:bCs w:val="0"/>
          <w:color w:val="000000" w:themeColor="text1"/>
          <w:sz w:val="30"/>
          <w:szCs w:val="30"/>
          <w14:textFill>
            <w14:solidFill>
              <w14:schemeClr w14:val="tx1"/>
            </w14:solidFill>
          </w14:textFill>
        </w:rPr>
        <w:t>号</w:t>
      </w:r>
    </w:p>
    <w:p>
      <w:pPr>
        <w:rPr>
          <w:b/>
          <w:bCs w:val="0"/>
          <w:color w:val="000000" w:themeColor="text1"/>
          <w:sz w:val="30"/>
          <w:szCs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甲方（买方）：</w:t>
      </w:r>
      <w:r>
        <w:rPr>
          <w:rFonts w:hint="eastAsia"/>
          <w:b/>
          <w:bCs w:val="0"/>
          <w:color w:val="000000" w:themeColor="text1"/>
          <w:sz w:val="30"/>
          <w:u w:val="none"/>
          <w14:textFill>
            <w14:solidFill>
              <w14:schemeClr w14:val="tx1"/>
            </w14:solidFill>
          </w14:textFill>
        </w:rPr>
        <w:t>广州市净水有限公司</w:t>
      </w:r>
    </w:p>
    <w:p>
      <w:pPr>
        <w:rPr>
          <w:rFonts w:hint="eastAsia"/>
          <w:b/>
          <w:bCs w:val="0"/>
          <w:color w:val="000000" w:themeColor="text1"/>
          <w:sz w:val="30"/>
          <w14:textFill>
            <w14:solidFill>
              <w14:schemeClr w14:val="tx1"/>
            </w14:solidFill>
          </w14:textFill>
        </w:rPr>
      </w:pPr>
    </w:p>
    <w:p>
      <w:pPr>
        <w:rPr>
          <w:b/>
          <w:bCs w:val="0"/>
          <w:color w:val="000000" w:themeColor="text1"/>
          <w:sz w:val="30"/>
          <w:u w:val="single"/>
          <w14:textFill>
            <w14:solidFill>
              <w14:schemeClr w14:val="tx1"/>
            </w14:solidFill>
          </w14:textFill>
        </w:rPr>
      </w:pPr>
      <w:r>
        <w:rPr>
          <w:rFonts w:hint="eastAsia"/>
          <w:b/>
          <w:bCs w:val="0"/>
          <w:color w:val="000000" w:themeColor="text1"/>
          <w:sz w:val="30"/>
          <w14:textFill>
            <w14:solidFill>
              <w14:schemeClr w14:val="tx1"/>
            </w14:solidFill>
          </w14:textFill>
        </w:rPr>
        <w:t>乙方（卖方）：</w:t>
      </w:r>
      <w:r>
        <w:rPr>
          <w:b/>
          <w:bCs w:val="0"/>
          <w:color w:val="000000" w:themeColor="text1"/>
          <w:sz w:val="30"/>
          <w:u w:val="none"/>
          <w14:textFill>
            <w14:solidFill>
              <w14:schemeClr w14:val="tx1"/>
            </w14:solidFill>
          </w14:textFill>
        </w:rPr>
        <w:t xml:space="preserve">                  </w:t>
      </w:r>
    </w:p>
    <w:p>
      <w:pPr>
        <w:pStyle w:val="21"/>
        <w:rPr>
          <w:rFonts w:hint="eastAsia"/>
          <w:b/>
          <w:bCs w:val="0"/>
          <w:color w:val="000000" w:themeColor="text1"/>
          <w14:textFill>
            <w14:solidFill>
              <w14:schemeClr w14:val="tx1"/>
            </w14:solidFill>
          </w14:textFill>
        </w:rPr>
      </w:pPr>
    </w:p>
    <w:p>
      <w:pPr>
        <w:spacing w:line="500" w:lineRule="exact"/>
        <w:jc w:val="both"/>
        <w:rPr>
          <w:rFonts w:hint="eastAsia"/>
          <w:b/>
          <w:bCs w:val="0"/>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pPr>
        <w:spacing w:line="500" w:lineRule="exact"/>
        <w:jc w:val="left"/>
        <w:rPr>
          <w:rFonts w:hint="eastAsia"/>
          <w:b/>
          <w:bCs w:val="0"/>
          <w:color w:val="000000" w:themeColor="text1"/>
          <w:sz w:val="30"/>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lang w:val="zh-CN" w:eastAsia="zh-CN"/>
          <w14:textFill>
            <w14:solidFill>
              <w14:schemeClr w14:val="tx1"/>
            </w14:solidFill>
          </w14:textFill>
        </w:rPr>
      </w:pPr>
      <w:r>
        <w:rPr>
          <w:rFonts w:hint="eastAsia"/>
          <w:b/>
          <w:bCs w:val="0"/>
          <w:color w:val="000000" w:themeColor="text1"/>
          <w:sz w:val="30"/>
          <w14:textFill>
            <w14:solidFill>
              <w14:schemeClr w14:val="tx1"/>
            </w14:solidFill>
          </w14:textFill>
        </w:rPr>
        <w:t>签约地点：广州市</w:t>
      </w:r>
    </w:p>
    <w:p>
      <w:pPr>
        <w:spacing w:line="360" w:lineRule="auto"/>
        <w:jc w:val="left"/>
        <w:rPr>
          <w:rFonts w:hint="eastAsia" w:ascii="宋体" w:hAnsi="宋体" w:cs="宋体"/>
          <w:b/>
          <w:bCs/>
          <w:color w:val="000000" w:themeColor="text1"/>
          <w:sz w:val="24"/>
          <w:szCs w:val="24"/>
          <w:lang w:val="zh-CN"/>
          <w14:textFill>
            <w14:solidFill>
              <w14:schemeClr w14:val="tx1"/>
            </w14:solidFill>
          </w14:textFill>
        </w:rPr>
      </w:pPr>
      <w:r>
        <w:rPr>
          <w:rFonts w:hint="eastAsia"/>
          <w:b/>
          <w:bCs w:val="0"/>
          <w:color w:val="000000" w:themeColor="text1"/>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w:t>
      </w:r>
      <w:r>
        <w:rPr>
          <w:rFonts w:hint="eastAsia" w:ascii="宋体" w:hAnsi="宋体" w:eastAsia="宋体" w:cs="宋体"/>
          <w:color w:val="000000" w:themeColor="text1"/>
          <w:sz w:val="28"/>
          <w:szCs w:val="28"/>
          <w:lang w:val="en-US" w:eastAsia="zh-CN"/>
          <w14:textFill>
            <w14:solidFill>
              <w14:schemeClr w14:val="tx1"/>
            </w14:solidFill>
          </w14:textFill>
        </w:rPr>
        <w:t>民法典</w:t>
      </w:r>
      <w:r>
        <w:rPr>
          <w:rFonts w:hint="eastAsia" w:ascii="宋体" w:hAnsi="宋体" w:eastAsia="宋体" w:cs="宋体"/>
          <w:color w:val="000000" w:themeColor="text1"/>
          <w:sz w:val="28"/>
          <w:szCs w:val="28"/>
          <w14:textFill>
            <w14:solidFill>
              <w14:schemeClr w14:val="tx1"/>
            </w14:solidFill>
          </w14:textFill>
        </w:rPr>
        <w:t>》及其他有关法律、行政法规，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lang w:val="en-US" w:eastAsia="zh-CN"/>
          <w14:textFill>
            <w14:solidFill>
              <w14:schemeClr w14:val="tx1"/>
            </w14:solidFill>
          </w14:textFill>
        </w:rPr>
        <w:t>广州市净水有限公司江高分公司2022年鼓风机齿轮箱主呼吸器滤芯</w:t>
      </w:r>
      <w:r>
        <w:rPr>
          <w:rFonts w:hint="eastAsia" w:ascii="宋体" w:hAnsi="宋体" w:eastAsia="宋体" w:cs="宋体"/>
          <w:color w:val="000000" w:themeColor="text1"/>
          <w:sz w:val="28"/>
          <w:szCs w:val="28"/>
          <w:u w:val="single"/>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w:t>
      </w:r>
      <w:r>
        <w:rPr>
          <w:rFonts w:hint="eastAsia" w:ascii="宋体" w:hAnsi="宋体" w:eastAsia="宋体" w:cs="宋体"/>
          <w:bCs/>
          <w:color w:val="000000" w:themeColor="text1"/>
          <w:sz w:val="28"/>
          <w:szCs w:val="28"/>
          <w:lang w:val="en-US" w:eastAsia="zh-CN"/>
          <w14:textFill>
            <w14:solidFill>
              <w14:schemeClr w14:val="tx1"/>
            </w14:solidFill>
          </w14:textFill>
        </w:rPr>
        <w:t>成交通知书</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lang w:val="en-US" w:eastAsia="zh-CN"/>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lang w:val="en-US" w:eastAsia="zh-CN"/>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lang w:val="en-US" w:eastAsia="zh-CN"/>
          <w14:textFill>
            <w14:solidFill>
              <w14:schemeClr w14:val="tx1"/>
            </w14:solidFill>
          </w14:textFill>
        </w:rPr>
        <w:t>附件报价清单。</w:t>
      </w:r>
      <w:bookmarkStart w:id="85" w:name="_Toc17140"/>
      <w:bookmarkStart w:id="86" w:name="_Toc518992987"/>
      <w:bookmarkStart w:id="87" w:name="_Toc474245211"/>
      <w:bookmarkStart w:id="88" w:name="_Toc520190027"/>
    </w:p>
    <w:bookmarkEnd w:id="85"/>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9" w:name="_Toc107447235"/>
      <w:bookmarkStart w:id="90" w:name="_Toc183666514"/>
      <w:bookmarkStart w:id="91" w:name="_Toc26357"/>
      <w:bookmarkStart w:id="92" w:name="_Toc107446842"/>
      <w:r>
        <w:rPr>
          <w:rFonts w:hint="eastAsia" w:ascii="宋体" w:hAnsi="宋体" w:eastAsia="宋体" w:cs="宋体"/>
          <w:b/>
          <w:color w:val="000000" w:themeColor="text1"/>
          <w:sz w:val="28"/>
          <w:szCs w:val="28"/>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lang w:val="en-US" w:eastAsia="zh-CN"/>
          <w14:textFill>
            <w14:solidFill>
              <w14:schemeClr w14:val="tx1"/>
            </w14:solidFill>
          </w14:textFill>
        </w:rPr>
        <w:t>交货日期：自签订合同之日起90天内</w:t>
      </w:r>
      <w:r>
        <w:rPr>
          <w:rFonts w:hint="eastAsia" w:ascii="宋体" w:hAnsi="宋体" w:eastAsia="宋体" w:cs="宋体"/>
          <w:color w:val="000000" w:themeColor="text1"/>
          <w:sz w:val="28"/>
          <w:szCs w:val="28"/>
          <w:u w:val="none"/>
          <w:lang w:val="en-US" w:eastAsia="zh-CN"/>
          <w14:textFill>
            <w14:solidFill>
              <w14:schemeClr w14:val="tx1"/>
            </w14:solidFill>
          </w14:textFill>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lang w:val="en-US" w:eastAsia="zh-CN"/>
          <w14:textFill>
            <w14:solidFill>
              <w14:schemeClr w14:val="tx1"/>
            </w14:solidFill>
          </w14:textFill>
        </w:rPr>
        <w:t>广州市白云区江高镇南贤路1号广州市净水有限公司江高分公司</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指导安装调试运行</w:t>
      </w:r>
      <w:r>
        <w:rPr>
          <w:rFonts w:hint="eastAsia" w:ascii="宋体" w:hAnsi="宋体" w:eastAsia="宋体" w:cs="宋体"/>
          <w:color w:val="000000" w:themeColor="text1"/>
          <w:kern w:val="0"/>
          <w:sz w:val="28"/>
          <w:szCs w:val="28"/>
          <w:u w:val="none"/>
          <w:lang w:val="zh-CN"/>
          <w14:textFill>
            <w14:solidFill>
              <w14:schemeClr w14:val="tx1"/>
            </w14:solidFill>
          </w14:textFill>
        </w:rPr>
        <w:t>（</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hint="eastAsia" w:ascii="宋体" w:hAnsi="宋体" w:eastAsia="宋体" w:cs="宋体"/>
          <w:color w:val="000000" w:themeColor="text1"/>
          <w:sz w:val="28"/>
          <w:szCs w:val="28"/>
          <w:highlight w:val="none"/>
          <w14:textFill>
            <w14:solidFill>
              <w14:schemeClr w14:val="tx1"/>
            </w14:solidFill>
          </w14:textFill>
        </w:rPr>
        <w:sym w:font="Wingdings 2" w:char="0052"/>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sym w:font="Wingdings 2" w:char="00A3"/>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w:t>
      </w:r>
      <w:r>
        <w:rPr>
          <w:rFonts w:hint="eastAsia" w:ascii="宋体" w:hAnsi="宋体" w:eastAsia="宋体" w:cs="宋体"/>
          <w:bCs/>
          <w:color w:val="000000" w:themeColor="text1"/>
          <w:sz w:val="28"/>
          <w:szCs w:val="28"/>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元，（大写：</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。当预付款不足抵扣时，</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28 </w:t>
      </w:r>
      <w:r>
        <w:rPr>
          <w:rFonts w:hint="eastAsia" w:ascii="宋体" w:hAnsi="宋体" w:eastAsia="宋体" w:cs="宋体"/>
          <w:color w:val="000000" w:themeColor="text1"/>
          <w:sz w:val="28"/>
          <w:szCs w:val="28"/>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u w:val="single"/>
          <w:lang w:val="en-US" w:eastAsia="zh-CN"/>
          <w14:textFill>
            <w14:solidFill>
              <w14:schemeClr w14:val="tx1"/>
            </w14:solidFill>
          </w14:textFill>
        </w:rPr>
        <w:t>80</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u w:val="single"/>
          <w14:textFill>
            <w14:solidFill>
              <w14:schemeClr w14:val="tx1"/>
            </w14:solidFill>
          </w14:textFill>
        </w:rPr>
        <w:t>甲方</w:t>
      </w:r>
      <w:r>
        <w:rPr>
          <w:rFonts w:hint="eastAsia" w:ascii="宋体" w:hAnsi="宋体" w:eastAsia="宋体" w:cs="宋体"/>
          <w:i w:val="0"/>
          <w:iCs w:val="0"/>
          <w:color w:val="000000" w:themeColor="text1"/>
          <w:sz w:val="28"/>
          <w:szCs w:val="28"/>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u w:val="single"/>
          <w14:textFill>
            <w14:solidFill>
              <w14:schemeClr w14:val="tx1"/>
            </w14:solidFill>
          </w14:textFill>
        </w:rPr>
        <w:t>属下分公司</w:t>
      </w:r>
      <w:r>
        <w:rPr>
          <w:rFonts w:hint="eastAsia" w:ascii="宋体" w:hAnsi="宋体" w:eastAsia="宋体" w:cs="宋体"/>
          <w:color w:val="000000" w:themeColor="text1"/>
          <w:sz w:val="28"/>
          <w:szCs w:val="28"/>
          <w:u w:val="single"/>
          <w14:textFill>
            <w14:solidFill>
              <w14:schemeClr w14:val="tx1"/>
            </w14:solidFill>
          </w14:textFill>
        </w:rPr>
        <w:t>分别</w:t>
      </w:r>
      <w:r>
        <w:rPr>
          <w:rFonts w:hint="eastAsia" w:ascii="宋体" w:hAnsi="宋体" w:eastAsia="宋体" w:cs="宋体"/>
          <w:color w:val="000000" w:themeColor="text1"/>
          <w:sz w:val="28"/>
          <w:szCs w:val="28"/>
          <w14:textFill>
            <w14:solidFill>
              <w14:schemeClr w14:val="tx1"/>
            </w14:solidFill>
          </w14:textFill>
        </w:rPr>
        <w:t>收到等额的增值税专用发票后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lang w:val="en-US" w:eastAsia="zh-CN"/>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lang w:val="en-US" w:eastAsia="zh-CN"/>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乙方收款账户：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p>
    <w:p>
      <w:pPr>
        <w:keepNext w:val="0"/>
        <w:keepLines w:val="0"/>
        <w:pageBreakBefore w:val="0"/>
        <w:numPr>
          <w:ilvl w:val="0"/>
          <w:numId w:val="7"/>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（大写人民币：</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u w:val="none"/>
          <w14:textFill>
            <w14:solidFill>
              <w14:schemeClr w14:val="tx1"/>
            </w14:solidFill>
          </w14:textFill>
        </w:rPr>
        <w:t>）。</w:t>
      </w:r>
    </w:p>
    <w:p>
      <w:pPr>
        <w:pStyle w:val="20"/>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6.2履约担保按以下任一种形式提供：</w:t>
      </w:r>
    </w:p>
    <w:p>
      <w:pPr>
        <w:pStyle w:val="20"/>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1、符合甲方要求（详见附件保函格式）的银行独立保函，</w:t>
      </w:r>
    </w:p>
    <w:p>
      <w:pPr>
        <w:pStyle w:val="20"/>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6.6</w:t>
      </w:r>
      <w:r>
        <w:rPr>
          <w:rFonts w:hint="eastAsia" w:ascii="宋体" w:hAnsi="宋体" w:eastAsia="宋体" w:cs="宋体"/>
          <w:color w:val="000000" w:themeColor="text1"/>
          <w:sz w:val="28"/>
          <w:szCs w:val="28"/>
          <w14:textFill>
            <w14:solidFill>
              <w14:schemeClr w14:val="tx1"/>
            </w14:solidFill>
          </w14:textFill>
        </w:rPr>
        <w:t>延长担保期限</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pPr>
        <w:pStyle w:val="20"/>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6.7</w:t>
      </w:r>
      <w:r>
        <w:rPr>
          <w:rFonts w:hint="eastAsia" w:ascii="宋体" w:hAnsi="宋体" w:eastAsia="宋体" w:cs="宋体"/>
          <w:color w:val="000000" w:themeColor="text1"/>
          <w:sz w:val="28"/>
          <w:szCs w:val="28"/>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6.8</w:t>
      </w:r>
      <w:r>
        <w:rPr>
          <w:rFonts w:hint="eastAsia" w:ascii="宋体" w:hAnsi="宋体" w:eastAsia="宋体" w:cs="宋体"/>
          <w:color w:val="000000" w:themeColor="text1"/>
          <w:sz w:val="28"/>
          <w:szCs w:val="28"/>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2"/>
        <w:rPr>
          <w:rFonts w:hint="eastAsia" w:ascii="宋体" w:hAnsi="宋体" w:eastAsia="宋体" w:cs="宋体"/>
          <w:sz w:val="28"/>
          <w:szCs w:val="28"/>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内退还给乙方。甲方不承当乙方与预付款保函有关的任何利息或其他类似的费用或收益。</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lang w:val="en-US" w:eastAsia="zh-CN"/>
          <w14:textFill>
            <w14:solidFill>
              <w14:schemeClr w14:val="tx1"/>
            </w14:solidFill>
          </w14:textFill>
        </w:rPr>
        <w:t>厂家品牌授权（如需）</w:t>
      </w:r>
      <w:r>
        <w:rPr>
          <w:rFonts w:hint="eastAsia" w:ascii="宋体" w:hAnsi="宋体" w:eastAsia="宋体" w:cs="宋体"/>
          <w:bCs/>
          <w:color w:val="000000" w:themeColor="text1"/>
          <w:sz w:val="28"/>
          <w:szCs w:val="28"/>
          <w:lang w:val="en-US" w:eastAsia="zh-CN"/>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交付地点进行，</w:t>
      </w:r>
      <w:r>
        <w:rPr>
          <w:rFonts w:hint="eastAsia" w:ascii="宋体" w:hAnsi="宋体" w:eastAsia="宋体" w:cs="宋体"/>
          <w:color w:val="000000" w:themeColor="text1"/>
          <w:sz w:val="28"/>
          <w:szCs w:val="28"/>
          <w14:textFill>
            <w14:solidFill>
              <w14:schemeClr w14:val="tx1"/>
            </w14:solidFill>
          </w14:textFill>
        </w:rPr>
        <w:t>包括但不限于对合同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lang w:eastAsia="zh-CN"/>
          <w14:textFill>
            <w14:solidFill>
              <w14:schemeClr w14:val="tx1"/>
            </w14:solidFill>
          </w14:textFill>
        </w:rPr>
        <w:t>货物或部件</w:t>
      </w:r>
      <w:r>
        <w:rPr>
          <w:rFonts w:hint="eastAsia" w:ascii="宋体" w:hAnsi="宋体" w:eastAsia="宋体" w:cs="宋体"/>
          <w:color w:val="000000" w:themeColor="text1"/>
          <w:sz w:val="28"/>
          <w:szCs w:val="28"/>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中存在的缺陷，用合格的新</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更换有缺陷的</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缺陷消除或</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进行原厂正品验证，若合同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无法获原厂验证，甲方有权退回</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u w:val="singl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支付违约金。</w:t>
      </w:r>
    </w:p>
    <w:bookmarkEnd w:id="86"/>
    <w:bookmarkEnd w:id="87"/>
    <w:bookmarkEnd w:id="88"/>
    <w:bookmarkEnd w:id="89"/>
    <w:bookmarkEnd w:id="90"/>
    <w:bookmarkEnd w:id="91"/>
    <w:bookmarkEnd w:id="92"/>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93" w:name="_Toc520190030"/>
      <w:bookmarkStart w:id="94" w:name="_Toc474245215"/>
      <w:bookmarkStart w:id="95" w:name="_Toc518992990"/>
      <w:r>
        <w:rPr>
          <w:rFonts w:hint="eastAsia" w:ascii="宋体" w:hAnsi="宋体" w:eastAsia="宋体" w:cs="宋体"/>
          <w:b/>
          <w:color w:val="000000" w:themeColor="text1"/>
          <w:sz w:val="28"/>
          <w:szCs w:val="28"/>
          <w14:textFill>
            <w14:solidFill>
              <w14:schemeClr w14:val="tx1"/>
            </w14:solidFill>
          </w14:textFill>
        </w:rPr>
        <w:t>第八条 包装</w:t>
      </w:r>
      <w:bookmarkEnd w:id="93"/>
      <w:bookmarkEnd w:id="94"/>
      <w:bookmarkEnd w:id="95"/>
      <w:r>
        <w:rPr>
          <w:rFonts w:hint="eastAsia" w:ascii="宋体" w:hAnsi="宋体" w:eastAsia="宋体" w:cs="宋体"/>
          <w:b/>
          <w:color w:val="000000" w:themeColor="text1"/>
          <w:sz w:val="28"/>
          <w:szCs w:val="28"/>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8.2 </w:t>
      </w:r>
      <w:bookmarkStart w:id="96" w:name="_Toc107447244"/>
      <w:bookmarkStart w:id="97" w:name="_Toc107446851"/>
      <w:r>
        <w:rPr>
          <w:rFonts w:hint="eastAsia" w:ascii="宋体" w:hAnsi="宋体" w:eastAsia="宋体" w:cs="宋体"/>
          <w:bCs/>
          <w:color w:val="000000" w:themeColor="text1"/>
          <w:sz w:val="28"/>
          <w:szCs w:val="28"/>
          <w14:textFill>
            <w14:solidFill>
              <w14:schemeClr w14:val="tx1"/>
            </w14:solidFill>
          </w14:textFill>
        </w:rPr>
        <w:t>标志</w:t>
      </w:r>
    </w:p>
    <w:bookmarkEnd w:id="96"/>
    <w:bookmarkEnd w:id="97"/>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、部件进行修理、更换或补供。</w:t>
      </w:r>
      <w:bookmarkStart w:id="98" w:name="_Toc518992992"/>
      <w:bookmarkStart w:id="99" w:name="_Toc183666521"/>
      <w:bookmarkStart w:id="100" w:name="_Toc474245218"/>
      <w:bookmarkStart w:id="101" w:name="_Toc306350457"/>
      <w:bookmarkStart w:id="102" w:name="_Toc520190032"/>
      <w:bookmarkStart w:id="103" w:name="_Toc9269"/>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预计启运7日前，将合同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总金额、运输方式、预计交付日期和合同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启运后 24 小时之内正式通知甲方。</w:t>
      </w:r>
    </w:p>
    <w:bookmarkEnd w:id="98"/>
    <w:bookmarkEnd w:id="99"/>
    <w:bookmarkEnd w:id="100"/>
    <w:bookmarkEnd w:id="101"/>
    <w:bookmarkEnd w:id="102"/>
    <w:bookmarkEnd w:id="103"/>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4" w:name="_Toc183666522"/>
      <w:bookmarkStart w:id="105" w:name="_Toc18496"/>
      <w:bookmarkStart w:id="106" w:name="_Toc306350458"/>
      <w:r>
        <w:rPr>
          <w:rFonts w:hint="eastAsia" w:ascii="宋体" w:hAnsi="宋体" w:eastAsia="宋体" w:cs="宋体"/>
          <w:b/>
          <w:color w:val="000000" w:themeColor="text1"/>
          <w:sz w:val="28"/>
          <w:szCs w:val="28"/>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4"/>
    <w:bookmarkEnd w:id="105"/>
    <w:bookmarkEnd w:id="106"/>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107" w:name="_Toc520190034"/>
      <w:bookmarkStart w:id="108" w:name="_Toc518992994"/>
      <w:bookmarkStart w:id="109" w:name="_Toc474245220"/>
      <w:bookmarkStart w:id="110" w:name="_Toc306350459"/>
      <w:bookmarkStart w:id="111" w:name="_Toc4682"/>
      <w:bookmarkStart w:id="112" w:name="_Toc183666523"/>
      <w:r>
        <w:rPr>
          <w:rFonts w:hint="eastAsia" w:ascii="宋体" w:hAnsi="宋体" w:eastAsia="宋体" w:cs="宋体"/>
          <w:b/>
          <w:color w:val="000000" w:themeColor="text1"/>
          <w:sz w:val="28"/>
          <w:szCs w:val="28"/>
          <w14:textFill>
            <w14:solidFill>
              <w14:schemeClr w14:val="tx1"/>
            </w14:solidFill>
          </w14:textFill>
        </w:rPr>
        <w:t>第十条 质量保</w:t>
      </w:r>
      <w:bookmarkEnd w:id="107"/>
      <w:bookmarkEnd w:id="108"/>
      <w:bookmarkEnd w:id="109"/>
      <w:r>
        <w:rPr>
          <w:rFonts w:hint="eastAsia" w:ascii="宋体" w:hAnsi="宋体" w:eastAsia="宋体" w:cs="宋体"/>
          <w:b/>
          <w:color w:val="000000" w:themeColor="text1"/>
          <w:sz w:val="28"/>
          <w:szCs w:val="28"/>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w:t>
      </w:r>
      <w:bookmarkEnd w:id="110"/>
      <w:bookmarkEnd w:id="111"/>
      <w:bookmarkEnd w:id="112"/>
      <w:bookmarkStart w:id="113" w:name="_Toc518992997"/>
      <w:bookmarkStart w:id="114" w:name="_Toc107447250"/>
      <w:bookmarkStart w:id="115" w:name="_Toc306350464"/>
      <w:bookmarkStart w:id="116" w:name="_Toc474245223"/>
      <w:bookmarkStart w:id="117" w:name="_Toc107446857"/>
      <w:bookmarkStart w:id="118" w:name="_Toc183666528"/>
      <w:bookmarkStart w:id="119" w:name="_Toc520190037"/>
      <w:bookmarkStart w:id="120" w:name="_Toc27734"/>
      <w:r>
        <w:rPr>
          <w:rFonts w:hint="eastAsia" w:ascii="宋体" w:hAnsi="宋体" w:eastAsia="宋体" w:cs="宋体"/>
          <w:bCs/>
          <w:color w:val="000000" w:themeColor="text1"/>
          <w:sz w:val="28"/>
          <w:szCs w:val="28"/>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bookmarkEnd w:id="113"/>
      <w:bookmarkEnd w:id="114"/>
      <w:bookmarkEnd w:id="115"/>
      <w:bookmarkEnd w:id="116"/>
      <w:bookmarkEnd w:id="117"/>
      <w:bookmarkEnd w:id="118"/>
      <w:bookmarkEnd w:id="119"/>
      <w:bookmarkEnd w:id="120"/>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u w:val="single"/>
          <w14:textFill>
            <w14:solidFill>
              <w14:schemeClr w14:val="tx1"/>
            </w14:solidFill>
          </w14:textFill>
        </w:rPr>
        <w:t xml:space="preserve">价格的 50 </w:t>
      </w:r>
      <w:r>
        <w:rPr>
          <w:rFonts w:hint="eastAsia" w:ascii="宋体" w:hAnsi="宋体" w:eastAsia="宋体" w:cs="宋体"/>
          <w:bCs/>
          <w:color w:val="000000" w:themeColor="text1"/>
          <w:sz w:val="28"/>
          <w:szCs w:val="28"/>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，甲方不负保管责任，</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设计使用寿命期内，如果乙方发现合同</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lang w:eastAsia="zh-CN"/>
          <w14:textFill>
            <w14:solidFill>
              <w14:schemeClr w14:val="tx1"/>
            </w14:solidFill>
          </w14:textFill>
        </w:rPr>
        <w:t>货物</w:t>
      </w:r>
      <w:r>
        <w:rPr>
          <w:rFonts w:hint="eastAsia" w:ascii="宋体" w:hAnsi="宋体" w:eastAsia="宋体" w:cs="宋体"/>
          <w:color w:val="000000" w:themeColor="text1"/>
          <w:sz w:val="28"/>
          <w:szCs w:val="28"/>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14:textFill>
            <w14:solidFill>
              <w14:schemeClr w14:val="tx1"/>
            </w14:solidFill>
          </w14:textFill>
        </w:rPr>
        <w:t>，甲方有权解除合同并要求乙方支付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w:t>
      </w:r>
      <w:r>
        <w:rPr>
          <w:rFonts w:hint="eastAsia" w:ascii="宋体" w:hAnsi="宋体" w:eastAsia="宋体" w:cs="宋体"/>
          <w:bCs/>
          <w:color w:val="000000" w:themeColor="text1"/>
          <w:sz w:val="28"/>
          <w:szCs w:val="28"/>
          <w:lang w:eastAsia="zh-CN"/>
          <w14:textFill>
            <w14:solidFill>
              <w14:schemeClr w14:val="tx1"/>
            </w14:solidFill>
          </w14:textFill>
        </w:rPr>
        <w:t>货物</w:t>
      </w:r>
      <w:r>
        <w:rPr>
          <w:rFonts w:hint="eastAsia" w:ascii="宋体" w:hAnsi="宋体" w:eastAsia="宋体" w:cs="宋体"/>
          <w:bCs/>
          <w:color w:val="000000" w:themeColor="text1"/>
          <w:sz w:val="28"/>
          <w:szCs w:val="28"/>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eastAsia="zh-CN"/>
          <w14:textFill>
            <w14:solidFill>
              <w14:schemeClr w14:val="tx1"/>
            </w14:solidFill>
          </w14:textFill>
        </w:rPr>
        <w:t>…</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附件：1.中标通知书</w:t>
      </w:r>
      <w:r>
        <w:rPr>
          <w:rFonts w:hint="eastAsia" w:ascii="宋体" w:hAnsi="宋体" w:eastAsia="宋体" w:cs="宋体"/>
          <w:color w:val="000000" w:themeColor="text1"/>
          <w:sz w:val="28"/>
          <w:szCs w:val="28"/>
          <w:lang w:val="en-US" w:eastAsia="zh-CN"/>
          <w14:textFill>
            <w14:solidFill>
              <w14:schemeClr w14:val="tx1"/>
            </w14:solidFill>
          </w14:textFill>
        </w:rPr>
        <w:t>/成交通知书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物品采购</w:t>
      </w:r>
      <w:r>
        <w:rPr>
          <w:rFonts w:hint="eastAsia" w:ascii="宋体" w:hAnsi="宋体" w:eastAsia="宋体" w:cs="宋体"/>
          <w:color w:val="000000" w:themeColor="text1"/>
          <w:sz w:val="28"/>
          <w:szCs w:val="28"/>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报价清单</w:t>
      </w: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pPr>
        <w:spacing w:line="360" w:lineRule="auto"/>
        <w:rPr>
          <w:rFonts w:ascii="宋体" w:hAnsi="宋体" w:cs="宋体"/>
          <w:color w:val="000000" w:themeColor="text1"/>
          <w:sz w:val="24"/>
          <w:szCs w:val="24"/>
          <w14:textFill>
            <w14:solidFill>
              <w14:schemeClr w14:val="tx1"/>
            </w14:solidFill>
          </w14:textFill>
        </w:rPr>
      </w:pPr>
    </w:p>
    <w:p>
      <w:pPr>
        <w:spacing w:line="360" w:lineRule="auto"/>
        <w:jc w:val="both"/>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spacing w:line="360" w:lineRule="auto"/>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附件1  中标通知书</w:t>
      </w: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14:textFill>
            <w14:solidFill>
              <w14:schemeClr w14:val="tx1"/>
            </w14:solidFill>
          </w14:textFill>
        </w:rPr>
      </w:pPr>
    </w:p>
    <w:p>
      <w:pPr>
        <w:pStyle w:val="21"/>
        <w:ind w:firstLine="0"/>
        <w:rPr>
          <w:rFonts w:hint="eastAsia" w:ascii="宋体" w:hAnsi="宋体" w:cs="宋体"/>
          <w:b/>
          <w:bCs/>
          <w:color w:val="000000" w:themeColor="text1"/>
          <w:szCs w:val="21"/>
          <w14:textFill>
            <w14:solidFill>
              <w14:schemeClr w14:val="tx1"/>
            </w14:solidFill>
          </w14:textFill>
        </w:rPr>
      </w:pPr>
    </w:p>
    <w:p>
      <w:pPr>
        <w:pStyle w:val="21"/>
        <w:rPr>
          <w:rFonts w:hint="eastAsia" w:ascii="宋体" w:hAnsi="宋体" w:cs="宋体"/>
          <w:b/>
          <w:bCs/>
          <w:color w:val="000000" w:themeColor="text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14:textFill>
            <w14:solidFill>
              <w14:schemeClr w14:val="tx1"/>
            </w14:solidFill>
          </w14:textFill>
        </w:rPr>
        <w:t>廉洁协议</w:t>
      </w:r>
      <w:r>
        <w:rPr>
          <w:rFonts w:hint="eastAsia" w:ascii="宋体" w:hAnsi="宋体" w:eastAsia="宋体" w:cs="宋体"/>
          <w:b/>
          <w:bCs/>
          <w:color w:val="000000" w:themeColor="text1"/>
          <w:szCs w:val="21"/>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14:textFill>
            <w14:solidFill>
              <w14:schemeClr w14:val="tx1"/>
            </w14:solidFill>
          </w14:textFill>
        </w:rPr>
        <w:t>（合同名称）+（合同编号）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pStyle w:val="21"/>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w:t>
      </w:r>
      <w:r>
        <w:rPr>
          <w:rFonts w:hint="eastAsia" w:ascii="宋体" w:hAnsi="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lang w:val="en-US" w:eastAsia="zh-CN"/>
          <w14:textFill>
            <w14:solidFill>
              <w14:schemeClr w14:val="tx1"/>
            </w14:solidFill>
          </w14:textFill>
        </w:rPr>
        <w:t>：安全管理协议书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14:textFill>
            <w14:solidFill>
              <w14:schemeClr w14:val="tx1"/>
            </w14:solidFill>
          </w14:textFill>
        </w:rPr>
      </w:pPr>
      <w:r>
        <w:rPr>
          <w:rFonts w:hint="eastAsia" w:ascii="黑体" w:hAnsi="宋体" w:eastAsia="黑体" w:cs="宋体"/>
          <w:bCs/>
          <w:color w:val="000000" w:themeColor="text1"/>
          <w:kern w:val="0"/>
          <w:sz w:val="44"/>
          <w:szCs w:val="44"/>
          <w14:textFill>
            <w14:solidFill>
              <w14:schemeClr w14:val="tx1"/>
            </w14:solidFill>
          </w14:textFill>
        </w:rPr>
        <w:t>物品采购</w:t>
      </w:r>
      <w:r>
        <w:rPr>
          <w:rFonts w:hint="eastAsia" w:ascii="黑体" w:hAnsi="Batang" w:eastAsia="黑体" w:cs="Batang"/>
          <w:bCs/>
          <w:color w:val="000000" w:themeColor="text1"/>
          <w:kern w:val="0"/>
          <w:sz w:val="44"/>
          <w:szCs w:val="44"/>
          <w14:textFill>
            <w14:solidFill>
              <w14:schemeClr w14:val="tx1"/>
            </w14:solidFill>
          </w14:textFill>
        </w:rPr>
        <w:t>安全协议</w:t>
      </w:r>
      <w:r>
        <w:rPr>
          <w:rFonts w:hint="eastAsia" w:ascii="黑体" w:hAnsi="宋体" w:eastAsia="黑体" w:cs="宋体"/>
          <w:bCs/>
          <w:color w:val="000000" w:themeColor="text1"/>
          <w:kern w:val="0"/>
          <w:sz w:val="44"/>
          <w:szCs w:val="44"/>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14:textFill>
            <w14:solidFill>
              <w14:schemeClr w14:val="tx1"/>
            </w14:solidFill>
          </w14:textFill>
        </w:rPr>
        <w:t>，甲乙双方就</w:t>
      </w:r>
      <w:r>
        <w:rPr>
          <w:rFonts w:hint="eastAsia" w:ascii="宋体" w:hAnsi="宋体" w:cs="Arial"/>
          <w:color w:val="000000" w:themeColor="text1"/>
          <w:kern w:val="0"/>
          <w:sz w:val="24"/>
          <w14:textFill>
            <w14:solidFill>
              <w14:schemeClr w14:val="tx1"/>
            </w14:solidFill>
          </w14:textFill>
        </w:rPr>
        <w:t>物品采购的安全</w:t>
      </w:r>
      <w:r>
        <w:rPr>
          <w:rFonts w:ascii="宋体" w:hAnsi="宋体" w:cs="Arial"/>
          <w:color w:val="000000" w:themeColor="text1"/>
          <w:kern w:val="0"/>
          <w:sz w:val="24"/>
          <w14:textFill>
            <w14:solidFill>
              <w14:schemeClr w14:val="tx1"/>
            </w14:solidFill>
          </w14:textFill>
        </w:rPr>
        <w:t>事宜，</w:t>
      </w:r>
      <w:r>
        <w:rPr>
          <w:rFonts w:ascii="宋体" w:hAnsi="宋体" w:cs="Arial"/>
          <w:color w:val="000000" w:themeColor="text1"/>
          <w:sz w:val="24"/>
          <w14:textFill>
            <w14:solidFill>
              <w14:schemeClr w14:val="tx1"/>
            </w14:solidFill>
          </w14:textFill>
        </w:rPr>
        <w:t>经双方友好协商，达成如下协议</w:t>
      </w:r>
      <w:r>
        <w:rPr>
          <w:rFonts w:ascii="宋体" w:hAnsi="宋体" w:cs="Arial"/>
          <w:color w:val="000000" w:themeColor="text1"/>
          <w:kern w:val="0"/>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lang w:eastAsia="zh-CN"/>
          <w14:textFill>
            <w14:solidFill>
              <w14:schemeClr w14:val="tx1"/>
            </w14:solidFill>
          </w14:textFill>
        </w:rPr>
        <w:t>广州市净水有限公司江高分公司2022年鼓风机齿轮箱主呼吸器滤芯采购项目</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（三）乙方应承诺所售</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质量符合现行国家规范要求，保证</w:t>
      </w:r>
      <w:r>
        <w:rPr>
          <w:rFonts w:hint="eastAsia" w:ascii="宋体" w:hAnsi="宋体" w:cs="Arial"/>
          <w:color w:val="000000" w:themeColor="text1"/>
          <w:kern w:val="0"/>
          <w:sz w:val="24"/>
          <w14:textFill>
            <w14:solidFill>
              <w14:schemeClr w14:val="tx1"/>
            </w14:solidFill>
          </w14:textFill>
        </w:rPr>
        <w:t>所售物品为正品。</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类物品应提供与</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型号一致的使用说明书（进口</w:t>
      </w:r>
      <w:r>
        <w:rPr>
          <w:rFonts w:hint="eastAsia" w:ascii="宋体" w:hAnsi="宋体" w:cs="Arial"/>
          <w:color w:val="000000" w:themeColor="text1"/>
          <w:kern w:val="0"/>
          <w:sz w:val="24"/>
          <w:lang w:eastAsia="zh-CN"/>
          <w14:textFill>
            <w14:solidFill>
              <w14:schemeClr w14:val="tx1"/>
            </w14:solidFill>
          </w14:textFill>
        </w:rPr>
        <w:t>货物</w:t>
      </w:r>
      <w:r>
        <w:rPr>
          <w:rFonts w:hint="eastAsia" w:ascii="宋体" w:hAnsi="宋体" w:cs="Arial"/>
          <w:color w:val="000000" w:themeColor="text1"/>
          <w:kern w:val="0"/>
          <w:sz w:val="24"/>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14:textFill>
            <w14:solidFill>
              <w14:schemeClr w14:val="tx1"/>
            </w14:solidFill>
          </w14:textFill>
        </w:rPr>
        <w:t>特殊</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（四）乙方对</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的运输、装卸、</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（五）乙方须加强物品运输车辆的安全管理，用于运输</w:t>
      </w:r>
      <w:r>
        <w:rPr>
          <w:rFonts w:hint="eastAsia" w:ascii="宋体" w:hAnsi="宋体" w:cs="Arial"/>
          <w:color w:val="000000" w:themeColor="text1"/>
          <w:kern w:val="0"/>
          <w:sz w:val="24"/>
          <w14:textFill>
            <w14:solidFill>
              <w14:schemeClr w14:val="tx1"/>
            </w14:solidFill>
          </w14:textFill>
        </w:rPr>
        <w:t>物品</w:t>
      </w:r>
      <w:r>
        <w:rPr>
          <w:rFonts w:hint="eastAsia" w:ascii="宋体" w:hAnsi="宋体" w:cs="宋体"/>
          <w:color w:val="000000" w:themeColor="text1"/>
          <w:kern w:val="0"/>
          <w:sz w:val="24"/>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8"/>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类物品需进行安装、调试，乙方应安排熟悉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或有</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操作相关资质的专业人员与甲方进行</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验收及培训等工作，确保操作</w:t>
      </w:r>
      <w:r>
        <w:rPr>
          <w:rFonts w:hint="eastAsia" w:ascii="宋体" w:hAnsi="宋体" w:cs="宋体"/>
          <w:color w:val="000000" w:themeColor="text1"/>
          <w:kern w:val="0"/>
          <w:sz w:val="24"/>
          <w:lang w:eastAsia="zh-CN"/>
          <w14:textFill>
            <w14:solidFill>
              <w14:schemeClr w14:val="tx1"/>
            </w14:solidFill>
          </w14:textFill>
        </w:rPr>
        <w:t>货物</w:t>
      </w:r>
      <w:r>
        <w:rPr>
          <w:rFonts w:hint="eastAsia" w:ascii="宋体" w:hAnsi="宋体" w:cs="宋体"/>
          <w:color w:val="000000" w:themeColor="text1"/>
          <w:kern w:val="0"/>
          <w:sz w:val="24"/>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（十）乙方委托的第三方运输单位或个人，违反本协议的，全部责任均由乙方承担。</w:t>
      </w:r>
    </w:p>
    <w:p>
      <w:pPr>
        <w:pStyle w:val="36"/>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pStyle w:val="21"/>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Cs w:val="21"/>
          <w:lang w:val="en-US" w:eastAsia="zh-CN"/>
          <w14:textFill>
            <w14:solidFill>
              <w14:schemeClr w14:val="tx1"/>
            </w14:solidFill>
          </w14:textFill>
        </w:rPr>
        <w:t>附件5 报价清单</w:t>
      </w:r>
    </w:p>
    <w:p>
      <w:pPr>
        <w:pStyle w:val="21"/>
        <w:rPr>
          <w:rFonts w:hint="eastAsia"/>
          <w:lang w:val="en-US" w:eastAsia="zh-CN"/>
        </w:rPr>
      </w:pPr>
    </w:p>
    <w:tbl>
      <w:tblPr>
        <w:tblStyle w:val="22"/>
        <w:tblW w:w="9776" w:type="dxa"/>
        <w:jc w:val="center"/>
        <w:tblLayout w:type="fixed"/>
        <w:tblCellMar>
          <w:top w:w="0" w:type="dxa"/>
          <w:left w:w="108" w:type="dxa"/>
          <w:bottom w:w="0" w:type="dxa"/>
          <w:right w:w="108" w:type="dxa"/>
        </w:tblCellMar>
      </w:tblPr>
      <w:tblGrid>
        <w:gridCol w:w="937"/>
        <w:gridCol w:w="1450"/>
        <w:gridCol w:w="1075"/>
        <w:gridCol w:w="750"/>
        <w:gridCol w:w="575"/>
        <w:gridCol w:w="813"/>
        <w:gridCol w:w="1037"/>
        <w:gridCol w:w="950"/>
        <w:gridCol w:w="1063"/>
        <w:gridCol w:w="1126"/>
      </w:tblGrid>
      <w:tr>
        <w:tblPrEx>
          <w:tblCellMar>
            <w:top w:w="0" w:type="dxa"/>
            <w:left w:w="108" w:type="dxa"/>
            <w:bottom w:w="0" w:type="dxa"/>
            <w:right w:w="108" w:type="dxa"/>
          </w:tblCellMar>
        </w:tblPrEx>
        <w:trPr>
          <w:trHeight w:val="517" w:hRule="atLeast"/>
          <w:jc w:val="center"/>
        </w:trPr>
        <w:tc>
          <w:tcPr>
            <w:tcW w:w="9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14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5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57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85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13"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112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9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4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5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57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112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9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14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autoSpaceDE w:val="0"/>
              <w:autoSpaceDN w:val="0"/>
              <w:adjustRightInd w:val="0"/>
              <w:spacing w:line="460" w:lineRule="exact"/>
              <w:jc w:val="center"/>
              <w:textAlignment w:val="auto"/>
              <w:rPr>
                <w:rFonts w:hint="eastAsia" w:ascii="宋体" w:hAnsi="宋体" w:cs="宋体" w:eastAsiaTheme="minorEastAsia"/>
                <w:i w:val="0"/>
                <w:color w:val="auto"/>
                <w:kern w:val="0"/>
                <w:sz w:val="24"/>
                <w:szCs w:val="24"/>
                <w:highlight w:val="none"/>
                <w:u w:val="none"/>
                <w:lang w:val="en-US" w:eastAsia="zh-CN" w:bidi="ar-SA"/>
              </w:rPr>
            </w:pPr>
            <w:r>
              <w:rPr>
                <w:rFonts w:hint="eastAsia" w:ascii="宋体" w:hAnsi="宋体" w:cs="宋体" w:eastAsiaTheme="minorEastAsia"/>
                <w:b w:val="0"/>
                <w:bCs w:val="0"/>
                <w:i w:val="0"/>
                <w:color w:val="auto"/>
                <w:kern w:val="0"/>
                <w:sz w:val="24"/>
                <w:szCs w:val="24"/>
                <w:highlight w:val="none"/>
                <w:u w:val="none"/>
                <w:lang w:val="en-US" w:eastAsia="zh-CN"/>
              </w:rPr>
              <w:t>SG45A-CVC鼓风机齿轮箱</w:t>
            </w:r>
            <w:r>
              <w:rPr>
                <w:rFonts w:hint="eastAsia" w:ascii="宋体" w:hAnsi="宋体" w:cs="宋体"/>
                <w:b w:val="0"/>
                <w:bCs w:val="0"/>
                <w:i w:val="0"/>
                <w:color w:val="auto"/>
                <w:kern w:val="0"/>
                <w:sz w:val="24"/>
                <w:szCs w:val="24"/>
                <w:highlight w:val="none"/>
                <w:u w:val="none"/>
                <w:lang w:val="en-US" w:eastAsia="zh-CN"/>
              </w:rPr>
              <w:t>主</w:t>
            </w:r>
            <w:r>
              <w:rPr>
                <w:rFonts w:hint="eastAsia" w:ascii="宋体" w:hAnsi="宋体" w:cs="宋体" w:eastAsiaTheme="minorEastAsia"/>
                <w:b w:val="0"/>
                <w:bCs w:val="0"/>
                <w:i w:val="0"/>
                <w:color w:val="auto"/>
                <w:kern w:val="0"/>
                <w:sz w:val="24"/>
                <w:szCs w:val="24"/>
                <w:highlight w:val="none"/>
                <w:u w:val="none"/>
                <w:lang w:val="en-US" w:eastAsia="zh-CN"/>
              </w:rPr>
              <w:t xml:space="preserve">呼吸器滤芯 </w:t>
            </w:r>
          </w:p>
        </w:tc>
        <w:tc>
          <w:tcPr>
            <w:tcW w:w="10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豪顿华</w:t>
            </w:r>
          </w:p>
        </w:tc>
        <w:tc>
          <w:tcPr>
            <w:tcW w:w="7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个</w:t>
            </w:r>
          </w:p>
        </w:tc>
        <w:tc>
          <w:tcPr>
            <w:tcW w:w="57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lang w:val="en-US" w:eastAsia="zh-CN"/>
              </w:rPr>
            </w:pPr>
            <w:r>
              <w:rPr>
                <w:rFonts w:hint="eastAsia" w:ascii="宋体" w:hAnsi="宋体" w:cs="宋体"/>
                <w:color w:val="auto"/>
                <w:kern w:val="0"/>
                <w:sz w:val="24"/>
                <w:szCs w:val="24"/>
                <w:lang w:val="en-US" w:eastAsia="zh-CN"/>
              </w:rPr>
              <w:t>12</w:t>
            </w:r>
          </w:p>
        </w:tc>
        <w:tc>
          <w:tcPr>
            <w:tcW w:w="8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787"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合同总价（万元）</w:t>
            </w:r>
          </w:p>
        </w:tc>
        <w:tc>
          <w:tcPr>
            <w:tcW w:w="8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3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5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pStyle w:val="21"/>
        <w:rPr>
          <w:rFonts w:hint="eastAsia"/>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hint="default"/>
          <w:color w:val="000000" w:themeColor="text1"/>
          <w:lang w:val="en-US" w:eastAsia="zh-CN"/>
          <w14:textFill>
            <w14:solidFill>
              <w14:schemeClr w14:val="tx1"/>
            </w14:solidFill>
          </w14:textFill>
        </w:rPr>
      </w:pPr>
    </w:p>
    <w:p>
      <w:pPr>
        <w:pStyle w:val="21"/>
        <w:rPr>
          <w:rFonts w:ascii="仿宋_GB2312" w:eastAsia="仿宋_GB2312"/>
          <w:color w:val="auto"/>
          <w:sz w:val="28"/>
          <w:szCs w:val="28"/>
          <w:highlight w:val="none"/>
        </w:rPr>
      </w:pPr>
    </w:p>
    <w:p>
      <w:pPr>
        <w:pStyle w:val="3"/>
        <w:rPr>
          <w:color w:val="auto"/>
          <w:highlight w:val="none"/>
        </w:rPr>
      </w:pPr>
      <w:bookmarkStart w:id="121" w:name="_Toc16552"/>
      <w:bookmarkStart w:id="122" w:name="_Toc1563"/>
      <w:bookmarkStart w:id="123" w:name="_Toc23515"/>
      <w:bookmarkStart w:id="124" w:name="_Toc28358"/>
      <w:bookmarkStart w:id="125" w:name="_Toc8147"/>
      <w:bookmarkStart w:id="126" w:name="_Toc3723"/>
      <w:bookmarkStart w:id="127" w:name="_Toc12169"/>
      <w:bookmarkStart w:id="128" w:name="_Toc6230"/>
      <w:bookmarkStart w:id="129" w:name="_Toc5129"/>
      <w:bookmarkStart w:id="130" w:name="_Toc21847"/>
      <w:bookmarkStart w:id="131"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21"/>
      <w:bookmarkEnd w:id="122"/>
      <w:bookmarkEnd w:id="123"/>
      <w:bookmarkEnd w:id="124"/>
      <w:bookmarkEnd w:id="125"/>
      <w:bookmarkEnd w:id="126"/>
      <w:bookmarkEnd w:id="127"/>
      <w:bookmarkEnd w:id="128"/>
      <w:bookmarkEnd w:id="129"/>
      <w:bookmarkEnd w:id="130"/>
      <w:bookmarkEnd w:id="131"/>
    </w:p>
    <w:p>
      <w:pPr>
        <w:pStyle w:val="36"/>
        <w:rPr>
          <w:color w:val="auto"/>
          <w:highlight w:val="none"/>
        </w:rPr>
      </w:pPr>
    </w:p>
    <w:p>
      <w:pPr>
        <w:pStyle w:val="3"/>
        <w:rPr>
          <w:color w:val="auto"/>
          <w:highlight w:val="none"/>
        </w:rPr>
      </w:pPr>
      <w:bookmarkStart w:id="132" w:name="_Toc88209951"/>
      <w:bookmarkStart w:id="133" w:name="_Toc24815"/>
      <w:bookmarkStart w:id="134" w:name="_Toc12769"/>
      <w:bookmarkStart w:id="135" w:name="_Toc5342"/>
      <w:bookmarkStart w:id="136" w:name="_Toc87616388"/>
      <w:bookmarkStart w:id="137" w:name="_Toc24490"/>
      <w:bookmarkStart w:id="138" w:name="_Toc31564"/>
      <w:bookmarkStart w:id="139" w:name="_Toc22764"/>
      <w:bookmarkStart w:id="140" w:name="_Toc21675"/>
      <w:bookmarkStart w:id="141" w:name="_Toc30157"/>
      <w:bookmarkStart w:id="142" w:name="_Toc10840"/>
      <w:bookmarkStart w:id="143" w:name="_Toc12610"/>
      <w:bookmarkStart w:id="144" w:name="_Toc17119"/>
      <w:r>
        <w:rPr>
          <w:rFonts w:hint="eastAsia"/>
          <w:color w:val="auto"/>
          <w:highlight w:val="none"/>
        </w:rPr>
        <w:t>响应文件</w:t>
      </w:r>
      <w:r>
        <w:rPr>
          <w:rFonts w:hint="eastAsia"/>
          <w:color w:val="auto"/>
          <w:highlight w:val="none"/>
          <w:lang w:val="en-US" w:eastAsia="zh-CN"/>
        </w:rPr>
        <w:t>格式要求</w:t>
      </w:r>
      <w:bookmarkEnd w:id="132"/>
      <w:bookmarkEnd w:id="133"/>
      <w:bookmarkEnd w:id="134"/>
      <w:bookmarkEnd w:id="135"/>
      <w:bookmarkEnd w:id="136"/>
      <w:bookmarkEnd w:id="137"/>
      <w:bookmarkEnd w:id="138"/>
      <w:bookmarkEnd w:id="139"/>
      <w:bookmarkEnd w:id="140"/>
      <w:bookmarkEnd w:id="141"/>
      <w:bookmarkEnd w:id="142"/>
      <w:bookmarkEnd w:id="143"/>
      <w:bookmarkEnd w:id="14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pStyle w:val="27"/>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5" w:name="_Toc88209952"/>
      <w:bookmarkStart w:id="146" w:name="_Toc87616389"/>
      <w:r>
        <w:rPr>
          <w:rFonts w:hint="eastAsia" w:ascii="仿宋_GB2312" w:eastAsia="仿宋_GB2312"/>
          <w:color w:val="auto"/>
          <w:sz w:val="28"/>
          <w:szCs w:val="28"/>
          <w:highlight w:val="none"/>
        </w:rPr>
        <w:t>1.响应函</w:t>
      </w:r>
      <w:bookmarkEnd w:id="145"/>
      <w:bookmarkEnd w:id="146"/>
    </w:p>
    <w:p>
      <w:pPr>
        <w:spacing w:line="600" w:lineRule="exact"/>
        <w:rPr>
          <w:rFonts w:hint="eastAsia" w:ascii="仿宋_GB2312" w:eastAsia="仿宋_GB2312"/>
          <w:color w:val="auto"/>
          <w:sz w:val="28"/>
          <w:szCs w:val="28"/>
          <w:highlight w:val="none"/>
        </w:rPr>
      </w:pPr>
      <w:bookmarkStart w:id="147" w:name="_Toc87616390"/>
      <w:bookmarkStart w:id="148" w:name="_Toc88209953"/>
      <w:r>
        <w:rPr>
          <w:rFonts w:hint="eastAsia" w:ascii="仿宋_GB2312" w:eastAsia="仿宋_GB2312"/>
          <w:color w:val="auto"/>
          <w:sz w:val="28"/>
          <w:szCs w:val="28"/>
          <w:highlight w:val="none"/>
        </w:rPr>
        <w:t>2.法定代表人证明或授权委托书</w:t>
      </w:r>
      <w:bookmarkEnd w:id="147"/>
      <w:bookmarkEnd w:id="148"/>
      <w:bookmarkStart w:id="149" w:name="_Toc88209956"/>
      <w:bookmarkStart w:id="15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9"/>
      <w:bookmarkEnd w:id="150"/>
      <w:r>
        <w:rPr>
          <w:rFonts w:hint="eastAsia" w:ascii="仿宋_GB2312" w:eastAsia="仿宋_GB2312"/>
          <w:color w:val="auto"/>
          <w:sz w:val="28"/>
          <w:szCs w:val="28"/>
          <w:highlight w:val="none"/>
        </w:rPr>
        <w:cr/>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left="0" w:leftChars="0" w:firstLine="0" w:firstLineChars="0"/>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51" w:name="_Toc28619645"/>
      <w:bookmarkStart w:id="152" w:name="_Toc88209957"/>
      <w:bookmarkStart w:id="153" w:name="_Toc12665"/>
      <w:bookmarkStart w:id="154" w:name="_Toc87616394"/>
      <w:bookmarkStart w:id="155" w:name="_Toc6313"/>
      <w:r>
        <w:rPr>
          <w:rFonts w:hint="eastAsia" w:asciiTheme="minorEastAsia" w:hAnsiTheme="minorEastAsia" w:eastAsiaTheme="minorEastAsia"/>
          <w:color w:val="auto"/>
          <w:sz w:val="28"/>
          <w:szCs w:val="28"/>
          <w:highlight w:val="none"/>
        </w:rPr>
        <w:t>1.响应函</w:t>
      </w:r>
      <w:bookmarkEnd w:id="151"/>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56" w:name="_Toc88209958"/>
      <w:bookmarkStart w:id="157" w:name="_Toc87616395"/>
      <w:bookmarkStart w:id="158" w:name="_Toc29833"/>
      <w:bookmarkStart w:id="159" w:name="_Toc22527"/>
    </w:p>
    <w:p>
      <w:pPr>
        <w:pStyle w:val="21"/>
        <w:rPr>
          <w:rFonts w:hint="eastAsia"/>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6"/>
      <w:bookmarkEnd w:id="157"/>
      <w:bookmarkEnd w:id="158"/>
      <w:bookmarkEnd w:id="15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60" w:name="_Toc8086"/>
      <w:bookmarkStart w:id="161" w:name="_Toc88209963"/>
      <w:bookmarkStart w:id="162" w:name="_Toc19830"/>
      <w:bookmarkStart w:id="163"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60"/>
      <w:bookmarkEnd w:id="161"/>
      <w:bookmarkEnd w:id="162"/>
      <w:bookmarkEnd w:id="16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广州市净水有限公司江高分公司2022年鼓风机齿轮箱主呼吸器滤芯采购项目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w:t>
      </w:r>
      <w:r>
        <w:rPr>
          <w:rFonts w:hint="eastAsia" w:ascii="宋体" w:hAnsi="宋体" w:cs="宋体"/>
          <w:color w:val="auto"/>
          <w:sz w:val="24"/>
          <w:szCs w:val="24"/>
          <w:highlight w:val="none"/>
          <w:lang w:val="en-GB" w:eastAsia="zh-CN"/>
        </w:rPr>
        <w:t>报价</w:t>
      </w:r>
      <w:r>
        <w:rPr>
          <w:rFonts w:hint="eastAsia" w:ascii="宋体" w:hAnsi="宋体" w:cs="宋体" w:eastAsiaTheme="minorEastAsia"/>
          <w:color w:val="auto"/>
          <w:sz w:val="24"/>
          <w:szCs w:val="24"/>
          <w:highlight w:val="none"/>
          <w:lang w:val="en-GB"/>
        </w:rPr>
        <w:t>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bookmarkStart w:id="171" w:name="_GoBack"/>
      <w:bookmarkEnd w:id="171"/>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hint="default" w:asciiTheme="minorEastAsia" w:hAnsiTheme="minorEastAsia" w:eastAsiaTheme="minorEastAsia"/>
          <w:color w:val="auto"/>
          <w:sz w:val="28"/>
          <w:szCs w:val="28"/>
          <w:highlight w:val="none"/>
        </w:rPr>
      </w:pPr>
      <w:bookmarkStart w:id="165" w:name="_Toc32430"/>
      <w:bookmarkStart w:id="16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5"/>
      <w:bookmarkEnd w:id="16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tbl>
      <w:tblPr>
        <w:tblStyle w:val="22"/>
        <w:tblpPr w:leftFromText="180" w:rightFromText="180" w:vertAnchor="text" w:horzAnchor="page" w:tblpX="1662" w:tblpY="214"/>
        <w:tblOverlap w:val="never"/>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
        <w:gridCol w:w="1286"/>
        <w:gridCol w:w="600"/>
        <w:gridCol w:w="1155"/>
        <w:gridCol w:w="763"/>
        <w:gridCol w:w="495"/>
        <w:gridCol w:w="850"/>
        <w:gridCol w:w="782"/>
        <w:gridCol w:w="926"/>
        <w:gridCol w:w="921"/>
        <w:gridCol w:w="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27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品牌</w:t>
            </w:r>
          </w:p>
        </w:tc>
        <w:tc>
          <w:tcPr>
            <w:tcW w:w="651"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设备型号</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920"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041"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金额（元）</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 w:hRule="atLeast"/>
          <w:jc w:val="center"/>
        </w:trPr>
        <w:tc>
          <w:tcPr>
            <w:tcW w:w="27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651"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highlight w:val="none"/>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4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5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4"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72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仿宋" w:hAnsi="仿宋" w:eastAsia="仿宋" w:cs="仿宋"/>
                <w:b w:val="0"/>
                <w:bCs/>
                <w:i w:val="0"/>
                <w:color w:val="000000"/>
                <w:sz w:val="24"/>
                <w:szCs w:val="24"/>
                <w:highlight w:val="none"/>
                <w:u w:val="none"/>
                <w:lang w:val="en-US" w:eastAsia="zh-CN"/>
              </w:rPr>
              <w:t>鼓风机齿轮箱主呼吸器滤芯</w:t>
            </w:r>
          </w:p>
        </w:tc>
        <w:tc>
          <w:tcPr>
            <w:tcW w:w="33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豪顿华</w:t>
            </w:r>
          </w:p>
        </w:tc>
        <w:tc>
          <w:tcPr>
            <w:tcW w:w="65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highlight w:val="none"/>
                <w:u w:val="none"/>
                <w:lang w:val="en-US" w:eastAsia="zh-CN"/>
              </w:rPr>
            </w:pPr>
            <w:r>
              <w:rPr>
                <w:rFonts w:hint="eastAsia" w:ascii="仿宋" w:hAnsi="仿宋" w:eastAsia="仿宋" w:cs="仿宋"/>
                <w:b w:val="0"/>
                <w:bCs/>
                <w:i w:val="0"/>
                <w:color w:val="000000"/>
                <w:sz w:val="24"/>
                <w:szCs w:val="24"/>
                <w:highlight w:val="none"/>
                <w:u w:val="none"/>
                <w:lang w:val="en-US" w:eastAsia="zh-CN"/>
              </w:rPr>
              <w:t xml:space="preserve">SG45A-CVC </w:t>
            </w:r>
          </w:p>
        </w:tc>
        <w:tc>
          <w:tcPr>
            <w:tcW w:w="43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2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w:t>
            </w:r>
          </w:p>
        </w:tc>
        <w:tc>
          <w:tcPr>
            <w:tcW w:w="47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5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p>
        </w:tc>
        <w:tc>
          <w:tcPr>
            <w:tcW w:w="34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4727"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Style w:val="46"/>
                <w:lang w:val="en-US" w:eastAsia="zh-CN" w:bidi="ar"/>
              </w:rPr>
              <w:t>含税总价（元）：</w:t>
            </w:r>
            <w:r>
              <w:rPr>
                <w:rStyle w:val="46"/>
                <w:rFonts w:hint="eastAsia"/>
                <w:lang w:val="en-US" w:eastAsia="zh-CN" w:bidi="ar"/>
              </w:rPr>
              <w:t xml:space="preserve">      </w:t>
            </w:r>
            <w:r>
              <w:rPr>
                <w:rStyle w:val="46"/>
                <w:lang w:val="en-US" w:eastAsia="zh-CN" w:bidi="ar"/>
              </w:rPr>
              <w:t>；    税率：</w:t>
            </w:r>
            <w:r>
              <w:rPr>
                <w:rStyle w:val="47"/>
                <w:lang w:val="en-US" w:eastAsia="zh-CN" w:bidi="ar"/>
              </w:rPr>
              <w:t xml:space="preserve">  </w:t>
            </w:r>
            <w:r>
              <w:rPr>
                <w:rStyle w:val="47"/>
                <w:rFonts w:hint="eastAsia"/>
                <w:lang w:val="en-US" w:eastAsia="zh-CN" w:bidi="ar"/>
              </w:rPr>
              <w:t xml:space="preserve">   </w:t>
            </w:r>
            <w:r>
              <w:rPr>
                <w:rStyle w:val="47"/>
                <w:lang w:val="en-US" w:eastAsia="zh-CN" w:bidi="ar"/>
              </w:rPr>
              <w:t xml:space="preserve">  </w:t>
            </w:r>
            <w:r>
              <w:rPr>
                <w:rStyle w:val="4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8" w:hRule="atLeast"/>
          <w:jc w:val="center"/>
        </w:trPr>
        <w:tc>
          <w:tcPr>
            <w:tcW w:w="27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备注</w:t>
            </w:r>
          </w:p>
        </w:tc>
        <w:tc>
          <w:tcPr>
            <w:tcW w:w="4727" w:type="pct"/>
            <w:gridSpan w:val="10"/>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Style w:val="46"/>
                <w:lang w:val="en-US" w:eastAsia="zh-CN" w:bidi="ar"/>
              </w:rPr>
            </w:pPr>
            <w:r>
              <w:rPr>
                <w:rFonts w:hint="eastAsia" w:ascii="仿宋" w:hAnsi="仿宋" w:eastAsia="仿宋" w:cs="仿宋"/>
                <w:b w:val="0"/>
                <w:bCs/>
                <w:i w:val="0"/>
                <w:color w:val="000000"/>
                <w:sz w:val="24"/>
                <w:szCs w:val="24"/>
                <w:highlight w:val="none"/>
                <w:u w:val="none"/>
                <w:lang w:val="en-US" w:eastAsia="zh-CN"/>
              </w:rPr>
              <w:t>豪顿华牌SG45A-CVC型鼓风机的齿轮箱主呼吸器滤芯12个。</w:t>
            </w: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600" w:lineRule="exact"/>
        <w:rPr>
          <w:rFonts w:ascii="仿宋_GB2312" w:eastAsia="仿宋_GB2312" w:hAnsiTheme="minorEastAsia"/>
          <w:color w:val="auto"/>
          <w:sz w:val="28"/>
          <w:szCs w:val="28"/>
          <w:highlight w:val="none"/>
        </w:rPr>
      </w:pPr>
    </w:p>
    <w:p>
      <w:pPr>
        <w:pStyle w:val="21"/>
        <w:ind w:firstLine="0"/>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67" w:name="_Toc6058"/>
      <w:bookmarkStart w:id="168" w:name="_Toc88209965"/>
      <w:bookmarkStart w:id="169" w:name="_Toc16386"/>
      <w:bookmarkStart w:id="170"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7"/>
      <w:bookmarkEnd w:id="168"/>
      <w:bookmarkEnd w:id="169"/>
      <w:bookmarkEnd w:id="170"/>
    </w:p>
    <w:p>
      <w:pPr>
        <w:rPr>
          <w:color w:val="auto"/>
          <w:highlight w:val="none"/>
        </w:rPr>
      </w:pPr>
    </w:p>
    <w:sectPr>
      <w:footerReference r:id="rId3" w:type="default"/>
      <w:footerReference r:id="rId4"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325A418B"/>
    <w:multiLevelType w:val="singleLevel"/>
    <w:tmpl w:val="325A418B"/>
    <w:lvl w:ilvl="0" w:tentative="0">
      <w:start w:val="2"/>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076128"/>
    <w:multiLevelType w:val="singleLevel"/>
    <w:tmpl w:val="5D076128"/>
    <w:lvl w:ilvl="0" w:tentative="0">
      <w:start w:val="2"/>
      <w:numFmt w:val="decimal"/>
      <w:lvlText w:val="%1."/>
      <w:lvlJc w:val="left"/>
      <w:pPr>
        <w:tabs>
          <w:tab w:val="left" w:pos="312"/>
        </w:tabs>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7"/>
  </w:num>
  <w:num w:numId="4">
    <w:abstractNumId w:val="3"/>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7959bb75-d3c3-4ccd-94c4-67f3bfa848df"/>
  </w:docVars>
  <w:rsids>
    <w:rsidRoot w:val="005D618A"/>
    <w:rsid w:val="003D60BA"/>
    <w:rsid w:val="00411689"/>
    <w:rsid w:val="005D618A"/>
    <w:rsid w:val="0087167F"/>
    <w:rsid w:val="00911ECD"/>
    <w:rsid w:val="00A042E0"/>
    <w:rsid w:val="00B26BB1"/>
    <w:rsid w:val="00B26E21"/>
    <w:rsid w:val="00F3729A"/>
    <w:rsid w:val="00F83B64"/>
    <w:rsid w:val="013C4DA6"/>
    <w:rsid w:val="013E3461"/>
    <w:rsid w:val="01A838E0"/>
    <w:rsid w:val="02090C75"/>
    <w:rsid w:val="02A23A3C"/>
    <w:rsid w:val="035D130A"/>
    <w:rsid w:val="0373376F"/>
    <w:rsid w:val="039110A9"/>
    <w:rsid w:val="03AC246A"/>
    <w:rsid w:val="03B23056"/>
    <w:rsid w:val="03DC3EBA"/>
    <w:rsid w:val="03F9794D"/>
    <w:rsid w:val="04643498"/>
    <w:rsid w:val="046A2461"/>
    <w:rsid w:val="04E127CF"/>
    <w:rsid w:val="051C2970"/>
    <w:rsid w:val="060C3611"/>
    <w:rsid w:val="06B9639B"/>
    <w:rsid w:val="06C64829"/>
    <w:rsid w:val="06E635A4"/>
    <w:rsid w:val="070E7B6E"/>
    <w:rsid w:val="072A3DB5"/>
    <w:rsid w:val="077D16D2"/>
    <w:rsid w:val="082A69F3"/>
    <w:rsid w:val="08675FC8"/>
    <w:rsid w:val="08BA6A96"/>
    <w:rsid w:val="09B713FD"/>
    <w:rsid w:val="09EF6ACC"/>
    <w:rsid w:val="09F4291C"/>
    <w:rsid w:val="0A315056"/>
    <w:rsid w:val="0AA213B4"/>
    <w:rsid w:val="0ABF02C1"/>
    <w:rsid w:val="0AF61C7E"/>
    <w:rsid w:val="0AFB45AD"/>
    <w:rsid w:val="0B351E9B"/>
    <w:rsid w:val="0B4C50D3"/>
    <w:rsid w:val="0B806B92"/>
    <w:rsid w:val="0B827E94"/>
    <w:rsid w:val="0B842F76"/>
    <w:rsid w:val="0BD070E1"/>
    <w:rsid w:val="0BE305B6"/>
    <w:rsid w:val="0C247926"/>
    <w:rsid w:val="0C4634AE"/>
    <w:rsid w:val="0C67668B"/>
    <w:rsid w:val="0C6801DD"/>
    <w:rsid w:val="0D794204"/>
    <w:rsid w:val="0E2125D1"/>
    <w:rsid w:val="0E214211"/>
    <w:rsid w:val="0E5F2769"/>
    <w:rsid w:val="0F4D75A3"/>
    <w:rsid w:val="0F5B2DCA"/>
    <w:rsid w:val="0FED051E"/>
    <w:rsid w:val="0FEE4C29"/>
    <w:rsid w:val="10031608"/>
    <w:rsid w:val="10046082"/>
    <w:rsid w:val="104974DD"/>
    <w:rsid w:val="10907D48"/>
    <w:rsid w:val="111703D2"/>
    <w:rsid w:val="112B101A"/>
    <w:rsid w:val="119B53FC"/>
    <w:rsid w:val="11DE1366"/>
    <w:rsid w:val="1215733B"/>
    <w:rsid w:val="12292DBF"/>
    <w:rsid w:val="12424CDC"/>
    <w:rsid w:val="129A2738"/>
    <w:rsid w:val="12B56BF1"/>
    <w:rsid w:val="12CB1A89"/>
    <w:rsid w:val="131840FB"/>
    <w:rsid w:val="13467417"/>
    <w:rsid w:val="135E44C2"/>
    <w:rsid w:val="136E76CF"/>
    <w:rsid w:val="1375539F"/>
    <w:rsid w:val="145F08C6"/>
    <w:rsid w:val="15776308"/>
    <w:rsid w:val="15BC6B3C"/>
    <w:rsid w:val="16360A7B"/>
    <w:rsid w:val="164D40B0"/>
    <w:rsid w:val="1694429A"/>
    <w:rsid w:val="17635326"/>
    <w:rsid w:val="17B00777"/>
    <w:rsid w:val="17B803EA"/>
    <w:rsid w:val="1815096B"/>
    <w:rsid w:val="18236EFD"/>
    <w:rsid w:val="189D5B1F"/>
    <w:rsid w:val="18A34CD0"/>
    <w:rsid w:val="193A5F83"/>
    <w:rsid w:val="19A53EA8"/>
    <w:rsid w:val="19B64DBC"/>
    <w:rsid w:val="19EC6A4A"/>
    <w:rsid w:val="1A373ACF"/>
    <w:rsid w:val="1A7F0B67"/>
    <w:rsid w:val="1A895341"/>
    <w:rsid w:val="1B0D071F"/>
    <w:rsid w:val="1B4568CE"/>
    <w:rsid w:val="1B9015B7"/>
    <w:rsid w:val="1B950DA6"/>
    <w:rsid w:val="1BF54245"/>
    <w:rsid w:val="1D0E6976"/>
    <w:rsid w:val="1D5A79EE"/>
    <w:rsid w:val="1DF95FC5"/>
    <w:rsid w:val="1E0E2CD0"/>
    <w:rsid w:val="1E831280"/>
    <w:rsid w:val="1E917858"/>
    <w:rsid w:val="1EBC4704"/>
    <w:rsid w:val="1F172EB5"/>
    <w:rsid w:val="1F94592D"/>
    <w:rsid w:val="1FB860DE"/>
    <w:rsid w:val="203C5A02"/>
    <w:rsid w:val="209D4C94"/>
    <w:rsid w:val="20E84705"/>
    <w:rsid w:val="218400BA"/>
    <w:rsid w:val="21AB1E2F"/>
    <w:rsid w:val="21D40498"/>
    <w:rsid w:val="22591B4A"/>
    <w:rsid w:val="22767047"/>
    <w:rsid w:val="23A05588"/>
    <w:rsid w:val="240476A1"/>
    <w:rsid w:val="2500563D"/>
    <w:rsid w:val="25431AEB"/>
    <w:rsid w:val="25BE3BFB"/>
    <w:rsid w:val="25BF43FD"/>
    <w:rsid w:val="25F86BCD"/>
    <w:rsid w:val="2605748B"/>
    <w:rsid w:val="26416C9D"/>
    <w:rsid w:val="264544A6"/>
    <w:rsid w:val="269E416A"/>
    <w:rsid w:val="26C11C6B"/>
    <w:rsid w:val="272100D3"/>
    <w:rsid w:val="272C72FC"/>
    <w:rsid w:val="275131CB"/>
    <w:rsid w:val="2771373D"/>
    <w:rsid w:val="27EB149D"/>
    <w:rsid w:val="27FD3E52"/>
    <w:rsid w:val="28A43A71"/>
    <w:rsid w:val="28E11370"/>
    <w:rsid w:val="294A756A"/>
    <w:rsid w:val="29781BF8"/>
    <w:rsid w:val="29C33ED0"/>
    <w:rsid w:val="29D5322D"/>
    <w:rsid w:val="2A025DD9"/>
    <w:rsid w:val="2A2619CB"/>
    <w:rsid w:val="2A7C2231"/>
    <w:rsid w:val="2ABB753D"/>
    <w:rsid w:val="2ADE7BDB"/>
    <w:rsid w:val="2AE50805"/>
    <w:rsid w:val="2AFE6EC4"/>
    <w:rsid w:val="2B7A49FA"/>
    <w:rsid w:val="2C615D26"/>
    <w:rsid w:val="2CB679ED"/>
    <w:rsid w:val="2D173C07"/>
    <w:rsid w:val="2D424A86"/>
    <w:rsid w:val="2D430559"/>
    <w:rsid w:val="2DDA66B7"/>
    <w:rsid w:val="2E7B52DB"/>
    <w:rsid w:val="2ED60115"/>
    <w:rsid w:val="2F324CFE"/>
    <w:rsid w:val="2FBA09F1"/>
    <w:rsid w:val="2FEF2ACF"/>
    <w:rsid w:val="30540211"/>
    <w:rsid w:val="31112A0D"/>
    <w:rsid w:val="311F4B20"/>
    <w:rsid w:val="312D7741"/>
    <w:rsid w:val="316F137F"/>
    <w:rsid w:val="31DF525F"/>
    <w:rsid w:val="31EC162B"/>
    <w:rsid w:val="32324C2E"/>
    <w:rsid w:val="327171DF"/>
    <w:rsid w:val="341E3434"/>
    <w:rsid w:val="345C6922"/>
    <w:rsid w:val="34BB4442"/>
    <w:rsid w:val="35B3577E"/>
    <w:rsid w:val="360B7EBA"/>
    <w:rsid w:val="36416867"/>
    <w:rsid w:val="369C32FD"/>
    <w:rsid w:val="37666E72"/>
    <w:rsid w:val="37693078"/>
    <w:rsid w:val="38081EA3"/>
    <w:rsid w:val="38167A04"/>
    <w:rsid w:val="381C3783"/>
    <w:rsid w:val="394B167A"/>
    <w:rsid w:val="399D1276"/>
    <w:rsid w:val="39B770D5"/>
    <w:rsid w:val="39DA2868"/>
    <w:rsid w:val="3A055F4B"/>
    <w:rsid w:val="3A4E4336"/>
    <w:rsid w:val="3A6007FE"/>
    <w:rsid w:val="3AF93D6C"/>
    <w:rsid w:val="3B7C2CE4"/>
    <w:rsid w:val="3BAF716B"/>
    <w:rsid w:val="3C0B5355"/>
    <w:rsid w:val="3CD4176B"/>
    <w:rsid w:val="3D1F44D9"/>
    <w:rsid w:val="3D5C38CD"/>
    <w:rsid w:val="3E5070F1"/>
    <w:rsid w:val="3EC370CB"/>
    <w:rsid w:val="3F6C3589"/>
    <w:rsid w:val="3F850180"/>
    <w:rsid w:val="3F9004D6"/>
    <w:rsid w:val="3FB83028"/>
    <w:rsid w:val="400E4D5E"/>
    <w:rsid w:val="40774C91"/>
    <w:rsid w:val="40E1138C"/>
    <w:rsid w:val="413814BA"/>
    <w:rsid w:val="41872511"/>
    <w:rsid w:val="41DF1251"/>
    <w:rsid w:val="424236D9"/>
    <w:rsid w:val="42466655"/>
    <w:rsid w:val="42C82F57"/>
    <w:rsid w:val="42CA7517"/>
    <w:rsid w:val="435707E5"/>
    <w:rsid w:val="43C76AF7"/>
    <w:rsid w:val="43E97E4A"/>
    <w:rsid w:val="446828F0"/>
    <w:rsid w:val="45093E85"/>
    <w:rsid w:val="45C13B4D"/>
    <w:rsid w:val="45F17B93"/>
    <w:rsid w:val="46054BCA"/>
    <w:rsid w:val="461865CE"/>
    <w:rsid w:val="46305825"/>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BBF3187"/>
    <w:rsid w:val="4D5354AB"/>
    <w:rsid w:val="4D916BA6"/>
    <w:rsid w:val="4DC44169"/>
    <w:rsid w:val="4DE24E21"/>
    <w:rsid w:val="4E1B19A3"/>
    <w:rsid w:val="4E4059F1"/>
    <w:rsid w:val="4E48787F"/>
    <w:rsid w:val="4EF0709E"/>
    <w:rsid w:val="4F0469A4"/>
    <w:rsid w:val="50540C73"/>
    <w:rsid w:val="513C6A7B"/>
    <w:rsid w:val="532D486F"/>
    <w:rsid w:val="5333545B"/>
    <w:rsid w:val="538D0E89"/>
    <w:rsid w:val="5450213C"/>
    <w:rsid w:val="54C55026"/>
    <w:rsid w:val="54D24048"/>
    <w:rsid w:val="54D64CD5"/>
    <w:rsid w:val="55887D69"/>
    <w:rsid w:val="561A0928"/>
    <w:rsid w:val="56423872"/>
    <w:rsid w:val="569E06BC"/>
    <w:rsid w:val="56B279F0"/>
    <w:rsid w:val="56F20F86"/>
    <w:rsid w:val="579D710E"/>
    <w:rsid w:val="57EC06ED"/>
    <w:rsid w:val="581F22F6"/>
    <w:rsid w:val="586E1E17"/>
    <w:rsid w:val="58862C35"/>
    <w:rsid w:val="58C14957"/>
    <w:rsid w:val="58CC23D2"/>
    <w:rsid w:val="58E66050"/>
    <w:rsid w:val="5AE83A50"/>
    <w:rsid w:val="5B353193"/>
    <w:rsid w:val="5BAB2917"/>
    <w:rsid w:val="5BFC33FA"/>
    <w:rsid w:val="5C3107A4"/>
    <w:rsid w:val="5C3B1B93"/>
    <w:rsid w:val="5C9220DF"/>
    <w:rsid w:val="5C9A1694"/>
    <w:rsid w:val="5D4A15F3"/>
    <w:rsid w:val="5D69542A"/>
    <w:rsid w:val="5D783B72"/>
    <w:rsid w:val="5D8056B1"/>
    <w:rsid w:val="5DBF52B0"/>
    <w:rsid w:val="5E0930EF"/>
    <w:rsid w:val="5E3D4D53"/>
    <w:rsid w:val="5E4717E6"/>
    <w:rsid w:val="5E55774C"/>
    <w:rsid w:val="5E8A70FF"/>
    <w:rsid w:val="60045F96"/>
    <w:rsid w:val="60104DDC"/>
    <w:rsid w:val="60283EA0"/>
    <w:rsid w:val="605C0804"/>
    <w:rsid w:val="6189617B"/>
    <w:rsid w:val="61B52BB6"/>
    <w:rsid w:val="61B749C2"/>
    <w:rsid w:val="62280D20"/>
    <w:rsid w:val="62CA2457"/>
    <w:rsid w:val="638240A1"/>
    <w:rsid w:val="63833423"/>
    <w:rsid w:val="63A5257B"/>
    <w:rsid w:val="63BD3DCC"/>
    <w:rsid w:val="63C61741"/>
    <w:rsid w:val="64560967"/>
    <w:rsid w:val="656B1D10"/>
    <w:rsid w:val="65B841F9"/>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CA70C4"/>
    <w:rsid w:val="6AE347EB"/>
    <w:rsid w:val="6B330365"/>
    <w:rsid w:val="6B434AF0"/>
    <w:rsid w:val="6B57675A"/>
    <w:rsid w:val="6B615BB4"/>
    <w:rsid w:val="6B87098A"/>
    <w:rsid w:val="6BDD7B4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2C837C6"/>
    <w:rsid w:val="73406CFF"/>
    <w:rsid w:val="7383028C"/>
    <w:rsid w:val="73A25E44"/>
    <w:rsid w:val="741F68CF"/>
    <w:rsid w:val="75252DF3"/>
    <w:rsid w:val="75621536"/>
    <w:rsid w:val="75BF3154"/>
    <w:rsid w:val="764A07CF"/>
    <w:rsid w:val="764F6B3D"/>
    <w:rsid w:val="76CD2B7B"/>
    <w:rsid w:val="76D80645"/>
    <w:rsid w:val="76E03371"/>
    <w:rsid w:val="77414451"/>
    <w:rsid w:val="780E5898"/>
    <w:rsid w:val="782642CC"/>
    <w:rsid w:val="783427FF"/>
    <w:rsid w:val="786C427A"/>
    <w:rsid w:val="7894095E"/>
    <w:rsid w:val="78964555"/>
    <w:rsid w:val="78CC6C21"/>
    <w:rsid w:val="78CF4963"/>
    <w:rsid w:val="79000679"/>
    <w:rsid w:val="791C0FE5"/>
    <w:rsid w:val="79277A4C"/>
    <w:rsid w:val="79A416F0"/>
    <w:rsid w:val="79B03EB6"/>
    <w:rsid w:val="79F43D21"/>
    <w:rsid w:val="7AC93C0D"/>
    <w:rsid w:val="7AE15A5C"/>
    <w:rsid w:val="7AF37579"/>
    <w:rsid w:val="7AF87F64"/>
    <w:rsid w:val="7B1C0C84"/>
    <w:rsid w:val="7B5A62DF"/>
    <w:rsid w:val="7B7A04A8"/>
    <w:rsid w:val="7C0C3F6D"/>
    <w:rsid w:val="7C22163C"/>
    <w:rsid w:val="7C457B4B"/>
    <w:rsid w:val="7C595075"/>
    <w:rsid w:val="7C5C25DB"/>
    <w:rsid w:val="7C6B07B2"/>
    <w:rsid w:val="7CE213AD"/>
    <w:rsid w:val="7D133243"/>
    <w:rsid w:val="7D945420"/>
    <w:rsid w:val="7E394207"/>
    <w:rsid w:val="7E4007A2"/>
    <w:rsid w:val="7E6A6394"/>
    <w:rsid w:val="7E791CAD"/>
    <w:rsid w:val="7EA50DFB"/>
    <w:rsid w:val="7EC86878"/>
    <w:rsid w:val="7F16390D"/>
    <w:rsid w:val="7F1A0C7F"/>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31"/>
    <w:basedOn w:val="24"/>
    <w:qFormat/>
    <w:uiPriority w:val="0"/>
    <w:rPr>
      <w:rFonts w:hint="eastAsia" w:ascii="仿宋" w:hAnsi="仿宋" w:eastAsia="仿宋" w:cs="仿宋"/>
      <w:color w:val="000000"/>
      <w:sz w:val="24"/>
      <w:szCs w:val="24"/>
      <w:u w:val="none"/>
    </w:rPr>
  </w:style>
  <w:style w:type="character" w:customStyle="1" w:styleId="47">
    <w:name w:val="font11"/>
    <w:basedOn w:val="24"/>
    <w:qFormat/>
    <w:uiPriority w:val="0"/>
    <w:rPr>
      <w:rFonts w:hint="eastAsia" w:ascii="仿宋" w:hAnsi="仿宋" w:eastAsia="仿宋" w:cs="仿宋"/>
      <w:color w:val="000000"/>
      <w:sz w:val="24"/>
      <w:szCs w:val="24"/>
      <w:u w:val="single"/>
    </w:rPr>
  </w:style>
  <w:style w:type="paragraph" w:customStyle="1" w:styleId="48">
    <w:name w:val="Other|1"/>
    <w:basedOn w:val="1"/>
    <w:qFormat/>
    <w:uiPriority w:val="0"/>
    <w:pPr>
      <w:widowControl w:val="0"/>
      <w:shd w:val="clear" w:color="auto" w:fill="auto"/>
    </w:pPr>
    <w:rPr>
      <w:sz w:val="12"/>
      <w:szCs w:val="12"/>
      <w:u w:val="none"/>
      <w:shd w:val="clear" w:color="auto" w:fill="auto"/>
      <w:lang w:val="zh-TW" w:eastAsia="zh-TW" w:bidi="zh-TW"/>
    </w:rPr>
  </w:style>
  <w:style w:type="paragraph" w:customStyle="1" w:styleId="49">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19083</Words>
  <Characters>19868</Characters>
  <Lines>300</Lines>
  <Paragraphs>84</Paragraphs>
  <TotalTime>9</TotalTime>
  <ScaleCrop>false</ScaleCrop>
  <LinksUpToDate>false</LinksUpToDate>
  <CharactersWithSpaces>21754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2023-01-09T02:47:00Z</cp:lastPrinted>
  <dcterms:modified xsi:type="dcterms:W3CDTF">2023-01-31T08:36:43Z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2E491EBE18474F22ADFE861A2EDD36DF</vt:lpwstr>
  </property>
</Properties>
</file>