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rPr>
        <w:t>广州从化净水有限公司2023年</w:t>
      </w:r>
      <w:r>
        <w:rPr>
          <w:rFonts w:hint="eastAsia" w:ascii="方正小标宋简体" w:eastAsia="方正小标宋简体"/>
          <w:color w:val="auto"/>
          <w:sz w:val="52"/>
          <w:szCs w:val="52"/>
          <w:highlight w:val="none"/>
          <w:lang w:val="en-US" w:eastAsia="zh-CN"/>
        </w:rPr>
        <w:t>-2024年</w:t>
      </w:r>
    </w:p>
    <w:p>
      <w:pPr>
        <w:jc w:val="center"/>
        <w:rPr>
          <w:rFonts w:hint="eastAsia"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废水、废气、噪声</w:t>
      </w:r>
      <w:r>
        <w:rPr>
          <w:rFonts w:hint="eastAsia" w:ascii="方正小标宋简体" w:eastAsia="方正小标宋简体"/>
          <w:color w:val="auto"/>
          <w:sz w:val="52"/>
          <w:szCs w:val="52"/>
          <w:highlight w:val="none"/>
          <w:lang w:val="en-US" w:eastAsia="zh-CN"/>
        </w:rPr>
        <w:t>委托</w:t>
      </w:r>
      <w:r>
        <w:rPr>
          <w:rFonts w:hint="eastAsia" w:ascii="方正小标宋简体" w:eastAsia="方正小标宋简体"/>
          <w:color w:val="auto"/>
          <w:sz w:val="52"/>
          <w:szCs w:val="52"/>
          <w:highlight w:val="none"/>
        </w:rPr>
        <w:t>检测项目</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广州从化净水有限公司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一</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5"/>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26148"/>
      <w:bookmarkStart w:id="1" w:name="_Toc18145"/>
    </w:p>
    <w:p>
      <w:pPr>
        <w:rPr>
          <w:rFonts w:hint="eastAsia"/>
          <w:color w:val="auto"/>
          <w:highlight w:val="none"/>
        </w:rPr>
      </w:pPr>
    </w:p>
    <w:p>
      <w:pPr>
        <w:pStyle w:val="4"/>
        <w:rPr>
          <w:rFonts w:hint="eastAsia"/>
          <w:color w:val="auto"/>
          <w:highlight w:val="none"/>
        </w:rPr>
      </w:pPr>
      <w:bookmarkStart w:id="2" w:name="_Toc17696"/>
      <w:bookmarkStart w:id="3" w:name="_Toc1711"/>
    </w:p>
    <w:p>
      <w:pPr>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4"/>
        <w:rPr>
          <w:rFonts w:hint="eastAsia"/>
          <w:color w:val="auto"/>
          <w:highlight w:val="none"/>
        </w:rPr>
      </w:pPr>
      <w:bookmarkStart w:id="4" w:name="_Toc17801"/>
      <w:bookmarkStart w:id="5" w:name="_Toc11322"/>
      <w:bookmarkStart w:id="6" w:name="_Toc1669"/>
      <w:bookmarkStart w:id="7" w:name="_Toc7519"/>
      <w:bookmarkStart w:id="8" w:name="_Toc4275"/>
      <w:bookmarkStart w:id="9" w:name="_Toc31938"/>
      <w:bookmarkStart w:id="10" w:name="_Toc19609"/>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2481580</wp:posOffset>
                </wp:positionH>
                <wp:positionV relativeFrom="paragraph">
                  <wp:posOffset>50800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95.4pt;margin-top:4pt;height:0pt;width:75.5pt;z-index:251672576;mso-width-relative:page;mso-height-relative:page;" filled="f" stroked="t" coordsize="21600,21600" o:gfxdata="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2AAaN9QAAAAHAQAADwAAAAAAAAABACAAAAAiAAAAZHJzL2Rvd25yZXYueG1sUEsBAhQAFAAA&#10;AAgAh07iQA+sh4jzAQAA5AMAAA4AAAAAAAAAAQAgAAAAIwEAAGRycy9lMm9Eb2MueG1sUEsFBgAA&#10;AAAGAAYAWQEAAIg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2502535</wp:posOffset>
                </wp:positionH>
                <wp:positionV relativeFrom="paragraph">
                  <wp:posOffset>526415</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97.05pt;margin-top:41.45pt;height:0pt;width:75.5pt;z-index:251673600;mso-width-relative:page;mso-height-relative:page;" filled="f" stroked="t" coordsize="21600,21600" o:gfxdata="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12b9LtcAAAAJ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7"/>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广州从化净水有限公司2023年-2024年废水、废气、噪声委托检测项目</w:t>
      </w:r>
      <w:r>
        <w:rPr>
          <w:rFonts w:hint="eastAsia" w:ascii="仿宋" w:hAnsi="仿宋" w:eastAsia="仿宋" w:cs="仿宋"/>
          <w:color w:val="auto"/>
          <w:sz w:val="28"/>
          <w:szCs w:val="28"/>
          <w:highlight w:val="none"/>
        </w:rPr>
        <w:t>已具备采购条件，</w:t>
      </w:r>
      <w:r>
        <w:rPr>
          <w:rFonts w:hint="eastAsia" w:ascii="仿宋" w:hAnsi="仿宋" w:eastAsia="仿宋" w:cs="仿宋"/>
          <w:sz w:val="28"/>
          <w:szCs w:val="28"/>
        </w:rPr>
        <w:t>现</w:t>
      </w:r>
      <w:r>
        <w:rPr>
          <w:rFonts w:hint="eastAsia" w:ascii="仿宋" w:hAnsi="仿宋" w:eastAsia="仿宋" w:cs="仿宋"/>
          <w:sz w:val="28"/>
          <w:szCs w:val="28"/>
          <w:lang w:val="en-US" w:eastAsia="zh-CN"/>
        </w:rPr>
        <w:t>邀请合格</w:t>
      </w:r>
      <w:r>
        <w:rPr>
          <w:rFonts w:hint="eastAsia" w:ascii="仿宋" w:hAnsi="仿宋" w:eastAsia="仿宋" w:cs="仿宋"/>
          <w:sz w:val="28"/>
          <w:szCs w:val="28"/>
          <w:u w:val="none"/>
          <w:lang w:val="en-US" w:eastAsia="zh-CN"/>
        </w:rPr>
        <w:t>单位</w:t>
      </w:r>
      <w:r>
        <w:rPr>
          <w:rFonts w:hint="eastAsia" w:ascii="仿宋" w:hAnsi="仿宋" w:eastAsia="仿宋" w:cs="仿宋"/>
          <w:sz w:val="28"/>
          <w:szCs w:val="28"/>
        </w:rPr>
        <w:t>参加本</w:t>
      </w:r>
      <w:r>
        <w:rPr>
          <w:rFonts w:hint="eastAsia" w:ascii="仿宋" w:hAnsi="仿宋" w:eastAsia="仿宋" w:cs="仿宋"/>
          <w:sz w:val="28"/>
          <w:szCs w:val="28"/>
          <w:lang w:eastAsia="zh-CN"/>
        </w:rPr>
        <w:t>□</w:t>
      </w:r>
      <w:r>
        <w:rPr>
          <w:rFonts w:hint="eastAsia" w:ascii="仿宋" w:hAnsi="仿宋" w:eastAsia="仿宋" w:cs="仿宋"/>
          <w:sz w:val="28"/>
          <w:szCs w:val="28"/>
        </w:rPr>
        <w:t xml:space="preserve">施工  </w:t>
      </w:r>
      <w:r>
        <w:rPr>
          <w:rFonts w:hint="eastAsia" w:ascii="仿宋" w:hAnsi="仿宋" w:eastAsia="仿宋" w:cs="仿宋"/>
          <w:sz w:val="28"/>
          <w:szCs w:val="28"/>
          <w:lang w:eastAsia="zh-CN"/>
        </w:rPr>
        <w:t>□</w:t>
      </w:r>
      <w:r>
        <w:rPr>
          <w:rFonts w:hint="eastAsia" w:ascii="仿宋" w:hAnsi="仿宋" w:eastAsia="仿宋" w:cs="仿宋"/>
          <w:sz w:val="28"/>
          <w:szCs w:val="28"/>
        </w:rPr>
        <w:t xml:space="preserve">货物 </w:t>
      </w:r>
      <w:r>
        <w:rPr>
          <w:rFonts w:hint="eastAsia" w:ascii="仿宋" w:hAnsi="仿宋" w:eastAsia="仿宋" w:cs="仿宋"/>
          <w:sz w:val="28"/>
          <w:szCs w:val="28"/>
        </w:rPr>
        <w:sym w:font="Wingdings 2" w:char="0052"/>
      </w:r>
      <w:r>
        <w:rPr>
          <w:rFonts w:hint="eastAsia" w:ascii="仿宋" w:hAnsi="仿宋" w:eastAsia="仿宋" w:cs="仿宋"/>
          <w:sz w:val="28"/>
          <w:szCs w:val="28"/>
        </w:rPr>
        <w:t>服务项目采购活</w:t>
      </w:r>
      <w:r>
        <w:rPr>
          <w:rFonts w:hint="eastAsia" w:ascii="仿宋" w:hAnsi="仿宋" w:eastAsia="仿宋" w:cs="仿宋"/>
          <w:sz w:val="28"/>
          <w:szCs w:val="28"/>
          <w:highlight w:val="none"/>
        </w:rPr>
        <w:t>动，采用</w:t>
      </w:r>
      <w:r>
        <w:rPr>
          <w:rFonts w:hint="eastAsia" w:ascii="仿宋_GB2312" w:eastAsia="仿宋_GB2312"/>
          <w:sz w:val="28"/>
          <w:szCs w:val="28"/>
          <w:highlight w:val="none"/>
        </w:rPr>
        <w:t>采用</w:t>
      </w:r>
      <w:r>
        <w:rPr>
          <w:rFonts w:hint="eastAsia" w:ascii="仿宋" w:hAnsi="仿宋" w:eastAsia="仿宋" w:cs="仿宋"/>
          <w:sz w:val="28"/>
          <w:szCs w:val="28"/>
          <w:highlight w:val="none"/>
          <w:lang w:eastAsia="zh-CN"/>
        </w:rPr>
        <w:t>□</w:t>
      </w:r>
      <w:r>
        <w:rPr>
          <w:rFonts w:hint="eastAsia" w:ascii="仿宋_GB2312" w:eastAsia="仿宋_GB2312"/>
          <w:sz w:val="28"/>
          <w:szCs w:val="28"/>
          <w:highlight w:val="none"/>
          <w:u w:val="single"/>
          <w:lang w:val="en-US" w:eastAsia="zh-CN"/>
        </w:rPr>
        <w:t>邀请</w:t>
      </w:r>
      <w:r>
        <w:rPr>
          <w:rFonts w:hint="eastAsia" w:ascii="仿宋_GB2312" w:eastAsia="仿宋_GB2312"/>
          <w:sz w:val="28"/>
          <w:szCs w:val="28"/>
          <w:highlight w:val="none"/>
          <w:u w:val="single"/>
        </w:rPr>
        <w:t>询比</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single"/>
          <w:lang w:val="en-US" w:eastAsia="zh-CN"/>
        </w:rPr>
        <w:sym w:font="Wingdings 2" w:char="0052"/>
      </w:r>
      <w:r>
        <w:rPr>
          <w:rFonts w:hint="eastAsia" w:ascii="仿宋_GB2312" w:eastAsia="仿宋_GB2312"/>
          <w:sz w:val="28"/>
          <w:szCs w:val="28"/>
          <w:highlight w:val="none"/>
          <w:u w:val="single"/>
          <w:lang w:val="en-US" w:eastAsia="zh-CN"/>
        </w:rPr>
        <w:t>公开询比</w:t>
      </w:r>
      <w:r>
        <w:rPr>
          <w:rFonts w:hint="eastAsia" w:ascii="仿宋" w:hAnsi="仿宋" w:eastAsia="仿宋" w:cs="仿宋"/>
          <w:sz w:val="28"/>
          <w:szCs w:val="28"/>
          <w:highlight w:val="none"/>
        </w:rPr>
        <w:t>的方式邀请合格供应商参加本项</w:t>
      </w:r>
      <w:r>
        <w:rPr>
          <w:rFonts w:hint="eastAsia" w:ascii="仿宋" w:hAnsi="仿宋" w:eastAsia="仿宋" w:cs="仿宋"/>
          <w:sz w:val="28"/>
          <w:szCs w:val="28"/>
        </w:rPr>
        <w:t>目采购活动。</w:t>
      </w:r>
    </w:p>
    <w:p>
      <w:p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1.采购项目简介</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1.1采购项目名称：</w:t>
      </w:r>
      <w:r>
        <w:rPr>
          <w:rFonts w:hint="eastAsia" w:ascii="仿宋" w:hAnsi="仿宋" w:eastAsia="仿宋" w:cs="仿宋"/>
          <w:color w:val="auto"/>
          <w:sz w:val="28"/>
          <w:szCs w:val="28"/>
          <w:highlight w:val="none"/>
          <w:u w:val="single"/>
        </w:rPr>
        <w:t>广州从化净水有限公司2023年-2024年废水、废气、噪声委托检测项目</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1.2项目编号：穗从化净水询[202</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0112</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号</w:t>
      </w:r>
    </w:p>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资金来源：</w:t>
      </w:r>
      <w:r>
        <w:rPr>
          <w:rFonts w:hint="eastAsia" w:ascii="仿宋" w:hAnsi="仿宋" w:eastAsia="仿宋" w:cs="仿宋"/>
          <w:color w:val="auto"/>
          <w:sz w:val="28"/>
          <w:szCs w:val="28"/>
          <w:highlight w:val="none"/>
          <w:u w:val="single"/>
          <w:lang w:val="en-US" w:eastAsia="zh-CN"/>
        </w:rPr>
        <w:t>自筹资金</w:t>
      </w:r>
    </w:p>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最高限价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元</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lang w:val="en-US" w:eastAsia="zh-CN"/>
        </w:rPr>
        <w:t>739442</w:t>
      </w:r>
      <w:r>
        <w:rPr>
          <w:rFonts w:hint="eastAsia" w:ascii="仿宋" w:hAnsi="仿宋" w:eastAsia="仿宋" w:cs="仿宋"/>
          <w:sz w:val="28"/>
          <w:szCs w:val="28"/>
          <w:highlight w:val="none"/>
          <w:u w:val="single"/>
        </w:rPr>
        <w:t>元（人民</w:t>
      </w:r>
      <w:r>
        <w:rPr>
          <w:rFonts w:hint="eastAsia" w:ascii="仿宋" w:hAnsi="仿宋" w:eastAsia="仿宋" w:cs="仿宋"/>
          <w:sz w:val="28"/>
          <w:szCs w:val="28"/>
          <w:u w:val="single"/>
        </w:rPr>
        <w:t>币）</w:t>
      </w:r>
      <w:r>
        <w:rPr>
          <w:rFonts w:hint="eastAsia" w:ascii="仿宋" w:hAnsi="仿宋" w:eastAsia="仿宋" w:cs="仿宋"/>
          <w:color w:val="auto"/>
          <w:sz w:val="28"/>
          <w:szCs w:val="28"/>
          <w:highlight w:val="none"/>
          <w:u w:val="single"/>
        </w:rPr>
        <w:t xml:space="preserve"> </w:t>
      </w:r>
    </w:p>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标段划分：</w:t>
      </w:r>
      <w:r>
        <w:rPr>
          <w:rFonts w:hint="eastAsia" w:ascii="仿宋" w:hAnsi="仿宋" w:eastAsia="仿宋" w:cs="仿宋"/>
          <w:color w:val="auto"/>
          <w:sz w:val="28"/>
          <w:szCs w:val="28"/>
          <w:highlight w:val="none"/>
          <w:u w:val="single"/>
          <w:lang w:val="en-US" w:eastAsia="zh-CN"/>
        </w:rPr>
        <w:t>无</w:t>
      </w:r>
    </w:p>
    <w:p>
      <w:p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2.采购内容和范围</w:t>
      </w:r>
    </w:p>
    <w:p>
      <w:pPr>
        <w:spacing w:line="6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2.1采购内容和范围：</w:t>
      </w:r>
    </w:p>
    <w:p>
      <w:pPr>
        <w:pStyle w:val="2"/>
        <w:rPr>
          <w:rFonts w:hint="eastAsia" w:ascii="仿宋" w:hAnsi="仿宋" w:eastAsia="仿宋" w:cs="仿宋"/>
          <w:color w:val="auto"/>
          <w:sz w:val="28"/>
          <w:szCs w:val="28"/>
          <w:highlight w:val="none"/>
        </w:rPr>
      </w:pPr>
    </w:p>
    <w:p>
      <w:pPr>
        <w:pStyle w:val="3"/>
        <w:rPr>
          <w:rFonts w:hint="eastAsia" w:ascii="仿宋" w:hAnsi="仿宋" w:eastAsia="仿宋" w:cs="仿宋"/>
          <w:color w:val="auto"/>
          <w:sz w:val="28"/>
          <w:szCs w:val="28"/>
          <w:highlight w:val="none"/>
        </w:rPr>
      </w:pPr>
    </w:p>
    <w:p>
      <w:pPr>
        <w:pStyle w:val="3"/>
        <w:rPr>
          <w:rFonts w:hint="eastAsia" w:ascii="仿宋" w:hAnsi="仿宋" w:eastAsia="仿宋" w:cs="仿宋"/>
          <w:color w:val="auto"/>
          <w:sz w:val="28"/>
          <w:szCs w:val="28"/>
          <w:highlight w:val="none"/>
        </w:rPr>
      </w:pPr>
    </w:p>
    <w:p>
      <w:pPr>
        <w:pStyle w:val="3"/>
        <w:rPr>
          <w:rFonts w:hint="eastAsia" w:ascii="仿宋" w:hAnsi="仿宋" w:eastAsia="仿宋" w:cs="仿宋"/>
          <w:color w:val="auto"/>
          <w:sz w:val="28"/>
          <w:szCs w:val="28"/>
          <w:highlight w:val="none"/>
        </w:rPr>
      </w:pPr>
    </w:p>
    <w:p>
      <w:pPr>
        <w:pStyle w:val="3"/>
        <w:rPr>
          <w:rFonts w:hint="eastAsia" w:ascii="仿宋" w:hAnsi="仿宋" w:eastAsia="仿宋" w:cs="仿宋"/>
          <w:color w:val="auto"/>
          <w:sz w:val="28"/>
          <w:szCs w:val="28"/>
          <w:highlight w:val="none"/>
        </w:rPr>
      </w:pPr>
    </w:p>
    <w:p>
      <w:pPr>
        <w:pStyle w:val="3"/>
        <w:rPr>
          <w:rFonts w:hint="eastAsia" w:ascii="仿宋" w:hAnsi="仿宋" w:eastAsia="仿宋" w:cs="仿宋"/>
          <w:color w:val="auto"/>
          <w:sz w:val="28"/>
          <w:szCs w:val="28"/>
          <w:highlight w:val="none"/>
        </w:rPr>
      </w:pPr>
    </w:p>
    <w:p>
      <w:pPr>
        <w:pStyle w:val="3"/>
        <w:rPr>
          <w:rFonts w:hint="eastAsia" w:ascii="仿宋" w:hAnsi="仿宋" w:eastAsia="仿宋" w:cs="仿宋"/>
          <w:color w:val="auto"/>
          <w:sz w:val="28"/>
          <w:szCs w:val="28"/>
          <w:highlight w:val="none"/>
        </w:rPr>
      </w:pPr>
    </w:p>
    <w:p>
      <w:pPr>
        <w:pStyle w:val="3"/>
        <w:rPr>
          <w:rFonts w:hint="eastAsia" w:ascii="仿宋" w:hAnsi="仿宋" w:eastAsia="仿宋" w:cs="仿宋"/>
          <w:color w:val="auto"/>
          <w:sz w:val="28"/>
          <w:szCs w:val="28"/>
          <w:highlight w:val="none"/>
        </w:rPr>
        <w:sectPr>
          <w:headerReference r:id="rId3" w:type="default"/>
          <w:footerReference r:id="rId4" w:type="default"/>
          <w:pgSz w:w="11906" w:h="16838"/>
          <w:pgMar w:top="1089" w:right="1466" w:bottom="1089" w:left="1077" w:header="851" w:footer="992" w:gutter="0"/>
          <w:cols w:space="720" w:num="1"/>
          <w:docGrid w:type="lines" w:linePitch="312" w:charSpace="0"/>
        </w:sectPr>
      </w:pPr>
    </w:p>
    <w:tbl>
      <w:tblPr>
        <w:tblStyle w:val="23"/>
        <w:tblpPr w:leftFromText="180" w:rightFromText="180" w:vertAnchor="text" w:horzAnchor="page" w:tblpXSpec="center" w:tblpY="108"/>
        <w:tblOverlap w:val="never"/>
        <w:tblW w:w="144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6"/>
        <w:gridCol w:w="717"/>
        <w:gridCol w:w="1210"/>
        <w:gridCol w:w="4386"/>
        <w:gridCol w:w="2295"/>
        <w:gridCol w:w="840"/>
        <w:gridCol w:w="1245"/>
        <w:gridCol w:w="1335"/>
        <w:gridCol w:w="14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60" w:hRule="atLeast"/>
          <w:jc w:val="center"/>
        </w:trPr>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类别</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类型</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检测项目</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净水厂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a.点位数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b.取样检测频率</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c.计划取样检测次数</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d.计划取样检测量</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(=a*c)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0" w:hRule="atLeast"/>
          <w:jc w:val="center"/>
        </w:trPr>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废水</w:t>
            </w:r>
          </w:p>
        </w:tc>
        <w:tc>
          <w:tcPr>
            <w:tcW w:w="12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进水（每月）</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化学需氧量、氨氮、悬浮物、总磷、总氮、pH值、五日生化需氧量、总汞、总镉、总铬、六价铬、总砷、总铅、动植物油、石油类、阴离子表面活性剂、色度、烷基汞、硫化物、总余氯、粪大肠菌群（21项）</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水质净化厂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每月1次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化学需氧量、氨氮、悬浮物、总磷、总氮、pH值、五日生化需氧量、总汞、总镉、总铬、六价铬、总砷、总铅、动植物油、石油类、阴离子表面活性剂、色度、烷基汞、粪大肠菌群数、硫化物（20项）</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明珠污水处理厂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每月1次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中心城区污水处理厂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每月1次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太平镇污水处理厂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每月1次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温泉镇污水处理厂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每月1次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良口镇污水处理厂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每月1次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鳌头镇污水处理厂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每月1次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吕田镇污水处理厂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每月1次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0"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出水（每月）</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化学需氧量、氨氮、悬浮物、总磷、总氮、pH值、五日生化需氧量、总汞、总镉、总铬、六价铬、总砷、总铅、动植物油、石油类、阴离子表面活性剂、色度、烷基汞、硫化物、总余氯、粪大肠菌群（21项）</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水质净化厂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每月1次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化学需氧量、氨氮、悬浮物、总磷、总氮、pH值、五日生化需氧量、总汞、总镉、总铬、六价铬、总砷、总铅、动植物油、石油类、阴离子表面活性剂、色度、烷基汞、硫化物、粪大肠菌群数（20项）</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明珠污水处理厂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每月1次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中心城区污水处理厂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每月1次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太平镇污水处理厂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每月1次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温泉镇污水处理厂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每月1次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良口镇污水处理厂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每月1次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鳌头镇污水处理厂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每月1次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吕田镇污水处理厂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每月1次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废气</w:t>
            </w:r>
          </w:p>
        </w:tc>
        <w:tc>
          <w:tcPr>
            <w:tcW w:w="12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无组织废气</w:t>
            </w:r>
          </w:p>
        </w:tc>
        <w:tc>
          <w:tcPr>
            <w:tcW w:w="43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氨、硫化氢、臭气浓度、甲烷（4项）</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水质净化厂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每季度1次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明珠污水处理厂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每半年1次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中心城区污水处理厂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每半年1次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太平镇污水处理厂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每半年1次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温泉镇污水处理厂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每半年1次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良口镇污水处理厂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每半年1次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鳌头镇污水处理厂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每半年1次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吕田镇污水处理厂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每半年1次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有组织废气</w:t>
            </w:r>
          </w:p>
        </w:tc>
        <w:tc>
          <w:tcPr>
            <w:tcW w:w="43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氨、硫化氢、臭气浓度、甲烷（4项）</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水质净化厂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每季度1次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明珠污水处理厂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每半年1次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中心城区污水处理厂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每半年1次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太平镇污水处理厂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每半年1次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温泉镇污水处理厂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每半年1次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良口镇污水处理厂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每半年1次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鳌头镇污水处理厂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每半年1次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吕田镇污水处理厂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每半年1次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jc w:val="center"/>
        </w:trPr>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噪声</w:t>
            </w:r>
          </w:p>
        </w:tc>
        <w:tc>
          <w:tcPr>
            <w:tcW w:w="12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厂界噪声</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昼间、夜间（2项）</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水质净化厂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每季度1次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昼间（1项）</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明珠污水处理厂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每半年1次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昼间（1项）</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中心城区污水处理厂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每半年1次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昼间（1项）</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太平镇污水处理厂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每半年1次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昼间（1项）</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温泉镇污水处理厂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每半年1次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昼间（1项）</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良口镇污水处理厂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每半年1次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昼间（1项）</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鳌头镇污水处理厂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每半年1次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昼间（1项）</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吕田镇污水处理厂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每半年1次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油烟废气</w:t>
            </w:r>
          </w:p>
        </w:tc>
        <w:tc>
          <w:tcPr>
            <w:tcW w:w="12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饮食业油烟</w:t>
            </w:r>
          </w:p>
        </w:tc>
        <w:tc>
          <w:tcPr>
            <w:tcW w:w="43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饮食业油烟（1项）</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中心城区污水处理厂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每年1次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温泉镇污水处理厂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每年1次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良口镇污水处理厂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每年1次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鳌头镇污水处理厂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每年1次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废水</w:t>
            </w:r>
          </w:p>
        </w:tc>
        <w:tc>
          <w:tcPr>
            <w:tcW w:w="12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水样</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有机物未知物分析：氯乙烯、1,1-二氯乙烯、二氯甲烷、反式-1,2-二氯乙烯、1,1-二氯乙烷、氯丁二烯、顺式-1,2-二氯乙烯、2,2-二氯丙烷、溴氯甲烷、氯仿、二溴氟甲烷（替代物）、1,1,1-三氯乙烷、1,1-二氯丙烯、四氯化碳、苯、1,2-二氯乙烷、氟苯（内标）、三氯乙烯、1,2-二氯 </w:t>
            </w:r>
          </w:p>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丙烷、二溴甲烷、一溴二氯甲烷、环氧氯丙烷、顺式-1,3-二氯丙烯、甲苯-d8（替代物）、甲苯、反式-1,3-二氯丙烯、1,1,2-三氯乙烷、四氯乙烯、1,3-二氯丙烷、二溴氯甲烷、1,2-二溴乙烷、氯苯、1,1,1,2-四氯乙烷、乙苯、间/对-二甲苯、邻-二甲苯、苯乙烯、溴仿、异丙苯、4-溴氟苯（替代物）、溴苯、1,1,2,2-四氯乙烷、1,2,3-三氯丙烷、正丙苯、2-氯甲苯、4-氯甲苯、1,3,5-三甲基苯、叔丁基苯、1,2,4-三甲基苯、仲丁基苯、1,3-二氯苯、4-异丙基甲苯、1,4-二氯苯、1,4-二氯苯-d4（内标）、1,2-二氯苯、正丁基苯、1,2-二溴-3-氯丙烷、1,2,4-三氯苯、六氯丁二烯、萘、1,2,3-三氯苯（62项）</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水质净化厂           明珠污水处理厂          中心城区污水处理厂  太平镇污水处理厂    温泉镇污水处理厂    良口镇污水处理厂    鳌头镇污水处理厂    吕田镇污水处理厂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每年6次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6"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挥发酚（1项）</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水质净化厂           明珠污水处理厂          中心城区污水处理厂  太平镇污水处理厂    温泉镇污水处理厂    良口镇污水处理厂    鳌头镇污水处理厂    吕田镇污水处理厂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每年6次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1"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化学需氧量（1项）</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水质净化厂           明珠污水处理厂          中心城区污水处理厂  太平镇污水处理厂    温泉镇污水处理厂    良口镇污水处理厂    鳌头镇污水处理厂    吕田镇污水处理厂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每年6次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6"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五日生化需氧量（1项）</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水质净化厂           明珠污水处理厂          中心城区污水处理厂  太平镇污水处理厂    温泉镇污水处理厂    良口镇污水处理厂    鳌头镇污水处理厂    吕田镇污水处理厂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每年6次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6"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氨氮（1项）</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水质净化厂           明珠污水处理厂          中心城区污水处理厂  太平镇污水处理厂    温泉镇污水处理厂    良口镇污水处理厂    鳌头镇污水处理厂    吕田镇污水处理厂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每年6次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1"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总磷（1项）</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水质净化厂           明珠污水处理厂          中心城区污水处理厂  太平镇污水处理厂    温泉镇污水处理厂    良口镇污水处理厂    鳌头镇污水处理厂    吕田镇污水处理厂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每年6次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1"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总氮（1项）</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水质净化厂           明珠污水处理厂          中心城区污水处理厂  太平镇污水处理厂    温泉镇污水处理厂    良口镇污水处理厂    鳌头镇污水处理厂    吕田镇污水处理厂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每年6次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6"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pH值（1项）</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水质净化厂           明珠污水处理厂          中心城区污水处理厂  太平镇污水处理厂    温泉镇污水处理厂    良口镇污水处理厂    鳌头镇污水处理厂    吕田镇污水处理厂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每年6次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1"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氰化物（1项）</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水质净化厂           明珠污水处理厂          中心城区污水处理厂  太平镇污水处理厂    温泉镇污水处理厂    良口镇污水处理厂    鳌头镇污水处理厂    吕田镇污水处理厂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每年6次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6"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重金属离子：总铬、六价铬、总镍、总镉、总银、总铅、总汞、总铜、总锌、总铁、总铝（11项）</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水质净化厂           明珠污水处理厂          中心城区污水处理厂  太平镇污水处理厂    温泉镇污水处理厂    良口镇污水处理厂    鳌头镇污水处理厂    吕田镇污水处理厂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每年6次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1"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有机农药类：阿特拉津、氯丹、p,p'-滴滴滴、p,p'-滴滴伊、滴滴涕、敌敌畏、乐果、硫丹、七氯、α-六六六、β-六六六、γ-六六六、六氯苯 （13项）  </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水质净化厂           明珠污水处理厂          中心城区污水处理厂  太平镇污水处理厂    温泉镇污水处理厂    良口镇污水处理厂    鳌头镇污水处理厂    吕田镇污水处理厂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每年6次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6" w:hRule="atLeast"/>
          <w:jc w:val="center"/>
        </w:trPr>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废气</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无组织废气</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氨、硫化氢、臭气浓度、甲烷（4项）</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水质净化厂           明珠污水处理厂          中心城区污水处理厂  太平镇污水处理厂    温泉镇污水处理厂    良口镇污水处理厂    鳌头镇污水处理厂    吕田镇污水处理厂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每季度1次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6" w:hRule="atLeast"/>
          <w:jc w:val="center"/>
        </w:trPr>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噪声</w:t>
            </w:r>
          </w:p>
        </w:tc>
        <w:tc>
          <w:tcPr>
            <w:tcW w:w="12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厂界噪声</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夜间（1项）</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水质净化厂           明珠污水处理厂          中心城区污水处理厂  太平镇污水处理厂    温泉镇污水处理厂    良口镇污水处理厂    鳌头镇污水处理厂    吕田镇污水处理厂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每季度1次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1"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昼间（1项）</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水质净化厂           明珠污水处理厂          中心城区污水处理厂  太平镇污水处理厂    温泉镇污水处理厂    良口镇污水处理厂    鳌头镇污水处理厂    吕田镇污水处理厂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每季度1次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32</w:t>
            </w:r>
          </w:p>
        </w:tc>
      </w:tr>
    </w:tbl>
    <w:p>
      <w:pPr>
        <w:pStyle w:val="2"/>
        <w:rPr>
          <w:rFonts w:hint="eastAsia"/>
        </w:rPr>
      </w:pP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备注：无组织废气：上风向1个点，下风向3个点，各采集4次氨，测4项指标（氨、硫化氢、甲烷、臭气浓度）；有组织废气1个点，各采集4次，测4项指标（氨、硫化氢、甲烷、臭气浓度）。</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sectPr>
          <w:pgSz w:w="16838" w:h="11906" w:orient="landscape"/>
          <w:pgMar w:top="1077" w:right="1089" w:bottom="1466" w:left="1089" w:header="851" w:footer="992" w:gutter="0"/>
          <w:cols w:space="720" w:num="1"/>
          <w:docGrid w:type="lines" w:linePitch="312" w:charSpace="0"/>
        </w:sectPr>
      </w:pPr>
    </w:p>
    <w:p>
      <w:pPr>
        <w:pStyle w:val="2"/>
        <w:rPr>
          <w:rFonts w:hint="eastAsia"/>
        </w:rPr>
      </w:pPr>
    </w:p>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 xml:space="preserve">2.2项目工期：□计划工期   </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交货期  </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服务期</w:t>
      </w:r>
      <w:r>
        <w:rPr>
          <w:rFonts w:hint="eastAsia" w:ascii="仿宋" w:hAnsi="仿宋" w:eastAsia="仿宋" w:cs="仿宋"/>
          <w:color w:val="auto"/>
          <w:sz w:val="28"/>
          <w:szCs w:val="28"/>
          <w:highlight w:val="none"/>
          <w:u w:val="single"/>
          <w:lang w:val="en-US" w:eastAsia="zh-CN"/>
        </w:rPr>
        <w:t>暂定为壹年</w:t>
      </w:r>
    </w:p>
    <w:p>
      <w:pPr>
        <w:adjustRightInd w:val="0"/>
        <w:snapToGrid w:val="0"/>
        <w:spacing w:line="600" w:lineRule="exact"/>
        <w:jc w:val="left"/>
        <w:rPr>
          <w:rFonts w:hint="default" w:ascii="仿宋" w:hAnsi="仿宋" w:eastAsia="仿宋" w:cs="仿宋"/>
          <w:color w:val="auto"/>
          <w:sz w:val="28"/>
          <w:szCs w:val="28"/>
          <w:highlight w:val="none"/>
          <w:u w:val="single"/>
          <w:lang w:val="en-US"/>
        </w:rPr>
      </w:pPr>
      <w:r>
        <w:rPr>
          <w:rFonts w:hint="eastAsia" w:ascii="仿宋" w:hAnsi="仿宋" w:eastAsia="仿宋" w:cs="仿宋"/>
          <w:color w:val="auto"/>
          <w:sz w:val="28"/>
          <w:szCs w:val="28"/>
          <w:highlight w:val="none"/>
        </w:rPr>
        <w:t xml:space="preserve">2.3地点：□建设地点  </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交货地点  </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服务地点位于</w:t>
      </w:r>
      <w:r>
        <w:rPr>
          <w:rFonts w:hint="eastAsia" w:ascii="仿宋" w:hAnsi="仿宋" w:eastAsia="仿宋" w:cs="仿宋"/>
          <w:color w:val="auto"/>
          <w:sz w:val="28"/>
          <w:szCs w:val="28"/>
          <w:highlight w:val="none"/>
          <w:u w:val="single"/>
          <w:lang w:val="en-US" w:eastAsia="zh-CN"/>
        </w:rPr>
        <w:t>广州从化净水有限公司所辖各厂</w:t>
      </w:r>
    </w:p>
    <w:p>
      <w:pPr>
        <w:adjustRightInd w:val="0"/>
        <w:snapToGrid w:val="0"/>
        <w:spacing w:line="600" w:lineRule="exact"/>
        <w:ind w:left="420" w:right="-370" w:rightChars="-176" w:hanging="420" w:hanging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其他：□安全目标如下：</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pPr>
        <w:adjustRightInd w:val="0"/>
        <w:snapToGrid w:val="0"/>
        <w:spacing w:line="600" w:lineRule="exact"/>
        <w:jc w:val="left"/>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rPr>
        <w:t>3.供应商资格要求</w:t>
      </w:r>
      <w:r>
        <w:rPr>
          <w:rFonts w:hint="eastAsia" w:ascii="仿宋" w:hAnsi="仿宋" w:eastAsia="仿宋" w:cs="仿宋"/>
          <w:b/>
          <w:color w:val="auto"/>
          <w:sz w:val="32"/>
          <w:szCs w:val="32"/>
          <w:highlight w:val="none"/>
          <w:lang w:eastAsia="zh-CN"/>
        </w:rPr>
        <w:t>（</w:t>
      </w:r>
      <w:r>
        <w:rPr>
          <w:rFonts w:hint="eastAsia" w:ascii="仿宋" w:hAnsi="仿宋" w:eastAsia="仿宋" w:cs="仿宋"/>
          <w:b/>
          <w:color w:val="auto"/>
          <w:sz w:val="32"/>
          <w:szCs w:val="32"/>
          <w:highlight w:val="none"/>
          <w:lang w:val="en-US" w:eastAsia="zh-CN"/>
        </w:rPr>
        <w:t>须提供复印件并加盖单位公章</w:t>
      </w:r>
      <w:r>
        <w:rPr>
          <w:rFonts w:hint="eastAsia" w:ascii="仿宋" w:hAnsi="仿宋" w:eastAsia="仿宋" w:cs="仿宋"/>
          <w:b/>
          <w:color w:val="auto"/>
          <w:sz w:val="32"/>
          <w:szCs w:val="32"/>
          <w:highlight w:val="none"/>
          <w:lang w:eastAsia="zh-CN"/>
        </w:rPr>
        <w:t>）</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3.1参与本项目采购活动的供应商应当依法设立且满足如下要求：</w:t>
      </w:r>
    </w:p>
    <w:p>
      <w:pPr>
        <w:adjustRightInd w:val="0"/>
        <w:snapToGrid w:val="0"/>
        <w:spacing w:line="600" w:lineRule="exact"/>
        <w:ind w:left="420" w:right="-370" w:rightChars="-176" w:hanging="420" w:hanging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1．供应商须是在中华人民共和国境内注册的法人或者其他组织，具有独立法人资格，持有工商行政管理部门核发的营业执照，且能开具增值税专用发票（提供一般纳税人证明或近一年2-3张已开</w:t>
      </w:r>
      <w:r>
        <w:rPr>
          <w:rFonts w:hint="eastAsia" w:ascii="仿宋" w:hAnsi="仿宋" w:eastAsia="仿宋" w:cs="仿宋"/>
          <w:color w:val="auto"/>
          <w:sz w:val="28"/>
          <w:szCs w:val="28"/>
          <w:highlight w:val="none"/>
          <w:lang w:val="en-US" w:eastAsia="zh-CN"/>
        </w:rPr>
        <w:t>具</w:t>
      </w:r>
      <w:r>
        <w:rPr>
          <w:rFonts w:hint="eastAsia" w:ascii="仿宋" w:hAnsi="仿宋" w:eastAsia="仿宋" w:cs="仿宋"/>
          <w:color w:val="auto"/>
          <w:sz w:val="28"/>
          <w:szCs w:val="28"/>
          <w:highlight w:val="none"/>
        </w:rPr>
        <w:t xml:space="preserve">的增值税专用发票）。  </w:t>
      </w:r>
    </w:p>
    <w:p>
      <w:pPr>
        <w:spacing w:line="600" w:lineRule="exact"/>
        <w:ind w:left="420" w:right="-370" w:rightChars="-176" w:hanging="420" w:hangingChars="150"/>
        <w:rPr>
          <w:rFonts w:hint="default"/>
        </w:rPr>
      </w:pPr>
      <w:r>
        <w:rPr>
          <w:rFonts w:hint="eastAsia" w:ascii="仿宋" w:hAnsi="仿宋" w:eastAsia="仿宋" w:cs="仿宋"/>
          <w:color w:val="auto"/>
          <w:sz w:val="28"/>
          <w:szCs w:val="28"/>
          <w:highlight w:val="none"/>
        </w:rPr>
        <w:t>2．供应商具备质量技术监督管理部门颁发的计量认证资质（CMA），所认证的检测能力至少涵盖本项目中所要求覆盖的所有检测项目，且在有效期内。</w:t>
      </w:r>
    </w:p>
    <w:p>
      <w:pPr>
        <w:adjustRightInd w:val="0"/>
        <w:snapToGrid w:val="0"/>
        <w:spacing w:line="600" w:lineRule="exact"/>
        <w:ind w:left="420" w:right="-370" w:rightChars="-176" w:hanging="420" w:hanging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3．认证范围须覆盖：</w:t>
      </w:r>
    </w:p>
    <w:p>
      <w:pPr>
        <w:adjustRightInd w:val="0"/>
        <w:snapToGrid w:val="0"/>
        <w:spacing w:line="600" w:lineRule="exact"/>
        <w:ind w:left="420" w:right="-370" w:rightChars="-176" w:hanging="420" w:hanging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水质：</w:t>
      </w:r>
    </w:p>
    <w:p>
      <w:pPr>
        <w:adjustRightInd w:val="0"/>
        <w:snapToGrid w:val="0"/>
        <w:spacing w:line="600" w:lineRule="exact"/>
        <w:ind w:left="419" w:leftChars="133" w:right="-370" w:rightChars="-176" w:hanging="140" w:hangingChars="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化学需氧量、氨氮、悬浮物、总磷、总氮、pH值、五日生化需氧量、总汞、总镉、总铬、六价铬、总砷、总铅、动植物油、石油类、阴离子表面活性剂、色度、烷基汞、硫化物、总余氯、粪大肠菌群</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氯乙烯、1,1-二氯乙烯、二氯甲烷、反式-1,2-二氯乙烯、1,1-二氯乙烷、氯丁二烯、顺式-1,2-二氯乙烯、2,2-二氯丙烷、溴氯甲烷、氯仿、二溴氟甲烷（替代物）、1,1,1-三氯乙烷、1,1-二氯丙烯、四氯化碳、苯、1,2-二氯乙烷、氟苯（内标）、三氯乙烯、1,2-二氯丙烷、二溴甲烷、一溴二氯甲烷、环氧氯丙烷、顺式-1,3-二氯丙烯、甲苯-d8（替代物）、甲苯、反式-1,3-二氯丙烯、1,1,2-三氯乙烷、四氯乙烯、1,3-二氯丙烷、二溴氯甲烷、1,2-二溴乙烷、氯苯、1,1,1,2-四氯乙烷、乙苯、间/对-二甲苯、邻-二甲苯、苯乙烯、溴仿、异丙苯、4-溴氟苯（替代物）、溴苯、1,1,2,2-四氯乙烷、1,2,3-三氯丙烷、正丙苯、2-氯甲苯、4-氯甲苯、1,3,5-三甲基苯、叔丁基苯、1,2,4-三甲基苯、仲丁基苯、1,3-二氯苯、4-异丙基甲苯、1,4-二氯苯、1,4-二氯苯-d4（内标）、1,2-二氯苯、正丁基苯、1,2-二溴-3-氯丙烷、1,2,4-三氯苯、六氯丁二烯、萘、1,2,3-三氯苯（62项</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挥发酚</w:t>
      </w:r>
      <w:r>
        <w:rPr>
          <w:rFonts w:hint="eastAsia" w:ascii="仿宋" w:hAnsi="仿宋" w:eastAsia="仿宋" w:cs="仿宋"/>
          <w:color w:val="auto"/>
          <w:sz w:val="28"/>
          <w:szCs w:val="28"/>
          <w:highlight w:val="none"/>
          <w:lang w:eastAsia="zh-CN"/>
        </w:rPr>
        <w:t>、氰化物、</w:t>
      </w:r>
      <w:r>
        <w:rPr>
          <w:rFonts w:hint="eastAsia" w:ascii="仿宋" w:hAnsi="仿宋" w:eastAsia="仿宋" w:cs="仿宋"/>
          <w:color w:val="auto"/>
          <w:sz w:val="28"/>
          <w:szCs w:val="28"/>
          <w:highlight w:val="none"/>
        </w:rPr>
        <w:t>阿特拉津、氯丹、p,p'-滴滴滴、p,p'-滴滴伊、滴滴涕、敌敌畏、乐果、硫丹、七氯、α-六六六、β-六六六、γ-六六六、六氯苯</w:t>
      </w:r>
    </w:p>
    <w:p>
      <w:pPr>
        <w:adjustRightInd w:val="0"/>
        <w:snapToGrid w:val="0"/>
        <w:spacing w:line="600" w:lineRule="exact"/>
        <w:ind w:left="420" w:right="-370" w:rightChars="-176" w:hanging="420" w:hanging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废气</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氨、硫化氢、臭气浓度、甲烷</w:t>
      </w:r>
    </w:p>
    <w:p>
      <w:pPr>
        <w:adjustRightInd w:val="0"/>
        <w:snapToGrid w:val="0"/>
        <w:spacing w:line="600" w:lineRule="exact"/>
        <w:ind w:left="420" w:right="-370" w:rightChars="-176" w:hanging="420" w:hangingChars="150"/>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噪声</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厂界噪声</w:t>
      </w:r>
    </w:p>
    <w:p>
      <w:pPr>
        <w:adjustRightInd w:val="0"/>
        <w:snapToGrid w:val="0"/>
        <w:spacing w:line="600" w:lineRule="exact"/>
        <w:ind w:left="420" w:right="-370" w:rightChars="-176" w:hanging="420" w:hangingChars="150"/>
        <w:jc w:val="left"/>
        <w:rPr>
          <w:rFonts w:hint="eastAsia" w:ascii="仿宋" w:hAnsi="仿宋" w:eastAsia="仿宋" w:cs="仿宋"/>
          <w:color w:val="auto"/>
          <w:sz w:val="28"/>
          <w:szCs w:val="28"/>
          <w:highlight w:val="yellow"/>
          <w:u w:val="single"/>
        </w:rPr>
      </w:pPr>
      <w:r>
        <w:rPr>
          <w:rFonts w:hint="eastAsia" w:ascii="仿宋" w:hAnsi="仿宋" w:eastAsia="仿宋" w:cs="仿宋"/>
          <w:color w:val="auto"/>
          <w:sz w:val="28"/>
          <w:szCs w:val="28"/>
          <w:highlight w:val="yellow"/>
          <w:u w:val="single"/>
        </w:rPr>
        <w:t>注：提供CMA复印件并标注本项目中所要求覆盖的上述所有检测项目，不标注则视为不响应。</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u w:val="none"/>
        </w:rPr>
        <w:t>业绩要求：2019年1月1日至今，最少具有一项</w:t>
      </w:r>
      <w:r>
        <w:rPr>
          <w:rFonts w:hint="eastAsia" w:ascii="仿宋" w:hAnsi="仿宋" w:eastAsia="仿宋" w:cs="仿宋"/>
          <w:color w:val="auto"/>
          <w:sz w:val="28"/>
          <w:szCs w:val="28"/>
          <w:highlight w:val="none"/>
          <w:u w:val="none"/>
          <w:lang w:val="en-US" w:eastAsia="zh-CN"/>
        </w:rPr>
        <w:t>检测废水、废气、噪声合同金额</w:t>
      </w:r>
      <w:r>
        <w:rPr>
          <w:rFonts w:hint="eastAsia" w:ascii="仿宋" w:hAnsi="仿宋" w:eastAsia="仿宋" w:cs="仿宋"/>
          <w:color w:val="auto"/>
          <w:sz w:val="28"/>
          <w:szCs w:val="28"/>
          <w:highlight w:val="none"/>
          <w:u w:val="none"/>
        </w:rPr>
        <w:t>不少于2</w:t>
      </w:r>
      <w:r>
        <w:rPr>
          <w:rFonts w:hint="eastAsia" w:ascii="仿宋" w:hAnsi="仿宋" w:eastAsia="仿宋" w:cs="仿宋"/>
          <w:color w:val="auto"/>
          <w:sz w:val="28"/>
          <w:szCs w:val="28"/>
          <w:highlight w:val="none"/>
          <w:u w:val="none"/>
          <w:lang w:val="en-US" w:eastAsia="zh-CN"/>
        </w:rPr>
        <w:t>8</w:t>
      </w:r>
      <w:r>
        <w:rPr>
          <w:rFonts w:hint="eastAsia" w:ascii="仿宋" w:hAnsi="仿宋" w:eastAsia="仿宋" w:cs="仿宋"/>
          <w:color w:val="auto"/>
          <w:sz w:val="28"/>
          <w:szCs w:val="28"/>
          <w:highlight w:val="none"/>
          <w:u w:val="none"/>
        </w:rPr>
        <w:t>万元服务业绩</w:t>
      </w:r>
      <w:r>
        <w:rPr>
          <w:rFonts w:hint="eastAsia" w:ascii="仿宋" w:hAnsi="仿宋" w:eastAsia="仿宋" w:cs="仿宋"/>
          <w:color w:val="auto"/>
          <w:sz w:val="28"/>
          <w:szCs w:val="28"/>
          <w:highlight w:val="yellow"/>
          <w:u w:val="none"/>
        </w:rPr>
        <w:t>（提供合同复印件证明，包括但不限于项目名称、金额及实施内容、合同签字盖章、签订日期，并加盖单位公章）</w:t>
      </w:r>
      <w:r>
        <w:rPr>
          <w:rFonts w:hint="eastAsia" w:ascii="仿宋" w:hAnsi="仿宋" w:eastAsia="仿宋" w:cs="仿宋"/>
          <w:color w:val="auto"/>
          <w:sz w:val="28"/>
          <w:szCs w:val="28"/>
          <w:highlight w:val="none"/>
          <w:u w:val="none"/>
        </w:rPr>
        <w:t>。</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3.2供应商在响应文件提交截止日期止不得存在下列情形之一</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须出具承诺函</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（2）与本项目其他供应商存在控股关系。</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（3）与本项目其他供应商存在管理关系。</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（8）被最高人民法院在“信用中国”网站（www.creditchina.gov.cn）或各级信用信息共享平台中列入失信被执行人名单。</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（12）其他禁止情形：</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w:t>
      </w:r>
      <w:r>
        <w:rPr>
          <w:rFonts w:hint="eastAsia" w:ascii="仿宋" w:hAnsi="仿宋" w:eastAsia="仿宋" w:cs="仿宋"/>
          <w:color w:val="auto"/>
          <w:sz w:val="28"/>
          <w:szCs w:val="28"/>
          <w:highlight w:val="none"/>
          <w:u w:val="single"/>
        </w:rPr>
        <w:t xml:space="preserve">                                 </w:t>
      </w:r>
    </w:p>
    <w:p>
      <w:pPr>
        <w:adjustRightInd w:val="0"/>
        <w:snapToGrid w:val="0"/>
        <w:spacing w:line="600" w:lineRule="exact"/>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3.3本项目不接受联合体竞投。</w:t>
      </w:r>
    </w:p>
    <w:p>
      <w:p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4.采购文件的获取</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4.1获取时间</w:t>
      </w:r>
    </w:p>
    <w:p>
      <w:pPr>
        <w:adjustRightInd w:val="0"/>
        <w:snapToGrid w:val="0"/>
        <w:spacing w:line="600" w:lineRule="exact"/>
        <w:ind w:firstLine="555"/>
        <w:jc w:val="left"/>
        <w:rPr>
          <w:rFonts w:hint="eastAsia" w:ascii="仿宋" w:hAnsi="仿宋" w:eastAsia="仿宋" w:cs="仿宋"/>
          <w:color w:val="auto"/>
          <w:sz w:val="28"/>
          <w:szCs w:val="28"/>
          <w:highlight w:val="yellow"/>
        </w:rPr>
      </w:pPr>
      <w:r>
        <w:rPr>
          <w:rFonts w:hint="eastAsia" w:ascii="仿宋" w:hAnsi="仿宋" w:eastAsia="仿宋" w:cs="仿宋"/>
          <w:color w:val="auto"/>
          <w:sz w:val="28"/>
          <w:szCs w:val="28"/>
          <w:highlight w:val="yellow"/>
        </w:rPr>
        <w:t>从</w:t>
      </w:r>
      <w:r>
        <w:rPr>
          <w:rFonts w:hint="eastAsia" w:ascii="仿宋" w:hAnsi="仿宋" w:eastAsia="仿宋" w:cs="仿宋"/>
          <w:color w:val="auto"/>
          <w:sz w:val="28"/>
          <w:szCs w:val="28"/>
          <w:highlight w:val="yellow"/>
          <w:lang w:val="en-US" w:eastAsia="zh-CN"/>
        </w:rPr>
        <w:t>2023</w:t>
      </w:r>
      <w:r>
        <w:rPr>
          <w:rFonts w:hint="eastAsia" w:ascii="仿宋" w:hAnsi="仿宋" w:eastAsia="仿宋" w:cs="仿宋"/>
          <w:color w:val="auto"/>
          <w:sz w:val="28"/>
          <w:szCs w:val="28"/>
          <w:highlight w:val="yellow"/>
        </w:rPr>
        <w:t>年</w:t>
      </w:r>
      <w:r>
        <w:rPr>
          <w:rFonts w:hint="eastAsia" w:ascii="仿宋" w:hAnsi="仿宋" w:eastAsia="仿宋" w:cs="仿宋"/>
          <w:color w:val="auto"/>
          <w:sz w:val="28"/>
          <w:szCs w:val="28"/>
          <w:highlight w:val="yellow"/>
          <w:lang w:val="en-US" w:eastAsia="zh-CN"/>
        </w:rPr>
        <w:t>1</w:t>
      </w:r>
      <w:r>
        <w:rPr>
          <w:rFonts w:hint="eastAsia" w:ascii="仿宋" w:hAnsi="仿宋" w:eastAsia="仿宋" w:cs="仿宋"/>
          <w:color w:val="auto"/>
          <w:sz w:val="28"/>
          <w:szCs w:val="28"/>
          <w:highlight w:val="yellow"/>
        </w:rPr>
        <w:t>月</w:t>
      </w:r>
      <w:r>
        <w:rPr>
          <w:rFonts w:hint="eastAsia" w:ascii="仿宋" w:hAnsi="仿宋" w:eastAsia="仿宋" w:cs="仿宋"/>
          <w:color w:val="auto"/>
          <w:sz w:val="28"/>
          <w:szCs w:val="28"/>
          <w:highlight w:val="yellow"/>
          <w:lang w:val="en-US" w:eastAsia="zh-CN"/>
        </w:rPr>
        <w:t>18</w:t>
      </w:r>
      <w:r>
        <w:rPr>
          <w:rFonts w:hint="eastAsia" w:ascii="仿宋" w:hAnsi="仿宋" w:eastAsia="仿宋" w:cs="仿宋"/>
          <w:color w:val="auto"/>
          <w:sz w:val="28"/>
          <w:szCs w:val="28"/>
          <w:highlight w:val="yellow"/>
        </w:rPr>
        <w:t>日至</w:t>
      </w:r>
      <w:r>
        <w:rPr>
          <w:rFonts w:hint="eastAsia" w:ascii="仿宋" w:hAnsi="仿宋" w:eastAsia="仿宋" w:cs="仿宋"/>
          <w:color w:val="auto"/>
          <w:sz w:val="28"/>
          <w:szCs w:val="28"/>
          <w:highlight w:val="yellow"/>
          <w:lang w:val="en-US" w:eastAsia="zh-CN"/>
        </w:rPr>
        <w:t>2023</w:t>
      </w:r>
      <w:r>
        <w:rPr>
          <w:rFonts w:hint="eastAsia" w:ascii="仿宋" w:hAnsi="仿宋" w:eastAsia="仿宋" w:cs="仿宋"/>
          <w:color w:val="auto"/>
          <w:sz w:val="28"/>
          <w:szCs w:val="28"/>
          <w:highlight w:val="yellow"/>
        </w:rPr>
        <w:t>年</w:t>
      </w:r>
      <w:r>
        <w:rPr>
          <w:rFonts w:hint="eastAsia" w:ascii="仿宋" w:hAnsi="仿宋" w:eastAsia="仿宋" w:cs="仿宋"/>
          <w:color w:val="auto"/>
          <w:sz w:val="28"/>
          <w:szCs w:val="28"/>
          <w:highlight w:val="yellow"/>
          <w:lang w:val="en-US" w:eastAsia="zh-CN"/>
        </w:rPr>
        <w:t>2</w:t>
      </w:r>
      <w:r>
        <w:rPr>
          <w:rFonts w:hint="eastAsia" w:ascii="仿宋" w:hAnsi="仿宋" w:eastAsia="仿宋" w:cs="仿宋"/>
          <w:color w:val="auto"/>
          <w:sz w:val="28"/>
          <w:szCs w:val="28"/>
          <w:highlight w:val="yellow"/>
        </w:rPr>
        <w:t>月</w:t>
      </w:r>
      <w:r>
        <w:rPr>
          <w:rFonts w:hint="eastAsia" w:ascii="仿宋" w:hAnsi="仿宋" w:eastAsia="仿宋" w:cs="仿宋"/>
          <w:color w:val="auto"/>
          <w:sz w:val="28"/>
          <w:szCs w:val="28"/>
          <w:highlight w:val="yellow"/>
          <w:lang w:val="en-US" w:eastAsia="zh-CN"/>
        </w:rPr>
        <w:t>6</w:t>
      </w:r>
      <w:r>
        <w:rPr>
          <w:rFonts w:hint="eastAsia" w:ascii="仿宋" w:hAnsi="仿宋" w:eastAsia="仿宋" w:cs="仿宋"/>
          <w:color w:val="auto"/>
          <w:sz w:val="28"/>
          <w:szCs w:val="28"/>
          <w:highlight w:val="yellow"/>
        </w:rPr>
        <w:t>日（北京时间）</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4.2获取方式</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u w:val="single"/>
          <w:lang w:val="en-US" w:eastAsia="zh-CN"/>
        </w:rPr>
        <w:t>广州市净水有限公司门户网站</w:t>
      </w:r>
      <w:r>
        <w:rPr>
          <w:rFonts w:hint="eastAsia" w:ascii="仿宋" w:hAnsi="仿宋" w:eastAsia="仿宋" w:cs="仿宋"/>
          <w:color w:val="auto"/>
          <w:sz w:val="28"/>
          <w:szCs w:val="28"/>
          <w:highlight w:val="none"/>
        </w:rPr>
        <w:t xml:space="preserve">下载采购文件。 </w:t>
      </w:r>
    </w:p>
    <w:p>
      <w:pPr>
        <w:numPr>
          <w:ilvl w:val="0"/>
          <w:numId w:val="2"/>
        </w:numPr>
        <w:adjustRightInd w:val="0"/>
        <w:snapToGrid w:val="0"/>
        <w:spacing w:line="600" w:lineRule="exact"/>
        <w:jc w:val="left"/>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踏勘现场</w:t>
      </w:r>
    </w:p>
    <w:p>
      <w:pPr>
        <w:adjustRightInd w:val="0"/>
        <w:snapToGrid w:val="0"/>
        <w:spacing w:line="6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不组织</w:t>
      </w:r>
    </w:p>
    <w:p>
      <w:pPr>
        <w:adjustRightInd w:val="0"/>
        <w:snapToGrid w:val="0"/>
        <w:spacing w:line="6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□组织</w:t>
      </w:r>
    </w:p>
    <w:p>
      <w:pPr>
        <w:adjustRightInd w:val="0"/>
        <w:snapToGrid w:val="0"/>
        <w:spacing w:line="600" w:lineRule="exact"/>
        <w:ind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项目根据实际情况须在提交响应文件前进行现场踏勘，未进行现场踏勘的，报价一律视为无效报价，提交报价响应文件时需附上现场踏勘委派书（需求单位及报价单位均需盖章，详见附件现场踏勘委派书）</w:t>
      </w:r>
    </w:p>
    <w:p>
      <w:pPr>
        <w:adjustRightInd w:val="0"/>
        <w:snapToGrid w:val="0"/>
        <w:spacing w:line="600" w:lineRule="exact"/>
        <w:ind w:firstLine="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踏勘时间：</w:t>
      </w:r>
      <w:r>
        <w:rPr>
          <w:rFonts w:hint="eastAsia" w:ascii="仿宋" w:hAnsi="仿宋" w:eastAsia="仿宋" w:cs="仿宋"/>
          <w:color w:val="auto"/>
          <w:sz w:val="28"/>
          <w:szCs w:val="28"/>
          <w:highlight w:val="none"/>
          <w:u w:val="none"/>
        </w:rPr>
        <w:t xml:space="preserve">                  </w:t>
      </w:r>
      <w:r>
        <w:rPr>
          <w:rFonts w:hint="eastAsia" w:ascii="仿宋" w:hAnsi="仿宋" w:eastAsia="仿宋" w:cs="仿宋"/>
          <w:color w:val="auto"/>
          <w:sz w:val="28"/>
          <w:szCs w:val="28"/>
          <w:highlight w:val="none"/>
        </w:rPr>
        <w:t xml:space="preserve">   </w:t>
      </w:r>
    </w:p>
    <w:p>
      <w:pPr>
        <w:adjustRightInd w:val="0"/>
        <w:snapToGrid w:val="0"/>
        <w:spacing w:line="600" w:lineRule="exact"/>
        <w:jc w:val="left"/>
        <w:rPr>
          <w:rFonts w:hint="eastAsia" w:ascii="仿宋" w:hAnsi="仿宋" w:eastAsia="仿宋" w:cs="仿宋"/>
          <w:b/>
          <w:color w:val="auto"/>
          <w:sz w:val="32"/>
          <w:szCs w:val="32"/>
          <w:highlight w:val="none"/>
          <w:lang w:val="en-US" w:eastAsia="zh-CN"/>
        </w:rPr>
      </w:pPr>
      <w:r>
        <w:rPr>
          <w:rFonts w:hint="eastAsia" w:ascii="仿宋" w:hAnsi="仿宋" w:eastAsia="仿宋" w:cs="仿宋"/>
          <w:color w:val="auto"/>
          <w:sz w:val="28"/>
          <w:szCs w:val="28"/>
          <w:highlight w:val="none"/>
        </w:rPr>
        <w:t>踏勘集中地点：</w:t>
      </w:r>
      <w:r>
        <w:rPr>
          <w:rFonts w:hint="eastAsia" w:ascii="仿宋" w:hAnsi="仿宋" w:eastAsia="仿宋" w:cs="仿宋"/>
          <w:color w:val="auto"/>
          <w:sz w:val="28"/>
          <w:szCs w:val="28"/>
          <w:highlight w:val="none"/>
          <w:u w:val="none"/>
        </w:rPr>
        <w:t xml:space="preserve">              </w:t>
      </w:r>
      <w:r>
        <w:rPr>
          <w:rFonts w:hint="eastAsia" w:ascii="仿宋" w:hAnsi="仿宋" w:eastAsia="仿宋" w:cs="仿宋"/>
          <w:color w:val="auto"/>
          <w:sz w:val="28"/>
          <w:szCs w:val="28"/>
          <w:highlight w:val="none"/>
        </w:rPr>
        <w:t xml:space="preserve">               </w:t>
      </w:r>
    </w:p>
    <w:p>
      <w:pPr>
        <w:numPr>
          <w:ilvl w:val="0"/>
          <w:numId w:val="2"/>
        </w:num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响应文件的递交</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.1递交响应文件截止时间：</w:t>
      </w:r>
      <w:r>
        <w:rPr>
          <w:rFonts w:hint="eastAsia" w:ascii="仿宋" w:hAnsi="仿宋" w:eastAsia="仿宋" w:cs="仿宋"/>
          <w:color w:val="auto"/>
          <w:sz w:val="28"/>
          <w:szCs w:val="28"/>
          <w:highlight w:val="none"/>
          <w:lang w:val="en-US" w:eastAsia="zh-CN"/>
        </w:rPr>
        <w:t>2022</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 xml:space="preserve"> 2</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16</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00</w:t>
      </w:r>
      <w:r>
        <w:rPr>
          <w:rFonts w:hint="eastAsia" w:ascii="仿宋" w:hAnsi="仿宋" w:eastAsia="仿宋" w:cs="仿宋"/>
          <w:color w:val="auto"/>
          <w:sz w:val="28"/>
          <w:szCs w:val="28"/>
          <w:highlight w:val="none"/>
        </w:rPr>
        <w:t>分</w:t>
      </w:r>
      <w:r>
        <w:rPr>
          <w:rFonts w:hint="eastAsia" w:ascii="仿宋" w:hAnsi="仿宋" w:eastAsia="仿宋" w:cs="仿宋"/>
          <w:color w:val="auto"/>
          <w:sz w:val="28"/>
          <w:szCs w:val="28"/>
          <w:highlight w:val="none"/>
          <w:lang w:val="en-US" w:eastAsia="zh-CN"/>
        </w:rPr>
        <w:t>前</w:t>
      </w:r>
      <w:r>
        <w:rPr>
          <w:rFonts w:hint="eastAsia" w:ascii="仿宋" w:hAnsi="仿宋" w:eastAsia="仿宋" w:cs="仿宋"/>
          <w:color w:val="auto"/>
          <w:sz w:val="28"/>
          <w:szCs w:val="28"/>
          <w:highlight w:val="none"/>
        </w:rPr>
        <w:t>（北京时间）。</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.2递交</w:t>
      </w:r>
      <w:r>
        <w:rPr>
          <w:rFonts w:hint="eastAsia" w:ascii="仿宋" w:hAnsi="仿宋" w:eastAsia="仿宋" w:cs="仿宋"/>
          <w:color w:val="auto"/>
          <w:sz w:val="28"/>
          <w:szCs w:val="28"/>
          <w:highlight w:val="none"/>
          <w:lang w:val="en-US" w:eastAsia="zh-CN"/>
        </w:rPr>
        <w:t>及快递</w:t>
      </w: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u w:val="single"/>
          <w:lang w:val="en-US" w:eastAsia="zh-CN"/>
        </w:rPr>
        <w:t>广州市从化区江埔街广州从化净水有限公司中心城区污水处理厂-生产部（肖汝婷） 联系电话：020-37984611（13538812261）</w:t>
      </w:r>
      <w:r>
        <w:rPr>
          <w:rFonts w:hint="eastAsia" w:ascii="仿宋" w:hAnsi="仿宋" w:eastAsia="仿宋" w:cs="仿宋"/>
          <w:color w:val="auto"/>
          <w:sz w:val="28"/>
          <w:szCs w:val="28"/>
          <w:highlight w:val="none"/>
        </w:rPr>
        <w:t>。</w:t>
      </w:r>
    </w:p>
    <w:p>
      <w:pPr>
        <w:pStyle w:val="22"/>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防疫要求：基于目前疫情防控形势，我公司仅接受快递或自行送达形式递交响应文件，响应文件须于递交截止时间前送达，并放置于公司正门保安处。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7</w:t>
      </w:r>
      <w:r>
        <w:rPr>
          <w:rFonts w:hint="eastAsia" w:ascii="仿宋" w:hAnsi="仿宋" w:eastAsia="仿宋" w:cs="仿宋"/>
          <w:b/>
          <w:color w:val="auto"/>
          <w:sz w:val="32"/>
          <w:szCs w:val="32"/>
          <w:highlight w:val="none"/>
        </w:rPr>
        <w:t>.其他</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.1发布公告的其他媒介</w:t>
      </w:r>
    </w:p>
    <w:p>
      <w:pPr>
        <w:adjustRightInd w:val="0"/>
        <w:snapToGrid w:val="0"/>
        <w:spacing w:line="600" w:lineRule="exact"/>
        <w:ind w:firstLine="560" w:firstLineChars="20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本项目采购公告、补充及修改同时在广州市净水有限公司门户网站和阳光平台上发布。本公告在各媒体发布的文本如有不同之处，以净水公司门户网站为准。</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.2响应文件递交注意事项</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（1）逾期送达的、未送达指定地点的响应文件，采购人将予以拒收。</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8</w:t>
      </w:r>
      <w:r>
        <w:rPr>
          <w:rFonts w:hint="eastAsia" w:ascii="仿宋" w:hAnsi="仿宋" w:eastAsia="仿宋" w:cs="仿宋"/>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潜在供应商或利害关系人对本采购公告及采购文件中任何违法及不公平内容有异议的，可以在提交响应文件截止之日</w:t>
      </w:r>
      <w:r>
        <w:rPr>
          <w:rFonts w:hint="eastAsia" w:ascii="仿宋" w:hAnsi="仿宋" w:eastAsia="仿宋" w:cs="仿宋"/>
          <w:color w:val="auto"/>
          <w:sz w:val="28"/>
          <w:szCs w:val="28"/>
          <w:highlight w:val="none"/>
          <w:u w:val="single"/>
          <w:lang w:val="en-US" w:eastAsia="zh-CN"/>
        </w:rPr>
        <w:t>2</w:t>
      </w:r>
      <w:r>
        <w:rPr>
          <w:rFonts w:hint="eastAsia" w:ascii="仿宋" w:hAnsi="仿宋" w:eastAsia="仿宋" w:cs="仿宋"/>
          <w:color w:val="auto"/>
          <w:sz w:val="28"/>
          <w:szCs w:val="28"/>
          <w:highlight w:val="none"/>
        </w:rPr>
        <w:t>个工作日前书面提出异议。如潜在响应人或其他利害关系人对采购人答复仍持有异议的，可按相关规定进行投诉。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异议受理部门：</w:t>
      </w:r>
      <w:r>
        <w:rPr>
          <w:rFonts w:hint="eastAsia" w:ascii="仿宋" w:hAnsi="仿宋" w:eastAsia="仿宋" w:cs="仿宋"/>
          <w:color w:val="auto"/>
          <w:sz w:val="28"/>
          <w:szCs w:val="28"/>
          <w:highlight w:val="none"/>
          <w:u w:val="single"/>
          <w:lang w:val="en-US" w:eastAsia="zh-CN"/>
        </w:rPr>
        <w:t>广州从化净水有限公司</w:t>
      </w:r>
      <w:r>
        <w:rPr>
          <w:rFonts w:hint="eastAsia" w:ascii="仿宋" w:hAnsi="仿宋" w:eastAsia="仿宋" w:cs="仿宋"/>
          <w:color w:val="auto"/>
          <w:sz w:val="28"/>
          <w:szCs w:val="28"/>
          <w:highlight w:val="none"/>
        </w:rPr>
        <w:t>，电话：</w:t>
      </w:r>
      <w:r>
        <w:rPr>
          <w:rFonts w:hint="eastAsia" w:ascii="仿宋" w:hAnsi="仿宋" w:eastAsia="仿宋" w:cs="仿宋"/>
          <w:color w:val="auto"/>
          <w:sz w:val="28"/>
          <w:szCs w:val="28"/>
          <w:highlight w:val="none"/>
          <w:u w:val="single"/>
          <w:lang w:val="en-US" w:eastAsia="zh-CN"/>
        </w:rPr>
        <w:t>020-37984611</w:t>
      </w:r>
      <w:r>
        <w:rPr>
          <w:rFonts w:hint="eastAsia" w:ascii="仿宋" w:hAnsi="仿宋" w:eastAsia="仿宋" w:cs="仿宋"/>
          <w:color w:val="auto"/>
          <w:sz w:val="28"/>
          <w:szCs w:val="28"/>
          <w:highlight w:val="none"/>
        </w:rPr>
        <w:t>。</w:t>
      </w:r>
    </w:p>
    <w:p>
      <w:pPr>
        <w:widowControl/>
        <w:shd w:val="clear" w:color="auto" w:fill="FFFFFF"/>
        <w:adjustRightInd w:val="0"/>
        <w:snapToGrid w:val="0"/>
        <w:spacing w:line="600" w:lineRule="exact"/>
        <w:ind w:left="1"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u w:val="single"/>
          <w:lang w:val="en-US" w:eastAsia="zh-CN"/>
        </w:rPr>
        <w:t>广州市从化区江埔街广州从化净水有限公司中心城区污水处理厂</w:t>
      </w:r>
      <w:r>
        <w:rPr>
          <w:rFonts w:hint="eastAsia" w:ascii="仿宋" w:hAnsi="仿宋" w:eastAsia="仿宋" w:cs="仿宋"/>
          <w:color w:val="auto"/>
          <w:sz w:val="28"/>
          <w:szCs w:val="28"/>
          <w:highlight w:val="none"/>
        </w:rPr>
        <w:t>。</w:t>
      </w:r>
    </w:p>
    <w:p>
      <w:p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9</w:t>
      </w:r>
      <w:r>
        <w:rPr>
          <w:rFonts w:hint="eastAsia" w:ascii="仿宋" w:hAnsi="仿宋" w:eastAsia="仿宋" w:cs="仿宋"/>
          <w:b/>
          <w:color w:val="auto"/>
          <w:sz w:val="32"/>
          <w:szCs w:val="32"/>
          <w:highlight w:val="none"/>
        </w:rPr>
        <w:t>. 被书面限制参与采购活动的企业名单</w:t>
      </w:r>
    </w:p>
    <w:p>
      <w:pPr>
        <w:adjustRightInd w:val="0"/>
        <w:snapToGrid w:val="0"/>
        <w:spacing w:line="60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本项目采购人（包括市水投集团及其属下子公司）书面限制参与采购活动的企业名单：</w:t>
      </w:r>
    </w:p>
    <w:tbl>
      <w:tblPr>
        <w:tblStyle w:val="24"/>
        <w:tblW w:w="897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03"/>
        <w:gridCol w:w="3840"/>
        <w:gridCol w:w="423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903" w:type="dxa"/>
          </w:tcPr>
          <w:p>
            <w:pPr>
              <w:adjustRightInd w:val="0"/>
              <w:snapToGrid w:val="0"/>
              <w:spacing w:line="6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序号</w:t>
            </w:r>
          </w:p>
        </w:tc>
        <w:tc>
          <w:tcPr>
            <w:tcW w:w="3840" w:type="dxa"/>
          </w:tcPr>
          <w:p>
            <w:pPr>
              <w:adjustRightInd w:val="0"/>
              <w:snapToGrid w:val="0"/>
              <w:spacing w:line="6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单位名称</w:t>
            </w:r>
          </w:p>
        </w:tc>
        <w:tc>
          <w:tcPr>
            <w:tcW w:w="4230" w:type="dxa"/>
          </w:tcPr>
          <w:p>
            <w:pPr>
              <w:adjustRightInd w:val="0"/>
              <w:snapToGrid w:val="0"/>
              <w:spacing w:line="6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903"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rPr>
              <w:t>1</w:t>
            </w:r>
          </w:p>
        </w:tc>
        <w:tc>
          <w:tcPr>
            <w:tcW w:w="3840"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rPr>
              <w:t>广州市水电建设工程有限公司</w:t>
            </w:r>
          </w:p>
        </w:tc>
        <w:tc>
          <w:tcPr>
            <w:tcW w:w="4230"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lang w:val="en-US" w:eastAsia="zh-CN"/>
              </w:rPr>
              <w:t>2021年11月18</w:t>
            </w:r>
            <w:r>
              <w:rPr>
                <w:rFonts w:hint="eastAsia" w:ascii="仿宋" w:hAnsi="仿宋" w:eastAsia="仿宋" w:cs="仿宋"/>
                <w:color w:val="auto"/>
                <w:sz w:val="24"/>
                <w:highlight w:val="none"/>
              </w:rPr>
              <w:t>至202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903"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rPr>
              <w:t>2</w:t>
            </w:r>
          </w:p>
        </w:tc>
        <w:tc>
          <w:tcPr>
            <w:tcW w:w="3840"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rPr>
              <w:t>广州市南粤工程建设监理有限公司</w:t>
            </w:r>
          </w:p>
        </w:tc>
        <w:tc>
          <w:tcPr>
            <w:tcW w:w="4230"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lang w:val="en-US" w:eastAsia="zh-CN"/>
              </w:rPr>
              <w:t>2021年11月18</w:t>
            </w:r>
            <w:r>
              <w:rPr>
                <w:rFonts w:hint="eastAsia" w:ascii="仿宋" w:hAnsi="仿宋" w:eastAsia="仿宋" w:cs="仿宋"/>
                <w:color w:val="auto"/>
                <w:sz w:val="24"/>
                <w:highlight w:val="none"/>
              </w:rPr>
              <w:t>至20</w:t>
            </w:r>
            <w:r>
              <w:rPr>
                <w:rFonts w:hint="eastAsia" w:ascii="仿宋" w:hAnsi="仿宋" w:eastAsia="仿宋" w:cs="仿宋"/>
                <w:color w:val="auto"/>
                <w:sz w:val="24"/>
                <w:highlight w:val="none"/>
                <w:lang w:val="en-US" w:eastAsia="zh-CN"/>
              </w:rPr>
              <w:t>23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日</w:t>
            </w:r>
          </w:p>
        </w:tc>
      </w:tr>
    </w:tbl>
    <w:p>
      <w:pPr>
        <w:adjustRightInd w:val="0"/>
        <w:snapToGrid w:val="0"/>
        <w:spacing w:beforeLines="50" w:afterLines="50"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10</w:t>
      </w:r>
      <w:r>
        <w:rPr>
          <w:rFonts w:hint="eastAsia" w:ascii="仿宋" w:hAnsi="仿宋" w:eastAsia="仿宋" w:cs="仿宋"/>
          <w:b/>
          <w:color w:val="auto"/>
          <w:sz w:val="32"/>
          <w:szCs w:val="32"/>
          <w:highlight w:val="none"/>
        </w:rPr>
        <w:t>.联系方式</w:t>
      </w:r>
    </w:p>
    <w:tbl>
      <w:tblPr>
        <w:tblStyle w:val="24"/>
        <w:tblW w:w="86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6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39" w:type="dxa"/>
          </w:tcPr>
          <w:p>
            <w:pPr>
              <w:adjustRightInd w:val="0"/>
              <w:snapToGrid w:val="0"/>
              <w:spacing w:line="600" w:lineRule="exact"/>
              <w:jc w:val="left"/>
              <w:rPr>
                <w:rFonts w:hint="default"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rPr>
              <w:t>采购人：</w:t>
            </w:r>
            <w:r>
              <w:rPr>
                <w:rFonts w:hint="eastAsia" w:ascii="仿宋" w:hAnsi="仿宋" w:eastAsia="仿宋" w:cs="仿宋"/>
                <w:color w:val="auto"/>
                <w:sz w:val="28"/>
                <w:szCs w:val="28"/>
                <w:highlight w:val="none"/>
                <w:lang w:val="en-US" w:eastAsia="zh-CN"/>
              </w:rPr>
              <w:t>广州从化净水有限公司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39" w:type="dxa"/>
          </w:tcPr>
          <w:p>
            <w:pPr>
              <w:adjustRightInd w:val="0"/>
              <w:snapToGrid w:val="0"/>
              <w:spacing w:line="600" w:lineRule="exact"/>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lang w:val="en-US" w:eastAsia="zh-CN"/>
              </w:rPr>
              <w:t>广州市从化区江埔街广州从化净水有限公司中心城区污水处理厂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39" w:type="dxa"/>
          </w:tcPr>
          <w:p>
            <w:pPr>
              <w:adjustRightInd w:val="0"/>
              <w:snapToGrid w:val="0"/>
              <w:spacing w:line="600" w:lineRule="exact"/>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联系人：</w:t>
            </w:r>
            <w:r>
              <w:rPr>
                <w:rFonts w:hint="eastAsia" w:ascii="仿宋" w:hAnsi="仿宋" w:eastAsia="仿宋" w:cs="仿宋"/>
                <w:color w:val="auto"/>
                <w:sz w:val="28"/>
                <w:szCs w:val="28"/>
                <w:highlight w:val="none"/>
                <w:lang w:val="en-US" w:eastAsia="zh-CN"/>
              </w:rPr>
              <w:t>肖工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39" w:type="dxa"/>
          </w:tcPr>
          <w:p>
            <w:pPr>
              <w:adjustRightInd w:val="0"/>
              <w:snapToGrid w:val="0"/>
              <w:spacing w:line="600" w:lineRule="exact"/>
              <w:jc w:val="lef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电  话：020-</w:t>
            </w:r>
            <w:r>
              <w:rPr>
                <w:rFonts w:hint="eastAsia" w:ascii="仿宋" w:hAnsi="仿宋" w:eastAsia="仿宋" w:cs="仿宋"/>
                <w:color w:val="auto"/>
                <w:sz w:val="28"/>
                <w:szCs w:val="28"/>
                <w:highlight w:val="none"/>
                <w:lang w:val="en-US" w:eastAsia="zh-CN"/>
              </w:rPr>
              <w:t>37984611（6026）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39" w:type="dxa"/>
          </w:tcPr>
          <w:p>
            <w:pPr>
              <w:adjustRightInd w:val="0"/>
              <w:snapToGrid w:val="0"/>
              <w:spacing w:line="600" w:lineRule="exact"/>
              <w:jc w:val="left"/>
              <w:rPr>
                <w:rFonts w:hint="eastAsia" w:ascii="仿宋" w:hAnsi="仿宋" w:eastAsia="仿宋" w:cs="仿宋"/>
                <w:color w:val="auto"/>
                <w:sz w:val="28"/>
                <w:szCs w:val="28"/>
                <w:highlight w:val="none"/>
              </w:rPr>
            </w:pPr>
          </w:p>
          <w:p>
            <w:pPr>
              <w:adjustRightInd w:val="0"/>
              <w:snapToGrid w:val="0"/>
              <w:spacing w:line="600" w:lineRule="exact"/>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none"/>
                <w:lang w:val="en-US" w:eastAsia="zh-CN"/>
              </w:rPr>
              <w:t>2023</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spacing w:line="480" w:lineRule="auto"/>
        <w:jc w:val="both"/>
        <w:rPr>
          <w:rFonts w:hint="eastAsia" w:ascii="仿宋" w:hAnsi="仿宋" w:eastAsia="仿宋" w:cs="仿宋"/>
          <w:b/>
          <w:color w:val="auto"/>
          <w:sz w:val="28"/>
          <w:szCs w:val="28"/>
          <w:highlight w:val="none"/>
          <w:lang w:val="en-US" w:eastAsia="zh-CN"/>
        </w:rPr>
      </w:pPr>
    </w:p>
    <w:p>
      <w:pPr>
        <w:spacing w:line="480" w:lineRule="auto"/>
        <w:jc w:val="both"/>
        <w:rPr>
          <w:rFonts w:hint="eastAsia" w:ascii="仿宋" w:hAnsi="仿宋" w:eastAsia="仿宋" w:cs="仿宋"/>
          <w:b/>
          <w:color w:val="auto"/>
          <w:sz w:val="28"/>
          <w:szCs w:val="28"/>
          <w:highlight w:val="none"/>
          <w:lang w:val="en-US" w:eastAsia="zh-CN"/>
        </w:rPr>
      </w:pPr>
    </w:p>
    <w:p>
      <w:pPr>
        <w:spacing w:line="480" w:lineRule="auto"/>
        <w:jc w:val="both"/>
        <w:rPr>
          <w:rFonts w:hint="eastAsia" w:ascii="仿宋" w:hAnsi="仿宋" w:eastAsia="仿宋" w:cs="仿宋"/>
          <w:b/>
          <w:color w:val="auto"/>
          <w:sz w:val="28"/>
          <w:szCs w:val="28"/>
          <w:highlight w:val="none"/>
          <w:lang w:val="en-US" w:eastAsia="zh-CN"/>
        </w:rPr>
      </w:pPr>
    </w:p>
    <w:p>
      <w:pPr>
        <w:spacing w:line="480" w:lineRule="auto"/>
        <w:jc w:val="both"/>
        <w:rPr>
          <w:rFonts w:hint="eastAsia" w:ascii="仿宋" w:hAnsi="仿宋" w:eastAsia="仿宋" w:cs="仿宋"/>
          <w:b/>
          <w:color w:val="auto"/>
          <w:sz w:val="28"/>
          <w:szCs w:val="28"/>
          <w:highlight w:val="none"/>
          <w:lang w:val="en-US" w:eastAsia="zh-CN"/>
        </w:rPr>
      </w:pPr>
    </w:p>
    <w:p>
      <w:pPr>
        <w:spacing w:line="480" w:lineRule="auto"/>
        <w:jc w:val="both"/>
        <w:rPr>
          <w:rFonts w:hint="eastAsia" w:ascii="仿宋" w:hAnsi="仿宋" w:eastAsia="仿宋" w:cs="仿宋"/>
          <w:color w:val="auto"/>
          <w:szCs w:val="21"/>
          <w:highlight w:val="none"/>
          <w:lang w:eastAsia="zh-CN"/>
        </w:rPr>
      </w:pPr>
      <w:r>
        <w:rPr>
          <w:rFonts w:hint="eastAsia" w:ascii="仿宋" w:hAnsi="仿宋" w:eastAsia="仿宋" w:cs="仿宋"/>
          <w:b/>
          <w:color w:val="auto"/>
          <w:sz w:val="28"/>
          <w:szCs w:val="28"/>
          <w:highlight w:val="none"/>
          <w:lang w:val="en-US" w:eastAsia="zh-CN"/>
        </w:rPr>
        <w:t>附件：</w:t>
      </w:r>
      <w:r>
        <w:rPr>
          <w:rFonts w:hint="eastAsia" w:ascii="仿宋" w:hAnsi="仿宋" w:eastAsia="仿宋" w:cs="仿宋"/>
          <w:b/>
          <w:color w:val="auto"/>
          <w:sz w:val="28"/>
          <w:szCs w:val="28"/>
          <w:highlight w:val="none"/>
        </w:rPr>
        <w:t>现场踏勘委派书</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lang w:val="en-US" w:eastAsia="zh-CN"/>
        </w:rPr>
        <w:t>如需</w:t>
      </w:r>
      <w:r>
        <w:rPr>
          <w:rFonts w:hint="eastAsia" w:ascii="仿宋" w:hAnsi="仿宋" w:eastAsia="仿宋" w:cs="仿宋"/>
          <w:b/>
          <w:color w:val="auto"/>
          <w:sz w:val="28"/>
          <w:szCs w:val="28"/>
          <w:highlight w:val="none"/>
          <w:lang w:eastAsia="zh-CN"/>
        </w:rPr>
        <w:t>）</w:t>
      </w:r>
    </w:p>
    <w:p>
      <w:pPr>
        <w:spacing w:line="360" w:lineRule="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致：</w:t>
      </w:r>
      <w:r>
        <w:rPr>
          <w:rFonts w:hint="eastAsia" w:ascii="仿宋" w:hAnsi="仿宋" w:eastAsia="仿宋" w:cs="仿宋"/>
          <w:color w:val="auto"/>
          <w:sz w:val="28"/>
          <w:szCs w:val="28"/>
          <w:highlight w:val="none"/>
          <w:lang w:eastAsia="zh-CN"/>
        </w:rPr>
        <w:t>广州</w:t>
      </w:r>
      <w:r>
        <w:rPr>
          <w:rFonts w:hint="eastAsia" w:ascii="仿宋" w:hAnsi="仿宋" w:eastAsia="仿宋" w:cs="仿宋"/>
          <w:color w:val="auto"/>
          <w:sz w:val="28"/>
          <w:szCs w:val="28"/>
          <w:highlight w:val="none"/>
          <w:lang w:val="en-US" w:eastAsia="zh-CN"/>
        </w:rPr>
        <w:t>从化</w:t>
      </w:r>
      <w:r>
        <w:rPr>
          <w:rFonts w:hint="eastAsia" w:ascii="仿宋" w:hAnsi="仿宋" w:eastAsia="仿宋" w:cs="仿宋"/>
          <w:color w:val="auto"/>
          <w:sz w:val="28"/>
          <w:szCs w:val="28"/>
          <w:highlight w:val="none"/>
          <w:lang w:eastAsia="zh-CN"/>
        </w:rPr>
        <w:t>净水有限公司</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我公司（单位）</w:t>
      </w:r>
      <w:r>
        <w:rPr>
          <w:rFonts w:hint="eastAsia" w:ascii="仿宋" w:hAnsi="仿宋" w:eastAsia="仿宋" w:cs="仿宋"/>
          <w:color w:val="auto"/>
          <w:sz w:val="28"/>
          <w:szCs w:val="28"/>
          <w:highlight w:val="none"/>
          <w:u w:val="single"/>
        </w:rPr>
        <w:t xml:space="preserve">    </w:t>
      </w:r>
      <w:r>
        <w:rPr>
          <w:rFonts w:hint="eastAsia" w:ascii="仿宋" w:hAnsi="仿宋" w:eastAsia="仿宋" w:cs="仿宋"/>
          <w:i w:val="0"/>
          <w:iCs w:val="0"/>
          <w:color w:val="auto"/>
          <w:sz w:val="28"/>
          <w:szCs w:val="28"/>
          <w:highlight w:val="none"/>
          <w:u w:val="single"/>
        </w:rPr>
        <w:t xml:space="preserve">  （报价单位名称）</w:t>
      </w:r>
      <w:r>
        <w:rPr>
          <w:rFonts w:hint="eastAsia" w:ascii="仿宋" w:hAnsi="仿宋" w:eastAsia="仿宋" w:cs="仿宋"/>
          <w:i/>
          <w:color w:val="auto"/>
          <w:sz w:val="28"/>
          <w:szCs w:val="28"/>
          <w:highlight w:val="none"/>
          <w:u w:val="single"/>
        </w:rPr>
        <w:t xml:space="preserve">     </w:t>
      </w:r>
      <w:r>
        <w:rPr>
          <w:rFonts w:hint="eastAsia" w:ascii="仿宋" w:hAnsi="仿宋" w:eastAsia="仿宋" w:cs="仿宋"/>
          <w:color w:val="auto"/>
          <w:sz w:val="28"/>
          <w:szCs w:val="28"/>
          <w:highlight w:val="none"/>
        </w:rPr>
        <w:t>现委派</w:t>
      </w:r>
      <w:r>
        <w:rPr>
          <w:rFonts w:hint="eastAsia" w:ascii="仿宋" w:hAnsi="仿宋" w:eastAsia="仿宋" w:cs="仿宋"/>
          <w:color w:val="auto"/>
          <w:sz w:val="28"/>
          <w:szCs w:val="28"/>
          <w:highlight w:val="none"/>
          <w:u w:val="single"/>
        </w:rPr>
        <w:t xml:space="preserve">  </w:t>
      </w:r>
      <w:r>
        <w:rPr>
          <w:rFonts w:hint="eastAsia" w:ascii="仿宋" w:hAnsi="仿宋" w:eastAsia="仿宋" w:cs="仿宋"/>
          <w:i w:val="0"/>
          <w:iCs w:val="0"/>
          <w:color w:val="auto"/>
          <w:sz w:val="28"/>
          <w:szCs w:val="28"/>
          <w:highlight w:val="none"/>
          <w:u w:val="single"/>
        </w:rPr>
        <w:t xml:space="preserve">  （姓名、职务、身份证号）   </w:t>
      </w:r>
      <w:r>
        <w:rPr>
          <w:rFonts w:hint="eastAsia" w:ascii="仿宋" w:hAnsi="仿宋" w:eastAsia="仿宋" w:cs="仿宋"/>
          <w:i/>
          <w:color w:val="auto"/>
          <w:sz w:val="28"/>
          <w:szCs w:val="28"/>
          <w:highlight w:val="none"/>
          <w:u w:val="single"/>
        </w:rPr>
        <w:t xml:space="preserve"> </w:t>
      </w:r>
      <w:r>
        <w:rPr>
          <w:rFonts w:hint="eastAsia" w:ascii="仿宋" w:hAnsi="仿宋" w:eastAsia="仿宋" w:cs="仿宋"/>
          <w:color w:val="auto"/>
          <w:sz w:val="28"/>
          <w:szCs w:val="28"/>
          <w:highlight w:val="none"/>
        </w:rPr>
        <w:t>处理本项目</w:t>
      </w:r>
      <w:r>
        <w:rPr>
          <w:rFonts w:hint="eastAsia" w:ascii="仿宋" w:hAnsi="仿宋" w:eastAsia="仿宋" w:cs="仿宋"/>
          <w:color w:val="auto"/>
          <w:sz w:val="28"/>
          <w:szCs w:val="28"/>
          <w:highlight w:val="none"/>
          <w:lang w:val="en-US" w:eastAsia="zh-CN"/>
        </w:rPr>
        <w:t>广州从化净水有限公司2022年危险废物处置服务项目</w:t>
      </w: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的现场踏勘事宜。</w:t>
      </w:r>
    </w:p>
    <w:p>
      <w:pPr>
        <w:spacing w:line="360" w:lineRule="auto"/>
        <w:ind w:firstLine="54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进厂要求详见响应文件递交防疫要求</w:t>
      </w:r>
      <w:r>
        <w:rPr>
          <w:rFonts w:hint="eastAsia" w:ascii="仿宋" w:hAnsi="仿宋" w:eastAsia="仿宋" w:cs="仿宋"/>
          <w:color w:val="auto"/>
          <w:sz w:val="28"/>
          <w:szCs w:val="28"/>
          <w:highlight w:val="none"/>
        </w:rPr>
        <w:t>）</w:t>
      </w:r>
    </w:p>
    <w:p>
      <w:pPr>
        <w:spacing w:line="360" w:lineRule="auto"/>
        <w:ind w:firstLine="540"/>
        <w:rPr>
          <w:rFonts w:hint="eastAsia" w:ascii="仿宋" w:hAnsi="仿宋" w:eastAsia="仿宋" w:cs="仿宋"/>
          <w:color w:val="auto"/>
          <w:highlight w:val="none"/>
          <w:lang w:eastAsia="zh-CN"/>
        </w:rPr>
      </w:pPr>
      <w:r>
        <w:rPr>
          <w:rFonts w:hint="eastAsia" w:ascii="仿宋" w:hAnsi="仿宋" w:eastAsia="仿宋" w:cs="仿宋"/>
          <w:color w:val="auto"/>
          <w:sz w:val="28"/>
          <w:szCs w:val="28"/>
          <w:highlight w:val="none"/>
        </w:rPr>
        <w:t>特此声明！</w:t>
      </w:r>
    </w:p>
    <w:p>
      <w:pPr>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报价单位法定代表人（或法定授权代表）签字：</w:t>
      </w:r>
      <w:r>
        <w:rPr>
          <w:rFonts w:hint="eastAsia" w:ascii="仿宋" w:hAnsi="仿宋" w:eastAsia="仿宋" w:cs="仿宋"/>
          <w:color w:val="auto"/>
          <w:sz w:val="28"/>
          <w:szCs w:val="28"/>
          <w:highlight w:val="none"/>
          <w:u w:val="single"/>
        </w:rPr>
        <w:t xml:space="preserve">                   </w:t>
      </w:r>
    </w:p>
    <w:p>
      <w:pPr>
        <w:adjustRightInd w:val="0"/>
        <w:snapToGrid w:val="0"/>
        <w:spacing w:line="360" w:lineRule="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报价单位名称（签章）：</w:t>
      </w:r>
      <w:r>
        <w:rPr>
          <w:rFonts w:hint="eastAsia" w:ascii="仿宋" w:hAnsi="仿宋" w:eastAsia="仿宋" w:cs="仿宋"/>
          <w:color w:val="auto"/>
          <w:sz w:val="28"/>
          <w:szCs w:val="28"/>
          <w:highlight w:val="none"/>
          <w:u w:val="single"/>
        </w:rPr>
        <w:t xml:space="preserve">                        </w:t>
      </w:r>
    </w:p>
    <w:p>
      <w:pPr>
        <w:spacing w:line="360" w:lineRule="auto"/>
        <w:rPr>
          <w:rFonts w:hint="eastAsia" w:ascii="仿宋" w:hAnsi="仿宋" w:eastAsia="仿宋" w:cs="仿宋"/>
          <w:color w:val="auto"/>
          <w:highlight w:val="none"/>
        </w:rPr>
      </w:pPr>
      <w:r>
        <w:rPr>
          <w:rFonts w:hint="eastAsia" w:ascii="仿宋" w:hAnsi="仿宋" w:eastAsia="仿宋" w:cs="仿宋"/>
          <w:color w:val="auto"/>
          <w:sz w:val="28"/>
          <w:szCs w:val="28"/>
          <w:highlight w:val="none"/>
        </w:rPr>
        <w:t>日期：   年   月   日</w:t>
      </w:r>
    </w:p>
    <w:tbl>
      <w:tblPr>
        <w:tblStyle w:val="24"/>
        <w:tblpPr w:leftFromText="180" w:rightFromText="180" w:vertAnchor="text" w:horzAnchor="page" w:tblpX="1711" w:tblpY="97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trPr>
        <w:tc>
          <w:tcPr>
            <w:tcW w:w="4230" w:type="dxa"/>
            <w:noWrap w:val="0"/>
            <w:vAlign w:val="top"/>
          </w:tcPr>
          <w:p>
            <w:pPr>
              <w:spacing w:line="360" w:lineRule="auto"/>
              <w:rPr>
                <w:rFonts w:hint="eastAsia" w:ascii="仿宋" w:hAnsi="仿宋" w:eastAsia="仿宋" w:cs="仿宋"/>
                <w:b w:val="0"/>
                <w:bCs w:val="0"/>
                <w:color w:val="auto"/>
                <w:sz w:val="24"/>
                <w:szCs w:val="24"/>
                <w:highlight w:val="none"/>
                <w:vertAlign w:val="baseline"/>
              </w:rPr>
            </w:pPr>
            <w:r>
              <w:rPr>
                <w:rFonts w:hint="eastAsia" w:ascii="仿宋" w:hAnsi="仿宋" w:eastAsia="仿宋" w:cs="仿宋"/>
                <w:b w:val="0"/>
                <w:bCs w:val="0"/>
                <w:color w:val="auto"/>
                <w:sz w:val="24"/>
                <w:szCs w:val="24"/>
                <w:highlight w:val="none"/>
                <w:vertAlign w:val="baseline"/>
                <w:lang w:val="en-US" w:eastAsia="zh-CN"/>
              </w:rPr>
              <w:t>广州从化净水有限公司（盖章）</w:t>
            </w:r>
          </w:p>
          <w:p>
            <w:pPr>
              <w:spacing w:line="360" w:lineRule="auto"/>
              <w:jc w:val="left"/>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经办人：</w:t>
            </w:r>
          </w:p>
          <w:p>
            <w:pPr>
              <w:spacing w:line="360" w:lineRule="auto"/>
              <w:jc w:val="left"/>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联系电话：</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rPr>
          <w:rFonts w:hint="eastAsia"/>
          <w:color w:val="auto"/>
          <w:highlight w:val="none"/>
        </w:rPr>
      </w:pPr>
    </w:p>
    <w:p>
      <w:pPr>
        <w:pStyle w:val="7"/>
        <w:rPr>
          <w:rFonts w:hint="eastAsia"/>
        </w:rPr>
      </w:pPr>
    </w:p>
    <w:p>
      <w:pPr>
        <w:pStyle w:val="4"/>
        <w:jc w:val="both"/>
        <w:rPr>
          <w:rFonts w:hint="eastAsia"/>
          <w:color w:val="auto"/>
          <w:highlight w:val="none"/>
        </w:rPr>
      </w:pPr>
      <w:bookmarkStart w:id="14" w:name="_Toc25603"/>
      <w:bookmarkStart w:id="15" w:name="_Toc16705"/>
      <w:bookmarkStart w:id="16" w:name="_Toc7340"/>
      <w:bookmarkStart w:id="17" w:name="_Toc32588"/>
      <w:bookmarkStart w:id="18" w:name="_Toc2331"/>
      <w:bookmarkStart w:id="19" w:name="_Toc23749"/>
      <w:bookmarkStart w:id="20" w:name="_Toc16557"/>
      <w:bookmarkStart w:id="21" w:name="_Toc19295"/>
      <w:bookmarkStart w:id="22" w:name="_Toc2324"/>
      <w:bookmarkStart w:id="23" w:name="_Toc9448"/>
    </w:p>
    <w:p>
      <w:pPr>
        <w:pStyle w:val="4"/>
        <w:rPr>
          <w:color w:val="auto"/>
          <w:highlight w:val="none"/>
        </w:rPr>
      </w:pP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2472055</wp:posOffset>
                </wp:positionH>
                <wp:positionV relativeFrom="paragraph">
                  <wp:posOffset>41275</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94.65pt;margin-top:3.25pt;height:0pt;width:75.5pt;z-index:251674624;mso-width-relative:page;mso-height-relative:page;" filled="f" stroked="t" coordsize="21600,21600" o:gfxdata="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tNpLtQAAAAHAQAADwAAAAAAAAABACAAAAAiAAAAZHJzL2Rvd25yZXYueG1sUEsBAhQAFAAA&#10;AAgAh07iQPZi7erzAQAA5AMAAA4AAAAAAAAAAQAgAAAAIwEAAGRycy9lMm9Eb2MueG1sUEsFBgAA&#10;AAAGAAYAWQEAAIg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2493010</wp:posOffset>
                </wp:positionH>
                <wp:positionV relativeFrom="paragraph">
                  <wp:posOffset>593090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96.3pt;margin-top:46.7pt;height:0pt;width:75.5pt;z-index:251675648;mso-width-relative:page;mso-height-relative:page;" filled="f" stroked="t" coordsize="21600,21600" o:gfxdata="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LYW0TdcAAAAJ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ind w:left="0" w:leftChars="0" w:firstLine="0" w:firstLineChars="0"/>
        <w:rPr>
          <w:rFonts w:hint="eastAsia"/>
          <w:color w:val="auto"/>
          <w:highlight w:val="none"/>
        </w:rPr>
      </w:pPr>
    </w:p>
    <w:p>
      <w:pPr>
        <w:numPr>
          <w:ilvl w:val="0"/>
          <w:numId w:val="3"/>
        </w:numPr>
        <w:adjustRightInd w:val="0"/>
        <w:snapToGrid w:val="0"/>
        <w:spacing w:beforeLines="50" w:afterLines="50" w:line="500" w:lineRule="exact"/>
        <w:ind w:left="640" w:leftChars="0" w:hanging="640" w:firstLineChars="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w:t>
            </w:r>
            <w:r>
              <w:rPr>
                <w:rFonts w:hint="eastAsia" w:ascii="仿宋_GB2312" w:eastAsia="仿宋_GB2312"/>
                <w:color w:val="auto"/>
                <w:sz w:val="24"/>
                <w:szCs w:val="24"/>
                <w:highlight w:val="none"/>
                <w:lang w:val="en-US" w:eastAsia="zh-CN"/>
              </w:rPr>
              <w:t>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w:t>
            </w:r>
            <w:r>
              <w:rPr>
                <w:rFonts w:hint="eastAsia" w:ascii="仿宋_GB2312" w:eastAsia="仿宋_GB2312"/>
                <w:color w:val="auto"/>
                <w:sz w:val="24"/>
                <w:szCs w:val="24"/>
                <w:highlight w:val="none"/>
                <w:lang w:val="en-US" w:eastAsia="zh-CN"/>
              </w:rPr>
              <w:t>5</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w:t>
            </w:r>
            <w:r>
              <w:rPr>
                <w:rFonts w:hint="eastAsia" w:ascii="仿宋_GB2312" w:eastAsia="仿宋_GB2312"/>
                <w:color w:val="auto"/>
                <w:sz w:val="24"/>
                <w:szCs w:val="24"/>
                <w:highlight w:val="none"/>
                <w:lang w:val="en-US" w:eastAsia="zh-CN"/>
              </w:rPr>
              <w:t>6</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yellow"/>
              </w:rPr>
              <w:t>纸质文件正本</w:t>
            </w:r>
            <w:r>
              <w:rPr>
                <w:rFonts w:hint="eastAsia" w:ascii="仿宋_GB2312" w:eastAsia="仿宋_GB2312" w:hAnsiTheme="minorEastAsia"/>
                <w:color w:val="auto"/>
                <w:sz w:val="24"/>
                <w:szCs w:val="24"/>
                <w:highlight w:val="yellow"/>
                <w:u w:val="single"/>
              </w:rPr>
              <w:t>1</w:t>
            </w:r>
            <w:r>
              <w:rPr>
                <w:rFonts w:hint="eastAsia" w:ascii="仿宋_GB2312" w:eastAsia="仿宋_GB2312" w:hAnsiTheme="minorEastAsia"/>
                <w:color w:val="auto"/>
                <w:sz w:val="24"/>
                <w:szCs w:val="24"/>
                <w:highlight w:val="yellow"/>
              </w:rPr>
              <w:t>份，副本</w:t>
            </w:r>
            <w:r>
              <w:rPr>
                <w:rFonts w:hint="eastAsia" w:ascii="仿宋_GB2312" w:eastAsia="仿宋_GB2312" w:hAnsiTheme="minorEastAsia"/>
                <w:color w:val="auto"/>
                <w:sz w:val="24"/>
                <w:szCs w:val="24"/>
                <w:highlight w:val="yellow"/>
                <w:u w:val="single"/>
                <w:lang w:val="en-US" w:eastAsia="zh-CN"/>
              </w:rPr>
              <w:t>6</w:t>
            </w:r>
            <w:r>
              <w:rPr>
                <w:rFonts w:hint="eastAsia" w:ascii="仿宋_GB2312" w:eastAsia="仿宋_GB2312" w:hAnsiTheme="minorEastAsia"/>
                <w:color w:val="auto"/>
                <w:sz w:val="24"/>
                <w:szCs w:val="24"/>
                <w:highlight w:val="yellow"/>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w:t>
            </w:r>
            <w:r>
              <w:rPr>
                <w:rFonts w:hint="eastAsia" w:ascii="仿宋_GB2312" w:eastAsia="仿宋_GB2312"/>
                <w:color w:val="auto"/>
                <w:sz w:val="24"/>
                <w:szCs w:val="24"/>
                <w:highlight w:val="none"/>
                <w:lang w:val="en-US" w:eastAsia="zh-CN"/>
              </w:rPr>
              <w:t>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w:t>
            </w:r>
            <w:r>
              <w:rPr>
                <w:rFonts w:hint="eastAsia" w:ascii="仿宋_GB2312" w:eastAsia="仿宋_GB2312"/>
                <w:color w:val="auto"/>
                <w:sz w:val="24"/>
                <w:szCs w:val="24"/>
                <w:highlight w:val="none"/>
                <w:lang w:val="en-US" w:eastAsia="zh-CN"/>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r>
              <w:rPr>
                <w:rFonts w:hint="eastAsia" w:ascii="仿宋_GB2312" w:eastAsia="仿宋_GB2312"/>
                <w:color w:val="auto"/>
                <w:sz w:val="24"/>
                <w:szCs w:val="24"/>
                <w:highlight w:val="none"/>
                <w:lang w:val="en-US" w:eastAsia="zh-CN"/>
              </w:rPr>
              <w:t>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hint="default" w:ascii="仿宋_GB2312" w:eastAsia="仿宋_GB2312" w:hAnsiTheme="minorEastAsia"/>
                <w:color w:val="auto"/>
                <w:sz w:val="24"/>
                <w:szCs w:val="24"/>
                <w:highlight w:val="yellow"/>
                <w:lang w:val="en-US" w:eastAsia="zh-CN"/>
              </w:rPr>
            </w:pPr>
            <w:r>
              <w:rPr>
                <w:rFonts w:hint="eastAsia" w:ascii="仿宋_GB2312" w:eastAsia="仿宋_GB2312" w:hAnsiTheme="minorEastAsia"/>
                <w:color w:val="auto"/>
                <w:sz w:val="24"/>
                <w:szCs w:val="24"/>
                <w:highlight w:val="none"/>
              </w:rPr>
              <w:t>会议时间：</w:t>
            </w:r>
            <w:r>
              <w:rPr>
                <w:rFonts w:hint="eastAsia" w:ascii="仿宋_GB2312" w:eastAsia="仿宋_GB2312" w:hAnsiTheme="minorEastAsia"/>
                <w:color w:val="auto"/>
                <w:sz w:val="24"/>
                <w:szCs w:val="24"/>
                <w:highlight w:val="yellow"/>
                <w:lang w:val="en-US" w:eastAsia="zh-CN"/>
              </w:rPr>
              <w:t>暂定2023年2月6日</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r>
              <w:rPr>
                <w:rFonts w:hint="eastAsia" w:ascii="仿宋_GB2312" w:eastAsia="仿宋_GB2312"/>
                <w:color w:val="auto"/>
                <w:sz w:val="24"/>
                <w:szCs w:val="24"/>
                <w:highlight w:val="none"/>
                <w:lang w:val="en-US" w:eastAsia="zh-CN"/>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r>
              <w:rPr>
                <w:rFonts w:hint="eastAsia" w:ascii="仿宋_GB2312" w:eastAsia="仿宋_GB2312"/>
                <w:color w:val="auto"/>
                <w:sz w:val="24"/>
                <w:szCs w:val="24"/>
                <w:highlight w:val="none"/>
                <w:lang w:val="en-US" w:eastAsia="zh-CN"/>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lang w:val="en-US" w:eastAsia="zh-CN"/>
              </w:rPr>
              <w:t>暂定7</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r>
              <w:rPr>
                <w:rFonts w:hint="eastAsia" w:ascii="仿宋_GB2312" w:eastAsia="仿宋_GB2312"/>
                <w:color w:val="auto"/>
                <w:sz w:val="24"/>
                <w:szCs w:val="24"/>
                <w:highlight w:val="none"/>
                <w:lang w:val="en-US" w:eastAsia="zh-CN"/>
              </w:rPr>
              <w:t>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r>
              <w:rPr>
                <w:rFonts w:hint="eastAsia" w:ascii="仿宋_GB2312" w:eastAsia="仿宋_GB2312"/>
                <w:color w:val="auto"/>
                <w:sz w:val="24"/>
                <w:szCs w:val="24"/>
                <w:highlight w:val="none"/>
                <w:lang w:val="en-US" w:eastAsia="zh-CN"/>
              </w:rPr>
              <w:t>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r>
              <w:rPr>
                <w:rFonts w:hint="eastAsia" w:ascii="仿宋_GB2312" w:eastAsia="仿宋_GB2312"/>
                <w:color w:val="auto"/>
                <w:sz w:val="24"/>
                <w:szCs w:val="24"/>
                <w:highlight w:val="none"/>
                <w:lang w:val="en-US" w:eastAsia="zh-CN"/>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r>
              <w:rPr>
                <w:rFonts w:hint="eastAsia" w:ascii="仿宋_GB2312" w:eastAsia="仿宋_GB2312"/>
                <w:color w:val="auto"/>
                <w:sz w:val="24"/>
                <w:szCs w:val="24"/>
                <w:highlight w:val="none"/>
                <w:lang w:val="en-US" w:eastAsia="zh-CN"/>
              </w:rPr>
              <w:t>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r>
              <w:rPr>
                <w:rFonts w:hint="eastAsia" w:ascii="仿宋_GB2312" w:eastAsia="仿宋_GB2312"/>
                <w:color w:val="auto"/>
                <w:sz w:val="24"/>
                <w:szCs w:val="24"/>
                <w:highlight w:val="none"/>
                <w:lang w:val="en-US" w:eastAsia="zh-CN"/>
              </w:rPr>
              <w:t>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r>
              <w:rPr>
                <w:rFonts w:hint="eastAsia" w:ascii="仿宋_GB2312" w:eastAsia="仿宋_GB2312"/>
                <w:color w:val="auto"/>
                <w:sz w:val="24"/>
                <w:szCs w:val="24"/>
                <w:highlight w:val="none"/>
                <w:lang w:val="en-US" w:eastAsia="zh-CN"/>
              </w:rPr>
              <w:t>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w:t>
      </w:r>
      <w:r>
        <w:rPr>
          <w:rFonts w:hint="eastAsia" w:ascii="仿宋_GB2312" w:eastAsia="仿宋_GB2312"/>
          <w:color w:val="auto"/>
          <w:sz w:val="28"/>
          <w:szCs w:val="28"/>
          <w:highlight w:val="none"/>
          <w:lang w:val="en-US" w:eastAsia="zh-CN"/>
        </w:rPr>
        <w:t>报价登记表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7"/>
        <w:ind w:firstLine="0"/>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3"/>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响应文件</w:t>
      </w:r>
      <w:r>
        <w:rPr>
          <w:rFonts w:hint="eastAsia" w:ascii="方正小标宋简体" w:eastAsia="方正小标宋简体" w:hAnsiTheme="majorEastAsia"/>
          <w:sz w:val="32"/>
          <w:szCs w:val="32"/>
          <w:lang w:val="en-US" w:eastAsia="zh-CN"/>
        </w:rPr>
        <w:t>报价记录</w:t>
      </w:r>
      <w:r>
        <w:rPr>
          <w:rFonts w:hint="eastAsia" w:ascii="方正小标宋简体" w:eastAsia="方正小标宋简体" w:hAnsiTheme="majorEastAsia"/>
          <w:sz w:val="32"/>
          <w:szCs w:val="32"/>
        </w:rPr>
        <w:t>表</w:t>
      </w:r>
    </w:p>
    <w:p>
      <w:pPr>
        <w:pStyle w:val="37"/>
      </w:pPr>
    </w:p>
    <w:p>
      <w:pPr>
        <w:spacing w:line="4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lang w:val="en-US" w:eastAsia="zh-CN"/>
        </w:rPr>
        <w:t xml:space="preserve">                           </w:t>
      </w:r>
      <w:r>
        <w:rPr>
          <w:rFonts w:hint="eastAsia" w:ascii="仿宋_GB2312" w:hAnsi="仿宋_GB2312" w:eastAsia="仿宋_GB2312" w:cs="仿宋_GB2312"/>
          <w:color w:val="000000"/>
          <w:sz w:val="28"/>
          <w:szCs w:val="28"/>
        </w:rPr>
        <w:t>报价记录表</w:t>
      </w:r>
    </w:p>
    <w:p>
      <w:pPr>
        <w:spacing w:line="500" w:lineRule="exact"/>
        <w:jc w:val="right"/>
        <w:rPr>
          <w:rFonts w:hint="eastAsia" w:ascii="仿宋_GB2312" w:hAnsi="仿宋_GB2312" w:eastAsia="仿宋_GB2312" w:cs="仿宋_GB2312"/>
          <w:color w:val="000000"/>
        </w:rPr>
      </w:pPr>
      <w:r>
        <w:rPr>
          <w:rFonts w:hint="eastAsia" w:ascii="仿宋_GB2312" w:hAnsi="仿宋_GB2312" w:eastAsia="仿宋_GB2312" w:cs="仿宋_GB2312"/>
          <w:color w:val="000000"/>
          <w:szCs w:val="21"/>
        </w:rPr>
        <w:t>报价文件开启时间：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日</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时</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分</w:t>
      </w:r>
    </w:p>
    <w:tbl>
      <w:tblPr>
        <w:tblStyle w:val="23"/>
        <w:tblW w:w="8880" w:type="dxa"/>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投标人</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投标报价（元）</w:t>
            </w:r>
          </w:p>
        </w:tc>
        <w:tc>
          <w:tcPr>
            <w:tcW w:w="191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lang w:val="en-US" w:eastAsia="zh-CN"/>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default" w:ascii="仿宋_GB2312" w:hAnsi="仿宋_GB2312" w:eastAsia="仿宋_GB2312" w:cs="仿宋_GB2312"/>
                <w:color w:val="000000"/>
                <w:szCs w:val="21"/>
                <w:lang w:val="en-US" w:eastAsia="zh-CN"/>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lang w:val="en-US" w:eastAsia="zh-CN"/>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default" w:ascii="仿宋_GB2312" w:hAnsi="仿宋_GB2312" w:eastAsia="仿宋_GB2312" w:cs="仿宋_GB2312"/>
                <w:color w:val="000000"/>
                <w:szCs w:val="21"/>
                <w:lang w:val="en-US" w:eastAsia="zh-CN"/>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lang w:val="en-US" w:eastAsia="zh-CN"/>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default" w:ascii="仿宋_GB2312" w:hAnsi="仿宋_GB2312" w:eastAsia="仿宋_GB2312" w:cs="仿宋_GB2312"/>
                <w:color w:val="000000"/>
                <w:szCs w:val="21"/>
                <w:lang w:val="en-US" w:eastAsia="zh-CN"/>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r>
    </w:tbl>
    <w:p>
      <w:pPr>
        <w:spacing w:line="440" w:lineRule="exact"/>
        <w:rPr>
          <w:rFonts w:hint="eastAsia" w:ascii="仿宋_GB2312" w:hAnsi="仿宋_GB2312" w:eastAsia="仿宋_GB2312" w:cs="仿宋_GB2312"/>
          <w:color w:val="000000"/>
        </w:rPr>
      </w:pPr>
    </w:p>
    <w:p>
      <w:pPr>
        <w:spacing w:line="440" w:lineRule="exact"/>
        <w:rPr>
          <w:rFonts w:hint="eastAsia" w:ascii="仿宋_GB2312" w:hAnsi="仿宋_GB2312" w:eastAsia="仿宋_GB2312" w:cs="仿宋_GB2312"/>
          <w:color w:val="000000"/>
          <w:u w:val="single"/>
        </w:rPr>
      </w:pPr>
      <w:r>
        <w:rPr>
          <w:rFonts w:hint="eastAsia" w:ascii="仿宋_GB2312" w:hAnsi="仿宋_GB2312" w:eastAsia="仿宋_GB2312" w:cs="仿宋_GB2312"/>
          <w:color w:val="000000"/>
        </w:rPr>
        <w:t>经办人：</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 记录人：</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lang w:val="en-US" w:eastAsia="zh-CN"/>
        </w:rPr>
        <w:t>监督</w:t>
      </w:r>
      <w:r>
        <w:rPr>
          <w:rFonts w:hint="eastAsia" w:ascii="仿宋_GB2312" w:hAnsi="仿宋_GB2312" w:eastAsia="仿宋_GB2312" w:cs="仿宋_GB2312"/>
          <w:color w:val="000000"/>
        </w:rPr>
        <w:t>人员：</w:t>
      </w:r>
      <w:r>
        <w:rPr>
          <w:rFonts w:hint="eastAsia" w:ascii="仿宋_GB2312" w:hAnsi="仿宋_GB2312" w:eastAsia="仿宋_GB2312" w:cs="仿宋_GB2312"/>
          <w:color w:val="000000"/>
          <w:u w:val="single"/>
        </w:rPr>
        <w:t xml:space="preserve">               </w:t>
      </w:r>
    </w:p>
    <w:p>
      <w:pPr>
        <w:adjustRightInd w:val="0"/>
        <w:snapToGrid w:val="0"/>
        <w:spacing w:line="600" w:lineRule="exact"/>
        <w:ind w:firstLine="555"/>
        <w:jc w:val="left"/>
        <w:rPr>
          <w:rFonts w:hint="eastAsia" w:ascii="仿宋_GB2312" w:hAnsi="仿宋_GB2312" w:eastAsia="仿宋_GB2312" w:cs="仿宋_GB2312"/>
          <w:color w:val="000000"/>
          <w:u w:val="single"/>
        </w:rPr>
      </w:pP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年</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月 </w:t>
      </w:r>
      <w:r>
        <w:rPr>
          <w:rFonts w:hint="eastAsia" w:ascii="仿宋_GB2312" w:hAnsi="仿宋_GB2312" w:eastAsia="仿宋_GB2312" w:cs="仿宋_GB2312"/>
          <w:color w:val="000000"/>
          <w:u w:val="single"/>
        </w:rPr>
        <w:t xml:space="preserve">      </w:t>
      </w:r>
    </w:p>
    <w:p>
      <w:pPr>
        <w:adjustRightInd w:val="0"/>
        <w:snapToGrid w:val="0"/>
        <w:spacing w:line="600" w:lineRule="exact"/>
        <w:jc w:val="both"/>
        <w:rPr>
          <w:rFonts w:hint="eastAsia" w:ascii="方正小标宋简体" w:eastAsia="方正小标宋简体" w:hAnsiTheme="majorEastAsia"/>
          <w:color w:val="auto"/>
          <w:sz w:val="32"/>
          <w:szCs w:val="32"/>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ind w:firstLine="0" w:firstLineChars="0"/>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7"/>
        <w:rPr>
          <w:color w:val="auto"/>
          <w:highlight w:val="none"/>
        </w:rPr>
      </w:pPr>
    </w:p>
    <w:p>
      <w:pPr>
        <w:pStyle w:val="37"/>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5"/>
        <w:ind w:firstLine="0" w:firstLineChars="0"/>
        <w:jc w:val="both"/>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2468245</wp:posOffset>
                </wp:positionH>
                <wp:positionV relativeFrom="paragraph">
                  <wp:posOffset>791845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94.35pt;margin-top:62.35pt;height:0pt;width:75.5pt;z-index:251662336;mso-width-relative:page;mso-height-relative:page;" filled="f" stroked="t" coordsize="21600,21600" o:gfxdata="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nDmwdOF3&#10;n7//+vTl9uvP2x/f2POsUB+wpsCV28TTDsMmZrqHNtr8JyLsUFQ9nlVVh8QEHb6czecz0lvcu6qH&#10;vBAxvVbesmw0HFMEvevSyjtHV+fjpIgK+zeYqDIl3ifkosaxPsNPZwQONIotjQCZNhAddLuSi95o&#10;ea2NyRkYd9uViWwPeRzKl/kR7l9hucgasBviimsYlE6BfOUkS8dAQjl6Hzy3YJXkzCh6TtkiQKgT&#10;aHNJJJU2jjrIEg+iZmvr5bFoXc7p6kuPpzHNs/XnvmQ/PM3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cYHx/XAAAACwEAAA8AAAAAAAAAAQAgAAAAIgAAAGRycy9kb3ducmV2LnhtbFBLAQIUABQA&#10;AAAIAIdO4kAXIMW58QEAAOIDAAAOAAAAAAAAAAEAIAAAACYBAABkcnMvZTJvRG9jLnhtbFBLBQYA&#10;AAAABgAGAFkBAACJBQAAAAA=&#10;">
                <v:fill on="f" focussize="0,0"/>
                <v:stroke color="#000000" joinstyle="round"/>
                <v:imagedata o:title=""/>
                <o:lock v:ext="edit" aspectratio="f"/>
              </v:shape>
            </w:pict>
          </mc:Fallback>
        </mc:AlternateContent>
      </w:r>
      <w:bookmarkStart w:id="26" w:name="_Toc2867"/>
      <w:bookmarkStart w:id="27" w:name="_Toc21455"/>
    </w:p>
    <w:p>
      <w:pPr>
        <w:pStyle w:val="5"/>
        <w:ind w:firstLine="3960" w:firstLineChars="900"/>
        <w:jc w:val="both"/>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2480310</wp:posOffset>
                </wp:positionH>
                <wp:positionV relativeFrom="paragraph">
                  <wp:posOffset>539750</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95.3pt;margin-top:42.5pt;height:0pt;width:75.5pt;z-index:251663360;mso-width-relative:page;mso-height-relative:page;" filled="f" stroked="t" coordsize="21600,21600" o:gfxdata="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0uEJI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7"/>
        <w:rPr>
          <w:color w:val="auto"/>
          <w:highlight w:val="none"/>
        </w:rPr>
      </w:pPr>
    </w:p>
    <w:p>
      <w:pPr>
        <w:pStyle w:val="5"/>
        <w:rPr>
          <w:color w:val="auto"/>
          <w:highlight w:val="none"/>
        </w:rPr>
      </w:pPr>
      <w:bookmarkStart w:id="28" w:name="_Toc87616371"/>
      <w:bookmarkStart w:id="29" w:name="_Toc88209934"/>
      <w:bookmarkStart w:id="30" w:name="_Toc7303"/>
      <w:bookmarkStart w:id="31" w:name="_Toc7040"/>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5"/>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rPr>
                <w:rFonts w:hint="eastAsia" w:ascii="仿宋_GB2312" w:eastAsia="仿宋_GB2312" w:hAnsiTheme="minorEastAsia"/>
                <w:color w:val="auto"/>
                <w:sz w:val="24"/>
                <w:szCs w:val="24"/>
                <w:highlight w:val="none"/>
                <w:u w:val="single"/>
                <w:lang w:val="en-US" w:eastAsia="zh-CN"/>
              </w:rPr>
            </w:pPr>
            <w:r>
              <w:rPr>
                <w:rFonts w:hint="eastAsia" w:ascii="仿宋_GB2312" w:eastAsia="仿宋_GB2312" w:hAnsiTheme="minorEastAsia"/>
                <w:color w:val="auto"/>
                <w:sz w:val="24"/>
                <w:szCs w:val="24"/>
                <w:highlight w:val="none"/>
                <w:u w:val="single"/>
                <w:lang w:val="en-US" w:eastAsia="zh-CN"/>
              </w:rPr>
              <w:t>广州市从化区江埔街广州从化净水有限公司中心城区污水处理厂</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19050"/>
      <w:bookmarkStart w:id="35" w:name="_Toc7437"/>
      <w:bookmarkStart w:id="36" w:name="_Toc20594"/>
      <w:bookmarkStart w:id="37" w:name="_Toc14552"/>
      <w:bookmarkStart w:id="38" w:name="_Toc19759"/>
      <w:bookmarkStart w:id="39" w:name="_Toc14870"/>
      <w:bookmarkStart w:id="40" w:name="_Toc23581"/>
      <w:bookmarkStart w:id="41" w:name="_Toc10930"/>
      <w:bookmarkStart w:id="42" w:name="_Toc4952"/>
      <w:bookmarkStart w:id="43" w:name="_Toc3156"/>
      <w:bookmarkStart w:id="44" w:name="_Toc7118"/>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2468245</wp:posOffset>
                </wp:positionH>
                <wp:positionV relativeFrom="paragraph">
                  <wp:posOffset>222885</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94.35pt;margin-top:17.55pt;height:0pt;width:75.5pt;z-index:251664384;mso-width-relative:page;mso-height-relative:page;" filled="f" stroked="t" coordsize="21600,21600" o:gfxdata="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5zLwf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2496820</wp:posOffset>
                </wp:positionH>
                <wp:positionV relativeFrom="paragraph">
                  <wp:posOffset>672465</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96.6pt;margin-top:52.95pt;height:0pt;width:75.5pt;z-index:251665408;mso-width-relative:page;mso-height-relative:page;" filled="f" stroked="t" coordsize="21600,21600" o:gfxdata="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lhkR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7"/>
        <w:rPr>
          <w:color w:val="auto"/>
          <w:highlight w:val="none"/>
        </w:rPr>
      </w:pPr>
    </w:p>
    <w:p>
      <w:pPr>
        <w:pStyle w:val="4"/>
        <w:rPr>
          <w:color w:val="auto"/>
          <w:highlight w:val="none"/>
        </w:rPr>
      </w:pPr>
      <w:bookmarkStart w:id="45" w:name="_Toc7831"/>
      <w:bookmarkStart w:id="46" w:name="_Toc32607"/>
      <w:bookmarkStart w:id="47" w:name="_Toc87616378"/>
      <w:bookmarkStart w:id="48" w:name="_Toc6308"/>
      <w:bookmarkStart w:id="49" w:name="_Toc22212"/>
      <w:bookmarkStart w:id="50" w:name="_Toc13898"/>
      <w:bookmarkStart w:id="51" w:name="_Toc88209941"/>
      <w:bookmarkStart w:id="52" w:name="_Toc29484"/>
      <w:bookmarkStart w:id="53" w:name="_Toc21840"/>
      <w:bookmarkStart w:id="54" w:name="_Toc29345"/>
      <w:bookmarkStart w:id="55" w:name="_Toc12177"/>
      <w:bookmarkStart w:id="56" w:name="_Toc21079"/>
      <w:bookmarkStart w:id="57" w:name="_Toc30530"/>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5"/>
        <w:rPr>
          <w:rFonts w:hint="eastAsia"/>
          <w:color w:val="auto"/>
          <w:highlight w:val="none"/>
        </w:rPr>
      </w:pPr>
      <w:bookmarkStart w:id="58" w:name="_Toc23033"/>
      <w:bookmarkStart w:id="59" w:name="_Toc26826"/>
    </w:p>
    <w:p>
      <w:pPr>
        <w:pStyle w:val="5"/>
        <w:rPr>
          <w:color w:val="auto"/>
          <w:highlight w:val="none"/>
        </w:rPr>
      </w:pPr>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授权书有法定代表人及其委托代理人签字并加盖单位</w:t>
            </w:r>
            <w:r>
              <w:rPr>
                <w:rFonts w:hint="eastAsia" w:ascii="仿宋_GB2312" w:eastAsia="仿宋_GB2312"/>
                <w:color w:val="auto"/>
                <w:sz w:val="24"/>
                <w:szCs w:val="24"/>
                <w:highlight w:val="none"/>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2.2澄清补正</w:t>
      </w:r>
    </w:p>
    <w:p>
      <w:pPr>
        <w:adjustRightInd w:val="0"/>
        <w:snapToGrid w:val="0"/>
        <w:spacing w:line="600" w:lineRule="exact"/>
        <w:ind w:firstLine="55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 w:hAnsi="仿宋" w:eastAsia="仿宋" w:cs="仿宋"/>
          <w:color w:val="auto"/>
          <w:sz w:val="28"/>
          <w:szCs w:val="28"/>
          <w:highlight w:val="none"/>
          <w:lang w:val="en-US" w:eastAsia="zh-CN"/>
        </w:rPr>
        <w:t>或</w:t>
      </w:r>
      <w:r>
        <w:rPr>
          <w:rFonts w:hint="eastAsia" w:ascii="仿宋" w:hAnsi="仿宋" w:eastAsia="仿宋" w:cs="仿宋"/>
          <w:color w:val="auto"/>
          <w:sz w:val="28"/>
          <w:szCs w:val="28"/>
          <w:highlight w:val="none"/>
        </w:rPr>
        <w:t>否决其响应。</w:t>
      </w:r>
    </w:p>
    <w:p>
      <w:pPr>
        <w:adjustRightInd w:val="0"/>
        <w:snapToGrid w:val="0"/>
        <w:spacing w:line="600" w:lineRule="exact"/>
        <w:ind w:firstLine="55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 w:hAnsi="仿宋" w:eastAsia="仿宋" w:cs="仿宋"/>
          <w:color w:val="auto"/>
          <w:sz w:val="28"/>
          <w:szCs w:val="28"/>
          <w:highlight w:val="none"/>
          <w:lang w:val="en-US" w:eastAsia="zh-CN"/>
        </w:rPr>
        <w:t>或</w:t>
      </w:r>
      <w:r>
        <w:rPr>
          <w:rFonts w:hint="eastAsia" w:ascii="仿宋" w:hAnsi="仿宋" w:eastAsia="仿宋" w:cs="仿宋"/>
          <w:color w:val="auto"/>
          <w:sz w:val="28"/>
          <w:szCs w:val="28"/>
          <w:highlight w:val="none"/>
        </w:rPr>
        <w:t>否决其响应。</w:t>
      </w:r>
    </w:p>
    <w:p>
      <w:pPr>
        <w:adjustRightInd w:val="0"/>
        <w:snapToGrid w:val="0"/>
        <w:spacing w:line="600" w:lineRule="exact"/>
        <w:ind w:firstLine="55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未发现属无效响应的其他情形：</w:t>
      </w:r>
    </w:p>
    <w:p>
      <w:pPr>
        <w:adjustRightInd w:val="0"/>
        <w:snapToGrid w:val="0"/>
        <w:spacing w:line="600" w:lineRule="exact"/>
        <w:ind w:firstLine="55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2.3.1</w:t>
      </w:r>
      <w:r>
        <w:rPr>
          <w:rFonts w:hint="eastAsia" w:ascii="仿宋" w:hAnsi="仿宋" w:eastAsia="仿宋" w:cs="仿宋"/>
          <w:color w:val="auto"/>
          <w:sz w:val="28"/>
          <w:szCs w:val="28"/>
          <w:highlight w:val="none"/>
        </w:rPr>
        <w:t>评审期间，供应商没有按评审小组的要求提交法定代表人/负责人或其委托代理人签字的澄清、说明、补正或改变了响应文件的实质性内容的；</w:t>
      </w:r>
    </w:p>
    <w:p>
      <w:pPr>
        <w:adjustRightInd w:val="0"/>
        <w:snapToGrid w:val="0"/>
        <w:spacing w:line="600" w:lineRule="exact"/>
        <w:ind w:firstLine="55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3.2</w:t>
      </w:r>
      <w:r>
        <w:rPr>
          <w:rFonts w:hint="eastAsia" w:ascii="仿宋" w:hAnsi="仿宋" w:eastAsia="仿宋" w:cs="仿宋"/>
          <w:color w:val="auto"/>
          <w:sz w:val="28"/>
          <w:szCs w:val="28"/>
          <w:highlight w:val="none"/>
        </w:rPr>
        <w:t>响应文件提供虚假材料的；</w:t>
      </w:r>
    </w:p>
    <w:p>
      <w:pPr>
        <w:adjustRightInd w:val="0"/>
        <w:snapToGrid w:val="0"/>
        <w:spacing w:line="600" w:lineRule="exact"/>
        <w:ind w:firstLine="55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供应商以他人的名义竞投、串通竞投、以行贿手段谋取成交资格或者以其他弄虚作假方式竞投的；</w:t>
      </w:r>
    </w:p>
    <w:p>
      <w:pPr>
        <w:adjustRightInd w:val="0"/>
        <w:snapToGrid w:val="0"/>
        <w:spacing w:line="600" w:lineRule="exact"/>
        <w:ind w:firstLine="55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2.3.4</w:t>
      </w:r>
      <w:r>
        <w:rPr>
          <w:rFonts w:hint="eastAsia" w:ascii="仿宋" w:hAnsi="仿宋" w:eastAsia="仿宋" w:cs="仿宋"/>
          <w:color w:val="auto"/>
          <w:sz w:val="28"/>
          <w:szCs w:val="28"/>
          <w:highlight w:val="none"/>
        </w:rPr>
        <w:t>供应商对采购人、评审小组及其工作人员施加影响，有碍采购公平、公正的；</w:t>
      </w:r>
    </w:p>
    <w:p>
      <w:pPr>
        <w:adjustRightInd w:val="0"/>
        <w:snapToGrid w:val="0"/>
        <w:spacing w:line="600" w:lineRule="exact"/>
        <w:ind w:firstLine="55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2.3</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按有关法律、法规、规章规定属于无效响应的。</w:t>
      </w:r>
    </w:p>
    <w:p>
      <w:pPr>
        <w:adjustRightInd w:val="0"/>
        <w:snapToGrid w:val="0"/>
        <w:spacing w:line="600" w:lineRule="exact"/>
        <w:ind w:firstLine="55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2.3.6</w:t>
      </w:r>
      <w:r>
        <w:rPr>
          <w:rFonts w:hint="eastAsia" w:ascii="仿宋" w:hAnsi="仿宋" w:eastAsia="仿宋" w:cs="仿宋"/>
          <w:color w:val="auto"/>
          <w:sz w:val="28"/>
          <w:szCs w:val="28"/>
          <w:highlight w:val="none"/>
        </w:rPr>
        <w:t>如供应商报价低于相应的最高限价60%的，必须在响应文件中提供报价说明，并提交相关证明材料证明其报价合理性。评审小组认为供应商不能证明其报价合理性的，或有可能影响服务质量或者不能诚信履约的，应当将其作为无效采购处理。</w:t>
      </w:r>
    </w:p>
    <w:p>
      <w:pPr>
        <w:adjustRightInd w:val="0"/>
        <w:snapToGrid w:val="0"/>
        <w:spacing w:line="600" w:lineRule="exact"/>
        <w:ind w:firstLine="555"/>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被评审小组确定为响应文件无效的，其响应文件即被视为不能通过初审，不得进行报价得分排序。</w:t>
      </w:r>
    </w:p>
    <w:p>
      <w:pPr>
        <w:spacing w:line="600" w:lineRule="exact"/>
        <w:ind w:firstLine="55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评审结果 评审后，评审价格最低的供应商为成交供应商。如评审价格相同，可由评审小组根据评审情况以记名投票方式确定供应商排名，并将推荐理由写入评审报告。</w:t>
      </w:r>
    </w:p>
    <w:p>
      <w:pPr>
        <w:pStyle w:val="4"/>
        <w:rPr>
          <w:rFonts w:hint="eastAsia"/>
          <w:color w:val="auto"/>
          <w:highlight w:val="none"/>
        </w:rPr>
      </w:pPr>
      <w:bookmarkStart w:id="60" w:name="_Toc88209947"/>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2578735</wp:posOffset>
                </wp:positionH>
                <wp:positionV relativeFrom="paragraph">
                  <wp:posOffset>488315</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203.05pt;margin-top:38.45pt;height:0pt;width:75.5pt;z-index:251677696;mso-width-relative:page;mso-height-relative:page;" filled="f" stroked="t" coordsize="21600,21600" o:gfxdata="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kVsn7dcAAAAJ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2548255</wp:posOffset>
                </wp:positionH>
                <wp:positionV relativeFrom="paragraph">
                  <wp:posOffset>69850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200.65pt;margin-top:5.5pt;height:0pt;width:75.5pt;z-index:251676672;mso-width-relative:page;mso-height-relative:page;" filled="f" stroked="t" coordsize="21600,21600" o:gfxdata="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vMFPNUAAAAJAQAADwAAAAAAAAABACAAAAAiAAAAZHJzL2Rvd25yZXYueG1sUEsBAhQAFAAA&#10;AAgAh07iQFzLtV/yAQAA5AMAAA4AAAAAAAAAAQAgAAAAJAEAAGRycy9lMm9Eb2MueG1sUEsFBgAA&#10;AAAGAAYAWQEAAIg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bookmarkEnd w:id="60"/>
    <w:p>
      <w:pPr>
        <w:pStyle w:val="22"/>
        <w:rPr>
          <w:rFonts w:ascii="仿宋_GB2312" w:eastAsia="仿宋_GB2312" w:hAnsiTheme="minorEastAsia"/>
          <w:color w:val="auto"/>
          <w:szCs w:val="21"/>
          <w:highlight w:val="none"/>
        </w:rPr>
      </w:pPr>
    </w:p>
    <w:p>
      <w:pPr>
        <w:pStyle w:val="12"/>
        <w:adjustRightInd w:val="0"/>
        <w:snapToGrid w:val="0"/>
        <w:spacing w:line="300" w:lineRule="auto"/>
        <w:rPr>
          <w:rFonts w:hint="eastAsia" w:ascii="仿宋_GB2312" w:hAnsi="仿宋_GB2312" w:eastAsia="仿宋_GB2312" w:cs="仿宋_GB2312"/>
          <w:b/>
          <w:color w:val="000000"/>
          <w:sz w:val="28"/>
          <w:szCs w:val="28"/>
          <w:lang w:val="zh-CN"/>
        </w:rPr>
      </w:pPr>
    </w:p>
    <w:p>
      <w:pPr>
        <w:pStyle w:val="12"/>
        <w:adjustRightInd w:val="0"/>
        <w:snapToGrid w:val="0"/>
        <w:spacing w:line="300" w:lineRule="auto"/>
        <w:rPr>
          <w:rFonts w:hint="eastAsia" w:ascii="仿宋_GB2312" w:hAnsi="仿宋_GB2312" w:eastAsia="仿宋_GB2312" w:cs="仿宋_GB2312"/>
          <w:b/>
          <w:color w:val="000000"/>
          <w:sz w:val="28"/>
          <w:szCs w:val="28"/>
          <w:lang w:val="zh-CN"/>
        </w:rPr>
      </w:pPr>
    </w:p>
    <w:p>
      <w:pPr>
        <w:pStyle w:val="12"/>
        <w:adjustRightInd w:val="0"/>
        <w:snapToGrid w:val="0"/>
        <w:spacing w:line="300" w:lineRule="auto"/>
        <w:rPr>
          <w:rFonts w:hint="eastAsia" w:ascii="仿宋_GB2312" w:hAnsi="仿宋_GB2312" w:eastAsia="仿宋_GB2312" w:cs="仿宋_GB2312"/>
          <w:b/>
          <w:color w:val="000000"/>
          <w:sz w:val="28"/>
          <w:szCs w:val="28"/>
          <w:lang w:val="zh-CN"/>
        </w:rPr>
      </w:pPr>
    </w:p>
    <w:p>
      <w:pPr>
        <w:pStyle w:val="12"/>
        <w:adjustRightInd w:val="0"/>
        <w:snapToGrid w:val="0"/>
        <w:spacing w:line="300" w:lineRule="auto"/>
        <w:rPr>
          <w:rFonts w:hint="eastAsia" w:ascii="仿宋_GB2312" w:hAnsi="仿宋_GB2312" w:eastAsia="仿宋_GB2312" w:cs="仿宋_GB2312"/>
          <w:b/>
          <w:color w:val="000000"/>
          <w:sz w:val="28"/>
          <w:szCs w:val="28"/>
          <w:lang w:val="zh-CN"/>
        </w:rPr>
      </w:pPr>
    </w:p>
    <w:p>
      <w:pPr>
        <w:pStyle w:val="12"/>
        <w:adjustRightInd w:val="0"/>
        <w:snapToGrid w:val="0"/>
        <w:spacing w:line="300" w:lineRule="auto"/>
        <w:rPr>
          <w:rFonts w:hint="eastAsia" w:ascii="仿宋_GB2312" w:hAnsi="仿宋_GB2312" w:eastAsia="仿宋_GB2312" w:cs="仿宋_GB2312"/>
          <w:b/>
          <w:color w:val="000000"/>
          <w:sz w:val="28"/>
          <w:szCs w:val="28"/>
          <w:lang w:val="zh-CN"/>
        </w:rPr>
      </w:pPr>
    </w:p>
    <w:p>
      <w:pPr>
        <w:pStyle w:val="12"/>
        <w:adjustRightInd w:val="0"/>
        <w:snapToGrid w:val="0"/>
        <w:spacing w:line="300" w:lineRule="auto"/>
        <w:rPr>
          <w:rFonts w:hint="eastAsia" w:ascii="仿宋_GB2312" w:hAnsi="仿宋_GB2312" w:eastAsia="仿宋_GB2312" w:cs="仿宋_GB2312"/>
          <w:b/>
          <w:color w:val="000000"/>
          <w:sz w:val="28"/>
          <w:szCs w:val="28"/>
          <w:lang w:val="zh-CN"/>
        </w:rPr>
      </w:pPr>
    </w:p>
    <w:p>
      <w:pPr>
        <w:pStyle w:val="12"/>
        <w:adjustRightInd w:val="0"/>
        <w:snapToGrid w:val="0"/>
        <w:spacing w:line="300" w:lineRule="auto"/>
        <w:rPr>
          <w:rFonts w:hint="eastAsia" w:ascii="仿宋_GB2312" w:hAnsi="仿宋_GB2312" w:eastAsia="仿宋_GB2312" w:cs="仿宋_GB2312"/>
          <w:b/>
          <w:color w:val="000000"/>
          <w:sz w:val="28"/>
          <w:szCs w:val="28"/>
          <w:lang w:val="zh-CN"/>
        </w:rPr>
      </w:pPr>
    </w:p>
    <w:p>
      <w:pPr>
        <w:pStyle w:val="12"/>
        <w:adjustRightInd w:val="0"/>
        <w:snapToGrid w:val="0"/>
        <w:spacing w:line="300" w:lineRule="auto"/>
        <w:rPr>
          <w:rFonts w:hint="eastAsia" w:ascii="仿宋_GB2312" w:hAnsi="仿宋_GB2312" w:eastAsia="仿宋_GB2312" w:cs="仿宋_GB2312"/>
          <w:b/>
          <w:color w:val="000000"/>
          <w:sz w:val="28"/>
          <w:szCs w:val="28"/>
          <w:lang w:val="zh-CN"/>
        </w:rPr>
      </w:pPr>
    </w:p>
    <w:p>
      <w:pPr>
        <w:pStyle w:val="12"/>
        <w:adjustRightInd w:val="0"/>
        <w:snapToGrid w:val="0"/>
        <w:spacing w:line="300" w:lineRule="auto"/>
        <w:rPr>
          <w:rFonts w:hint="eastAsia" w:ascii="仿宋_GB2312" w:hAnsi="仿宋_GB2312" w:eastAsia="仿宋_GB2312" w:cs="仿宋_GB2312"/>
          <w:b/>
          <w:color w:val="000000"/>
          <w:sz w:val="28"/>
          <w:szCs w:val="28"/>
          <w:lang w:val="zh-CN"/>
        </w:rPr>
      </w:pPr>
    </w:p>
    <w:p>
      <w:pPr>
        <w:pStyle w:val="12"/>
        <w:adjustRightInd w:val="0"/>
        <w:snapToGrid w:val="0"/>
        <w:spacing w:line="300" w:lineRule="auto"/>
        <w:rPr>
          <w:rFonts w:hint="eastAsia" w:ascii="仿宋_GB2312" w:hAnsi="仿宋_GB2312" w:eastAsia="仿宋_GB2312" w:cs="仿宋_GB2312"/>
          <w:b/>
          <w:color w:val="000000"/>
          <w:sz w:val="28"/>
          <w:szCs w:val="28"/>
          <w:lang w:val="zh-CN"/>
        </w:rPr>
      </w:pPr>
    </w:p>
    <w:p>
      <w:pPr>
        <w:pStyle w:val="12"/>
        <w:adjustRightInd w:val="0"/>
        <w:snapToGrid w:val="0"/>
        <w:spacing w:line="300" w:lineRule="auto"/>
        <w:rPr>
          <w:rFonts w:hint="eastAsia" w:ascii="仿宋_GB2312" w:hAnsi="仿宋_GB2312" w:eastAsia="仿宋_GB2312" w:cs="仿宋_GB2312"/>
          <w:b/>
          <w:color w:val="000000"/>
          <w:sz w:val="28"/>
          <w:szCs w:val="28"/>
          <w:lang w:val="zh-CN"/>
        </w:rPr>
      </w:pPr>
    </w:p>
    <w:p>
      <w:pPr>
        <w:pStyle w:val="12"/>
        <w:adjustRightInd w:val="0"/>
        <w:snapToGrid w:val="0"/>
        <w:spacing w:line="300" w:lineRule="auto"/>
        <w:rPr>
          <w:rFonts w:hint="eastAsia" w:ascii="仿宋_GB2312" w:hAnsi="仿宋_GB2312" w:eastAsia="仿宋_GB2312" w:cs="仿宋_GB2312"/>
          <w:b/>
          <w:color w:val="000000"/>
          <w:sz w:val="28"/>
          <w:szCs w:val="28"/>
          <w:lang w:val="zh-CN"/>
        </w:rPr>
      </w:pPr>
    </w:p>
    <w:p>
      <w:pPr>
        <w:pStyle w:val="12"/>
        <w:adjustRightInd w:val="0"/>
        <w:snapToGrid w:val="0"/>
        <w:spacing w:line="300" w:lineRule="auto"/>
        <w:rPr>
          <w:rFonts w:hint="eastAsia" w:ascii="仿宋_GB2312" w:hAnsi="仿宋_GB2312" w:eastAsia="仿宋_GB2312" w:cs="仿宋_GB2312"/>
          <w:b/>
          <w:color w:val="000000"/>
          <w:sz w:val="28"/>
          <w:szCs w:val="28"/>
          <w:lang w:val="zh-CN"/>
        </w:rPr>
      </w:pPr>
    </w:p>
    <w:p>
      <w:pPr>
        <w:pStyle w:val="12"/>
        <w:adjustRightInd w:val="0"/>
        <w:snapToGrid w:val="0"/>
        <w:spacing w:line="300" w:lineRule="auto"/>
        <w:rPr>
          <w:rFonts w:hint="eastAsia" w:ascii="仿宋_GB2312" w:hAnsi="仿宋_GB2312" w:eastAsia="仿宋_GB2312" w:cs="仿宋_GB2312"/>
          <w:b/>
          <w:color w:val="000000"/>
          <w:sz w:val="28"/>
          <w:szCs w:val="28"/>
          <w:lang w:val="zh-CN"/>
        </w:rPr>
      </w:pPr>
    </w:p>
    <w:p>
      <w:pPr>
        <w:pStyle w:val="13"/>
        <w:spacing w:line="600" w:lineRule="exact"/>
        <w:ind w:firstLine="562" w:firstLineChars="200"/>
        <w:rPr>
          <w:rFonts w:hint="eastAsia" w:ascii="仿宋" w:hAnsi="仿宋" w:eastAsia="仿宋" w:cs="仿宋"/>
          <w:b/>
          <w:bCs/>
          <w:sz w:val="28"/>
          <w:szCs w:val="28"/>
          <w:highlight w:val="none"/>
        </w:rPr>
      </w:pPr>
    </w:p>
    <w:p>
      <w:pPr>
        <w:pStyle w:val="13"/>
        <w:spacing w:line="600" w:lineRule="exact"/>
        <w:ind w:firstLine="562" w:firstLineChars="200"/>
        <w:rPr>
          <w:rFonts w:hint="eastAsia" w:ascii="仿宋" w:hAnsi="仿宋" w:eastAsia="仿宋" w:cs="仿宋"/>
          <w:b/>
          <w:bCs/>
          <w:sz w:val="28"/>
          <w:szCs w:val="28"/>
          <w:highlight w:val="none"/>
        </w:rPr>
      </w:pPr>
    </w:p>
    <w:p>
      <w:pPr>
        <w:pStyle w:val="13"/>
        <w:spacing w:line="600" w:lineRule="exact"/>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一、项目概况</w:t>
      </w:r>
    </w:p>
    <w:p>
      <w:pPr>
        <w:pStyle w:val="13"/>
        <w:adjustRightInd w:val="0"/>
        <w:snapToGrid w:val="0"/>
        <w:spacing w:line="600" w:lineRule="exact"/>
        <w:ind w:firstLine="560" w:firstLineChars="200"/>
        <w:rPr>
          <w:rFonts w:hint="eastAsia" w:ascii="仿宋" w:hAnsi="仿宋" w:eastAsia="仿宋" w:cs="仿宋"/>
          <w:b w:val="0"/>
          <w:color w:val="auto"/>
          <w:sz w:val="28"/>
          <w:szCs w:val="28"/>
          <w:highlight w:val="none"/>
          <w:lang w:val="zh-CN"/>
        </w:rPr>
      </w:pPr>
      <w:r>
        <w:rPr>
          <w:rFonts w:hint="eastAsia" w:ascii="仿宋" w:hAnsi="仿宋" w:eastAsia="仿宋" w:cs="仿宋"/>
          <w:color w:val="auto"/>
          <w:sz w:val="28"/>
          <w:szCs w:val="28"/>
          <w:highlight w:val="none"/>
          <w:lang w:val="zh-CN"/>
        </w:rPr>
        <w:t>根据广州从化净水有限公司所辖各厂检测需求</w:t>
      </w:r>
      <w:r>
        <w:rPr>
          <w:rFonts w:hint="eastAsia" w:ascii="仿宋" w:hAnsi="仿宋" w:eastAsia="仿宋" w:cs="仿宋"/>
          <w:color w:val="auto"/>
          <w:sz w:val="28"/>
          <w:szCs w:val="28"/>
          <w:highlight w:val="none"/>
          <w:lang w:val="zh-CN" w:eastAsia="zh-CN"/>
        </w:rPr>
        <w:t>及</w:t>
      </w:r>
      <w:r>
        <w:rPr>
          <w:rFonts w:hint="eastAsia" w:ascii="仿宋" w:hAnsi="仿宋" w:eastAsia="仿宋" w:cs="仿宋"/>
          <w:color w:val="auto"/>
          <w:sz w:val="28"/>
          <w:szCs w:val="28"/>
          <w:highlight w:val="none"/>
          <w:lang w:val="zh-CN"/>
        </w:rPr>
        <w:t>排污许可证要求，需委托有资质的第三方检测单位实施广州从化净水有限公司所辖各厂</w:t>
      </w:r>
      <w:r>
        <w:rPr>
          <w:rFonts w:hint="eastAsia" w:ascii="仿宋" w:hAnsi="仿宋" w:eastAsia="仿宋" w:cs="仿宋"/>
          <w:color w:val="auto"/>
          <w:sz w:val="28"/>
          <w:szCs w:val="28"/>
          <w:highlight w:val="none"/>
          <w:lang w:val="zh-CN" w:eastAsia="zh-CN"/>
        </w:rPr>
        <w:t>废水、废气、噪声</w:t>
      </w:r>
      <w:r>
        <w:rPr>
          <w:rFonts w:hint="eastAsia" w:ascii="仿宋" w:hAnsi="仿宋" w:eastAsia="仿宋" w:cs="仿宋"/>
          <w:color w:val="auto"/>
          <w:sz w:val="28"/>
          <w:szCs w:val="28"/>
          <w:highlight w:val="none"/>
          <w:lang w:val="zh-CN"/>
        </w:rPr>
        <w:t>的检测服务工作，并出具检测报告。</w:t>
      </w:r>
    </w:p>
    <w:p>
      <w:pPr>
        <w:pStyle w:val="12"/>
        <w:numPr>
          <w:ilvl w:val="0"/>
          <w:numId w:val="4"/>
        </w:numPr>
        <w:snapToGrid w:val="0"/>
        <w:spacing w:line="300" w:lineRule="auto"/>
        <w:ind w:firstLine="562" w:firstLineChars="200"/>
        <w:rPr>
          <w:rFonts w:hint="eastAsia" w:ascii="仿宋" w:hAnsi="仿宋" w:eastAsia="仿宋" w:cs="仿宋"/>
          <w:b/>
          <w:sz w:val="28"/>
          <w:szCs w:val="28"/>
          <w:highlight w:val="none"/>
          <w:lang w:val="zh-CN"/>
        </w:rPr>
      </w:pPr>
      <w:r>
        <w:rPr>
          <w:rFonts w:hint="eastAsia" w:ascii="仿宋" w:hAnsi="仿宋" w:eastAsia="仿宋" w:cs="仿宋"/>
          <w:b/>
          <w:sz w:val="28"/>
          <w:szCs w:val="28"/>
          <w:highlight w:val="none"/>
          <w:lang w:val="zh-CN"/>
        </w:rPr>
        <w:t>项目技术要求</w:t>
      </w:r>
    </w:p>
    <w:p>
      <w:pPr>
        <w:pStyle w:val="13"/>
        <w:snapToGrid w:val="0"/>
        <w:spacing w:line="600" w:lineRule="exact"/>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完成广州从化净水有限公司所辖各厂废水、废气、噪声的样</w:t>
      </w:r>
      <w:r>
        <w:rPr>
          <w:rFonts w:hint="eastAsia" w:ascii="仿宋" w:hAnsi="仿宋" w:eastAsia="仿宋" w:cs="仿宋"/>
          <w:color w:val="auto"/>
          <w:sz w:val="28"/>
          <w:szCs w:val="28"/>
          <w:highlight w:val="none"/>
          <w:lang w:val="zh-CN" w:eastAsia="zh-CN"/>
        </w:rPr>
        <w:t>品</w:t>
      </w:r>
      <w:r>
        <w:rPr>
          <w:rFonts w:hint="eastAsia" w:ascii="仿宋" w:hAnsi="仿宋" w:eastAsia="仿宋" w:cs="仿宋"/>
          <w:color w:val="auto"/>
          <w:sz w:val="28"/>
          <w:szCs w:val="28"/>
          <w:highlight w:val="none"/>
          <w:lang w:val="zh-CN"/>
        </w:rPr>
        <w:t xml:space="preserve">登记、检测等工作，每次完成现场采样或送样之日起10个工作日内向甲方提供水质监测报告汇总表及监测报告的纸质版与电子版（含PDF及EXCEL），报告内添加参考限值一列，纸质版检测报告加盖CMA章，一式叁份。   </w:t>
      </w:r>
    </w:p>
    <w:p>
      <w:pPr>
        <w:pStyle w:val="13"/>
        <w:spacing w:line="600" w:lineRule="exact"/>
        <w:ind w:firstLine="560" w:firstLineChars="200"/>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val="zh-CN" w:eastAsia="zh-CN"/>
        </w:rPr>
        <w:t>.</w:t>
      </w:r>
      <w:r>
        <w:rPr>
          <w:rFonts w:hint="eastAsia" w:ascii="仿宋" w:hAnsi="仿宋" w:eastAsia="仿宋" w:cs="仿宋"/>
          <w:color w:val="auto"/>
          <w:sz w:val="28"/>
          <w:szCs w:val="28"/>
          <w:highlight w:val="none"/>
          <w:lang w:val="en-US"/>
        </w:rPr>
        <w:t>检测机构资质、</w:t>
      </w:r>
      <w:r>
        <w:rPr>
          <w:rFonts w:hint="eastAsia" w:ascii="仿宋" w:hAnsi="仿宋" w:eastAsia="仿宋" w:cs="仿宋"/>
          <w:color w:val="auto"/>
          <w:sz w:val="28"/>
          <w:szCs w:val="28"/>
          <w:highlight w:val="none"/>
          <w:lang w:val="zh-CN" w:eastAsia="zh-CN"/>
        </w:rPr>
        <w:t>样品接收及</w:t>
      </w:r>
      <w:r>
        <w:rPr>
          <w:rFonts w:hint="eastAsia" w:ascii="仿宋" w:hAnsi="仿宋" w:eastAsia="仿宋" w:cs="仿宋"/>
          <w:color w:val="auto"/>
          <w:sz w:val="28"/>
          <w:szCs w:val="28"/>
          <w:highlight w:val="none"/>
          <w:lang w:val="en-US"/>
        </w:rPr>
        <w:t>报告要求</w:t>
      </w:r>
    </w:p>
    <w:p>
      <w:pPr>
        <w:pStyle w:val="13"/>
        <w:spacing w:line="600" w:lineRule="exact"/>
        <w:ind w:left="420" w:right="-370" w:rightChars="-176"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供应商具备质量技术监督管理部门颁发的计量认证资质（CMA），所认证的检测能力至少涵盖本项目中所要求覆盖的所有检测项目，且在有效期内。</w:t>
      </w:r>
    </w:p>
    <w:p>
      <w:pPr>
        <w:adjustRightInd w:val="0"/>
        <w:snapToGrid w:val="0"/>
        <w:spacing w:line="600" w:lineRule="exact"/>
        <w:ind w:left="559" w:leftChars="266" w:right="-370" w:rightChars="-176" w:firstLine="140" w:firstLineChars="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．认证范围须覆盖：</w:t>
      </w:r>
    </w:p>
    <w:p>
      <w:pPr>
        <w:adjustRightInd w:val="0"/>
        <w:snapToGrid w:val="0"/>
        <w:spacing w:line="600" w:lineRule="exact"/>
        <w:ind w:left="420" w:right="-370" w:rightChars="-176" w:hanging="420" w:hanging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水质：</w:t>
      </w:r>
    </w:p>
    <w:p>
      <w:pPr>
        <w:adjustRightInd w:val="0"/>
        <w:snapToGrid w:val="0"/>
        <w:spacing w:line="600" w:lineRule="exact"/>
        <w:ind w:left="419" w:leftChars="133" w:right="-370" w:rightChars="-176" w:hanging="140" w:hangingChars="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化学需氧量、氨氮、悬浮物、总磷、总氮、pH值、五日生化需氧量、总汞、总镉、总铬、六价铬、总砷、总铅、动植物油、石油类、阴离子表面活性剂、色度、烷基汞、硫化物、总余氯、粪大肠菌群</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氯乙烯、1,1-二氯乙烯、二氯甲烷、反式-1,2-二氯乙烯、1,1-二氯乙烷、氯丁二烯、顺式-1,2-二氯乙烯、2,2-二氯丙烷、溴氯甲烷、氯仿、二溴氟甲烷（替代物）、1,1,1-三氯乙烷、1,1-二氯丙烯、四氯化碳、苯、1,2-二氯乙烷、氟苯（内标）、三氯乙烯、1,2-二氯丙烷、二溴甲烷、一溴二氯甲烷、环氧氯丙烷、顺式-1,3-二氯丙烯、甲苯-d8（替代物）、甲苯、反式-1,3-二氯丙烯、1,1,2-三氯乙烷、四氯乙烯、1,3-二氯丙烷、二溴氯甲烷、1,2-二溴乙烷、氯苯、1,1,1,2-四氯乙烷、乙苯、间/对-二甲苯、邻-二甲苯、苯乙烯、溴仿、异丙苯、4-溴氟苯（替代物）、溴苯、1,1,2,2-四氯乙烷、1,2,3-三氯丙烷、正丙苯、2-氯甲苯、4-氯甲苯、1,3,5-三甲基苯、叔丁基苯、1,2,4-三甲基苯、仲丁基苯、1,3-二氯苯、4-异丙基甲苯、1,4-二氯苯、1,4-二氯苯-d4（内标）、1,2-二氯苯、正丁基苯、1,2-二溴-3-氯丙烷、1,2,4-三氯苯、六氯丁二烯、萘、1,2,3-三氯苯（62项</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挥发酚</w:t>
      </w:r>
      <w:r>
        <w:rPr>
          <w:rFonts w:hint="eastAsia" w:ascii="仿宋" w:hAnsi="仿宋" w:eastAsia="仿宋" w:cs="仿宋"/>
          <w:color w:val="auto"/>
          <w:sz w:val="28"/>
          <w:szCs w:val="28"/>
          <w:highlight w:val="none"/>
          <w:lang w:eastAsia="zh-CN"/>
        </w:rPr>
        <w:t>、氰化物、</w:t>
      </w:r>
      <w:r>
        <w:rPr>
          <w:rFonts w:hint="eastAsia" w:ascii="仿宋" w:hAnsi="仿宋" w:eastAsia="仿宋" w:cs="仿宋"/>
          <w:color w:val="auto"/>
          <w:sz w:val="28"/>
          <w:szCs w:val="28"/>
          <w:highlight w:val="none"/>
        </w:rPr>
        <w:t>阿特拉津、氯丹、p,p'-滴滴滴、p,p'-滴滴伊、滴滴涕、敌敌畏、乐果、硫丹、七氯、α-六六六、β-六六六、γ-六六六、六氯苯</w:t>
      </w:r>
    </w:p>
    <w:p>
      <w:pPr>
        <w:adjustRightInd w:val="0"/>
        <w:snapToGrid w:val="0"/>
        <w:spacing w:line="600" w:lineRule="exact"/>
        <w:ind w:left="420" w:right="-370" w:rightChars="-176" w:hanging="420" w:hanging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废气</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氨、硫化氢、臭气浓度、甲烷</w:t>
      </w:r>
    </w:p>
    <w:p>
      <w:pPr>
        <w:adjustRightInd w:val="0"/>
        <w:snapToGrid w:val="0"/>
        <w:spacing w:line="600" w:lineRule="exact"/>
        <w:ind w:left="420" w:right="-370" w:rightChars="-176" w:hanging="420" w:hangingChars="150"/>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噪声</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厂界噪声</w:t>
      </w:r>
    </w:p>
    <w:p>
      <w:pPr>
        <w:pStyle w:val="13"/>
        <w:spacing w:line="60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color w:val="auto"/>
          <w:sz w:val="28"/>
          <w:szCs w:val="28"/>
          <w:highlight w:val="none"/>
          <w:lang w:val="zh-CN"/>
        </w:rPr>
        <w:t>（注：提供CMA复印件并标注本项目中所要求的检测项目，不标注则视为不响应。）</w:t>
      </w:r>
    </w:p>
    <w:p>
      <w:pPr>
        <w:pStyle w:val="14"/>
        <w:ind w:firstLine="560" w:firstLineChars="20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lang w:val="zh-CN"/>
        </w:rPr>
        <w:t>.检测项目、标准和频次详见下表</w:t>
      </w:r>
    </w:p>
    <w:p>
      <w:pPr>
        <w:rPr>
          <w:rFonts w:hint="eastAsia"/>
          <w:lang w:val="zh-CN"/>
        </w:rPr>
      </w:pPr>
    </w:p>
    <w:p>
      <w:pPr>
        <w:pStyle w:val="2"/>
        <w:ind w:firstLine="560" w:firstLineChars="200"/>
        <w:rPr>
          <w:rFonts w:hint="eastAsia" w:ascii="仿宋" w:hAnsi="仿宋" w:eastAsia="仿宋" w:cs="仿宋"/>
          <w:color w:val="auto"/>
          <w:kern w:val="2"/>
          <w:sz w:val="28"/>
          <w:szCs w:val="28"/>
          <w:highlight w:val="none"/>
          <w:lang w:val="zh-CN" w:eastAsia="zh-CN" w:bidi="ar-SA"/>
        </w:rPr>
        <w:sectPr>
          <w:pgSz w:w="11906" w:h="16838"/>
          <w:pgMar w:top="1089" w:right="1466" w:bottom="1089" w:left="1077" w:header="851" w:footer="992" w:gutter="0"/>
          <w:cols w:space="720" w:num="1"/>
          <w:docGrid w:type="lines" w:linePitch="312" w:charSpace="0"/>
        </w:sectPr>
      </w:pPr>
      <w:r>
        <w:rPr>
          <w:rFonts w:hint="eastAsia" w:ascii="仿宋" w:hAnsi="仿宋" w:eastAsia="仿宋" w:cs="仿宋"/>
          <w:color w:val="auto"/>
          <w:kern w:val="2"/>
          <w:sz w:val="28"/>
          <w:szCs w:val="28"/>
          <w:highlight w:val="none"/>
          <w:lang w:val="en-US" w:eastAsia="zh-CN" w:bidi="ar-SA"/>
        </w:rPr>
        <w:t>4.</w:t>
      </w:r>
      <w:r>
        <w:rPr>
          <w:rFonts w:hint="eastAsia" w:ascii="仿宋" w:hAnsi="仿宋" w:eastAsia="仿宋" w:cs="仿宋"/>
          <w:color w:val="auto"/>
          <w:kern w:val="2"/>
          <w:sz w:val="28"/>
          <w:szCs w:val="28"/>
          <w:highlight w:val="none"/>
          <w:lang w:val="zh-CN" w:eastAsia="zh-CN" w:bidi="ar-SA"/>
        </w:rPr>
        <w:t>供应商收到通知（可以手机信息通知、电话通知、书面通知）需要对废水、废气、噪声进行检测时，在收到通知后3小时内车辆到达厂区。除不可抗力和双方约定的事项外。</w:t>
      </w:r>
    </w:p>
    <w:tbl>
      <w:tblPr>
        <w:tblStyle w:val="23"/>
        <w:tblpPr w:leftFromText="180" w:rightFromText="180" w:vertAnchor="text" w:horzAnchor="page" w:tblpX="1311" w:tblpY="63"/>
        <w:tblOverlap w:val="never"/>
        <w:tblW w:w="144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6"/>
        <w:gridCol w:w="629"/>
        <w:gridCol w:w="1298"/>
        <w:gridCol w:w="4386"/>
        <w:gridCol w:w="2295"/>
        <w:gridCol w:w="840"/>
        <w:gridCol w:w="1245"/>
        <w:gridCol w:w="1335"/>
        <w:gridCol w:w="14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类别</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类型</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检测项目</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净水厂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a.点位数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b.取样检测频率</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c.计划取样检测次数</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d.计划取样检测量</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(=a*c)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0" w:hRule="atLeast"/>
          <w:jc w:val="center"/>
        </w:trPr>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废水</w:t>
            </w:r>
          </w:p>
        </w:tc>
        <w:tc>
          <w:tcPr>
            <w:tcW w:w="1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进水（每月）</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化学需氧量、氨氮、悬浮物、总磷、总氮、pH值、五日生化需氧量、总汞、总镉、总铬、六价铬、总砷、总铅、动植物油、石油类、阴离子表面活性剂、色度、烷基汞、硫化物、总余氯、粪大肠菌群（21项）</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水质净化厂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每月1次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化学需氧量、氨氮、悬浮物、总磷、总氮、pH值、五日生化需氧量、总汞、总镉、总铬、六价铬、总砷、总铅、动植物油、石油类、阴离子表面活性剂、色度、烷基汞、粪大肠菌群数、硫化物（20项）</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明珠污水处理厂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每月1次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中心城区污水处理厂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每月1次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太平镇污水处理厂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每月1次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温泉镇污水处理厂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每月1次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良口镇污水处理厂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每月1次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鳌头镇污水处理厂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每月1次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吕田镇污水处理厂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每月1次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0"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出水（每月）</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化学需氧量、氨氮、悬浮物、总磷、总氮、pH值、五日生化需氧量、总汞、总镉、总铬、六价铬、总砷、总铅、动植物油、石油类、阴离子表面活性剂、色度、烷基汞、硫化物、总余氯、粪大肠菌群（21项）</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水质净化厂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每月1次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化学需氧量、氨氮、悬浮物、总磷、总氮、pH值、五日生化需氧量、总汞、总镉、总铬、六价铬、总砷、总铅、动植物油、石油类、阴离子表面活性剂、色度、烷基汞、硫化物、粪大肠菌群数（20项）</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明珠污水处理厂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每月1次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中心城区污水处理厂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每月1次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太平镇污水处理厂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每月1次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温泉镇污水处理厂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每月1次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良口镇污水处理厂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每月1次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鳌头镇污水处理厂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每月1次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吕田镇污水处理厂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每月1次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废气</w:t>
            </w:r>
          </w:p>
        </w:tc>
        <w:tc>
          <w:tcPr>
            <w:tcW w:w="1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无组织废气</w:t>
            </w:r>
          </w:p>
        </w:tc>
        <w:tc>
          <w:tcPr>
            <w:tcW w:w="43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氨、硫化氢、臭气浓度、甲烷（4项）</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水质净化厂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每季度1次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明珠污水处理厂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每半年1次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中心城区污水处理厂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每半年1次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太平镇污水处理厂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每半年1次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温泉镇污水处理厂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每半年1次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良口镇污水处理厂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每半年1次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鳌头镇污水处理厂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每半年1次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吕田镇污水处理厂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每半年1次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有组织废气</w:t>
            </w:r>
          </w:p>
        </w:tc>
        <w:tc>
          <w:tcPr>
            <w:tcW w:w="43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氨、硫化氢、臭气浓度、甲烷（4项）</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水质净化厂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每季度1次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明珠污水处理厂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每半年1次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中心城区污水处理厂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每半年1次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太平镇污水处理厂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每半年1次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温泉镇污水处理厂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每半年1次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良口镇污水处理厂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每半年1次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鳌头镇污水处理厂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每半年1次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吕田镇污水处理厂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每半年1次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jc w:val="center"/>
        </w:trPr>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噪声</w:t>
            </w:r>
          </w:p>
        </w:tc>
        <w:tc>
          <w:tcPr>
            <w:tcW w:w="1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厂界噪声</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昼间、夜间（2项）</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水质净化厂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每季度1次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昼间（1项）</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明珠污水处理厂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每半年1次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昼间（1项）</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中心城区污水处理厂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每半年1次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昼间（1项）</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太平镇污水处理厂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每半年1次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昼间（1项）</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温泉镇污水处理厂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每半年1次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昼间（1项）</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良口镇污水处理厂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每半年1次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昼间（1项）</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鳌头镇污水处理厂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每半年1次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昼间（1项）</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吕田镇污水处理厂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每半年1次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油烟废气</w:t>
            </w:r>
          </w:p>
        </w:tc>
        <w:tc>
          <w:tcPr>
            <w:tcW w:w="1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饮食业油烟</w:t>
            </w:r>
          </w:p>
        </w:tc>
        <w:tc>
          <w:tcPr>
            <w:tcW w:w="43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饮食业油烟（1项）</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中心城区污水处理厂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每年1次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温泉镇污水处理厂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每年1次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良口镇污水处理厂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每年1次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鳌头镇污水处理厂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每年1次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废水</w:t>
            </w:r>
          </w:p>
        </w:tc>
        <w:tc>
          <w:tcPr>
            <w:tcW w:w="1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水样</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有机物未知物分析：氯乙烯、1,1-二氯乙烯、二氯甲烷、反式-1,2-二氯乙烯、1,1-二氯乙烷、氯丁二烯、顺式-1,2-二氯乙烯、2,2-二氯丙烷、溴氯甲烷、氯仿、二溴氟甲烷（替代物）、1,1,1-三氯乙烷、1,1-二氯丙烯、四氯化碳、苯、1,2-二氯乙烷、氟苯（内标）、三氯乙烯、1,2-二氯 </w:t>
            </w:r>
          </w:p>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丙烷、二溴甲烷、一溴二氯甲烷、环氧氯丙烷、顺式-1,3-二氯丙烯、甲苯-d8（替代物）、甲苯、反式-1,3-二氯丙烯、1,1,2-三氯乙烷、四氯乙烯、1,3-二氯丙烷、二溴氯甲烷、1,2-二溴乙烷、氯苯、1,1,1,2-四氯乙烷、乙苯、间/对-二甲苯、邻-二甲苯、苯乙烯、溴仿、异丙苯、4-溴氟苯（替代物）、溴苯、1,1,2,2-四氯乙烷、1,2,3-三氯丙烷、正丙苯、2-氯甲苯、4-氯甲苯、1,3,5-三甲基苯、叔丁基苯、1,2,4-三甲基苯、仲丁基苯、1,3-二氯苯、4-异丙基甲苯、1,4-二氯苯、1,4-二氯苯-d4（内标）、1,2-二氯苯、正丁基苯、1,2-二溴-3-氯丙烷、1,2,4-三氯苯、六氯丁二烯、萘、1,2,3-三氯苯（62项）</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水质净化厂           明珠污水处理厂          中心城区污水处理厂  太平镇污水处理厂    温泉镇污水处理厂    良口镇污水处理厂    鳌头镇污水处理厂    吕田镇污水处理厂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每年6次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6"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挥发酚（1项）</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水质净化厂           明珠污水处理厂          中心城区污水处理厂  太平镇污水处理厂    温泉镇污水处理厂    良口镇污水处理厂    鳌头镇污水处理厂    吕田镇污水处理厂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每年6次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1"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化学需氧量（1项）</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水质净化厂           明珠污水处理厂          中心城区污水处理厂  太平镇污水处理厂    温泉镇污水处理厂    良口镇污水处理厂    鳌头镇污水处理厂    吕田镇污水处理厂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每年6次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6"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五日生化需氧量（1项）</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水质净化厂           明珠污水处理厂          中心城区污水处理厂  太平镇污水处理厂    温泉镇污水处理厂    良口镇污水处理厂    鳌头镇污水处理厂    吕田镇污水处理厂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每年6次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6"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氨氮（1项）</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水质净化厂           明珠污水处理厂          中心城区污水处理厂  太平镇污水处理厂    温泉镇污水处理厂    良口镇污水处理厂    鳌头镇污水处理厂    吕田镇污水处理厂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每年6次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1"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总磷（1项）</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水质净化厂           明珠污水处理厂          中心城区污水处理厂  太平镇污水处理厂    温泉镇污水处理厂    良口镇污水处理厂    鳌头镇污水处理厂    吕田镇污水处理厂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每年6次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1"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总氮（1项）</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水质净化厂           明珠污水处理厂          中心城区污水处理厂  太平镇污水处理厂    温泉镇污水处理厂    良口镇污水处理厂    鳌头镇污水处理厂    吕田镇污水处理厂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每年6次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6"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pH值（1项）</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水质净化厂           明珠污水处理厂          中心城区污水处理厂  太平镇污水处理厂    温泉镇污水处理厂    良口镇污水处理厂    鳌头镇污水处理厂    吕田镇污水处理厂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每年6次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1"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氰化物（1项）</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水质净化厂           明珠污水处理厂          中心城区污水处理厂  太平镇污水处理厂    温泉镇污水处理厂    良口镇污水处理厂    鳌头镇污水处理厂    吕田镇污水处理厂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每年6次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6"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重金属离子：总铬、六价铬、总镍、总镉、总银、总铅、总汞、总铜、总锌、总铁、总铝（11项）</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水质净化厂           明珠污水处理厂          中心城区污水处理厂  太平镇污水处理厂    温泉镇污水处理厂    良口镇污水处理厂    鳌头镇污水处理厂    吕田镇污水处理厂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每年6次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1"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有机农药类：阿特拉津、氯丹、p,p'-滴滴滴、p,p'-滴滴伊、滴滴涕、敌敌畏、乐果、硫丹、七氯、α-六六六、β-六六六、γ-六六六、六氯苯 （13项）  </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水质净化厂           明珠污水处理厂          中心城区污水处理厂  太平镇污水处理厂    温泉镇污水处理厂    良口镇污水处理厂    鳌头镇污水处理厂    吕田镇污水处理厂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每年6次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6" w:hRule="atLeast"/>
          <w:jc w:val="center"/>
        </w:trPr>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废气</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无组织废气</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氨、硫化氢、臭气浓度、甲烷（4项）</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水质净化厂           明珠污水处理厂          中心城区污水处理厂  太平镇污水处理厂    温泉镇污水处理厂    良口镇污水处理厂    鳌头镇污水处理厂    吕田镇污水处理厂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每季度1次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6" w:hRule="atLeast"/>
          <w:jc w:val="center"/>
        </w:trPr>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噪声</w:t>
            </w:r>
          </w:p>
        </w:tc>
        <w:tc>
          <w:tcPr>
            <w:tcW w:w="1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厂界噪声</w:t>
            </w: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夜间（1项）</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水质净化厂           明珠污水处理厂          中心城区污水处理厂  太平镇污水处理厂    温泉镇污水处理厂    良口镇污水处理厂    鳌头镇污水处理厂    吕田镇污水处理厂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每季度1次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1"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昼间（1项）</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水质净化厂           明珠污水处理厂          中心城区污水处理厂  太平镇污水处理厂    温泉镇污水处理厂    良口镇污水处理厂    鳌头镇污水处理厂    吕田镇污水处理厂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每季度1次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32</w:t>
            </w:r>
          </w:p>
        </w:tc>
      </w:tr>
    </w:tbl>
    <w:p>
      <w:pPr>
        <w:rPr>
          <w:lang w:val="zh-CN"/>
        </w:rPr>
      </w:pPr>
    </w:p>
    <w:p>
      <w:pPr>
        <w:pStyle w:val="22"/>
        <w:ind w:left="0" w:leftChars="0" w:firstLine="0" w:firstLineChars="0"/>
        <w:rPr>
          <w:rFonts w:hint="eastAsia" w:ascii="宋体" w:hAnsi="宋体" w:eastAsia="宋体" w:cs="宋体"/>
          <w:i w:val="0"/>
          <w:iCs w:val="0"/>
          <w:color w:val="000000"/>
          <w:kern w:val="0"/>
          <w:sz w:val="20"/>
          <w:szCs w:val="20"/>
          <w:u w:val="none"/>
          <w:lang w:val="en-US" w:eastAsia="zh-CN" w:bidi="ar"/>
        </w:rPr>
        <w:sectPr>
          <w:pgSz w:w="16838" w:h="11906" w:orient="landscape"/>
          <w:pgMar w:top="1077" w:right="1089" w:bottom="1466" w:left="1089" w:header="851" w:footer="992" w:gutter="0"/>
          <w:cols w:space="720" w:num="1"/>
          <w:docGrid w:type="lines" w:linePitch="312" w:charSpace="0"/>
        </w:sectPr>
      </w:pPr>
      <w:r>
        <w:rPr>
          <w:rFonts w:hint="eastAsia" w:ascii="宋体" w:hAnsi="宋体" w:eastAsia="宋体" w:cs="宋体"/>
          <w:i w:val="0"/>
          <w:iCs w:val="0"/>
          <w:color w:val="000000"/>
          <w:kern w:val="0"/>
          <w:sz w:val="20"/>
          <w:szCs w:val="20"/>
          <w:u w:val="none"/>
          <w:lang w:val="en-US" w:eastAsia="zh-CN" w:bidi="ar"/>
        </w:rPr>
        <w:t>备注：无组织废气：上风向1个点，下风向3个点，各采集4次氨，测4项指标（氨、硫化氢、甲烷、臭气浓度）；有组织废气1个点，各采集4次，测4项指标（氨、硫化氢、甲烷、臭气浓度）</w:t>
      </w:r>
    </w:p>
    <w:p>
      <w:pPr>
        <w:pStyle w:val="22"/>
        <w:ind w:left="0" w:leftChars="0" w:firstLine="280" w:firstLineChars="1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三、项目商务要求</w:t>
      </w:r>
    </w:p>
    <w:p>
      <w:pPr>
        <w:pStyle w:val="2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1、服务期：自双方签订合同后为期</w:t>
      </w:r>
      <w:r>
        <w:rPr>
          <w:rFonts w:hint="eastAsia" w:ascii="仿宋" w:hAnsi="仿宋" w:eastAsia="仿宋" w:cs="仿宋"/>
          <w:color w:val="auto"/>
          <w:sz w:val="28"/>
          <w:szCs w:val="28"/>
          <w:highlight w:val="none"/>
          <w:u w:val="single"/>
          <w:lang w:val="en-US" w:eastAsia="zh-CN"/>
        </w:rPr>
        <w:t>壹</w:t>
      </w:r>
      <w:r>
        <w:rPr>
          <w:rFonts w:hint="eastAsia" w:ascii="仿宋" w:hAnsi="仿宋" w:eastAsia="仿宋" w:cs="仿宋"/>
          <w:color w:val="auto"/>
          <w:sz w:val="28"/>
          <w:szCs w:val="28"/>
          <w:highlight w:val="none"/>
        </w:rPr>
        <w:t>年。</w:t>
      </w:r>
    </w:p>
    <w:p>
      <w:pPr>
        <w:pStyle w:val="2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2、服务要求：报价人根据</w:t>
      </w:r>
      <w:r>
        <w:rPr>
          <w:rFonts w:hint="eastAsia" w:ascii="仿宋" w:hAnsi="仿宋" w:eastAsia="仿宋" w:cs="仿宋"/>
          <w:color w:val="auto"/>
          <w:sz w:val="28"/>
          <w:szCs w:val="28"/>
          <w:highlight w:val="none"/>
          <w:lang w:val="en-US" w:eastAsia="zh-CN"/>
        </w:rPr>
        <w:t>采购人</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lang w:val="en-US" w:eastAsia="zh-CN"/>
        </w:rPr>
        <w:t>检测需求</w:t>
      </w:r>
      <w:r>
        <w:rPr>
          <w:rFonts w:hint="eastAsia" w:ascii="仿宋" w:hAnsi="仿宋" w:eastAsia="仿宋" w:cs="仿宋"/>
          <w:color w:val="auto"/>
          <w:sz w:val="28"/>
          <w:szCs w:val="28"/>
          <w:highlight w:val="none"/>
        </w:rPr>
        <w:t>在合同协定的服务标准和时间内对</w:t>
      </w:r>
      <w:r>
        <w:rPr>
          <w:rFonts w:hint="eastAsia" w:ascii="仿宋" w:hAnsi="仿宋" w:eastAsia="仿宋" w:cs="仿宋"/>
          <w:color w:val="auto"/>
          <w:sz w:val="28"/>
          <w:szCs w:val="28"/>
          <w:highlight w:val="none"/>
          <w:lang w:val="en-US" w:eastAsia="zh-CN"/>
        </w:rPr>
        <w:t>采购人</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lang w:val="en-US" w:eastAsia="zh-CN"/>
        </w:rPr>
        <w:t>检测需求</w:t>
      </w:r>
      <w:r>
        <w:rPr>
          <w:rFonts w:hint="eastAsia" w:ascii="仿宋" w:hAnsi="仿宋" w:eastAsia="仿宋" w:cs="仿宋"/>
          <w:color w:val="auto"/>
          <w:sz w:val="28"/>
          <w:szCs w:val="28"/>
          <w:highlight w:val="none"/>
        </w:rPr>
        <w:t>进行合法合规</w:t>
      </w:r>
      <w:r>
        <w:rPr>
          <w:rFonts w:hint="eastAsia" w:ascii="仿宋" w:hAnsi="仿宋" w:eastAsia="仿宋" w:cs="仿宋"/>
          <w:color w:val="auto"/>
          <w:sz w:val="28"/>
          <w:szCs w:val="28"/>
          <w:highlight w:val="none"/>
          <w:lang w:val="en-US" w:eastAsia="zh-CN"/>
        </w:rPr>
        <w:t>检测</w:t>
      </w:r>
      <w:r>
        <w:rPr>
          <w:rFonts w:hint="eastAsia" w:ascii="仿宋" w:hAnsi="仿宋" w:eastAsia="仿宋" w:cs="仿宋"/>
          <w:color w:val="auto"/>
          <w:sz w:val="28"/>
          <w:szCs w:val="28"/>
          <w:highlight w:val="none"/>
        </w:rPr>
        <w:t>工作</w:t>
      </w:r>
      <w:r>
        <w:rPr>
          <w:rFonts w:hint="eastAsia" w:ascii="仿宋" w:hAnsi="仿宋" w:eastAsia="仿宋" w:cs="仿宋"/>
          <w:color w:val="auto"/>
          <w:sz w:val="28"/>
          <w:szCs w:val="28"/>
          <w:highlight w:val="none"/>
          <w:lang w:val="en-US" w:eastAsia="zh-CN"/>
        </w:rPr>
        <w:t>并出具有效的</w:t>
      </w:r>
      <w:r>
        <w:rPr>
          <w:rFonts w:hint="eastAsia" w:ascii="仿宋" w:hAnsi="仿宋" w:eastAsia="仿宋" w:cs="仿宋"/>
          <w:color w:val="auto"/>
          <w:sz w:val="28"/>
          <w:szCs w:val="28"/>
          <w:highlight w:val="none"/>
        </w:rPr>
        <w:t>CMA检测报告。</w:t>
      </w:r>
    </w:p>
    <w:p>
      <w:pPr>
        <w:pStyle w:val="2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合同单价在合同有效期内为不变价。供应商已经充分考虑本合同履行期间的市场风险和国家政策性调整风险系数并已计入报价，因此合同单价在合同有效期内不因任何因素而作调整，且在</w:t>
      </w:r>
      <w:r>
        <w:rPr>
          <w:rFonts w:hint="eastAsia" w:ascii="仿宋" w:hAnsi="仿宋" w:eastAsia="仿宋" w:cs="仿宋"/>
          <w:color w:val="auto"/>
          <w:sz w:val="28"/>
          <w:szCs w:val="28"/>
          <w:highlight w:val="none"/>
          <w:lang w:val="en-US" w:eastAsia="zh-CN"/>
        </w:rPr>
        <w:t>采购人</w:t>
      </w:r>
      <w:r>
        <w:rPr>
          <w:rFonts w:hint="eastAsia" w:ascii="仿宋" w:hAnsi="仿宋" w:eastAsia="仿宋" w:cs="仿宋"/>
          <w:color w:val="auto"/>
          <w:sz w:val="28"/>
          <w:szCs w:val="28"/>
          <w:highlight w:val="none"/>
        </w:rPr>
        <w:t>要求应急/加急检测情况下，合同单价已包含全部检测服务费用，供应商不得加收额外加急费。</w:t>
      </w:r>
    </w:p>
    <w:p>
      <w:pPr>
        <w:pStyle w:val="22"/>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应</w:t>
      </w:r>
      <w:r>
        <w:rPr>
          <w:rFonts w:hint="eastAsia" w:ascii="仿宋" w:hAnsi="仿宋" w:eastAsia="仿宋" w:cs="仿宋"/>
          <w:color w:val="auto"/>
          <w:sz w:val="28"/>
          <w:szCs w:val="28"/>
          <w:highlight w:val="none"/>
          <w:lang w:val="en-US" w:eastAsia="zh-CN"/>
        </w:rPr>
        <w:t>采购人</w:t>
      </w:r>
      <w:r>
        <w:rPr>
          <w:rFonts w:hint="eastAsia" w:ascii="仿宋" w:hAnsi="仿宋" w:eastAsia="仿宋" w:cs="仿宋"/>
          <w:color w:val="auto"/>
          <w:sz w:val="28"/>
          <w:szCs w:val="28"/>
          <w:highlight w:val="none"/>
        </w:rPr>
        <w:t>要求对废水</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废气、噪音</w:t>
      </w:r>
      <w:r>
        <w:rPr>
          <w:rFonts w:hint="eastAsia" w:ascii="仿宋" w:hAnsi="仿宋" w:eastAsia="仿宋" w:cs="仿宋"/>
          <w:color w:val="auto"/>
          <w:sz w:val="28"/>
          <w:szCs w:val="28"/>
          <w:highlight w:val="none"/>
        </w:rPr>
        <w:t>进行现场采样或寄样处理（</w:t>
      </w:r>
      <w:r>
        <w:rPr>
          <w:rFonts w:hint="eastAsia" w:ascii="仿宋" w:hAnsi="仿宋" w:eastAsia="仿宋" w:cs="仿宋"/>
          <w:sz w:val="28"/>
          <w:szCs w:val="28"/>
          <w:lang w:val="en-US" w:eastAsia="zh-CN"/>
        </w:rPr>
        <w:t>监测样本</w:t>
      </w:r>
      <w:r>
        <w:rPr>
          <w:rFonts w:hint="eastAsia" w:ascii="仿宋" w:hAnsi="仿宋" w:eastAsia="仿宋" w:cs="仿宋"/>
          <w:sz w:val="28"/>
          <w:szCs w:val="28"/>
        </w:rPr>
        <w:t>快递</w:t>
      </w:r>
      <w:r>
        <w:rPr>
          <w:rFonts w:hint="eastAsia" w:ascii="仿宋" w:hAnsi="仿宋" w:eastAsia="仿宋" w:cs="仿宋"/>
          <w:sz w:val="28"/>
          <w:szCs w:val="28"/>
          <w:lang w:val="en-US" w:eastAsia="zh-CN"/>
        </w:rPr>
        <w:t>费由报价人承担（到付）</w:t>
      </w:r>
      <w:r>
        <w:rPr>
          <w:rFonts w:hint="eastAsia" w:ascii="仿宋" w:hAnsi="仿宋" w:eastAsia="仿宋" w:cs="仿宋"/>
          <w:color w:val="auto"/>
          <w:sz w:val="28"/>
          <w:szCs w:val="28"/>
          <w:highlight w:val="none"/>
        </w:rPr>
        <w:t>）。</w:t>
      </w:r>
    </w:p>
    <w:p>
      <w:pPr>
        <w:pStyle w:val="2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3、付款方式：采用支票、网银支付两种形式。</w:t>
      </w:r>
    </w:p>
    <w:p>
      <w:pPr>
        <w:pStyle w:val="22"/>
        <w:rPr>
          <w:rFonts w:hint="default" w:eastAsia="仿宋"/>
          <w:color w:val="auto"/>
          <w:highlight w:val="none"/>
          <w:lang w:val="en-US" w:eastAsia="zh-CN"/>
        </w:rPr>
      </w:pPr>
      <w:r>
        <w:rPr>
          <w:rFonts w:hint="eastAsia" w:ascii="仿宋" w:hAnsi="仿宋" w:eastAsia="仿宋" w:cs="仿宋"/>
          <w:color w:val="auto"/>
          <w:sz w:val="28"/>
          <w:szCs w:val="28"/>
          <w:highlight w:val="none"/>
        </w:rPr>
        <w:t>4、承包方式：</w:t>
      </w:r>
      <w:r>
        <w:rPr>
          <w:rFonts w:hint="eastAsia" w:ascii="仿宋" w:hAnsi="仿宋" w:eastAsia="仿宋" w:cs="仿宋"/>
          <w:color w:val="auto"/>
          <w:sz w:val="28"/>
          <w:szCs w:val="28"/>
          <w:highlight w:val="none"/>
          <w:lang w:val="en-US" w:eastAsia="zh-CN"/>
        </w:rPr>
        <w:t>按照实际检测量的</w:t>
      </w:r>
      <w:r>
        <w:rPr>
          <w:rFonts w:hint="eastAsia" w:ascii="仿宋" w:hAnsi="仿宋" w:eastAsia="仿宋" w:cs="仿宋"/>
          <w:color w:val="auto"/>
          <w:sz w:val="28"/>
          <w:szCs w:val="28"/>
          <w:highlight w:val="none"/>
        </w:rPr>
        <w:t>单价</w:t>
      </w:r>
      <w:bookmarkStart w:id="61" w:name="_Toc23353"/>
      <w:bookmarkStart w:id="62" w:name="_Toc537"/>
      <w:bookmarkStart w:id="63" w:name="_Toc23330"/>
      <w:bookmarkStart w:id="64" w:name="_Toc12135"/>
      <w:bookmarkStart w:id="65" w:name="_Toc29835"/>
      <w:bookmarkStart w:id="66" w:name="_Toc25925"/>
      <w:bookmarkStart w:id="67" w:name="_Toc18538"/>
      <w:bookmarkStart w:id="68" w:name="_Toc4680"/>
      <w:bookmarkStart w:id="69" w:name="_Toc1284"/>
      <w:bookmarkStart w:id="70" w:name="_Toc15570"/>
      <w:bookmarkStart w:id="71" w:name="_Toc1496"/>
      <w:r>
        <w:rPr>
          <w:rFonts w:hint="eastAsia" w:ascii="仿宋" w:hAnsi="仿宋" w:eastAsia="仿宋" w:cs="仿宋"/>
          <w:color w:val="auto"/>
          <w:sz w:val="28"/>
          <w:szCs w:val="28"/>
          <w:highlight w:val="none"/>
          <w:lang w:val="en-US" w:eastAsia="zh-CN"/>
        </w:rPr>
        <w:t>按实结算</w:t>
      </w: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4"/>
        <w:rPr>
          <w:rFonts w:hint="eastAsia"/>
          <w:color w:val="auto"/>
          <w:highlight w:val="none"/>
        </w:rPr>
      </w:pPr>
    </w:p>
    <w:p>
      <w:pPr>
        <w:pStyle w:val="4"/>
        <w:rPr>
          <w:rFonts w:hint="eastAsia"/>
          <w:color w:val="auto"/>
          <w:highlight w:val="none"/>
        </w:rPr>
      </w:pPr>
    </w:p>
    <w:p>
      <w:pPr>
        <w:rPr>
          <w:rFonts w:hint="eastAsia"/>
          <w:color w:val="auto"/>
          <w:highlight w:val="none"/>
        </w:rPr>
      </w:pPr>
    </w:p>
    <w:p>
      <w:pPr>
        <w:pStyle w:val="2"/>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2515870</wp:posOffset>
                </wp:positionH>
                <wp:positionV relativeFrom="paragraph">
                  <wp:posOffset>662940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98.1pt;margin-top:52.2pt;height:0pt;width:75.5pt;z-index:251667456;mso-width-relative:page;mso-height-relative:page;" filled="f" stroked="t" coordsize="21600,21600" o:gfxdata="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8d2El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2506345</wp:posOffset>
                </wp:positionH>
                <wp:positionV relativeFrom="paragraph">
                  <wp:posOffset>89535</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97.35pt;margin-top:7.05pt;height:0pt;width:75.5pt;z-index:251666432;mso-width-relative:page;mso-height-relative:page;" filled="f" stroked="t" coordsize="21600,21600" o:gfxdata="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i84c2Dpwn9+&#10;+vbr4+e7Lz/uvn9ly6zQELCmwI27iacdhpuY6R7aaPOfiLBDUfV4VlUdEhN0+GKxXC5Ib3Hvqh7y&#10;QsT0SnnLstFwTBF016eNd46uzsdZERX2rzFRZUq8T8hFjWNDhp9T6wJ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fmh1p9YAAAAJAQAADwAAAAAAAAABACAAAAAiAAAAZHJzL2Rvd25yZXYueG1sUEsBAhQAFAAA&#10;AAgAh07iQGNmbxzxAQAA4gMAAA4AAAAAAAAAAQAgAAAAJQEAAGRycy9lMm9Eb2MueG1sUEsFBgAA&#10;AAAGAAYAWQEAAIgFA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4"/>
      </w:pPr>
      <w:r>
        <w:rPr>
          <w:rFonts w:hint="eastAsia"/>
        </w:rPr>
        <w:t>合同</w:t>
      </w:r>
    </w:p>
    <w:p>
      <w:pPr>
        <w:pStyle w:val="37"/>
        <w:rPr>
          <w:color w:val="auto"/>
          <w:highlight w:val="none"/>
        </w:rPr>
      </w:pPr>
    </w:p>
    <w:p>
      <w:pPr>
        <w:pStyle w:val="37"/>
        <w:rPr>
          <w:color w:val="auto"/>
          <w:highlight w:val="none"/>
        </w:rPr>
      </w:pPr>
    </w:p>
    <w:p>
      <w:pPr>
        <w:pStyle w:val="37"/>
        <w:rPr>
          <w:color w:val="auto"/>
          <w:highlight w:val="none"/>
        </w:rPr>
      </w:pPr>
    </w:p>
    <w:p>
      <w:pPr>
        <w:pStyle w:val="37"/>
        <w:rPr>
          <w:color w:val="auto"/>
          <w:highlight w:val="none"/>
        </w:rPr>
      </w:pPr>
    </w:p>
    <w:p>
      <w:pPr>
        <w:pStyle w:val="37"/>
        <w:rPr>
          <w:color w:val="auto"/>
          <w:highlight w:val="none"/>
        </w:rPr>
      </w:pPr>
    </w:p>
    <w:p>
      <w:pPr>
        <w:pStyle w:val="37"/>
        <w:rPr>
          <w:color w:val="auto"/>
          <w:highlight w:val="none"/>
        </w:rPr>
      </w:pPr>
    </w:p>
    <w:p>
      <w:pPr>
        <w:pStyle w:val="37"/>
        <w:rPr>
          <w:color w:val="auto"/>
          <w:highlight w:val="none"/>
        </w:rPr>
      </w:pPr>
    </w:p>
    <w:p>
      <w:pPr>
        <w:pStyle w:val="37"/>
        <w:rPr>
          <w:color w:val="auto"/>
          <w:highlight w:val="none"/>
        </w:rPr>
      </w:pPr>
    </w:p>
    <w:p>
      <w:pPr>
        <w:pStyle w:val="37"/>
        <w:rPr>
          <w:color w:val="auto"/>
          <w:highlight w:val="none"/>
        </w:rPr>
      </w:pPr>
    </w:p>
    <w:p>
      <w:pPr>
        <w:pStyle w:val="37"/>
        <w:rPr>
          <w:color w:val="auto"/>
          <w:highlight w:val="none"/>
        </w:rPr>
      </w:pPr>
    </w:p>
    <w:p>
      <w:pPr>
        <w:pStyle w:val="37"/>
        <w:rPr>
          <w:color w:val="auto"/>
          <w:highlight w:val="none"/>
        </w:rPr>
      </w:pPr>
    </w:p>
    <w:p>
      <w:pPr>
        <w:pStyle w:val="37"/>
        <w:rPr>
          <w:color w:val="auto"/>
          <w:highlight w:val="none"/>
        </w:rPr>
      </w:pPr>
    </w:p>
    <w:p>
      <w:pPr>
        <w:pStyle w:val="37"/>
        <w:rPr>
          <w:color w:val="auto"/>
          <w:highlight w:val="none"/>
        </w:rPr>
      </w:pPr>
    </w:p>
    <w:p>
      <w:pPr>
        <w:pStyle w:val="37"/>
        <w:rPr>
          <w:color w:val="auto"/>
          <w:highlight w:val="none"/>
        </w:rPr>
      </w:pPr>
    </w:p>
    <w:p>
      <w:pPr>
        <w:pStyle w:val="37"/>
        <w:rPr>
          <w:color w:val="auto"/>
          <w:highlight w:val="none"/>
        </w:rPr>
      </w:pPr>
    </w:p>
    <w:p>
      <w:pPr>
        <w:pStyle w:val="37"/>
        <w:rPr>
          <w:color w:val="auto"/>
          <w:highlight w:val="none"/>
        </w:rPr>
      </w:pPr>
    </w:p>
    <w:p>
      <w:pPr>
        <w:pStyle w:val="37"/>
        <w:rPr>
          <w:color w:val="auto"/>
          <w:highlight w:val="none"/>
        </w:rPr>
      </w:pPr>
    </w:p>
    <w:p>
      <w:pPr>
        <w:pStyle w:val="37"/>
        <w:rPr>
          <w:color w:val="auto"/>
          <w:highlight w:val="none"/>
        </w:rPr>
      </w:pPr>
    </w:p>
    <w:p>
      <w:pPr>
        <w:pStyle w:val="37"/>
        <w:rPr>
          <w:color w:val="auto"/>
          <w:highlight w:val="none"/>
        </w:rPr>
      </w:pPr>
    </w:p>
    <w:p>
      <w:pPr>
        <w:pStyle w:val="37"/>
        <w:rPr>
          <w:color w:val="auto"/>
          <w:highlight w:val="none"/>
        </w:rPr>
      </w:pPr>
    </w:p>
    <w:p>
      <w:pPr>
        <w:jc w:val="both"/>
        <w:rPr>
          <w:rFonts w:hint="eastAsia" w:ascii="宋体" w:hAnsi="宋体" w:cs="Times New Roman"/>
          <w:b/>
          <w:color w:val="auto"/>
          <w:sz w:val="48"/>
          <w:szCs w:val="48"/>
          <w14:shadow w14:blurRad="50800" w14:dist="38100" w14:dir="2700000" w14:sx="100000" w14:sy="100000" w14:kx="0" w14:ky="0" w14:algn="tl">
            <w14:srgbClr w14:val="000000">
              <w14:alpha w14:val="60000"/>
            </w14:srgbClr>
          </w14:shadow>
        </w:rPr>
      </w:pPr>
      <w:bookmarkStart w:id="72" w:name="_Toc12980"/>
      <w:bookmarkStart w:id="73" w:name="_Toc13309"/>
      <w:bookmarkStart w:id="74" w:name="_Toc19686"/>
      <w:bookmarkStart w:id="75" w:name="_Toc323"/>
      <w:bookmarkStart w:id="76" w:name="_Toc1375"/>
      <w:bookmarkStart w:id="77" w:name="_Toc88209949"/>
      <w:bookmarkStart w:id="78" w:name="_Toc22797"/>
      <w:bookmarkStart w:id="79" w:name="_Toc87616386"/>
      <w:bookmarkStart w:id="80" w:name="_Toc12968"/>
      <w:bookmarkStart w:id="81" w:name="_Toc12721"/>
      <w:bookmarkStart w:id="82" w:name="_Toc19088"/>
      <w:bookmarkStart w:id="83" w:name="_Toc22501"/>
      <w:bookmarkStart w:id="84" w:name="_Toc8183"/>
    </w:p>
    <w:p>
      <w:pPr>
        <w:jc w:val="center"/>
        <w:rPr>
          <w:rFonts w:hint="eastAsia" w:ascii="方正小标宋简体" w:eastAsia="方正小标宋简体"/>
          <w:color w:val="auto"/>
          <w:sz w:val="52"/>
          <w:szCs w:val="52"/>
          <w:highlight w:val="none"/>
        </w:rPr>
      </w:pPr>
    </w:p>
    <w:p>
      <w:pPr>
        <w:jc w:val="center"/>
        <w:rPr>
          <w:rFonts w:hint="eastAsia" w:ascii="方正小标宋简体" w:eastAsia="方正小标宋简体"/>
          <w:color w:val="auto"/>
          <w:sz w:val="52"/>
          <w:szCs w:val="52"/>
          <w:highlight w:val="none"/>
        </w:rPr>
      </w:pPr>
    </w:p>
    <w:p>
      <w:pPr>
        <w:jc w:val="center"/>
        <w:rPr>
          <w:rFonts w:hint="eastAsia" w:ascii="方正小标宋简体" w:eastAsia="方正小标宋简体"/>
          <w:color w:val="auto"/>
          <w:sz w:val="52"/>
          <w:szCs w:val="52"/>
          <w:highlight w:val="none"/>
        </w:rPr>
      </w:pPr>
    </w:p>
    <w:p>
      <w:pPr>
        <w:jc w:val="center"/>
        <w:rPr>
          <w:rFonts w:hint="eastAsia" w:ascii="方正小标宋简体" w:eastAsia="方正小标宋简体"/>
          <w:color w:val="auto"/>
          <w:sz w:val="52"/>
          <w:szCs w:val="52"/>
          <w:highlight w:val="none"/>
        </w:rPr>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rPr>
        <w:t>广州从化净水有限公司2023年</w:t>
      </w:r>
      <w:r>
        <w:rPr>
          <w:rFonts w:hint="eastAsia" w:ascii="方正小标宋简体" w:eastAsia="方正小标宋简体"/>
          <w:color w:val="auto"/>
          <w:sz w:val="52"/>
          <w:szCs w:val="52"/>
          <w:highlight w:val="none"/>
          <w:lang w:val="en-US" w:eastAsia="zh-CN"/>
        </w:rPr>
        <w:t>-2024年</w:t>
      </w:r>
    </w:p>
    <w:p>
      <w:pPr>
        <w:jc w:val="center"/>
        <w:rPr>
          <w:rFonts w:hint="eastAsia"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废水、废气、噪声</w:t>
      </w:r>
      <w:r>
        <w:rPr>
          <w:rFonts w:hint="eastAsia" w:ascii="方正小标宋简体" w:eastAsia="方正小标宋简体"/>
          <w:color w:val="auto"/>
          <w:sz w:val="52"/>
          <w:szCs w:val="52"/>
          <w:highlight w:val="none"/>
          <w:lang w:val="en-US" w:eastAsia="zh-CN"/>
        </w:rPr>
        <w:t>委托</w:t>
      </w:r>
      <w:r>
        <w:rPr>
          <w:rFonts w:hint="eastAsia" w:ascii="方正小标宋简体" w:eastAsia="方正小标宋简体"/>
          <w:color w:val="auto"/>
          <w:sz w:val="52"/>
          <w:szCs w:val="52"/>
          <w:highlight w:val="none"/>
        </w:rPr>
        <w:t>检测项目</w:t>
      </w:r>
    </w:p>
    <w:p>
      <w:pPr>
        <w:spacing w:line="360" w:lineRule="auto"/>
        <w:jc w:val="left"/>
        <w:rPr>
          <w:rFonts w:hint="eastAsia" w:asciiTheme="majorEastAsia" w:hAnsiTheme="majorEastAsia" w:eastAsiaTheme="majorEastAsia" w:cstheme="majorEastAsia"/>
          <w:sz w:val="30"/>
          <w:szCs w:val="30"/>
        </w:rPr>
      </w:pPr>
    </w:p>
    <w:p>
      <w:pPr>
        <w:spacing w:line="360" w:lineRule="auto"/>
        <w:jc w:val="left"/>
        <w:rPr>
          <w:rFonts w:hint="eastAsia" w:asciiTheme="majorEastAsia" w:hAnsiTheme="majorEastAsia" w:eastAsiaTheme="majorEastAsia" w:cstheme="majorEastAsia"/>
          <w:sz w:val="30"/>
          <w:szCs w:val="30"/>
        </w:rPr>
      </w:pPr>
    </w:p>
    <w:p>
      <w:pPr>
        <w:pStyle w:val="2"/>
      </w:pPr>
    </w:p>
    <w:p>
      <w:pPr>
        <w:spacing w:line="360" w:lineRule="auto"/>
        <w:ind w:firstLine="602" w:firstLineChars="200"/>
        <w:rPr>
          <w:rFonts w:ascii="宋体" w:hAnsi="宋体" w:cs="宋体"/>
          <w:b/>
          <w:bCs/>
          <w:snapToGrid w:val="0"/>
          <w:sz w:val="30"/>
          <w:szCs w:val="30"/>
        </w:rPr>
      </w:pPr>
      <w:r>
        <w:rPr>
          <w:rFonts w:hint="eastAsia" w:ascii="宋体" w:hAnsi="宋体" w:cs="宋体"/>
          <w:b/>
          <w:bCs/>
          <w:snapToGrid w:val="0"/>
          <w:sz w:val="30"/>
          <w:szCs w:val="30"/>
        </w:rPr>
        <w:t>合同编号：穗净水〔</w:t>
      </w:r>
      <w:r>
        <w:rPr>
          <w:rFonts w:hint="eastAsia" w:ascii="宋体" w:hAnsi="宋体" w:cs="宋体"/>
          <w:b/>
          <w:bCs/>
          <w:snapToGrid w:val="0"/>
          <w:sz w:val="30"/>
          <w:szCs w:val="30"/>
          <w:lang w:val="en-US" w:eastAsia="zh-CN"/>
        </w:rPr>
        <w:t xml:space="preserve"> 2023 </w:t>
      </w:r>
      <w:r>
        <w:rPr>
          <w:rFonts w:hint="eastAsia" w:ascii="宋体" w:hAnsi="宋体" w:cs="宋体"/>
          <w:b/>
          <w:bCs/>
          <w:snapToGrid w:val="0"/>
          <w:sz w:val="30"/>
          <w:szCs w:val="30"/>
        </w:rPr>
        <w:t>〕    号</w:t>
      </w:r>
    </w:p>
    <w:p>
      <w:pPr>
        <w:adjustRightInd w:val="0"/>
        <w:snapToGrid w:val="0"/>
        <w:spacing w:line="360" w:lineRule="auto"/>
        <w:ind w:firstLine="0"/>
        <w:rPr>
          <w:rFonts w:ascii="宋体" w:hAnsi="宋体" w:cs="宋体"/>
          <w:snapToGrid w:val="0"/>
          <w:sz w:val="24"/>
        </w:rPr>
      </w:pPr>
    </w:p>
    <w:p>
      <w:pPr>
        <w:adjustRightInd w:val="0"/>
        <w:snapToGrid w:val="0"/>
        <w:spacing w:line="360" w:lineRule="auto"/>
        <w:ind w:firstLine="600"/>
        <w:rPr>
          <w:rFonts w:ascii="宋体" w:hAnsi="宋体" w:cs="宋体"/>
          <w:snapToGrid w:val="0"/>
          <w:sz w:val="24"/>
        </w:rPr>
      </w:pPr>
    </w:p>
    <w:p>
      <w:pPr>
        <w:adjustRightInd w:val="0"/>
        <w:snapToGrid w:val="0"/>
        <w:spacing w:line="360" w:lineRule="auto"/>
        <w:ind w:firstLine="600"/>
        <w:rPr>
          <w:rFonts w:ascii="宋体" w:hAnsi="宋体" w:cs="宋体"/>
          <w:snapToGrid w:val="0"/>
          <w:sz w:val="24"/>
        </w:rPr>
      </w:pPr>
    </w:p>
    <w:p>
      <w:pPr>
        <w:adjustRightInd w:val="0"/>
        <w:snapToGrid w:val="0"/>
        <w:spacing w:line="360" w:lineRule="auto"/>
        <w:ind w:firstLine="720" w:firstLineChars="224"/>
        <w:rPr>
          <w:rFonts w:hint="eastAsia" w:ascii="宋体" w:hAnsi="宋体" w:cs="宋体"/>
          <w:b/>
          <w:bCs/>
          <w:snapToGrid w:val="0"/>
          <w:sz w:val="32"/>
          <w:szCs w:val="32"/>
        </w:rPr>
      </w:pPr>
      <w:r>
        <w:rPr>
          <w:rFonts w:hint="eastAsia" w:ascii="宋体" w:hAnsi="宋体" w:cs="宋体"/>
          <w:b/>
          <w:bCs/>
          <w:snapToGrid w:val="0"/>
          <w:sz w:val="32"/>
          <w:szCs w:val="32"/>
        </w:rPr>
        <w:t>甲方（委托人）：广州</w:t>
      </w:r>
      <w:r>
        <w:rPr>
          <w:rFonts w:hint="eastAsia" w:ascii="宋体" w:hAnsi="宋体" w:cs="宋体"/>
          <w:b/>
          <w:bCs/>
          <w:snapToGrid w:val="0"/>
          <w:sz w:val="32"/>
          <w:szCs w:val="32"/>
          <w:lang w:val="en-US" w:eastAsia="zh-CN"/>
        </w:rPr>
        <w:t>从化</w:t>
      </w:r>
      <w:r>
        <w:rPr>
          <w:rFonts w:hint="eastAsia" w:ascii="宋体" w:hAnsi="宋体" w:cs="宋体"/>
          <w:b/>
          <w:bCs/>
          <w:snapToGrid w:val="0"/>
          <w:sz w:val="32"/>
          <w:szCs w:val="32"/>
        </w:rPr>
        <w:t>净水有限公司</w:t>
      </w:r>
    </w:p>
    <w:p>
      <w:pPr>
        <w:pStyle w:val="2"/>
      </w:pPr>
    </w:p>
    <w:p>
      <w:pPr>
        <w:adjustRightInd w:val="0"/>
        <w:snapToGrid w:val="0"/>
        <w:spacing w:line="360" w:lineRule="auto"/>
        <w:ind w:firstLine="720" w:firstLineChars="224"/>
        <w:rPr>
          <w:rFonts w:ascii="宋体" w:hAnsi="宋体" w:cs="宋体"/>
          <w:b/>
          <w:bCs/>
          <w:snapToGrid w:val="0"/>
          <w:sz w:val="32"/>
          <w:szCs w:val="32"/>
          <w:u w:val="single"/>
        </w:rPr>
      </w:pPr>
      <w:r>
        <w:rPr>
          <w:rFonts w:hint="eastAsia" w:ascii="宋体" w:hAnsi="宋体" w:cs="宋体"/>
          <w:b/>
          <w:bCs/>
          <w:snapToGrid w:val="0"/>
          <w:sz w:val="32"/>
          <w:szCs w:val="32"/>
        </w:rPr>
        <w:t>乙方（受托人）：</w:t>
      </w:r>
      <w:r>
        <w:rPr>
          <w:rFonts w:hint="eastAsia" w:ascii="宋体" w:hAnsi="宋体" w:cs="宋体"/>
          <w:b/>
          <w:bCs/>
          <w:snapToGrid w:val="0"/>
          <w:sz w:val="32"/>
          <w:szCs w:val="32"/>
          <w:u w:val="single"/>
        </w:rPr>
        <w:t xml:space="preserve"> </w:t>
      </w:r>
      <w:r>
        <w:rPr>
          <w:rFonts w:hint="eastAsia" w:ascii="宋体" w:hAnsi="宋体" w:cs="宋体"/>
          <w:b/>
          <w:bCs/>
          <w:snapToGrid w:val="0"/>
          <w:sz w:val="32"/>
          <w:szCs w:val="32"/>
          <w:u w:val="single"/>
          <w:lang w:val="en-US" w:eastAsia="zh-CN"/>
        </w:rPr>
        <w:t xml:space="preserve">                        </w:t>
      </w:r>
    </w:p>
    <w:p>
      <w:pPr>
        <w:adjustRightInd w:val="0"/>
        <w:snapToGrid w:val="0"/>
        <w:spacing w:line="360" w:lineRule="auto"/>
        <w:ind w:firstLine="540" w:firstLineChars="224"/>
        <w:rPr>
          <w:rFonts w:ascii="宋体" w:hAnsi="宋体" w:cs="宋体"/>
          <w:b/>
          <w:bCs/>
          <w:snapToGrid w:val="0"/>
          <w:sz w:val="24"/>
        </w:rPr>
      </w:pPr>
    </w:p>
    <w:p>
      <w:pPr>
        <w:pStyle w:val="3"/>
        <w:rPr>
          <w:rFonts w:ascii="宋体" w:hAnsi="宋体" w:cs="宋体"/>
          <w:b/>
          <w:bCs/>
          <w:snapToGrid w:val="0"/>
          <w:sz w:val="24"/>
        </w:rPr>
      </w:pPr>
    </w:p>
    <w:p>
      <w:pPr>
        <w:pStyle w:val="21"/>
        <w:widowControl w:val="0"/>
        <w:kinsoku w:val="0"/>
        <w:overflowPunct w:val="0"/>
        <w:autoSpaceDE w:val="0"/>
        <w:autoSpaceDN w:val="0"/>
        <w:adjustRightInd w:val="0"/>
        <w:snapToGrid w:val="0"/>
        <w:spacing w:before="0" w:beforeAutospacing="0" w:after="0" w:afterAutospacing="0" w:line="360" w:lineRule="auto"/>
        <w:ind w:firstLine="480"/>
        <w:jc w:val="center"/>
        <w:rPr>
          <w:rFonts w:hint="eastAsia"/>
          <w:bCs/>
          <w:sz w:val="30"/>
          <w:szCs w:val="30"/>
        </w:rPr>
      </w:pPr>
      <w:r>
        <w:rPr>
          <w:rFonts w:hint="eastAsia"/>
          <w:bCs/>
          <w:sz w:val="30"/>
          <w:szCs w:val="30"/>
        </w:rPr>
        <w:t xml:space="preserve">签订日期：    年  月  </w:t>
      </w:r>
      <w:r>
        <w:rPr>
          <w:bCs/>
          <w:sz w:val="30"/>
          <w:szCs w:val="30"/>
        </w:rPr>
        <w:t xml:space="preserve"> </w:t>
      </w:r>
      <w:r>
        <w:rPr>
          <w:rFonts w:hint="eastAsia"/>
          <w:bCs/>
          <w:sz w:val="30"/>
          <w:szCs w:val="30"/>
        </w:rPr>
        <w:t>日</w:t>
      </w:r>
    </w:p>
    <w:p>
      <w:pPr>
        <w:ind w:firstLine="560" w:firstLineChars="200"/>
        <w:rPr>
          <w:rFonts w:hint="eastAsia" w:ascii="仿宋" w:hAnsi="仿宋" w:eastAsia="仿宋" w:cs="仿宋"/>
          <w:sz w:val="28"/>
          <w:szCs w:val="28"/>
        </w:rPr>
      </w:pPr>
    </w:p>
    <w:p>
      <w:pPr>
        <w:ind w:firstLine="560" w:firstLineChars="200"/>
        <w:rPr>
          <w:rFonts w:hint="eastAsia" w:ascii="仿宋" w:hAnsi="仿宋" w:eastAsia="仿宋" w:cs="仿宋"/>
          <w:sz w:val="28"/>
          <w:szCs w:val="28"/>
        </w:rPr>
      </w:pPr>
    </w:p>
    <w:p>
      <w:pPr>
        <w:ind w:firstLine="560" w:firstLineChars="200"/>
        <w:rPr>
          <w:rFonts w:hint="eastAsia" w:ascii="仿宋" w:hAnsi="仿宋" w:eastAsia="仿宋" w:cs="仿宋"/>
          <w:sz w:val="28"/>
          <w:szCs w:val="28"/>
        </w:rPr>
      </w:pPr>
    </w:p>
    <w:p>
      <w:pPr>
        <w:ind w:firstLine="560" w:firstLineChars="200"/>
        <w:rPr>
          <w:rFonts w:hint="eastAsia" w:ascii="仿宋" w:hAnsi="仿宋" w:eastAsia="仿宋" w:cs="仿宋"/>
          <w:sz w:val="28"/>
          <w:szCs w:val="28"/>
        </w:rPr>
      </w:pPr>
    </w:p>
    <w:p>
      <w:pPr>
        <w:ind w:firstLine="560" w:firstLineChars="200"/>
        <w:rPr>
          <w:rFonts w:hint="eastAsia" w:ascii="仿宋" w:hAnsi="仿宋" w:eastAsia="仿宋" w:cs="仿宋"/>
          <w:sz w:val="28"/>
          <w:szCs w:val="28"/>
        </w:rPr>
      </w:pPr>
    </w:p>
    <w:p>
      <w:pPr>
        <w:ind w:firstLine="560" w:firstLineChars="200"/>
        <w:rPr>
          <w:rFonts w:hint="eastAsia" w:ascii="仿宋" w:hAnsi="仿宋" w:eastAsia="仿宋" w:cs="仿宋"/>
          <w:sz w:val="28"/>
          <w:szCs w:val="28"/>
        </w:rPr>
      </w:pPr>
      <w:r>
        <w:rPr>
          <w:rFonts w:hint="eastAsia" w:ascii="仿宋" w:hAnsi="仿宋" w:eastAsia="仿宋" w:cs="仿宋"/>
          <w:sz w:val="28"/>
          <w:szCs w:val="28"/>
        </w:rPr>
        <w:t>本合同甲方委托乙方就</w:t>
      </w:r>
      <w:r>
        <w:rPr>
          <w:rFonts w:hint="eastAsia" w:ascii="仿宋" w:hAnsi="仿宋" w:eastAsia="仿宋" w:cs="仿宋"/>
          <w:sz w:val="28"/>
          <w:szCs w:val="28"/>
          <w:u w:val="single"/>
        </w:rPr>
        <w:t>广州从化净水有限公司2023年-2024年废水、废气、噪声委托检测项目承接工作事宜</w:t>
      </w:r>
      <w:r>
        <w:rPr>
          <w:rFonts w:hint="eastAsia" w:ascii="仿宋" w:hAnsi="仿宋" w:eastAsia="仿宋" w:cs="仿宋"/>
          <w:sz w:val="28"/>
          <w:szCs w:val="28"/>
        </w:rPr>
        <w:t>并支付相应的技术服务报酬。双方经过平等协商，就真实、充分地表达各自意愿的基础上，根据《中华人民共和国民法典》的规定，达成如下协议，并由双方共同恪守。</w:t>
      </w:r>
    </w:p>
    <w:p>
      <w:pPr>
        <w:tabs>
          <w:tab w:val="left" w:pos="556"/>
        </w:tabs>
        <w:rPr>
          <w:rFonts w:hint="eastAsia" w:ascii="仿宋" w:hAnsi="仿宋" w:eastAsia="仿宋" w:cs="仿宋"/>
          <w:b/>
          <w:bCs/>
          <w:sz w:val="28"/>
          <w:szCs w:val="28"/>
        </w:rPr>
      </w:pPr>
      <w:r>
        <w:rPr>
          <w:rFonts w:hint="eastAsia" w:ascii="仿宋" w:hAnsi="仿宋" w:eastAsia="仿宋" w:cs="仿宋"/>
          <w:b/>
          <w:bCs/>
          <w:sz w:val="28"/>
          <w:szCs w:val="28"/>
        </w:rPr>
        <w:t>第一条 甲方委托乙方进行监测技术服务如下：</w:t>
      </w:r>
    </w:p>
    <w:p>
      <w:pPr>
        <w:ind w:firstLine="560"/>
        <w:rPr>
          <w:rFonts w:hint="eastAsia" w:ascii="仿宋" w:hAnsi="仿宋" w:eastAsia="仿宋" w:cs="仿宋"/>
          <w:sz w:val="28"/>
          <w:szCs w:val="28"/>
        </w:rPr>
      </w:pPr>
      <w:r>
        <w:rPr>
          <w:rFonts w:hint="eastAsia" w:ascii="仿宋" w:hAnsi="仿宋" w:eastAsia="仿宋" w:cs="仿宋"/>
          <w:sz w:val="28"/>
          <w:szCs w:val="28"/>
        </w:rPr>
        <w:t>详见附件1。</w:t>
      </w:r>
    </w:p>
    <w:p>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第二条 为保证乙方有效进行监测技术服务工作，甲方应当向乙方提供下列工作条件和协作事项：</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一、乙方进行现场采样/检测时，甲方应提供主要污染物/有害物质、排污口状况等必要的资料。</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二、采样环境现场存在任何已知或潜在危险，如放射性、有毒或者爆炸、腐蚀等危害人身安全及财产安全等情形时，在实施采样前，甲方应明确告知乙方采样人员有关的安全制度，并采取一切必要的保护措施，确保乙方检测、采样过程中的工作条件、场地和装置的安全。</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三、现场采样时委托方应为采样人员提供适宜的工作条件及必要的检测辅助工具，并安排至少1名熟悉环境的人员配合采样。</w:t>
      </w:r>
    </w:p>
    <w:p>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第三条 为保证甲方及时获取监测数据，乙方须按下列要求向甲方提供相关服务：</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一、采样人员到现场后，甲方需派一名熟悉现场环境的人员带领采样人员入场并配合采样，在每次完成现场采样或送样之日起10个工作日内向甲方提供水质监测报告汇总表及监测报告的纸质版与电子版（含PDF及EXCEL），报告内根据甲方所辖各厂环评批复添加参考限值一列，纸质版检测报告加盖CMA章，一式叁份。</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二、按照有关环境监测的标准方法进行分析工作，按照中国计量认证和中国合格评定国家认可委员会的有关规定出具监测报告，乙方对于中国计量认证和中国合格评定国家认可委员会证书附表外的检测项目，需提供有检测资质单位出具的检测报告，保证本次项目的监测报告具有法律效应。</w:t>
      </w:r>
    </w:p>
    <w:p>
      <w:pPr>
        <w:pStyle w:val="2"/>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三、检测方法以具体检测项目的国家标准或行业标准等为准。如遇国家标准或行业标准，原标准作废时，请使用国家颁布的新标准进行检测。</w:t>
      </w:r>
    </w:p>
    <w:p>
      <w:pPr>
        <w:pStyle w:val="3"/>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四、须安排具有从事相应专业知识和专业技能的技术人员跟踪负责项目的取样、检测、数据审核、报告出具等流程工作，并与各净水厂做好对接工作。乙方技术人员对取样检测、结果评价过程中出现的问题情况，应及时与各净水厂联系，并就各净水厂反映的取样检测、数据审核、报告出具等环节中问题及时作出回应，及时安排取样复测、分析原因或给出解决办法。</w:t>
      </w:r>
    </w:p>
    <w:p>
      <w:pPr>
        <w:pStyle w:val="3"/>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五、乙方必须严格按照所采用的标准、规范及技术要求制定取样和检测计划，并报告各净水厂。取样和检测人员须具有检测/监测相关资格证书，取样检测所需车辆、工具、仪器、物料等符合检测规范要求。</w:t>
      </w:r>
    </w:p>
    <w:p>
      <w:pPr>
        <w:pStyle w:val="3"/>
        <w:ind w:firstLine="560" w:firstLineChars="200"/>
        <w:rPr>
          <w:rFonts w:hint="default" w:ascii="仿宋" w:hAnsi="仿宋" w:eastAsia="仿宋" w:cs="仿宋"/>
          <w:sz w:val="28"/>
          <w:szCs w:val="28"/>
        </w:rPr>
      </w:pPr>
      <w:r>
        <w:rPr>
          <w:rFonts w:hint="eastAsia" w:ascii="仿宋" w:hAnsi="仿宋" w:eastAsia="仿宋" w:cs="仿宋"/>
          <w:kern w:val="2"/>
          <w:sz w:val="28"/>
          <w:szCs w:val="28"/>
          <w:lang w:val="en-US" w:eastAsia="zh-CN" w:bidi="ar-SA"/>
        </w:rPr>
        <w:t>六、乙方拟派项目负责人须持有环境类中级（或以上）职称，检测分析人员须持有上岗培训合格证，技术人员须持有环境类或质量类初级（或以上）职称；至少具有3辆车辆可用于现场取样检测。安排技术人员负责跟踪项目的取样、检测、数据审核、报告出具等流程工作，各净水厂做好对接工作。技术人员对取样检测、结果评价过程中出现的问题情况，应及时与各净水厂联系，并就各净水厂反映的取样检测、数据审核、报告出具等环节中问题及时作出回应，及时安排取样复测、分析原因或给出解决办法。</w:t>
      </w:r>
    </w:p>
    <w:p>
      <w:pPr>
        <w:pStyle w:val="2"/>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七</w:t>
      </w:r>
      <w:r>
        <w:rPr>
          <w:rFonts w:hint="eastAsia" w:ascii="仿宋" w:hAnsi="仿宋" w:eastAsia="仿宋" w:cs="仿宋"/>
          <w:sz w:val="28"/>
          <w:szCs w:val="28"/>
        </w:rPr>
        <w:t>、乙方收到甲方通知（可以手机信息通知、电话通知、书面通知）需要对废水、废气、噪声进行检测时，在收到通知后3小时内车辆到达厂区。除不可抗力和双方约定的事项外，如出现乙方无法按甲方要求在规定时间内调配人员以满足甲方检测需求到达甲方厂区，乙方每次向甲方支付1000元的违约金，超过1天的，每天计为1次。违约金从甲方向乙方支付第二期技术服务费中一次性扣减，一个月累计发生5次上述情况，甲方有权无条件解除合同。</w:t>
      </w:r>
    </w:p>
    <w:p>
      <w:pPr>
        <w:pStyle w:val="2"/>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八</w:t>
      </w:r>
      <w:r>
        <w:rPr>
          <w:rFonts w:hint="eastAsia" w:ascii="仿宋" w:hAnsi="仿宋" w:eastAsia="仿宋" w:cs="仿宋"/>
          <w:sz w:val="28"/>
          <w:szCs w:val="28"/>
        </w:rPr>
        <w:t>、</w:t>
      </w:r>
      <w:r>
        <w:rPr>
          <w:rFonts w:hint="eastAsia" w:ascii="仿宋" w:hAnsi="仿宋" w:eastAsia="仿宋" w:cs="仿宋"/>
          <w:sz w:val="28"/>
          <w:szCs w:val="28"/>
          <w:lang w:val="en-US" w:eastAsia="zh-CN"/>
        </w:rPr>
        <w:t>乙方</w:t>
      </w:r>
      <w:r>
        <w:rPr>
          <w:rFonts w:hint="eastAsia" w:ascii="仿宋" w:hAnsi="仿宋" w:eastAsia="仿宋" w:cs="仿宋"/>
          <w:sz w:val="28"/>
          <w:szCs w:val="28"/>
        </w:rPr>
        <w:t>应甲方要求对废水</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废气、噪音</w:t>
      </w:r>
      <w:r>
        <w:rPr>
          <w:rFonts w:hint="eastAsia" w:ascii="仿宋" w:hAnsi="仿宋" w:eastAsia="仿宋" w:cs="仿宋"/>
          <w:sz w:val="28"/>
          <w:szCs w:val="28"/>
        </w:rPr>
        <w:t>进行现场采样或寄样处理（</w:t>
      </w:r>
      <w:r>
        <w:rPr>
          <w:rFonts w:hint="eastAsia" w:ascii="仿宋" w:hAnsi="仿宋" w:eastAsia="仿宋" w:cs="仿宋"/>
          <w:sz w:val="28"/>
          <w:szCs w:val="28"/>
          <w:lang w:val="en-US" w:eastAsia="zh-CN"/>
        </w:rPr>
        <w:t>监测样本</w:t>
      </w:r>
      <w:r>
        <w:rPr>
          <w:rFonts w:hint="eastAsia" w:ascii="仿宋" w:hAnsi="仿宋" w:eastAsia="仿宋" w:cs="仿宋"/>
          <w:sz w:val="28"/>
          <w:szCs w:val="28"/>
        </w:rPr>
        <w:t>快递</w:t>
      </w:r>
      <w:r>
        <w:rPr>
          <w:rFonts w:hint="eastAsia" w:ascii="仿宋" w:hAnsi="仿宋" w:eastAsia="仿宋" w:cs="仿宋"/>
          <w:sz w:val="28"/>
          <w:szCs w:val="28"/>
          <w:lang w:val="en-US" w:eastAsia="zh-CN"/>
        </w:rPr>
        <w:t>费由乙方承担（到付）</w:t>
      </w:r>
      <w:r>
        <w:rPr>
          <w:rFonts w:hint="eastAsia" w:ascii="仿宋" w:hAnsi="仿宋" w:eastAsia="仿宋" w:cs="仿宋"/>
          <w:sz w:val="28"/>
          <w:szCs w:val="28"/>
        </w:rPr>
        <w:t>）。</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九</w:t>
      </w:r>
      <w:r>
        <w:rPr>
          <w:rFonts w:hint="eastAsia" w:ascii="仿宋" w:hAnsi="仿宋" w:eastAsia="仿宋" w:cs="仿宋"/>
          <w:sz w:val="28"/>
          <w:szCs w:val="28"/>
        </w:rPr>
        <w:t>、乙方根据附表1不同检测类别项目各单位单独出具检测报告。</w:t>
      </w:r>
    </w:p>
    <w:p>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第四条：乙方工作人员须在甲方工作人员陪同下进入甲方属下单位采样，且须严格遵守厂区出入登记、安全等各项管理规定。乙方工作人员未经许可不得随意进入厂区的生产区域。</w:t>
      </w:r>
    </w:p>
    <w:p>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第五条 甲方向乙方支付监测技术服务报酬及支付方式为：</w:t>
      </w:r>
    </w:p>
    <w:p>
      <w:pPr>
        <w:ind w:firstLine="560"/>
        <w:rPr>
          <w:rFonts w:hint="eastAsia" w:ascii="仿宋" w:hAnsi="仿宋" w:eastAsia="仿宋" w:cs="仿宋"/>
          <w:sz w:val="28"/>
          <w:szCs w:val="28"/>
        </w:rPr>
      </w:pPr>
      <w:r>
        <w:rPr>
          <w:rFonts w:hint="eastAsia" w:ascii="仿宋" w:hAnsi="仿宋" w:eastAsia="仿宋" w:cs="仿宋"/>
          <w:sz w:val="28"/>
          <w:szCs w:val="28"/>
        </w:rPr>
        <w:t>一、本合同根据附件1的检测项目按照实际检测类别及检测次数结算技术服务报酬，合同款金额含</w:t>
      </w:r>
      <w:r>
        <w:rPr>
          <w:rFonts w:hint="eastAsia" w:ascii="仿宋" w:hAnsi="仿宋" w:eastAsia="仿宋" w:cs="仿宋"/>
          <w:sz w:val="28"/>
          <w:szCs w:val="28"/>
          <w:lang w:val="en-US" w:eastAsia="zh-CN"/>
        </w:rPr>
        <w:t>监测标本</w:t>
      </w:r>
      <w:r>
        <w:rPr>
          <w:rFonts w:hint="eastAsia" w:ascii="仿宋" w:hAnsi="仿宋" w:eastAsia="仿宋" w:cs="仿宋"/>
          <w:sz w:val="28"/>
          <w:szCs w:val="28"/>
        </w:rPr>
        <w:t>送样（快递</w:t>
      </w:r>
      <w:r>
        <w:rPr>
          <w:rFonts w:hint="eastAsia" w:ascii="仿宋" w:hAnsi="仿宋" w:eastAsia="仿宋" w:cs="仿宋"/>
          <w:sz w:val="28"/>
          <w:szCs w:val="28"/>
          <w:lang w:val="en-US" w:eastAsia="zh-CN"/>
        </w:rPr>
        <w:t>费到付乙方承担</w:t>
      </w:r>
      <w:r>
        <w:rPr>
          <w:rFonts w:hint="eastAsia" w:ascii="仿宋" w:hAnsi="仿宋" w:eastAsia="仿宋" w:cs="仿宋"/>
          <w:sz w:val="28"/>
          <w:szCs w:val="28"/>
        </w:rPr>
        <w:t>）及废水</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废气、噪音</w:t>
      </w:r>
      <w:r>
        <w:rPr>
          <w:rFonts w:hint="eastAsia" w:ascii="仿宋" w:hAnsi="仿宋" w:eastAsia="仿宋" w:cs="仿宋"/>
          <w:sz w:val="28"/>
          <w:szCs w:val="28"/>
        </w:rPr>
        <w:t>现场采样费用，如每月废水检测未能到场采样将按附件1项目报价单价扣减现场采样费。</w:t>
      </w:r>
    </w:p>
    <w:p>
      <w:pPr>
        <w:ind w:firstLine="560"/>
        <w:rPr>
          <w:rFonts w:hint="eastAsia" w:ascii="仿宋" w:hAnsi="仿宋" w:eastAsia="仿宋" w:cs="仿宋"/>
          <w:sz w:val="28"/>
          <w:szCs w:val="28"/>
        </w:rPr>
      </w:pPr>
      <w:r>
        <w:rPr>
          <w:rFonts w:hint="eastAsia" w:ascii="仿宋" w:hAnsi="仿宋" w:eastAsia="仿宋" w:cs="仿宋"/>
          <w:sz w:val="28"/>
          <w:szCs w:val="28"/>
        </w:rPr>
        <w:t>二、技术服务费具体支付方式和时间如下：</w:t>
      </w:r>
    </w:p>
    <w:p>
      <w:p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本合同约定金额为暂定金额，实际以双方最终结算为准。</w:t>
      </w:r>
    </w:p>
    <w:p>
      <w:pPr>
        <w:ind w:firstLine="560"/>
        <w:rPr>
          <w:rFonts w:hint="eastAsia" w:ascii="仿宋" w:hAnsi="仿宋" w:eastAsia="仿宋" w:cs="仿宋"/>
          <w:sz w:val="28"/>
          <w:szCs w:val="28"/>
        </w:rPr>
      </w:pPr>
      <w:r>
        <w:rPr>
          <w:rFonts w:hint="eastAsia" w:ascii="仿宋" w:hAnsi="仿宋" w:eastAsia="仿宋" w:cs="仿宋"/>
          <w:sz w:val="28"/>
          <w:szCs w:val="28"/>
        </w:rPr>
        <w:t>第一期：签定合同十日内且乙方提供有效的专用增值税发票后，甲方支付乙方暂定总费用的30%即：</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w:t>
      </w:r>
      <w:r>
        <w:rPr>
          <w:rFonts w:hint="eastAsia" w:ascii="仿宋" w:hAnsi="仿宋" w:eastAsia="仿宋" w:cs="仿宋"/>
          <w:sz w:val="28"/>
          <w:szCs w:val="28"/>
        </w:rPr>
        <w:t>。</w:t>
      </w:r>
    </w:p>
    <w:p>
      <w:pPr>
        <w:ind w:firstLine="560"/>
        <w:rPr>
          <w:rFonts w:hint="eastAsia" w:ascii="仿宋" w:hAnsi="仿宋" w:eastAsia="仿宋" w:cs="仿宋"/>
          <w:sz w:val="28"/>
          <w:szCs w:val="28"/>
        </w:rPr>
      </w:pPr>
      <w:r>
        <w:rPr>
          <w:rFonts w:hint="eastAsia" w:ascii="仿宋" w:hAnsi="仿宋" w:eastAsia="仿宋" w:cs="仿宋"/>
          <w:sz w:val="28"/>
          <w:szCs w:val="28"/>
        </w:rPr>
        <w:t>第二期：乙方提交全部电子档检测报告后</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由甲乙双方按本合同约定进行结算，在乙方</w:t>
      </w:r>
      <w:r>
        <w:rPr>
          <w:rFonts w:hint="eastAsia" w:ascii="仿宋" w:hAnsi="仿宋" w:eastAsia="仿宋" w:cs="仿宋"/>
          <w:sz w:val="28"/>
          <w:szCs w:val="28"/>
        </w:rPr>
        <w:t>提供有效的专用增值税发票后，甲方支付乙方剩余暂定合同总额的70%即：</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w:t>
      </w:r>
      <w:r>
        <w:rPr>
          <w:rFonts w:hint="eastAsia" w:ascii="仿宋" w:hAnsi="仿宋" w:eastAsia="仿宋" w:cs="仿宋"/>
          <w:sz w:val="28"/>
          <w:szCs w:val="28"/>
        </w:rPr>
        <w:t>。第二期费用应按照全年实际检测的数量及附件1项目报价单价进行最终结算，若实际检测费用超合同暂定总价，双方另行签订补充协议。</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三、乙方开户银行名称、地址和帐号为：</w:t>
      </w:r>
    </w:p>
    <w:p>
      <w:pPr>
        <w:spacing w:line="360" w:lineRule="auto"/>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开户名称：</w:t>
      </w:r>
    </w:p>
    <w:p>
      <w:pPr>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开户银行：</w:t>
      </w:r>
    </w:p>
    <w:p>
      <w:pPr>
        <w:spacing w:line="360" w:lineRule="auto"/>
        <w:ind w:firstLine="562" w:firstLineChars="200"/>
        <w:rPr>
          <w:rFonts w:hint="eastAsia" w:ascii="仿宋" w:hAnsi="仿宋" w:eastAsia="仿宋" w:cs="仿宋"/>
          <w:b/>
          <w:sz w:val="28"/>
          <w:szCs w:val="28"/>
          <w:lang w:val="en-US" w:eastAsia="zh-CN"/>
        </w:rPr>
      </w:pPr>
      <w:r>
        <w:rPr>
          <w:rFonts w:hint="eastAsia" w:ascii="仿宋" w:hAnsi="仿宋" w:eastAsia="仿宋" w:cs="仿宋"/>
          <w:b/>
          <w:sz w:val="28"/>
          <w:szCs w:val="28"/>
        </w:rPr>
        <w:t>银行账号：</w:t>
      </w:r>
    </w:p>
    <w:p>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第六条 双方确定因履行本合同应遵守的保密义务如下：</w:t>
      </w:r>
    </w:p>
    <w:p>
      <w:pPr>
        <w:spacing w:line="360" w:lineRule="auto"/>
        <w:ind w:firstLine="560" w:firstLineChars="200"/>
        <w:rPr>
          <w:rFonts w:hint="eastAsia" w:ascii="仿宋" w:hAnsi="仿宋" w:eastAsia="仿宋" w:cs="仿宋"/>
          <w:b/>
          <w:bCs/>
          <w:sz w:val="28"/>
          <w:szCs w:val="28"/>
        </w:rPr>
      </w:pPr>
      <w:r>
        <w:rPr>
          <w:rFonts w:hint="eastAsia" w:ascii="仿宋" w:hAnsi="仿宋" w:eastAsia="仿宋" w:cs="仿宋"/>
          <w:sz w:val="28"/>
          <w:szCs w:val="28"/>
        </w:rPr>
        <w:t>一、保密范围：甲方委托乙方的咨询内容及所监测数据属保密范围。</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二、未经对方许可，不得将对方提供的属于保密范围的信息泄露、披露或提供给第三人使用，并且双方均同意尽量减少前述保密信息的扩散范围。</w:t>
      </w:r>
    </w:p>
    <w:p>
      <w:pPr>
        <w:spacing w:line="360" w:lineRule="auto"/>
        <w:ind w:left="2" w:leftChars="1" w:firstLine="560" w:firstLineChars="200"/>
        <w:rPr>
          <w:rFonts w:hint="eastAsia" w:ascii="仿宋" w:hAnsi="仿宋" w:eastAsia="仿宋" w:cs="仿宋"/>
          <w:sz w:val="28"/>
          <w:szCs w:val="28"/>
        </w:rPr>
      </w:pPr>
      <w:r>
        <w:rPr>
          <w:rFonts w:hint="eastAsia" w:ascii="仿宋" w:hAnsi="仿宋" w:eastAsia="仿宋" w:cs="仿宋"/>
          <w:sz w:val="28"/>
          <w:szCs w:val="28"/>
        </w:rPr>
        <w:t>三、保密期限：双方对本合同所涉及的保密信息在本合同履行完毕后5年内仍然承担保密义务。</w:t>
      </w:r>
    </w:p>
    <w:p>
      <w:pPr>
        <w:spacing w:line="360" w:lineRule="auto"/>
        <w:ind w:left="2" w:leftChars="1" w:firstLine="560" w:firstLineChars="200"/>
        <w:rPr>
          <w:rFonts w:hint="eastAsia" w:ascii="仿宋" w:hAnsi="仿宋" w:eastAsia="仿宋" w:cs="仿宋"/>
          <w:sz w:val="28"/>
          <w:szCs w:val="28"/>
        </w:rPr>
      </w:pPr>
      <w:r>
        <w:rPr>
          <w:rFonts w:hint="eastAsia" w:ascii="仿宋" w:hAnsi="仿宋" w:eastAsia="仿宋" w:cs="仿宋"/>
          <w:sz w:val="28"/>
          <w:szCs w:val="28"/>
        </w:rPr>
        <w:t>四、泄密责任：由于一方泄密给对方造成损失的，泄密方应向对方赔偿由此所造成的全部直接经济损失。</w:t>
      </w:r>
    </w:p>
    <w:p>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第七条：本合同的变更必须由双方协商一致，并以书面形式确定。</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但有下列情形之一的，一方有向另一方提出变更的合同权利与义务。并请被提出方日内予以答复；逾期未予答复的，视为同意：</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一、</w:t>
      </w:r>
      <w:r>
        <w:rPr>
          <w:rFonts w:hint="eastAsia" w:ascii="仿宋" w:hAnsi="仿宋" w:eastAsia="仿宋" w:cs="仿宋"/>
          <w:sz w:val="28"/>
          <w:szCs w:val="28"/>
          <w:u w:val="single"/>
        </w:rPr>
        <w:t xml:space="preserve">                      /                                 。 </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sz w:val="28"/>
          <w:szCs w:val="28"/>
          <w:u w:val="single"/>
        </w:rPr>
        <w:t xml:space="preserve">                      /                                 。 </w:t>
      </w:r>
    </w:p>
    <w:p>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第八条：双方确定，出现下列情形，致使本合同的履行成为不必要或不可能的，可以解除本合同：</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一、发生不可抗力；</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二、甲方可无条件终止合同；</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三、</w:t>
      </w:r>
      <w:r>
        <w:rPr>
          <w:rFonts w:hint="eastAsia" w:ascii="仿宋" w:hAnsi="仿宋" w:eastAsia="仿宋" w:cs="仿宋"/>
          <w:sz w:val="28"/>
          <w:szCs w:val="28"/>
          <w:u w:val="single"/>
        </w:rPr>
        <w:t xml:space="preserve">                      /                                。                                   </w:t>
      </w:r>
    </w:p>
    <w:p>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第九条：双方因履行本合同而发生的争议，应协商、调解解决。</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协商、调解不成的，确定按以下第</w:t>
      </w:r>
      <w:r>
        <w:rPr>
          <w:rFonts w:hint="eastAsia" w:ascii="仿宋" w:hAnsi="仿宋" w:eastAsia="仿宋" w:cs="仿宋"/>
          <w:sz w:val="28"/>
          <w:szCs w:val="28"/>
          <w:u w:val="single"/>
        </w:rPr>
        <w:t xml:space="preserve"> 二  </w:t>
      </w:r>
      <w:r>
        <w:rPr>
          <w:rFonts w:hint="eastAsia" w:ascii="仿宋" w:hAnsi="仿宋" w:eastAsia="仿宋" w:cs="仿宋"/>
          <w:sz w:val="28"/>
          <w:szCs w:val="28"/>
        </w:rPr>
        <w:t>种方式处理：</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一、提交</w:t>
      </w:r>
      <w:r>
        <w:rPr>
          <w:rFonts w:hint="eastAsia" w:ascii="仿宋" w:hAnsi="仿宋" w:eastAsia="仿宋" w:cs="仿宋"/>
          <w:sz w:val="28"/>
          <w:szCs w:val="28"/>
          <w:u w:val="single"/>
        </w:rPr>
        <w:t xml:space="preserve">   中国广州   </w:t>
      </w:r>
      <w:r>
        <w:rPr>
          <w:rFonts w:hint="eastAsia" w:ascii="仿宋" w:hAnsi="仿宋" w:eastAsia="仿宋" w:cs="仿宋"/>
          <w:sz w:val="28"/>
          <w:szCs w:val="28"/>
        </w:rPr>
        <w:t>仲裁委员会仲裁；</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二、依法向甲方人民法院起诉。</w:t>
      </w:r>
    </w:p>
    <w:p>
      <w:pPr>
        <w:spacing w:line="360" w:lineRule="auto"/>
        <w:rPr>
          <w:rFonts w:hint="eastAsia" w:ascii="仿宋" w:hAnsi="仿宋" w:eastAsia="仿宋" w:cs="仿宋"/>
          <w:sz w:val="28"/>
          <w:szCs w:val="28"/>
        </w:rPr>
      </w:pPr>
      <w:r>
        <w:rPr>
          <w:rFonts w:hint="eastAsia" w:ascii="仿宋" w:hAnsi="仿宋" w:eastAsia="仿宋" w:cs="仿宋"/>
          <w:b/>
          <w:bCs/>
          <w:sz w:val="28"/>
          <w:szCs w:val="28"/>
        </w:rPr>
        <w:t>第十条：其他</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1．本合同之所有附件均为合同的有效组成部分，与本合同具有同样法律效力。</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2．执行本合同的过程中，所有经甲乙双方签署确认的文件（包括会议纪要、补充协议、往来信函）即成为本合同的有效组成部分，其生效日期为双方签字盖章或确认之日期。</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3．本合同未尽事宜，双方应本着友好合作的原则，另行商议并写入补充条款。所有修改或补充条款都视为本合同的组成部分，具有与其它条款同等的法律效力。</w:t>
      </w:r>
    </w:p>
    <w:p>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第十一条：本合同一式陆份，甲方执肆份、乙方执贰份，具有同等法律效力。</w:t>
      </w:r>
    </w:p>
    <w:p>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第十二条：本合同经双方法定代表人签字并加盖公章后生效，合同有效期为202</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年</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月</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日起至202</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年</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月</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日止。</w:t>
      </w:r>
    </w:p>
    <w:p>
      <w:pPr>
        <w:spacing w:line="360" w:lineRule="auto"/>
        <w:ind w:left="839" w:leftChars="266" w:hanging="280" w:hangingChars="100"/>
        <w:rPr>
          <w:rFonts w:hint="eastAsia" w:ascii="仿宋" w:hAnsi="仿宋" w:eastAsia="仿宋" w:cs="仿宋"/>
          <w:sz w:val="28"/>
          <w:szCs w:val="28"/>
        </w:rPr>
      </w:pPr>
    </w:p>
    <w:p>
      <w:pPr>
        <w:spacing w:line="360" w:lineRule="auto"/>
        <w:ind w:left="0" w:leftChars="0" w:firstLine="560" w:firstLineChars="200"/>
        <w:rPr>
          <w:rFonts w:hint="eastAsia" w:ascii="仿宋" w:hAnsi="仿宋" w:eastAsia="仿宋" w:cs="仿宋"/>
          <w:sz w:val="28"/>
          <w:szCs w:val="28"/>
        </w:rPr>
      </w:pPr>
    </w:p>
    <w:p>
      <w:pPr>
        <w:spacing w:line="360" w:lineRule="auto"/>
        <w:ind w:left="1519" w:leftChars="190" w:hanging="1120" w:hangingChars="400"/>
        <w:rPr>
          <w:rFonts w:hint="eastAsia" w:ascii="仿宋" w:hAnsi="仿宋" w:eastAsia="仿宋" w:cs="仿宋"/>
          <w:sz w:val="28"/>
          <w:szCs w:val="28"/>
          <w:lang w:val="en-US" w:eastAsia="zh-CN"/>
        </w:rPr>
      </w:pPr>
      <w:r>
        <w:rPr>
          <w:rFonts w:hint="eastAsia" w:ascii="仿宋" w:hAnsi="仿宋" w:eastAsia="仿宋" w:cs="仿宋"/>
          <w:sz w:val="28"/>
          <w:szCs w:val="28"/>
        </w:rPr>
        <w:t>附件：1.广州从化净水有限公司2023年-2024年废水、废气、噪声</w:t>
      </w:r>
      <w:r>
        <w:rPr>
          <w:rFonts w:hint="eastAsia" w:ascii="仿宋" w:hAnsi="仿宋" w:eastAsia="仿宋" w:cs="仿宋"/>
          <w:sz w:val="28"/>
          <w:szCs w:val="28"/>
          <w:lang w:val="en-US" w:eastAsia="zh-CN"/>
        </w:rPr>
        <w:t xml:space="preserve">     </w:t>
      </w:r>
    </w:p>
    <w:p>
      <w:pPr>
        <w:spacing w:line="360" w:lineRule="auto"/>
        <w:ind w:left="1516" w:leftChars="722" w:firstLine="0" w:firstLineChars="0"/>
        <w:rPr>
          <w:rFonts w:hint="eastAsia" w:ascii="仿宋" w:hAnsi="仿宋" w:eastAsia="仿宋" w:cs="仿宋"/>
          <w:sz w:val="28"/>
          <w:szCs w:val="28"/>
        </w:rPr>
      </w:pPr>
      <w:r>
        <w:rPr>
          <w:rFonts w:hint="eastAsia" w:ascii="仿宋" w:hAnsi="仿宋" w:eastAsia="仿宋" w:cs="仿宋"/>
          <w:sz w:val="28"/>
          <w:szCs w:val="28"/>
        </w:rPr>
        <w:t>委托检测项目明细表</w:t>
      </w:r>
    </w:p>
    <w:p>
      <w:pPr>
        <w:pStyle w:val="2"/>
        <w:ind w:firstLine="1400" w:firstLineChars="500"/>
        <w:rPr>
          <w:rFonts w:hint="eastAsia" w:ascii="仿宋" w:hAnsi="仿宋" w:eastAsia="仿宋" w:cs="仿宋"/>
          <w:sz w:val="28"/>
          <w:szCs w:val="28"/>
        </w:rPr>
      </w:pPr>
      <w:r>
        <w:rPr>
          <w:rFonts w:hint="eastAsia" w:ascii="仿宋" w:hAnsi="仿宋" w:eastAsia="仿宋" w:cs="仿宋"/>
          <w:sz w:val="28"/>
          <w:szCs w:val="28"/>
        </w:rPr>
        <w:t>2.廉洁协议</w:t>
      </w:r>
      <w:r>
        <w:rPr>
          <w:rFonts w:hint="eastAsia" w:ascii="仿宋" w:hAnsi="仿宋" w:eastAsia="仿宋" w:cs="仿宋"/>
          <w:sz w:val="28"/>
          <w:szCs w:val="28"/>
          <w:lang w:val="en-US" w:eastAsia="zh-CN"/>
        </w:rPr>
        <w:t>书</w:t>
      </w:r>
    </w:p>
    <w:p>
      <w:pPr>
        <w:pStyle w:val="2"/>
        <w:ind w:firstLine="1400" w:firstLineChars="500"/>
        <w:rPr>
          <w:rFonts w:hint="eastAsia" w:ascii="仿宋" w:hAnsi="仿宋" w:eastAsia="仿宋" w:cs="仿宋"/>
          <w:sz w:val="28"/>
          <w:szCs w:val="28"/>
        </w:rPr>
      </w:pPr>
      <w:r>
        <w:rPr>
          <w:rFonts w:hint="eastAsia" w:ascii="仿宋" w:hAnsi="仿宋" w:eastAsia="仿宋" w:cs="仿宋"/>
          <w:sz w:val="28"/>
          <w:szCs w:val="28"/>
        </w:rPr>
        <w:t>3.职业卫生管理协议书</w:t>
      </w:r>
    </w:p>
    <w:p>
      <w:pPr>
        <w:ind w:firstLine="1400" w:firstLineChars="500"/>
        <w:jc w:val="left"/>
        <w:rPr>
          <w:rFonts w:hint="eastAsia" w:ascii="仿宋" w:hAnsi="仿宋" w:eastAsia="仿宋" w:cs="仿宋"/>
          <w:sz w:val="28"/>
          <w:szCs w:val="28"/>
        </w:rPr>
      </w:pPr>
      <w:r>
        <w:rPr>
          <w:rFonts w:hint="eastAsia" w:ascii="仿宋" w:hAnsi="仿宋" w:eastAsia="仿宋" w:cs="仿宋"/>
          <w:sz w:val="28"/>
          <w:szCs w:val="28"/>
        </w:rPr>
        <w:t>4.安全管理协议书</w:t>
      </w:r>
    </w:p>
    <w:p>
      <w:pPr>
        <w:pStyle w:val="2"/>
        <w:ind w:firstLine="1400" w:firstLineChars="500"/>
        <w:rPr>
          <w:rFonts w:hint="eastAsia" w:ascii="仿宋" w:hAnsi="仿宋" w:eastAsia="仿宋" w:cs="仿宋"/>
          <w:sz w:val="28"/>
          <w:szCs w:val="28"/>
        </w:rPr>
      </w:pPr>
      <w:r>
        <w:rPr>
          <w:rFonts w:hint="eastAsia" w:ascii="仿宋" w:hAnsi="仿宋" w:eastAsia="仿宋" w:cs="仿宋"/>
          <w:sz w:val="28"/>
          <w:szCs w:val="28"/>
        </w:rPr>
        <w:t>5.不诚信行为的情形及相应被暂停参与投标活动的处理标准</w:t>
      </w:r>
    </w:p>
    <w:p>
      <w:pPr>
        <w:pStyle w:val="3"/>
        <w:ind w:firstLine="1400" w:firstLineChars="500"/>
        <w:rPr>
          <w:rFonts w:hint="eastAsia" w:ascii="仿宋" w:hAnsi="仿宋" w:eastAsia="仿宋" w:cs="仿宋"/>
          <w:sz w:val="28"/>
          <w:szCs w:val="28"/>
        </w:rPr>
      </w:pPr>
      <w:r>
        <w:rPr>
          <w:rFonts w:hint="eastAsia" w:ascii="仿宋" w:hAnsi="仿宋" w:eastAsia="仿宋" w:cs="仿宋"/>
          <w:sz w:val="28"/>
          <w:szCs w:val="28"/>
        </w:rPr>
        <w:t>6.水质报告汇总表</w:t>
      </w:r>
    </w:p>
    <w:p>
      <w:pPr>
        <w:pStyle w:val="3"/>
        <w:ind w:firstLine="1400" w:firstLineChars="500"/>
        <w:rPr>
          <w:rFonts w:hint="eastAsia" w:ascii="仿宋" w:hAnsi="仿宋" w:eastAsia="仿宋" w:cs="仿宋"/>
          <w:sz w:val="28"/>
          <w:szCs w:val="28"/>
        </w:rPr>
      </w:pPr>
      <w:r>
        <w:rPr>
          <w:rFonts w:hint="eastAsia" w:ascii="仿宋" w:hAnsi="仿宋" w:eastAsia="仿宋" w:cs="仿宋"/>
          <w:sz w:val="28"/>
          <w:szCs w:val="28"/>
        </w:rPr>
        <w:t>7.防疫管理协议书</w:t>
      </w:r>
    </w:p>
    <w:tbl>
      <w:tblPr>
        <w:tblStyle w:val="23"/>
        <w:tblpPr w:leftFromText="180" w:rightFromText="180" w:vertAnchor="text" w:horzAnchor="page" w:tblpX="666" w:tblpY="403"/>
        <w:tblOverlap w:val="never"/>
        <w:tblW w:w="9559" w:type="dxa"/>
        <w:jc w:val="center"/>
        <w:tblLayout w:type="fixed"/>
        <w:tblCellMar>
          <w:top w:w="0" w:type="dxa"/>
          <w:left w:w="108" w:type="dxa"/>
          <w:bottom w:w="0" w:type="dxa"/>
          <w:right w:w="108" w:type="dxa"/>
        </w:tblCellMar>
      </w:tblPr>
      <w:tblGrid>
        <w:gridCol w:w="4566"/>
        <w:gridCol w:w="4993"/>
      </w:tblGrid>
      <w:tr>
        <w:tblPrEx>
          <w:tblCellMar>
            <w:top w:w="0" w:type="dxa"/>
            <w:left w:w="108" w:type="dxa"/>
            <w:bottom w:w="0" w:type="dxa"/>
            <w:right w:w="108" w:type="dxa"/>
          </w:tblCellMar>
        </w:tblPrEx>
        <w:trPr>
          <w:trHeight w:val="3163" w:hRule="atLeast"/>
          <w:jc w:val="center"/>
        </w:trPr>
        <w:tc>
          <w:tcPr>
            <w:tcW w:w="4566" w:type="dxa"/>
          </w:tcPr>
          <w:p>
            <w:pPr>
              <w:spacing w:line="360" w:lineRule="auto"/>
              <w:rPr>
                <w:rFonts w:ascii="宋体" w:hAnsi="宋体" w:cs="宋体"/>
                <w:szCs w:val="21"/>
              </w:rPr>
            </w:pPr>
            <w:r>
              <w:rPr>
                <w:rFonts w:hint="eastAsia" w:ascii="宋体" w:hAnsi="宋体" w:cs="宋体"/>
                <w:szCs w:val="21"/>
              </w:rPr>
              <w:t>甲方（盖章）：广州</w:t>
            </w:r>
            <w:r>
              <w:rPr>
                <w:rFonts w:hint="eastAsia" w:ascii="宋体" w:hAnsi="宋体" w:cs="宋体"/>
                <w:szCs w:val="21"/>
                <w:lang w:val="en-US" w:eastAsia="zh-CN"/>
              </w:rPr>
              <w:t>从化</w:t>
            </w:r>
            <w:r>
              <w:rPr>
                <w:rFonts w:hint="eastAsia" w:ascii="宋体" w:hAnsi="宋体" w:cs="宋体"/>
                <w:szCs w:val="21"/>
              </w:rPr>
              <w:t>净水有限公司</w:t>
            </w:r>
          </w:p>
          <w:p>
            <w:pPr>
              <w:spacing w:line="360" w:lineRule="auto"/>
              <w:rPr>
                <w:rFonts w:ascii="宋体" w:hAnsi="宋体" w:cs="宋体"/>
                <w:szCs w:val="21"/>
              </w:rPr>
            </w:pPr>
            <w:r>
              <w:rPr>
                <w:rFonts w:hint="eastAsia" w:ascii="宋体" w:hAnsi="宋体" w:cs="宋体"/>
                <w:szCs w:val="21"/>
              </w:rPr>
              <w:t>法定代表或授权代表：</w:t>
            </w:r>
          </w:p>
          <w:p>
            <w:pPr>
              <w:spacing w:line="360" w:lineRule="auto"/>
              <w:rPr>
                <w:rFonts w:ascii="宋体" w:hAnsi="宋体" w:cs="宋体"/>
                <w:szCs w:val="21"/>
              </w:rPr>
            </w:pPr>
            <w:r>
              <w:rPr>
                <w:rFonts w:hint="eastAsia" w:ascii="宋体" w:hAnsi="宋体" w:cs="宋体"/>
                <w:szCs w:val="21"/>
              </w:rPr>
              <w:t>签署日期：</w:t>
            </w:r>
          </w:p>
          <w:p>
            <w:pPr>
              <w:spacing w:line="360" w:lineRule="auto"/>
              <w:rPr>
                <w:rFonts w:hint="eastAsia" w:ascii="宋体" w:hAnsi="宋体" w:cs="宋体"/>
                <w:szCs w:val="21"/>
              </w:rPr>
            </w:pPr>
            <w:r>
              <w:rPr>
                <w:rFonts w:hint="eastAsia" w:ascii="宋体" w:hAnsi="宋体" w:cs="宋体"/>
                <w:szCs w:val="21"/>
              </w:rPr>
              <w:t>地址：</w:t>
            </w:r>
          </w:p>
          <w:p>
            <w:pPr>
              <w:spacing w:line="360" w:lineRule="auto"/>
              <w:rPr>
                <w:rFonts w:hint="default" w:ascii="宋体" w:hAnsi="宋体" w:cs="宋体" w:eastAsiaTheme="minorEastAsia"/>
                <w:szCs w:val="21"/>
                <w:lang w:val="en-US" w:eastAsia="zh-CN"/>
              </w:rPr>
            </w:pPr>
            <w:r>
              <w:rPr>
                <w:rFonts w:hint="eastAsia" w:ascii="宋体" w:hAnsi="宋体" w:cs="宋体"/>
                <w:szCs w:val="21"/>
              </w:rPr>
              <w:t>电话：020-</w:t>
            </w:r>
            <w:r>
              <w:rPr>
                <w:rFonts w:hint="eastAsia" w:ascii="宋体" w:hAnsi="宋体" w:cs="宋体"/>
                <w:szCs w:val="21"/>
                <w:lang w:val="en-US" w:eastAsia="zh-CN"/>
              </w:rPr>
              <w:t>37984611</w:t>
            </w:r>
          </w:p>
          <w:p>
            <w:pPr>
              <w:spacing w:line="360" w:lineRule="auto"/>
              <w:rPr>
                <w:rFonts w:hint="eastAsia" w:ascii="宋体" w:hAnsi="宋体" w:cs="宋体"/>
                <w:szCs w:val="21"/>
                <w:lang w:val="en-US" w:eastAsia="zh-CN"/>
              </w:rPr>
            </w:pPr>
            <w:r>
              <w:rPr>
                <w:rFonts w:hint="eastAsia" w:ascii="宋体" w:hAnsi="宋体" w:cs="宋体"/>
                <w:szCs w:val="21"/>
              </w:rPr>
              <w:t>传真：020-</w:t>
            </w:r>
            <w:r>
              <w:rPr>
                <w:rFonts w:hint="eastAsia" w:ascii="宋体" w:hAnsi="宋体" w:cs="宋体"/>
                <w:szCs w:val="21"/>
                <w:lang w:val="en-US" w:eastAsia="zh-CN"/>
              </w:rPr>
              <w:t xml:space="preserve">37984611 </w:t>
            </w:r>
          </w:p>
          <w:p/>
          <w:p>
            <w:pPr>
              <w:pStyle w:val="3"/>
              <w:rPr>
                <w:rFonts w:hint="eastAsia"/>
              </w:rPr>
            </w:pPr>
          </w:p>
          <w:p>
            <w:pPr>
              <w:pStyle w:val="22"/>
              <w:rPr>
                <w:rFonts w:hint="eastAsia"/>
              </w:rPr>
            </w:pPr>
          </w:p>
        </w:tc>
        <w:tc>
          <w:tcPr>
            <w:tcW w:w="4993" w:type="dxa"/>
          </w:tcPr>
          <w:p>
            <w:pPr>
              <w:spacing w:line="360" w:lineRule="auto"/>
              <w:rPr>
                <w:rFonts w:ascii="宋体" w:hAnsi="宋体" w:cs="宋体"/>
                <w:szCs w:val="21"/>
              </w:rPr>
            </w:pPr>
            <w:r>
              <w:rPr>
                <w:rFonts w:hint="eastAsia" w:ascii="宋体" w:hAnsi="宋体" w:cs="宋体"/>
                <w:szCs w:val="21"/>
              </w:rPr>
              <w:t xml:space="preserve">乙方（盖章）：        </w:t>
            </w:r>
          </w:p>
          <w:p>
            <w:pPr>
              <w:spacing w:line="360" w:lineRule="auto"/>
              <w:rPr>
                <w:rFonts w:ascii="宋体" w:hAnsi="宋体" w:cs="宋体"/>
                <w:szCs w:val="21"/>
              </w:rPr>
            </w:pPr>
            <w:r>
              <w:rPr>
                <w:rFonts w:hint="eastAsia" w:ascii="宋体" w:hAnsi="宋体" w:cs="宋体"/>
                <w:szCs w:val="21"/>
              </w:rPr>
              <w:t>法定代表或授权代表：</w:t>
            </w:r>
          </w:p>
          <w:p>
            <w:pPr>
              <w:spacing w:line="360" w:lineRule="auto"/>
              <w:rPr>
                <w:rFonts w:ascii="宋体" w:hAnsi="宋体" w:cs="宋体"/>
                <w:szCs w:val="21"/>
              </w:rPr>
            </w:pPr>
            <w:r>
              <w:rPr>
                <w:rFonts w:hint="eastAsia" w:ascii="宋体" w:hAnsi="宋体" w:cs="宋体"/>
                <w:szCs w:val="21"/>
              </w:rPr>
              <w:t>签署日期：</w:t>
            </w:r>
          </w:p>
          <w:p>
            <w:pPr>
              <w:spacing w:line="360" w:lineRule="auto"/>
              <w:rPr>
                <w:rFonts w:ascii="宋体" w:hAnsi="宋体" w:cs="宋体"/>
                <w:szCs w:val="21"/>
              </w:rPr>
            </w:pPr>
            <w:r>
              <w:rPr>
                <w:rFonts w:hint="eastAsia" w:ascii="宋体" w:hAnsi="宋体" w:cs="宋体"/>
                <w:szCs w:val="21"/>
              </w:rPr>
              <w:t xml:space="preserve">地址：          </w:t>
            </w:r>
          </w:p>
          <w:p>
            <w:pPr>
              <w:spacing w:line="360" w:lineRule="auto"/>
              <w:rPr>
                <w:rFonts w:ascii="宋体" w:hAnsi="宋体" w:cs="宋体"/>
                <w:szCs w:val="21"/>
              </w:rPr>
            </w:pPr>
            <w:r>
              <w:rPr>
                <w:rFonts w:hint="eastAsia" w:ascii="宋体" w:hAnsi="宋体" w:cs="宋体"/>
                <w:szCs w:val="21"/>
              </w:rPr>
              <w:t xml:space="preserve">电话： </w:t>
            </w:r>
          </w:p>
          <w:p>
            <w:pPr>
              <w:spacing w:line="360" w:lineRule="auto"/>
              <w:rPr>
                <w:rFonts w:ascii="宋体" w:hAnsi="宋体" w:cs="宋体"/>
                <w:szCs w:val="21"/>
              </w:rPr>
            </w:pPr>
            <w:r>
              <w:rPr>
                <w:rFonts w:hint="eastAsia" w:ascii="宋体" w:hAnsi="宋体" w:cs="宋体"/>
                <w:szCs w:val="21"/>
              </w:rPr>
              <w:t xml:space="preserve">传真：  </w:t>
            </w:r>
          </w:p>
          <w:p>
            <w:pPr>
              <w:pStyle w:val="22"/>
              <w:rPr>
                <w:rFonts w:hint="eastAsia"/>
              </w:rPr>
            </w:pPr>
          </w:p>
        </w:tc>
      </w:tr>
    </w:tbl>
    <w:p>
      <w:pPr>
        <w:rPr>
          <w:rFonts w:hint="eastAsia" w:ascii="仿宋" w:hAnsi="仿宋" w:eastAsia="仿宋" w:cs="仿宋"/>
          <w:b/>
          <w:sz w:val="28"/>
          <w:szCs w:val="28"/>
        </w:rPr>
      </w:pPr>
    </w:p>
    <w:p>
      <w:pPr>
        <w:rPr>
          <w:rFonts w:hint="eastAsia" w:ascii="仿宋" w:hAnsi="仿宋" w:eastAsia="仿宋" w:cs="仿宋"/>
          <w:b/>
          <w:sz w:val="28"/>
          <w:szCs w:val="28"/>
        </w:rPr>
      </w:pPr>
    </w:p>
    <w:p>
      <w:pPr>
        <w:rPr>
          <w:rFonts w:hint="eastAsia" w:ascii="仿宋" w:hAnsi="仿宋" w:eastAsia="仿宋" w:cs="仿宋"/>
          <w:b/>
          <w:sz w:val="28"/>
          <w:szCs w:val="28"/>
        </w:rPr>
        <w:sectPr>
          <w:pgSz w:w="11906" w:h="16838"/>
          <w:pgMar w:top="1089" w:right="1466" w:bottom="1089" w:left="1077" w:header="851" w:footer="992" w:gutter="0"/>
          <w:cols w:space="720" w:num="1"/>
          <w:docGrid w:type="lines" w:linePitch="312" w:charSpace="0"/>
        </w:sectPr>
      </w:pPr>
    </w:p>
    <w:p>
      <w:pPr>
        <w:rPr>
          <w:b/>
          <w:sz w:val="28"/>
          <w:szCs w:val="28"/>
        </w:rPr>
      </w:pPr>
      <w:r>
        <w:rPr>
          <w:rFonts w:hint="eastAsia"/>
          <w:b/>
          <w:sz w:val="28"/>
          <w:szCs w:val="28"/>
        </w:rPr>
        <w:t>附件1：</w:t>
      </w:r>
    </w:p>
    <w:p>
      <w:pPr>
        <w:jc w:val="center"/>
        <w:rPr>
          <w:b/>
          <w:sz w:val="30"/>
          <w:szCs w:val="30"/>
        </w:rPr>
      </w:pPr>
      <w:r>
        <w:rPr>
          <w:rFonts w:hint="eastAsia"/>
          <w:b/>
          <w:sz w:val="30"/>
          <w:szCs w:val="30"/>
        </w:rPr>
        <w:t>广州从化净水有限公司2023年-2024年废水、废气、噪声项目明细表</w:t>
      </w:r>
    </w:p>
    <w:tbl>
      <w:tblPr>
        <w:tblStyle w:val="23"/>
        <w:tblpPr w:leftFromText="180" w:rightFromText="180" w:vertAnchor="text" w:horzAnchor="page" w:tblpX="262" w:tblpY="81"/>
        <w:tblOverlap w:val="never"/>
        <w:tblW w:w="16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9"/>
        <w:gridCol w:w="717"/>
        <w:gridCol w:w="1210"/>
        <w:gridCol w:w="3964"/>
        <w:gridCol w:w="2266"/>
        <w:gridCol w:w="762"/>
        <w:gridCol w:w="1327"/>
        <w:gridCol w:w="1089"/>
        <w:gridCol w:w="1137"/>
        <w:gridCol w:w="884"/>
        <w:gridCol w:w="819"/>
        <w:gridCol w:w="870"/>
        <w:gridCol w:w="8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类别</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类型</w:t>
            </w: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检测项目</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净水厂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a.点位数</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b.取样检测频率</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c.计划取样检测次数</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d.计划取样检测量</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(=a*c)</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检测费用单价（元）</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检测费用总价（元）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现场采样费单价（元）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现场采样费总价（元）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0" w:hRule="atLeast"/>
        </w:trPr>
        <w:tc>
          <w:tcPr>
            <w:tcW w:w="5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废水</w:t>
            </w:r>
          </w:p>
        </w:tc>
        <w:tc>
          <w:tcPr>
            <w:tcW w:w="12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进水（每月）</w:t>
            </w: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化学需氧量、氨氮、悬浮物、总磷、总氮、pH值、五日生化需氧量、总汞、总镉、总铬、六价铬、总砷、总铅、动植物油、石油类、阴离子表面活性剂、色度、烷基汞、硫化物、总余氯、粪大肠菌群（21项）</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水质净化厂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每月1次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化学需氧量、氨氮、悬浮物、总磷、总氮、pH值、五日生化需氧量、总汞、总镉、总铬、六价铬、总砷、总铅、动植物油、石油类、阴离子表面活性剂、色度、烷基汞、粪大肠菌群数、硫化物（20项）</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明珠污水处理厂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每月1次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中心城区污水处理厂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每月1次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太平镇污水处理厂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每月1次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温泉镇污水处理厂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每月1次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良口镇污水处理厂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每月1次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鳌头镇污水处理厂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每月1次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吕田镇污水处理厂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每月1次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出水（每月）</w:t>
            </w: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化学需氧量、氨氮、悬浮物、总磷、总氮、pH值、五日生化需氧量、总汞、总镉、总铬、六价铬、总砷、总铅、动植物油、石油类、阴离子表面活性剂、色度、烷基汞、硫化物、总余氯、粪大肠菌群（21项）</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水质净化厂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每月1次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化学需氧量、氨氮、悬浮物、总磷、总氮、pH值、五日生化需氧量、总汞、总镉、总铬、六价铬、总砷、总铅、动植物油、石油类、阴离子表面活性剂、色度、烷基汞、硫化物、粪大肠菌群数（20项）</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明珠污水处理厂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每月1次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中心城区污水处理厂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每月1次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太平镇污水处理厂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每月1次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温泉镇污水处理厂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每月1次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良口镇污水处理厂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每月1次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鳌头镇污水处理厂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每月1次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吕田镇污水处理厂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每月1次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废气</w:t>
            </w:r>
          </w:p>
        </w:tc>
        <w:tc>
          <w:tcPr>
            <w:tcW w:w="12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无组织废气</w:t>
            </w:r>
          </w:p>
        </w:tc>
        <w:tc>
          <w:tcPr>
            <w:tcW w:w="39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氨、硫化氢、臭气浓度、甲烷（4项）</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水质净化厂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每季度1次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明珠污水处理厂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每半年1次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中心城区污水处理厂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每半年1次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太平镇污水处理厂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每半年1次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温泉镇污水处理厂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每半年1次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良口镇污水处理厂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每半年1次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鳌头镇污水处理厂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每半年1次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吕田镇污水处理厂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每半年1次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有组织废气</w:t>
            </w:r>
          </w:p>
        </w:tc>
        <w:tc>
          <w:tcPr>
            <w:tcW w:w="39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氨、硫化氢、臭气浓度、甲烷（4项）</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水质净化厂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每季度1次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明珠污水处理厂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每半年1次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中心城区污水处理厂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每半年1次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太平镇污水处理厂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每半年1次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温泉镇污水处理厂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每半年1次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良口镇污水处理厂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每半年1次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鳌头镇污水处理厂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每半年1次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吕田镇污水处理厂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每半年1次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噪声</w:t>
            </w:r>
          </w:p>
        </w:tc>
        <w:tc>
          <w:tcPr>
            <w:tcW w:w="12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厂界噪声</w:t>
            </w: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昼间、夜间（2项）</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水质净化厂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每季度1次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昼间（1项）</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明珠污水处理厂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每半年1次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昼间（1项）</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中心城区污水处理厂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每半年1次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昼间（1项）</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太平镇污水处理厂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每半年1次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昼间（1项）</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温泉镇污水处理厂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每半年1次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昼间（1项）</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良口镇污水处理厂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每半年1次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昼间（1项）</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鳌头镇污水处理厂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每半年1次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昼间（1项）</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吕田镇污水处理厂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每半年1次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油烟废气</w:t>
            </w:r>
          </w:p>
        </w:tc>
        <w:tc>
          <w:tcPr>
            <w:tcW w:w="12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饮食业油烟</w:t>
            </w:r>
          </w:p>
        </w:tc>
        <w:tc>
          <w:tcPr>
            <w:tcW w:w="39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饮食业油烟（1项）</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中心城区污水处理厂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每年1次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温泉镇污水处理厂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每年1次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良口镇污水处理厂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每年1次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鳌头镇污水处理厂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每年1次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5" w:hRule="atLeast"/>
        </w:trPr>
        <w:tc>
          <w:tcPr>
            <w:tcW w:w="5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废水</w:t>
            </w:r>
          </w:p>
        </w:tc>
        <w:tc>
          <w:tcPr>
            <w:tcW w:w="12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水样</w:t>
            </w: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机物未知物分析：氯乙烯、1,1-二氯乙烯、二氯甲烷、反式-1,2-二氯乙烯、1,1-二氯乙烷、氯丁二烯、顺式-1,2-二氯乙烯、2,2-二氯丙烷、溴氯甲烷、氯仿、二溴氟甲烷（替代物）、1,1,1-三氯乙烷、1,1-二氯丙烯、四氯化碳、苯、1,2-二氯乙烷、氟苯（内标）、三氯乙烯、1,2-二氯丙烷、二溴甲烷、一溴二氯甲烷、环氧氯丙烷、顺式-1,3-二氯丙烯、甲苯-d8（替代物）、甲苯、反式-1,3-二氯丙烯、1,1,2-三氯乙烷、四氯乙烯、1,3-二氯丙烷、二溴氯甲烷、1,2-二溴乙烷、氯苯、1,1,1,2-四氯乙烷、乙苯、间/对-二甲苯、邻-二甲苯、苯乙烯、溴仿、异丙苯、4-溴氟苯（替代物）、溴苯、1,1,2,2-四氯乙烷、1,2,3-三氯丙烷、正丙苯、2-氯甲苯、4-氯甲苯、1,3,5-三甲基苯、叔丁基苯、1,2,4-三甲基苯、仲丁基苯、1,3-二氯苯、4-异丙基甲苯、1,4-二氯苯、1,4-二氯苯-d4（内标）、1,2-二氯苯、正丁基苯、1,2-二溴-3-氯丙烷、1,2,4-三氯苯、六氯丁二烯、萘、1,2,3-三氯苯（62项）</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水质净化厂           明珠污水处理厂          中心城区污水处理厂  太平镇污水处理厂    温泉镇污水处理厂    良口镇污水处理厂    鳌头镇污水处理厂    吕田镇污水处理厂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每年6次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6"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挥发酚（1项）</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水质净化厂           明珠污水处理厂          中心城区污水处理厂  太平镇污水处理厂    温泉镇污水处理厂    良口镇污水处理厂    鳌头镇污水处理厂    吕田镇污水处理厂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每年6次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1"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化学需氧量（1项）</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水质净化厂           明珠污水处理厂          中心城区污水处理厂  太平镇污水处理厂    温泉镇污水处理厂    良口镇污水处理厂    鳌头镇污水处理厂    吕田镇污水处理厂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每年6次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6"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五日生化需氧量（1项）</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水质净化厂           明珠污水处理厂          中心城区污水处理厂  太平镇污水处理厂    温泉镇污水处理厂    良口镇污水处理厂    鳌头镇污水处理厂    吕田镇污水处理厂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每年6次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1"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氨氮（1项）</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水质净化厂           明珠污水处理厂          中心城区污水处理厂  太平镇污水处理厂    温泉镇污水处理厂    良口镇污水处理厂    鳌头镇污水处理厂    吕田镇污水处理厂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每年6次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1"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总磷（1项）</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水质净化厂           明珠污水处理厂          中心城区污水处理厂  太平镇污水处理厂    温泉镇污水处理厂    良口镇污水处理厂    鳌头镇污水处理厂    吕田镇污水处理厂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每年6次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1"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总氮（1项）</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水质净化厂           明珠污水处理厂          中心城区污水处理厂  太平镇污水处理厂    温泉镇污水处理厂    良口镇污水处理厂    鳌头镇污水处理厂    吕田镇污水处理厂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每年6次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6"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pH值（1项）</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水质净化厂           明珠污水处理厂          中心城区污水处理厂  太平镇污水处理厂    温泉镇污水处理厂    良口镇污水处理厂    鳌头镇污水处理厂    吕田镇污水处理厂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每年6次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1"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氰化物（1项）</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水质净化厂           明珠污水处理厂          中心城区污水处理厂  太平镇污水处理厂    温泉镇污水处理厂    良口镇污水处理厂    鳌头镇污水处理厂    吕田镇污水处理厂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每年6次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6"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重金属离子：总铬、六价铬、总镍、总镉、总银、总铅、总汞、总铜、总锌、总铁、总铝（11项）</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水质净化厂           明珠污水处理厂          中心城区污水处理厂  太平镇污水处理厂    温泉镇污水处理厂    良口镇污水处理厂    鳌头镇污水处理厂    吕田镇污水处理厂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每年6次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1"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有机农药类：阿特拉津、氯丹、p,p'-滴滴滴、p,p'-滴滴伊、滴滴涕、敌敌畏、乐果、硫丹、七氯、α-六六六、β-六六六、γ-六六六、六氯苯（13项）  </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水质净化厂           明珠污水处理厂          中心城区污水处理厂  太平镇污水处理厂    温泉镇污水处理厂    良口镇污水处理厂    鳌头镇污水处理厂    吕田镇污水处理厂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每年6次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6"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废气</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无组织废气</w:t>
            </w: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氨、硫化氢、臭气浓度、甲烷（4项）</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水质净化厂           明珠污水处理厂          中心城区污水处理厂  太平镇污水处理厂    温泉镇污水处理厂    良口镇污水处理厂    鳌头镇污水处理厂    吕田镇污水处理厂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每季度1次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6" w:hRule="atLeast"/>
        </w:trPr>
        <w:tc>
          <w:tcPr>
            <w:tcW w:w="5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噪声</w:t>
            </w:r>
          </w:p>
        </w:tc>
        <w:tc>
          <w:tcPr>
            <w:tcW w:w="12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厂界噪声</w:t>
            </w: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夜间（1项）</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水质净化厂           明珠污水处理厂          中心城区污水处理厂  太平镇污水处理厂    温泉镇污水处理厂    良口镇污水处理厂    鳌头镇污水处理厂    吕田镇污水处理厂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每季度1次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1"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昼间（1项）</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水质净化厂           明珠污水处理厂          中心城区污水处理厂  太平镇污水处理厂    温泉镇污水处理厂    良口镇污水处理厂    鳌头镇污水处理厂    吕田镇污水处理厂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每季度1次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107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合计（含税）</w:t>
            </w:r>
          </w:p>
        </w:tc>
        <w:tc>
          <w:tcPr>
            <w:tcW w:w="56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pStyle w:val="2"/>
      </w:pP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sectPr>
          <w:pgSz w:w="16840" w:h="11907" w:orient="landscape"/>
          <w:pgMar w:top="1134" w:right="1588" w:bottom="1021" w:left="779" w:header="737" w:footer="454" w:gutter="0"/>
          <w:cols w:space="720" w:num="1"/>
          <w:docGrid w:type="linesAndChars" w:linePitch="312" w:charSpace="0"/>
        </w:sectPr>
      </w:pPr>
      <w:r>
        <w:rPr>
          <w:rFonts w:hint="eastAsia" w:ascii="宋体" w:hAnsi="宋体" w:eastAsia="宋体" w:cs="宋体"/>
          <w:i w:val="0"/>
          <w:iCs w:val="0"/>
          <w:color w:val="000000"/>
          <w:kern w:val="0"/>
          <w:sz w:val="20"/>
          <w:szCs w:val="20"/>
          <w:u w:val="none"/>
          <w:lang w:val="en-US" w:eastAsia="zh-CN" w:bidi="ar"/>
        </w:rPr>
        <w:t>备注：无组织废气：上风向1个点，下风向3个点，各采集4次氨，测4项指标（氨、硫化氢、甲烷、臭气浓度）；有组织废气1个点，各采集4次，测4项指标（氨、硫化氢、甲烷、臭气浓度）</w:t>
      </w:r>
    </w:p>
    <w:p>
      <w:pPr>
        <w:rPr>
          <w:b/>
          <w:sz w:val="28"/>
          <w:szCs w:val="28"/>
        </w:rPr>
      </w:pPr>
      <w:r>
        <w:rPr>
          <w:rFonts w:hint="eastAsia"/>
          <w:b/>
          <w:sz w:val="28"/>
          <w:szCs w:val="28"/>
        </w:rPr>
        <w:t>附件2：</w:t>
      </w:r>
    </w:p>
    <w:p>
      <w:pPr>
        <w:tabs>
          <w:tab w:val="left" w:pos="709"/>
        </w:tabs>
        <w:spacing w:line="500" w:lineRule="exact"/>
        <w:ind w:firstLine="708" w:firstLineChars="147"/>
        <w:jc w:val="center"/>
        <w:rPr>
          <w:rFonts w:ascii="宋体" w:hAnsi="宋体"/>
          <w:b/>
          <w:sz w:val="48"/>
          <w:szCs w:val="48"/>
        </w:rPr>
      </w:pPr>
      <w:r>
        <w:rPr>
          <w:rFonts w:hint="eastAsia" w:ascii="宋体" w:hAnsi="宋体"/>
          <w:b/>
          <w:sz w:val="48"/>
          <w:szCs w:val="48"/>
        </w:rPr>
        <w:t>廉洁协议书</w:t>
      </w:r>
    </w:p>
    <w:p>
      <w:pPr>
        <w:spacing w:line="500" w:lineRule="exact"/>
        <w:rPr>
          <w:rFonts w:ascii="宋体" w:hAnsi="宋体"/>
          <w:sz w:val="24"/>
        </w:rPr>
      </w:pPr>
    </w:p>
    <w:p>
      <w:pPr>
        <w:rPr>
          <w:sz w:val="28"/>
          <w:szCs w:val="28"/>
        </w:rPr>
      </w:pPr>
      <w:r>
        <w:rPr>
          <w:rFonts w:hint="eastAsia"/>
          <w:sz w:val="28"/>
          <w:szCs w:val="28"/>
        </w:rPr>
        <w:t xml:space="preserve">发包人（甲方）：广州从化净水有限公司                                               </w:t>
      </w:r>
    </w:p>
    <w:p>
      <w:pPr>
        <w:rPr>
          <w:rFonts w:hint="eastAsia"/>
          <w:sz w:val="28"/>
          <w:szCs w:val="28"/>
        </w:rPr>
      </w:pPr>
      <w:r>
        <w:rPr>
          <w:rFonts w:hint="eastAsia"/>
          <w:sz w:val="28"/>
          <w:szCs w:val="28"/>
        </w:rPr>
        <w:t>承包人（乙方）：</w:t>
      </w:r>
    </w:p>
    <w:p>
      <w:pPr>
        <w:ind w:firstLine="560" w:firstLineChars="200"/>
        <w:rPr>
          <w:sz w:val="28"/>
          <w:szCs w:val="28"/>
        </w:rPr>
      </w:pPr>
      <w:r>
        <w:rPr>
          <w:rFonts w:hint="eastAsia"/>
          <w:sz w:val="28"/>
          <w:szCs w:val="28"/>
        </w:rPr>
        <w:t>为加强廉洁建设，防止各种谋取不正当利益的违法违纪行为发生，发包人、承包人双方经共同协商，在双方签订的</w:t>
      </w:r>
      <w:r>
        <w:rPr>
          <w:rFonts w:hint="eastAsia"/>
          <w:sz w:val="28"/>
          <w:szCs w:val="28"/>
          <w:u w:val="single"/>
          <w:lang w:val="en-US" w:eastAsia="zh-CN"/>
        </w:rPr>
        <w:t xml:space="preserve">                 </w:t>
      </w:r>
      <w:r>
        <w:rPr>
          <w:rFonts w:hint="eastAsia"/>
          <w:sz w:val="28"/>
          <w:szCs w:val="28"/>
        </w:rPr>
        <w:t>（以下简称“本项目”）（</w:t>
      </w:r>
      <w:r>
        <w:rPr>
          <w:rFonts w:hint="eastAsia"/>
          <w:sz w:val="28"/>
          <w:szCs w:val="28"/>
          <w:u w:val="single"/>
        </w:rPr>
        <w:t>合同编号：穗从化净水合﹝202 ﹞   号，以下简称“主合同”</w:t>
      </w:r>
      <w:r>
        <w:rPr>
          <w:rFonts w:hint="eastAsia"/>
          <w:sz w:val="28"/>
          <w:szCs w:val="28"/>
        </w:rPr>
        <w:t>）约定条款的基础上，签订本协议以保证合作双方员工的廉洁自律，保护国家、集体和协议双方的合同权益。据此，根据国家有关法律法规和廉洁建设的有关规定，特订立本廉洁协议书，以资共同遵守。</w:t>
      </w:r>
    </w:p>
    <w:p>
      <w:pPr>
        <w:rPr>
          <w:sz w:val="28"/>
          <w:szCs w:val="28"/>
        </w:rPr>
      </w:pPr>
      <w:r>
        <w:rPr>
          <w:rFonts w:hint="eastAsia"/>
          <w:sz w:val="28"/>
          <w:szCs w:val="28"/>
        </w:rPr>
        <w:t>一、双方的责任</w:t>
      </w:r>
    </w:p>
    <w:p>
      <w:pPr>
        <w:rPr>
          <w:sz w:val="28"/>
          <w:szCs w:val="28"/>
        </w:rPr>
      </w:pPr>
      <w:r>
        <w:rPr>
          <w:rFonts w:hint="eastAsia"/>
          <w:sz w:val="28"/>
          <w:szCs w:val="28"/>
        </w:rPr>
        <w:t>（一）应严格遵守国家关于市场准入、项目询价投标、工程建设和市场经营活动等有关法律、法规，相关政策，以及廉洁建设的各项规定。</w:t>
      </w:r>
    </w:p>
    <w:p>
      <w:pPr>
        <w:rPr>
          <w:sz w:val="28"/>
          <w:szCs w:val="28"/>
        </w:rPr>
      </w:pPr>
      <w:r>
        <w:rPr>
          <w:rFonts w:hint="eastAsia"/>
          <w:sz w:val="28"/>
          <w:szCs w:val="28"/>
        </w:rPr>
        <w:t>（二）严格执行主合同文件，自觉按合同办事。</w:t>
      </w:r>
    </w:p>
    <w:p>
      <w:pPr>
        <w:rPr>
          <w:sz w:val="28"/>
          <w:szCs w:val="28"/>
        </w:rPr>
      </w:pPr>
      <w:r>
        <w:rPr>
          <w:rFonts w:hint="eastAsia"/>
          <w:sz w:val="28"/>
          <w:szCs w:val="28"/>
        </w:rPr>
        <w:t>（三）各项活动必须坚持公开、公平、公正、诚信的原则（除法律法规另有规定者外），不得为获取不正当的利益，损害国家、集体和对方利益，不得违反项目管理的规章制度。</w:t>
      </w:r>
    </w:p>
    <w:p>
      <w:pPr>
        <w:rPr>
          <w:sz w:val="28"/>
          <w:szCs w:val="28"/>
        </w:rPr>
      </w:pPr>
      <w:r>
        <w:rPr>
          <w:rFonts w:hint="eastAsia"/>
          <w:sz w:val="28"/>
          <w:szCs w:val="28"/>
        </w:rPr>
        <w:t>（四）发现在业务活动中任何一方单位或人员有违规、违纪、违法行为的，有义务向其上级主管部门或纪检监察、司法等机关举报。</w:t>
      </w:r>
    </w:p>
    <w:p>
      <w:pPr>
        <w:rPr>
          <w:sz w:val="28"/>
          <w:szCs w:val="28"/>
        </w:rPr>
      </w:pPr>
      <w:r>
        <w:rPr>
          <w:rFonts w:hint="eastAsia"/>
          <w:sz w:val="28"/>
          <w:szCs w:val="28"/>
        </w:rPr>
        <w:t xml:space="preserve">二、甲方责任 </w:t>
      </w:r>
    </w:p>
    <w:p>
      <w:pPr>
        <w:rPr>
          <w:sz w:val="28"/>
          <w:szCs w:val="28"/>
        </w:rPr>
      </w:pPr>
      <w:r>
        <w:rPr>
          <w:rFonts w:hint="eastAsia"/>
          <w:sz w:val="28"/>
          <w:szCs w:val="28"/>
        </w:rPr>
        <w:t>（一）甲方有责任向乙方介绍本单位的有关廉洁建设的各项制度和规定。</w:t>
      </w:r>
    </w:p>
    <w:p>
      <w:pPr>
        <w:rPr>
          <w:sz w:val="28"/>
          <w:szCs w:val="28"/>
        </w:rPr>
      </w:pPr>
      <w:r>
        <w:rPr>
          <w:rFonts w:hint="eastAsia"/>
          <w:sz w:val="28"/>
          <w:szCs w:val="28"/>
        </w:rPr>
        <w:t>（二）甲方有责任对本单位项目经办人员进行廉洁</w:t>
      </w:r>
      <w:r>
        <w:fldChar w:fldCharType="begin"/>
      </w:r>
      <w:r>
        <w:instrText xml:space="preserve"> HYPERLINK "http://www.jianshe99.com/web/wangxiao/" \t "_blank" \o "教育" </w:instrText>
      </w:r>
      <w:r>
        <w:fldChar w:fldCharType="separate"/>
      </w:r>
      <w:r>
        <w:rPr>
          <w:rFonts w:hint="eastAsia"/>
          <w:sz w:val="28"/>
          <w:szCs w:val="28"/>
        </w:rPr>
        <w:t>教育</w:t>
      </w:r>
      <w:r>
        <w:rPr>
          <w:rFonts w:hint="eastAsia"/>
          <w:sz w:val="28"/>
          <w:szCs w:val="28"/>
        </w:rPr>
        <w:fldChar w:fldCharType="end"/>
      </w:r>
      <w:r>
        <w:rPr>
          <w:rFonts w:hint="eastAsia"/>
          <w:sz w:val="28"/>
          <w:szCs w:val="28"/>
        </w:rPr>
        <w:t>；督促甲方人员严格遵守本单位制度和如下廉洁规定：</w:t>
      </w:r>
    </w:p>
    <w:p>
      <w:pPr>
        <w:rPr>
          <w:sz w:val="28"/>
          <w:szCs w:val="28"/>
        </w:rPr>
      </w:pPr>
      <w:r>
        <w:rPr>
          <w:rFonts w:hint="eastAsia"/>
          <w:sz w:val="28"/>
          <w:szCs w:val="28"/>
        </w:rPr>
        <w:t>1.不得向乙方和相关单位索要或接受回扣、礼金、有价证券、贵重物品和好处费、感谢费等，难以拒收的，必须按有关规定登记上交。</w:t>
      </w:r>
    </w:p>
    <w:p>
      <w:pPr>
        <w:rPr>
          <w:sz w:val="28"/>
          <w:szCs w:val="28"/>
        </w:rPr>
      </w:pPr>
      <w:r>
        <w:rPr>
          <w:rFonts w:hint="eastAsia"/>
          <w:sz w:val="28"/>
          <w:szCs w:val="28"/>
        </w:rPr>
        <w:t>2.不得在乙方和相关单位报销任何应由发包人或个人支付的费用。</w:t>
      </w:r>
    </w:p>
    <w:p>
      <w:pPr>
        <w:rPr>
          <w:sz w:val="28"/>
          <w:szCs w:val="28"/>
        </w:rPr>
      </w:pPr>
      <w:r>
        <w:rPr>
          <w:rFonts w:hint="eastAsia"/>
          <w:sz w:val="28"/>
          <w:szCs w:val="28"/>
        </w:rPr>
        <w:t>3.不得要求、暗示或接受乙方和相关单位为其装修住房、婚丧嫁娶、配偶子女的工作安排以及出国（境）、旅游等提供方便。</w:t>
      </w:r>
    </w:p>
    <w:p>
      <w:pPr>
        <w:rPr>
          <w:sz w:val="28"/>
          <w:szCs w:val="28"/>
        </w:rPr>
      </w:pPr>
      <w:r>
        <w:rPr>
          <w:rFonts w:hint="eastAsia"/>
          <w:sz w:val="28"/>
          <w:szCs w:val="28"/>
        </w:rPr>
        <w:t>4.不得参加有可能影响公正履行岗位职责的乙方和相关单位安排的宴请、健身、娱乐等活动。</w:t>
      </w:r>
    </w:p>
    <w:p>
      <w:pPr>
        <w:rPr>
          <w:sz w:val="28"/>
          <w:szCs w:val="28"/>
        </w:rPr>
      </w:pPr>
      <w:r>
        <w:rPr>
          <w:rFonts w:hint="eastAsia"/>
          <w:sz w:val="28"/>
          <w:szCs w:val="28"/>
        </w:rPr>
        <w:t>5.不得向乙方和相关单位介绍或为配偶、子女、亲属参与同发包人项目有关的业务活动；不得以任何理由要求承包人和相关单位使用某种产品、材料和设备。</w:t>
      </w:r>
    </w:p>
    <w:p>
      <w:pPr>
        <w:rPr>
          <w:sz w:val="28"/>
          <w:szCs w:val="28"/>
        </w:rPr>
      </w:pPr>
      <w:r>
        <w:rPr>
          <w:rFonts w:hint="eastAsia"/>
          <w:sz w:val="28"/>
          <w:szCs w:val="28"/>
        </w:rPr>
        <w:t>6.不得以任何理由以任何方式向乙方索要或接受，包括但不限于赠送、借用或以明显不合理低价租用汽车、电子产品、家电设备、住房、健身器材等实物。</w:t>
      </w:r>
    </w:p>
    <w:p>
      <w:pPr>
        <w:rPr>
          <w:sz w:val="28"/>
          <w:szCs w:val="28"/>
        </w:rPr>
      </w:pPr>
      <w:r>
        <w:rPr>
          <w:rFonts w:hint="eastAsia"/>
          <w:sz w:val="28"/>
          <w:szCs w:val="28"/>
        </w:rPr>
        <w:t>7.其他可能影响公正履行岗位职责的行为。</w:t>
      </w:r>
    </w:p>
    <w:p>
      <w:pPr>
        <w:rPr>
          <w:sz w:val="28"/>
          <w:szCs w:val="28"/>
        </w:rPr>
      </w:pPr>
      <w:r>
        <w:rPr>
          <w:rFonts w:hint="eastAsia"/>
          <w:sz w:val="28"/>
          <w:szCs w:val="28"/>
        </w:rPr>
        <w:t>（三）甲方有权对乙方在本项目中保持廉洁的情况实行监督，定期或不定期检查甲乙双方履行本协议情况。</w:t>
      </w:r>
    </w:p>
    <w:p>
      <w:pPr>
        <w:rPr>
          <w:sz w:val="28"/>
          <w:szCs w:val="28"/>
        </w:rPr>
      </w:pPr>
      <w:r>
        <w:rPr>
          <w:rFonts w:hint="eastAsia"/>
          <w:sz w:val="28"/>
          <w:szCs w:val="28"/>
        </w:rPr>
        <w:t>三、乙方责任</w:t>
      </w:r>
    </w:p>
    <w:p>
      <w:pPr>
        <w:rPr>
          <w:sz w:val="28"/>
          <w:szCs w:val="28"/>
        </w:rPr>
      </w:pPr>
      <w:r>
        <w:rPr>
          <w:rFonts w:hint="eastAsia"/>
          <w:sz w:val="28"/>
          <w:szCs w:val="28"/>
        </w:rPr>
        <w:t>（一）乙方应了解甲方单位有关廉洁建设的各项制度和规定，支持甲方执行有关规定和制度。</w:t>
      </w:r>
    </w:p>
    <w:p>
      <w:pPr>
        <w:rPr>
          <w:sz w:val="28"/>
          <w:szCs w:val="28"/>
        </w:rPr>
      </w:pPr>
      <w:r>
        <w:rPr>
          <w:rFonts w:hint="eastAsia"/>
          <w:sz w:val="28"/>
          <w:szCs w:val="28"/>
        </w:rPr>
        <w:t>（二）乙方有责任对本单位项目经办人员进行廉洁教育（包括甲方单位制定的有关廉洁建设方面的规定），按时出席甲方召集的有关会议。</w:t>
      </w:r>
    </w:p>
    <w:p>
      <w:pPr>
        <w:rPr>
          <w:sz w:val="28"/>
          <w:szCs w:val="28"/>
        </w:rPr>
      </w:pPr>
      <w:r>
        <w:rPr>
          <w:rFonts w:hint="eastAsia"/>
          <w:sz w:val="28"/>
          <w:szCs w:val="28"/>
        </w:rPr>
        <w:t>（三）乙方应与甲方保持正常的业务交往，并遵守以下廉洁规定：</w:t>
      </w:r>
    </w:p>
    <w:p>
      <w:pPr>
        <w:rPr>
          <w:sz w:val="28"/>
          <w:szCs w:val="28"/>
        </w:rPr>
      </w:pPr>
      <w:r>
        <w:rPr>
          <w:rFonts w:hint="eastAsia"/>
          <w:sz w:val="28"/>
          <w:szCs w:val="28"/>
        </w:rPr>
        <w:t>1.不得以任何理由以任何方式向甲方及其工作人员提供财务，包括但不限于购物卡、现金、礼金、会员卡、有价证券、贵重物品及回扣、好处费、感谢费等。</w:t>
      </w:r>
    </w:p>
    <w:p>
      <w:pPr>
        <w:rPr>
          <w:sz w:val="28"/>
          <w:szCs w:val="28"/>
        </w:rPr>
      </w:pPr>
      <w:r>
        <w:rPr>
          <w:rFonts w:hint="eastAsia"/>
          <w:sz w:val="28"/>
          <w:szCs w:val="28"/>
        </w:rPr>
        <w:t>2.不得以任何理由以任何方式为甲方和相关单位报销应由对方或个人支付的费用。</w:t>
      </w:r>
    </w:p>
    <w:p>
      <w:pPr>
        <w:rPr>
          <w:sz w:val="28"/>
          <w:szCs w:val="28"/>
        </w:rPr>
      </w:pPr>
      <w:r>
        <w:rPr>
          <w:rFonts w:hint="eastAsia"/>
          <w:sz w:val="28"/>
          <w:szCs w:val="28"/>
        </w:rPr>
        <w:t>3.不得接受或暗示为甲方、相关单位或个人装修住房、婚丧嫁娶、配偶子女的工作安排以及出国（境）、旅游等提供资金及其他方便。</w:t>
      </w:r>
    </w:p>
    <w:p>
      <w:pPr>
        <w:rPr>
          <w:sz w:val="28"/>
          <w:szCs w:val="28"/>
        </w:rPr>
      </w:pPr>
      <w:r>
        <w:rPr>
          <w:rFonts w:hint="eastAsia"/>
          <w:sz w:val="28"/>
          <w:szCs w:val="28"/>
        </w:rPr>
        <w:t>4.不得以任何理由以任何方式为甲方、相关单位或个人提供有可能影响公正履行岗位职责的宴请、健身、娱乐、国内外考察等活动。</w:t>
      </w:r>
    </w:p>
    <w:p>
      <w:pPr>
        <w:rPr>
          <w:sz w:val="28"/>
          <w:szCs w:val="28"/>
        </w:rPr>
      </w:pPr>
      <w:r>
        <w:rPr>
          <w:rFonts w:hint="eastAsia"/>
          <w:sz w:val="28"/>
          <w:szCs w:val="28"/>
        </w:rPr>
        <w:t>5.不得以任何理由以任何方式向甲方、相关单位或个人提供包括但不限于赠送、借用或以明显不合理低价出租汽车、电子产品、家电设备、住房、健身器材等实物。</w:t>
      </w:r>
    </w:p>
    <w:p>
      <w:pPr>
        <w:rPr>
          <w:sz w:val="28"/>
          <w:szCs w:val="28"/>
        </w:rPr>
      </w:pPr>
      <w:r>
        <w:rPr>
          <w:rFonts w:hint="eastAsia"/>
          <w:sz w:val="28"/>
          <w:szCs w:val="28"/>
        </w:rPr>
        <w:t>6.其他可能影响公正履行岗位职责的商业贿赂行为。</w:t>
      </w:r>
    </w:p>
    <w:p>
      <w:pPr>
        <w:rPr>
          <w:sz w:val="28"/>
          <w:szCs w:val="28"/>
        </w:rPr>
      </w:pPr>
      <w:r>
        <w:rPr>
          <w:rFonts w:hint="eastAsia"/>
          <w:sz w:val="28"/>
          <w:szCs w:val="28"/>
        </w:rPr>
        <w:t>四、违约责任及处理</w:t>
      </w:r>
    </w:p>
    <w:p>
      <w:pPr>
        <w:rPr>
          <w:sz w:val="28"/>
          <w:szCs w:val="28"/>
        </w:rPr>
      </w:pPr>
      <w:r>
        <w:rPr>
          <w:rFonts w:hint="eastAsia"/>
          <w:sz w:val="28"/>
          <w:szCs w:val="28"/>
        </w:rPr>
        <w:t>（一）甲方工作人员有违反本协议书第一、二条责任行为的，视情节轻重，依据有关法律、法规和甲方相关制度规定给予组织处理、党纪政纪处分；涉嫌犯罪的，移交司法机关追究刑事责任。</w:t>
      </w:r>
    </w:p>
    <w:p>
      <w:pPr>
        <w:rPr>
          <w:sz w:val="28"/>
          <w:szCs w:val="28"/>
        </w:rPr>
      </w:pPr>
      <w:r>
        <w:rPr>
          <w:rFonts w:hint="eastAsia"/>
          <w:sz w:val="28"/>
          <w:szCs w:val="28"/>
        </w:rPr>
        <w:t>（二）乙方或乙方工作人员有违反本协议书第一、三条责任行为的，甲方有权向乙方单位纪检监察 部门、有关行政管理部门等提出对乙方进行责任追究和处罚，涉嫌犯罪的，移送司法机关追究刑事责任。</w:t>
      </w:r>
    </w:p>
    <w:p>
      <w:pPr>
        <w:rPr>
          <w:sz w:val="28"/>
          <w:szCs w:val="28"/>
        </w:rPr>
      </w:pPr>
      <w:r>
        <w:rPr>
          <w:rFonts w:hint="eastAsia"/>
          <w:sz w:val="28"/>
          <w:szCs w:val="28"/>
        </w:rPr>
        <w:t>（三）根据广州市及公司关于水务工程勘察设计、施工和监理企业诚信评价的有关规定，若乙方存在被纪检监察部门认定有行贿行为、被法院判决犯有行贿罪记录等违反廉洁规定的，甲方书面提请水务行政主管部门处理。</w:t>
      </w:r>
    </w:p>
    <w:p>
      <w:pPr>
        <w:rPr>
          <w:sz w:val="28"/>
          <w:szCs w:val="28"/>
        </w:rPr>
      </w:pPr>
      <w:r>
        <w:rPr>
          <w:rFonts w:hint="eastAsia"/>
          <w:sz w:val="28"/>
          <w:szCs w:val="28"/>
        </w:rPr>
        <w:t>五、协议书有效期</w:t>
      </w:r>
    </w:p>
    <w:p>
      <w:pPr>
        <w:rPr>
          <w:sz w:val="28"/>
          <w:szCs w:val="28"/>
        </w:rPr>
      </w:pPr>
      <w:r>
        <w:rPr>
          <w:rFonts w:hint="eastAsia"/>
          <w:sz w:val="28"/>
          <w:szCs w:val="28"/>
        </w:rPr>
        <w:t>（一）本协议书作为</w:t>
      </w:r>
      <w:r>
        <w:rPr>
          <w:rFonts w:hint="eastAsia"/>
          <w:sz w:val="28"/>
          <w:szCs w:val="28"/>
          <w:lang w:val="en-US" w:eastAsia="zh-CN"/>
        </w:rPr>
        <w:t xml:space="preserve"> </w:t>
      </w:r>
      <w:r>
        <w:rPr>
          <w:rFonts w:hint="eastAsia"/>
          <w:sz w:val="28"/>
          <w:szCs w:val="28"/>
          <w:u w:val="single"/>
          <w:lang w:val="en-US" w:eastAsia="zh-CN"/>
        </w:rPr>
        <w:t xml:space="preserve">                             </w:t>
      </w:r>
      <w:r>
        <w:rPr>
          <w:rFonts w:hint="eastAsia"/>
          <w:sz w:val="28"/>
          <w:szCs w:val="28"/>
          <w:u w:val="single"/>
        </w:rPr>
        <w:t>（合同编号：穗从化净水合﹝202  ﹞   号）</w:t>
      </w:r>
      <w:r>
        <w:rPr>
          <w:rFonts w:hint="eastAsia"/>
          <w:sz w:val="28"/>
          <w:szCs w:val="28"/>
        </w:rPr>
        <w:t>的组成部分，与项目合同具有同等法律效力。经双方签署后立即生效。</w:t>
      </w:r>
    </w:p>
    <w:p>
      <w:pPr>
        <w:rPr>
          <w:sz w:val="28"/>
          <w:szCs w:val="28"/>
        </w:rPr>
      </w:pPr>
      <w:r>
        <w:rPr>
          <w:rFonts w:hint="eastAsia"/>
          <w:sz w:val="28"/>
          <w:szCs w:val="28"/>
        </w:rPr>
        <w:t>（二）本协议书的有效期为双方签署之日起至本项目质保期结束时止。</w:t>
      </w:r>
    </w:p>
    <w:p>
      <w:pPr>
        <w:rPr>
          <w:sz w:val="28"/>
          <w:szCs w:val="28"/>
        </w:rPr>
      </w:pPr>
    </w:p>
    <w:p>
      <w:pPr>
        <w:rPr>
          <w:sz w:val="28"/>
          <w:szCs w:val="28"/>
        </w:rPr>
      </w:pPr>
    </w:p>
    <w:p>
      <w:pPr>
        <w:rPr>
          <w:rFonts w:hint="eastAsia"/>
          <w:sz w:val="28"/>
          <w:szCs w:val="28"/>
        </w:rPr>
      </w:pPr>
      <w:r>
        <w:rPr>
          <w:rFonts w:hint="eastAsia"/>
          <w:sz w:val="28"/>
          <w:szCs w:val="28"/>
        </w:rPr>
        <w:t>发包人：广州从化净水有限公司    承包人：</w:t>
      </w:r>
    </w:p>
    <w:p>
      <w:pPr>
        <w:rPr>
          <w:sz w:val="28"/>
          <w:szCs w:val="28"/>
        </w:rPr>
      </w:pPr>
      <w:r>
        <w:rPr>
          <w:rFonts w:hint="eastAsia"/>
          <w:sz w:val="28"/>
          <w:szCs w:val="28"/>
        </w:rPr>
        <w:t>签约代表：                      签约代表：</w:t>
      </w:r>
    </w:p>
    <w:p>
      <w:pPr>
        <w:rPr>
          <w:sz w:val="28"/>
          <w:szCs w:val="28"/>
        </w:rPr>
      </w:pPr>
      <w:r>
        <w:rPr>
          <w:rFonts w:hint="eastAsia"/>
          <w:sz w:val="28"/>
          <w:szCs w:val="28"/>
        </w:rPr>
        <w:t>日期：   年    月    日         日期：    年    月    日</w:t>
      </w:r>
    </w:p>
    <w:p>
      <w:pPr>
        <w:rPr>
          <w:b/>
          <w:sz w:val="44"/>
          <w:szCs w:val="44"/>
        </w:rPr>
      </w:pPr>
      <w:r>
        <w:rPr>
          <w:rFonts w:ascii="宋体" w:hAnsi="宋体"/>
          <w:sz w:val="28"/>
        </w:rPr>
        <w:br w:type="page"/>
      </w:r>
    </w:p>
    <w:p>
      <w:pPr>
        <w:rPr>
          <w:b/>
          <w:sz w:val="28"/>
          <w:szCs w:val="28"/>
        </w:rPr>
      </w:pPr>
      <w:r>
        <w:rPr>
          <w:rFonts w:hint="eastAsia"/>
          <w:b/>
          <w:sz w:val="28"/>
          <w:szCs w:val="28"/>
        </w:rPr>
        <w:t>附件3：</w:t>
      </w:r>
    </w:p>
    <w:p>
      <w:pPr>
        <w:jc w:val="center"/>
        <w:rPr>
          <w:b/>
          <w:sz w:val="44"/>
          <w:szCs w:val="44"/>
        </w:rPr>
      </w:pPr>
      <w:r>
        <w:rPr>
          <w:rFonts w:hint="eastAsia"/>
          <w:b/>
          <w:sz w:val="44"/>
          <w:szCs w:val="44"/>
        </w:rPr>
        <w:t>职业卫生管理协议书</w:t>
      </w:r>
    </w:p>
    <w:p>
      <w:pPr>
        <w:rPr>
          <w:sz w:val="28"/>
          <w:szCs w:val="28"/>
        </w:rPr>
      </w:pPr>
      <w:r>
        <w:rPr>
          <w:rFonts w:hint="eastAsia"/>
          <w:sz w:val="28"/>
          <w:szCs w:val="28"/>
        </w:rPr>
        <w:t>甲方：广州从化净水有限公司</w:t>
      </w:r>
    </w:p>
    <w:p>
      <w:r>
        <w:rPr>
          <w:rFonts w:hint="eastAsia"/>
          <w:sz w:val="28"/>
          <w:szCs w:val="28"/>
        </w:rPr>
        <w:t>乙方：</w:t>
      </w:r>
    </w:p>
    <w:p>
      <w:pPr>
        <w:pStyle w:val="21"/>
        <w:spacing w:before="0" w:beforeAutospacing="0" w:after="0" w:afterAutospacing="0" w:line="600" w:lineRule="exact"/>
        <w:ind w:firstLine="560" w:firstLineChars="200"/>
        <w:rPr>
          <w:rFonts w:ascii="ˎ̥" w:hAnsi="ˎ̥"/>
          <w:sz w:val="28"/>
          <w:szCs w:val="28"/>
        </w:rPr>
      </w:pPr>
      <w:r>
        <w:rPr>
          <w:rFonts w:hint="eastAsia"/>
          <w:sz w:val="28"/>
          <w:szCs w:val="28"/>
        </w:rPr>
        <w:t>根据《中华人民共和国职业病防治法》、《工作场所职业卫生监督管理规定》、《用人单位职业病危害防治八条规定》、《用人单位职业健康监护监督管理办法》和《国务院生产安全事故报告和调查处理条例》及《广州市职业卫生监督管理规定》等</w:t>
      </w:r>
      <w:r>
        <w:rPr>
          <w:rFonts w:ascii="ˎ̥" w:hAnsi="ˎ̥"/>
          <w:sz w:val="28"/>
          <w:szCs w:val="28"/>
        </w:rPr>
        <w:t>法律法规</w:t>
      </w:r>
      <w:r>
        <w:rPr>
          <w:rFonts w:hint="eastAsia" w:ascii="ˎ̥" w:hAnsi="ˎ̥"/>
          <w:sz w:val="28"/>
          <w:szCs w:val="28"/>
        </w:rPr>
        <w:t>要求, 经</w:t>
      </w:r>
      <w:r>
        <w:rPr>
          <w:rFonts w:ascii="ˎ̥" w:hAnsi="ˎ̥"/>
          <w:sz w:val="28"/>
          <w:szCs w:val="28"/>
        </w:rPr>
        <w:t>双方协商，签订本</w:t>
      </w:r>
      <w:r>
        <w:rPr>
          <w:rFonts w:hint="eastAsia" w:ascii="ˎ̥" w:hAnsi="ˎ̥"/>
          <w:sz w:val="28"/>
          <w:szCs w:val="28"/>
        </w:rPr>
        <w:t>协议书</w:t>
      </w:r>
      <w:r>
        <w:rPr>
          <w:rFonts w:ascii="ˎ̥" w:hAnsi="ˎ̥"/>
          <w:sz w:val="28"/>
          <w:szCs w:val="28"/>
        </w:rPr>
        <w:t>，以明确各自的</w:t>
      </w:r>
      <w:r>
        <w:rPr>
          <w:rFonts w:hint="eastAsia" w:ascii="ˎ̥" w:hAnsi="ˎ̥"/>
          <w:sz w:val="28"/>
          <w:szCs w:val="28"/>
        </w:rPr>
        <w:t>职业卫生</w:t>
      </w:r>
      <w:r>
        <w:rPr>
          <w:rFonts w:ascii="ˎ̥" w:hAnsi="ˎ̥"/>
          <w:sz w:val="28"/>
          <w:szCs w:val="28"/>
        </w:rPr>
        <w:t>安全生产责任并共同遵守</w:t>
      </w:r>
      <w:r>
        <w:rPr>
          <w:rFonts w:hint="eastAsia" w:ascii="ˎ̥" w:hAnsi="ˎ̥"/>
          <w:sz w:val="28"/>
          <w:szCs w:val="28"/>
        </w:rPr>
        <w:t>。</w:t>
      </w:r>
    </w:p>
    <w:p>
      <w:pPr>
        <w:pStyle w:val="21"/>
        <w:spacing w:before="0" w:beforeAutospacing="0" w:after="0" w:afterAutospacing="0" w:line="600" w:lineRule="exact"/>
        <w:ind w:firstLine="420" w:firstLineChars="150"/>
        <w:rPr>
          <w:rFonts w:ascii="ˎ̥" w:hAnsi="ˎ̥"/>
          <w:sz w:val="28"/>
          <w:szCs w:val="28"/>
        </w:rPr>
      </w:pPr>
      <w:r>
        <w:rPr>
          <w:rFonts w:hint="eastAsia" w:ascii="ˎ̥" w:hAnsi="ˎ̥"/>
          <w:sz w:val="28"/>
          <w:szCs w:val="28"/>
        </w:rPr>
        <w:t>一、</w:t>
      </w:r>
      <w:r>
        <w:rPr>
          <w:rFonts w:ascii="ˎ̥" w:hAnsi="ˎ̥"/>
          <w:sz w:val="28"/>
          <w:szCs w:val="28"/>
        </w:rPr>
        <w:t>甲方的</w:t>
      </w:r>
      <w:r>
        <w:rPr>
          <w:rFonts w:hint="eastAsia" w:ascii="ˎ̥" w:hAnsi="ˎ̥"/>
          <w:sz w:val="28"/>
          <w:szCs w:val="28"/>
        </w:rPr>
        <w:t>职业卫生管理责任</w:t>
      </w:r>
    </w:p>
    <w:p>
      <w:pPr>
        <w:pStyle w:val="21"/>
        <w:spacing w:before="0" w:beforeAutospacing="0" w:after="0" w:afterAutospacing="0" w:line="600" w:lineRule="exact"/>
        <w:ind w:firstLine="420" w:firstLineChars="150"/>
        <w:rPr>
          <w:rFonts w:ascii="ˎ̥" w:hAnsi="ˎ̥"/>
          <w:sz w:val="28"/>
          <w:szCs w:val="28"/>
        </w:rPr>
      </w:pPr>
      <w:r>
        <w:rPr>
          <w:rFonts w:ascii="ˎ̥" w:hAnsi="ˎ̥"/>
          <w:sz w:val="28"/>
          <w:szCs w:val="28"/>
        </w:rPr>
        <w:t>1、甲方</w:t>
      </w:r>
      <w:r>
        <w:rPr>
          <w:rFonts w:hint="eastAsia" w:ascii="ˎ̥" w:hAnsi="ˎ̥"/>
          <w:sz w:val="28"/>
          <w:szCs w:val="28"/>
        </w:rPr>
        <w:t>有权</w:t>
      </w:r>
      <w:r>
        <w:rPr>
          <w:rFonts w:ascii="ˎ̥" w:hAnsi="ˎ̥"/>
          <w:sz w:val="28"/>
          <w:szCs w:val="28"/>
        </w:rPr>
        <w:t>对乙方</w:t>
      </w:r>
      <w:r>
        <w:rPr>
          <w:rFonts w:hint="eastAsia" w:ascii="ˎ̥" w:hAnsi="ˎ̥"/>
          <w:sz w:val="28"/>
          <w:szCs w:val="28"/>
        </w:rPr>
        <w:t>职业卫生</w:t>
      </w:r>
      <w:r>
        <w:rPr>
          <w:rFonts w:ascii="ˎ̥" w:hAnsi="ˎ̥"/>
          <w:sz w:val="28"/>
          <w:szCs w:val="28"/>
        </w:rPr>
        <w:t>安全</w:t>
      </w:r>
      <w:r>
        <w:rPr>
          <w:rFonts w:hint="eastAsia" w:ascii="ˎ̥" w:hAnsi="ˎ̥"/>
          <w:sz w:val="28"/>
          <w:szCs w:val="28"/>
        </w:rPr>
        <w:t>进行</w:t>
      </w:r>
      <w:r>
        <w:rPr>
          <w:rFonts w:ascii="ˎ̥" w:hAnsi="ˎ̥"/>
          <w:sz w:val="28"/>
          <w:szCs w:val="28"/>
        </w:rPr>
        <w:t>监督、指导、检查</w:t>
      </w:r>
      <w:r>
        <w:rPr>
          <w:rFonts w:hint="eastAsia" w:ascii="ˎ̥" w:hAnsi="ˎ̥"/>
          <w:sz w:val="28"/>
          <w:szCs w:val="28"/>
        </w:rPr>
        <w:t>，发现危害的问题的，及时督促整改。</w:t>
      </w:r>
    </w:p>
    <w:p>
      <w:pPr>
        <w:pStyle w:val="21"/>
        <w:spacing w:before="0" w:beforeAutospacing="0" w:after="0" w:afterAutospacing="0" w:line="600" w:lineRule="exact"/>
        <w:ind w:firstLine="420" w:firstLineChars="150"/>
        <w:rPr>
          <w:rFonts w:ascii="ˎ̥" w:hAnsi="ˎ̥"/>
          <w:sz w:val="28"/>
          <w:szCs w:val="28"/>
        </w:rPr>
      </w:pPr>
      <w:r>
        <w:rPr>
          <w:rFonts w:hint="eastAsia" w:ascii="ˎ̥" w:hAnsi="ˎ̥"/>
          <w:sz w:val="28"/>
          <w:szCs w:val="28"/>
        </w:rPr>
        <w:t>2、甲方应按照相关法律法规要求开展职业病危害因素定期检测或相关评价。</w:t>
      </w:r>
    </w:p>
    <w:p>
      <w:pPr>
        <w:pStyle w:val="21"/>
        <w:spacing w:before="0" w:beforeAutospacing="0" w:after="0" w:afterAutospacing="0" w:line="600" w:lineRule="exact"/>
        <w:ind w:firstLine="420" w:firstLineChars="150"/>
        <w:rPr>
          <w:rFonts w:ascii="ˎ̥" w:hAnsi="ˎ̥"/>
          <w:sz w:val="28"/>
          <w:szCs w:val="28"/>
        </w:rPr>
      </w:pPr>
      <w:r>
        <w:rPr>
          <w:rFonts w:hint="eastAsia" w:ascii="ˎ̥" w:hAnsi="ˎ̥"/>
          <w:sz w:val="28"/>
          <w:szCs w:val="28"/>
        </w:rPr>
        <w:t>3、甲方应在工作场所设置危害因素告知卡（牌）以及警示标识等。</w:t>
      </w:r>
    </w:p>
    <w:p>
      <w:pPr>
        <w:pStyle w:val="21"/>
        <w:spacing w:before="0" w:beforeAutospacing="0" w:after="0" w:afterAutospacing="0" w:line="600" w:lineRule="exact"/>
        <w:ind w:firstLine="420" w:firstLineChars="150"/>
        <w:rPr>
          <w:rFonts w:ascii="ˎ̥" w:hAnsi="ˎ̥"/>
          <w:sz w:val="28"/>
          <w:szCs w:val="28"/>
        </w:rPr>
      </w:pPr>
      <w:r>
        <w:rPr>
          <w:rFonts w:hint="eastAsia" w:ascii="ˎ̥" w:hAnsi="ˎ̥"/>
          <w:sz w:val="28"/>
          <w:szCs w:val="28"/>
        </w:rPr>
        <w:t>4、甲方有权监督乙方为劳动者发放符合国家职业卫生标准的防护用品，并督促其正确佩戴和使用。</w:t>
      </w:r>
    </w:p>
    <w:p>
      <w:pPr>
        <w:pStyle w:val="21"/>
        <w:spacing w:before="0" w:beforeAutospacing="0" w:after="0" w:afterAutospacing="0" w:line="600" w:lineRule="exact"/>
        <w:ind w:firstLine="420" w:firstLineChars="150"/>
        <w:rPr>
          <w:rFonts w:ascii="ˎ̥" w:hAnsi="ˎ̥"/>
          <w:sz w:val="28"/>
          <w:szCs w:val="28"/>
        </w:rPr>
      </w:pPr>
      <w:r>
        <w:rPr>
          <w:rFonts w:hint="eastAsia" w:ascii="ˎ̥" w:hAnsi="ˎ̥"/>
          <w:sz w:val="28"/>
          <w:szCs w:val="28"/>
        </w:rPr>
        <w:t>5、甲方有权查验乙方的职业卫生条件和相应资质证照。</w:t>
      </w:r>
    </w:p>
    <w:p>
      <w:pPr>
        <w:pStyle w:val="21"/>
        <w:spacing w:before="0" w:beforeAutospacing="0" w:after="0" w:afterAutospacing="0" w:line="600" w:lineRule="exact"/>
        <w:ind w:firstLine="420" w:firstLineChars="150"/>
        <w:rPr>
          <w:rFonts w:ascii="ˎ̥" w:hAnsi="ˎ̥"/>
          <w:sz w:val="28"/>
          <w:szCs w:val="28"/>
        </w:rPr>
      </w:pPr>
      <w:r>
        <w:rPr>
          <w:rFonts w:hint="eastAsia" w:ascii="ˎ̥" w:hAnsi="ˎ̥"/>
          <w:sz w:val="28"/>
          <w:szCs w:val="28"/>
        </w:rPr>
        <w:t>6、</w:t>
      </w:r>
      <w:r>
        <w:rPr>
          <w:rFonts w:ascii="ˎ̥" w:hAnsi="ˎ̥"/>
          <w:sz w:val="28"/>
          <w:szCs w:val="28"/>
        </w:rPr>
        <w:t>甲方有</w:t>
      </w:r>
      <w:r>
        <w:rPr>
          <w:rFonts w:hint="eastAsia" w:ascii="ˎ̥" w:hAnsi="ˎ̥"/>
          <w:sz w:val="28"/>
          <w:szCs w:val="28"/>
        </w:rPr>
        <w:t>权责令职业卫生</w:t>
      </w:r>
      <w:r>
        <w:rPr>
          <w:rFonts w:ascii="ˎ̥" w:hAnsi="ˎ̥"/>
          <w:sz w:val="28"/>
          <w:szCs w:val="28"/>
        </w:rPr>
        <w:t>管理不到位、存在重大安全隐患或发生安全事故</w:t>
      </w:r>
      <w:r>
        <w:rPr>
          <w:rFonts w:hint="eastAsia" w:ascii="ˎ̥" w:hAnsi="ˎ̥"/>
          <w:sz w:val="28"/>
          <w:szCs w:val="28"/>
        </w:rPr>
        <w:t>乙方</w:t>
      </w:r>
      <w:r>
        <w:rPr>
          <w:rFonts w:ascii="ˎ̥" w:hAnsi="ˎ̥"/>
          <w:sz w:val="28"/>
          <w:szCs w:val="28"/>
        </w:rPr>
        <w:t>限期退场，或者</w:t>
      </w:r>
      <w:r>
        <w:rPr>
          <w:rFonts w:hint="eastAsia" w:ascii="ˎ̥" w:hAnsi="ˎ̥"/>
          <w:sz w:val="28"/>
          <w:szCs w:val="28"/>
        </w:rPr>
        <w:t>解除</w:t>
      </w:r>
      <w:r>
        <w:rPr>
          <w:rFonts w:ascii="ˎ̥" w:hAnsi="ˎ̥"/>
          <w:sz w:val="28"/>
          <w:szCs w:val="28"/>
        </w:rPr>
        <w:t>合同</w:t>
      </w:r>
      <w:r>
        <w:rPr>
          <w:rFonts w:hint="eastAsia" w:ascii="ˎ̥" w:hAnsi="ˎ̥"/>
          <w:sz w:val="28"/>
          <w:szCs w:val="28"/>
        </w:rPr>
        <w:t>。</w:t>
      </w:r>
    </w:p>
    <w:p>
      <w:pPr>
        <w:pStyle w:val="21"/>
        <w:spacing w:before="0" w:beforeAutospacing="0" w:after="0" w:afterAutospacing="0" w:line="600" w:lineRule="exact"/>
        <w:ind w:firstLine="280" w:firstLineChars="100"/>
        <w:rPr>
          <w:rFonts w:ascii="ˎ̥" w:hAnsi="ˎ̥"/>
          <w:sz w:val="28"/>
          <w:szCs w:val="28"/>
        </w:rPr>
      </w:pPr>
      <w:r>
        <w:rPr>
          <w:rFonts w:hint="eastAsia" w:ascii="ˎ̥" w:hAnsi="ˎ̥"/>
          <w:sz w:val="28"/>
          <w:szCs w:val="28"/>
        </w:rPr>
        <w:t>二、</w:t>
      </w:r>
      <w:r>
        <w:rPr>
          <w:rFonts w:ascii="ˎ̥" w:hAnsi="ˎ̥"/>
          <w:sz w:val="28"/>
          <w:szCs w:val="28"/>
        </w:rPr>
        <w:t>乙方的</w:t>
      </w:r>
      <w:r>
        <w:rPr>
          <w:rFonts w:hint="eastAsia" w:ascii="ˎ̥" w:hAnsi="ˎ̥"/>
          <w:sz w:val="28"/>
          <w:szCs w:val="28"/>
        </w:rPr>
        <w:t>职业卫生管理</w:t>
      </w:r>
      <w:r>
        <w:rPr>
          <w:rFonts w:ascii="ˎ̥" w:hAnsi="ˎ̥"/>
          <w:sz w:val="28"/>
          <w:szCs w:val="28"/>
        </w:rPr>
        <w:t>责任</w:t>
      </w:r>
    </w:p>
    <w:p>
      <w:pPr>
        <w:pStyle w:val="21"/>
        <w:spacing w:before="0" w:beforeAutospacing="0" w:after="0" w:afterAutospacing="0" w:line="600" w:lineRule="exact"/>
        <w:ind w:left="360"/>
        <w:rPr>
          <w:rFonts w:ascii="ˎ̥" w:hAnsi="ˎ̥"/>
          <w:sz w:val="28"/>
          <w:szCs w:val="28"/>
        </w:rPr>
      </w:pPr>
      <w:r>
        <w:rPr>
          <w:rFonts w:hint="eastAsia" w:ascii="ˎ̥" w:hAnsi="ˎ̥"/>
          <w:sz w:val="28"/>
          <w:szCs w:val="28"/>
        </w:rPr>
        <w:t>1、乙方应遵守有关职业病防治法律法规、规章规程及甲方依此制订的相关制度规定。</w:t>
      </w:r>
    </w:p>
    <w:p>
      <w:pPr>
        <w:pStyle w:val="21"/>
        <w:spacing w:before="0" w:beforeAutospacing="0" w:after="0" w:afterAutospacing="0" w:line="600" w:lineRule="exact"/>
        <w:ind w:left="360"/>
        <w:rPr>
          <w:rFonts w:ascii="ˎ̥" w:hAnsi="ˎ̥"/>
          <w:sz w:val="28"/>
          <w:szCs w:val="28"/>
        </w:rPr>
      </w:pPr>
      <w:r>
        <w:rPr>
          <w:rFonts w:hint="eastAsia" w:ascii="ˎ̥" w:hAnsi="ˎ̥"/>
          <w:sz w:val="28"/>
          <w:szCs w:val="28"/>
        </w:rPr>
        <w:t>2、乙方负责为劳动者提供上岗前、在岗期间、离岗职业病体检，并将体检报告留档备查。有职业禁忌症、疑似职业病或职业病诊断情形者，不得从事有害工作场所作业。</w:t>
      </w:r>
    </w:p>
    <w:p>
      <w:pPr>
        <w:pStyle w:val="21"/>
        <w:spacing w:before="0" w:beforeAutospacing="0" w:after="0" w:afterAutospacing="0" w:line="600" w:lineRule="exact"/>
        <w:ind w:left="360"/>
        <w:rPr>
          <w:rFonts w:ascii="ˎ̥" w:hAnsi="ˎ̥"/>
          <w:sz w:val="28"/>
          <w:szCs w:val="28"/>
        </w:rPr>
      </w:pPr>
      <w:r>
        <w:rPr>
          <w:rFonts w:hint="eastAsia" w:ascii="ˎ̥" w:hAnsi="ˎ̥"/>
          <w:sz w:val="28"/>
          <w:szCs w:val="28"/>
        </w:rPr>
        <w:t>4、乙方负责将工作场所职业危害告知劳动者并针对工作场所存在的危害因素种类及防护措施对劳动者实施岗前职业卫生教育培训，培训资料留档备查。</w:t>
      </w:r>
    </w:p>
    <w:p>
      <w:pPr>
        <w:pStyle w:val="21"/>
        <w:spacing w:before="0" w:beforeAutospacing="0" w:after="0" w:afterAutospacing="0" w:line="600" w:lineRule="exact"/>
        <w:ind w:left="360"/>
        <w:rPr>
          <w:sz w:val="28"/>
          <w:szCs w:val="28"/>
        </w:rPr>
      </w:pPr>
      <w:r>
        <w:rPr>
          <w:rFonts w:hint="eastAsia" w:ascii="ˎ̥" w:hAnsi="ˎ̥"/>
          <w:sz w:val="28"/>
          <w:szCs w:val="28"/>
        </w:rPr>
        <w:t>5、乙方负责为劳动者提供符合个人防护用品选用规范要求的防护用品，并监督、督促其正确佩戴和使用。</w:t>
      </w:r>
    </w:p>
    <w:p>
      <w:pPr>
        <w:pStyle w:val="21"/>
        <w:spacing w:before="0" w:beforeAutospacing="0" w:after="0" w:afterAutospacing="0" w:line="600" w:lineRule="exact"/>
        <w:ind w:left="360"/>
        <w:rPr>
          <w:sz w:val="28"/>
          <w:szCs w:val="28"/>
        </w:rPr>
      </w:pPr>
      <w:r>
        <w:rPr>
          <w:rFonts w:hint="eastAsia" w:ascii="ˎ̥" w:hAnsi="ˎ̥"/>
          <w:sz w:val="28"/>
          <w:szCs w:val="28"/>
        </w:rPr>
        <w:t>6、如</w:t>
      </w:r>
      <w:r>
        <w:rPr>
          <w:rFonts w:ascii="ˎ̥" w:hAnsi="ˎ̥"/>
          <w:sz w:val="28"/>
          <w:szCs w:val="28"/>
        </w:rPr>
        <w:t>发生</w:t>
      </w:r>
      <w:r>
        <w:rPr>
          <w:rFonts w:hint="eastAsia" w:ascii="ˎ̥" w:hAnsi="ˎ̥"/>
          <w:sz w:val="28"/>
          <w:szCs w:val="28"/>
        </w:rPr>
        <w:t>职业卫生安全</w:t>
      </w:r>
      <w:r>
        <w:rPr>
          <w:rFonts w:ascii="ˎ̥" w:hAnsi="ˎ̥"/>
          <w:sz w:val="28"/>
          <w:szCs w:val="28"/>
        </w:rPr>
        <w:t>事故</w:t>
      </w:r>
      <w:r>
        <w:rPr>
          <w:rFonts w:hint="eastAsia" w:ascii="ˎ̥" w:hAnsi="ˎ̥"/>
          <w:sz w:val="28"/>
          <w:szCs w:val="28"/>
        </w:rPr>
        <w:t>，乙方应根据事故应急救援预案组织施救，并负责向事故发生地安监部门、行业主管部门和广州市规定的相关政府部门报告，并同时</w:t>
      </w:r>
      <w:r>
        <w:rPr>
          <w:rFonts w:ascii="ˎ̥" w:hAnsi="ˎ̥"/>
          <w:sz w:val="28"/>
          <w:szCs w:val="28"/>
        </w:rPr>
        <w:t>上报甲方</w:t>
      </w:r>
      <w:r>
        <w:rPr>
          <w:rFonts w:hint="eastAsia" w:ascii="ˎ̥" w:hAnsi="ˎ̥"/>
          <w:sz w:val="28"/>
          <w:szCs w:val="28"/>
        </w:rPr>
        <w:t>代表。</w:t>
      </w:r>
    </w:p>
    <w:p>
      <w:pPr>
        <w:pStyle w:val="21"/>
        <w:spacing w:before="0" w:beforeAutospacing="0" w:after="0" w:afterAutospacing="0" w:line="600" w:lineRule="exact"/>
        <w:ind w:firstLine="560" w:firstLineChars="200"/>
        <w:rPr>
          <w:rFonts w:ascii="ˎ̥" w:hAnsi="ˎ̥"/>
          <w:sz w:val="28"/>
          <w:szCs w:val="28"/>
        </w:rPr>
      </w:pPr>
      <w:r>
        <w:rPr>
          <w:rFonts w:ascii="ˎ̥" w:hAnsi="ˎ̥"/>
          <w:sz w:val="28"/>
          <w:szCs w:val="28"/>
        </w:rPr>
        <w:t xml:space="preserve">甲方(盖章) </w:t>
      </w:r>
      <w:r>
        <w:rPr>
          <w:rFonts w:hint="eastAsia" w:ascii="ˎ̥" w:hAnsi="ˎ̥"/>
          <w:sz w:val="28"/>
          <w:szCs w:val="28"/>
        </w:rPr>
        <w:t xml:space="preserve">                            </w:t>
      </w:r>
      <w:r>
        <w:rPr>
          <w:rFonts w:ascii="ˎ̥" w:hAnsi="ˎ̥"/>
          <w:sz w:val="28"/>
          <w:szCs w:val="28"/>
        </w:rPr>
        <w:t>乙方(盖章)</w:t>
      </w:r>
    </w:p>
    <w:p>
      <w:pPr>
        <w:pStyle w:val="21"/>
        <w:spacing w:before="0" w:beforeAutospacing="0" w:after="0" w:afterAutospacing="0" w:line="600" w:lineRule="exact"/>
        <w:ind w:firstLine="560" w:firstLineChars="200"/>
        <w:rPr>
          <w:rFonts w:ascii="ˎ̥" w:hAnsi="ˎ̥"/>
          <w:sz w:val="28"/>
          <w:szCs w:val="28"/>
        </w:rPr>
      </w:pPr>
    </w:p>
    <w:p>
      <w:pPr>
        <w:pStyle w:val="21"/>
        <w:spacing w:before="0" w:beforeAutospacing="0" w:after="0" w:afterAutospacing="0" w:line="600" w:lineRule="exact"/>
        <w:ind w:firstLine="560" w:firstLineChars="200"/>
        <w:rPr>
          <w:rFonts w:ascii="ˎ̥" w:hAnsi="ˎ̥"/>
        </w:rPr>
      </w:pPr>
      <w:r>
        <w:rPr>
          <w:rFonts w:ascii="ˎ̥" w:hAnsi="ˎ̥"/>
          <w:sz w:val="28"/>
          <w:szCs w:val="28"/>
        </w:rPr>
        <w:t xml:space="preserve">甲方代表(签字) </w:t>
      </w:r>
      <w:r>
        <w:rPr>
          <w:rFonts w:hint="eastAsia" w:ascii="ˎ̥" w:hAnsi="ˎ̥"/>
          <w:sz w:val="28"/>
          <w:szCs w:val="28"/>
        </w:rPr>
        <w:t xml:space="preserve">：                      </w:t>
      </w:r>
      <w:r>
        <w:rPr>
          <w:rFonts w:ascii="ˎ̥" w:hAnsi="ˎ̥"/>
          <w:sz w:val="28"/>
          <w:szCs w:val="28"/>
        </w:rPr>
        <w:t>乙方代表(签字)</w:t>
      </w:r>
      <w:r>
        <w:rPr>
          <w:rFonts w:hint="eastAsia" w:ascii="ˎ̥" w:hAnsi="ˎ̥"/>
          <w:sz w:val="28"/>
          <w:szCs w:val="28"/>
        </w:rPr>
        <w:t>：</w:t>
      </w:r>
    </w:p>
    <w:p>
      <w:pPr>
        <w:pStyle w:val="21"/>
        <w:spacing w:before="0" w:beforeAutospacing="0" w:after="0" w:afterAutospacing="0" w:line="360" w:lineRule="auto"/>
        <w:jc w:val="right"/>
      </w:pPr>
      <w:r>
        <w:rPr>
          <w:rFonts w:hint="eastAsia"/>
        </w:rPr>
        <w:t xml:space="preserve">          年   月   日                                   年   月   日</w:t>
      </w:r>
    </w:p>
    <w:p/>
    <w:p>
      <w:pPr>
        <w:spacing w:line="360" w:lineRule="auto"/>
        <w:jc w:val="left"/>
        <w:rPr>
          <w:rFonts w:ascii="宋体" w:hAnsi="宋体"/>
          <w:sz w:val="28"/>
        </w:rPr>
      </w:pPr>
    </w:p>
    <w:p/>
    <w:p>
      <w:pPr>
        <w:ind w:firstLine="560"/>
        <w:rPr>
          <w:sz w:val="28"/>
          <w:szCs w:val="28"/>
        </w:rPr>
      </w:pPr>
    </w:p>
    <w:p>
      <w:pPr>
        <w:ind w:firstLine="560"/>
        <w:rPr>
          <w:sz w:val="28"/>
          <w:szCs w:val="28"/>
        </w:rPr>
      </w:pPr>
    </w:p>
    <w:p>
      <w:pPr>
        <w:widowControl/>
        <w:jc w:val="left"/>
        <w:rPr>
          <w:rFonts w:hint="eastAsia"/>
          <w:sz w:val="28"/>
          <w:szCs w:val="28"/>
        </w:rPr>
      </w:pPr>
      <w:r>
        <w:rPr>
          <w:sz w:val="28"/>
          <w:szCs w:val="28"/>
        </w:rPr>
        <w:br w:type="page"/>
      </w:r>
    </w:p>
    <w:p>
      <w:pPr>
        <w:rPr>
          <w:b/>
          <w:sz w:val="44"/>
          <w:szCs w:val="44"/>
        </w:rPr>
      </w:pPr>
      <w:r>
        <w:rPr>
          <w:rFonts w:hint="eastAsia"/>
          <w:b/>
          <w:sz w:val="28"/>
          <w:szCs w:val="28"/>
        </w:rPr>
        <w:t>附件4：</w:t>
      </w:r>
    </w:p>
    <w:p>
      <w:pPr>
        <w:jc w:val="center"/>
        <w:rPr>
          <w:b/>
          <w:sz w:val="44"/>
          <w:szCs w:val="44"/>
        </w:rPr>
      </w:pPr>
      <w:r>
        <w:rPr>
          <w:rFonts w:hint="eastAsia"/>
          <w:b/>
          <w:sz w:val="44"/>
          <w:szCs w:val="44"/>
        </w:rPr>
        <w:t>安全管理协议书</w:t>
      </w:r>
    </w:p>
    <w:p>
      <w:pPr>
        <w:jc w:val="center"/>
        <w:rPr>
          <w:b/>
          <w:sz w:val="44"/>
          <w:szCs w:val="44"/>
        </w:rPr>
      </w:pPr>
    </w:p>
    <w:p>
      <w:pPr>
        <w:rPr>
          <w:rFonts w:ascii="ˎ̥" w:hAnsi="ˎ̥"/>
          <w:color w:val="000000"/>
          <w:kern w:val="0"/>
          <w:sz w:val="28"/>
          <w:szCs w:val="28"/>
        </w:rPr>
      </w:pPr>
      <w:r>
        <w:rPr>
          <w:rFonts w:hint="eastAsia" w:ascii="ˎ̥" w:hAnsi="ˎ̥"/>
          <w:color w:val="000000"/>
          <w:kern w:val="0"/>
          <w:sz w:val="28"/>
          <w:szCs w:val="28"/>
        </w:rPr>
        <w:t>发包人：广州从化净水有限公司</w:t>
      </w:r>
    </w:p>
    <w:p>
      <w:pPr>
        <w:rPr>
          <w:rFonts w:ascii="ˎ̥" w:hAnsi="ˎ̥"/>
          <w:color w:val="000000"/>
          <w:kern w:val="0"/>
          <w:sz w:val="28"/>
          <w:szCs w:val="28"/>
        </w:rPr>
      </w:pPr>
      <w:r>
        <w:rPr>
          <w:rFonts w:hint="eastAsia" w:ascii="ˎ̥" w:hAnsi="ˎ̥"/>
          <w:color w:val="000000"/>
          <w:kern w:val="0"/>
          <w:sz w:val="28"/>
          <w:szCs w:val="28"/>
        </w:rPr>
        <w:t>承包人：</w:t>
      </w:r>
    </w:p>
    <w:p>
      <w:pPr>
        <w:widowControl/>
        <w:spacing w:line="578" w:lineRule="exact"/>
        <w:ind w:firstLine="560" w:firstLineChars="200"/>
        <w:jc w:val="left"/>
        <w:rPr>
          <w:rFonts w:ascii="ˎ̥" w:hAnsi="ˎ̥"/>
          <w:color w:val="000000"/>
          <w:kern w:val="0"/>
          <w:sz w:val="28"/>
          <w:szCs w:val="28"/>
        </w:rPr>
      </w:pPr>
      <w:r>
        <w:rPr>
          <w:rFonts w:hint="eastAsia" w:ascii="ˎ̥" w:hAnsi="ˎ̥"/>
          <w:color w:val="000000"/>
          <w:kern w:val="0"/>
          <w:sz w:val="28"/>
          <w:szCs w:val="28"/>
        </w:rPr>
        <w:t>甲方</w:t>
      </w:r>
      <w:r>
        <w:rPr>
          <w:rFonts w:hint="eastAsia" w:ascii="ˎ̥" w:hAnsi="ˎ̥"/>
          <w:color w:val="000000"/>
          <w:kern w:val="0"/>
          <w:sz w:val="28"/>
          <w:szCs w:val="28"/>
          <w:u w:val="single"/>
        </w:rPr>
        <w:t>广州从化净水有限公司</w:t>
      </w:r>
      <w:r>
        <w:rPr>
          <w:rFonts w:hint="eastAsia" w:ascii="ˎ̥" w:hAnsi="ˎ̥"/>
          <w:color w:val="000000"/>
          <w:kern w:val="0"/>
          <w:sz w:val="28"/>
          <w:szCs w:val="28"/>
        </w:rPr>
        <w:t>由（乙方）</w:t>
      </w:r>
      <w:r>
        <w:rPr>
          <w:rFonts w:hint="eastAsia" w:ascii="ˎ̥" w:hAnsi="ˎ̥"/>
          <w:color w:val="000000"/>
          <w:kern w:val="0"/>
          <w:sz w:val="28"/>
          <w:szCs w:val="28"/>
          <w:u w:val="single"/>
          <w:lang w:val="en-US" w:eastAsia="zh-CN"/>
        </w:rPr>
        <w:t xml:space="preserve">                    </w:t>
      </w:r>
      <w:r>
        <w:rPr>
          <w:rFonts w:hint="eastAsia" w:ascii="ˎ̥" w:hAnsi="ˎ̥"/>
          <w:color w:val="000000"/>
          <w:kern w:val="0"/>
          <w:sz w:val="28"/>
          <w:szCs w:val="28"/>
        </w:rPr>
        <w:t>负责施工，乙方进入施工场地内施工,有关工程过程中的施工安全、环境保护事项, 经双方商议达成如下协议:</w:t>
      </w:r>
    </w:p>
    <w:p>
      <w:pPr>
        <w:widowControl/>
        <w:spacing w:line="578" w:lineRule="exact"/>
        <w:ind w:firstLine="560" w:firstLineChars="200"/>
        <w:jc w:val="left"/>
        <w:rPr>
          <w:rFonts w:ascii="ˎ̥" w:hAnsi="ˎ̥"/>
          <w:color w:val="000000"/>
          <w:kern w:val="0"/>
          <w:sz w:val="28"/>
          <w:szCs w:val="28"/>
        </w:rPr>
      </w:pPr>
      <w:r>
        <w:rPr>
          <w:rFonts w:hint="eastAsia" w:ascii="ˎ̥" w:hAnsi="ˎ̥"/>
          <w:color w:val="000000"/>
          <w:kern w:val="0"/>
          <w:sz w:val="28"/>
          <w:szCs w:val="28"/>
        </w:rPr>
        <w:t>根据《中华人民共和国安全生产法》、《中华人民共和国建筑法》、《建设工程安全生产管理条例》、《生产安全事故报告和调查处理条例》和《广州市安全生产管理规定（试行）》等一系列有关安全生产的法律法规, 经双方协商，签订本协议书，以明确各自的安全生产责任并共同遵守。</w:t>
      </w:r>
    </w:p>
    <w:p>
      <w:pPr>
        <w:widowControl/>
        <w:spacing w:line="578" w:lineRule="exact"/>
        <w:ind w:firstLine="560" w:firstLineChars="200"/>
        <w:jc w:val="left"/>
        <w:rPr>
          <w:rFonts w:ascii="ˎ̥" w:hAnsi="ˎ̥"/>
          <w:color w:val="000000"/>
          <w:kern w:val="0"/>
          <w:sz w:val="28"/>
          <w:szCs w:val="28"/>
        </w:rPr>
      </w:pPr>
      <w:r>
        <w:rPr>
          <w:rFonts w:hint="eastAsia" w:ascii="ˎ̥" w:hAnsi="ˎ̥"/>
          <w:color w:val="000000"/>
          <w:kern w:val="0"/>
          <w:sz w:val="28"/>
          <w:szCs w:val="28"/>
        </w:rPr>
        <w:t>一、发包人的安全责任</w:t>
      </w:r>
    </w:p>
    <w:p>
      <w:pPr>
        <w:widowControl/>
        <w:spacing w:line="578" w:lineRule="exact"/>
        <w:ind w:firstLine="560" w:firstLineChars="200"/>
        <w:jc w:val="left"/>
        <w:rPr>
          <w:rFonts w:ascii="ˎ̥" w:hAnsi="ˎ̥"/>
          <w:color w:val="000000"/>
          <w:kern w:val="0"/>
          <w:sz w:val="28"/>
          <w:szCs w:val="28"/>
        </w:rPr>
      </w:pPr>
      <w:r>
        <w:rPr>
          <w:rFonts w:hint="eastAsia" w:ascii="ˎ̥" w:hAnsi="ˎ̥"/>
          <w:color w:val="000000"/>
          <w:kern w:val="0"/>
          <w:sz w:val="28"/>
          <w:szCs w:val="28"/>
        </w:rPr>
        <w:t>1、发包人有责任对承包人施工安全进行监督、指导、检查。</w:t>
      </w:r>
    </w:p>
    <w:p>
      <w:pPr>
        <w:widowControl/>
        <w:spacing w:line="578" w:lineRule="exact"/>
        <w:ind w:firstLine="560" w:firstLineChars="200"/>
        <w:jc w:val="left"/>
        <w:rPr>
          <w:rFonts w:ascii="ˎ̥" w:hAnsi="ˎ̥"/>
          <w:color w:val="000000"/>
          <w:kern w:val="0"/>
          <w:sz w:val="28"/>
          <w:szCs w:val="28"/>
        </w:rPr>
      </w:pPr>
      <w:r>
        <w:rPr>
          <w:rFonts w:hint="eastAsia" w:ascii="ˎ̥" w:hAnsi="ˎ̥"/>
          <w:color w:val="000000"/>
          <w:kern w:val="0"/>
          <w:sz w:val="28"/>
          <w:szCs w:val="28"/>
        </w:rPr>
        <w:t>2、发包人有责任令承包人对安全隐患进行限期整改或停工整顿。</w:t>
      </w:r>
    </w:p>
    <w:p>
      <w:pPr>
        <w:widowControl/>
        <w:spacing w:line="578" w:lineRule="exact"/>
        <w:ind w:firstLine="560" w:firstLineChars="200"/>
        <w:jc w:val="left"/>
        <w:rPr>
          <w:rFonts w:ascii="ˎ̥" w:hAnsi="ˎ̥"/>
          <w:color w:val="000000"/>
          <w:kern w:val="0"/>
          <w:sz w:val="28"/>
          <w:szCs w:val="28"/>
        </w:rPr>
      </w:pPr>
      <w:r>
        <w:rPr>
          <w:rFonts w:hint="eastAsia" w:ascii="ˎ̥" w:hAnsi="ˎ̥"/>
          <w:color w:val="000000"/>
          <w:kern w:val="0"/>
          <w:sz w:val="28"/>
          <w:szCs w:val="28"/>
        </w:rPr>
        <w:t>3、发包人有责任责令安全管理不到位、存在重大安全隐患或发生安全事故承包人限期退场，或者解除合同。</w:t>
      </w:r>
    </w:p>
    <w:p>
      <w:pPr>
        <w:widowControl/>
        <w:spacing w:line="578" w:lineRule="exact"/>
        <w:ind w:firstLine="560" w:firstLineChars="200"/>
        <w:jc w:val="left"/>
        <w:rPr>
          <w:rFonts w:ascii="ˎ̥" w:hAnsi="ˎ̥"/>
          <w:color w:val="000000"/>
          <w:kern w:val="0"/>
          <w:sz w:val="28"/>
          <w:szCs w:val="28"/>
        </w:rPr>
      </w:pPr>
      <w:r>
        <w:rPr>
          <w:rFonts w:hint="eastAsia" w:ascii="ˎ̥" w:hAnsi="ˎ̥"/>
          <w:color w:val="000000"/>
          <w:kern w:val="0"/>
          <w:sz w:val="28"/>
          <w:szCs w:val="28"/>
        </w:rPr>
        <w:t>二、承包人的安全责任</w:t>
      </w:r>
    </w:p>
    <w:p>
      <w:pPr>
        <w:widowControl/>
        <w:spacing w:line="578" w:lineRule="exact"/>
        <w:ind w:firstLine="560" w:firstLineChars="200"/>
        <w:jc w:val="left"/>
        <w:rPr>
          <w:rFonts w:ascii="ˎ̥" w:hAnsi="ˎ̥"/>
          <w:color w:val="000000"/>
          <w:kern w:val="0"/>
          <w:sz w:val="28"/>
          <w:szCs w:val="28"/>
        </w:rPr>
      </w:pPr>
      <w:r>
        <w:rPr>
          <w:rFonts w:hint="eastAsia" w:ascii="ˎ̥" w:hAnsi="ˎ̥"/>
          <w:color w:val="000000"/>
          <w:kern w:val="0"/>
          <w:sz w:val="28"/>
          <w:szCs w:val="28"/>
        </w:rPr>
        <w:t>1、承包人负责施工现场的安全管理，并应遵守有关安全生产的法律法规与本行业的安全生产规章规程及发包人依此制订的相关安全规定。</w:t>
      </w:r>
    </w:p>
    <w:p>
      <w:pPr>
        <w:widowControl/>
        <w:spacing w:line="578" w:lineRule="exact"/>
        <w:ind w:firstLine="560" w:firstLineChars="200"/>
        <w:jc w:val="left"/>
        <w:rPr>
          <w:rFonts w:ascii="ˎ̥" w:hAnsi="ˎ̥"/>
          <w:color w:val="000000"/>
          <w:kern w:val="0"/>
          <w:sz w:val="28"/>
          <w:szCs w:val="28"/>
        </w:rPr>
      </w:pPr>
      <w:r>
        <w:rPr>
          <w:rFonts w:hint="eastAsia" w:ascii="ˎ̥" w:hAnsi="ˎ̥"/>
          <w:color w:val="000000"/>
          <w:kern w:val="0"/>
          <w:sz w:val="28"/>
          <w:szCs w:val="28"/>
        </w:rPr>
        <w:t>2、承包人负责编制施工安全专项方案、事故应急救援预案并适时组织演练。</w:t>
      </w:r>
    </w:p>
    <w:p>
      <w:pPr>
        <w:widowControl/>
        <w:spacing w:line="578" w:lineRule="exact"/>
        <w:ind w:firstLine="560" w:firstLineChars="200"/>
        <w:jc w:val="left"/>
        <w:rPr>
          <w:rFonts w:ascii="ˎ̥" w:hAnsi="ˎ̥"/>
          <w:color w:val="000000"/>
          <w:kern w:val="0"/>
          <w:sz w:val="28"/>
          <w:szCs w:val="28"/>
        </w:rPr>
      </w:pPr>
      <w:r>
        <w:rPr>
          <w:rFonts w:hint="eastAsia" w:ascii="ˎ̥" w:hAnsi="ˎ̥"/>
          <w:color w:val="000000"/>
          <w:kern w:val="0"/>
          <w:sz w:val="28"/>
          <w:szCs w:val="28"/>
        </w:rPr>
        <w:t>3、承包人负责现场日常的安全检查、隐患排查及其整改并将资料留存；做好施工现场安全文明措施，并保证安全措施相关费用的投入。</w:t>
      </w:r>
    </w:p>
    <w:p>
      <w:pPr>
        <w:widowControl/>
        <w:spacing w:line="578" w:lineRule="exact"/>
        <w:ind w:firstLine="560" w:firstLineChars="200"/>
        <w:jc w:val="left"/>
        <w:rPr>
          <w:rFonts w:ascii="ˎ̥" w:hAnsi="ˎ̥"/>
          <w:color w:val="000000"/>
          <w:kern w:val="0"/>
          <w:sz w:val="28"/>
          <w:szCs w:val="28"/>
        </w:rPr>
      </w:pPr>
      <w:r>
        <w:rPr>
          <w:rFonts w:hint="eastAsia" w:ascii="ˎ̥" w:hAnsi="ˎ̥"/>
          <w:color w:val="000000"/>
          <w:kern w:val="0"/>
          <w:sz w:val="28"/>
          <w:szCs w:val="28"/>
        </w:rPr>
        <w:t>4、如发生生产安全事故，承包人应根据事故应急救援预案组织施救，并负责向所在地安监部门、行业主管部门和广州市规定的相关政府部门报告，并同时上报发包人代表。</w:t>
      </w:r>
    </w:p>
    <w:p>
      <w:pPr>
        <w:widowControl/>
        <w:spacing w:line="600" w:lineRule="exact"/>
        <w:ind w:firstLine="560" w:firstLineChars="200"/>
        <w:jc w:val="left"/>
        <w:rPr>
          <w:rFonts w:ascii="ˎ̥" w:hAnsi="ˎ̥"/>
          <w:color w:val="000000"/>
          <w:kern w:val="0"/>
          <w:sz w:val="28"/>
          <w:szCs w:val="28"/>
        </w:rPr>
      </w:pPr>
      <w:r>
        <w:rPr>
          <w:rFonts w:hint="eastAsia" w:ascii="ˎ̥" w:hAnsi="ˎ̥"/>
          <w:color w:val="000000"/>
          <w:kern w:val="0"/>
          <w:sz w:val="28"/>
          <w:szCs w:val="28"/>
        </w:rPr>
        <w:t>发包人(盖章)                       承包人(盖章)</w:t>
      </w:r>
    </w:p>
    <w:p>
      <w:pPr>
        <w:widowControl/>
        <w:spacing w:line="600" w:lineRule="exact"/>
        <w:ind w:firstLine="560" w:firstLineChars="200"/>
        <w:jc w:val="left"/>
        <w:rPr>
          <w:rFonts w:ascii="ˎ̥" w:hAnsi="ˎ̥"/>
          <w:color w:val="000000"/>
          <w:kern w:val="0"/>
          <w:sz w:val="28"/>
          <w:szCs w:val="28"/>
        </w:rPr>
      </w:pPr>
    </w:p>
    <w:p>
      <w:pPr>
        <w:widowControl/>
        <w:spacing w:line="600" w:lineRule="exact"/>
        <w:ind w:firstLine="560" w:firstLineChars="200"/>
        <w:jc w:val="left"/>
        <w:rPr>
          <w:rFonts w:ascii="ˎ̥" w:hAnsi="ˎ̥"/>
          <w:color w:val="000000"/>
          <w:kern w:val="0"/>
          <w:sz w:val="28"/>
          <w:szCs w:val="28"/>
        </w:rPr>
      </w:pPr>
      <w:r>
        <w:rPr>
          <w:rFonts w:hint="eastAsia" w:ascii="ˎ̥" w:hAnsi="ˎ̥"/>
          <w:color w:val="000000"/>
          <w:kern w:val="0"/>
          <w:sz w:val="28"/>
          <w:szCs w:val="28"/>
        </w:rPr>
        <w:t>发包人代表(签字) ：                承包人代表(签字)：</w:t>
      </w:r>
    </w:p>
    <w:p>
      <w:pPr>
        <w:rPr>
          <w:rFonts w:ascii="仿宋_GB2312" w:hAnsi="仿宋_GB2312" w:eastAsia="仿宋_GB2312" w:cs="仿宋_GB2312"/>
          <w:b/>
          <w:sz w:val="28"/>
          <w:szCs w:val="28"/>
        </w:rPr>
      </w:pPr>
      <w:r>
        <w:rPr>
          <w:rFonts w:hint="eastAsia" w:ascii="ˎ̥" w:hAnsi="ˎ̥"/>
          <w:color w:val="000000"/>
          <w:kern w:val="0"/>
          <w:sz w:val="28"/>
          <w:szCs w:val="28"/>
        </w:rPr>
        <w:t xml:space="preserve">            年    月   日                      年    月   日   </w:t>
      </w:r>
    </w:p>
    <w:p>
      <w:pPr>
        <w:pStyle w:val="6"/>
        <w:spacing w:line="360" w:lineRule="auto"/>
        <w:jc w:val="center"/>
        <w:rPr>
          <w:rFonts w:ascii="仿宋_GB2312" w:hAnsi="仿宋_GB2312" w:eastAsia="仿宋_GB2312" w:cs="仿宋_GB2312"/>
          <w:sz w:val="28"/>
          <w:szCs w:val="28"/>
        </w:rPr>
      </w:pPr>
    </w:p>
    <w:p>
      <w:pPr>
        <w:pStyle w:val="6"/>
        <w:spacing w:line="360" w:lineRule="auto"/>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hAnsi="宋体"/>
          <w:szCs w:val="21"/>
        </w:rPr>
      </w:pPr>
      <w:r>
        <w:rPr>
          <w:rFonts w:hint="eastAsia"/>
          <w:b/>
          <w:sz w:val="28"/>
          <w:szCs w:val="28"/>
        </w:rPr>
        <w:t>附件5：</w:t>
      </w:r>
    </w:p>
    <w:p>
      <w:pPr>
        <w:adjustRightInd w:val="0"/>
        <w:snapToGrid w:val="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不诚信行为的情形及相应被暂停参与投标活动的处理标准</w:t>
      </w:r>
    </w:p>
    <w:tbl>
      <w:tblPr>
        <w:tblStyle w:val="23"/>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处理</w:t>
            </w:r>
          </w:p>
          <w:p>
            <w:pPr>
              <w:adjustRightInd w:val="0"/>
              <w:snapToGrid w:val="0"/>
              <w:rPr>
                <w:rFonts w:ascii="仿宋_GB2312" w:hAnsi="仿宋_GB2312" w:eastAsia="仿宋_GB2312" w:cs="仿宋_GB2312"/>
              </w:rPr>
            </w:pPr>
            <w:r>
              <w:rPr>
                <w:rFonts w:hint="eastAsia" w:ascii="仿宋_GB2312" w:hAnsi="仿宋_GB2312" w:eastAsia="仿宋_GB2312" w:cs="仿宋_GB2312"/>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发生重伤或死亡1～2人的，暂停投标1年至2年（含）。</w:t>
            </w:r>
          </w:p>
          <w:p>
            <w:pPr>
              <w:adjustRightInd w:val="0"/>
              <w:snapToGrid w:val="0"/>
              <w:rPr>
                <w:rFonts w:ascii="仿宋_GB2312" w:hAnsi="仿宋_GB2312" w:eastAsia="仿宋_GB2312" w:cs="仿宋_GB2312"/>
              </w:rPr>
            </w:pPr>
            <w:r>
              <w:rPr>
                <w:rFonts w:hint="eastAsia" w:ascii="仿宋_GB2312" w:hAnsi="仿宋_GB2312" w:eastAsia="仿宋_GB2312" w:cs="仿宋_GB2312"/>
              </w:rPr>
              <w:t>发生重伤或死亡3～9人的，暂停投标2年以上至4年。</w:t>
            </w:r>
          </w:p>
          <w:p>
            <w:pPr>
              <w:adjustRightInd w:val="0"/>
              <w:snapToGrid w:val="0"/>
              <w:rPr>
                <w:rFonts w:ascii="仿宋_GB2312" w:hAnsi="仿宋_GB2312" w:eastAsia="仿宋_GB2312" w:cs="仿宋_GB2312"/>
              </w:rPr>
            </w:pPr>
            <w:r>
              <w:rPr>
                <w:rFonts w:hint="eastAsia" w:ascii="仿宋_GB2312" w:hAnsi="仿宋_GB2312" w:eastAsia="仿宋_GB2312" w:cs="仿宋_GB2312"/>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其他不诚信</w:t>
            </w:r>
          </w:p>
          <w:p>
            <w:pPr>
              <w:adjustRightInd w:val="0"/>
              <w:snapToGrid w:val="0"/>
              <w:rPr>
                <w:rFonts w:ascii="仿宋_GB2312" w:hAnsi="仿宋_GB2312" w:eastAsia="仿宋_GB2312" w:cs="仿宋_GB2312"/>
              </w:rPr>
            </w:pPr>
            <w:r>
              <w:rPr>
                <w:rFonts w:hint="eastAsia" w:ascii="仿宋_GB2312" w:hAnsi="仿宋_GB2312" w:eastAsia="仿宋_GB2312" w:cs="仿宋_GB2312"/>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仿宋_GB2312" w:hAnsi="仿宋_GB2312" w:eastAsia="仿宋_GB2312" w:cs="仿宋_GB2312"/>
              </w:rPr>
            </w:pPr>
            <w:r>
              <w:rPr>
                <w:rFonts w:hint="eastAsia" w:ascii="仿宋_GB2312" w:hAnsi="仿宋_GB2312" w:eastAsia="仿宋_GB2312" w:cs="仿宋_GB2312"/>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bl>
    <w:p>
      <w:pPr>
        <w:contextualSpacing/>
        <w:jc w:val="left"/>
        <w:rPr>
          <w:rFonts w:ascii="仿宋_GB2312" w:hAnsi="仿宋_GB2312" w:eastAsia="仿宋_GB2312" w:cs="仿宋_GB2312"/>
          <w:sz w:val="24"/>
        </w:rPr>
      </w:pPr>
      <w:r>
        <w:rPr>
          <w:rFonts w:hint="eastAsia" w:ascii="仿宋_GB2312" w:hAnsi="仿宋_GB2312" w:eastAsia="仿宋_GB2312" w:cs="仿宋_GB2312"/>
          <w:sz w:val="24"/>
        </w:rPr>
        <w:t>备注：本处理标准出自</w:t>
      </w:r>
      <w:r>
        <w:rPr>
          <w:rFonts w:hint="eastAsia" w:ascii="仿宋_GB2312" w:hAnsi="仿宋_GB2312" w:eastAsia="仿宋_GB2312" w:cs="仿宋_GB2312"/>
          <w:color w:val="000000"/>
          <w:sz w:val="24"/>
        </w:rPr>
        <w:t>《广州市净水有限公司经营建设项目参建企业不诚信行为管理办法》。</w:t>
      </w:r>
    </w:p>
    <w:p>
      <w:pPr>
        <w:rPr>
          <w:b/>
          <w:sz w:val="28"/>
          <w:szCs w:val="28"/>
        </w:rPr>
      </w:pPr>
    </w:p>
    <w:p>
      <w:pPr>
        <w:pStyle w:val="2"/>
        <w:rPr>
          <w:b/>
          <w:sz w:val="28"/>
          <w:szCs w:val="28"/>
        </w:rPr>
      </w:pPr>
    </w:p>
    <w:p>
      <w:pPr>
        <w:pStyle w:val="3"/>
        <w:rPr>
          <w:b/>
          <w:sz w:val="28"/>
          <w:szCs w:val="28"/>
        </w:rPr>
      </w:pPr>
    </w:p>
    <w:p>
      <w:pPr>
        <w:pStyle w:val="3"/>
        <w:rPr>
          <w:b/>
          <w:sz w:val="28"/>
          <w:szCs w:val="28"/>
        </w:rPr>
      </w:pPr>
    </w:p>
    <w:p>
      <w:pPr>
        <w:pStyle w:val="3"/>
        <w:rPr>
          <w:b/>
          <w:sz w:val="28"/>
          <w:szCs w:val="28"/>
        </w:rPr>
      </w:pPr>
    </w:p>
    <w:p>
      <w:pPr>
        <w:pStyle w:val="3"/>
        <w:rPr>
          <w:b/>
          <w:sz w:val="28"/>
          <w:szCs w:val="28"/>
        </w:rPr>
      </w:pPr>
    </w:p>
    <w:p>
      <w:pPr>
        <w:pStyle w:val="3"/>
        <w:rPr>
          <w:b/>
          <w:sz w:val="28"/>
          <w:szCs w:val="28"/>
        </w:rPr>
      </w:pPr>
    </w:p>
    <w:p>
      <w:pPr>
        <w:pStyle w:val="3"/>
        <w:rPr>
          <w:b/>
          <w:sz w:val="28"/>
          <w:szCs w:val="28"/>
        </w:rPr>
      </w:pPr>
    </w:p>
    <w:p>
      <w:pPr>
        <w:pStyle w:val="3"/>
        <w:rPr>
          <w:b/>
          <w:sz w:val="28"/>
          <w:szCs w:val="28"/>
        </w:rPr>
      </w:pPr>
    </w:p>
    <w:p>
      <w:pPr>
        <w:rPr>
          <w:rFonts w:hAnsi="宋体"/>
          <w:szCs w:val="21"/>
        </w:rPr>
      </w:pPr>
      <w:r>
        <w:rPr>
          <w:rFonts w:hint="eastAsia"/>
          <w:b/>
          <w:sz w:val="28"/>
          <w:szCs w:val="28"/>
        </w:rPr>
        <w:t>附件6：</w:t>
      </w:r>
    </w:p>
    <w:p>
      <w:pPr>
        <w:spacing w:line="5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X</w:t>
      </w:r>
      <w:r>
        <w:rPr>
          <w:rFonts w:hint="eastAsia" w:ascii="仿宋_GB2312" w:hAnsi="仿宋_GB2312" w:eastAsia="仿宋_GB2312" w:cs="仿宋_GB2312"/>
          <w:sz w:val="28"/>
          <w:szCs w:val="28"/>
        </w:rPr>
        <w:t>年XX厂水质检测报告（进、出水）</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388"/>
        <w:gridCol w:w="425"/>
        <w:gridCol w:w="366"/>
        <w:gridCol w:w="604"/>
        <w:gridCol w:w="567"/>
        <w:gridCol w:w="425"/>
        <w:gridCol w:w="425"/>
        <w:gridCol w:w="425"/>
        <w:gridCol w:w="327"/>
        <w:gridCol w:w="382"/>
        <w:gridCol w:w="709"/>
        <w:gridCol w:w="282"/>
        <w:gridCol w:w="425"/>
        <w:gridCol w:w="425"/>
        <w:gridCol w:w="425"/>
        <w:gridCol w:w="425"/>
        <w:gridCol w:w="425"/>
        <w:gridCol w:w="426"/>
        <w:gridCol w:w="344"/>
        <w:gridCol w:w="396"/>
        <w:gridCol w:w="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425" w:type="dxa"/>
            <w:textDirection w:val="tbLrV"/>
            <w:vAlign w:val="center"/>
          </w:tcPr>
          <w:p>
            <w:pPr>
              <w:pStyle w:val="2"/>
              <w:ind w:left="113" w:right="113"/>
              <w:jc w:val="center"/>
              <w:rPr>
                <w:sz w:val="20"/>
                <w:szCs w:val="22"/>
              </w:rPr>
            </w:pPr>
            <w:r>
              <w:rPr>
                <w:rFonts w:hint="eastAsia"/>
                <w:sz w:val="20"/>
                <w:szCs w:val="22"/>
              </w:rPr>
              <w:t>指标</w:t>
            </w:r>
          </w:p>
        </w:tc>
        <w:tc>
          <w:tcPr>
            <w:tcW w:w="388" w:type="dxa"/>
            <w:vAlign w:val="center"/>
          </w:tcPr>
          <w:p>
            <w:pPr>
              <w:pStyle w:val="2"/>
              <w:jc w:val="center"/>
              <w:rPr>
                <w:sz w:val="20"/>
                <w:szCs w:val="22"/>
              </w:rPr>
            </w:pPr>
            <w:r>
              <w:rPr>
                <w:rFonts w:hint="eastAsia"/>
                <w:sz w:val="20"/>
                <w:szCs w:val="22"/>
              </w:rPr>
              <w:t>PH值</w:t>
            </w:r>
          </w:p>
        </w:tc>
        <w:tc>
          <w:tcPr>
            <w:tcW w:w="425" w:type="dxa"/>
            <w:textDirection w:val="tbLrV"/>
            <w:vAlign w:val="center"/>
          </w:tcPr>
          <w:p>
            <w:pPr>
              <w:pStyle w:val="2"/>
              <w:ind w:left="113" w:right="113"/>
              <w:jc w:val="center"/>
              <w:rPr>
                <w:sz w:val="20"/>
                <w:szCs w:val="22"/>
              </w:rPr>
            </w:pPr>
            <w:r>
              <w:rPr>
                <w:rFonts w:hint="eastAsia"/>
                <w:sz w:val="20"/>
                <w:szCs w:val="22"/>
              </w:rPr>
              <w:t>色度</w:t>
            </w:r>
          </w:p>
        </w:tc>
        <w:tc>
          <w:tcPr>
            <w:tcW w:w="366" w:type="dxa"/>
            <w:vAlign w:val="center"/>
          </w:tcPr>
          <w:p>
            <w:pPr>
              <w:pStyle w:val="2"/>
              <w:jc w:val="center"/>
              <w:rPr>
                <w:sz w:val="20"/>
                <w:szCs w:val="22"/>
              </w:rPr>
            </w:pPr>
            <w:r>
              <w:rPr>
                <w:rFonts w:hint="eastAsia"/>
                <w:sz w:val="20"/>
                <w:szCs w:val="22"/>
              </w:rPr>
              <w:t>SS</w:t>
            </w:r>
          </w:p>
        </w:tc>
        <w:tc>
          <w:tcPr>
            <w:tcW w:w="604" w:type="dxa"/>
            <w:vAlign w:val="center"/>
          </w:tcPr>
          <w:p>
            <w:pPr>
              <w:pStyle w:val="2"/>
              <w:jc w:val="center"/>
              <w:rPr>
                <w:sz w:val="20"/>
                <w:szCs w:val="22"/>
              </w:rPr>
            </w:pPr>
            <w:r>
              <w:rPr>
                <w:rFonts w:hint="eastAsia"/>
                <w:sz w:val="20"/>
                <w:szCs w:val="22"/>
              </w:rPr>
              <w:t>CODcr</w:t>
            </w:r>
          </w:p>
        </w:tc>
        <w:tc>
          <w:tcPr>
            <w:tcW w:w="567" w:type="dxa"/>
            <w:vAlign w:val="center"/>
          </w:tcPr>
          <w:p>
            <w:pPr>
              <w:pStyle w:val="2"/>
              <w:jc w:val="center"/>
              <w:rPr>
                <w:sz w:val="20"/>
                <w:szCs w:val="22"/>
              </w:rPr>
            </w:pPr>
            <w:r>
              <w:rPr>
                <w:rFonts w:hint="eastAsia"/>
                <w:sz w:val="20"/>
                <w:szCs w:val="22"/>
              </w:rPr>
              <w:t>BOD5</w:t>
            </w:r>
          </w:p>
        </w:tc>
        <w:tc>
          <w:tcPr>
            <w:tcW w:w="425" w:type="dxa"/>
            <w:textDirection w:val="tbLrV"/>
            <w:vAlign w:val="center"/>
          </w:tcPr>
          <w:p>
            <w:pPr>
              <w:pStyle w:val="2"/>
              <w:ind w:left="113" w:right="113"/>
              <w:jc w:val="center"/>
              <w:rPr>
                <w:sz w:val="20"/>
                <w:szCs w:val="22"/>
              </w:rPr>
            </w:pPr>
            <w:r>
              <w:rPr>
                <w:rFonts w:hint="eastAsia"/>
                <w:sz w:val="20"/>
                <w:szCs w:val="22"/>
              </w:rPr>
              <w:t>氨氮</w:t>
            </w:r>
          </w:p>
        </w:tc>
        <w:tc>
          <w:tcPr>
            <w:tcW w:w="425" w:type="dxa"/>
            <w:textDirection w:val="tbLrV"/>
            <w:vAlign w:val="center"/>
          </w:tcPr>
          <w:p>
            <w:pPr>
              <w:pStyle w:val="2"/>
              <w:ind w:left="113" w:right="113"/>
              <w:jc w:val="center"/>
              <w:rPr>
                <w:sz w:val="20"/>
                <w:szCs w:val="22"/>
              </w:rPr>
            </w:pPr>
            <w:r>
              <w:rPr>
                <w:rFonts w:hint="eastAsia"/>
                <w:sz w:val="20"/>
                <w:szCs w:val="22"/>
              </w:rPr>
              <w:t>总氮</w:t>
            </w:r>
          </w:p>
        </w:tc>
        <w:tc>
          <w:tcPr>
            <w:tcW w:w="425" w:type="dxa"/>
            <w:textDirection w:val="tbLrV"/>
            <w:vAlign w:val="center"/>
          </w:tcPr>
          <w:p>
            <w:pPr>
              <w:pStyle w:val="2"/>
              <w:ind w:left="113" w:right="113"/>
              <w:jc w:val="center"/>
              <w:rPr>
                <w:sz w:val="20"/>
                <w:szCs w:val="22"/>
              </w:rPr>
            </w:pPr>
            <w:r>
              <w:rPr>
                <w:rFonts w:hint="eastAsia"/>
                <w:sz w:val="20"/>
                <w:szCs w:val="22"/>
              </w:rPr>
              <w:t>总磷</w:t>
            </w:r>
          </w:p>
        </w:tc>
        <w:tc>
          <w:tcPr>
            <w:tcW w:w="327" w:type="dxa"/>
            <w:textDirection w:val="tbLrV"/>
            <w:vAlign w:val="center"/>
          </w:tcPr>
          <w:p>
            <w:pPr>
              <w:pStyle w:val="2"/>
              <w:ind w:left="113" w:right="113"/>
              <w:jc w:val="center"/>
              <w:rPr>
                <w:sz w:val="20"/>
                <w:szCs w:val="22"/>
              </w:rPr>
            </w:pPr>
            <w:r>
              <w:rPr>
                <w:rFonts w:hint="eastAsia"/>
                <w:sz w:val="20"/>
                <w:szCs w:val="22"/>
              </w:rPr>
              <w:t>硫化物</w:t>
            </w:r>
          </w:p>
        </w:tc>
        <w:tc>
          <w:tcPr>
            <w:tcW w:w="382" w:type="dxa"/>
            <w:textDirection w:val="tbLrV"/>
            <w:vAlign w:val="center"/>
          </w:tcPr>
          <w:p>
            <w:pPr>
              <w:pStyle w:val="2"/>
              <w:ind w:left="113" w:right="113"/>
              <w:jc w:val="center"/>
              <w:rPr>
                <w:sz w:val="20"/>
                <w:szCs w:val="22"/>
              </w:rPr>
            </w:pPr>
            <w:r>
              <w:rPr>
                <w:rFonts w:hint="eastAsia"/>
                <w:sz w:val="20"/>
                <w:szCs w:val="22"/>
              </w:rPr>
              <w:t>总余氯</w:t>
            </w:r>
          </w:p>
        </w:tc>
        <w:tc>
          <w:tcPr>
            <w:tcW w:w="709" w:type="dxa"/>
            <w:textDirection w:val="tbLrV"/>
            <w:vAlign w:val="center"/>
          </w:tcPr>
          <w:p>
            <w:pPr>
              <w:pStyle w:val="2"/>
              <w:ind w:left="113" w:right="113"/>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阴离子表面活性剂</w:t>
            </w:r>
          </w:p>
        </w:tc>
        <w:tc>
          <w:tcPr>
            <w:tcW w:w="282" w:type="dxa"/>
            <w:textDirection w:val="tbLrV"/>
            <w:vAlign w:val="center"/>
          </w:tcPr>
          <w:p>
            <w:pPr>
              <w:pStyle w:val="2"/>
              <w:ind w:left="113" w:right="113"/>
              <w:jc w:val="center"/>
              <w:rPr>
                <w:sz w:val="20"/>
                <w:szCs w:val="22"/>
              </w:rPr>
            </w:pPr>
            <w:r>
              <w:rPr>
                <w:rFonts w:hint="eastAsia"/>
                <w:sz w:val="20"/>
                <w:szCs w:val="22"/>
              </w:rPr>
              <w:t>石油类</w:t>
            </w:r>
          </w:p>
        </w:tc>
        <w:tc>
          <w:tcPr>
            <w:tcW w:w="425" w:type="dxa"/>
            <w:textDirection w:val="tbLrV"/>
            <w:vAlign w:val="center"/>
          </w:tcPr>
          <w:p>
            <w:pPr>
              <w:pStyle w:val="2"/>
              <w:ind w:left="113" w:right="113"/>
              <w:jc w:val="center"/>
              <w:rPr>
                <w:sz w:val="20"/>
                <w:szCs w:val="22"/>
              </w:rPr>
            </w:pPr>
            <w:r>
              <w:rPr>
                <w:rFonts w:hint="eastAsia"/>
                <w:sz w:val="20"/>
                <w:szCs w:val="22"/>
              </w:rPr>
              <w:t>动植物油</w:t>
            </w:r>
          </w:p>
        </w:tc>
        <w:tc>
          <w:tcPr>
            <w:tcW w:w="425" w:type="dxa"/>
            <w:textDirection w:val="tbLrV"/>
            <w:vAlign w:val="center"/>
          </w:tcPr>
          <w:p>
            <w:pPr>
              <w:pStyle w:val="2"/>
              <w:ind w:left="113" w:right="113"/>
              <w:jc w:val="center"/>
              <w:rPr>
                <w:sz w:val="20"/>
                <w:szCs w:val="22"/>
              </w:rPr>
            </w:pPr>
            <w:r>
              <w:rPr>
                <w:rFonts w:hint="eastAsia"/>
                <w:sz w:val="20"/>
                <w:szCs w:val="22"/>
              </w:rPr>
              <w:t>烷基汞</w:t>
            </w:r>
          </w:p>
        </w:tc>
        <w:tc>
          <w:tcPr>
            <w:tcW w:w="425" w:type="dxa"/>
            <w:textDirection w:val="tbLrV"/>
            <w:vAlign w:val="center"/>
          </w:tcPr>
          <w:p>
            <w:pPr>
              <w:pStyle w:val="2"/>
              <w:ind w:left="113" w:right="113"/>
              <w:jc w:val="center"/>
              <w:rPr>
                <w:sz w:val="20"/>
                <w:szCs w:val="22"/>
              </w:rPr>
            </w:pPr>
            <w:r>
              <w:rPr>
                <w:rFonts w:hint="eastAsia"/>
                <w:sz w:val="20"/>
                <w:szCs w:val="22"/>
              </w:rPr>
              <w:t>总汞</w:t>
            </w:r>
          </w:p>
        </w:tc>
        <w:tc>
          <w:tcPr>
            <w:tcW w:w="425" w:type="dxa"/>
            <w:textDirection w:val="tbLrV"/>
            <w:vAlign w:val="center"/>
          </w:tcPr>
          <w:p>
            <w:pPr>
              <w:pStyle w:val="2"/>
              <w:ind w:left="113" w:right="113"/>
              <w:jc w:val="center"/>
              <w:rPr>
                <w:sz w:val="20"/>
                <w:szCs w:val="22"/>
              </w:rPr>
            </w:pPr>
            <w:r>
              <w:rPr>
                <w:rFonts w:hint="eastAsia"/>
                <w:sz w:val="20"/>
                <w:szCs w:val="22"/>
              </w:rPr>
              <w:t>总镉</w:t>
            </w:r>
          </w:p>
        </w:tc>
        <w:tc>
          <w:tcPr>
            <w:tcW w:w="425" w:type="dxa"/>
            <w:textDirection w:val="tbLrV"/>
            <w:vAlign w:val="center"/>
          </w:tcPr>
          <w:p>
            <w:pPr>
              <w:pStyle w:val="2"/>
              <w:ind w:left="113" w:right="113"/>
              <w:jc w:val="center"/>
              <w:rPr>
                <w:sz w:val="20"/>
                <w:szCs w:val="22"/>
              </w:rPr>
            </w:pPr>
            <w:r>
              <w:rPr>
                <w:rFonts w:hint="eastAsia"/>
                <w:sz w:val="20"/>
                <w:szCs w:val="22"/>
              </w:rPr>
              <w:t>总铬</w:t>
            </w:r>
          </w:p>
        </w:tc>
        <w:tc>
          <w:tcPr>
            <w:tcW w:w="426" w:type="dxa"/>
            <w:textDirection w:val="tbLrV"/>
            <w:vAlign w:val="center"/>
          </w:tcPr>
          <w:p>
            <w:pPr>
              <w:pStyle w:val="2"/>
              <w:ind w:left="113" w:right="113"/>
              <w:jc w:val="center"/>
              <w:rPr>
                <w:sz w:val="20"/>
                <w:szCs w:val="22"/>
              </w:rPr>
            </w:pPr>
            <w:r>
              <w:rPr>
                <w:rFonts w:hint="eastAsia"/>
                <w:sz w:val="20"/>
                <w:szCs w:val="22"/>
              </w:rPr>
              <w:t>六价铬</w:t>
            </w:r>
          </w:p>
        </w:tc>
        <w:tc>
          <w:tcPr>
            <w:tcW w:w="344" w:type="dxa"/>
            <w:textDirection w:val="tbLrV"/>
            <w:vAlign w:val="center"/>
          </w:tcPr>
          <w:p>
            <w:pPr>
              <w:pStyle w:val="2"/>
              <w:ind w:left="113" w:right="113"/>
              <w:jc w:val="center"/>
              <w:rPr>
                <w:sz w:val="20"/>
                <w:szCs w:val="22"/>
              </w:rPr>
            </w:pPr>
            <w:r>
              <w:rPr>
                <w:rFonts w:hint="eastAsia"/>
                <w:sz w:val="20"/>
                <w:szCs w:val="22"/>
              </w:rPr>
              <w:t>总砷</w:t>
            </w:r>
          </w:p>
        </w:tc>
        <w:tc>
          <w:tcPr>
            <w:tcW w:w="396" w:type="dxa"/>
            <w:textDirection w:val="tbLrV"/>
            <w:vAlign w:val="center"/>
          </w:tcPr>
          <w:p>
            <w:pPr>
              <w:pStyle w:val="2"/>
              <w:ind w:left="113" w:right="113"/>
              <w:jc w:val="center"/>
              <w:rPr>
                <w:sz w:val="20"/>
                <w:szCs w:val="22"/>
              </w:rPr>
            </w:pPr>
            <w:r>
              <w:rPr>
                <w:rFonts w:hint="eastAsia"/>
                <w:sz w:val="20"/>
                <w:szCs w:val="22"/>
              </w:rPr>
              <w:t>总铅</w:t>
            </w:r>
          </w:p>
        </w:tc>
        <w:tc>
          <w:tcPr>
            <w:tcW w:w="538" w:type="dxa"/>
            <w:textDirection w:val="tbLrV"/>
            <w:vAlign w:val="center"/>
          </w:tcPr>
          <w:p>
            <w:pPr>
              <w:pStyle w:val="2"/>
              <w:ind w:left="113" w:right="113"/>
              <w:jc w:val="center"/>
              <w:rPr>
                <w:sz w:val="20"/>
                <w:szCs w:val="22"/>
              </w:rPr>
            </w:pPr>
            <w:r>
              <w:rPr>
                <w:rFonts w:hint="eastAsia"/>
                <w:sz w:val="20"/>
                <w:szCs w:val="22"/>
              </w:rPr>
              <w:t>类大肠菌群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vAlign w:val="center"/>
          </w:tcPr>
          <w:p>
            <w:pPr>
              <w:pStyle w:val="2"/>
              <w:jc w:val="center"/>
            </w:pPr>
            <w:r>
              <w:rPr>
                <w:rFonts w:hint="eastAsia"/>
              </w:rPr>
              <w:t>1月</w:t>
            </w:r>
          </w:p>
        </w:tc>
        <w:tc>
          <w:tcPr>
            <w:tcW w:w="388" w:type="dxa"/>
            <w:vAlign w:val="center"/>
          </w:tcPr>
          <w:p>
            <w:pPr>
              <w:pStyle w:val="2"/>
              <w:jc w:val="center"/>
            </w:pPr>
          </w:p>
        </w:tc>
        <w:tc>
          <w:tcPr>
            <w:tcW w:w="425" w:type="dxa"/>
            <w:vAlign w:val="center"/>
          </w:tcPr>
          <w:p>
            <w:pPr>
              <w:pStyle w:val="2"/>
              <w:jc w:val="center"/>
            </w:pPr>
          </w:p>
        </w:tc>
        <w:tc>
          <w:tcPr>
            <w:tcW w:w="366" w:type="dxa"/>
            <w:vAlign w:val="center"/>
          </w:tcPr>
          <w:p>
            <w:pPr>
              <w:pStyle w:val="2"/>
              <w:jc w:val="center"/>
            </w:pPr>
          </w:p>
        </w:tc>
        <w:tc>
          <w:tcPr>
            <w:tcW w:w="604" w:type="dxa"/>
            <w:vAlign w:val="center"/>
          </w:tcPr>
          <w:p>
            <w:pPr>
              <w:pStyle w:val="2"/>
              <w:jc w:val="center"/>
            </w:pPr>
          </w:p>
        </w:tc>
        <w:tc>
          <w:tcPr>
            <w:tcW w:w="567" w:type="dxa"/>
            <w:vAlign w:val="center"/>
          </w:tcPr>
          <w:p>
            <w:pPr>
              <w:pStyle w:val="2"/>
              <w:jc w:val="center"/>
            </w:pPr>
          </w:p>
        </w:tc>
        <w:tc>
          <w:tcPr>
            <w:tcW w:w="425" w:type="dxa"/>
            <w:vAlign w:val="center"/>
          </w:tcPr>
          <w:p>
            <w:pPr>
              <w:pStyle w:val="2"/>
              <w:jc w:val="center"/>
            </w:pPr>
          </w:p>
        </w:tc>
        <w:tc>
          <w:tcPr>
            <w:tcW w:w="425" w:type="dxa"/>
            <w:vAlign w:val="center"/>
          </w:tcPr>
          <w:p>
            <w:pPr>
              <w:pStyle w:val="2"/>
              <w:jc w:val="center"/>
            </w:pPr>
          </w:p>
        </w:tc>
        <w:tc>
          <w:tcPr>
            <w:tcW w:w="425" w:type="dxa"/>
            <w:vAlign w:val="center"/>
          </w:tcPr>
          <w:p>
            <w:pPr>
              <w:pStyle w:val="2"/>
              <w:jc w:val="center"/>
            </w:pPr>
          </w:p>
        </w:tc>
        <w:tc>
          <w:tcPr>
            <w:tcW w:w="327" w:type="dxa"/>
            <w:vAlign w:val="center"/>
          </w:tcPr>
          <w:p>
            <w:pPr>
              <w:pStyle w:val="2"/>
              <w:jc w:val="center"/>
            </w:pPr>
          </w:p>
        </w:tc>
        <w:tc>
          <w:tcPr>
            <w:tcW w:w="382" w:type="dxa"/>
            <w:vAlign w:val="center"/>
          </w:tcPr>
          <w:p>
            <w:pPr>
              <w:pStyle w:val="2"/>
              <w:jc w:val="center"/>
            </w:pPr>
          </w:p>
        </w:tc>
        <w:tc>
          <w:tcPr>
            <w:tcW w:w="709" w:type="dxa"/>
            <w:vAlign w:val="center"/>
          </w:tcPr>
          <w:p>
            <w:pPr>
              <w:pStyle w:val="2"/>
              <w:jc w:val="center"/>
              <w:rPr>
                <w:rFonts w:asciiTheme="minorEastAsia" w:hAnsiTheme="minorEastAsia" w:eastAsiaTheme="minorEastAsia" w:cstheme="minorEastAsia"/>
                <w:sz w:val="20"/>
                <w:szCs w:val="22"/>
              </w:rPr>
            </w:pPr>
          </w:p>
        </w:tc>
        <w:tc>
          <w:tcPr>
            <w:tcW w:w="282" w:type="dxa"/>
            <w:vAlign w:val="center"/>
          </w:tcPr>
          <w:p>
            <w:pPr>
              <w:pStyle w:val="2"/>
              <w:jc w:val="center"/>
            </w:pPr>
          </w:p>
        </w:tc>
        <w:tc>
          <w:tcPr>
            <w:tcW w:w="425" w:type="dxa"/>
            <w:vAlign w:val="center"/>
          </w:tcPr>
          <w:p>
            <w:pPr>
              <w:pStyle w:val="2"/>
              <w:jc w:val="center"/>
            </w:pPr>
          </w:p>
        </w:tc>
        <w:tc>
          <w:tcPr>
            <w:tcW w:w="425" w:type="dxa"/>
            <w:vAlign w:val="center"/>
          </w:tcPr>
          <w:p>
            <w:pPr>
              <w:pStyle w:val="2"/>
              <w:jc w:val="center"/>
            </w:pPr>
          </w:p>
        </w:tc>
        <w:tc>
          <w:tcPr>
            <w:tcW w:w="425" w:type="dxa"/>
            <w:vAlign w:val="center"/>
          </w:tcPr>
          <w:p>
            <w:pPr>
              <w:pStyle w:val="2"/>
              <w:jc w:val="center"/>
            </w:pPr>
          </w:p>
        </w:tc>
        <w:tc>
          <w:tcPr>
            <w:tcW w:w="425" w:type="dxa"/>
            <w:vAlign w:val="center"/>
          </w:tcPr>
          <w:p>
            <w:pPr>
              <w:pStyle w:val="2"/>
              <w:jc w:val="center"/>
            </w:pPr>
          </w:p>
        </w:tc>
        <w:tc>
          <w:tcPr>
            <w:tcW w:w="425" w:type="dxa"/>
            <w:vAlign w:val="center"/>
          </w:tcPr>
          <w:p>
            <w:pPr>
              <w:pStyle w:val="2"/>
              <w:jc w:val="center"/>
            </w:pPr>
          </w:p>
        </w:tc>
        <w:tc>
          <w:tcPr>
            <w:tcW w:w="426" w:type="dxa"/>
            <w:vAlign w:val="center"/>
          </w:tcPr>
          <w:p>
            <w:pPr>
              <w:pStyle w:val="2"/>
              <w:jc w:val="center"/>
            </w:pPr>
          </w:p>
        </w:tc>
        <w:tc>
          <w:tcPr>
            <w:tcW w:w="344" w:type="dxa"/>
            <w:vAlign w:val="center"/>
          </w:tcPr>
          <w:p>
            <w:pPr>
              <w:pStyle w:val="2"/>
              <w:jc w:val="center"/>
            </w:pPr>
          </w:p>
        </w:tc>
        <w:tc>
          <w:tcPr>
            <w:tcW w:w="396" w:type="dxa"/>
            <w:vAlign w:val="center"/>
          </w:tcPr>
          <w:p>
            <w:pPr>
              <w:pStyle w:val="2"/>
              <w:jc w:val="center"/>
            </w:pPr>
          </w:p>
        </w:tc>
        <w:tc>
          <w:tcPr>
            <w:tcW w:w="538" w:type="dxa"/>
            <w:vAlign w:val="center"/>
          </w:tcPr>
          <w:p>
            <w:pPr>
              <w:pStyle w:val="2"/>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vAlign w:val="center"/>
          </w:tcPr>
          <w:p>
            <w:pPr>
              <w:pStyle w:val="2"/>
              <w:jc w:val="center"/>
            </w:pPr>
            <w:r>
              <w:rPr>
                <w:rFonts w:hint="eastAsia"/>
              </w:rPr>
              <w:t>2月</w:t>
            </w:r>
          </w:p>
        </w:tc>
        <w:tc>
          <w:tcPr>
            <w:tcW w:w="388" w:type="dxa"/>
            <w:vAlign w:val="center"/>
          </w:tcPr>
          <w:p>
            <w:pPr>
              <w:pStyle w:val="2"/>
              <w:jc w:val="center"/>
            </w:pPr>
          </w:p>
        </w:tc>
        <w:tc>
          <w:tcPr>
            <w:tcW w:w="425" w:type="dxa"/>
            <w:vAlign w:val="center"/>
          </w:tcPr>
          <w:p>
            <w:pPr>
              <w:pStyle w:val="2"/>
              <w:jc w:val="center"/>
            </w:pPr>
          </w:p>
        </w:tc>
        <w:tc>
          <w:tcPr>
            <w:tcW w:w="366" w:type="dxa"/>
            <w:vAlign w:val="center"/>
          </w:tcPr>
          <w:p>
            <w:pPr>
              <w:pStyle w:val="2"/>
              <w:jc w:val="center"/>
            </w:pPr>
          </w:p>
        </w:tc>
        <w:tc>
          <w:tcPr>
            <w:tcW w:w="604" w:type="dxa"/>
            <w:vAlign w:val="center"/>
          </w:tcPr>
          <w:p>
            <w:pPr>
              <w:pStyle w:val="2"/>
              <w:jc w:val="center"/>
            </w:pPr>
          </w:p>
        </w:tc>
        <w:tc>
          <w:tcPr>
            <w:tcW w:w="567" w:type="dxa"/>
            <w:vAlign w:val="center"/>
          </w:tcPr>
          <w:p>
            <w:pPr>
              <w:pStyle w:val="2"/>
              <w:jc w:val="center"/>
            </w:pPr>
          </w:p>
        </w:tc>
        <w:tc>
          <w:tcPr>
            <w:tcW w:w="425" w:type="dxa"/>
            <w:vAlign w:val="center"/>
          </w:tcPr>
          <w:p>
            <w:pPr>
              <w:pStyle w:val="2"/>
              <w:jc w:val="center"/>
            </w:pPr>
          </w:p>
        </w:tc>
        <w:tc>
          <w:tcPr>
            <w:tcW w:w="425" w:type="dxa"/>
            <w:vAlign w:val="center"/>
          </w:tcPr>
          <w:p>
            <w:pPr>
              <w:pStyle w:val="2"/>
              <w:jc w:val="center"/>
            </w:pPr>
          </w:p>
        </w:tc>
        <w:tc>
          <w:tcPr>
            <w:tcW w:w="425" w:type="dxa"/>
            <w:vAlign w:val="center"/>
          </w:tcPr>
          <w:p>
            <w:pPr>
              <w:pStyle w:val="2"/>
              <w:jc w:val="center"/>
            </w:pPr>
          </w:p>
        </w:tc>
        <w:tc>
          <w:tcPr>
            <w:tcW w:w="327" w:type="dxa"/>
            <w:vAlign w:val="center"/>
          </w:tcPr>
          <w:p>
            <w:pPr>
              <w:pStyle w:val="2"/>
              <w:jc w:val="center"/>
            </w:pPr>
          </w:p>
        </w:tc>
        <w:tc>
          <w:tcPr>
            <w:tcW w:w="382" w:type="dxa"/>
            <w:vAlign w:val="center"/>
          </w:tcPr>
          <w:p>
            <w:pPr>
              <w:pStyle w:val="2"/>
              <w:jc w:val="center"/>
            </w:pPr>
          </w:p>
        </w:tc>
        <w:tc>
          <w:tcPr>
            <w:tcW w:w="709" w:type="dxa"/>
            <w:vAlign w:val="center"/>
          </w:tcPr>
          <w:p>
            <w:pPr>
              <w:pStyle w:val="2"/>
              <w:jc w:val="center"/>
            </w:pPr>
          </w:p>
        </w:tc>
        <w:tc>
          <w:tcPr>
            <w:tcW w:w="282" w:type="dxa"/>
            <w:vAlign w:val="center"/>
          </w:tcPr>
          <w:p>
            <w:pPr>
              <w:pStyle w:val="2"/>
              <w:jc w:val="center"/>
            </w:pPr>
          </w:p>
        </w:tc>
        <w:tc>
          <w:tcPr>
            <w:tcW w:w="425" w:type="dxa"/>
            <w:vAlign w:val="center"/>
          </w:tcPr>
          <w:p>
            <w:pPr>
              <w:pStyle w:val="2"/>
              <w:jc w:val="center"/>
            </w:pPr>
          </w:p>
        </w:tc>
        <w:tc>
          <w:tcPr>
            <w:tcW w:w="425" w:type="dxa"/>
            <w:vAlign w:val="center"/>
          </w:tcPr>
          <w:p>
            <w:pPr>
              <w:pStyle w:val="2"/>
              <w:jc w:val="center"/>
            </w:pPr>
          </w:p>
        </w:tc>
        <w:tc>
          <w:tcPr>
            <w:tcW w:w="425" w:type="dxa"/>
            <w:vAlign w:val="center"/>
          </w:tcPr>
          <w:p>
            <w:pPr>
              <w:pStyle w:val="2"/>
              <w:jc w:val="center"/>
            </w:pPr>
          </w:p>
        </w:tc>
        <w:tc>
          <w:tcPr>
            <w:tcW w:w="425" w:type="dxa"/>
            <w:vAlign w:val="center"/>
          </w:tcPr>
          <w:p>
            <w:pPr>
              <w:pStyle w:val="2"/>
              <w:jc w:val="center"/>
            </w:pPr>
          </w:p>
        </w:tc>
        <w:tc>
          <w:tcPr>
            <w:tcW w:w="425" w:type="dxa"/>
            <w:vAlign w:val="center"/>
          </w:tcPr>
          <w:p>
            <w:pPr>
              <w:pStyle w:val="2"/>
              <w:jc w:val="center"/>
            </w:pPr>
          </w:p>
        </w:tc>
        <w:tc>
          <w:tcPr>
            <w:tcW w:w="426" w:type="dxa"/>
            <w:vAlign w:val="center"/>
          </w:tcPr>
          <w:p>
            <w:pPr>
              <w:pStyle w:val="2"/>
              <w:jc w:val="center"/>
            </w:pPr>
          </w:p>
        </w:tc>
        <w:tc>
          <w:tcPr>
            <w:tcW w:w="344" w:type="dxa"/>
            <w:vAlign w:val="center"/>
          </w:tcPr>
          <w:p>
            <w:pPr>
              <w:pStyle w:val="2"/>
              <w:jc w:val="center"/>
            </w:pPr>
          </w:p>
        </w:tc>
        <w:tc>
          <w:tcPr>
            <w:tcW w:w="396" w:type="dxa"/>
            <w:vAlign w:val="center"/>
          </w:tcPr>
          <w:p>
            <w:pPr>
              <w:pStyle w:val="2"/>
              <w:jc w:val="center"/>
            </w:pPr>
          </w:p>
        </w:tc>
        <w:tc>
          <w:tcPr>
            <w:tcW w:w="538" w:type="dxa"/>
            <w:vAlign w:val="center"/>
          </w:tcPr>
          <w:p>
            <w:pPr>
              <w:pStyle w:val="2"/>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vAlign w:val="center"/>
          </w:tcPr>
          <w:p>
            <w:pPr>
              <w:pStyle w:val="2"/>
              <w:jc w:val="center"/>
            </w:pPr>
            <w:r>
              <w:rPr>
                <w:rFonts w:hint="eastAsia"/>
              </w:rPr>
              <w:t>3月</w:t>
            </w:r>
          </w:p>
        </w:tc>
        <w:tc>
          <w:tcPr>
            <w:tcW w:w="388" w:type="dxa"/>
            <w:vAlign w:val="center"/>
          </w:tcPr>
          <w:p>
            <w:pPr>
              <w:pStyle w:val="2"/>
              <w:jc w:val="center"/>
            </w:pPr>
          </w:p>
        </w:tc>
        <w:tc>
          <w:tcPr>
            <w:tcW w:w="425" w:type="dxa"/>
            <w:vAlign w:val="center"/>
          </w:tcPr>
          <w:p>
            <w:pPr>
              <w:pStyle w:val="2"/>
              <w:jc w:val="center"/>
            </w:pPr>
          </w:p>
        </w:tc>
        <w:tc>
          <w:tcPr>
            <w:tcW w:w="366" w:type="dxa"/>
            <w:vAlign w:val="center"/>
          </w:tcPr>
          <w:p>
            <w:pPr>
              <w:pStyle w:val="2"/>
              <w:jc w:val="center"/>
            </w:pPr>
          </w:p>
        </w:tc>
        <w:tc>
          <w:tcPr>
            <w:tcW w:w="604" w:type="dxa"/>
            <w:vAlign w:val="center"/>
          </w:tcPr>
          <w:p>
            <w:pPr>
              <w:pStyle w:val="2"/>
              <w:jc w:val="center"/>
            </w:pPr>
          </w:p>
        </w:tc>
        <w:tc>
          <w:tcPr>
            <w:tcW w:w="567" w:type="dxa"/>
            <w:vAlign w:val="center"/>
          </w:tcPr>
          <w:p>
            <w:pPr>
              <w:pStyle w:val="2"/>
              <w:jc w:val="center"/>
            </w:pPr>
          </w:p>
        </w:tc>
        <w:tc>
          <w:tcPr>
            <w:tcW w:w="425" w:type="dxa"/>
            <w:vAlign w:val="center"/>
          </w:tcPr>
          <w:p>
            <w:pPr>
              <w:pStyle w:val="2"/>
              <w:jc w:val="center"/>
            </w:pPr>
          </w:p>
        </w:tc>
        <w:tc>
          <w:tcPr>
            <w:tcW w:w="425" w:type="dxa"/>
            <w:vAlign w:val="center"/>
          </w:tcPr>
          <w:p>
            <w:pPr>
              <w:pStyle w:val="2"/>
              <w:jc w:val="center"/>
            </w:pPr>
          </w:p>
        </w:tc>
        <w:tc>
          <w:tcPr>
            <w:tcW w:w="425" w:type="dxa"/>
            <w:vAlign w:val="center"/>
          </w:tcPr>
          <w:p>
            <w:pPr>
              <w:pStyle w:val="2"/>
              <w:jc w:val="center"/>
            </w:pPr>
          </w:p>
        </w:tc>
        <w:tc>
          <w:tcPr>
            <w:tcW w:w="327" w:type="dxa"/>
            <w:vAlign w:val="center"/>
          </w:tcPr>
          <w:p>
            <w:pPr>
              <w:pStyle w:val="2"/>
              <w:jc w:val="center"/>
            </w:pPr>
          </w:p>
        </w:tc>
        <w:tc>
          <w:tcPr>
            <w:tcW w:w="382" w:type="dxa"/>
            <w:vAlign w:val="center"/>
          </w:tcPr>
          <w:p>
            <w:pPr>
              <w:pStyle w:val="2"/>
              <w:jc w:val="center"/>
            </w:pPr>
          </w:p>
        </w:tc>
        <w:tc>
          <w:tcPr>
            <w:tcW w:w="709" w:type="dxa"/>
            <w:vAlign w:val="center"/>
          </w:tcPr>
          <w:p>
            <w:pPr>
              <w:pStyle w:val="2"/>
              <w:jc w:val="center"/>
            </w:pPr>
          </w:p>
        </w:tc>
        <w:tc>
          <w:tcPr>
            <w:tcW w:w="282" w:type="dxa"/>
            <w:vAlign w:val="center"/>
          </w:tcPr>
          <w:p>
            <w:pPr>
              <w:pStyle w:val="2"/>
              <w:jc w:val="center"/>
            </w:pPr>
          </w:p>
        </w:tc>
        <w:tc>
          <w:tcPr>
            <w:tcW w:w="425" w:type="dxa"/>
            <w:vAlign w:val="center"/>
          </w:tcPr>
          <w:p>
            <w:pPr>
              <w:pStyle w:val="2"/>
              <w:jc w:val="center"/>
            </w:pPr>
          </w:p>
        </w:tc>
        <w:tc>
          <w:tcPr>
            <w:tcW w:w="425" w:type="dxa"/>
            <w:vAlign w:val="center"/>
          </w:tcPr>
          <w:p>
            <w:pPr>
              <w:pStyle w:val="2"/>
              <w:jc w:val="center"/>
            </w:pPr>
          </w:p>
        </w:tc>
        <w:tc>
          <w:tcPr>
            <w:tcW w:w="425" w:type="dxa"/>
            <w:vAlign w:val="center"/>
          </w:tcPr>
          <w:p>
            <w:pPr>
              <w:pStyle w:val="2"/>
              <w:jc w:val="center"/>
            </w:pPr>
          </w:p>
        </w:tc>
        <w:tc>
          <w:tcPr>
            <w:tcW w:w="425" w:type="dxa"/>
            <w:vAlign w:val="center"/>
          </w:tcPr>
          <w:p>
            <w:pPr>
              <w:pStyle w:val="2"/>
              <w:jc w:val="center"/>
            </w:pPr>
          </w:p>
        </w:tc>
        <w:tc>
          <w:tcPr>
            <w:tcW w:w="425" w:type="dxa"/>
            <w:vAlign w:val="center"/>
          </w:tcPr>
          <w:p>
            <w:pPr>
              <w:pStyle w:val="2"/>
              <w:jc w:val="center"/>
            </w:pPr>
          </w:p>
        </w:tc>
        <w:tc>
          <w:tcPr>
            <w:tcW w:w="426" w:type="dxa"/>
            <w:vAlign w:val="center"/>
          </w:tcPr>
          <w:p>
            <w:pPr>
              <w:pStyle w:val="2"/>
              <w:jc w:val="center"/>
            </w:pPr>
          </w:p>
        </w:tc>
        <w:tc>
          <w:tcPr>
            <w:tcW w:w="344" w:type="dxa"/>
            <w:vAlign w:val="center"/>
          </w:tcPr>
          <w:p>
            <w:pPr>
              <w:pStyle w:val="2"/>
              <w:jc w:val="center"/>
            </w:pPr>
          </w:p>
        </w:tc>
        <w:tc>
          <w:tcPr>
            <w:tcW w:w="396" w:type="dxa"/>
            <w:vAlign w:val="center"/>
          </w:tcPr>
          <w:p>
            <w:pPr>
              <w:pStyle w:val="2"/>
              <w:jc w:val="center"/>
            </w:pPr>
          </w:p>
        </w:tc>
        <w:tc>
          <w:tcPr>
            <w:tcW w:w="538" w:type="dxa"/>
            <w:vAlign w:val="center"/>
          </w:tcPr>
          <w:p>
            <w:pPr>
              <w:pStyle w:val="2"/>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425" w:type="dxa"/>
            <w:textDirection w:val="tbRlV"/>
            <w:vAlign w:val="center"/>
          </w:tcPr>
          <w:p>
            <w:pPr>
              <w:pStyle w:val="2"/>
              <w:ind w:left="113" w:right="113"/>
              <w:jc w:val="center"/>
            </w:pPr>
            <w:r>
              <w:rPr>
                <w:rFonts w:hint="eastAsia" w:asciiTheme="minorEastAsia" w:hAnsiTheme="minorEastAsia" w:eastAsiaTheme="minorEastAsia" w:cstheme="minorEastAsia"/>
              </w:rPr>
              <w:t>......</w:t>
            </w:r>
          </w:p>
        </w:tc>
        <w:tc>
          <w:tcPr>
            <w:tcW w:w="388" w:type="dxa"/>
            <w:vAlign w:val="center"/>
          </w:tcPr>
          <w:p>
            <w:pPr>
              <w:pStyle w:val="2"/>
              <w:jc w:val="center"/>
            </w:pPr>
          </w:p>
        </w:tc>
        <w:tc>
          <w:tcPr>
            <w:tcW w:w="425" w:type="dxa"/>
            <w:vAlign w:val="center"/>
          </w:tcPr>
          <w:p>
            <w:pPr>
              <w:pStyle w:val="2"/>
              <w:jc w:val="center"/>
            </w:pPr>
          </w:p>
        </w:tc>
        <w:tc>
          <w:tcPr>
            <w:tcW w:w="366" w:type="dxa"/>
            <w:vAlign w:val="center"/>
          </w:tcPr>
          <w:p>
            <w:pPr>
              <w:pStyle w:val="2"/>
              <w:jc w:val="center"/>
            </w:pPr>
          </w:p>
        </w:tc>
        <w:tc>
          <w:tcPr>
            <w:tcW w:w="604" w:type="dxa"/>
            <w:vAlign w:val="center"/>
          </w:tcPr>
          <w:p>
            <w:pPr>
              <w:pStyle w:val="2"/>
              <w:jc w:val="center"/>
            </w:pPr>
          </w:p>
        </w:tc>
        <w:tc>
          <w:tcPr>
            <w:tcW w:w="567" w:type="dxa"/>
            <w:vAlign w:val="center"/>
          </w:tcPr>
          <w:p>
            <w:pPr>
              <w:pStyle w:val="2"/>
              <w:jc w:val="center"/>
            </w:pPr>
          </w:p>
        </w:tc>
        <w:tc>
          <w:tcPr>
            <w:tcW w:w="425" w:type="dxa"/>
            <w:vAlign w:val="center"/>
          </w:tcPr>
          <w:p>
            <w:pPr>
              <w:pStyle w:val="2"/>
              <w:jc w:val="center"/>
            </w:pPr>
          </w:p>
        </w:tc>
        <w:tc>
          <w:tcPr>
            <w:tcW w:w="425" w:type="dxa"/>
            <w:vAlign w:val="center"/>
          </w:tcPr>
          <w:p>
            <w:pPr>
              <w:pStyle w:val="2"/>
              <w:jc w:val="center"/>
            </w:pPr>
          </w:p>
        </w:tc>
        <w:tc>
          <w:tcPr>
            <w:tcW w:w="425" w:type="dxa"/>
            <w:vAlign w:val="center"/>
          </w:tcPr>
          <w:p>
            <w:pPr>
              <w:pStyle w:val="2"/>
              <w:jc w:val="center"/>
            </w:pPr>
          </w:p>
        </w:tc>
        <w:tc>
          <w:tcPr>
            <w:tcW w:w="327" w:type="dxa"/>
            <w:vAlign w:val="center"/>
          </w:tcPr>
          <w:p>
            <w:pPr>
              <w:pStyle w:val="2"/>
              <w:jc w:val="center"/>
            </w:pPr>
          </w:p>
        </w:tc>
        <w:tc>
          <w:tcPr>
            <w:tcW w:w="382" w:type="dxa"/>
            <w:vAlign w:val="center"/>
          </w:tcPr>
          <w:p>
            <w:pPr>
              <w:pStyle w:val="2"/>
              <w:jc w:val="center"/>
            </w:pPr>
          </w:p>
        </w:tc>
        <w:tc>
          <w:tcPr>
            <w:tcW w:w="709" w:type="dxa"/>
            <w:vAlign w:val="center"/>
          </w:tcPr>
          <w:p>
            <w:pPr>
              <w:pStyle w:val="2"/>
              <w:jc w:val="center"/>
            </w:pPr>
          </w:p>
        </w:tc>
        <w:tc>
          <w:tcPr>
            <w:tcW w:w="282" w:type="dxa"/>
            <w:vAlign w:val="center"/>
          </w:tcPr>
          <w:p>
            <w:pPr>
              <w:pStyle w:val="2"/>
              <w:jc w:val="center"/>
            </w:pPr>
          </w:p>
        </w:tc>
        <w:tc>
          <w:tcPr>
            <w:tcW w:w="425" w:type="dxa"/>
            <w:vAlign w:val="center"/>
          </w:tcPr>
          <w:p>
            <w:pPr>
              <w:pStyle w:val="2"/>
              <w:jc w:val="center"/>
            </w:pPr>
          </w:p>
        </w:tc>
        <w:tc>
          <w:tcPr>
            <w:tcW w:w="425" w:type="dxa"/>
            <w:vAlign w:val="center"/>
          </w:tcPr>
          <w:p>
            <w:pPr>
              <w:pStyle w:val="2"/>
              <w:jc w:val="center"/>
            </w:pPr>
          </w:p>
        </w:tc>
        <w:tc>
          <w:tcPr>
            <w:tcW w:w="425" w:type="dxa"/>
            <w:vAlign w:val="center"/>
          </w:tcPr>
          <w:p>
            <w:pPr>
              <w:pStyle w:val="2"/>
              <w:jc w:val="center"/>
            </w:pPr>
          </w:p>
        </w:tc>
        <w:tc>
          <w:tcPr>
            <w:tcW w:w="425" w:type="dxa"/>
            <w:vAlign w:val="center"/>
          </w:tcPr>
          <w:p>
            <w:pPr>
              <w:pStyle w:val="2"/>
              <w:jc w:val="center"/>
            </w:pPr>
          </w:p>
        </w:tc>
        <w:tc>
          <w:tcPr>
            <w:tcW w:w="425" w:type="dxa"/>
            <w:vAlign w:val="center"/>
          </w:tcPr>
          <w:p>
            <w:pPr>
              <w:pStyle w:val="2"/>
              <w:jc w:val="center"/>
            </w:pPr>
          </w:p>
        </w:tc>
        <w:tc>
          <w:tcPr>
            <w:tcW w:w="426" w:type="dxa"/>
            <w:vAlign w:val="center"/>
          </w:tcPr>
          <w:p>
            <w:pPr>
              <w:pStyle w:val="2"/>
              <w:jc w:val="center"/>
            </w:pPr>
          </w:p>
        </w:tc>
        <w:tc>
          <w:tcPr>
            <w:tcW w:w="344" w:type="dxa"/>
            <w:vAlign w:val="center"/>
          </w:tcPr>
          <w:p>
            <w:pPr>
              <w:pStyle w:val="2"/>
              <w:jc w:val="center"/>
            </w:pPr>
          </w:p>
        </w:tc>
        <w:tc>
          <w:tcPr>
            <w:tcW w:w="396" w:type="dxa"/>
            <w:vAlign w:val="center"/>
          </w:tcPr>
          <w:p>
            <w:pPr>
              <w:pStyle w:val="2"/>
              <w:jc w:val="center"/>
            </w:pPr>
          </w:p>
        </w:tc>
        <w:tc>
          <w:tcPr>
            <w:tcW w:w="538" w:type="dxa"/>
            <w:vAlign w:val="center"/>
          </w:tcPr>
          <w:p>
            <w:pPr>
              <w:pStyle w:val="2"/>
              <w:jc w:val="center"/>
            </w:pPr>
          </w:p>
        </w:tc>
      </w:tr>
    </w:tbl>
    <w:p>
      <w:pPr>
        <w:pStyle w:val="6"/>
        <w:spacing w:line="360" w:lineRule="auto"/>
        <w:rPr>
          <w:rFonts w:ascii="仿宋_GB2312" w:hAnsi="仿宋_GB2312" w:eastAsia="仿宋_GB2312" w:cs="仿宋_GB2312"/>
          <w:sz w:val="28"/>
          <w:szCs w:val="28"/>
        </w:rPr>
      </w:pPr>
    </w:p>
    <w:p>
      <w:pPr>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pStyle w:val="3"/>
        <w:rPr>
          <w:rFonts w:ascii="仿宋_GB2312" w:hAnsi="仿宋_GB2312" w:eastAsia="仿宋_GB2312" w:cs="仿宋_GB2312"/>
          <w:sz w:val="28"/>
          <w:szCs w:val="28"/>
        </w:rPr>
      </w:pPr>
    </w:p>
    <w:p>
      <w:pPr>
        <w:widowControl/>
        <w:jc w:val="left"/>
        <w:rPr>
          <w:b/>
          <w:sz w:val="28"/>
          <w:szCs w:val="28"/>
        </w:rPr>
      </w:pPr>
      <w:r>
        <w:rPr>
          <w:rFonts w:hint="eastAsia"/>
          <w:b/>
          <w:sz w:val="28"/>
          <w:szCs w:val="28"/>
        </w:rPr>
        <w:t>附件7：</w:t>
      </w:r>
    </w:p>
    <w:p>
      <w:pPr>
        <w:spacing w:line="560" w:lineRule="exact"/>
        <w:ind w:firstLine="120" w:firstLineChars="50"/>
        <w:rPr>
          <w:rFonts w:ascii="仿宋_GB2312" w:eastAsia="仿宋_GB2312"/>
          <w:b/>
          <w:sz w:val="28"/>
          <w:szCs w:val="28"/>
        </w:rPr>
      </w:pPr>
      <w:r>
        <w:rPr>
          <w:rFonts w:hint="eastAsia" w:ascii="仿宋_GB2312" w:hAnsi="宋体" w:eastAsia="仿宋_GB2312"/>
          <w:b/>
          <w:sz w:val="24"/>
          <w:lang w:val="en-US" w:eastAsia="zh-CN"/>
        </w:rPr>
        <w:t>防疫</w:t>
      </w:r>
      <w:r>
        <w:rPr>
          <w:rFonts w:hint="eastAsia" w:ascii="仿宋_GB2312" w:hAnsi="宋体" w:eastAsia="仿宋_GB2312"/>
          <w:b/>
          <w:sz w:val="24"/>
        </w:rPr>
        <w:t>管理协议书</w:t>
      </w:r>
    </w:p>
    <w:p>
      <w:pPr>
        <w:spacing w:line="440" w:lineRule="exact"/>
        <w:jc w:val="center"/>
        <w:rPr>
          <w:rFonts w:ascii="仿宋_GB2312" w:eastAsia="仿宋_GB2312"/>
          <w:b/>
          <w:bCs/>
          <w:sz w:val="28"/>
          <w:szCs w:val="28"/>
        </w:rPr>
      </w:pPr>
      <w:r>
        <w:rPr>
          <w:rFonts w:hint="eastAsia" w:ascii="仿宋_GB2312" w:eastAsia="仿宋_GB2312"/>
          <w:b/>
          <w:bCs/>
          <w:sz w:val="28"/>
          <w:szCs w:val="28"/>
          <w:lang w:val="en-US" w:eastAsia="zh-CN"/>
        </w:rPr>
        <w:t>防疫</w:t>
      </w:r>
      <w:r>
        <w:rPr>
          <w:rFonts w:hint="eastAsia" w:ascii="仿宋_GB2312" w:eastAsia="仿宋_GB2312"/>
          <w:b/>
          <w:bCs/>
          <w:sz w:val="28"/>
          <w:szCs w:val="28"/>
        </w:rPr>
        <w:t>管理协议书</w:t>
      </w:r>
    </w:p>
    <w:p>
      <w:pPr>
        <w:spacing w:line="440" w:lineRule="exact"/>
        <w:rPr>
          <w:rFonts w:ascii="仿宋_GB2312" w:hAnsi="宋体" w:eastAsia="仿宋_GB2312"/>
          <w:sz w:val="24"/>
        </w:rPr>
      </w:pPr>
    </w:p>
    <w:p>
      <w:pPr>
        <w:adjustRightInd w:val="0"/>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甲方</w:t>
      </w:r>
      <w:r>
        <w:rPr>
          <w:rFonts w:hint="eastAsia" w:ascii="仿宋" w:hAnsi="仿宋" w:eastAsia="仿宋" w:cs="仿宋"/>
          <w:sz w:val="24"/>
        </w:rPr>
        <w:t>：</w:t>
      </w:r>
      <w:r>
        <w:rPr>
          <w:rFonts w:hint="eastAsia" w:ascii="仿宋" w:hAnsi="仿宋" w:eastAsia="仿宋" w:cs="仿宋"/>
          <w:sz w:val="24"/>
          <w:u w:val="single"/>
        </w:rPr>
        <w:t>广州</w:t>
      </w:r>
      <w:r>
        <w:rPr>
          <w:rFonts w:hint="eastAsia" w:ascii="仿宋" w:hAnsi="仿宋" w:eastAsia="仿宋" w:cs="仿宋"/>
          <w:sz w:val="24"/>
          <w:u w:val="single"/>
          <w:lang w:val="en-US" w:eastAsia="zh-CN"/>
        </w:rPr>
        <w:t>从化</w:t>
      </w:r>
      <w:r>
        <w:rPr>
          <w:rFonts w:hint="eastAsia" w:ascii="仿宋" w:hAnsi="仿宋" w:eastAsia="仿宋" w:cs="仿宋"/>
          <w:sz w:val="24"/>
          <w:u w:val="single"/>
        </w:rPr>
        <w:t>净水有限公司</w:t>
      </w:r>
    </w:p>
    <w:p>
      <w:pPr>
        <w:adjustRightInd w:val="0"/>
        <w:snapToGrid w:val="0"/>
        <w:spacing w:line="440" w:lineRule="exact"/>
        <w:ind w:firstLine="480" w:firstLineChars="200"/>
        <w:jc w:val="left"/>
        <w:rPr>
          <w:rStyle w:val="26"/>
          <w:rFonts w:hint="eastAsia" w:ascii="仿宋" w:hAnsi="仿宋" w:eastAsia="仿宋" w:cs="仿宋"/>
          <w:b w:val="0"/>
          <w:u w:val="single"/>
        </w:rPr>
      </w:pPr>
      <w:r>
        <w:rPr>
          <w:rFonts w:hint="eastAsia" w:ascii="仿宋" w:hAnsi="仿宋" w:eastAsia="仿宋" w:cs="仿宋"/>
          <w:sz w:val="24"/>
          <w:lang w:val="en-US" w:eastAsia="zh-CN"/>
        </w:rPr>
        <w:t>乙方</w:t>
      </w:r>
      <w:r>
        <w:rPr>
          <w:rFonts w:hint="eastAsia" w:ascii="仿宋" w:hAnsi="仿宋" w:eastAsia="仿宋" w:cs="仿宋"/>
          <w:sz w:val="24"/>
        </w:rPr>
        <w:t xml:space="preserve">: </w:t>
      </w:r>
      <w:r>
        <w:rPr>
          <w:rFonts w:hint="eastAsia" w:ascii="仿宋" w:hAnsi="仿宋" w:eastAsia="仿宋" w:cs="仿宋"/>
          <w:sz w:val="24"/>
          <w:u w:val="single"/>
        </w:rPr>
        <w:t xml:space="preserve">  </w:t>
      </w:r>
      <w:r>
        <w:rPr>
          <w:rStyle w:val="26"/>
          <w:rFonts w:hint="eastAsia" w:ascii="仿宋" w:hAnsi="仿宋" w:eastAsia="仿宋" w:cs="仿宋"/>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为贯彻落实国家、省、市疫情防控工作部署，依据有关法律法规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lang w:val="en-US" w:eastAsia="zh-CN"/>
        </w:rPr>
        <w:t>一、</w:t>
      </w:r>
      <w:r>
        <w:rPr>
          <w:rFonts w:hint="eastAsia" w:ascii="仿宋" w:hAnsi="仿宋" w:eastAsia="仿宋" w:cs="仿宋"/>
          <w:sz w:val="24"/>
        </w:rPr>
        <w:t>本协议与主协议的关系</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rPr>
        <w:t>本协议作为</w:t>
      </w:r>
      <w:r>
        <w:rPr>
          <w:rFonts w:hint="eastAsia" w:ascii="仿宋" w:hAnsi="仿宋" w:eastAsia="仿宋" w:cs="仿宋"/>
          <w:bCs/>
          <w:sz w:val="24"/>
          <w:u w:val="single"/>
        </w:rPr>
        <w:t xml:space="preserve">                           </w:t>
      </w:r>
      <w:r>
        <w:rPr>
          <w:rFonts w:hint="eastAsia" w:ascii="仿宋" w:hAnsi="仿宋" w:eastAsia="仿宋" w:cs="仿宋"/>
          <w:sz w:val="24"/>
        </w:rPr>
        <w:t>的组成部分，与主合同具有同等法律</w:t>
      </w:r>
      <w:r>
        <w:rPr>
          <w:rFonts w:hint="eastAsia" w:ascii="仿宋" w:hAnsi="仿宋" w:eastAsia="仿宋" w:cs="仿宋"/>
          <w:sz w:val="24"/>
          <w:lang w:val="en-US" w:eastAsia="zh-CN"/>
        </w:rPr>
        <w:t>效力。</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w:t>
      </w:r>
      <w:r>
        <w:rPr>
          <w:rFonts w:hint="eastAsia" w:ascii="仿宋" w:hAnsi="仿宋" w:eastAsia="仿宋" w:cs="仿宋"/>
          <w:sz w:val="24"/>
          <w:lang w:val="en-US" w:eastAsia="zh-CN"/>
        </w:rPr>
        <w:t>与建设主管部门和属地疫情防控指挥部门形成联防联控机制，建立快速有效的处置工作流程。</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三、乙方的义务</w:t>
      </w:r>
    </w:p>
    <w:p>
      <w:pPr>
        <w:pStyle w:val="7"/>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（一）开展疫情防控宣传教育，提高</w:t>
      </w:r>
      <w:r>
        <w:rPr>
          <w:rFonts w:hint="eastAsia" w:ascii="仿宋" w:hAnsi="仿宋" w:eastAsia="仿宋" w:cs="仿宋"/>
          <w:sz w:val="24"/>
          <w:lang w:val="en-US" w:eastAsia="zh-CN"/>
        </w:rPr>
        <w:t>乙方</w:t>
      </w:r>
      <w:r>
        <w:rPr>
          <w:rFonts w:hint="eastAsia" w:ascii="仿宋" w:hAnsi="仿宋" w:eastAsia="仿宋" w:cs="仿宋"/>
          <w:kern w:val="2"/>
          <w:sz w:val="24"/>
          <w:szCs w:val="24"/>
          <w:lang w:val="en-US" w:eastAsia="zh-CN" w:bidi="ar-SA"/>
        </w:rPr>
        <w:t>人员自我防护意识，最大限度减少人员暴露和感染的风险。</w:t>
      </w:r>
    </w:p>
    <w:p>
      <w:pPr>
        <w:pStyle w:val="7"/>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仿宋" w:hAnsi="仿宋" w:eastAsia="仿宋" w:cs="仿宋"/>
          <w:sz w:val="24"/>
          <w:lang w:val="en-US" w:eastAsia="zh-CN"/>
        </w:rPr>
      </w:pPr>
      <w:r>
        <w:rPr>
          <w:rFonts w:hint="eastAsia" w:ascii="仿宋" w:hAnsi="仿宋" w:eastAsia="仿宋" w:cs="仿宋"/>
          <w:kern w:val="2"/>
          <w:sz w:val="24"/>
          <w:szCs w:val="24"/>
          <w:lang w:val="en-US" w:eastAsia="zh-CN" w:bidi="ar-SA"/>
        </w:rPr>
        <w:t>（二）</w:t>
      </w:r>
      <w:r>
        <w:rPr>
          <w:rFonts w:hint="eastAsia" w:ascii="仿宋" w:hAnsi="仿宋" w:eastAsia="仿宋" w:cs="仿宋"/>
          <w:sz w:val="24"/>
          <w:lang w:val="en-US" w:eastAsia="zh-CN"/>
        </w:rPr>
        <w:t>做好乙方人员防控工作管理，及时提交防疫资料，落实疫情防控备案，必要时需</w:t>
      </w:r>
      <w:r>
        <w:rPr>
          <w:rFonts w:hint="eastAsia" w:ascii="仿宋" w:hAnsi="仿宋" w:eastAsia="仿宋" w:cs="仿宋"/>
          <w:kern w:val="2"/>
          <w:sz w:val="24"/>
          <w:szCs w:val="24"/>
          <w:lang w:val="en-US" w:eastAsia="zh-CN" w:bidi="ar-SA"/>
        </w:rPr>
        <w:t>编制防控管理工作方案</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 xml:space="preserve">    （三）乙方人员须按</w:t>
      </w:r>
      <w:r>
        <w:rPr>
          <w:rFonts w:hint="eastAsia" w:ascii="仿宋" w:hAnsi="仿宋" w:eastAsia="仿宋" w:cs="仿宋"/>
          <w:color w:val="auto"/>
          <w:sz w:val="24"/>
          <w:lang w:val="en-US" w:eastAsia="zh-CN"/>
        </w:rPr>
        <w:t>照</w:t>
      </w:r>
      <w:r>
        <w:rPr>
          <w:rFonts w:hint="eastAsia" w:ascii="仿宋" w:hAnsi="仿宋" w:eastAsia="仿宋" w:cs="仿宋"/>
          <w:color w:val="auto"/>
          <w:kern w:val="2"/>
          <w:sz w:val="24"/>
          <w:szCs w:val="24"/>
          <w:lang w:val="en-US" w:eastAsia="zh-CN" w:bidi="ar-SA"/>
        </w:rPr>
        <w:t>甲方门岗防控要求</w:t>
      </w:r>
      <w:r>
        <w:rPr>
          <w:rFonts w:hint="eastAsia" w:ascii="仿宋" w:hAnsi="仿宋" w:eastAsia="仿宋" w:cs="仿宋"/>
          <w:sz w:val="24"/>
          <w:lang w:val="en-US" w:eastAsia="zh-CN"/>
        </w:rPr>
        <w:t>进行疫苗接种，进厂前现场抗原阴性证明，鼓励进行核酸检测，未满足相关要求的人员甲方有权限制进入厂区。</w:t>
      </w: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 w:hAnsi="仿宋" w:eastAsia="仿宋" w:cs="仿宋"/>
          <w:lang w:val="en-US" w:eastAsia="zh-CN"/>
        </w:rPr>
      </w:pPr>
      <w:r>
        <w:rPr>
          <w:rFonts w:hint="eastAsia" w:ascii="仿宋" w:hAnsi="仿宋" w:eastAsia="仿宋" w:cs="仿宋"/>
          <w:kern w:val="2"/>
          <w:sz w:val="24"/>
          <w:szCs w:val="24"/>
          <w:lang w:val="en-US" w:eastAsia="zh-CN" w:bidi="ar-SA"/>
        </w:rPr>
        <w:t>（五）各级政府、有关部门及甲方的其他</w:t>
      </w:r>
      <w:r>
        <w:rPr>
          <w:rFonts w:hint="eastAsia" w:ascii="仿宋" w:hAnsi="仿宋" w:eastAsia="仿宋" w:cs="仿宋"/>
          <w:sz w:val="24"/>
          <w:lang w:val="en-US" w:eastAsia="zh-CN"/>
        </w:rPr>
        <w:t>防控要求</w:t>
      </w:r>
      <w:r>
        <w:rPr>
          <w:rFonts w:hint="eastAsia" w:ascii="仿宋" w:hAnsi="仿宋" w:eastAsia="仿宋" w:cs="仿宋"/>
          <w:color w:val="FF0000"/>
          <w:kern w:val="2"/>
          <w:sz w:val="24"/>
          <w:szCs w:val="24"/>
          <w:lang w:val="en-US" w:eastAsia="zh-CN" w:bidi="ar-SA"/>
        </w:rPr>
        <w:t>。</w:t>
      </w:r>
    </w:p>
    <w:p>
      <w:pPr>
        <w:numPr>
          <w:ilvl w:val="0"/>
          <w:numId w:val="0"/>
        </w:numPr>
        <w:adjustRightInd w:val="0"/>
        <w:snapToGrid w:val="0"/>
        <w:spacing w:line="440" w:lineRule="exact"/>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四、违约责任</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（一）乙方人员按属地疫情防控指挥部门管控要求，若因瞒报、虚报所造成的一切后果由乙方承担；</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（二）乙方项目维修施工人员拒不配合甲方疫情防控要求或不满足甲方防疫工作要求的，甲方有权要求乙方3天内更换服务人员。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仿宋" w:hAnsi="仿宋" w:eastAsia="仿宋" w:cs="仿宋"/>
          <w:sz w:val="24"/>
        </w:rPr>
      </w:pPr>
    </w:p>
    <w:p>
      <w:pPr>
        <w:pStyle w:val="37"/>
        <w:spacing w:line="440" w:lineRule="exact"/>
        <w:rPr>
          <w:rFonts w:hint="eastAsia" w:ascii="仿宋" w:hAnsi="仿宋" w:eastAsia="仿宋" w:cs="仿宋"/>
          <w:sz w:val="24"/>
        </w:rPr>
      </w:pPr>
      <w:r>
        <w:rPr>
          <w:rFonts w:hint="eastAsia" w:ascii="仿宋" w:hAnsi="仿宋" w:eastAsia="仿宋" w:cs="仿宋"/>
          <w:sz w:val="24"/>
          <w:lang w:val="en-US" w:eastAsia="zh-CN"/>
        </w:rPr>
        <w:t>五</w:t>
      </w:r>
      <w:r>
        <w:rPr>
          <w:rFonts w:hint="eastAsia" w:ascii="仿宋" w:hAnsi="仿宋" w:eastAsia="仿宋" w:cs="仿宋"/>
          <w:sz w:val="24"/>
        </w:rPr>
        <w:t>、补充条款：</w:t>
      </w:r>
      <w:r>
        <w:rPr>
          <w:rFonts w:hint="eastAsia" w:ascii="仿宋" w:hAnsi="仿宋" w:eastAsia="仿宋" w:cs="仿宋"/>
          <w:sz w:val="24"/>
          <w:u w:val="single"/>
        </w:rPr>
        <w:t xml:space="preserve">         /       </w:t>
      </w:r>
      <w:r>
        <w:rPr>
          <w:rFonts w:hint="eastAsia" w:ascii="仿宋" w:hAnsi="仿宋" w:eastAsia="仿宋" w:cs="仿宋"/>
          <w:sz w:val="24"/>
        </w:rPr>
        <w:t>。</w:t>
      </w:r>
    </w:p>
    <w:p>
      <w:pPr>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lang w:val="en-US" w:eastAsia="zh-CN"/>
        </w:rPr>
        <w:t>六</w:t>
      </w:r>
      <w:r>
        <w:rPr>
          <w:rFonts w:hint="eastAsia" w:ascii="仿宋" w:hAnsi="仿宋" w:eastAsia="仿宋" w:cs="仿宋"/>
          <w:sz w:val="24"/>
        </w:rPr>
        <w:t>、附则</w:t>
      </w:r>
    </w:p>
    <w:p>
      <w:pPr>
        <w:adjustRightInd w:val="0"/>
        <w:snapToGrid w:val="0"/>
        <w:spacing w:line="440" w:lineRule="exact"/>
        <w:ind w:firstLine="480" w:firstLineChars="200"/>
        <w:jc w:val="left"/>
        <w:rPr>
          <w:rFonts w:hint="eastAsia" w:ascii="仿宋" w:hAnsi="仿宋" w:eastAsia="仿宋" w:cs="仿宋"/>
          <w:sz w:val="24"/>
          <w:u w:val="single"/>
        </w:rPr>
      </w:pPr>
      <w:r>
        <w:rPr>
          <w:rFonts w:hint="eastAsia" w:ascii="仿宋" w:hAnsi="仿宋" w:eastAsia="仿宋" w:cs="仿宋"/>
          <w:sz w:val="24"/>
          <w:u w:val="single"/>
        </w:rPr>
        <w:t>本协议与合同同时签订、同时终止、同时生效，具有相同的法律效力。合同由甲乙双方签字、盖章生效，甲乙双方各</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份。</w:t>
      </w:r>
    </w:p>
    <w:p>
      <w:pPr>
        <w:adjustRightInd w:val="0"/>
        <w:snapToGrid w:val="0"/>
        <w:spacing w:line="440" w:lineRule="exact"/>
        <w:rPr>
          <w:rFonts w:hint="eastAsia" w:ascii="仿宋" w:hAnsi="仿宋" w:eastAsia="仿宋" w:cs="仿宋"/>
          <w:sz w:val="24"/>
        </w:rPr>
      </w:pPr>
    </w:p>
    <w:p>
      <w:pPr>
        <w:adjustRightInd w:val="0"/>
        <w:snapToGrid w:val="0"/>
        <w:spacing w:line="440" w:lineRule="exact"/>
        <w:ind w:left="1330" w:leftChars="5" w:hanging="1320" w:hangingChars="550"/>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val="en-US" w:eastAsia="zh-CN"/>
        </w:rPr>
        <w:t>甲方</w:t>
      </w:r>
      <w:r>
        <w:rPr>
          <w:rFonts w:hint="eastAsia" w:ascii="仿宋" w:hAnsi="仿宋" w:eastAsia="仿宋" w:cs="仿宋"/>
          <w:sz w:val="24"/>
        </w:rPr>
        <w:t xml:space="preserve">代表 （章）：                             </w:t>
      </w:r>
      <w:r>
        <w:rPr>
          <w:rFonts w:hint="eastAsia" w:ascii="仿宋" w:hAnsi="仿宋" w:eastAsia="仿宋" w:cs="仿宋"/>
          <w:sz w:val="24"/>
          <w:lang w:val="en-US" w:eastAsia="zh-CN"/>
        </w:rPr>
        <w:t>乙方</w:t>
      </w:r>
      <w:r>
        <w:rPr>
          <w:rFonts w:hint="eastAsia" w:ascii="仿宋" w:hAnsi="仿宋" w:eastAsia="仿宋" w:cs="仿宋"/>
          <w:sz w:val="24"/>
        </w:rPr>
        <w:t>代表（章）：                                                           　　              　　　　　　　</w:t>
      </w:r>
    </w:p>
    <w:p>
      <w:pPr>
        <w:adjustRightInd w:val="0"/>
        <w:snapToGrid w:val="0"/>
        <w:spacing w:line="440" w:lineRule="exact"/>
        <w:rPr>
          <w:rFonts w:hint="eastAsia" w:ascii="仿宋" w:hAnsi="仿宋" w:eastAsia="仿宋" w:cs="仿宋"/>
          <w:sz w:val="24"/>
        </w:rPr>
      </w:pPr>
      <w:r>
        <w:rPr>
          <w:rFonts w:hint="eastAsia" w:ascii="仿宋" w:hAnsi="仿宋" w:eastAsia="仿宋" w:cs="仿宋"/>
          <w:sz w:val="24"/>
        </w:rPr>
        <w:t xml:space="preserve">      年 　月　  日　　　　　                 年   月  　日</w:t>
      </w:r>
    </w:p>
    <w:p/>
    <w:bookmarkEnd w:id="72"/>
    <w:bookmarkEnd w:id="73"/>
    <w:bookmarkEnd w:id="74"/>
    <w:bookmarkEnd w:id="75"/>
    <w:bookmarkEnd w:id="76"/>
    <w:bookmarkEnd w:id="77"/>
    <w:bookmarkEnd w:id="78"/>
    <w:bookmarkEnd w:id="79"/>
    <w:bookmarkEnd w:id="80"/>
    <w:bookmarkEnd w:id="81"/>
    <w:bookmarkEnd w:id="82"/>
    <w:bookmarkEnd w:id="83"/>
    <w:bookmarkEnd w:id="84"/>
    <w:p>
      <w:pPr>
        <w:pStyle w:val="4"/>
        <w:jc w:val="both"/>
        <w:rPr>
          <w:rFonts w:hint="eastAsia" w:ascii="宋体" w:hAnsi="宋体" w:eastAsia="宋体" w:cs="宋体"/>
          <w:b/>
          <w:bCs/>
          <w:kern w:val="2"/>
          <w:sz w:val="21"/>
          <w:szCs w:val="21"/>
          <w:lang w:val="en-US" w:eastAsia="zh-CN" w:bidi="ar-SA"/>
        </w:rPr>
      </w:pPr>
    </w:p>
    <w:p>
      <w:pPr>
        <w:pStyle w:val="4"/>
        <w:jc w:val="both"/>
        <w:rPr>
          <w:rFonts w:hint="eastAsia" w:ascii="宋体" w:hAnsi="宋体" w:eastAsia="宋体" w:cs="宋体"/>
          <w:b/>
          <w:bCs/>
          <w:kern w:val="2"/>
          <w:sz w:val="21"/>
          <w:szCs w:val="21"/>
          <w:lang w:val="en-US" w:eastAsia="zh-CN" w:bidi="ar-SA"/>
        </w:rPr>
      </w:pPr>
    </w:p>
    <w:p>
      <w:pPr>
        <w:pStyle w:val="4"/>
        <w:jc w:val="both"/>
        <w:rPr>
          <w:rFonts w:hint="eastAsia" w:ascii="宋体" w:hAnsi="宋体" w:eastAsia="宋体" w:cs="宋体"/>
          <w:b/>
          <w:bCs/>
          <w:kern w:val="2"/>
          <w:sz w:val="21"/>
          <w:szCs w:val="21"/>
          <w:lang w:val="en-US" w:eastAsia="zh-CN" w:bidi="ar-SA"/>
        </w:rPr>
      </w:pP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bCs w:val="0"/>
          <w:color w:val="auto"/>
          <w:sz w:val="32"/>
          <w:szCs w:val="32"/>
          <w:highlight w:val="none"/>
        </w:rPr>
      </w:pP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bCs w:val="0"/>
          <w:color w:val="auto"/>
          <w:sz w:val="32"/>
          <w:szCs w:val="32"/>
          <w:highlight w:val="none"/>
        </w:rPr>
      </w:pP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bCs w:val="0"/>
          <w:color w:val="auto"/>
          <w:sz w:val="32"/>
          <w:szCs w:val="32"/>
          <w:highlight w:val="none"/>
        </w:rPr>
      </w:pP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bCs w:val="0"/>
          <w:color w:val="auto"/>
          <w:sz w:val="32"/>
          <w:szCs w:val="32"/>
          <w:highlight w:val="none"/>
        </w:rPr>
      </w:pPr>
    </w:p>
    <w:p>
      <w:pPr>
        <w:spacing w:line="384" w:lineRule="auto"/>
        <w:jc w:val="left"/>
        <w:rPr>
          <w:rFonts w:hint="eastAsia" w:ascii="宋体" w:hAnsi="宋体" w:eastAsia="宋体" w:cs="宋体"/>
          <w:b/>
          <w:bCs/>
          <w:sz w:val="21"/>
          <w:szCs w:val="21"/>
          <w:lang w:val="en-US" w:eastAsia="zh-CN"/>
        </w:rPr>
      </w:pPr>
    </w:p>
    <w:p>
      <w:pPr>
        <w:pStyle w:val="22"/>
        <w:ind w:firstLine="0"/>
        <w:rPr>
          <w:rFonts w:ascii="仿宋_GB2312" w:eastAsia="仿宋_GB2312"/>
          <w:color w:val="auto"/>
          <w:sz w:val="28"/>
          <w:szCs w:val="28"/>
          <w:highlight w:val="none"/>
        </w:rPr>
      </w:pPr>
    </w:p>
    <w:p>
      <w:pPr>
        <w:pStyle w:val="4"/>
        <w:rPr>
          <w:color w:val="auto"/>
          <w:highlight w:val="none"/>
        </w:rPr>
      </w:pPr>
      <w:bookmarkStart w:id="85" w:name="_Toc3723"/>
      <w:bookmarkStart w:id="86" w:name="_Toc12169"/>
      <w:bookmarkStart w:id="87" w:name="_Toc8147"/>
      <w:bookmarkStart w:id="88" w:name="_Toc28358"/>
      <w:bookmarkStart w:id="89" w:name="_Toc16552"/>
      <w:bookmarkStart w:id="90" w:name="_Toc1563"/>
      <w:bookmarkStart w:id="91" w:name="_Toc21847"/>
      <w:bookmarkStart w:id="92" w:name="_Toc23515"/>
      <w:bookmarkStart w:id="93" w:name="_Toc6230"/>
      <w:bookmarkStart w:id="94" w:name="_Toc5129"/>
      <w:bookmarkStart w:id="95" w:name="_Toc30824"/>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2299335</wp:posOffset>
                </wp:positionH>
                <wp:positionV relativeFrom="paragraph">
                  <wp:posOffset>330835</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1.05pt;margin-top:26.05pt;height:0pt;width:75.5pt;z-index:251668480;mso-width-relative:page;mso-height-relative:page;" filled="f" stroked="t" coordsize="21600,21600" o:gfxdata="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j4pQ81QAAAAkBAAAPAAAAAAAAAAEAIAAAACIAAABkcnMvZG93bnJldi54bWxQSwECFAAUAAAA&#10;CACHTuJAQsHAmfEBAADjAwAADgAAAAAAAAABACAAAAAkAQAAZHJzL2Uyb0RvYy54bWxQSwUGAAAA&#10;AAYABgBZAQAAhw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2335530</wp:posOffset>
                </wp:positionH>
                <wp:positionV relativeFrom="paragraph">
                  <wp:posOffset>689610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3.9pt;margin-top:54.3pt;height:0pt;width:75.5pt;z-index:251669504;mso-width-relative:page;mso-height-relative:page;" filled="f" stroked="t" coordsize="21600,21600" o:gfxdata="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N2JFz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第七章</w:t>
      </w:r>
      <w:bookmarkEnd w:id="85"/>
      <w:bookmarkEnd w:id="86"/>
      <w:bookmarkEnd w:id="87"/>
      <w:bookmarkEnd w:id="88"/>
      <w:bookmarkEnd w:id="89"/>
      <w:bookmarkEnd w:id="90"/>
      <w:bookmarkEnd w:id="91"/>
      <w:bookmarkEnd w:id="92"/>
      <w:bookmarkEnd w:id="93"/>
      <w:bookmarkEnd w:id="94"/>
      <w:bookmarkEnd w:id="95"/>
    </w:p>
    <w:p>
      <w:pPr>
        <w:pStyle w:val="37"/>
        <w:rPr>
          <w:color w:val="auto"/>
          <w:highlight w:val="none"/>
        </w:rPr>
      </w:pPr>
    </w:p>
    <w:p>
      <w:pPr>
        <w:pStyle w:val="4"/>
        <w:rPr>
          <w:color w:val="auto"/>
          <w:highlight w:val="none"/>
        </w:rPr>
      </w:pPr>
      <w:bookmarkStart w:id="96" w:name="_Toc24815"/>
      <w:bookmarkStart w:id="97" w:name="_Toc12610"/>
      <w:bookmarkStart w:id="98" w:name="_Toc30157"/>
      <w:bookmarkStart w:id="99" w:name="_Toc31564"/>
      <w:bookmarkStart w:id="100" w:name="_Toc5342"/>
      <w:bookmarkStart w:id="101" w:name="_Toc17119"/>
      <w:bookmarkStart w:id="102" w:name="_Toc88209951"/>
      <w:bookmarkStart w:id="103" w:name="_Toc22764"/>
      <w:bookmarkStart w:id="104" w:name="_Toc10840"/>
      <w:bookmarkStart w:id="105" w:name="_Toc21675"/>
      <w:bookmarkStart w:id="106" w:name="_Toc24490"/>
      <w:bookmarkStart w:id="107" w:name="_Toc12769"/>
      <w:bookmarkStart w:id="108" w:name="_Toc87616388"/>
      <w:r>
        <w:rPr>
          <w:rFonts w:hint="eastAsia"/>
          <w:color w:val="auto"/>
          <w:highlight w:val="none"/>
        </w:rPr>
        <w:t>响应文件</w:t>
      </w:r>
      <w:r>
        <w:rPr>
          <w:rFonts w:hint="eastAsia"/>
          <w:color w:val="auto"/>
          <w:highlight w:val="none"/>
          <w:lang w:val="en-US" w:eastAsia="zh-CN"/>
        </w:rPr>
        <w:t>格式要求</w:t>
      </w:r>
      <w:bookmarkEnd w:id="96"/>
      <w:bookmarkEnd w:id="97"/>
      <w:bookmarkEnd w:id="98"/>
      <w:bookmarkEnd w:id="99"/>
      <w:bookmarkEnd w:id="100"/>
      <w:bookmarkEnd w:id="101"/>
      <w:bookmarkEnd w:id="102"/>
      <w:bookmarkEnd w:id="103"/>
      <w:bookmarkEnd w:id="104"/>
      <w:bookmarkEnd w:id="105"/>
      <w:bookmarkEnd w:id="106"/>
      <w:bookmarkEnd w:id="107"/>
      <w:bookmarkEnd w:id="108"/>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09" w:name="_Toc87616389"/>
      <w:bookmarkStart w:id="110" w:name="_Toc88209952"/>
      <w:r>
        <w:rPr>
          <w:rFonts w:hint="eastAsia" w:ascii="仿宋_GB2312" w:eastAsia="仿宋_GB2312"/>
          <w:color w:val="auto"/>
          <w:sz w:val="28"/>
          <w:szCs w:val="28"/>
          <w:highlight w:val="none"/>
        </w:rPr>
        <w:t>1.响应函</w:t>
      </w:r>
      <w:bookmarkEnd w:id="109"/>
      <w:bookmarkEnd w:id="110"/>
    </w:p>
    <w:p>
      <w:pPr>
        <w:spacing w:line="600" w:lineRule="exact"/>
        <w:rPr>
          <w:rFonts w:hint="eastAsia" w:ascii="仿宋_GB2312" w:eastAsia="仿宋_GB2312"/>
          <w:color w:val="auto"/>
          <w:sz w:val="28"/>
          <w:szCs w:val="28"/>
          <w:highlight w:val="none"/>
        </w:rPr>
      </w:pPr>
      <w:bookmarkStart w:id="111" w:name="_Toc88209953"/>
      <w:bookmarkStart w:id="112" w:name="_Toc87616390"/>
      <w:r>
        <w:rPr>
          <w:rFonts w:hint="eastAsia" w:ascii="仿宋_GB2312" w:eastAsia="仿宋_GB2312"/>
          <w:color w:val="auto"/>
          <w:sz w:val="28"/>
          <w:szCs w:val="28"/>
          <w:highlight w:val="none"/>
        </w:rPr>
        <w:t>2.法定代表人证明或授权委托书</w:t>
      </w:r>
      <w:bookmarkEnd w:id="111"/>
      <w:bookmarkEnd w:id="112"/>
      <w:bookmarkStart w:id="113" w:name="_Toc87616393"/>
      <w:bookmarkStart w:id="114"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3"/>
      <w:bookmarkEnd w:id="114"/>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2"/>
      </w:pPr>
    </w:p>
    <w:p>
      <w:pPr>
        <w:pStyle w:val="6"/>
        <w:rPr>
          <w:rFonts w:asciiTheme="minorEastAsia" w:hAnsiTheme="minorEastAsia" w:eastAsiaTheme="minorEastAsia"/>
          <w:color w:val="auto"/>
          <w:sz w:val="28"/>
          <w:szCs w:val="28"/>
          <w:highlight w:val="none"/>
        </w:rPr>
      </w:pPr>
      <w:bookmarkStart w:id="115" w:name="_Toc87616394"/>
      <w:bookmarkStart w:id="116" w:name="_Toc88209957"/>
      <w:bookmarkStart w:id="117" w:name="_Toc28619645"/>
      <w:bookmarkStart w:id="118" w:name="_Toc6313"/>
      <w:bookmarkStart w:id="119" w:name="_Toc12665"/>
      <w:r>
        <w:rPr>
          <w:rFonts w:hint="eastAsia" w:asciiTheme="minorEastAsia" w:hAnsiTheme="minorEastAsia" w:eastAsiaTheme="minorEastAsia"/>
          <w:color w:val="auto"/>
          <w:sz w:val="28"/>
          <w:szCs w:val="28"/>
          <w:highlight w:val="none"/>
        </w:rPr>
        <w:t>1.响应函</w:t>
      </w:r>
      <w:bookmarkEnd w:id="115"/>
      <w:bookmarkEnd w:id="116"/>
      <w:bookmarkEnd w:id="117"/>
      <w:bookmarkEnd w:id="118"/>
      <w:bookmarkEnd w:id="11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20" w:name="_Toc22527"/>
      <w:bookmarkStart w:id="121" w:name="_Toc29833"/>
      <w:bookmarkStart w:id="122" w:name="_Toc88209958"/>
      <w:bookmarkStart w:id="123" w:name="_Toc87616395"/>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20"/>
      <w:bookmarkEnd w:id="121"/>
      <w:bookmarkEnd w:id="122"/>
      <w:bookmarkEnd w:id="123"/>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9"/>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8"/>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s="Times New Roman"/>
          <w:color w:val="auto"/>
          <w:sz w:val="32"/>
          <w:szCs w:val="32"/>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7"/>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24" w:name="_Toc88209963"/>
      <w:bookmarkStart w:id="125" w:name="_Toc87616400"/>
      <w:bookmarkStart w:id="126" w:name="_Toc8086"/>
      <w:bookmarkStart w:id="127" w:name="_Toc1983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4"/>
      <w:bookmarkEnd w:id="125"/>
      <w:bookmarkEnd w:id="126"/>
      <w:bookmarkEnd w:id="127"/>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28"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28"/>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w:t>
      </w:r>
      <w:r>
        <w:rPr>
          <w:rFonts w:hint="eastAsia" w:ascii="宋体" w:hAnsi="宋体" w:eastAsia="宋体" w:cs="宋体"/>
          <w:b/>
          <w:bCs/>
          <w:color w:val="auto"/>
          <w:sz w:val="24"/>
          <w:szCs w:val="24"/>
          <w:highlight w:val="none"/>
          <w:shd w:val="clear" w:color="auto" w:fill="FFFFFF"/>
          <w:lang w:val="en-US" w:eastAsia="zh-CN"/>
        </w:rPr>
        <w:t>从化</w:t>
      </w:r>
      <w:r>
        <w:rPr>
          <w:rFonts w:hint="eastAsia" w:ascii="宋体" w:hAnsi="宋体" w:eastAsia="宋体" w:cs="宋体"/>
          <w:b/>
          <w:bCs/>
          <w:color w:val="auto"/>
          <w:sz w:val="24"/>
          <w:szCs w:val="24"/>
          <w:highlight w:val="none"/>
          <w:shd w:val="clear" w:color="auto" w:fill="FFFFFF"/>
        </w:rPr>
        <w:t>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宋体" w:hAnsi="宋体" w:eastAsia="宋体" w:cs="宋体"/>
          <w:color w:val="auto"/>
          <w:kern w:val="2"/>
          <w:sz w:val="24"/>
          <w:szCs w:val="24"/>
          <w:highlight w:val="none"/>
          <w:lang w:val="en-US" w:eastAsia="zh-CN"/>
        </w:rPr>
        <w:t>列入</w:t>
      </w:r>
      <w:r>
        <w:rPr>
          <w:rFonts w:hint="eastAsia" w:ascii="宋体" w:hAnsi="宋体" w:eastAsia="宋体" w:cs="宋体"/>
          <w:color w:val="auto"/>
          <w:kern w:val="2"/>
          <w:sz w:val="24"/>
          <w:szCs w:val="24"/>
          <w:highlight w:val="none"/>
          <w:lang w:val="en-GB"/>
        </w:rPr>
        <w:t>下列情形之一</w:t>
      </w:r>
      <w:r>
        <w:rPr>
          <w:rFonts w:hint="eastAsia" w:ascii="宋体" w:hAnsi="宋体" w:eastAsia="宋体" w:cs="宋体"/>
          <w:color w:val="auto"/>
          <w:kern w:val="2"/>
          <w:sz w:val="24"/>
          <w:szCs w:val="24"/>
          <w:highlight w:val="none"/>
          <w:lang w:val="en-GB" w:eastAsia="zh-CN"/>
        </w:rPr>
        <w:t>：</w:t>
      </w:r>
    </w:p>
    <w:p>
      <w:pPr>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GB"/>
        </w:rPr>
      </w:pPr>
      <w:r>
        <w:rPr>
          <w:rFonts w:hint="eastAsia" w:ascii="宋体" w:hAnsi="宋体" w:cs="宋体" w:eastAsiaTheme="minorEastAsia"/>
          <w:color w:val="auto"/>
          <w:sz w:val="24"/>
          <w:szCs w:val="24"/>
          <w:highlight w:val="none"/>
          <w:lang w:val="en-GB"/>
        </w:rPr>
        <w:t>（1）与本</w:t>
      </w:r>
      <w:r>
        <w:rPr>
          <w:rFonts w:hint="eastAsia" w:ascii="宋体" w:hAnsi="宋体" w:eastAsia="宋体" w:cs="宋体"/>
          <w:color w:val="auto"/>
          <w:kern w:val="2"/>
          <w:sz w:val="24"/>
          <w:szCs w:val="24"/>
          <w:highlight w:val="none"/>
          <w:lang w:val="en-GB"/>
        </w:rPr>
        <w:t>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注：附件：网页截图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2、截图中应显示网站域名，页面信息必须明确显示参与本项目的企业全称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sectPr>
          <w:headerReference r:id="rId6" w:type="first"/>
          <w:footerReference r:id="rId9" w:type="first"/>
          <w:headerReference r:id="rId5" w:type="default"/>
          <w:footerReference r:id="rId7" w:type="default"/>
          <w:footerReference r:id="rId8" w:type="even"/>
          <w:pgSz w:w="11906" w:h="16838"/>
          <w:pgMar w:top="2098" w:right="1474" w:bottom="1985" w:left="1588" w:header="851" w:footer="992" w:gutter="0"/>
          <w:pgNumType w:start="0"/>
          <w:cols w:space="425" w:num="1"/>
          <w:titlePg/>
          <w:docGrid w:type="lines" w:linePitch="312" w:charSpace="0"/>
        </w:sectPr>
      </w:pPr>
    </w:p>
    <w:p>
      <w:pPr>
        <w:pStyle w:val="6"/>
        <w:numPr>
          <w:ilvl w:val="0"/>
          <w:numId w:val="0"/>
        </w:numPr>
        <w:rPr>
          <w:rFonts w:hint="eastAsia" w:asciiTheme="minorEastAsia" w:hAnsiTheme="minorEastAsia" w:eastAsiaTheme="minorEastAsia"/>
          <w:color w:val="auto"/>
          <w:sz w:val="28"/>
          <w:szCs w:val="28"/>
          <w:highlight w:val="none"/>
        </w:rPr>
      </w:pPr>
      <w:bookmarkStart w:id="129" w:name="_Toc19423"/>
      <w:bookmarkStart w:id="130" w:name="_Toc32430"/>
      <w:r>
        <w:rPr>
          <w:rFonts w:hint="eastAsia" w:asciiTheme="minorEastAsia" w:hAnsiTheme="minorEastAsia" w:eastAsia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29"/>
      <w:bookmarkEnd w:id="130"/>
    </w:p>
    <w:tbl>
      <w:tblPr>
        <w:tblStyle w:val="23"/>
        <w:tblpPr w:leftFromText="180" w:rightFromText="180" w:vertAnchor="text" w:horzAnchor="page" w:tblpX="262" w:tblpY="81"/>
        <w:tblOverlap w:val="never"/>
        <w:tblW w:w="16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9"/>
        <w:gridCol w:w="717"/>
        <w:gridCol w:w="1210"/>
        <w:gridCol w:w="3964"/>
        <w:gridCol w:w="2266"/>
        <w:gridCol w:w="762"/>
        <w:gridCol w:w="1327"/>
        <w:gridCol w:w="1089"/>
        <w:gridCol w:w="1137"/>
        <w:gridCol w:w="884"/>
        <w:gridCol w:w="819"/>
        <w:gridCol w:w="870"/>
        <w:gridCol w:w="8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类别</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类型</w:t>
            </w: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检测项目</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净水厂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a.点位数</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b.取样检测频率</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c.计划取样检测次数</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d.计划取样检测量</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(=a*c)</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检测费用单价（元）</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检测费用总价（元）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现场采样费单价（元）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现场采样费总价（元）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0" w:hRule="atLeast"/>
        </w:trPr>
        <w:tc>
          <w:tcPr>
            <w:tcW w:w="5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废水</w:t>
            </w:r>
          </w:p>
        </w:tc>
        <w:tc>
          <w:tcPr>
            <w:tcW w:w="12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进水（每月）</w:t>
            </w: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化学需氧量、氨氮、悬浮物、总磷、总氮、pH值、五日生化需氧量、总汞、总镉、总铬、六价铬、总砷、总铅、动植物油、石油类、阴离子表面活性剂、色度、烷基汞、硫化物、总余氯、粪大肠菌群（21项）</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水质净化厂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每月1次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化学需氧量、氨氮、悬浮物、总磷、总氮、pH值、五日生化需氧量、总汞、总镉、总铬、六价铬、总砷、总铅、动植物油、石油类、阴离子表面活性剂、色度、烷基汞、粪大肠菌群数、硫化物（20项）</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明珠污水处理厂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每月1次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中心城区污水处理厂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每月1次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太平镇污水处理厂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每月1次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温泉镇污水处理厂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每月1次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良口镇污水处理厂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每月1次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鳌头镇污水处理厂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每月1次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吕田镇污水处理厂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每月1次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出水（每月）</w:t>
            </w: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化学需氧量、氨氮、悬浮物、总磷、总氮、pH值、五日生化需氧量、总汞、总镉、总铬、六价铬、总砷、总铅、动植物油、石油类、阴离子表面活性剂、色度、烷基汞、硫化物、总余氯、粪大肠菌群（21项）</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水质净化厂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每月1次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化学需氧量、氨氮、悬浮物、总磷、总氮、pH值、五日生化需氧量、总汞、总镉、总铬、六价铬、总砷、总铅、动植物油、石油类、阴离子表面活性剂、色度、烷基汞、硫化物、粪大肠菌群数（20项）</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明珠污水处理厂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每月1次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中心城区污水处理厂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每月1次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太平镇污水处理厂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每月1次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温泉镇污水处理厂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每月1次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良口镇污水处理厂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每月1次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鳌头镇污水处理厂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每月1次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吕田镇污水处理厂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每月1次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5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废气</w:t>
            </w:r>
          </w:p>
        </w:tc>
        <w:tc>
          <w:tcPr>
            <w:tcW w:w="12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无组织废气</w:t>
            </w:r>
          </w:p>
        </w:tc>
        <w:tc>
          <w:tcPr>
            <w:tcW w:w="39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氨、硫化氢、臭气浓度、甲烷（4项）</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水质净化厂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每季度1次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明珠污水处理厂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每半年1次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中心城区污水处理厂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每半年1次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太平镇污水处理厂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每半年1次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温泉镇污水处理厂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每半年1次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良口镇污水处理厂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每半年1次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鳌头镇污水处理厂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每半年1次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吕田镇污水处理厂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每半年1次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有组织废气</w:t>
            </w:r>
          </w:p>
        </w:tc>
        <w:tc>
          <w:tcPr>
            <w:tcW w:w="39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氨、硫化氢、臭气浓度、甲烷（4项）</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水质净化厂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每季度1次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明珠污水处理厂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每半年1次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中心城区污水处理厂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每半年1次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太平镇污水处理厂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每半年1次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温泉镇污水处理厂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每半年1次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良口镇污水处理厂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每半年1次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鳌头镇污水处理厂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每半年1次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吕田镇污水处理厂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每半年1次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5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噪声</w:t>
            </w:r>
          </w:p>
        </w:tc>
        <w:tc>
          <w:tcPr>
            <w:tcW w:w="12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厂界噪声</w:t>
            </w: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昼间、夜间（2项）</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水质净化厂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每季度1次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昼间（1项）</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明珠污水处理厂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每半年1次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昼间（1项）</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中心城区污水处理厂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每半年1次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昼间（1项）</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太平镇污水处理厂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每半年1次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昼间（1项）</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温泉镇污水处理厂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每半年1次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昼间（1项）</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良口镇污水处理厂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每半年1次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昼间（1项）</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鳌头镇污水处理厂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每半年1次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昼间（1项）</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吕田镇污水处理厂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每半年1次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油烟废气</w:t>
            </w:r>
          </w:p>
        </w:tc>
        <w:tc>
          <w:tcPr>
            <w:tcW w:w="12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饮食业油烟</w:t>
            </w:r>
          </w:p>
        </w:tc>
        <w:tc>
          <w:tcPr>
            <w:tcW w:w="39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饮食业油烟（1项）</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中心城区污水处理厂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每年1次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温泉镇污水处理厂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每年1次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良口镇污水处理厂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每年1次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鳌头镇污水处理厂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每年1次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5" w:hRule="atLeast"/>
        </w:trPr>
        <w:tc>
          <w:tcPr>
            <w:tcW w:w="5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废水</w:t>
            </w:r>
          </w:p>
        </w:tc>
        <w:tc>
          <w:tcPr>
            <w:tcW w:w="12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水样</w:t>
            </w: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机物未知物分析：氯乙烯、1,1-二氯乙烯、二氯甲烷、反式-1,2-二氯乙烯、1,1-二氯乙烷、氯丁二烯、顺式-1,2-二氯乙烯、2,2-二氯丙烷、溴氯甲烷、氯仿、二溴氟甲烷（替代物）、1,1,1-三氯乙烷、1,1-二氯丙烯、四氯化碳、苯、1,2-二氯乙烷、氟苯（内标）、三氯乙烯、1,2-二氯丙烷、二溴甲烷、一溴二氯甲烷、环氧氯丙烷、顺式-1,3-二氯丙烯、甲苯-d8（替代物）、甲苯、反式-1,3-二氯丙烯、1,1,2-三氯乙烷、四氯乙烯、1,3-二氯丙烷、二溴氯甲烷、1,2-二溴乙烷、氯苯、1,1,1,2-四氯乙烷、乙苯、间/对-二甲苯、邻-二甲苯、苯乙烯、溴仿、异丙苯、4-溴氟苯（替代物）、溴苯、1,1,2,2-四氯乙烷、1,2,3-三氯丙烷、正丙苯、2-氯甲苯、4-氯甲苯、1,3,5-三甲基苯、叔丁基苯、1,2,4-三甲基苯、仲丁基苯、1,3-二氯苯、4-异丙基甲苯、1,4-二氯苯、1,4-二氯苯-d4（内标）、1,2-二氯苯、正丁基苯、1,2-二溴-3-氯丙烷、1,2,4-三氯苯、六氯丁二烯、萘、1,2,3-三氯苯（62项）</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水质净化厂           明珠污水处理厂          中心城区污水处理厂  太平镇污水处理厂    温泉镇污水处理厂    良口镇污水处理厂    鳌头镇污水处理厂    吕田镇污水处理厂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每年6次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6"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挥发酚（1项）</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水质净化厂           明珠污水处理厂          中心城区污水处理厂  太平镇污水处理厂    温泉镇污水处理厂    良口镇污水处理厂    鳌头镇污水处理厂    吕田镇污水处理厂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每年6次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1"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化学需氧量（1项）</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水质净化厂           明珠污水处理厂          中心城区污水处理厂  太平镇污水处理厂    温泉镇污水处理厂    良口镇污水处理厂    鳌头镇污水处理厂    吕田镇污水处理厂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每年6次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6"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五日生化需氧量（1项）</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水质净化厂           明珠污水处理厂          中心城区污水处理厂  太平镇污水处理厂    温泉镇污水处理厂    良口镇污水处理厂    鳌头镇污水处理厂    吕田镇污水处理厂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每年6次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1"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氨氮（1项）</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水质净化厂           明珠污水处理厂          中心城区污水处理厂  太平镇污水处理厂    温泉镇污水处理厂    良口镇污水处理厂    鳌头镇污水处理厂    吕田镇污水处理厂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每年6次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1"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总磷（1项）</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水质净化厂           明珠污水处理厂          中心城区污水处理厂  太平镇污水处理厂    温泉镇污水处理厂    良口镇污水处理厂    鳌头镇污水处理厂    吕田镇污水处理厂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每年6次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1"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总氮（1项）</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水质净化厂           明珠污水处理厂          中心城区污水处理厂  太平镇污水处理厂    温泉镇污水处理厂    良口镇污水处理厂    鳌头镇污水处理厂    吕田镇污水处理厂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每年6次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6"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pH值（1项）</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水质净化厂           明珠污水处理厂          中心城区污水处理厂  太平镇污水处理厂    温泉镇污水处理厂    良口镇污水处理厂    鳌头镇污水处理厂    吕田镇污水处理厂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每年6次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1"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氰化物（1项）</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水质净化厂           明珠污水处理厂          中心城区污水处理厂  太平镇污水处理厂    温泉镇污水处理厂    良口镇污水处理厂    鳌头镇污水处理厂    吕田镇污水处理厂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每年6次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6"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重金属离子：总铬、六价铬、总镍、总镉、总银、总铅、总汞、总铜、总锌、总铁、总铝（11项）</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水质净化厂           明珠污水处理厂          中心城区污水处理厂  太平镇污水处理厂    温泉镇污水处理厂    良口镇污水处理厂    鳌头镇污水处理厂    吕田镇污水处理厂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每年6次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1"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有机农药类：阿特拉津、氯丹、p,p'-滴滴滴、p,p'-滴滴伊、滴滴涕、敌敌畏、乐果、硫丹、七氯、α-六六六、β-六六六、γ-六六六、六氯苯（13</w:t>
            </w:r>
            <w:bookmarkStart w:id="135" w:name="_GoBack"/>
            <w:bookmarkEnd w:id="135"/>
            <w:r>
              <w:rPr>
                <w:rFonts w:hint="eastAsia" w:ascii="宋体" w:hAnsi="宋体" w:eastAsia="宋体" w:cs="宋体"/>
                <w:i w:val="0"/>
                <w:iCs w:val="0"/>
                <w:color w:val="000000"/>
                <w:kern w:val="0"/>
                <w:sz w:val="20"/>
                <w:szCs w:val="20"/>
                <w:u w:val="none"/>
                <w:lang w:val="en-US" w:eastAsia="zh-CN" w:bidi="ar"/>
              </w:rPr>
              <w:t xml:space="preserve">项）  </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水质净化厂           明珠污水处理厂          中心城区污水处理厂  太平镇污水处理厂    温泉镇污水处理厂    良口镇污水处理厂    鳌头镇污水处理厂    吕田镇污水处理厂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每年6次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6"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废气</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无组织废气</w:t>
            </w: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氨、硫化氢、臭气浓度、甲烷（4项）</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水质净化厂           明珠污水处理厂          中心城区污水处理厂  太平镇污水处理厂    温泉镇污水处理厂    良口镇污水处理厂    鳌头镇污水处理厂    吕田镇污水处理厂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每季度1次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6" w:hRule="atLeast"/>
        </w:trPr>
        <w:tc>
          <w:tcPr>
            <w:tcW w:w="5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噪声</w:t>
            </w:r>
          </w:p>
        </w:tc>
        <w:tc>
          <w:tcPr>
            <w:tcW w:w="12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厂界噪声</w:t>
            </w: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夜间（1项）</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水质净化厂           明珠污水处理厂          中心城区污水处理厂  太平镇污水处理厂    温泉镇污水处理厂    良口镇污水处理厂    鳌头镇污水处理厂    吕田镇污水处理厂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每季度1次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1"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昼间（1项）</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水质净化厂           明珠污水处理厂          中心城区污水处理厂  太平镇污水处理厂    温泉镇污水处理厂    良口镇污水处理厂    鳌头镇污水处理厂    吕田镇污水处理厂</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每季度1次</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32</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107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合计（含税）</w:t>
            </w:r>
          </w:p>
        </w:tc>
        <w:tc>
          <w:tcPr>
            <w:tcW w:w="56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numPr>
          <w:ilvl w:val="0"/>
          <w:numId w:val="0"/>
        </w:numPr>
      </w:pPr>
    </w:p>
    <w:p>
      <w:pPr>
        <w:adjustRightInd w:val="0"/>
        <w:snapToGrid w:val="0"/>
        <w:spacing w:line="600" w:lineRule="exact"/>
        <w:rPr>
          <w:rFonts w:ascii="仿宋_GB2312" w:eastAsia="仿宋_GB2312" w:hAnsiTheme="minorEastAsia"/>
          <w:color w:val="auto"/>
          <w:sz w:val="28"/>
          <w:szCs w:val="28"/>
          <w:highlight w:val="none"/>
        </w:rPr>
      </w:pPr>
    </w:p>
    <w:p>
      <w:pPr>
        <w:adjustRightInd w:val="0"/>
        <w:snapToGrid w:val="0"/>
        <w:spacing w:line="500" w:lineRule="exact"/>
        <w:rPr>
          <w:rFonts w:hint="eastAsia" w:ascii="仿宋" w:hAnsi="仿宋" w:eastAsia="仿宋" w:cs="仿宋"/>
          <w:sz w:val="28"/>
          <w:szCs w:val="28"/>
        </w:rPr>
      </w:pPr>
      <w:r>
        <w:rPr>
          <w:rFonts w:hint="eastAsia" w:ascii="仿宋" w:hAnsi="仿宋" w:eastAsia="仿宋" w:cs="仿宋"/>
          <w:sz w:val="28"/>
          <w:szCs w:val="28"/>
        </w:rPr>
        <w:t>报价单位代表（签名或盖私章）：</w:t>
      </w:r>
      <w:r>
        <w:rPr>
          <w:rFonts w:hint="eastAsia" w:ascii="仿宋" w:hAnsi="仿宋" w:eastAsia="仿宋" w:cs="仿宋"/>
          <w:sz w:val="28"/>
          <w:szCs w:val="28"/>
          <w:u w:val="single"/>
        </w:rPr>
        <w:t xml:space="preserve">                   </w:t>
      </w:r>
    </w:p>
    <w:p>
      <w:pPr>
        <w:adjustRightInd w:val="0"/>
        <w:snapToGrid w:val="0"/>
        <w:spacing w:line="500" w:lineRule="exact"/>
        <w:rPr>
          <w:rFonts w:hint="eastAsia" w:ascii="仿宋" w:hAnsi="仿宋" w:eastAsia="仿宋" w:cs="仿宋"/>
          <w:sz w:val="28"/>
          <w:szCs w:val="28"/>
          <w:u w:val="single"/>
        </w:rPr>
      </w:pPr>
      <w:r>
        <w:rPr>
          <w:rFonts w:hint="eastAsia" w:ascii="仿宋" w:hAnsi="仿宋" w:eastAsia="仿宋" w:cs="仿宋"/>
          <w:sz w:val="28"/>
          <w:szCs w:val="28"/>
        </w:rPr>
        <w:t>报价单位名称（盖单位公章）：</w:t>
      </w:r>
      <w:r>
        <w:rPr>
          <w:rFonts w:hint="eastAsia" w:ascii="仿宋" w:hAnsi="仿宋" w:eastAsia="仿宋" w:cs="仿宋"/>
          <w:sz w:val="28"/>
          <w:szCs w:val="28"/>
          <w:u w:val="single"/>
        </w:rPr>
        <w:t xml:space="preserve">                        </w:t>
      </w:r>
    </w:p>
    <w:p>
      <w:pPr>
        <w:jc w:val="left"/>
        <w:rPr>
          <w:rFonts w:hint="eastAsia" w:ascii="仿宋" w:hAnsi="仿宋" w:eastAsia="仿宋" w:cs="仿宋"/>
          <w:sz w:val="28"/>
          <w:szCs w:val="28"/>
        </w:rPr>
        <w:sectPr>
          <w:pgSz w:w="16838" w:h="11906" w:orient="landscape"/>
          <w:pgMar w:top="1588" w:right="2098" w:bottom="1474" w:left="1985" w:header="851" w:footer="992" w:gutter="0"/>
          <w:pgNumType w:start="0"/>
          <w:cols w:space="425" w:num="1"/>
          <w:titlePg/>
          <w:docGrid w:type="lines" w:linePitch="312" w:charSpace="0"/>
        </w:sect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月</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p>
    <w:p>
      <w:pPr>
        <w:pStyle w:val="6"/>
        <w:rPr>
          <w:rFonts w:hint="eastAsia" w:eastAsiaTheme="majorEastAsia"/>
          <w:color w:val="auto"/>
          <w:highlight w:val="none"/>
          <w:lang w:val="en-US" w:eastAsia="zh-CN"/>
        </w:rPr>
      </w:pPr>
      <w:bookmarkStart w:id="131" w:name="_Toc87616402"/>
      <w:bookmarkStart w:id="132" w:name="_Toc16386"/>
      <w:bookmarkStart w:id="133" w:name="_Toc88209965"/>
      <w:bookmarkStart w:id="134" w:name="_Toc6058"/>
    </w:p>
    <w:p>
      <w:pPr>
        <w:pStyle w:val="6"/>
        <w:rPr>
          <w:rFonts w:asciiTheme="majorEastAsia" w:hAnsiTheme="majorEastAsia" w:eastAsiaTheme="majorEastAsia"/>
          <w:color w:val="auto"/>
          <w:sz w:val="28"/>
          <w:szCs w:val="28"/>
          <w:highlight w:val="none"/>
        </w:rPr>
      </w:pPr>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31"/>
      <w:bookmarkEnd w:id="132"/>
      <w:bookmarkEnd w:id="133"/>
      <w:bookmarkEnd w:id="134"/>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7"/>
      </w:rPr>
    </w:pPr>
    <w:r>
      <w:fldChar w:fldCharType="begin"/>
    </w:r>
    <w:r>
      <w:rPr>
        <w:rStyle w:val="27"/>
      </w:rPr>
      <w:instrText xml:space="preserve">PAGE  </w:instrText>
    </w:r>
    <w:r>
      <w:fldChar w:fldCharType="separate"/>
    </w:r>
    <w:r>
      <w:rPr>
        <w:rStyle w:val="27"/>
      </w:rPr>
      <w:t>18</w:t>
    </w:r>
    <w:r>
      <w:fldChar w:fldCharType="end"/>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2hs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f8TaGyQEAAJo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h0n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WOI+tCVLcr1INweEzZRessVRtipMI6ssJvWK+/E43vJevilt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xYdJzIAQAAmgMAAA4AAAAAAAAAAQAgAAAAHgEAAGRycy9lMm9Eb2Mu&#10;eG1sUEsFBgAAAAAGAAYAWQEAAFgFA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1A6659"/>
    <w:multiLevelType w:val="singleLevel"/>
    <w:tmpl w:val="961A6659"/>
    <w:lvl w:ilvl="0" w:tentative="0">
      <w:start w:val="2"/>
      <w:numFmt w:val="chineseCounting"/>
      <w:suff w:val="nothing"/>
      <w:lvlText w:val="%1、"/>
      <w:lvlJc w:val="left"/>
      <w:rPr>
        <w:rFonts w:hint="eastAsia"/>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4734DCE6"/>
    <w:multiLevelType w:val="singleLevel"/>
    <w:tmpl w:val="4734DCE6"/>
    <w:lvl w:ilvl="0" w:tentative="0">
      <w:start w:val="1"/>
      <w:numFmt w:val="decimal"/>
      <w:lvlText w:val="%1."/>
      <w:lvlJc w:val="left"/>
      <w:pPr>
        <w:tabs>
          <w:tab w:val="left" w:pos="312"/>
        </w:tabs>
        <w:ind w:left="-3"/>
      </w:pPr>
    </w:lvl>
  </w:abstractNum>
  <w:abstractNum w:abstractNumId="3">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2NWNkYTYyNDg4ODBmYTI5ODIyZDAzZjZlMTdlNzIifQ=="/>
    <w:docVar w:name="KSO_WPS_MARK_KEY" w:val="506d3f21-4d6f-4bf4-a513-a2b902b7a3f5"/>
  </w:docVars>
  <w:rsids>
    <w:rsidRoot w:val="005D618A"/>
    <w:rsid w:val="003D60BA"/>
    <w:rsid w:val="00411689"/>
    <w:rsid w:val="005D618A"/>
    <w:rsid w:val="00911ECD"/>
    <w:rsid w:val="009A167B"/>
    <w:rsid w:val="00A042E0"/>
    <w:rsid w:val="00B26BB1"/>
    <w:rsid w:val="00B26E21"/>
    <w:rsid w:val="00BA2DA8"/>
    <w:rsid w:val="00D25C4D"/>
    <w:rsid w:val="00F83B64"/>
    <w:rsid w:val="013E3461"/>
    <w:rsid w:val="01A76B0E"/>
    <w:rsid w:val="02090C75"/>
    <w:rsid w:val="02A23A3C"/>
    <w:rsid w:val="03307D9E"/>
    <w:rsid w:val="034C1D5D"/>
    <w:rsid w:val="03547F3F"/>
    <w:rsid w:val="036A7762"/>
    <w:rsid w:val="038066F5"/>
    <w:rsid w:val="039110A9"/>
    <w:rsid w:val="03A11CF5"/>
    <w:rsid w:val="03AC246A"/>
    <w:rsid w:val="03B23056"/>
    <w:rsid w:val="03B95449"/>
    <w:rsid w:val="03CC54B6"/>
    <w:rsid w:val="03DC3EBA"/>
    <w:rsid w:val="03F9794D"/>
    <w:rsid w:val="046A2461"/>
    <w:rsid w:val="04BE51C5"/>
    <w:rsid w:val="051A0571"/>
    <w:rsid w:val="051C2970"/>
    <w:rsid w:val="057810E3"/>
    <w:rsid w:val="05CC643C"/>
    <w:rsid w:val="065A502F"/>
    <w:rsid w:val="06C64829"/>
    <w:rsid w:val="077D16D2"/>
    <w:rsid w:val="07D52A65"/>
    <w:rsid w:val="082A69F3"/>
    <w:rsid w:val="08675FC8"/>
    <w:rsid w:val="08B80F70"/>
    <w:rsid w:val="08D4742C"/>
    <w:rsid w:val="08E204A3"/>
    <w:rsid w:val="097613B5"/>
    <w:rsid w:val="099F1451"/>
    <w:rsid w:val="09B713FD"/>
    <w:rsid w:val="09DC2017"/>
    <w:rsid w:val="09EF6ACC"/>
    <w:rsid w:val="0A315056"/>
    <w:rsid w:val="0A81511A"/>
    <w:rsid w:val="0A8C746C"/>
    <w:rsid w:val="0AFB45AD"/>
    <w:rsid w:val="0B351E9B"/>
    <w:rsid w:val="0B494BC3"/>
    <w:rsid w:val="0B4C50D3"/>
    <w:rsid w:val="0B806B92"/>
    <w:rsid w:val="0B827E94"/>
    <w:rsid w:val="0BD070E1"/>
    <w:rsid w:val="0C07720C"/>
    <w:rsid w:val="0C247926"/>
    <w:rsid w:val="0CDE0CC6"/>
    <w:rsid w:val="0D5214AE"/>
    <w:rsid w:val="0D794204"/>
    <w:rsid w:val="0DE77F12"/>
    <w:rsid w:val="0E1B03AC"/>
    <w:rsid w:val="0E2125D1"/>
    <w:rsid w:val="0E214211"/>
    <w:rsid w:val="0E4D4F80"/>
    <w:rsid w:val="0E5A7079"/>
    <w:rsid w:val="0E5F2769"/>
    <w:rsid w:val="0E6E20C5"/>
    <w:rsid w:val="0F4D75A3"/>
    <w:rsid w:val="0F5B2DCA"/>
    <w:rsid w:val="0F5F2F14"/>
    <w:rsid w:val="0FED051E"/>
    <w:rsid w:val="0FEE4C29"/>
    <w:rsid w:val="10046082"/>
    <w:rsid w:val="1059278A"/>
    <w:rsid w:val="111703D2"/>
    <w:rsid w:val="112B101A"/>
    <w:rsid w:val="119B53FC"/>
    <w:rsid w:val="11BF336F"/>
    <w:rsid w:val="12424CDC"/>
    <w:rsid w:val="129A2738"/>
    <w:rsid w:val="12B56BF1"/>
    <w:rsid w:val="12CB1A89"/>
    <w:rsid w:val="12CF6B9E"/>
    <w:rsid w:val="13113593"/>
    <w:rsid w:val="131840FB"/>
    <w:rsid w:val="13467417"/>
    <w:rsid w:val="136E76CF"/>
    <w:rsid w:val="136F0D71"/>
    <w:rsid w:val="144B6E29"/>
    <w:rsid w:val="145F08C6"/>
    <w:rsid w:val="149E71E2"/>
    <w:rsid w:val="14A625CB"/>
    <w:rsid w:val="14F42E7B"/>
    <w:rsid w:val="15696EC7"/>
    <w:rsid w:val="15753835"/>
    <w:rsid w:val="15776308"/>
    <w:rsid w:val="15BC6B3C"/>
    <w:rsid w:val="164D40B0"/>
    <w:rsid w:val="16573842"/>
    <w:rsid w:val="166333C2"/>
    <w:rsid w:val="1694429A"/>
    <w:rsid w:val="16AE01EB"/>
    <w:rsid w:val="16D34E48"/>
    <w:rsid w:val="17635326"/>
    <w:rsid w:val="18027F75"/>
    <w:rsid w:val="180C3EB9"/>
    <w:rsid w:val="18236EFD"/>
    <w:rsid w:val="183254C2"/>
    <w:rsid w:val="185E1F27"/>
    <w:rsid w:val="189D5B1F"/>
    <w:rsid w:val="18A34CD0"/>
    <w:rsid w:val="19A53EA8"/>
    <w:rsid w:val="19B64DBC"/>
    <w:rsid w:val="19E023A0"/>
    <w:rsid w:val="1A373ACF"/>
    <w:rsid w:val="1A382562"/>
    <w:rsid w:val="1A895341"/>
    <w:rsid w:val="1ACE61C7"/>
    <w:rsid w:val="1B0D071F"/>
    <w:rsid w:val="1B3A5814"/>
    <w:rsid w:val="1B4568CE"/>
    <w:rsid w:val="1B9015B7"/>
    <w:rsid w:val="1BF54245"/>
    <w:rsid w:val="1D0E6976"/>
    <w:rsid w:val="1D35537D"/>
    <w:rsid w:val="1D444B85"/>
    <w:rsid w:val="1D466C9F"/>
    <w:rsid w:val="1D497BBF"/>
    <w:rsid w:val="1D5A79EE"/>
    <w:rsid w:val="1D921A45"/>
    <w:rsid w:val="1D9838A2"/>
    <w:rsid w:val="1DEC0C62"/>
    <w:rsid w:val="1E0C1593"/>
    <w:rsid w:val="1E0E2CD0"/>
    <w:rsid w:val="1E3812B5"/>
    <w:rsid w:val="1E831280"/>
    <w:rsid w:val="1EBC4704"/>
    <w:rsid w:val="1ED842C9"/>
    <w:rsid w:val="1F147AB6"/>
    <w:rsid w:val="1F172EB5"/>
    <w:rsid w:val="1F676A8B"/>
    <w:rsid w:val="1F94592D"/>
    <w:rsid w:val="1FA80CFB"/>
    <w:rsid w:val="1FB860DE"/>
    <w:rsid w:val="203B4CFB"/>
    <w:rsid w:val="203C5A02"/>
    <w:rsid w:val="209D4C94"/>
    <w:rsid w:val="20E84705"/>
    <w:rsid w:val="2112092C"/>
    <w:rsid w:val="212C74D0"/>
    <w:rsid w:val="218400BA"/>
    <w:rsid w:val="21914B86"/>
    <w:rsid w:val="21AB1E2F"/>
    <w:rsid w:val="21D40498"/>
    <w:rsid w:val="22767047"/>
    <w:rsid w:val="22EF42C4"/>
    <w:rsid w:val="231E1D13"/>
    <w:rsid w:val="235B7F06"/>
    <w:rsid w:val="238C0886"/>
    <w:rsid w:val="23A05588"/>
    <w:rsid w:val="23B02B18"/>
    <w:rsid w:val="23FB4FA9"/>
    <w:rsid w:val="240476A1"/>
    <w:rsid w:val="241F1A4B"/>
    <w:rsid w:val="246B2B36"/>
    <w:rsid w:val="247429F5"/>
    <w:rsid w:val="25431AEB"/>
    <w:rsid w:val="25596CE2"/>
    <w:rsid w:val="25BF43FD"/>
    <w:rsid w:val="25F86BCD"/>
    <w:rsid w:val="25FD232B"/>
    <w:rsid w:val="2605748B"/>
    <w:rsid w:val="266668C3"/>
    <w:rsid w:val="269E416A"/>
    <w:rsid w:val="26AD22BF"/>
    <w:rsid w:val="26EF30E1"/>
    <w:rsid w:val="272100D3"/>
    <w:rsid w:val="272C72FC"/>
    <w:rsid w:val="27323A02"/>
    <w:rsid w:val="275131CB"/>
    <w:rsid w:val="27695755"/>
    <w:rsid w:val="27C60B5C"/>
    <w:rsid w:val="27EB149D"/>
    <w:rsid w:val="27FD3E52"/>
    <w:rsid w:val="28527787"/>
    <w:rsid w:val="28E11370"/>
    <w:rsid w:val="29147B02"/>
    <w:rsid w:val="29343ACC"/>
    <w:rsid w:val="294A564C"/>
    <w:rsid w:val="294A756A"/>
    <w:rsid w:val="29781BF8"/>
    <w:rsid w:val="29C33ED0"/>
    <w:rsid w:val="29D5322D"/>
    <w:rsid w:val="2A025DD9"/>
    <w:rsid w:val="2A2619CB"/>
    <w:rsid w:val="2A7C2231"/>
    <w:rsid w:val="2ABB753D"/>
    <w:rsid w:val="2ACB042B"/>
    <w:rsid w:val="2AD32DF3"/>
    <w:rsid w:val="2AD43590"/>
    <w:rsid w:val="2B7A49FA"/>
    <w:rsid w:val="2B8E0E32"/>
    <w:rsid w:val="2BEE242F"/>
    <w:rsid w:val="2C2A3FA7"/>
    <w:rsid w:val="2C2D1480"/>
    <w:rsid w:val="2C615D26"/>
    <w:rsid w:val="2C68179D"/>
    <w:rsid w:val="2CB679ED"/>
    <w:rsid w:val="2D173C07"/>
    <w:rsid w:val="2D2B1556"/>
    <w:rsid w:val="2D2D4896"/>
    <w:rsid w:val="2D2F0986"/>
    <w:rsid w:val="2D424A86"/>
    <w:rsid w:val="2D832D14"/>
    <w:rsid w:val="2DCA3934"/>
    <w:rsid w:val="2DF65663"/>
    <w:rsid w:val="2E7B52DB"/>
    <w:rsid w:val="2EE23138"/>
    <w:rsid w:val="2EF43A8A"/>
    <w:rsid w:val="2F324CFE"/>
    <w:rsid w:val="2FBA09F1"/>
    <w:rsid w:val="2FEF2ACF"/>
    <w:rsid w:val="30540211"/>
    <w:rsid w:val="309B0299"/>
    <w:rsid w:val="30FC7B27"/>
    <w:rsid w:val="31112A0D"/>
    <w:rsid w:val="311F4B20"/>
    <w:rsid w:val="312D7741"/>
    <w:rsid w:val="312F7772"/>
    <w:rsid w:val="316F137F"/>
    <w:rsid w:val="31DF525F"/>
    <w:rsid w:val="32324C2E"/>
    <w:rsid w:val="32496611"/>
    <w:rsid w:val="327171DF"/>
    <w:rsid w:val="32825E43"/>
    <w:rsid w:val="33513241"/>
    <w:rsid w:val="33A36CD4"/>
    <w:rsid w:val="33BF2BC9"/>
    <w:rsid w:val="341E3434"/>
    <w:rsid w:val="345337B9"/>
    <w:rsid w:val="34BB4442"/>
    <w:rsid w:val="34BC5B05"/>
    <w:rsid w:val="34E41303"/>
    <w:rsid w:val="35262982"/>
    <w:rsid w:val="358B0CEF"/>
    <w:rsid w:val="360B7EBA"/>
    <w:rsid w:val="36531E13"/>
    <w:rsid w:val="369C32FD"/>
    <w:rsid w:val="36BE2F2F"/>
    <w:rsid w:val="373E2C0D"/>
    <w:rsid w:val="37666E72"/>
    <w:rsid w:val="37D921E5"/>
    <w:rsid w:val="37DE260D"/>
    <w:rsid w:val="37F848EE"/>
    <w:rsid w:val="38167A04"/>
    <w:rsid w:val="382A6AD6"/>
    <w:rsid w:val="382E2692"/>
    <w:rsid w:val="38A721D5"/>
    <w:rsid w:val="394B167A"/>
    <w:rsid w:val="398208CC"/>
    <w:rsid w:val="39DA2868"/>
    <w:rsid w:val="39E71BF2"/>
    <w:rsid w:val="3A206B2C"/>
    <w:rsid w:val="3A3E08B6"/>
    <w:rsid w:val="3A4C7A6C"/>
    <w:rsid w:val="3A4E4336"/>
    <w:rsid w:val="3A6007FE"/>
    <w:rsid w:val="3AB50498"/>
    <w:rsid w:val="3B1348BC"/>
    <w:rsid w:val="3B317155"/>
    <w:rsid w:val="3B7C2CE4"/>
    <w:rsid w:val="3B8F6A82"/>
    <w:rsid w:val="3C0B5355"/>
    <w:rsid w:val="3C12216A"/>
    <w:rsid w:val="3C603556"/>
    <w:rsid w:val="3C787D6A"/>
    <w:rsid w:val="3CD4176B"/>
    <w:rsid w:val="3CDA3CDD"/>
    <w:rsid w:val="3CEB3D70"/>
    <w:rsid w:val="3D1F44D9"/>
    <w:rsid w:val="3D3644E2"/>
    <w:rsid w:val="3D5C38CD"/>
    <w:rsid w:val="3D6E1D27"/>
    <w:rsid w:val="3DC36D01"/>
    <w:rsid w:val="3E007619"/>
    <w:rsid w:val="3E5070F1"/>
    <w:rsid w:val="3E8B061E"/>
    <w:rsid w:val="3EFE7213"/>
    <w:rsid w:val="3F0104D2"/>
    <w:rsid w:val="3F04666D"/>
    <w:rsid w:val="3F572DBD"/>
    <w:rsid w:val="3F6C3589"/>
    <w:rsid w:val="3F850180"/>
    <w:rsid w:val="3F9004D6"/>
    <w:rsid w:val="3F967F93"/>
    <w:rsid w:val="3FA64287"/>
    <w:rsid w:val="3FE73374"/>
    <w:rsid w:val="400E26BA"/>
    <w:rsid w:val="400E4D5E"/>
    <w:rsid w:val="40E1138C"/>
    <w:rsid w:val="410236AA"/>
    <w:rsid w:val="41184524"/>
    <w:rsid w:val="413814BA"/>
    <w:rsid w:val="41872511"/>
    <w:rsid w:val="418803E0"/>
    <w:rsid w:val="41B96BE3"/>
    <w:rsid w:val="42466655"/>
    <w:rsid w:val="42C82F57"/>
    <w:rsid w:val="432E3C17"/>
    <w:rsid w:val="434C1AB7"/>
    <w:rsid w:val="435707E5"/>
    <w:rsid w:val="438A5E60"/>
    <w:rsid w:val="43C76AF7"/>
    <w:rsid w:val="446828F0"/>
    <w:rsid w:val="45093E85"/>
    <w:rsid w:val="45291558"/>
    <w:rsid w:val="45C13B4D"/>
    <w:rsid w:val="46054BCA"/>
    <w:rsid w:val="46235D12"/>
    <w:rsid w:val="46447925"/>
    <w:rsid w:val="464C6AFC"/>
    <w:rsid w:val="468B0091"/>
    <w:rsid w:val="46A107C3"/>
    <w:rsid w:val="46B15CE2"/>
    <w:rsid w:val="46BE113D"/>
    <w:rsid w:val="46E44B13"/>
    <w:rsid w:val="4703508A"/>
    <w:rsid w:val="475023F8"/>
    <w:rsid w:val="475E44B5"/>
    <w:rsid w:val="4768239F"/>
    <w:rsid w:val="479D361E"/>
    <w:rsid w:val="47B74789"/>
    <w:rsid w:val="47D77B63"/>
    <w:rsid w:val="480F2B9D"/>
    <w:rsid w:val="48282920"/>
    <w:rsid w:val="48492EDB"/>
    <w:rsid w:val="485321E0"/>
    <w:rsid w:val="48546AD3"/>
    <w:rsid w:val="48CA4868"/>
    <w:rsid w:val="48CD6FC5"/>
    <w:rsid w:val="48F005D3"/>
    <w:rsid w:val="48FB45BE"/>
    <w:rsid w:val="49800463"/>
    <w:rsid w:val="498F4AF1"/>
    <w:rsid w:val="49C05787"/>
    <w:rsid w:val="49CF518D"/>
    <w:rsid w:val="49D0340C"/>
    <w:rsid w:val="4A054B02"/>
    <w:rsid w:val="4A743CE9"/>
    <w:rsid w:val="4AB2387D"/>
    <w:rsid w:val="4ADA1F63"/>
    <w:rsid w:val="4AE23D89"/>
    <w:rsid w:val="4B2038D0"/>
    <w:rsid w:val="4B296E7D"/>
    <w:rsid w:val="4B877F28"/>
    <w:rsid w:val="4BEF4DBE"/>
    <w:rsid w:val="4C211C2E"/>
    <w:rsid w:val="4C262EAE"/>
    <w:rsid w:val="4C891187"/>
    <w:rsid w:val="4CA02BF3"/>
    <w:rsid w:val="4D916BA6"/>
    <w:rsid w:val="4DC44169"/>
    <w:rsid w:val="4EC36F16"/>
    <w:rsid w:val="4EF0709E"/>
    <w:rsid w:val="4F0469A4"/>
    <w:rsid w:val="4F856531"/>
    <w:rsid w:val="50834F8C"/>
    <w:rsid w:val="512C73D2"/>
    <w:rsid w:val="513C6A7B"/>
    <w:rsid w:val="514E2635"/>
    <w:rsid w:val="51796E6F"/>
    <w:rsid w:val="51F52A2E"/>
    <w:rsid w:val="521956EA"/>
    <w:rsid w:val="52AE3552"/>
    <w:rsid w:val="52EF1589"/>
    <w:rsid w:val="532D486F"/>
    <w:rsid w:val="5333545B"/>
    <w:rsid w:val="5374690C"/>
    <w:rsid w:val="538D0E89"/>
    <w:rsid w:val="53EE6949"/>
    <w:rsid w:val="5450213C"/>
    <w:rsid w:val="54BB4AAB"/>
    <w:rsid w:val="54D24048"/>
    <w:rsid w:val="54D64CD5"/>
    <w:rsid w:val="55496C69"/>
    <w:rsid w:val="556A31C3"/>
    <w:rsid w:val="55887D69"/>
    <w:rsid w:val="55F12998"/>
    <w:rsid w:val="561A0928"/>
    <w:rsid w:val="56423872"/>
    <w:rsid w:val="56B279F0"/>
    <w:rsid w:val="56C84149"/>
    <w:rsid w:val="56E254A5"/>
    <w:rsid w:val="579D710E"/>
    <w:rsid w:val="58090325"/>
    <w:rsid w:val="581F22F6"/>
    <w:rsid w:val="586E1E17"/>
    <w:rsid w:val="587C3C57"/>
    <w:rsid w:val="58862C35"/>
    <w:rsid w:val="58C14957"/>
    <w:rsid w:val="58C7128F"/>
    <w:rsid w:val="58FE6765"/>
    <w:rsid w:val="590D5A26"/>
    <w:rsid w:val="59342844"/>
    <w:rsid w:val="59946046"/>
    <w:rsid w:val="5A6052B9"/>
    <w:rsid w:val="5ABD1D13"/>
    <w:rsid w:val="5AE83A50"/>
    <w:rsid w:val="5B353193"/>
    <w:rsid w:val="5BAB2917"/>
    <w:rsid w:val="5BFC33FA"/>
    <w:rsid w:val="5C3107A4"/>
    <w:rsid w:val="5C387CE7"/>
    <w:rsid w:val="5C3B1B93"/>
    <w:rsid w:val="5C9220DF"/>
    <w:rsid w:val="5CC073B3"/>
    <w:rsid w:val="5CE63335"/>
    <w:rsid w:val="5D4A15F3"/>
    <w:rsid w:val="5D69542A"/>
    <w:rsid w:val="5D783B72"/>
    <w:rsid w:val="5D7F2B8B"/>
    <w:rsid w:val="5E0930EF"/>
    <w:rsid w:val="5E396463"/>
    <w:rsid w:val="5E3D4D53"/>
    <w:rsid w:val="5E4717E6"/>
    <w:rsid w:val="5E4E7836"/>
    <w:rsid w:val="5E55774C"/>
    <w:rsid w:val="5E6D042C"/>
    <w:rsid w:val="5F074E2D"/>
    <w:rsid w:val="60045F96"/>
    <w:rsid w:val="60104DDC"/>
    <w:rsid w:val="605C0804"/>
    <w:rsid w:val="60BD7ED8"/>
    <w:rsid w:val="612B22A5"/>
    <w:rsid w:val="617672B1"/>
    <w:rsid w:val="6189617B"/>
    <w:rsid w:val="61A91B66"/>
    <w:rsid w:val="61AF576F"/>
    <w:rsid w:val="61B52BB6"/>
    <w:rsid w:val="61B749C2"/>
    <w:rsid w:val="62280D20"/>
    <w:rsid w:val="62CA2457"/>
    <w:rsid w:val="633839B4"/>
    <w:rsid w:val="638240A1"/>
    <w:rsid w:val="63833423"/>
    <w:rsid w:val="63A5257B"/>
    <w:rsid w:val="63BD3DCC"/>
    <w:rsid w:val="63C61741"/>
    <w:rsid w:val="64560967"/>
    <w:rsid w:val="656B1D10"/>
    <w:rsid w:val="65B841F9"/>
    <w:rsid w:val="65C74606"/>
    <w:rsid w:val="66022B28"/>
    <w:rsid w:val="664A38E2"/>
    <w:rsid w:val="66581E87"/>
    <w:rsid w:val="66FA11D5"/>
    <w:rsid w:val="674302C7"/>
    <w:rsid w:val="67BF57A9"/>
    <w:rsid w:val="680A5986"/>
    <w:rsid w:val="680D5F4B"/>
    <w:rsid w:val="68113F51"/>
    <w:rsid w:val="689B7AF3"/>
    <w:rsid w:val="68A9660D"/>
    <w:rsid w:val="68E94770"/>
    <w:rsid w:val="68F949C9"/>
    <w:rsid w:val="6911150F"/>
    <w:rsid w:val="693D31DF"/>
    <w:rsid w:val="69454787"/>
    <w:rsid w:val="695A4290"/>
    <w:rsid w:val="698638E4"/>
    <w:rsid w:val="69912115"/>
    <w:rsid w:val="69F35A42"/>
    <w:rsid w:val="6A334932"/>
    <w:rsid w:val="6A3353FF"/>
    <w:rsid w:val="6A5D63E6"/>
    <w:rsid w:val="6A5F24D1"/>
    <w:rsid w:val="6ACA7D81"/>
    <w:rsid w:val="6AE347EB"/>
    <w:rsid w:val="6B015715"/>
    <w:rsid w:val="6B1252E0"/>
    <w:rsid w:val="6B434AF0"/>
    <w:rsid w:val="6B57675A"/>
    <w:rsid w:val="6B63335C"/>
    <w:rsid w:val="6BB77FE6"/>
    <w:rsid w:val="6BDD7B4D"/>
    <w:rsid w:val="6C4F2D50"/>
    <w:rsid w:val="6D206841"/>
    <w:rsid w:val="6DAB4FF7"/>
    <w:rsid w:val="6DBB0CE8"/>
    <w:rsid w:val="6DEE3C71"/>
    <w:rsid w:val="6E59623F"/>
    <w:rsid w:val="6E5D3E0B"/>
    <w:rsid w:val="6EBC0B3A"/>
    <w:rsid w:val="6EEC06B7"/>
    <w:rsid w:val="6EF51C7D"/>
    <w:rsid w:val="6F0C6A0E"/>
    <w:rsid w:val="6F4C3467"/>
    <w:rsid w:val="6F600FAC"/>
    <w:rsid w:val="6F8363E5"/>
    <w:rsid w:val="6FC746F5"/>
    <w:rsid w:val="70003004"/>
    <w:rsid w:val="70317AC6"/>
    <w:rsid w:val="70863262"/>
    <w:rsid w:val="70930427"/>
    <w:rsid w:val="70A76ED3"/>
    <w:rsid w:val="70B92CDA"/>
    <w:rsid w:val="71045C43"/>
    <w:rsid w:val="71192D04"/>
    <w:rsid w:val="715426D6"/>
    <w:rsid w:val="71621BBD"/>
    <w:rsid w:val="71860B17"/>
    <w:rsid w:val="723B27CC"/>
    <w:rsid w:val="724812E0"/>
    <w:rsid w:val="72657242"/>
    <w:rsid w:val="72687227"/>
    <w:rsid w:val="72A03FD9"/>
    <w:rsid w:val="72E76E9F"/>
    <w:rsid w:val="73406CFF"/>
    <w:rsid w:val="7383028C"/>
    <w:rsid w:val="73922168"/>
    <w:rsid w:val="73A25E44"/>
    <w:rsid w:val="741F68CF"/>
    <w:rsid w:val="74895A91"/>
    <w:rsid w:val="75252DF3"/>
    <w:rsid w:val="75351F96"/>
    <w:rsid w:val="75621536"/>
    <w:rsid w:val="75BF3154"/>
    <w:rsid w:val="75C27B48"/>
    <w:rsid w:val="764A07CF"/>
    <w:rsid w:val="764F6B3D"/>
    <w:rsid w:val="768D479A"/>
    <w:rsid w:val="76CC62BF"/>
    <w:rsid w:val="76CD2B7B"/>
    <w:rsid w:val="76D80645"/>
    <w:rsid w:val="76E03371"/>
    <w:rsid w:val="774E695C"/>
    <w:rsid w:val="780E5898"/>
    <w:rsid w:val="782642CC"/>
    <w:rsid w:val="78590CF3"/>
    <w:rsid w:val="7894095E"/>
    <w:rsid w:val="78964555"/>
    <w:rsid w:val="78CF4963"/>
    <w:rsid w:val="79000679"/>
    <w:rsid w:val="79297BCF"/>
    <w:rsid w:val="79565B55"/>
    <w:rsid w:val="79851BC7"/>
    <w:rsid w:val="79A416F0"/>
    <w:rsid w:val="79B03EB6"/>
    <w:rsid w:val="7A1B488D"/>
    <w:rsid w:val="7A430D5B"/>
    <w:rsid w:val="7AE15A5C"/>
    <w:rsid w:val="7AF37579"/>
    <w:rsid w:val="7AF87F64"/>
    <w:rsid w:val="7B172E25"/>
    <w:rsid w:val="7B1C0C84"/>
    <w:rsid w:val="7B4056A4"/>
    <w:rsid w:val="7B5A62DF"/>
    <w:rsid w:val="7B7A04A8"/>
    <w:rsid w:val="7BAF703F"/>
    <w:rsid w:val="7C0C3F6D"/>
    <w:rsid w:val="7C22163C"/>
    <w:rsid w:val="7C457B4B"/>
    <w:rsid w:val="7C595075"/>
    <w:rsid w:val="7C6B07B2"/>
    <w:rsid w:val="7C800E24"/>
    <w:rsid w:val="7D133243"/>
    <w:rsid w:val="7D3B2BA1"/>
    <w:rsid w:val="7D945420"/>
    <w:rsid w:val="7DB703C3"/>
    <w:rsid w:val="7E394207"/>
    <w:rsid w:val="7E4007A2"/>
    <w:rsid w:val="7E791CAD"/>
    <w:rsid w:val="7EA50DFB"/>
    <w:rsid w:val="7EC86878"/>
    <w:rsid w:val="7EDE13F7"/>
    <w:rsid w:val="7F16390D"/>
    <w:rsid w:val="7F3174F6"/>
    <w:rsid w:val="7F752917"/>
    <w:rsid w:val="7FCE3CE7"/>
    <w:rsid w:val="7FE37961"/>
    <w:rsid w:val="7FEE25C4"/>
    <w:rsid w:val="7FF633F9"/>
    <w:rsid w:val="7FF84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2"/>
    <w:basedOn w:val="1"/>
    <w:qFormat/>
    <w:uiPriority w:val="0"/>
    <w:pPr>
      <w:spacing w:after="120" w:line="480" w:lineRule="auto"/>
    </w:p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semiHidden/>
    <w:unhideWhenUsed/>
    <w:qFormat/>
    <w:uiPriority w:val="99"/>
    <w:pPr>
      <w:jc w:val="left"/>
    </w:pPr>
  </w:style>
  <w:style w:type="paragraph" w:styleId="9">
    <w:name w:val="Body Text 3"/>
    <w:basedOn w:val="1"/>
    <w:link w:val="41"/>
    <w:unhideWhenUsed/>
    <w:qFormat/>
    <w:uiPriority w:val="99"/>
    <w:pPr>
      <w:spacing w:after="120"/>
    </w:pPr>
    <w:rPr>
      <w:sz w:val="16"/>
      <w:szCs w:val="16"/>
    </w:rPr>
  </w:style>
  <w:style w:type="paragraph" w:styleId="10">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6">
    <w:name w:val="Balloon Text"/>
    <w:basedOn w:val="1"/>
    <w:link w:val="36"/>
    <w:semiHidden/>
    <w:unhideWhenUsed/>
    <w:qFormat/>
    <w:uiPriority w:val="99"/>
    <w:rPr>
      <w:sz w:val="18"/>
      <w:szCs w:val="18"/>
    </w:rPr>
  </w:style>
  <w:style w:type="paragraph" w:styleId="17">
    <w:name w:val="footer"/>
    <w:basedOn w:val="1"/>
    <w:link w:val="30"/>
    <w:unhideWhenUsed/>
    <w:qFormat/>
    <w:uiPriority w:val="99"/>
    <w:pPr>
      <w:tabs>
        <w:tab w:val="center" w:pos="4153"/>
        <w:tab w:val="right" w:pos="8306"/>
      </w:tabs>
      <w:snapToGrid w:val="0"/>
      <w:jc w:val="left"/>
    </w:pPr>
    <w:rPr>
      <w:sz w:val="18"/>
      <w:szCs w:val="18"/>
    </w:rPr>
  </w:style>
  <w:style w:type="paragraph" w:styleId="18">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22">
    <w:name w:val="Body Text First Indent 2"/>
    <w:basedOn w:val="10"/>
    <w:qFormat/>
    <w:uiPriority w:val="0"/>
    <w:pPr>
      <w:adjustRightInd w:val="0"/>
      <w:spacing w:line="360" w:lineRule="auto"/>
      <w:ind w:left="0" w:leftChars="0" w:firstLine="420"/>
      <w:textAlignment w:val="baseline"/>
    </w:pPr>
    <w:rPr>
      <w:rFonts w:eastAsia="等线" w:cs="Times New Roman"/>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basedOn w:val="25"/>
    <w:qFormat/>
    <w:uiPriority w:val="22"/>
    <w:rPr>
      <w:rFonts w:eastAsia="宋体"/>
      <w:b/>
      <w:bCs/>
      <w:kern w:val="2"/>
      <w:sz w:val="24"/>
      <w:szCs w:val="24"/>
      <w:lang w:val="en-US" w:eastAsia="zh-CN" w:bidi="ar-SA"/>
    </w:rPr>
  </w:style>
  <w:style w:type="character" w:styleId="27">
    <w:name w:val="page number"/>
    <w:basedOn w:val="25"/>
    <w:qFormat/>
    <w:uiPriority w:val="0"/>
  </w:style>
  <w:style w:type="character" w:styleId="28">
    <w:name w:val="Hyperlink"/>
    <w:basedOn w:val="25"/>
    <w:unhideWhenUsed/>
    <w:qFormat/>
    <w:uiPriority w:val="99"/>
    <w:rPr>
      <w:color w:val="0000FF" w:themeColor="hyperlink"/>
      <w:u w:val="single"/>
      <w14:textFill>
        <w14:solidFill>
          <w14:schemeClr w14:val="hlink"/>
        </w14:solidFill>
      </w14:textFill>
    </w:rPr>
  </w:style>
  <w:style w:type="character" w:customStyle="1" w:styleId="29">
    <w:name w:val="页眉 Char"/>
    <w:basedOn w:val="25"/>
    <w:link w:val="18"/>
    <w:semiHidden/>
    <w:qFormat/>
    <w:uiPriority w:val="99"/>
    <w:rPr>
      <w:sz w:val="18"/>
      <w:szCs w:val="18"/>
    </w:rPr>
  </w:style>
  <w:style w:type="character" w:customStyle="1" w:styleId="30">
    <w:name w:val="页脚 Char"/>
    <w:basedOn w:val="25"/>
    <w:link w:val="17"/>
    <w:qFormat/>
    <w:uiPriority w:val="99"/>
    <w:rPr>
      <w:sz w:val="18"/>
      <w:szCs w:val="18"/>
    </w:rPr>
  </w:style>
  <w:style w:type="character" w:customStyle="1" w:styleId="31">
    <w:name w:val="标题 1 Char"/>
    <w:basedOn w:val="25"/>
    <w:link w:val="4"/>
    <w:qFormat/>
    <w:uiPriority w:val="9"/>
    <w:rPr>
      <w:rFonts w:eastAsia="方正小标宋简体"/>
      <w:bCs/>
      <w:kern w:val="44"/>
      <w:sz w:val="44"/>
      <w:szCs w:val="44"/>
    </w:rPr>
  </w:style>
  <w:style w:type="character" w:customStyle="1" w:styleId="32">
    <w:name w:val="标题 2 Char"/>
    <w:basedOn w:val="25"/>
    <w:link w:val="5"/>
    <w:qFormat/>
    <w:uiPriority w:val="9"/>
    <w:rPr>
      <w:rFonts w:eastAsia="方正小标宋简体" w:asciiTheme="majorHAnsi" w:hAnsiTheme="majorHAnsi" w:cstheme="majorBidi"/>
      <w:bCs/>
      <w:sz w:val="36"/>
      <w:szCs w:val="32"/>
    </w:rPr>
  </w:style>
  <w:style w:type="character" w:customStyle="1" w:styleId="33">
    <w:name w:val="标题 3 Char"/>
    <w:basedOn w:val="25"/>
    <w:link w:val="6"/>
    <w:qFormat/>
    <w:uiPriority w:val="9"/>
    <w:rPr>
      <w:rFonts w:ascii="Calibri" w:hAnsi="Calibri" w:eastAsia="宋体" w:cs="Times New Roman"/>
      <w:b/>
      <w:bCs/>
      <w:sz w:val="32"/>
      <w:szCs w:val="32"/>
    </w:rPr>
  </w:style>
  <w:style w:type="paragraph" w:styleId="34">
    <w:name w:val="List Paragraph"/>
    <w:basedOn w:val="1"/>
    <w:link w:val="42"/>
    <w:qFormat/>
    <w:uiPriority w:val="34"/>
    <w:pPr>
      <w:ind w:firstLine="420" w:firstLineChars="200"/>
    </w:pPr>
  </w:style>
  <w:style w:type="paragraph" w:customStyle="1" w:styleId="35">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25"/>
    <w:link w:val="16"/>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3"/>
    <w:next w:val="13"/>
    <w:qFormat/>
    <w:uiPriority w:val="0"/>
    <w:pPr>
      <w:spacing w:after="373"/>
    </w:pPr>
    <w:rPr>
      <w:color w:val="auto"/>
    </w:rPr>
  </w:style>
  <w:style w:type="paragraph" w:customStyle="1" w:styleId="39">
    <w:name w:val="CM91"/>
    <w:basedOn w:val="13"/>
    <w:next w:val="13"/>
    <w:qFormat/>
    <w:uiPriority w:val="0"/>
    <w:pPr>
      <w:spacing w:after="160"/>
    </w:pPr>
    <w:rPr>
      <w:color w:val="auto"/>
    </w:rPr>
  </w:style>
  <w:style w:type="character" w:customStyle="1" w:styleId="40">
    <w:name w:val="正文文本 3 Char"/>
    <w:link w:val="9"/>
    <w:qFormat/>
    <w:uiPriority w:val="99"/>
    <w:rPr>
      <w:sz w:val="16"/>
      <w:szCs w:val="16"/>
    </w:rPr>
  </w:style>
  <w:style w:type="character" w:customStyle="1" w:styleId="41">
    <w:name w:val="正文文本 3 Char1"/>
    <w:basedOn w:val="25"/>
    <w:link w:val="9"/>
    <w:semiHidden/>
    <w:qFormat/>
    <w:uiPriority w:val="99"/>
    <w:rPr>
      <w:sz w:val="16"/>
      <w:szCs w:val="16"/>
    </w:rPr>
  </w:style>
  <w:style w:type="character" w:customStyle="1" w:styleId="42">
    <w:name w:val="列出段落 Char"/>
    <w:link w:val="34"/>
    <w:qFormat/>
    <w:uiPriority w:val="34"/>
  </w:style>
  <w:style w:type="paragraph" w:customStyle="1" w:styleId="43">
    <w:name w:val="1"/>
    <w:basedOn w:val="1"/>
    <w:next w:val="12"/>
    <w:qFormat/>
    <w:uiPriority w:val="99"/>
    <w:pPr>
      <w:widowControl w:val="0"/>
      <w:jc w:val="both"/>
    </w:pPr>
    <w:rPr>
      <w:rFonts w:ascii="宋体" w:hAnsi="Courier New"/>
      <w:kern w:val="2"/>
    </w:rPr>
  </w:style>
  <w:style w:type="paragraph" w:customStyle="1" w:styleId="44">
    <w:name w:val="WPSOffice手动目录 1"/>
    <w:qFormat/>
    <w:uiPriority w:val="0"/>
    <w:pPr>
      <w:ind w:leftChars="0"/>
    </w:pPr>
    <w:rPr>
      <w:rFonts w:asciiTheme="minorHAnsi" w:hAnsiTheme="minorHAnsi" w:eastAsiaTheme="minorEastAsia" w:cstheme="minorBidi"/>
      <w:sz w:val="20"/>
      <w:szCs w:val="20"/>
    </w:rPr>
  </w:style>
  <w:style w:type="paragraph" w:customStyle="1" w:styleId="45">
    <w:name w:val="WPSOffice手动目录 2"/>
    <w:qFormat/>
    <w:uiPriority w:val="0"/>
    <w:pPr>
      <w:ind w:leftChars="200"/>
    </w:pPr>
    <w:rPr>
      <w:rFonts w:asciiTheme="minorHAnsi" w:hAnsiTheme="minorHAnsi" w:eastAsiaTheme="minorEastAsia" w:cstheme="minorBidi"/>
      <w:sz w:val="20"/>
      <w:szCs w:val="20"/>
    </w:rPr>
  </w:style>
  <w:style w:type="paragraph" w:customStyle="1" w:styleId="46">
    <w:name w:val="WPSOffice手动目录 3"/>
    <w:qFormat/>
    <w:uiPriority w:val="0"/>
    <w:pPr>
      <w:ind w:leftChars="400"/>
    </w:pPr>
    <w:rPr>
      <w:rFonts w:asciiTheme="minorHAnsi" w:hAnsiTheme="minorHAnsi" w:eastAsiaTheme="minorEastAsia" w:cstheme="minorBidi"/>
      <w:sz w:val="20"/>
      <w:szCs w:val="20"/>
    </w:rPr>
  </w:style>
  <w:style w:type="paragraph" w:customStyle="1" w:styleId="47">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95</Pages>
  <Words>29595</Words>
  <Characters>31218</Characters>
  <Lines>300</Lines>
  <Paragraphs>84</Paragraphs>
  <TotalTime>7</TotalTime>
  <ScaleCrop>false</ScaleCrop>
  <LinksUpToDate>false</LinksUpToDate>
  <CharactersWithSpaces>35758</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肖汝婷</cp:lastModifiedBy>
  <cp:lastPrinted>2023-01-12T09:15:00Z</cp:lastPrinted>
  <dcterms:modified xsi:type="dcterms:W3CDTF">2023-01-29T08:26:18Z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557D5D15EDB74905B017511DB5A827B7</vt:lpwstr>
  </property>
</Properties>
</file>