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52"/>
          <w:szCs w:val="52"/>
        </w:rPr>
      </w:pPr>
    </w:p>
    <w:p>
      <w:pPr>
        <w:jc w:val="both"/>
        <w:rPr>
          <w:rFonts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石井分公司2022年厂区烟感报警器安装项目（第二次）</w:t>
      </w:r>
    </w:p>
    <w:p>
      <w:pPr>
        <w:pStyle w:val="22"/>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ind w:left="0" w:leftChars="0" w:firstLine="0" w:firstLineChars="0"/>
        <w:rPr>
          <w:rFonts w:ascii="仿宋_GB2312" w:eastAsia="仿宋_GB2312"/>
          <w:sz w:val="32"/>
          <w:szCs w:val="32"/>
        </w:rPr>
      </w:pPr>
    </w:p>
    <w:p>
      <w:pPr>
        <w:jc w:val="center"/>
        <w:rPr>
          <w:rFonts w:ascii="黑体" w:hAnsi="黑体" w:eastAsia="黑体" w:cs="仿宋_GB2312"/>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2"/>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696"/>
      <w:bookmarkStart w:id="3" w:name="_Toc1711"/>
    </w:p>
    <w:p/>
    <w:p>
      <w:pPr>
        <w:pStyle w:val="22"/>
      </w:pPr>
    </w:p>
    <w:p>
      <w:pPr>
        <w:pStyle w:val="22"/>
      </w:pPr>
    </w:p>
    <w:p>
      <w:pPr>
        <w:pStyle w:val="22"/>
      </w:pPr>
    </w:p>
    <w:p>
      <w:pPr>
        <w:pStyle w:val="22"/>
      </w:pPr>
    </w:p>
    <w:p>
      <w:pPr>
        <w:pStyle w:val="3"/>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start="1"/>
          <w:cols w:space="425" w:num="1"/>
          <w:titlePg/>
          <w:docGrid w:type="lines" w:linePitch="312" w:charSpace="0"/>
        </w:sectPr>
      </w:pPr>
      <w:bookmarkStart w:id="4" w:name="_Toc19609"/>
      <w:bookmarkStart w:id="5" w:name="_Toc7519"/>
      <w:bookmarkStart w:id="6" w:name="_Toc11322"/>
      <w:bookmarkStart w:id="7" w:name="_Toc31938"/>
      <w:bookmarkStart w:id="8" w:name="_Toc4275"/>
      <w:bookmarkStart w:id="9" w:name="_Toc1669"/>
      <w:bookmarkStart w:id="10" w:name="_Toc17801"/>
    </w:p>
    <w:p/>
    <w:p>
      <w:pPr>
        <w:pStyle w:val="3"/>
      </w:pPr>
    </w:p>
    <w:p>
      <w:pPr>
        <w:pStyle w:val="3"/>
      </w:pPr>
    </w:p>
    <w:p>
      <w:pPr>
        <w:pStyle w:val="3"/>
      </w:pPr>
      <w:r>
        <mc:AlternateContent>
          <mc:Choice Requires="wps">
            <w:drawing>
              <wp:anchor distT="0" distB="0" distL="114300" distR="114300" simplePos="0" relativeHeight="251671552"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1552;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 xml:space="preserve"> 第一章</w:t>
      </w:r>
      <w:bookmarkEnd w:id="0"/>
      <w:bookmarkEnd w:id="1"/>
      <w:bookmarkEnd w:id="2"/>
      <w:bookmarkEnd w:id="3"/>
      <w:bookmarkEnd w:id="4"/>
      <w:bookmarkEnd w:id="5"/>
      <w:bookmarkEnd w:id="6"/>
      <w:bookmarkEnd w:id="7"/>
      <w:bookmarkEnd w:id="8"/>
      <w:bookmarkEnd w:id="9"/>
      <w:bookmarkEnd w:id="10"/>
    </w:p>
    <w:p>
      <w:pPr>
        <w:pStyle w:val="38"/>
      </w:pPr>
    </w:p>
    <w:p>
      <w:pPr>
        <w:pStyle w:val="3"/>
      </w:pPr>
      <w:bookmarkStart w:id="11" w:name="_Toc999"/>
      <w:bookmarkStart w:id="12" w:name="_Toc5230"/>
      <w:bookmarkStart w:id="13" w:name="_Toc88209924"/>
      <w:bookmarkStart w:id="14" w:name="_Toc30989"/>
      <w:bookmarkStart w:id="15" w:name="_Toc8201"/>
      <w:bookmarkStart w:id="16" w:name="_Toc15709"/>
      <w:bookmarkStart w:id="17" w:name="_Toc30131"/>
      <w:bookmarkStart w:id="18" w:name="_Toc14238"/>
      <w:bookmarkStart w:id="19" w:name="_Toc10122"/>
      <w:bookmarkStart w:id="20" w:name="_Toc26363"/>
      <w:bookmarkStart w:id="21" w:name="_Toc2659"/>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ind w:firstLine="9840" w:firstLineChars="4100"/>
        <w:jc w:val="left"/>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适用于纸质评审的公开采购方式</w:t>
      </w:r>
      <w:bookmarkStart w:id="23" w:name="_Toc21373"/>
      <w:bookmarkStart w:id="24" w:name="_Toc9680"/>
    </w:p>
    <w:p>
      <w:pPr>
        <w:spacing w:line="600" w:lineRule="exact"/>
        <w:jc w:val="center"/>
        <w:rPr>
          <w:rFonts w:hint="eastAsia" w:eastAsia="方正小标宋简体" w:asciiTheme="majorHAnsi" w:hAnsiTheme="majorHAnsi" w:cstheme="majorBidi"/>
          <w:bCs/>
          <w:sz w:val="36"/>
          <w:szCs w:val="32"/>
          <w:lang w:val="en-US" w:eastAsia="zh-CN"/>
        </w:rPr>
      </w:pPr>
      <w:r>
        <w:rPr>
          <w:rFonts w:hint="eastAsia" w:eastAsia="方正小标宋简体" w:asciiTheme="majorHAnsi" w:hAnsiTheme="majorHAnsi" w:cstheme="majorBidi"/>
          <w:bCs/>
          <w:sz w:val="36"/>
          <w:szCs w:val="32"/>
        </w:rPr>
        <w:t>广州市净水有限公司</w:t>
      </w:r>
      <w:r>
        <w:rPr>
          <w:rFonts w:hint="eastAsia" w:eastAsia="方正小标宋简体" w:asciiTheme="majorHAnsi" w:hAnsiTheme="majorHAnsi" w:cstheme="majorBidi"/>
          <w:bCs/>
          <w:sz w:val="36"/>
          <w:szCs w:val="32"/>
          <w:lang w:val="en-US" w:eastAsia="zh-CN"/>
        </w:rPr>
        <w:t>石井分公司2022年厂区</w:t>
      </w:r>
    </w:p>
    <w:p>
      <w:pPr>
        <w:spacing w:line="600" w:lineRule="exact"/>
        <w:jc w:val="center"/>
      </w:pPr>
      <w:r>
        <w:rPr>
          <w:rFonts w:hint="eastAsia" w:eastAsia="方正小标宋简体" w:asciiTheme="majorHAnsi" w:hAnsiTheme="majorHAnsi" w:cstheme="majorBidi"/>
          <w:bCs/>
          <w:sz w:val="36"/>
          <w:szCs w:val="32"/>
          <w:lang w:val="en-US" w:eastAsia="zh-CN"/>
        </w:rPr>
        <w:t>烟感报警器安装项目（第二次）</w:t>
      </w:r>
      <w:r>
        <w:rPr>
          <w:rFonts w:hint="eastAsia" w:eastAsia="方正小标宋简体" w:asciiTheme="majorHAnsi" w:hAnsiTheme="majorHAnsi" w:cstheme="majorBidi"/>
          <w:bCs/>
          <w:sz w:val="36"/>
          <w:szCs w:val="32"/>
        </w:rPr>
        <w:t>采购公告</w:t>
      </w:r>
      <w:bookmarkEnd w:id="23"/>
      <w:bookmarkEnd w:id="24"/>
    </w:p>
    <w:p>
      <w:pPr>
        <w:adjustRightInd w:val="0"/>
        <w:snapToGrid w:val="0"/>
        <w:spacing w:line="60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石井分公司2022年厂区烟感报警器安装项目（第二次）</w:t>
      </w:r>
      <w:r>
        <w:rPr>
          <w:rFonts w:hint="eastAsia" w:ascii="仿宋" w:hAnsi="仿宋" w:eastAsia="仿宋" w:cs="仿宋"/>
          <w:sz w:val="28"/>
          <w:szCs w:val="28"/>
        </w:rPr>
        <w:t>已具备采购条件，现对该☑施工  □货物 □服务项目实施公开采购活动，采用</w:t>
      </w:r>
      <w:r>
        <w:rPr>
          <w:rFonts w:hint="eastAsia" w:ascii="仿宋" w:hAnsi="仿宋" w:eastAsia="仿宋" w:cs="仿宋"/>
          <w:sz w:val="28"/>
          <w:szCs w:val="28"/>
          <w:u w:val="single"/>
        </w:rPr>
        <w:t>□邀请询比 ☑公开询比</w:t>
      </w:r>
      <w:r>
        <w:rPr>
          <w:rFonts w:hint="eastAsia" w:ascii="仿宋" w:hAnsi="仿宋" w:eastAsia="仿宋" w:cs="仿宋"/>
          <w:sz w:val="28"/>
          <w:szCs w:val="28"/>
        </w:rPr>
        <w:t>的方式公开邀请合格供应商参加本项目采购活动。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石井分公司2022年厂区烟感报警器安装项目（第二次）</w:t>
      </w:r>
    </w:p>
    <w:p>
      <w:pPr>
        <w:adjustRightInd w:val="0"/>
        <w:snapToGrid w:val="0"/>
        <w:spacing w:line="600" w:lineRule="exact"/>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1.2项目编号：</w:t>
      </w:r>
      <w:r>
        <w:rPr>
          <w:rFonts w:hint="eastAsia" w:ascii="仿宋" w:hAnsi="仿宋" w:eastAsia="仿宋" w:cs="仿宋"/>
          <w:sz w:val="28"/>
          <w:szCs w:val="28"/>
          <w:u w:val="single"/>
          <w:lang w:val="en-US" w:eastAsia="zh-CN"/>
        </w:rPr>
        <w:t>XJ-20230120-2</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自有资金</w:t>
      </w:r>
    </w:p>
    <w:p>
      <w:pPr>
        <w:autoSpaceDE w:val="0"/>
        <w:autoSpaceDN w:val="0"/>
        <w:ind w:firstLine="0" w:firstLineChars="0"/>
        <w:rPr>
          <w:rFonts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lang w:val="en-US" w:eastAsia="zh-CN"/>
        </w:rPr>
        <w:t>114458.83</w:t>
      </w:r>
      <w:r>
        <w:rPr>
          <w:rFonts w:hint="eastAsia" w:ascii="仿宋" w:hAnsi="仿宋" w:eastAsia="仿宋" w:cs="仿宋"/>
          <w:sz w:val="28"/>
          <w:szCs w:val="28"/>
          <w:u w:val="single"/>
        </w:rPr>
        <w:t>元（人民币）（不含税工程造价为</w:t>
      </w:r>
      <w:r>
        <w:rPr>
          <w:rFonts w:hint="eastAsia" w:ascii="仿宋" w:hAnsi="仿宋" w:eastAsia="仿宋" w:cs="仿宋"/>
          <w:sz w:val="28"/>
          <w:szCs w:val="28"/>
          <w:u w:val="single"/>
          <w:lang w:val="en-US" w:eastAsia="zh-CN"/>
        </w:rPr>
        <w:t>105008.1</w:t>
      </w:r>
      <w:r>
        <w:rPr>
          <w:rFonts w:hint="eastAsia" w:ascii="仿宋" w:hAnsi="仿宋" w:eastAsia="仿宋" w:cs="仿宋"/>
          <w:sz w:val="28"/>
          <w:szCs w:val="28"/>
          <w:u w:val="single"/>
        </w:rPr>
        <w:t>元，税率为9%，绿色施工安全防护措施费为</w:t>
      </w:r>
      <w:r>
        <w:rPr>
          <w:rFonts w:hint="eastAsia" w:ascii="仿宋" w:hAnsi="仿宋" w:eastAsia="仿宋" w:cs="仿宋"/>
          <w:sz w:val="28"/>
          <w:szCs w:val="28"/>
          <w:u w:val="single"/>
          <w:lang w:val="en-US" w:eastAsia="zh-CN"/>
        </w:rPr>
        <w:t>5300.34</w:t>
      </w:r>
      <w:r>
        <w:rPr>
          <w:rFonts w:hint="eastAsia" w:ascii="仿宋" w:hAnsi="仿宋" w:eastAsia="仿宋" w:cs="仿宋"/>
          <w:sz w:val="28"/>
          <w:szCs w:val="28"/>
          <w:u w:val="single"/>
        </w:rPr>
        <w:t>元，暂列金额为</w:t>
      </w:r>
      <w:r>
        <w:rPr>
          <w:rFonts w:hint="eastAsia" w:ascii="仿宋" w:hAnsi="仿宋" w:eastAsia="仿宋" w:cs="仿宋"/>
          <w:sz w:val="28"/>
          <w:szCs w:val="28"/>
          <w:u w:val="single"/>
          <w:lang w:val="en-US" w:eastAsia="zh-CN"/>
        </w:rPr>
        <w:t>8867.57</w:t>
      </w:r>
      <w:r>
        <w:rPr>
          <w:rFonts w:hint="eastAsia" w:ascii="仿宋" w:hAnsi="仿宋" w:eastAsia="仿宋" w:cs="仿宋"/>
          <w:sz w:val="28"/>
          <w:szCs w:val="28"/>
          <w:u w:val="single"/>
        </w:rPr>
        <w:t>元）。</w:t>
      </w:r>
      <w:r>
        <w:rPr>
          <w:rFonts w:hint="eastAsia" w:ascii="仿宋" w:hAnsi="仿宋" w:eastAsia="仿宋" w:cs="仿宋"/>
          <w:b/>
          <w:bCs/>
          <w:sz w:val="28"/>
          <w:szCs w:val="28"/>
          <w:lang w:val="zh-CN"/>
        </w:rPr>
        <w:t>绿色施工安全防护措施费</w:t>
      </w:r>
      <w:r>
        <w:rPr>
          <w:rFonts w:hint="eastAsia" w:ascii="仿宋" w:hAnsi="仿宋" w:eastAsia="仿宋" w:cs="仿宋"/>
          <w:b/>
          <w:bCs/>
          <w:sz w:val="28"/>
          <w:szCs w:val="28"/>
        </w:rPr>
        <w:t>及暂列金</w:t>
      </w:r>
      <w:r>
        <w:rPr>
          <w:rFonts w:hint="eastAsia" w:ascii="仿宋" w:hAnsi="仿宋" w:eastAsia="仿宋" w:cs="仿宋"/>
          <w:b/>
          <w:bCs/>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u w:val="single"/>
        </w:rPr>
        <w:t xml:space="preserve">     /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ascii="仿宋" w:hAnsi="仿宋" w:eastAsia="仿宋" w:cs="仿宋"/>
          <w:kern w:val="0"/>
          <w:sz w:val="28"/>
          <w:szCs w:val="28"/>
        </w:rPr>
      </w:pPr>
      <w:r>
        <w:rPr>
          <w:rFonts w:hint="eastAsia" w:ascii="仿宋" w:hAnsi="仿宋" w:eastAsia="仿宋" w:cs="仿宋"/>
          <w:kern w:val="0"/>
          <w:sz w:val="28"/>
          <w:szCs w:val="28"/>
        </w:rPr>
        <w:t>2.1采购内容和范围：</w:t>
      </w:r>
    </w:p>
    <w:p>
      <w:pPr>
        <w:pStyle w:val="22"/>
        <w:numPr>
          <w:ilvl w:val="0"/>
          <w:numId w:val="0"/>
        </w:numPr>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对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2.2项目工期：☑计划工期   □交货期  □服务期为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0天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2.3地点：☑建设地点  □交货地点  □服务地点位于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广州市净水有限公司石井分公司</w:t>
      </w:r>
      <w:r>
        <w:rPr>
          <w:rFonts w:hint="eastAsia" w:ascii="仿宋" w:hAnsi="仿宋" w:eastAsia="仿宋" w:cs="仿宋"/>
          <w:sz w:val="28"/>
          <w:szCs w:val="28"/>
          <w:u w:val="single"/>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2.4质量要求：☑施工质量要求   □货物质量标准或主要技术性能指标  □服务质量要求或服务标准如下：</w:t>
      </w:r>
      <w:r>
        <w:rPr>
          <w:rFonts w:hint="eastAsia" w:ascii="仿宋" w:hAnsi="仿宋" w:eastAsia="仿宋" w:cs="仿宋"/>
          <w:sz w:val="28"/>
          <w:szCs w:val="28"/>
          <w:u w:val="single"/>
        </w:rPr>
        <w:t xml:space="preserve">  按合同条款和有关技术标准规范进行验收。使用的各种材料必须符合设计和有关技术标准规范要求。                        </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☑（2）供应商应当具备具有</w:t>
      </w:r>
      <w:r>
        <w:rPr>
          <w:rFonts w:hint="eastAsia" w:ascii="仿宋" w:hAnsi="仿宋" w:eastAsia="仿宋" w:cs="仿宋"/>
          <w:sz w:val="28"/>
          <w:szCs w:val="28"/>
          <w:highlight w:val="none"/>
          <w:lang w:val="en-US" w:eastAsia="zh-CN"/>
        </w:rPr>
        <w:t>消防设施工程专业承包二级</w:t>
      </w:r>
      <w:r>
        <w:rPr>
          <w:rFonts w:hint="eastAsia" w:ascii="仿宋" w:hAnsi="仿宋" w:eastAsia="仿宋" w:cs="仿宋"/>
          <w:sz w:val="28"/>
          <w:szCs w:val="28"/>
          <w:highlight w:val="none"/>
        </w:rPr>
        <w:t>（或以上）资质，具有建设主管部门颁发且在有效期内的《安全生产许可证》资质。</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年1月1日至今，供应商最少具有一项</w:t>
      </w:r>
      <w:r>
        <w:rPr>
          <w:rFonts w:hint="eastAsia" w:ascii="仿宋" w:hAnsi="仿宋" w:eastAsia="仿宋" w:cs="仿宋"/>
          <w:sz w:val="28"/>
          <w:szCs w:val="28"/>
          <w:u w:val="single"/>
        </w:rPr>
        <w:t xml:space="preserve">      </w:t>
      </w:r>
      <w:r>
        <w:rPr>
          <w:rFonts w:hint="eastAsia" w:ascii="仿宋" w:hAnsi="仿宋" w:eastAsia="仿宋" w:cs="仿宋"/>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4）项目负责人应当具备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 w:hAnsi="仿宋" w:eastAsia="仿宋" w:cs="仿宋"/>
          <w:sz w:val="28"/>
          <w:szCs w:val="28"/>
          <w:lang w:val="zh-CN"/>
        </w:rPr>
        <w:t>广东省外注册的二级建造师人员暂不能在我省执业</w:t>
      </w:r>
      <w:r>
        <w:rPr>
          <w:rFonts w:hint="eastAsia" w:ascii="仿宋" w:hAnsi="仿宋" w:eastAsia="仿宋" w:cs="仿宋"/>
          <w:sz w:val="28"/>
          <w:szCs w:val="28"/>
        </w:rPr>
        <w:t>资格条件。</w:t>
      </w:r>
    </w:p>
    <w:p>
      <w:pPr>
        <w:pStyle w:val="22"/>
        <w:spacing w:line="600" w:lineRule="exact"/>
        <w:ind w:firstLine="0"/>
        <w:jc w:val="left"/>
        <w:rPr>
          <w:rFonts w:ascii="仿宋" w:hAnsi="仿宋" w:eastAsia="仿宋" w:cs="仿宋"/>
          <w:sz w:val="28"/>
          <w:szCs w:val="28"/>
          <w:u w:val="single"/>
        </w:rPr>
      </w:pPr>
      <w:r>
        <w:rPr>
          <w:rFonts w:hint="eastAsia" w:ascii="仿宋" w:hAnsi="仿宋" w:eastAsia="仿宋" w:cs="仿宋"/>
          <w:sz w:val="28"/>
          <w:szCs w:val="28"/>
        </w:rPr>
        <w:t xml:space="preserve">☑（5）其他要求：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3.3本次项目不接受联合体参加采购活动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28</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2023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日（北京时间）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广州市净水有限公司门户网站</w:t>
      </w:r>
      <w:r>
        <w:rPr>
          <w:rFonts w:hint="eastAsia" w:ascii="仿宋" w:hAnsi="仿宋" w:eastAsia="仿宋" w:cs="仿宋"/>
          <w:sz w:val="28"/>
          <w:szCs w:val="28"/>
        </w:rPr>
        <w:t xml:space="preserve">下载采购文件。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☑不组织</w:t>
      </w:r>
    </w:p>
    <w:p>
      <w:pPr>
        <w:adjustRightInd w:val="0"/>
        <w:snapToGrid w:val="0"/>
        <w:spacing w:line="360" w:lineRule="auto"/>
        <w:rPr>
          <w:rFonts w:ascii="仿宋" w:hAnsi="仿宋" w:eastAsia="仿宋" w:cs="仿宋"/>
          <w:b/>
          <w:sz w:val="32"/>
          <w:szCs w:val="32"/>
        </w:rPr>
      </w:pPr>
      <w:r>
        <w:rPr>
          <w:rFonts w:hint="eastAsia" w:ascii="仿宋" w:hAnsi="仿宋" w:eastAsia="仿宋" w:cs="仿宋"/>
          <w:sz w:val="28"/>
          <w:szCs w:val="28"/>
        </w:rPr>
        <w:t>□组织：</w:t>
      </w:r>
      <w:r>
        <w:rPr>
          <w:rFonts w:hint="eastAsia" w:ascii="仿宋" w:hAnsi="仿宋" w:eastAsia="仿宋" w:cs="仿宋"/>
          <w:color w:val="000000" w:themeColor="text1"/>
          <w:sz w:val="28"/>
          <w:szCs w:val="28"/>
          <w14:textFill>
            <w14:solidFill>
              <w14:schemeClr w14:val="tx1"/>
            </w14:solidFill>
          </w14:textFill>
        </w:rPr>
        <w:t>供应商可</w:t>
      </w:r>
      <w:r>
        <w:rPr>
          <w:rFonts w:hint="eastAsia" w:ascii="仿宋" w:hAnsi="仿宋" w:eastAsia="仿宋" w:cs="仿宋"/>
          <w:color w:val="000000" w:themeColor="text1"/>
          <w:sz w:val="28"/>
          <w:szCs w:val="28"/>
          <w:lang w:val="zh-CN"/>
          <w14:textFill>
            <w14:solidFill>
              <w14:schemeClr w14:val="tx1"/>
            </w14:solidFill>
          </w14:textFill>
        </w:rPr>
        <w:t>自行</w:t>
      </w:r>
      <w:r>
        <w:rPr>
          <w:rFonts w:hint="eastAsia" w:ascii="仿宋" w:hAnsi="仿宋" w:eastAsia="仿宋" w:cs="仿宋"/>
          <w:color w:val="000000" w:themeColor="text1"/>
          <w:sz w:val="28"/>
          <w:szCs w:val="28"/>
          <w14:textFill>
            <w14:solidFill>
              <w14:schemeClr w14:val="tx1"/>
            </w14:solidFill>
          </w14:textFill>
        </w:rPr>
        <w:t>选择是否前往现场踏勘</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若前往现场踏勘须在规定时间内到达集中地点，逾期不再接待</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sz w:val="28"/>
          <w:szCs w:val="28"/>
        </w:rPr>
        <w:t xml:space="preserve">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6.1递交响应文件截止时间：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2023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2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2 </w:t>
      </w:r>
      <w:r>
        <w:rPr>
          <w:rFonts w:hint="eastAsia" w:ascii="仿宋" w:hAnsi="仿宋" w:eastAsia="仿宋" w:cs="仿宋"/>
          <w:sz w:val="28"/>
          <w:szCs w:val="28"/>
        </w:rPr>
        <w:t>日</w:t>
      </w:r>
      <w:r>
        <w:rPr>
          <w:rFonts w:hint="eastAsia" w:ascii="仿宋" w:hAnsi="仿宋" w:eastAsia="仿宋" w:cs="仿宋"/>
          <w:sz w:val="28"/>
          <w:szCs w:val="28"/>
          <w:u w:val="single"/>
        </w:rPr>
        <w:t>10</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分前（北京时间）。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6.2递交及快递地址：广州市天河区临江大道501号</w:t>
      </w:r>
      <w:r>
        <w:rPr>
          <w:rFonts w:hint="eastAsia" w:ascii="仿宋" w:hAnsi="仿宋" w:eastAsia="仿宋" w:cs="仿宋"/>
          <w:sz w:val="28"/>
          <w:szCs w:val="28"/>
          <w:u w:val="single"/>
        </w:rPr>
        <w:t>广州市净水有限公司6楼招标部</w:t>
      </w:r>
      <w:r>
        <w:rPr>
          <w:rFonts w:hint="eastAsia" w:ascii="仿宋" w:hAnsi="仿宋" w:eastAsia="仿宋" w:cs="仿宋"/>
          <w:sz w:val="28"/>
          <w:szCs w:val="28"/>
        </w:rPr>
        <w:t>。</w:t>
      </w:r>
    </w:p>
    <w:p>
      <w:pPr>
        <w:pStyle w:val="22"/>
        <w:ind w:firstLine="560" w:firstLineChars="200"/>
        <w:rPr>
          <w:rFonts w:ascii="仿宋" w:hAnsi="仿宋" w:eastAsia="仿宋" w:cs="仿宋"/>
        </w:rPr>
      </w:pPr>
      <w:r>
        <w:rPr>
          <w:rFonts w:hint="eastAsia" w:ascii="仿宋" w:hAnsi="仿宋" w:eastAsia="仿宋" w:cs="仿宋"/>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ascii="仿宋" w:hAnsi="仿宋" w:eastAsia="仿宋" w:cs="仿宋"/>
          <w:sz w:val="28"/>
          <w:szCs w:val="28"/>
        </w:rPr>
      </w:pPr>
      <w:r>
        <w:rPr>
          <w:rFonts w:hint="eastAsia" w:ascii="仿宋" w:hAnsi="仿宋" w:eastAsia="仿宋" w:cs="仿宋"/>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异议受理部门：</w:t>
      </w:r>
      <w:r>
        <w:rPr>
          <w:rFonts w:hint="eastAsia" w:ascii="仿宋" w:hAnsi="仿宋" w:eastAsia="仿宋" w:cs="仿宋"/>
          <w:color w:val="000000" w:themeColor="text1"/>
          <w:sz w:val="28"/>
          <w:szCs w:val="28"/>
          <w:u w:val="single"/>
          <w14:textFill>
            <w14:solidFill>
              <w14:schemeClr w14:val="tx1"/>
            </w14:solidFill>
          </w14:textFill>
        </w:rPr>
        <w:t>广州市净水有限公司</w:t>
      </w: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u w:val="single"/>
          <w14:textFill>
            <w14:solidFill>
              <w14:schemeClr w14:val="tx1"/>
            </w14:solidFill>
          </w14:textFill>
        </w:rPr>
        <w:t>38890841</w:t>
      </w:r>
      <w:r>
        <w:rPr>
          <w:rFonts w:hint="eastAsia" w:ascii="仿宋" w:hAnsi="仿宋" w:eastAsia="仿宋" w:cs="仿宋"/>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14:textFill>
            <w14:solidFill>
              <w14:schemeClr w14:val="tx1"/>
            </w14:solidFill>
          </w14:textFill>
        </w:rPr>
        <w:t>广州市天河区临江大道501号广州市净水有限公司</w:t>
      </w:r>
      <w:r>
        <w:rPr>
          <w:rFonts w:hint="eastAsia" w:ascii="仿宋" w:hAnsi="仿宋" w:eastAsia="仿宋" w:cs="仿宋"/>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bl>
    <w:p>
      <w:pPr>
        <w:adjustRightInd w:val="0"/>
        <w:snapToGrid w:val="0"/>
        <w:spacing w:before="156" w:beforeLines="50" w:after="156" w:afterLines="50" w:line="600" w:lineRule="exact"/>
        <w:jc w:val="left"/>
        <w:rPr>
          <w:rFonts w:ascii="仿宋" w:hAnsi="仿宋" w:eastAsia="仿宋" w:cs="仿宋"/>
          <w:b/>
          <w:sz w:val="32"/>
          <w:szCs w:val="32"/>
        </w:rPr>
      </w:pPr>
      <w:r>
        <w:rPr>
          <w:rFonts w:hint="eastAsia" w:ascii="仿宋" w:hAnsi="仿宋" w:eastAsia="仿宋" w:cs="仿宋"/>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2023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 </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25" w:name="_Toc10891"/>
    </w:p>
    <w:p>
      <w:pPr>
        <w:pStyle w:val="3"/>
      </w:pPr>
      <w:bookmarkStart w:id="26" w:name="_Toc7340"/>
      <w:bookmarkStart w:id="27" w:name="_Toc19295"/>
      <w:bookmarkStart w:id="28" w:name="_Toc9448"/>
      <w:bookmarkStart w:id="29" w:name="_Toc25603"/>
      <w:bookmarkStart w:id="30" w:name="_Toc16557"/>
      <w:bookmarkStart w:id="31" w:name="_Toc2324"/>
      <w:bookmarkStart w:id="32" w:name="_Toc16705"/>
      <w:bookmarkStart w:id="33" w:name="_Toc32588"/>
      <w:bookmarkStart w:id="34" w:name="_Toc2331"/>
      <w:bookmarkStart w:id="35" w:name="_Toc23749"/>
      <w:r>
        <mc:AlternateContent>
          <mc:Choice Requires="wps">
            <w:drawing>
              <wp:anchor distT="0" distB="0" distL="114300" distR="114300" simplePos="0" relativeHeight="251673600" behindDoc="0" locked="0" layoutInCell="1" allowOverlap="1">
                <wp:simplePos x="0" y="0"/>
                <wp:positionH relativeFrom="column">
                  <wp:posOffset>2357755</wp:posOffset>
                </wp:positionH>
                <wp:positionV relativeFrom="paragraph">
                  <wp:posOffset>488315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65pt;margin-top:38.45pt;height:0pt;width:75.5pt;z-index:251673600;mso-width-relative:page;mso-height-relative:page;" filled="f" stroked="t" coordsize="21600,21600" o:gfxdata="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p4L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 xml:space="preserve"> 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2339"/>
      <w:bookmarkStart w:id="37" w:name="_Toc3416"/>
      <w:r>
        <w:rPr>
          <w:rFonts w:hint="eastAsia"/>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pPr>
    </w:p>
    <w:p>
      <w:pPr>
        <w:pStyle w:val="22"/>
        <w:ind w:left="0" w:leftChars="0" w:firstLine="0" w:firstLineChars="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4"/>
        <w:rPr>
          <w:rFonts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2348230</wp:posOffset>
                </wp:positionH>
                <wp:positionV relativeFrom="paragraph">
                  <wp:posOffset>670560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52.8pt;height:0pt;width:75.5pt;z-index:251661312;mso-width-relative:page;mso-height-relative:page;" filled="f" stroked="t" coordsize="21600,21600" o:gfxdata="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K6pH9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8"/>
      </w:pPr>
    </w:p>
    <w:p>
      <w:pPr>
        <w:pStyle w:val="4"/>
      </w:pPr>
      <w:bookmarkStart w:id="40" w:name="_Toc7303"/>
      <w:bookmarkStart w:id="41" w:name="_Toc7040"/>
      <w:bookmarkStart w:id="42" w:name="_Toc87616371"/>
      <w:bookmarkStart w:id="43" w:name="_Toc88209934"/>
      <w:r>
        <w:rPr>
          <w:rFonts w:hint="eastAsia"/>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4"/>
        <w:jc w:val="both"/>
      </w:pPr>
      <w:bookmarkStart w:id="44" w:name="_Toc3789"/>
      <w:bookmarkStart w:id="45" w:name="_Toc24895"/>
    </w:p>
    <w:p/>
    <w:p>
      <w:pPr>
        <w:pStyle w:val="4"/>
      </w:pPr>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480" w:firstLineChars="200"/>
        <w:jc w:val="left"/>
        <w:rPr>
          <w:rFonts w:ascii="仿宋_GB2312" w:eastAsia="仿宋_GB2312"/>
          <w:sz w:val="24"/>
          <w:szCs w:val="24"/>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46" w:name="_Toc7437"/>
      <w:bookmarkStart w:id="47" w:name="_Toc14870"/>
      <w:bookmarkStart w:id="48" w:name="_Toc23581"/>
      <w:bookmarkStart w:id="49" w:name="_Toc3156"/>
      <w:bookmarkStart w:id="50" w:name="_Toc7118"/>
      <w:bookmarkStart w:id="51" w:name="_Toc19759"/>
      <w:bookmarkStart w:id="52" w:name="_Toc4952"/>
      <w:bookmarkStart w:id="53" w:name="_Toc19050"/>
      <w:bookmarkStart w:id="54" w:name="_Toc10930"/>
      <w:bookmarkStart w:id="55" w:name="_Toc14552"/>
      <w:bookmarkStart w:id="56" w:name="_Toc20594"/>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8"/>
      </w:pPr>
    </w:p>
    <w:p>
      <w:pPr>
        <w:pStyle w:val="3"/>
      </w:pPr>
      <w:bookmarkStart w:id="57" w:name="_Toc22212"/>
      <w:bookmarkStart w:id="58" w:name="_Toc21840"/>
      <w:bookmarkStart w:id="59" w:name="_Toc87616378"/>
      <w:bookmarkStart w:id="60" w:name="_Toc32607"/>
      <w:bookmarkStart w:id="61" w:name="_Toc13898"/>
      <w:bookmarkStart w:id="62" w:name="_Toc21079"/>
      <w:bookmarkStart w:id="63" w:name="_Toc7831"/>
      <w:bookmarkStart w:id="64" w:name="_Toc12177"/>
      <w:bookmarkStart w:id="65" w:name="_Toc6308"/>
      <w:bookmarkStart w:id="66" w:name="_Toc30530"/>
      <w:bookmarkStart w:id="67" w:name="_Toc29345"/>
      <w:bookmarkStart w:id="68" w:name="_Toc29484"/>
      <w:bookmarkStart w:id="69" w:name="_Toc8820994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jc w:val="both"/>
      </w:pPr>
      <w:bookmarkStart w:id="72" w:name="_Toc88209947"/>
    </w:p>
    <w:p>
      <w:pPr>
        <w:pStyle w:val="3"/>
      </w:pPr>
    </w:p>
    <w:p>
      <w:pPr>
        <w:pStyle w:val="3"/>
      </w:pPr>
      <w:r>
        <mc:AlternateContent>
          <mc:Choice Requires="wps">
            <w:drawing>
              <wp:anchor distT="0" distB="0" distL="114300" distR="114300" simplePos="0" relativeHeight="251675648"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5648;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pStyle w:val="4"/>
        <w:rPr>
          <w:szCs w:val="44"/>
        </w:rPr>
      </w:pPr>
    </w:p>
    <w:p>
      <w:pPr>
        <w:rPr>
          <w:szCs w:val="44"/>
        </w:rPr>
      </w:pPr>
    </w:p>
    <w:p>
      <w:pPr>
        <w:pStyle w:val="22"/>
        <w:rPr>
          <w:szCs w:val="44"/>
        </w:rPr>
      </w:pPr>
    </w:p>
    <w:p>
      <w:pPr>
        <w:pStyle w:val="22"/>
        <w:rPr>
          <w:szCs w:val="44"/>
        </w:rPr>
      </w:pPr>
    </w:p>
    <w:p>
      <w:pPr>
        <w:pStyle w:val="22"/>
        <w:rPr>
          <w:szCs w:val="44"/>
        </w:rPr>
      </w:pPr>
    </w:p>
    <w:p>
      <w:pPr>
        <w:pStyle w:val="22"/>
        <w:rPr>
          <w:szCs w:val="44"/>
        </w:rPr>
      </w:pPr>
    </w:p>
    <w:p>
      <w:pPr>
        <w:pStyle w:val="22"/>
        <w:ind w:left="0" w:leftChars="0" w:firstLine="0" w:firstLineChars="0"/>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bookmarkEnd w:id="72"/>
    <w:p>
      <w:pPr>
        <w:pStyle w:val="12"/>
        <w:numPr>
          <w:ilvl w:val="0"/>
          <w:numId w:val="4"/>
        </w:numPr>
        <w:adjustRightInd w:val="0"/>
        <w:snapToGrid w:val="0"/>
        <w:spacing w:line="360" w:lineRule="auto"/>
        <w:rPr>
          <w:rFonts w:ascii="仿宋_GB2312" w:eastAsia="仿宋_GB2312"/>
          <w:sz w:val="28"/>
          <w:szCs w:val="28"/>
        </w:rPr>
      </w:pPr>
      <w:r>
        <w:rPr>
          <w:rFonts w:hint="eastAsia" w:ascii="仿宋" w:hAnsi="仿宋" w:eastAsia="仿宋" w:cs="仿宋_GB2312"/>
          <w:b/>
          <w:bCs/>
          <w:color w:val="000000"/>
          <w:kern w:val="0"/>
          <w:sz w:val="28"/>
          <w:szCs w:val="28"/>
        </w:rPr>
        <w:t>项目内容及需求</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对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p>
    <w:p>
      <w:pPr>
        <w:pStyle w:val="22"/>
        <w:widowControl/>
        <w:shd w:val="clear" w:color="auto" w:fill="FFFFFF"/>
        <w:spacing w:after="225" w:line="360" w:lineRule="atLeast"/>
        <w:ind w:left="0" w:leftChars="0" w:firstLine="560" w:firstLineChars="200"/>
        <w:rPr>
          <w:rFonts w:hint="eastAsia" w:ascii="仿宋_GB2312" w:eastAsia="仿宋_GB2312" w:cstheme="minorBidi"/>
          <w:color w:val="auto"/>
          <w:sz w:val="28"/>
          <w:szCs w:val="28"/>
          <w:lang w:bidi="ar"/>
        </w:rPr>
      </w:pPr>
      <w:r>
        <w:rPr>
          <w:rFonts w:hint="eastAsia" w:ascii="仿宋_GB2312" w:eastAsia="仿宋_GB2312" w:cstheme="minorBidi"/>
          <w:color w:val="auto"/>
          <w:sz w:val="28"/>
          <w:szCs w:val="28"/>
          <w:lang w:bidi="ar"/>
        </w:rPr>
        <w:t>工程量清单：</w:t>
      </w:r>
    </w:p>
    <w:tbl>
      <w:tblPr>
        <w:tblStyle w:val="23"/>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328"/>
        <w:gridCol w:w="1740"/>
        <w:gridCol w:w="3506"/>
        <w:gridCol w:w="739"/>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3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030904012001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点型探测器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030904003001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按钮</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030904005001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声光报警器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030501009001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路由器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030411004001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配线</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配管</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030413002001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凿(压)槽</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030413001001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铁构件制作、安装</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031201003001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金属结构刷油</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030404035001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插座</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030411006001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接线盒</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030905001001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自动报警系统调试</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措施项目</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031302007001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高层施工增加</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031301017001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脚手架搭拆费</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bl>
    <w:p>
      <w:pPr>
        <w:pStyle w:val="22"/>
        <w:widowControl/>
        <w:shd w:val="clear" w:color="auto" w:fill="FFFFFF"/>
        <w:spacing w:after="225" w:line="360" w:lineRule="atLeast"/>
        <w:ind w:left="0" w:leftChars="0" w:firstLine="0" w:firstLineChars="0"/>
        <w:rPr>
          <w:rFonts w:hint="eastAsia" w:ascii="仿宋_GB2312" w:eastAsia="仿宋_GB2312" w:cstheme="minorBidi"/>
          <w:color w:val="auto"/>
          <w:sz w:val="28"/>
          <w:szCs w:val="28"/>
          <w:lang w:bidi="ar"/>
        </w:rPr>
      </w:pPr>
    </w:p>
    <w:p>
      <w:pPr>
        <w:pStyle w:val="22"/>
        <w:keepNext w:val="0"/>
        <w:keepLines w:val="0"/>
        <w:pageBreakBefore w:val="0"/>
        <w:kinsoku/>
        <w:wordWrap/>
        <w:overflowPunct/>
        <w:topLinePunct w:val="0"/>
        <w:bidi w:val="0"/>
        <w:spacing w:line="560" w:lineRule="exact"/>
        <w:ind w:firstLine="560" w:firstLineChars="200"/>
        <w:jc w:val="left"/>
        <w:rPr>
          <w:color w:val="auto"/>
        </w:rPr>
      </w:pPr>
      <w:r>
        <w:rPr>
          <w:rFonts w:hint="eastAsia" w:ascii="仿宋_GB2312" w:hAnsi="仿宋_GB2312" w:eastAsia="仿宋_GB2312" w:cs="仿宋_GB2312"/>
          <w:color w:val="auto"/>
          <w:sz w:val="28"/>
          <w:szCs w:val="28"/>
        </w:rPr>
        <w:t>以上未列出的详细工程量清单，参考本项目的技术要求及现场实际要求施工，最终实现</w:t>
      </w:r>
      <w:r>
        <w:rPr>
          <w:rFonts w:hint="eastAsia" w:ascii="仿宋_GB2312" w:hAnsi="仿宋_GB2312" w:eastAsia="仿宋_GB2312" w:cs="仿宋_GB2312"/>
          <w:color w:val="auto"/>
          <w:sz w:val="28"/>
          <w:szCs w:val="28"/>
          <w:lang w:val="en-US" w:eastAsia="zh-CN"/>
        </w:rPr>
        <w:t>石井分公司厂区烟感报警器安装</w:t>
      </w:r>
      <w:r>
        <w:rPr>
          <w:rFonts w:hint="eastAsia" w:ascii="仿宋_GB2312" w:hAnsi="仿宋_GB2312" w:eastAsia="仿宋_GB2312" w:cs="仿宋_GB2312"/>
          <w:color w:val="auto"/>
          <w:sz w:val="28"/>
          <w:szCs w:val="28"/>
        </w:rPr>
        <w:t>，报价人先按此清单和本项目的施工内容要求报价。</w:t>
      </w:r>
    </w:p>
    <w:p>
      <w:pPr>
        <w:pStyle w:val="22"/>
        <w:keepNext w:val="0"/>
        <w:keepLines w:val="0"/>
        <w:pageBreakBefore w:val="0"/>
        <w:kinsoku/>
        <w:wordWrap/>
        <w:overflowPunct/>
        <w:topLinePunct w:val="0"/>
        <w:bidi w:val="0"/>
        <w:spacing w:line="560" w:lineRule="exact"/>
        <w:ind w:firstLine="480" w:firstLineChars="200"/>
        <w:jc w:val="left"/>
      </w:pPr>
    </w:p>
    <w:p>
      <w:pPr>
        <w:pStyle w:val="12"/>
        <w:keepNext w:val="0"/>
        <w:keepLines w:val="0"/>
        <w:pageBreakBefore w:val="0"/>
        <w:kinsoku/>
        <w:wordWrap/>
        <w:overflowPunct/>
        <w:topLinePunct w:val="0"/>
        <w:bidi w:val="0"/>
        <w:adjustRightInd w:val="0"/>
        <w:snapToGrid w:val="0"/>
        <w:spacing w:line="560" w:lineRule="exact"/>
        <w:jc w:val="left"/>
        <w:rPr>
          <w:rFonts w:ascii="仿宋" w:hAnsi="仿宋" w:eastAsia="仿宋" w:cs="仿宋"/>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p>
    <w:p>
      <w:pPr>
        <w:pStyle w:val="12"/>
        <w:keepNext w:val="0"/>
        <w:keepLines w:val="0"/>
        <w:pageBreakBefore w:val="0"/>
        <w:kinsoku/>
        <w:wordWrap/>
        <w:overflowPunct/>
        <w:topLinePunct w:val="0"/>
        <w:bidi w:val="0"/>
        <w:adjustRightInd w:val="0"/>
        <w:snapToGrid w:val="0"/>
        <w:spacing w:line="560" w:lineRule="exact"/>
        <w:jc w:val="lef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0天。</w:t>
      </w:r>
      <w:r>
        <w:rPr>
          <w:rFonts w:hint="eastAsia" w:ascii="仿宋" w:hAnsi="仿宋" w:eastAsia="仿宋" w:cs="仿宋_GB2312"/>
          <w:bCs/>
          <w:color w:val="auto"/>
          <w:sz w:val="28"/>
          <w:szCs w:val="28"/>
          <w:highlight w:val="none"/>
          <w:lang w:val="zh-CN"/>
        </w:rPr>
        <w:t>施工期：具体日期以甲方（业主）发出的开工令</w:t>
      </w:r>
      <w:r>
        <w:rPr>
          <w:rFonts w:hint="eastAsia" w:ascii="仿宋" w:hAnsi="仿宋" w:eastAsia="仿宋" w:cs="仿宋_GB2312"/>
          <w:bCs/>
          <w:color w:val="auto"/>
          <w:sz w:val="28"/>
          <w:szCs w:val="28"/>
          <w:highlight w:val="none"/>
          <w:lang w:val="en-US" w:eastAsia="zh-CN"/>
        </w:rPr>
        <w:t>/通知</w:t>
      </w:r>
      <w:r>
        <w:rPr>
          <w:rFonts w:hint="eastAsia" w:ascii="仿宋" w:hAnsi="仿宋" w:eastAsia="仿宋" w:cs="仿宋_GB2312"/>
          <w:bCs/>
          <w:color w:val="auto"/>
          <w:sz w:val="28"/>
          <w:szCs w:val="28"/>
          <w:highlight w:val="none"/>
          <w:lang w:val="zh-CN"/>
        </w:rPr>
        <w:t>为准。</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w:t>
      </w:r>
    </w:p>
    <w:p>
      <w:pPr>
        <w:pStyle w:val="22"/>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kern w:val="2"/>
          <w:sz w:val="28"/>
          <w:szCs w:val="28"/>
        </w:rPr>
        <w:t>（3）项目施工所有位置地砖墙砖</w:t>
      </w:r>
      <w:r>
        <w:rPr>
          <w:rFonts w:hint="eastAsia" w:ascii="仿宋_GB2312" w:hAnsi="仿宋_GB2312" w:eastAsia="仿宋_GB2312" w:cs="仿宋_GB2312"/>
          <w:sz w:val="28"/>
          <w:szCs w:val="28"/>
        </w:rPr>
        <w:t>必须按设计和规范要求做到平整、完整。</w:t>
      </w:r>
    </w:p>
    <w:p>
      <w:pPr>
        <w:pStyle w:val="22"/>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（4）施工产生所以杂物、垃圾等清理干净。</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
        <w:keepNext w:val="0"/>
        <w:keepLines w:val="0"/>
        <w:pageBreakBefore w:val="0"/>
        <w:kinsoku/>
        <w:wordWrap/>
        <w:overflowPunct/>
        <w:topLinePunct w:val="0"/>
        <w:bidi w:val="0"/>
        <w:spacing w:after="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6.询价人将自承包人履行完合同义务之日起10天内组织验收，验收要求、验收标准及方法如下：</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（1）</w:t>
      </w:r>
      <w:r>
        <w:rPr>
          <w:rFonts w:ascii="仿宋_GB2312" w:hAnsi="Calibri" w:eastAsia="仿宋_GB2312" w:cs="仿宋_GB2312"/>
          <w:sz w:val="28"/>
          <w:szCs w:val="28"/>
          <w:shd w:val="clear" w:color="auto" w:fill="FFFFFF"/>
        </w:rPr>
        <w:t>验收依据：询价文件、询价响应文件、</w:t>
      </w:r>
      <w:r>
        <w:rPr>
          <w:rFonts w:hint="eastAsia" w:ascii="仿宋_GB2312" w:hAnsi="Calibri" w:eastAsia="仿宋_GB2312" w:cs="仿宋_GB2312"/>
          <w:sz w:val="28"/>
          <w:szCs w:val="28"/>
          <w:shd w:val="clear" w:color="auto" w:fill="FFFFFF"/>
        </w:rPr>
        <w:t>相关绿化园林</w:t>
      </w:r>
      <w:r>
        <w:rPr>
          <w:rFonts w:ascii="仿宋_GB2312" w:hAnsi="Calibri" w:eastAsia="仿宋_GB2312" w:cs="仿宋_GB2312"/>
          <w:sz w:val="28"/>
          <w:szCs w:val="28"/>
          <w:shd w:val="clear" w:color="auto" w:fill="FFFFFF"/>
        </w:rPr>
        <w:t>有关的质量标准规定，均为验收依据。</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eastAsia="仿宋_GB2312" w:cs="Calibri"/>
          <w:sz w:val="21"/>
          <w:szCs w:val="21"/>
        </w:rPr>
      </w:pPr>
      <w:r>
        <w:rPr>
          <w:rFonts w:hint="eastAsia" w:ascii="仿宋_GB2312" w:hAnsi="Calibri" w:eastAsia="仿宋_GB2312" w:cs="仿宋_GB2312"/>
          <w:sz w:val="28"/>
          <w:szCs w:val="28"/>
          <w:shd w:val="clear" w:color="auto" w:fill="FFFFFF"/>
        </w:rPr>
        <w:t>（2）</w:t>
      </w:r>
      <w:r>
        <w:rPr>
          <w:rFonts w:ascii="仿宋_GB2312" w:hAnsi="Calibri" w:eastAsia="仿宋_GB2312" w:cs="仿宋_GB2312"/>
          <w:sz w:val="28"/>
          <w:szCs w:val="28"/>
          <w:shd w:val="clear" w:color="auto" w:fill="FFFFFF"/>
        </w:rPr>
        <w:t>承包单位根据要求进行</w:t>
      </w:r>
      <w:r>
        <w:rPr>
          <w:rFonts w:hint="eastAsia" w:ascii="仿宋_GB2312" w:eastAsia="仿宋_GB2312"/>
          <w:sz w:val="28"/>
          <w:szCs w:val="28"/>
        </w:rPr>
        <w:t>一四期提升泵房、自控楼楼顶及应急值班室楼顶复绿</w:t>
      </w:r>
      <w:r>
        <w:rPr>
          <w:rFonts w:hint="eastAsia" w:ascii="仿宋_GB2312" w:hAnsi="Calibri" w:eastAsia="仿宋_GB2312" w:cs="仿宋_GB2312"/>
          <w:sz w:val="28"/>
          <w:szCs w:val="28"/>
          <w:shd w:val="clear" w:color="auto" w:fill="FFFFFF"/>
        </w:rPr>
        <w:t>，</w:t>
      </w:r>
      <w:r>
        <w:rPr>
          <w:rFonts w:hint="eastAsia" w:ascii="仿宋_GB2312" w:eastAsia="仿宋_GB2312"/>
          <w:sz w:val="28"/>
          <w:szCs w:val="28"/>
        </w:rPr>
        <w:t>完成之后，改造区域绿植应达到整体美观感觉有序的要求。</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（3）</w:t>
      </w:r>
      <w:r>
        <w:rPr>
          <w:rFonts w:ascii="仿宋_GB2312" w:hAnsi="Calibri" w:eastAsia="仿宋_GB2312" w:cs="仿宋_GB2312"/>
          <w:sz w:val="28"/>
          <w:szCs w:val="28"/>
          <w:shd w:val="clear" w:color="auto" w:fill="FFFFFF"/>
        </w:rPr>
        <w:t>发包人有权委托我国相关具有检验资质的部门、单位、机构针对</w:t>
      </w:r>
      <w:r>
        <w:rPr>
          <w:rFonts w:hint="eastAsia" w:ascii="仿宋_GB2312" w:hAnsi="Calibri" w:eastAsia="仿宋_GB2312" w:cs="仿宋_GB2312"/>
          <w:sz w:val="28"/>
          <w:szCs w:val="28"/>
          <w:shd w:val="clear" w:color="auto" w:fill="FFFFFF"/>
        </w:rPr>
        <w:t>环境绿植及其种植情况</w:t>
      </w:r>
      <w:r>
        <w:rPr>
          <w:rFonts w:ascii="仿宋_GB2312" w:hAnsi="Calibri" w:eastAsia="仿宋_GB2312" w:cs="仿宋_GB2312"/>
          <w:sz w:val="28"/>
          <w:szCs w:val="28"/>
          <w:shd w:val="clear" w:color="auto" w:fill="FFFFFF"/>
        </w:rPr>
        <w:t>进行检验。其检验结果将作为验收标准的组成部分之一。</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（4）</w:t>
      </w:r>
      <w:r>
        <w:rPr>
          <w:rFonts w:ascii="仿宋_GB2312" w:hAnsi="Calibri" w:eastAsia="仿宋_GB2312" w:cs="仿宋_GB2312"/>
          <w:sz w:val="28"/>
          <w:szCs w:val="28"/>
          <w:shd w:val="clear" w:color="auto" w:fill="FFFFFF"/>
        </w:rPr>
        <w:t>验收时承包单位必须派代表参加。</w:t>
      </w:r>
    </w:p>
    <w:p>
      <w:pPr>
        <w:pStyle w:val="2"/>
        <w:keepNext w:val="0"/>
        <w:keepLines w:val="0"/>
        <w:pageBreakBefore w:val="0"/>
        <w:kinsoku/>
        <w:wordWrap/>
        <w:overflowPunct/>
        <w:topLinePunct w:val="0"/>
        <w:bidi w:val="0"/>
        <w:spacing w:after="0" w:line="560" w:lineRule="exact"/>
        <w:ind w:firstLine="560" w:firstLineChars="200"/>
        <w:jc w:val="left"/>
        <w:rPr>
          <w:rFonts w:ascii="仿宋_GB2312" w:hAnsi="仿宋_GB2312" w:eastAsia="仿宋_GB2312" w:cs="仿宋_GB2312"/>
          <w:sz w:val="28"/>
          <w:szCs w:val="28"/>
        </w:rPr>
      </w:pPr>
      <w:r>
        <w:rPr>
          <w:rFonts w:hint="eastAsia" w:ascii="仿宋_GB2312" w:hAnsi="Calibri" w:eastAsia="仿宋_GB2312" w:cs="仿宋_GB2312"/>
          <w:color w:val="000000"/>
          <w:sz w:val="28"/>
          <w:szCs w:val="28"/>
          <w:shd w:val="clear" w:color="auto" w:fill="FFFFFF"/>
        </w:rPr>
        <w:t>（5）</w:t>
      </w:r>
      <w:r>
        <w:rPr>
          <w:rFonts w:ascii="仿宋_GB2312" w:hAnsi="Calibri" w:eastAsia="仿宋_GB2312" w:cs="仿宋_GB2312"/>
          <w:color w:val="000000"/>
          <w:sz w:val="28"/>
          <w:szCs w:val="28"/>
          <w:shd w:val="clear" w:color="auto" w:fill="FFFFFF"/>
        </w:rPr>
        <w:t>验收过程所发生的一切费用由承包单位承担。</w:t>
      </w:r>
    </w:p>
    <w:p>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报价人应综合考虑项目实施内容与施工现场环境后进行报价。</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付款方式：银行转账形式。</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.承包方式：</w:t>
      </w:r>
    </w:p>
    <w:p>
      <w:pPr>
        <w:pStyle w:val="22"/>
        <w:keepNext w:val="0"/>
        <w:keepLines w:val="0"/>
        <w:pageBreakBefore w:val="0"/>
        <w:kinsoku/>
        <w:wordWrap/>
        <w:overflowPunct/>
        <w:topLinePunct w:val="0"/>
        <w:bidi w:val="0"/>
        <w:spacing w:line="560" w:lineRule="exact"/>
        <w:ind w:firstLine="560" w:firstLineChars="200"/>
        <w:jc w:val="left"/>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22"/>
      </w:pPr>
    </w:p>
    <w:p>
      <w:pPr>
        <w:pStyle w:val="22"/>
      </w:pP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pPr>
    </w:p>
    <w:p>
      <w:pPr>
        <w:pStyle w:val="22"/>
        <w:ind w:left="0" w:leftChars="0" w:firstLine="0" w:firstLineChars="0"/>
      </w:pPr>
    </w:p>
    <w:p>
      <w:pPr>
        <w:pStyle w:val="22"/>
        <w:ind w:left="0" w:leftChars="0" w:firstLine="0" w:firstLineChars="0"/>
      </w:pPr>
    </w:p>
    <w:p>
      <w:pPr>
        <w:pStyle w:val="3"/>
      </w:pPr>
      <w:bookmarkStart w:id="73" w:name="_Toc12135"/>
      <w:bookmarkStart w:id="74" w:name="_Toc29835"/>
      <w:bookmarkStart w:id="75" w:name="_Toc4680"/>
      <w:bookmarkStart w:id="76" w:name="_Toc15570"/>
      <w:bookmarkStart w:id="77" w:name="_Toc1284"/>
      <w:bookmarkStart w:id="78" w:name="_Toc25925"/>
      <w:bookmarkStart w:id="79" w:name="_Toc1496"/>
      <w:bookmarkStart w:id="80" w:name="_Toc23330"/>
      <w:bookmarkStart w:id="81" w:name="_Toc537"/>
      <w:bookmarkStart w:id="82" w:name="_Toc23353"/>
      <w:bookmarkStart w:id="83" w:name="_Toc1853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
      </w:pPr>
      <w:bookmarkStart w:id="84" w:name="_Toc12721"/>
      <w:bookmarkStart w:id="85" w:name="_Toc323"/>
      <w:bookmarkStart w:id="86" w:name="_Toc19088"/>
      <w:bookmarkStart w:id="87" w:name="_Toc22501"/>
      <w:bookmarkStart w:id="88" w:name="_Toc87616386"/>
      <w:bookmarkStart w:id="89" w:name="_Toc22797"/>
      <w:bookmarkStart w:id="90" w:name="_Toc8183"/>
      <w:bookmarkStart w:id="91" w:name="_Toc1375"/>
      <w:bookmarkStart w:id="92" w:name="_Toc13309"/>
      <w:bookmarkStart w:id="93" w:name="_Toc12968"/>
      <w:bookmarkStart w:id="94" w:name="_Toc12980"/>
      <w:bookmarkStart w:id="95" w:name="_Toc19686"/>
      <w:bookmarkStart w:id="96" w:name="_Toc88209949"/>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仿宋_GB2312" w:hAnsi="宋体" w:eastAsia="仿宋_GB2312"/>
          <w:b/>
          <w:sz w:val="30"/>
          <w:szCs w:val="30"/>
        </w:rPr>
      </w:pPr>
    </w:p>
    <w:p>
      <w:pPr>
        <w:pStyle w:val="8"/>
        <w:rPr>
          <w:rFonts w:hint="eastAsia"/>
        </w:rPr>
      </w:pPr>
      <w:r>
        <w:rPr>
          <w:rFonts w:hint="eastAsia" w:ascii="宋体" w:hAnsi="宋体" w:cs="宋体"/>
          <w:b/>
          <w:sz w:val="30"/>
          <w:szCs w:val="30"/>
        </w:rPr>
        <w:t>项目名称: 广州市净水有限公司</w:t>
      </w:r>
      <w:r>
        <w:rPr>
          <w:rFonts w:hint="eastAsia" w:ascii="宋体" w:hAnsi="宋体" w:cs="宋体"/>
          <w:b/>
          <w:sz w:val="30"/>
          <w:szCs w:val="30"/>
          <w:lang w:val="en-US" w:eastAsia="zh-CN"/>
        </w:rPr>
        <w:t>石井分公司2022年厂区烟感报警器安装项目（第二次）</w:t>
      </w:r>
    </w:p>
    <w:p>
      <w:pPr>
        <w:pStyle w:val="4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rPr>
        <w:t>广州市净水有限公司</w:t>
      </w:r>
      <w:r>
        <w:rPr>
          <w:rFonts w:hint="eastAsia" w:ascii="宋体" w:hAnsi="宋体" w:cs="宋体"/>
          <w:sz w:val="24"/>
          <w:u w:val="single"/>
          <w:lang w:val="en-US" w:eastAsia="zh-CN"/>
        </w:rPr>
        <w:t>石井分公司2022年厂区烟感报警器安装项目（第二次）</w:t>
      </w:r>
      <w:r>
        <w:rPr>
          <w:rFonts w:hint="eastAsia" w:ascii="宋体" w:hAnsi="宋体" w:cs="宋体"/>
          <w:sz w:val="24"/>
        </w:rPr>
        <w:t>承接工作事宜，遵循平等、自愿、公平和诚实信用的原则，双方协商一致，订立本合同。</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⑵ 本合同书；</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⑶ 发包通知书/</w:t>
      </w:r>
      <w:r>
        <w:rPr>
          <w:rFonts w:hint="eastAsia" w:ascii="宋体" w:hAnsi="宋体" w:cs="宋体"/>
          <w:bCs/>
          <w:sz w:val="24"/>
          <w:lang w:val="en-US" w:eastAsia="zh-CN"/>
        </w:rPr>
        <w:t>成交通知书</w:t>
      </w:r>
      <w:r>
        <w:rPr>
          <w:rFonts w:hint="eastAsia" w:ascii="宋体" w:hAnsi="宋体" w:cs="宋体"/>
          <w:bCs/>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⑷ 询价文件；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⑸ 响应文件；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⑹ 标准、规范及有关技术性文件；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⑺ 图纸；</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 xml:space="preserve">⑻ </w:t>
      </w:r>
      <w:r>
        <w:rPr>
          <w:rFonts w:hint="eastAsia" w:ascii="宋体" w:hAnsi="宋体" w:eastAsia="宋体" w:cs="宋体"/>
          <w:bCs/>
          <w:color w:val="000000"/>
          <w:sz w:val="24"/>
          <w:szCs w:val="24"/>
        </w:rPr>
        <w:t>工程量清单</w:t>
      </w:r>
      <w:r>
        <w:rPr>
          <w:rFonts w:hint="eastAsia" w:ascii="宋体" w:hAnsi="宋体" w:eastAsia="宋体" w:cs="宋体"/>
          <w:color w:val="000000"/>
          <w:sz w:val="24"/>
          <w:szCs w:val="24"/>
        </w:rPr>
        <w:t>报价单或预算书</w:t>
      </w:r>
      <w:r>
        <w:rPr>
          <w:rFonts w:hint="eastAsia"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⑼ 本合同其他附件；</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第二条 项目概况、项目承包范围</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w:t>
      </w:r>
      <w:r>
        <w:rPr>
          <w:rFonts w:hint="eastAsia" w:ascii="宋体" w:hAnsi="宋体" w:cs="宋体"/>
          <w:sz w:val="24"/>
          <w:u w:val="single"/>
          <w:lang w:val="en-US" w:eastAsia="zh-CN"/>
        </w:rPr>
        <w:t>石井分公司2022年厂区烟感报警器安装项目（第二次）</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石井</w:t>
      </w:r>
      <w:r>
        <w:rPr>
          <w:rFonts w:hint="eastAsia" w:ascii="宋体" w:hAnsi="宋体" w:cs="宋体"/>
          <w:sz w:val="24"/>
          <w:u w:val="single"/>
        </w:rPr>
        <w:t>分公司 。</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对</w:t>
      </w:r>
      <w:r>
        <w:rPr>
          <w:rFonts w:hint="eastAsia" w:ascii="宋体" w:hAnsi="宋体" w:cs="宋体"/>
          <w:sz w:val="24"/>
          <w:u w:val="single"/>
        </w:rPr>
        <w:t>广州市净水有限公司</w:t>
      </w:r>
      <w:r>
        <w:rPr>
          <w:rFonts w:hint="eastAsia" w:ascii="宋体" w:hAnsi="宋体" w:cs="宋体"/>
          <w:sz w:val="24"/>
          <w:u w:val="single"/>
          <w:lang w:val="en-US" w:eastAsia="zh-CN"/>
        </w:rPr>
        <w:t>石井</w:t>
      </w:r>
      <w:r>
        <w:rPr>
          <w:rFonts w:hint="eastAsia" w:ascii="宋体" w:hAnsi="宋体" w:cs="宋体"/>
          <w:sz w:val="24"/>
          <w:u w:val="single"/>
        </w:rPr>
        <w:t>分公司</w:t>
      </w:r>
      <w:r>
        <w:rPr>
          <w:rFonts w:hint="eastAsia" w:ascii="宋体" w:hAnsi="宋体" w:cs="宋体"/>
          <w:sz w:val="24"/>
          <w:u w:val="single"/>
          <w:lang w:val="en-US" w:eastAsia="zh-CN"/>
        </w:rPr>
        <w:t>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r>
        <w:rPr>
          <w:rFonts w:hint="eastAsia" w:ascii="宋体" w:hAnsi="宋体" w:cs="宋体"/>
          <w:sz w:val="24"/>
          <w:u w:val="single"/>
        </w:rPr>
        <w:t xml:space="preserve"> 。</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第三条 项目承包方式</w:t>
      </w:r>
    </w:p>
    <w:p>
      <w:pPr>
        <w:keepNext w:val="0"/>
        <w:keepLines w:val="0"/>
        <w:pageBreakBefore w:val="0"/>
        <w:kinsoku/>
        <w:wordWrap/>
        <w:overflowPunct/>
        <w:bidi w:val="0"/>
        <w:spacing w:line="530" w:lineRule="exact"/>
        <w:ind w:left="0" w:leftChars="0" w:firstLine="420" w:firstLineChars="200"/>
        <w:jc w:val="left"/>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bidi w:val="0"/>
        <w:spacing w:line="530" w:lineRule="exact"/>
        <w:ind w:left="0" w:leftChars="0" w:firstLine="420" w:firstLineChars="200"/>
        <w:jc w:val="left"/>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第四条合同价款</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（1）</w:t>
      </w:r>
      <w:r>
        <w:rPr>
          <w:rFonts w:hint="eastAsia" w:ascii="宋体" w:hAnsi="宋体" w:cs="宋体"/>
          <w:sz w:val="24"/>
          <w:highlight w:val="none"/>
        </w:rPr>
        <w:t>执行。</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eastAsia="宋体" w:cs="宋体"/>
          <w:color w:val="000000"/>
          <w:sz w:val="24"/>
          <w:szCs w:val="24"/>
        </w:rPr>
        <w:t>，其中：</w:t>
      </w:r>
      <w:r>
        <w:rPr>
          <w:rFonts w:hint="eastAsia" w:ascii="宋体" w:hAnsi="宋体" w:eastAsia="宋体" w:cs="宋体"/>
          <w:color w:val="000000"/>
          <w:sz w:val="24"/>
          <w:szCs w:val="24"/>
          <w:u w:val="single"/>
        </w:rPr>
        <w:t>绿色施工安全防护措施费为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Theme="minorEastAsia" w:hAnsiTheme="minorEastAsia" w:eastAsiaTheme="minorEastAsia" w:cstheme="minorEastAsia"/>
          <w:sz w:val="24"/>
          <w:szCs w:val="24"/>
          <w:u w:val="single"/>
          <w:lang w:val="en-US" w:eastAsia="zh-CN"/>
        </w:rPr>
        <w:t>5300.34</w:t>
      </w:r>
      <w:r>
        <w:rPr>
          <w:rFonts w:hint="eastAsia" w:ascii="宋体" w:hAnsi="宋体" w:eastAsia="宋体" w:cs="宋体"/>
          <w:color w:val="000000"/>
          <w:sz w:val="24"/>
          <w:szCs w:val="24"/>
          <w:u w:val="single"/>
        </w:rPr>
        <w:t xml:space="preserve"> 元</w:t>
      </w: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伍仟叁佰元叁角肆分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，暂列金额为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Theme="minorEastAsia" w:hAnsiTheme="minorEastAsia" w:eastAsiaTheme="minorEastAsia" w:cstheme="minorEastAsia"/>
          <w:sz w:val="24"/>
          <w:szCs w:val="24"/>
          <w:u w:val="single"/>
          <w:lang w:val="en-US" w:eastAsia="zh-CN"/>
        </w:rPr>
        <w:t>8867.57</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捌仟捌佰陆拾柒元伍角柒分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综合单价为：详见附件</w:t>
      </w:r>
      <w:r>
        <w:rPr>
          <w:rFonts w:hint="eastAsia" w:ascii="宋体" w:hAnsi="宋体" w:cs="宋体"/>
          <w:sz w:val="24"/>
          <w:highlight w:val="none"/>
          <w:lang w:val="en-US" w:eastAsia="zh-CN"/>
        </w:rPr>
        <w:t>4</w:t>
      </w:r>
      <w:r>
        <w:rPr>
          <w:rFonts w:hint="eastAsia" w:ascii="宋体" w:hAnsi="宋体" w:cs="宋体"/>
          <w:sz w:val="24"/>
          <w:highlight w:val="none"/>
        </w:rPr>
        <w:t>工程量报价单。</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non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tabs>
          <w:tab w:val="left" w:pos="0"/>
        </w:tabs>
        <w:kinsoku/>
        <w:wordWrap/>
        <w:overflowPunct/>
        <w:bidi w:val="0"/>
        <w:adjustRightInd w:val="0"/>
        <w:snapToGrid w:val="0"/>
        <w:spacing w:line="530" w:lineRule="exact"/>
        <w:ind w:left="0" w:leftChars="0"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8"/>
        <w:keepNext w:val="0"/>
        <w:keepLines w:val="0"/>
        <w:pageBreakBefore w:val="0"/>
        <w:kinsoku/>
        <w:wordWrap/>
        <w:overflowPunct/>
        <w:bidi w:val="0"/>
        <w:spacing w:line="530" w:lineRule="exact"/>
        <w:ind w:left="0" w:leftChars="0" w:firstLine="480" w:firstLineChars="200"/>
        <w:jc w:val="left"/>
        <w:textAlignment w:val="auto"/>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rPr>
      </w:pPr>
    </w:p>
    <w:p>
      <w:pPr>
        <w:keepNext w:val="0"/>
        <w:keepLines w:val="0"/>
        <w:pageBreakBefore w:val="0"/>
        <w:widowControl/>
        <w:tabs>
          <w:tab w:val="left" w:pos="851"/>
        </w:tabs>
        <w:kinsoku/>
        <w:wordWrap/>
        <w:overflowPunct/>
        <w:bidi w:val="0"/>
        <w:adjustRightInd w:val="0"/>
        <w:snapToGrid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highlight w:val="none"/>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 </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keepNext w:val="0"/>
        <w:keepLines w:val="0"/>
        <w:pageBreakBefore w:val="0"/>
        <w:kinsoku/>
        <w:wordWrap/>
        <w:overflowPunct/>
        <w:topLinePunct/>
        <w:bidi w:val="0"/>
        <w:spacing w:line="53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5.6乙方不得随意更换项目负责人及</w:t>
      </w:r>
      <w:r>
        <w:rPr>
          <w:rFonts w:hint="eastAsia" w:asciiTheme="minorEastAsia" w:hAnsiTheme="minorEastAsia" w:eastAsiaTheme="minorEastAsia" w:cstheme="minorEastAsia"/>
          <w:sz w:val="24"/>
          <w:szCs w:val="24"/>
          <w:highlight w:val="none"/>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kinsoku/>
        <w:wordWrap/>
        <w:overflowPunct/>
        <w:topLinePunct/>
        <w:bidi w:val="0"/>
        <w:spacing w:line="53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8"/>
        <w:keepNext w:val="0"/>
        <w:keepLines w:val="0"/>
        <w:pageBreakBefore w:val="0"/>
        <w:kinsoku/>
        <w:wordWrap/>
        <w:overflowPunct/>
        <w:bidi w:val="0"/>
        <w:spacing w:line="530" w:lineRule="exact"/>
        <w:ind w:left="0" w:leftChars="0"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w:t>
      </w:r>
    </w:p>
    <w:p>
      <w:pPr>
        <w:pStyle w:val="48"/>
        <w:keepNext w:val="0"/>
        <w:keepLines w:val="0"/>
        <w:pageBreakBefore w:val="0"/>
        <w:kinsoku/>
        <w:wordWrap/>
        <w:overflowPunct/>
        <w:bidi w:val="0"/>
        <w:spacing w:line="530" w:lineRule="exact"/>
        <w:ind w:left="0" w:leftChars="0" w:firstLine="480" w:firstLineChars="200"/>
        <w:jc w:val="left"/>
        <w:textAlignment w:val="auto"/>
        <w:rPr>
          <w:rFonts w:hint="eastAsia"/>
        </w:rPr>
      </w:pPr>
    </w:p>
    <w:p>
      <w:pPr>
        <w:keepNext w:val="0"/>
        <w:keepLines w:val="0"/>
        <w:pageBreakBefore w:val="0"/>
        <w:tabs>
          <w:tab w:val="left" w:pos="851"/>
        </w:tabs>
        <w:kinsoku/>
        <w:wordWrap/>
        <w:overflowPunct/>
        <w:bidi w:val="0"/>
        <w:adjustRightInd w:val="0"/>
        <w:snapToGrid w:val="0"/>
        <w:spacing w:line="530" w:lineRule="exact"/>
        <w:ind w:left="0" w:leftChars="0" w:firstLine="482" w:firstLineChars="200"/>
        <w:jc w:val="left"/>
        <w:textAlignment w:val="auto"/>
        <w:rPr>
          <w:rFonts w:ascii="宋体" w:hAnsi="宋体" w:cs="宋体"/>
          <w:b/>
          <w:sz w:val="24"/>
        </w:rPr>
      </w:pPr>
      <w:r>
        <w:rPr>
          <w:rFonts w:hint="eastAsia" w:ascii="宋体" w:hAnsi="宋体" w:cs="宋体"/>
          <w:b/>
          <w:sz w:val="24"/>
        </w:rPr>
        <w:t>第六条实施条件及管理要求</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6.2施工用水用电采用以下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（1）由甲方提供施工用水用电接口，水电费按合同综合单价水电含量计算，从甲方支付的工程款中直接扣回。</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（2）由甲方提供施工用水用电接口，费用按（月/项目）结算，由乙方向甲方或甲方下辖分公司/子公司支付。水电费用按所属供电局、自来水公司收费标准按实计算。</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lang w:val="en-US" w:eastAsia="zh-CN"/>
        </w:rPr>
        <w:t>（3）由乙方自行负责。</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6.3施工时间安排：上午7：00-12：00，下午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ascii="宋体" w:hAnsi="宋体" w:cs="宋体"/>
          <w:sz w:val="24"/>
        </w:rPr>
        <w:t>6.5</w:t>
      </w:r>
      <w:r>
        <w:rPr>
          <w:rFonts w:hint="eastAsia" w:ascii="宋体" w:hAnsi="宋体" w:cs="宋体"/>
          <w:sz w:val="24"/>
        </w:rPr>
        <w:t>环境保护要求：</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keepNext w:val="0"/>
        <w:keepLines w:val="0"/>
        <w:pageBreakBefore w:val="0"/>
        <w:kinsoku/>
        <w:wordWrap/>
        <w:overflowPunct/>
        <w:bidi w:val="0"/>
        <w:spacing w:line="530" w:lineRule="exact"/>
        <w:ind w:left="0" w:leftChars="0" w:firstLine="482" w:firstLineChars="200"/>
        <w:jc w:val="left"/>
        <w:textAlignment w:val="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keepNext w:val="0"/>
        <w:keepLines w:val="0"/>
        <w:pageBreakBefore w:val="0"/>
        <w:tabs>
          <w:tab w:val="left" w:pos="0"/>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rPr>
      </w:pPr>
      <w:r>
        <w:rPr>
          <w:rFonts w:hAnsi="宋体" w:cs="宋体"/>
          <w:sz w:val="24"/>
          <w:szCs w:val="24"/>
        </w:rPr>
        <w:t>8.2</w:t>
      </w:r>
      <w:r>
        <w:rPr>
          <w:rFonts w:hint="eastAsia" w:ascii="宋体" w:hAnsi="宋体" w:cs="宋体"/>
          <w:sz w:val="24"/>
          <w:u w:val="single"/>
          <w:lang w:val="en-US" w:eastAsia="zh-CN"/>
        </w:rPr>
        <w:t>项目验收后，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keepNext w:val="0"/>
        <w:keepLines w:val="0"/>
        <w:pageBreakBefore w:val="0"/>
        <w:kinsoku/>
        <w:wordWrap/>
        <w:overflowPunct/>
        <w:bidi w:val="0"/>
        <w:spacing w:line="530" w:lineRule="exact"/>
        <w:ind w:left="0" w:leftChars="0" w:firstLine="480" w:firstLineChars="200"/>
        <w:jc w:val="left"/>
        <w:textAlignment w:val="auto"/>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r>
        <w:rPr>
          <w:rFonts w:hint="eastAsia" w:ascii="宋体" w:hAnsi="宋体" w:cs="宋体"/>
          <w:color w:val="000000"/>
          <w:sz w:val="24"/>
          <w:szCs w:val="24"/>
          <w:highlight w:val="none"/>
          <w:u w:val="single"/>
          <w:lang w:val="en-US" w:eastAsia="zh-CN"/>
        </w:rPr>
        <w:t>广州市净水有限公司石井分公司</w:t>
      </w:r>
      <w:r>
        <w:rPr>
          <w:rFonts w:hint="eastAsia" w:hAnsi="宋体" w:cs="宋体"/>
          <w:color w:val="000000"/>
          <w:sz w:val="24"/>
          <w:szCs w:val="24"/>
          <w:highlight w:val="none"/>
          <w:u w:val="single"/>
          <w:lang w:val="en-US" w:eastAsia="zh-CN"/>
        </w:rPr>
        <w:t>。</w:t>
      </w:r>
      <w:r>
        <w:rPr>
          <w:rFonts w:hint="eastAsia" w:hAnsi="宋体" w:cs="宋体"/>
          <w:sz w:val="24"/>
          <w:szCs w:val="24"/>
          <w:u w:val="single"/>
          <w:lang w:val="en-US" w:eastAsia="zh-CN"/>
        </w:rPr>
        <w:t xml:space="preserve"> </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eastAsia="宋体" w:cs="宋体"/>
          <w:bCs/>
          <w:color w:val="000000"/>
          <w:sz w:val="24"/>
          <w:szCs w:val="24"/>
        </w:rPr>
      </w:pPr>
      <w:r>
        <w:rPr>
          <w:rFonts w:hint="eastAsia" w:ascii="宋体" w:hAnsi="宋体" w:cs="宋体"/>
          <w:sz w:val="24"/>
          <w:lang w:val="en-US" w:eastAsia="zh-CN"/>
        </w:rPr>
        <w:t xml:space="preserve"> </w:t>
      </w:r>
      <w:r>
        <w:rPr>
          <w:rFonts w:hint="eastAsia" w:ascii="宋体" w:hAnsi="宋体" w:eastAsia="宋体" w:cs="宋体"/>
          <w:bCs/>
          <w:color w:val="000000"/>
          <w:sz w:val="24"/>
          <w:szCs w:val="24"/>
        </w:rPr>
        <w:t>户名：广州市净水有限公司</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账号：82010154900000342</w:t>
      </w:r>
    </w:p>
    <w:p>
      <w:pPr>
        <w:keepNext w:val="0"/>
        <w:keepLines w:val="0"/>
        <w:pageBreakBefore w:val="0"/>
        <w:kinsoku/>
        <w:wordWrap/>
        <w:overflowPunct/>
        <w:bidi w:val="0"/>
        <w:spacing w:line="530" w:lineRule="exact"/>
        <w:ind w:left="0" w:leftChars="0" w:firstLine="480" w:firstLineChars="200"/>
        <w:jc w:val="left"/>
        <w:textAlignment w:val="auto"/>
        <w:outlineLvl w:val="0"/>
        <w:rPr>
          <w:rFonts w:hint="default" w:ascii="宋体" w:hAnsi="宋体" w:eastAsia="宋体" w:cs="宋体"/>
          <w:sz w:val="24"/>
          <w:lang w:val="en-US" w:eastAsia="zh-CN"/>
        </w:rPr>
      </w:pPr>
      <w:r>
        <w:rPr>
          <w:rFonts w:hint="eastAsia" w:ascii="宋体" w:hAnsi="宋体" w:eastAsia="宋体" w:cs="宋体"/>
          <w:bCs/>
          <w:color w:val="000000"/>
          <w:sz w:val="24"/>
          <w:szCs w:val="24"/>
        </w:rPr>
        <w:t>开户行：浦发银行广州分行</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cs="宋体"/>
          <w:color w:val="auto"/>
        </w:rPr>
        <w:t>8.5.1</w:t>
      </w:r>
      <w:r>
        <w:t>履约担保</w:t>
      </w:r>
      <w:r>
        <w:rPr>
          <w:rFonts w:hint="eastAsia"/>
        </w:rPr>
        <w:t>按以下任一种形式提供</w:t>
      </w:r>
      <w:r>
        <w:t>：</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hint="eastAsia"/>
        </w:rPr>
        <w:t>（1）符合甲方要求（详见附件7保函格式）的银行独立保函，</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hint="eastAsia"/>
        </w:rPr>
        <w:t>（2）现金转账至甲方以下指定账户：</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户名：广州市净水有限公司</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开户行：浦发银行广州分行</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⑵履约银行保函在合同履行完成后，由乙方提出申请，甲方在28日内返还，不支付利息：</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第九条竣工验收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8"/>
        <w:keepNext w:val="0"/>
        <w:keepLines w:val="0"/>
        <w:pageBreakBefore w:val="0"/>
        <w:kinsoku/>
        <w:wordWrap/>
        <w:overflowPunct/>
        <w:bidi w:val="0"/>
        <w:spacing w:line="530" w:lineRule="exact"/>
        <w:ind w:left="0" w:leftChars="0" w:firstLine="480" w:firstLineChars="200"/>
        <w:jc w:val="left"/>
        <w:textAlignment w:val="auto"/>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color w:val="000000"/>
          <w:sz w:val="24"/>
          <w:szCs w:val="24"/>
          <w:highlight w:val="none"/>
          <w:u w:val="single"/>
          <w:lang w:val="en-US" w:eastAsia="zh-CN"/>
        </w:rPr>
        <w:t>广州市净水有限公司石井分公司</w:t>
      </w:r>
      <w:r>
        <w:rPr>
          <w:rFonts w:hint="eastAsia" w:asciiTheme="minorEastAsia" w:hAnsiTheme="minorEastAsia" w:eastAsiaTheme="minorEastAsia" w:cstheme="minorEastAsia"/>
          <w:u w:val="single"/>
          <w:lang w:val="en-US" w:eastAsia="zh-CN"/>
        </w:rPr>
        <w:t xml:space="preserve">   </w:t>
      </w:r>
    </w:p>
    <w:p>
      <w:pPr>
        <w:keepNext w:val="0"/>
        <w:keepLines w:val="0"/>
        <w:pageBreakBefore w:val="0"/>
        <w:numPr>
          <w:ilvl w:val="0"/>
          <w:numId w:val="5"/>
        </w:numPr>
        <w:kinsoku/>
        <w:wordWrap/>
        <w:overflowPunct/>
        <w:bidi w:val="0"/>
        <w:spacing w:line="530" w:lineRule="exact"/>
        <w:ind w:left="0" w:leftChars="0" w:firstLine="482" w:firstLineChars="200"/>
        <w:jc w:val="left"/>
        <w:textAlignment w:val="auto"/>
        <w:rPr>
          <w:rFonts w:ascii="宋体" w:hAnsi="宋体" w:cs="宋体"/>
          <w:b/>
          <w:bCs/>
          <w:sz w:val="24"/>
        </w:rPr>
      </w:pPr>
      <w:bookmarkStart w:id="97" w:name="_Toc520190034"/>
      <w:bookmarkStart w:id="98" w:name="_Toc518992994"/>
      <w:bookmarkStart w:id="99" w:name="_Toc474245220"/>
      <w:r>
        <w:rPr>
          <w:rFonts w:hint="eastAsia" w:ascii="宋体" w:hAnsi="宋体" w:cs="宋体"/>
          <w:b/>
          <w:bCs/>
          <w:sz w:val="24"/>
        </w:rPr>
        <w:t>质量保证</w:t>
      </w:r>
      <w:bookmarkEnd w:id="97"/>
      <w:bookmarkEnd w:id="98"/>
      <w:bookmarkEnd w:id="99"/>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keepNext w:val="0"/>
        <w:keepLines w:val="0"/>
        <w:pageBreakBefore w:val="0"/>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一 </w:t>
      </w:r>
      <w:r>
        <w:rPr>
          <w:rFonts w:hint="eastAsia" w:ascii="宋体" w:hAnsi="宋体" w:cs="宋体"/>
          <w:kern w:val="0"/>
          <w:sz w:val="24"/>
          <w:lang w:val="zh-CN"/>
        </w:rPr>
        <w:t>年。</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sz w:val="24"/>
        </w:rPr>
      </w:pPr>
      <w:bookmarkStart w:id="100" w:name="_Toc107447255"/>
      <w:bookmarkStart w:id="101" w:name="_Toc183666531"/>
      <w:bookmarkStart w:id="102" w:name="_Toc306350467"/>
      <w:bookmarkStart w:id="103" w:name="_Toc520190040"/>
      <w:bookmarkStart w:id="104" w:name="_Toc19692"/>
      <w:bookmarkStart w:id="105" w:name="_Toc518993000"/>
      <w:bookmarkStart w:id="106" w:name="_Toc474245226"/>
      <w:bookmarkStart w:id="107" w:name="_Toc107446862"/>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bookmarkStart w:id="108" w:name="_Toc183666532"/>
      <w:bookmarkStart w:id="109" w:name="_Toc306350468"/>
      <w:bookmarkStart w:id="11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⑵战争行为、入侵、武装冲突或外敌行为、封锁、暴乱、恐怖行为或军事演习；</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107447257"/>
      <w:bookmarkStart w:id="112" w:name="_Toc107446864"/>
      <w:bookmarkStart w:id="113" w:name="_Toc520190041"/>
      <w:bookmarkStart w:id="114" w:name="_Toc474245227"/>
      <w:bookmarkStart w:id="115" w:name="_Toc518993001"/>
      <w:bookmarkStart w:id="116" w:name="_Toc118172294"/>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474245229"/>
      <w:bookmarkStart w:id="120" w:name="_Toc520190043"/>
      <w:bookmarkStart w:id="121" w:name="_Toc518993003"/>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陆 </w:t>
      </w:r>
      <w:r>
        <w:rPr>
          <w:rFonts w:hint="eastAsia" w:ascii="宋体" w:hAnsi="宋体" w:cs="宋体"/>
          <w:sz w:val="24"/>
        </w:rPr>
        <w:t>份，其中：甲方</w:t>
      </w:r>
      <w:r>
        <w:rPr>
          <w:rFonts w:hint="eastAsia" w:ascii="宋体" w:hAnsi="宋体" w:cs="宋体"/>
          <w:sz w:val="24"/>
          <w:u w:val="single"/>
          <w:lang w:val="en-US" w:eastAsia="zh-CN"/>
        </w:rPr>
        <w:t xml:space="preserve"> 肆 </w:t>
      </w:r>
      <w:r>
        <w:rPr>
          <w:rFonts w:hint="eastAsia" w:ascii="宋体" w:hAnsi="宋体" w:cs="宋体"/>
          <w:sz w:val="24"/>
        </w:rPr>
        <w:t>份，乙方</w:t>
      </w:r>
      <w:r>
        <w:rPr>
          <w:rFonts w:hint="eastAsia" w:ascii="宋体" w:hAnsi="宋体" w:cs="宋体"/>
          <w:sz w:val="24"/>
          <w:u w:val="single"/>
          <w:lang w:val="en-US" w:eastAsia="zh-CN"/>
        </w:rPr>
        <w:t xml:space="preserve"> 贰</w:t>
      </w:r>
      <w:r>
        <w:rPr>
          <w:rFonts w:hint="eastAsia" w:ascii="宋体" w:hAnsi="宋体" w:cs="宋体"/>
          <w:sz w:val="24"/>
          <w:lang w:val="en-US" w:eastAsia="zh-CN"/>
        </w:rPr>
        <w:t xml:space="preserve"> </w:t>
      </w:r>
      <w:r>
        <w:rPr>
          <w:rFonts w:hint="eastAsia" w:ascii="宋体" w:hAnsi="宋体" w:cs="宋体"/>
          <w:sz w:val="24"/>
        </w:rPr>
        <w:t>份。</w:t>
      </w:r>
    </w:p>
    <w:p>
      <w:pPr>
        <w:keepNext w:val="0"/>
        <w:keepLines w:val="0"/>
        <w:pageBreakBefore w:val="0"/>
        <w:kinsoku/>
        <w:wordWrap/>
        <w:overflowPunct/>
        <w:bidi w:val="0"/>
        <w:spacing w:line="530" w:lineRule="exact"/>
        <w:ind w:left="0" w:leftChars="0" w:firstLine="480" w:firstLineChars="200"/>
        <w:jc w:val="left"/>
        <w:textAlignment w:val="auto"/>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    </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w:t>
      </w:r>
      <w:r>
        <w:rPr>
          <w:rFonts w:hint="eastAsia" w:ascii="宋体" w:hAnsi="宋体" w:cs="宋体"/>
          <w:sz w:val="24"/>
          <w:lang w:val="en-US" w:eastAsia="zh-CN"/>
        </w:rPr>
        <w:t>报价</w:t>
      </w:r>
      <w:r>
        <w:rPr>
          <w:rFonts w:hint="eastAsia" w:ascii="宋体" w:hAnsi="宋体" w:cs="宋体"/>
          <w:sz w:val="24"/>
        </w:rPr>
        <w:t>单</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p>
    <w:p>
      <w:pPr>
        <w:spacing w:line="384" w:lineRule="auto"/>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防疫管理协议书</w:t>
      </w:r>
      <w:r>
        <w:rPr>
          <w:rFonts w:ascii="宋体" w:hAnsi="宋体" w:cs="宋体"/>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8"/>
        <w:rPr>
          <w:rFonts w:ascii="宋体" w:hAnsi="宋体" w:cs="宋体"/>
          <w:b/>
          <w:bCs/>
          <w:szCs w:val="21"/>
        </w:rPr>
      </w:pPr>
    </w:p>
    <w:p>
      <w:pPr>
        <w:pStyle w:val="9"/>
      </w:pPr>
    </w:p>
    <w:p>
      <w:pPr>
        <w:spacing w:line="360" w:lineRule="auto"/>
        <w:rPr>
          <w:rFonts w:hint="default" w:ascii="宋体" w:hAnsi="宋体" w:cs="宋体" w:eastAsiaTheme="minorEastAsia"/>
          <w:b/>
          <w:bCs/>
          <w:szCs w:val="21"/>
          <w:lang w:val="en-US" w:eastAsia="zh-CN"/>
        </w:rPr>
      </w:pPr>
      <w:r>
        <w:rPr>
          <w:rFonts w:hint="eastAsia" w:ascii="宋体" w:hAnsi="宋体" w:cs="宋体"/>
          <w:b/>
          <w:bCs/>
          <w:szCs w:val="21"/>
        </w:rPr>
        <w:t>附件1  发包通知书</w:t>
      </w:r>
      <w:r>
        <w:rPr>
          <w:rFonts w:hint="eastAsia" w:ascii="宋体" w:hAnsi="宋体" w:cs="宋体"/>
          <w:b/>
          <w:bCs/>
          <w:szCs w:val="21"/>
          <w:lang w:val="en-US" w:eastAsia="zh-CN"/>
        </w:rPr>
        <w:t>/成交通知书</w:t>
      </w: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24" w:name="_Toc389815031"/>
      <w:bookmarkStart w:id="125" w:name="_Toc389815339"/>
      <w:bookmarkStart w:id="126" w:name="_Toc387080836"/>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陆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肆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贰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24"/>
      <w:bookmarkEnd w:id="125"/>
      <w:bookmarkEnd w:id="126"/>
      <w:r>
        <w:rPr>
          <w:rFonts w:hint="eastAsia" w:ascii="宋体" w:hAnsi="宋体" w:cs="宋体"/>
          <w:b/>
          <w:szCs w:val="21"/>
        </w:rPr>
        <w:t>安全管理协议书</w:t>
      </w:r>
    </w:p>
    <w:p>
      <w:pPr>
        <w:spacing w:line="360" w:lineRule="auto"/>
        <w:jc w:val="center"/>
        <w:rPr>
          <w:rFonts w:ascii="宋体" w:hAnsi="宋体" w:cs="宋体"/>
          <w:b/>
          <w:bCs/>
          <w:sz w:val="24"/>
        </w:rPr>
      </w:pPr>
    </w:p>
    <w:p>
      <w:pPr>
        <w:keepNext w:val="0"/>
        <w:keepLines w:val="0"/>
        <w:pageBreakBefore w:val="0"/>
        <w:widowControl w:val="0"/>
        <w:kinsoku/>
        <w:wordWrap/>
        <w:overflowPunct/>
        <w:topLinePunct w:val="0"/>
        <w:autoSpaceDE/>
        <w:autoSpaceDN/>
        <w:bidi w:val="0"/>
        <w:spacing w:line="520" w:lineRule="exact"/>
        <w:jc w:val="center"/>
        <w:textAlignment w:val="auto"/>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keepNext w:val="0"/>
        <w:keepLines w:val="0"/>
        <w:pageBreakBefore w:val="0"/>
        <w:widowControl w:val="0"/>
        <w:kinsoku/>
        <w:wordWrap/>
        <w:overflowPunct/>
        <w:topLinePunct w:val="0"/>
        <w:autoSpaceDE/>
        <w:autoSpaceDN/>
        <w:bidi w:val="0"/>
        <w:spacing w:line="520" w:lineRule="exact"/>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spacing w:line="520" w:lineRule="exact"/>
        <w:textAlignment w:val="auto"/>
        <w:rPr>
          <w:rFonts w:ascii="宋体" w:hAnsi="宋体" w:cs="Arial"/>
          <w:kern w:val="0"/>
          <w:sz w:val="24"/>
        </w:rPr>
      </w:pPr>
      <w:bookmarkStart w:id="127" w:name="_Toc21391"/>
      <w:r>
        <w:rPr>
          <w:rFonts w:hint="eastAsia" w:ascii="宋体" w:hAnsi="宋体" w:cs="Arial"/>
          <w:kern w:val="0"/>
          <w:sz w:val="24"/>
        </w:rPr>
        <w:t>甲方：</w:t>
      </w:r>
      <w:r>
        <w:rPr>
          <w:rFonts w:hint="eastAsia"/>
          <w:sz w:val="24"/>
        </w:rPr>
        <w:t>广州市净水有限公司</w:t>
      </w:r>
    </w:p>
    <w:p>
      <w:pPr>
        <w:keepNext w:val="0"/>
        <w:keepLines w:val="0"/>
        <w:pageBreakBefore w:val="0"/>
        <w:widowControl w:val="0"/>
        <w:kinsoku/>
        <w:wordWrap/>
        <w:overflowPunct/>
        <w:topLinePunct w:val="0"/>
        <w:autoSpaceDE/>
        <w:autoSpaceDN/>
        <w:bidi w:val="0"/>
        <w:spacing w:line="520" w:lineRule="exact"/>
        <w:textAlignment w:val="auto"/>
        <w:rPr>
          <w:rFonts w:ascii="宋体" w:hAnsi="宋体" w:cs="Arial"/>
          <w:kern w:val="0"/>
          <w:sz w:val="24"/>
        </w:rPr>
      </w:pPr>
      <w:r>
        <w:rPr>
          <w:rFonts w:hint="eastAsia" w:ascii="宋体" w:hAnsi="宋体" w:cs="Arial"/>
          <w:kern w:val="0"/>
          <w:sz w:val="24"/>
        </w:rPr>
        <w:t xml:space="preserve">乙方：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Style w:val="26"/>
          <w:rFonts w:asciiTheme="minorEastAsia" w:hAnsiTheme="minorEastAsia" w:eastAsiaTheme="minorEastAsia"/>
          <w:b w:val="0"/>
          <w:u w:val="single"/>
        </w:rPr>
      </w:pPr>
    </w:p>
    <w:bookmarkEnd w:id="127"/>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eastAsia="宋体" w:cs="宋体"/>
          <w:b/>
          <w:szCs w:val="21"/>
        </w:rPr>
        <w:t>工程量报价单</w:t>
      </w:r>
    </w:p>
    <w:p>
      <w:pPr>
        <w:pStyle w:val="9"/>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4038"/>
        <w:gridCol w:w="101"/>
        <w:gridCol w:w="1445"/>
        <w:gridCol w:w="666"/>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color w:val="000000"/>
                <w:kern w:val="0"/>
                <w:sz w:val="40"/>
                <w:szCs w:val="40"/>
                <w:lang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5300.34</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8867.57</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9"/>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2"/>
        <w:gridCol w:w="1318"/>
        <w:gridCol w:w="1216"/>
        <w:gridCol w:w="2058"/>
        <w:gridCol w:w="272"/>
        <w:gridCol w:w="422"/>
        <w:gridCol w:w="744"/>
        <w:gridCol w:w="91"/>
        <w:gridCol w:w="706"/>
        <w:gridCol w:w="79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路由器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铁构件制作、安装</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金属结构刷油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9"/>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571"/>
        <w:gridCol w:w="1269"/>
        <w:gridCol w:w="500"/>
        <w:gridCol w:w="183"/>
        <w:gridCol w:w="847"/>
        <w:gridCol w:w="495"/>
        <w:gridCol w:w="328"/>
        <w:gridCol w:w="822"/>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Theme="minorEastAsia" w:hAnsiTheme="minorEastAsia" w:eastAsiaTheme="minorEastAsia" w:cstheme="minorEastAsia"/>
                <w:sz w:val="21"/>
                <w:szCs w:val="21"/>
                <w:u w:val="none"/>
                <w:lang w:val="en-US" w:eastAsia="zh-CN"/>
              </w:rPr>
              <w:t>5300.34</w:t>
            </w: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3" w:hRule="atLeast"/>
        </w:trPr>
        <w:tc>
          <w:tcPr>
            <w:tcW w:w="32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40"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03"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9"/>
        <w:spacing w:line="240" w:lineRule="auto"/>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8867.57</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9"/>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7"/>
        <w:gridCol w:w="2068"/>
        <w:gridCol w:w="2305"/>
        <w:gridCol w:w="1516"/>
        <w:gridCol w:w="28"/>
        <w:gridCol w:w="923"/>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6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9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53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3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69"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3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9"/>
        <w:rPr>
          <w:rFonts w:ascii="宋体" w:hAnsi="宋体" w:eastAsia="宋体" w:cs="宋体"/>
          <w:b/>
          <w:szCs w:val="21"/>
        </w:rPr>
      </w:pPr>
    </w:p>
    <w:p>
      <w:pPr>
        <w:pStyle w:val="9"/>
        <w:rPr>
          <w:rFonts w:ascii="宋体" w:hAnsi="宋体" w:eastAsia="宋体" w:cs="宋体"/>
          <w:b/>
          <w:szCs w:val="21"/>
          <w:highlight w:val="yellow"/>
        </w:rPr>
      </w:pPr>
    </w:p>
    <w:p>
      <w:pPr>
        <w:pStyle w:val="9"/>
        <w:rPr>
          <w:rFonts w:ascii="宋体" w:hAnsi="宋体" w:eastAsia="宋体" w:cs="宋体"/>
          <w:b/>
          <w:szCs w:val="21"/>
          <w:highlight w:val="yellow"/>
        </w:rPr>
      </w:pPr>
    </w:p>
    <w:p>
      <w:pPr>
        <w:pStyle w:val="9"/>
        <w:rPr>
          <w:rFonts w:ascii="宋体" w:hAnsi="宋体" w:eastAsia="宋体" w:cs="宋体"/>
          <w:b/>
          <w:szCs w:val="21"/>
          <w:highlight w:val="yellow"/>
        </w:rPr>
      </w:pPr>
    </w:p>
    <w:p>
      <w:pPr>
        <w:pStyle w:val="9"/>
        <w:rPr>
          <w:rFonts w:ascii="宋体" w:hAnsi="宋体" w:eastAsia="宋体" w:cs="宋体"/>
          <w:b/>
          <w:szCs w:val="21"/>
          <w:highlight w:val="yellow"/>
        </w:rPr>
      </w:pPr>
    </w:p>
    <w:p>
      <w:pPr>
        <w:spacing w:line="360" w:lineRule="auto"/>
        <w:rPr>
          <w:rFonts w:ascii="宋体" w:hAnsi="宋体" w:cs="宋体"/>
          <w:sz w:val="24"/>
        </w:rPr>
      </w:pPr>
    </w:p>
    <w:p>
      <w:pPr>
        <w:spacing w:line="360" w:lineRule="auto"/>
        <w:rPr>
          <w:rFonts w:ascii="宋体" w:hAnsi="宋体" w:cs="宋体"/>
          <w:sz w:val="24"/>
        </w:rPr>
      </w:pPr>
    </w:p>
    <w:p>
      <w:pPr>
        <w:pStyle w:val="9"/>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：项目投入人员架构表</w:t>
      </w:r>
    </w:p>
    <w:p>
      <w:pPr>
        <w:rPr>
          <w:rFonts w:cs="仿宋_GB2312" w:asciiTheme="minorEastAsia" w:hAnsiTheme="minorEastAsia" w:eastAsiaTheme="minorEastAsia"/>
          <w:sz w:val="24"/>
        </w:rPr>
      </w:pP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eastAsia="宋体" w:cs="宋体"/>
          <w:b/>
          <w:bCs/>
          <w:sz w:val="24"/>
          <w:szCs w:val="24"/>
        </w:rPr>
      </w:pPr>
      <w:r>
        <w:rPr>
          <w:rFonts w:hint="eastAsia" w:ascii="宋体" w:hAnsi="宋体" w:cs="宋体"/>
          <w:b/>
          <w:sz w:val="24"/>
          <w:szCs w:val="24"/>
        </w:rPr>
        <w:t>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pStyle w:val="8"/>
        <w:rPr>
          <w:rFonts w:cs="仿宋_GB2312" w:asciiTheme="minorEastAsia" w:hAnsiTheme="minorEastAsia" w:eastAsiaTheme="minorEastAsia"/>
          <w:sz w:val="24"/>
        </w:rPr>
      </w:pPr>
    </w:p>
    <w:p>
      <w:pPr>
        <w:pStyle w:val="9"/>
        <w:rPr>
          <w:rFonts w:cs="仿宋_GB2312" w:asciiTheme="minorEastAsia" w:hAnsiTheme="minorEastAsia" w:eastAsiaTheme="minorEastAsia"/>
          <w:sz w:val="24"/>
        </w:rPr>
      </w:pPr>
    </w:p>
    <w:p>
      <w:pPr>
        <w:pStyle w:val="9"/>
        <w:rPr>
          <w:rFonts w:cs="仿宋_GB2312" w:asciiTheme="minorEastAsia" w:hAnsiTheme="minorEastAsia" w:eastAsiaTheme="minorEastAsia"/>
          <w:sz w:val="24"/>
        </w:rPr>
      </w:pPr>
    </w:p>
    <w:p>
      <w:pPr>
        <w:pStyle w:val="9"/>
        <w:rPr>
          <w:rFonts w:cs="仿宋_GB2312" w:asciiTheme="minorEastAsia" w:hAnsiTheme="minorEastAsia" w:eastAsiaTheme="minorEastAsia"/>
          <w:sz w:val="24"/>
        </w:rPr>
      </w:pPr>
    </w:p>
    <w:p>
      <w:pPr>
        <w:pStyle w:val="9"/>
        <w:rPr>
          <w:rFonts w:cs="仿宋_GB2312" w:asciiTheme="minorEastAsia" w:hAnsiTheme="minorEastAsia" w:eastAsiaTheme="minorEastAsia"/>
          <w:sz w:val="24"/>
        </w:rPr>
      </w:pPr>
    </w:p>
    <w:p>
      <w:pPr>
        <w:pStyle w:val="9"/>
        <w:rPr>
          <w:rFonts w:cs="仿宋_GB2312" w:asciiTheme="minorEastAsia" w:hAnsiTheme="minorEastAsia" w:eastAsiaTheme="minorEastAsia"/>
          <w:sz w:val="24"/>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560" w:lineRule="exact"/>
        <w:ind w:firstLine="105" w:firstLineChars="50"/>
        <w:rPr>
          <w:rFonts w:ascii="仿宋_GB2312" w:eastAsia="仿宋_GB2312"/>
          <w:b/>
          <w:sz w:val="28"/>
          <w:szCs w:val="28"/>
        </w:rPr>
      </w:pPr>
      <w:r>
        <w:rPr>
          <w:rFonts w:hint="eastAsia" w:ascii="宋体" w:hAnsi="宋体" w:eastAsia="宋体" w:cs="宋体"/>
          <w:b/>
          <w:bCs/>
          <w:color w:val="000000"/>
          <w:szCs w:val="21"/>
        </w:rPr>
        <w:t>附件</w:t>
      </w:r>
      <w:r>
        <w:rPr>
          <w:rFonts w:hint="eastAsia" w:ascii="宋体" w:hAnsi="宋体" w:cs="宋体"/>
          <w:b/>
          <w:bCs/>
          <w:color w:val="000000"/>
          <w:szCs w:val="21"/>
          <w:lang w:val="en-US" w:eastAsia="zh-CN"/>
        </w:rPr>
        <w:t>6</w:t>
      </w:r>
      <w:r>
        <w:rPr>
          <w:rFonts w:hint="eastAsia" w:ascii="宋体" w:hAnsi="宋体" w:eastAsia="宋体" w:cs="宋体"/>
          <w:b/>
          <w:bCs/>
          <w:color w:val="000000"/>
          <w:szCs w:val="21"/>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8"/>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adjustRightInd w:val="0"/>
        <w:snapToGrid w:val="0"/>
        <w:spacing w:line="440" w:lineRule="exact"/>
        <w:rPr>
          <w:rFonts w:asciiTheme="minorEastAsia" w:hAnsiTheme="minorEastAsia" w:cstheme="minorEastAsia"/>
          <w:sz w:val="24"/>
          <w:szCs w:val="24"/>
        </w:rPr>
      </w:pPr>
    </w:p>
    <w:p>
      <w:pPr>
        <w:pStyle w:val="22"/>
        <w:ind w:firstLine="0"/>
        <w:rPr>
          <w:rFonts w:cs="宋体"/>
          <w:b/>
          <w:bCs/>
        </w:rPr>
      </w:pPr>
    </w:p>
    <w:p>
      <w:pPr>
        <w:pStyle w:val="9"/>
        <w:rPr>
          <w:rFonts w:cs="仿宋_GB2312" w:asciiTheme="minorEastAsia" w:hAnsiTheme="minorEastAsia" w:eastAsiaTheme="minorEastAsia"/>
          <w:sz w:val="24"/>
        </w:rPr>
      </w:pPr>
    </w:p>
    <w:p>
      <w:pPr>
        <w:pStyle w:val="38"/>
      </w:pPr>
    </w:p>
    <w:p>
      <w:pPr>
        <w:pStyle w:val="38"/>
      </w:pPr>
    </w:p>
    <w:p>
      <w:pPr>
        <w:pStyle w:val="38"/>
      </w:pPr>
    </w:p>
    <w:p>
      <w:pPr>
        <w:pStyle w:val="22"/>
      </w:pPr>
      <w:bookmarkStart w:id="128" w:name="_Toc6230"/>
      <w:bookmarkStart w:id="129" w:name="_Toc12169"/>
      <w:bookmarkStart w:id="130" w:name="_Toc5129"/>
      <w:bookmarkStart w:id="131" w:name="_Toc8147"/>
      <w:bookmarkStart w:id="132" w:name="_Toc21847"/>
      <w:bookmarkStart w:id="133" w:name="_Toc3723"/>
      <w:bookmarkStart w:id="134" w:name="_Toc1563"/>
      <w:bookmarkStart w:id="135" w:name="_Toc30824"/>
      <w:bookmarkStart w:id="136" w:name="_Toc28358"/>
      <w:bookmarkStart w:id="137" w:name="_Toc23515"/>
      <w:bookmarkStart w:id="138" w:name="_Toc16552"/>
    </w:p>
    <w:p>
      <w:pPr>
        <w:pStyle w:val="22"/>
      </w:pPr>
    </w:p>
    <w:p>
      <w:pPr>
        <w:pStyle w:val="22"/>
      </w:pPr>
    </w:p>
    <w:p>
      <w:pPr>
        <w:pStyle w:val="22"/>
      </w:pPr>
    </w:p>
    <w:p>
      <w:pPr>
        <w:pStyle w:val="22"/>
      </w:pPr>
    </w:p>
    <w:p>
      <w:pPr>
        <w:pStyle w:val="22"/>
      </w:pPr>
    </w:p>
    <w:p>
      <w:pPr>
        <w:pStyle w:val="22"/>
      </w:pPr>
    </w:p>
    <w:p>
      <w:pPr>
        <w:pStyle w:val="3"/>
        <w:jc w:val="both"/>
        <w:rPr>
          <w:rFonts w:hint="eastAsia"/>
        </w:rPr>
      </w:pPr>
    </w:p>
    <w:p>
      <w:pPr>
        <w:pStyle w:val="3"/>
        <w:rPr>
          <w:rFonts w:hint="eastAsia"/>
        </w:rPr>
      </w:pPr>
      <w:r>
        <mc:AlternateContent>
          <mc:Choice Requires="wps">
            <w:drawing>
              <wp:anchor distT="0" distB="0" distL="114300" distR="114300" simplePos="0" relativeHeight="251666432" behindDoc="0" locked="0" layoutInCell="1" allowOverlap="1">
                <wp:simplePos x="0" y="0"/>
                <wp:positionH relativeFrom="column">
                  <wp:posOffset>2345690</wp:posOffset>
                </wp:positionH>
                <wp:positionV relativeFrom="paragraph">
                  <wp:posOffset>692785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7pt;margin-top:54.55pt;height:0pt;width:75.5pt;z-index:251666432;mso-width-relative:page;mso-height-relative:page;" filled="f" stroked="t" coordsize="21600,21600" o:gfxdata="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nSwzn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3"/>
      </w:pPr>
      <w:r>
        <mc:AlternateContent>
          <mc:Choice Requires="wps">
            <w:drawing>
              <wp:anchor distT="0" distB="0" distL="114300" distR="114300" simplePos="0" relativeHeight="251667456" behindDoc="0" locked="0" layoutInCell="1" allowOverlap="1">
                <wp:simplePos x="0" y="0"/>
                <wp:positionH relativeFrom="column">
                  <wp:posOffset>2359025</wp:posOffset>
                </wp:positionH>
                <wp:positionV relativeFrom="paragraph">
                  <wp:posOffset>631825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75pt;margin-top:49.75pt;height:0pt;width:75.5pt;z-index:251667456;mso-width-relative:page;mso-height-relative:page;" filled="f" stroked="t" coordsize="21600,21600" o:gfxdata="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pNna/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8"/>
      </w:pPr>
    </w:p>
    <w:p>
      <w:pPr>
        <w:pStyle w:val="3"/>
      </w:pPr>
      <w:bookmarkStart w:id="139" w:name="_Toc17119"/>
      <w:bookmarkStart w:id="140" w:name="_Toc87616388"/>
      <w:bookmarkStart w:id="141" w:name="_Toc5342"/>
      <w:bookmarkStart w:id="142" w:name="_Toc24490"/>
      <w:bookmarkStart w:id="143" w:name="_Toc31564"/>
      <w:bookmarkStart w:id="144" w:name="_Toc22764"/>
      <w:bookmarkStart w:id="145" w:name="_Toc88209951"/>
      <w:bookmarkStart w:id="146" w:name="_Toc10840"/>
      <w:bookmarkStart w:id="147" w:name="_Toc24815"/>
      <w:bookmarkStart w:id="148" w:name="_Toc12769"/>
      <w:bookmarkStart w:id="149" w:name="_Toc21675"/>
      <w:bookmarkStart w:id="150" w:name="_Toc30157"/>
      <w:bookmarkStart w:id="151" w:name="_Toc12610"/>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156" w:beforeLines="50" w:after="156" w:afterLines="50" w:line="600" w:lineRule="exact"/>
        <w:jc w:val="center"/>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pStyle w:val="8"/>
        <w:rPr>
          <w:rFonts w:hint="eastAsia"/>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仿宋_GB2312" w:eastAsia="仿宋_GB2312"/>
          <w:sz w:val="30"/>
          <w:szCs w:val="30"/>
        </w:rPr>
        <w:t>（项目编号：   ）</w:t>
      </w: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both"/>
        <w:rPr>
          <w:rFonts w:ascii="方正小标宋简体" w:eastAsia="方正小标宋简体"/>
          <w:sz w:val="44"/>
          <w:szCs w:val="44"/>
        </w:rPr>
      </w:pPr>
    </w:p>
    <w:p>
      <w:pPr>
        <w:pStyle w:val="8"/>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8209953"/>
      <w:bookmarkStart w:id="155" w:name="_Toc87616390"/>
      <w:r>
        <w:rPr>
          <w:rFonts w:hint="eastAsia" w:ascii="仿宋_GB2312" w:eastAsia="仿宋_GB2312"/>
          <w:sz w:val="28"/>
          <w:szCs w:val="28"/>
        </w:rPr>
        <w:t>2.法定代表人证明或授权委托书</w:t>
      </w:r>
      <w:bookmarkEnd w:id="154"/>
      <w:bookmarkEnd w:id="155"/>
      <w:bookmarkStart w:id="156" w:name="_Toc87616393"/>
      <w:bookmarkStart w:id="157"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22"/>
      </w:pPr>
    </w:p>
    <w:p>
      <w:pPr>
        <w:pStyle w:val="5"/>
        <w:rPr>
          <w:rFonts w:asciiTheme="minorEastAsia" w:hAnsiTheme="minorEastAsia" w:eastAsiaTheme="minorEastAsia"/>
          <w:sz w:val="28"/>
          <w:szCs w:val="28"/>
        </w:rPr>
      </w:pPr>
      <w:bookmarkStart w:id="158" w:name="_Toc6313"/>
      <w:bookmarkStart w:id="159" w:name="_Toc87616394"/>
      <w:bookmarkStart w:id="160" w:name="_Toc12665"/>
      <w:bookmarkStart w:id="161" w:name="_Toc28619645"/>
      <w:bookmarkStart w:id="162" w:name="_Toc88209957"/>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22527"/>
      <w:bookmarkStart w:id="164" w:name="_Toc29833"/>
      <w:bookmarkStart w:id="165" w:name="_Toc88209958"/>
      <w:bookmarkStart w:id="166" w:name="_Toc87616395"/>
    </w:p>
    <w:p>
      <w:pPr>
        <w:pStyle w:val="22"/>
      </w:pPr>
    </w:p>
    <w:p>
      <w:pPr>
        <w:pStyle w:val="5"/>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pageBreakBefore w:val="0"/>
        <w:widowControl w:val="0"/>
        <w:kinsoku/>
        <w:wordWrap/>
        <w:overflowPunct/>
        <w:topLinePunct w:val="0"/>
        <w:autoSpaceDE/>
        <w:autoSpaceDN/>
        <w:bidi w:val="0"/>
        <w:adjustRightInd/>
        <w:snapToGrid/>
        <w:spacing w:line="480" w:lineRule="exact"/>
        <w:textAlignment w:val="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keepNext w:val="0"/>
        <w:keepLines w:val="0"/>
        <w:pageBreakBefore w:val="0"/>
        <w:widowControl w:val="0"/>
        <w:kinsoku/>
        <w:wordWrap/>
        <w:overflowPunct/>
        <w:topLinePunct w:val="0"/>
        <w:bidi w:val="0"/>
        <w:adjustRightInd w:val="0"/>
        <w:snapToGrid w:val="0"/>
        <w:spacing w:after="0" w:line="56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9"/>
        <w:keepNext w:val="0"/>
        <w:keepLines w:val="0"/>
        <w:pageBreakBefore w:val="0"/>
        <w:widowControl w:val="0"/>
        <w:kinsoku/>
        <w:wordWrap/>
        <w:overflowPunct/>
        <w:topLinePunct w:val="0"/>
        <w:bidi w:val="0"/>
        <w:adjustRightInd w:val="0"/>
        <w:snapToGrid w:val="0"/>
        <w:spacing w:after="0" w:line="56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8"/>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7" w:name="_Toc8086"/>
      <w:bookmarkStart w:id="168" w:name="_Toc87616400"/>
      <w:bookmarkStart w:id="169" w:name="_Toc19830"/>
      <w:bookmarkStart w:id="170"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rPr>
        <w:t>广州市净水有限公司</w:t>
      </w:r>
      <w:r>
        <w:rPr>
          <w:rFonts w:hint="eastAsia" w:ascii="宋体" w:hAnsi="宋体" w:eastAsia="宋体" w:cs="宋体"/>
          <w:sz w:val="24"/>
          <w:szCs w:val="24"/>
          <w:u w:val="single"/>
          <w:lang w:val="en-GB" w:eastAsia="zh-CN"/>
        </w:rPr>
        <w:t>石井分公司2022年厂区烟感报警器安装项目（第二次）</w:t>
      </w:r>
      <w:r>
        <w:rPr>
          <w:rFonts w:hint="eastAsia" w:ascii="宋体" w:hAnsi="宋体" w:eastAsia="宋体" w:cs="宋体"/>
          <w:sz w:val="24"/>
          <w:szCs w:val="24"/>
          <w:lang w:val="en-GB"/>
        </w:rPr>
        <w:t>（</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pPr>
    </w:p>
    <w:p>
      <w:pPr>
        <w:pStyle w:val="22"/>
        <w:ind w:firstLine="0"/>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rPr>
          <w:rFonts w:ascii="仿宋_GB2312" w:eastAsia="仿宋_GB2312" w:hAnsiTheme="minorEastAsia"/>
          <w:sz w:val="28"/>
          <w:szCs w:val="28"/>
        </w:rPr>
      </w:pPr>
      <w:r>
        <w:rPr>
          <w:rFonts w:hint="eastAsia" w:eastAsia="宋体" w:cs="宋体"/>
          <w:color w:val="auto"/>
          <w:kern w:val="2"/>
          <w:lang w:val="en-GB"/>
        </w:rPr>
        <w:t>年  月  日</w:t>
      </w: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5"/>
        <w:rPr>
          <w:rFonts w:asciiTheme="minorEastAsia" w:hAnsiTheme="minorEastAsia" w:eastAsiaTheme="minorEastAsia"/>
          <w:sz w:val="28"/>
          <w:szCs w:val="28"/>
        </w:rPr>
      </w:pPr>
      <w:bookmarkStart w:id="172" w:name="_Toc19423"/>
      <w:bookmarkStart w:id="173" w:name="_Toc32430"/>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48"/>
              <w:jc w:val="center"/>
              <w:rPr>
                <w:rFonts w:hAnsi="宋体" w:eastAsia="宋体"/>
                <w:b/>
                <w:bCs/>
                <w:color w:val="auto"/>
              </w:rPr>
            </w:pPr>
            <w:r>
              <w:rPr>
                <w:rFonts w:hint="eastAsia" w:hAnsi="宋体" w:eastAsia="宋体"/>
                <w:b/>
                <w:bCs/>
                <w:color w:val="auto"/>
              </w:rPr>
              <w:t>序号</w:t>
            </w:r>
          </w:p>
        </w:tc>
        <w:tc>
          <w:tcPr>
            <w:tcW w:w="4800" w:type="dxa"/>
            <w:vAlign w:val="center"/>
          </w:tcPr>
          <w:p>
            <w:pPr>
              <w:pStyle w:val="48"/>
              <w:jc w:val="center"/>
              <w:rPr>
                <w:rFonts w:hAnsi="宋体" w:eastAsia="宋体"/>
                <w:b/>
                <w:bCs/>
                <w:color w:val="auto"/>
              </w:rPr>
            </w:pPr>
            <w:r>
              <w:rPr>
                <w:rFonts w:hint="eastAsia" w:hAnsi="宋体" w:eastAsia="宋体"/>
                <w:b/>
                <w:bCs/>
                <w:color w:val="auto"/>
              </w:rPr>
              <w:t>项目名称</w:t>
            </w:r>
          </w:p>
        </w:tc>
        <w:tc>
          <w:tcPr>
            <w:tcW w:w="2986" w:type="dxa"/>
            <w:vAlign w:val="center"/>
          </w:tcPr>
          <w:p>
            <w:pPr>
              <w:pStyle w:val="48"/>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74" w:type="dxa"/>
            <w:vAlign w:val="center"/>
          </w:tcPr>
          <w:p>
            <w:pPr>
              <w:pStyle w:val="48"/>
              <w:spacing w:line="360" w:lineRule="auto"/>
              <w:jc w:val="center"/>
              <w:outlineLvl w:val="1"/>
              <w:rPr>
                <w:rFonts w:hAnsi="宋体" w:eastAsia="宋体"/>
                <w:b/>
                <w:bCs/>
                <w:color w:val="auto"/>
              </w:rPr>
            </w:pPr>
            <w:r>
              <w:rPr>
                <w:rFonts w:hint="eastAsia" w:hAnsi="宋体" w:eastAsia="宋体"/>
                <w:b/>
                <w:bCs/>
                <w:color w:val="auto"/>
              </w:rPr>
              <w:t>1</w:t>
            </w:r>
          </w:p>
        </w:tc>
        <w:tc>
          <w:tcPr>
            <w:tcW w:w="4800" w:type="dxa"/>
            <w:vAlign w:val="center"/>
          </w:tcPr>
          <w:p>
            <w:pPr>
              <w:widowControl/>
              <w:jc w:val="left"/>
              <w:textAlignment w:val="center"/>
              <w:rPr>
                <w:rFonts w:ascii="宋体" w:hAnsi="宋体" w:eastAsia="宋体" w:cs="宋体"/>
                <w:b/>
                <w:bCs/>
                <w:sz w:val="22"/>
              </w:rPr>
            </w:pPr>
            <w:r>
              <w:rPr>
                <w:rFonts w:hint="eastAsia" w:ascii="宋体" w:hAnsi="宋体" w:eastAsia="宋体" w:cs="宋体"/>
                <w:kern w:val="0"/>
                <w:sz w:val="24"/>
                <w:szCs w:val="24"/>
                <w:lang w:val="en-US" w:eastAsia="zh-CN" w:bidi="ar"/>
              </w:rPr>
              <w:t>广州市净水有限公司石井分公司2022年厂区烟感报警器安装项目（第二次）</w:t>
            </w:r>
          </w:p>
        </w:tc>
        <w:tc>
          <w:tcPr>
            <w:tcW w:w="2986" w:type="dxa"/>
            <w:vAlign w:val="center"/>
          </w:tcPr>
          <w:p>
            <w:pPr>
              <w:pStyle w:val="4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274" w:type="dxa"/>
            <w:shd w:val="clear" w:color="auto" w:fill="auto"/>
            <w:vAlign w:val="center"/>
          </w:tcPr>
          <w:p>
            <w:pPr>
              <w:pStyle w:val="12"/>
              <w:spacing w:line="360" w:lineRule="auto"/>
              <w:jc w:val="center"/>
              <w:outlineLvl w:val="1"/>
              <w:rPr>
                <w:rFonts w:hAnsi="宋体" w:eastAsia="宋体" w:cs="宋体"/>
                <w:b/>
                <w:bCs/>
                <w:sz w:val="24"/>
                <w:szCs w:val="24"/>
              </w:rPr>
            </w:pPr>
          </w:p>
        </w:tc>
        <w:tc>
          <w:tcPr>
            <w:tcW w:w="4800" w:type="dxa"/>
            <w:shd w:val="clear" w:color="auto" w:fill="auto"/>
            <w:vAlign w:val="center"/>
          </w:tcPr>
          <w:p>
            <w:pPr>
              <w:pStyle w:val="12"/>
              <w:spacing w:line="360" w:lineRule="auto"/>
              <w:jc w:val="center"/>
              <w:outlineLvl w:val="1"/>
              <w:rPr>
                <w:rFonts w:hAnsi="宋体" w:eastAsia="宋体" w:cs="宋体"/>
                <w:b/>
                <w:bCs/>
                <w:sz w:val="24"/>
                <w:szCs w:val="24"/>
              </w:rPr>
            </w:pPr>
            <w:r>
              <w:rPr>
                <w:rFonts w:hint="eastAsia" w:hAnsi="宋体" w:eastAsia="宋体" w:cs="宋体"/>
                <w:b/>
                <w:bCs/>
                <w:sz w:val="24"/>
                <w:szCs w:val="24"/>
              </w:rPr>
              <w:t>合计</w:t>
            </w:r>
          </w:p>
        </w:tc>
        <w:tc>
          <w:tcPr>
            <w:tcW w:w="2986" w:type="dxa"/>
            <w:vAlign w:val="center"/>
          </w:tcPr>
          <w:p>
            <w:pPr>
              <w:pStyle w:val="48"/>
              <w:jc w:val="center"/>
              <w:rPr>
                <w:rFonts w:hAnsi="宋体" w:eastAsia="宋体"/>
                <w:color w:val="auto"/>
              </w:rPr>
            </w:pPr>
          </w:p>
        </w:tc>
      </w:tr>
    </w:tbl>
    <w:p>
      <w:pPr>
        <w:numPr>
          <w:ilvl w:val="0"/>
          <w:numId w:val="0"/>
        </w:numPr>
        <w:adjustRightInd w:val="0"/>
        <w:snapToGrid w:val="0"/>
        <w:spacing w:line="600" w:lineRule="exact"/>
        <w:ind w:firstLine="560" w:firstLineChars="200"/>
        <w:rPr>
          <w:rFonts w:hint="eastAsia" w:ascii="宋体" w:hAnsi="宋体" w:eastAsia="宋体" w:cs="宋体"/>
          <w:b/>
          <w:szCs w:val="21"/>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报价表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4038"/>
        <w:gridCol w:w="101"/>
        <w:gridCol w:w="1445"/>
        <w:gridCol w:w="666"/>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color w:val="000000"/>
                <w:kern w:val="0"/>
                <w:sz w:val="40"/>
                <w:szCs w:val="40"/>
                <w:lang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5300.34</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8867.57</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9"/>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2"/>
        <w:gridCol w:w="1318"/>
        <w:gridCol w:w="1216"/>
        <w:gridCol w:w="2058"/>
        <w:gridCol w:w="272"/>
        <w:gridCol w:w="422"/>
        <w:gridCol w:w="744"/>
        <w:gridCol w:w="91"/>
        <w:gridCol w:w="706"/>
        <w:gridCol w:w="79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路由器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铁构件制作、安装</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金属结构刷油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9"/>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571"/>
        <w:gridCol w:w="1269"/>
        <w:gridCol w:w="500"/>
        <w:gridCol w:w="183"/>
        <w:gridCol w:w="847"/>
        <w:gridCol w:w="495"/>
        <w:gridCol w:w="328"/>
        <w:gridCol w:w="822"/>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Theme="minorEastAsia" w:hAnsiTheme="minorEastAsia" w:eastAsiaTheme="minorEastAsia" w:cstheme="minorEastAsia"/>
                <w:sz w:val="21"/>
                <w:szCs w:val="21"/>
                <w:u w:val="none"/>
                <w:lang w:val="en-US" w:eastAsia="zh-CN"/>
              </w:rPr>
              <w:t>5300.34</w:t>
            </w: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3" w:hRule="atLeast"/>
        </w:trPr>
        <w:tc>
          <w:tcPr>
            <w:tcW w:w="32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40"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3"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9"/>
        <w:spacing w:line="240" w:lineRule="auto"/>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8867.57</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9"/>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7"/>
        <w:gridCol w:w="2068"/>
        <w:gridCol w:w="2305"/>
        <w:gridCol w:w="1516"/>
        <w:gridCol w:w="28"/>
        <w:gridCol w:w="923"/>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工程名称：广州市净水有限公司石井分公司2022年厂区烟感报警器安装项目（第二次）</w:t>
            </w:r>
          </w:p>
        </w:tc>
        <w:tc>
          <w:tcPr>
            <w:tcW w:w="8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6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9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53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3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69"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3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both"/>
        <w:rPr>
          <w:rFonts w:ascii="宋体" w:hAnsi="宋体" w:eastAsia="宋体" w:cs="宋体"/>
          <w:sz w:val="24"/>
          <w:szCs w:val="24"/>
          <w:lang w:val="en-GB"/>
        </w:rPr>
      </w:pPr>
    </w:p>
    <w:p>
      <w:pPr>
        <w:pStyle w:val="9"/>
        <w:rPr>
          <w:lang w:val="en-GB"/>
        </w:rPr>
      </w:pPr>
    </w:p>
    <w:p>
      <w:pPr>
        <w:adjustRightInd w:val="0"/>
        <w:snapToGrid w:val="0"/>
        <w:spacing w:line="360" w:lineRule="auto"/>
        <w:jc w:val="center"/>
        <w:rPr>
          <w:rFonts w:ascii="宋体" w:hAnsi="宋体" w:eastAsia="宋体" w:cs="宋体"/>
          <w:sz w:val="24"/>
          <w:szCs w:val="24"/>
          <w:lang w:val="en-GB"/>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供应商名称（加盖公章）： </w:t>
      </w:r>
    </w:p>
    <w:p>
      <w:pPr>
        <w:adjustRightInd w:val="0"/>
        <w:snapToGrid w:val="0"/>
        <w:spacing w:line="600" w:lineRule="exact"/>
        <w:jc w:val="center"/>
        <w:rPr>
          <w:rFonts w:ascii="仿宋_GB2312" w:eastAsia="仿宋_GB2312" w:hAnsiTheme="minorEastAsia"/>
          <w:sz w:val="28"/>
          <w:szCs w:val="28"/>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日</w:t>
      </w:r>
    </w:p>
    <w:p>
      <w:pPr>
        <w:pStyle w:val="22"/>
        <w:rPr>
          <w:rFonts w:ascii="仿宋_GB2312" w:eastAsia="仿宋_GB2312" w:hAnsiTheme="minorEastAsia"/>
          <w:sz w:val="28"/>
          <w:szCs w:val="28"/>
        </w:rPr>
      </w:pPr>
    </w:p>
    <w:p>
      <w:pPr>
        <w:pStyle w:val="22"/>
      </w:pPr>
    </w:p>
    <w:p>
      <w:pPr>
        <w:pStyle w:val="22"/>
      </w:pPr>
    </w:p>
    <w:p>
      <w:pPr>
        <w:pStyle w:val="22"/>
      </w:pPr>
    </w:p>
    <w:p>
      <w:pPr>
        <w:pStyle w:val="22"/>
      </w:pPr>
    </w:p>
    <w:p>
      <w:pPr>
        <w:pStyle w:val="22"/>
      </w:pPr>
      <w:bookmarkStart w:id="178" w:name="_GoBack"/>
      <w:bookmarkEnd w:id="178"/>
    </w:p>
    <w:p>
      <w:pPr>
        <w:pStyle w:val="5"/>
        <w:rPr>
          <w:rFonts w:asciiTheme="majorEastAsia" w:hAnsiTheme="majorEastAsia" w:eastAsiaTheme="majorEastAsia"/>
          <w:sz w:val="28"/>
          <w:szCs w:val="28"/>
        </w:rPr>
      </w:pPr>
      <w:bookmarkStart w:id="174" w:name="_Toc16386"/>
      <w:bookmarkStart w:id="175" w:name="_Toc87616402"/>
      <w:bookmarkStart w:id="176" w:name="_Toc88209965"/>
      <w:bookmarkStart w:id="177" w:name="_Toc6058"/>
      <w:r>
        <w:rPr>
          <w:rFonts w:hint="eastAsia" w:eastAsiaTheme="majorEastAsia"/>
        </w:rPr>
        <w:t>6</w:t>
      </w:r>
      <w:r>
        <w:rPr>
          <w:rFonts w:hint="eastAsia" w:asciiTheme="majorEastAsia" w:hAnsiTheme="majorEastAsia" w:eastAsiaTheme="majorEastAsia"/>
          <w:sz w:val="28"/>
          <w:szCs w:val="28"/>
        </w:rPr>
        <w:t>.其他资料</w:t>
      </w:r>
      <w:bookmarkEnd w:id="174"/>
      <w:bookmarkEnd w:id="175"/>
      <w:bookmarkEnd w:id="176"/>
      <w:bookmarkEnd w:id="177"/>
    </w:p>
    <w:p>
      <w:pPr>
        <w:adjustRightInd w:val="0"/>
        <w:snapToGrid w:val="0"/>
        <w:spacing w:line="600" w:lineRule="exact"/>
        <w:ind w:firstLine="570"/>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sectPr>
      <w:footerReference r:id="rId11" w:type="first"/>
      <w:footerReference r:id="rId1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FE92AA0D"/>
    <w:multiLevelType w:val="singleLevel"/>
    <w:tmpl w:val="FE92AA0D"/>
    <w:lvl w:ilvl="0" w:tentative="0">
      <w:start w:val="1"/>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e66e94d6-323a-4d0e-8208-ec6fc9bb451f"/>
  </w:docVars>
  <w:rsids>
    <w:rsidRoot w:val="005D618A"/>
    <w:rsid w:val="00324256"/>
    <w:rsid w:val="003872FE"/>
    <w:rsid w:val="003D60BA"/>
    <w:rsid w:val="00407182"/>
    <w:rsid w:val="00411689"/>
    <w:rsid w:val="005D618A"/>
    <w:rsid w:val="006007AB"/>
    <w:rsid w:val="0086738F"/>
    <w:rsid w:val="00911ECD"/>
    <w:rsid w:val="009E6350"/>
    <w:rsid w:val="00A042E0"/>
    <w:rsid w:val="00A47814"/>
    <w:rsid w:val="00AD71A6"/>
    <w:rsid w:val="00B26BB1"/>
    <w:rsid w:val="00B26E21"/>
    <w:rsid w:val="00C14B03"/>
    <w:rsid w:val="00C6045C"/>
    <w:rsid w:val="00CD33D3"/>
    <w:rsid w:val="00F75347"/>
    <w:rsid w:val="00F83B64"/>
    <w:rsid w:val="01600158"/>
    <w:rsid w:val="02090C75"/>
    <w:rsid w:val="021A4ADB"/>
    <w:rsid w:val="02A23A3C"/>
    <w:rsid w:val="03AC246A"/>
    <w:rsid w:val="03B23056"/>
    <w:rsid w:val="03DC3EBA"/>
    <w:rsid w:val="03F9794D"/>
    <w:rsid w:val="043E17FF"/>
    <w:rsid w:val="046A2461"/>
    <w:rsid w:val="047006A8"/>
    <w:rsid w:val="05995B49"/>
    <w:rsid w:val="05DD2B18"/>
    <w:rsid w:val="06C64829"/>
    <w:rsid w:val="071926F7"/>
    <w:rsid w:val="077D16D2"/>
    <w:rsid w:val="08675FC8"/>
    <w:rsid w:val="08804834"/>
    <w:rsid w:val="099928DC"/>
    <w:rsid w:val="09B713FD"/>
    <w:rsid w:val="09D13733"/>
    <w:rsid w:val="09EF6ACC"/>
    <w:rsid w:val="0A315056"/>
    <w:rsid w:val="0A6A0048"/>
    <w:rsid w:val="0AFB45AD"/>
    <w:rsid w:val="0B351E9B"/>
    <w:rsid w:val="0B4C50D3"/>
    <w:rsid w:val="0B7B3209"/>
    <w:rsid w:val="0B806B92"/>
    <w:rsid w:val="0B827E94"/>
    <w:rsid w:val="0B9307A2"/>
    <w:rsid w:val="0BD070E1"/>
    <w:rsid w:val="0BE34556"/>
    <w:rsid w:val="0BEA08E7"/>
    <w:rsid w:val="0C247926"/>
    <w:rsid w:val="0C7D3B4D"/>
    <w:rsid w:val="0CC34B8B"/>
    <w:rsid w:val="0D5B011C"/>
    <w:rsid w:val="0D794204"/>
    <w:rsid w:val="0DB50078"/>
    <w:rsid w:val="0E2125D1"/>
    <w:rsid w:val="0E214211"/>
    <w:rsid w:val="0E3957C7"/>
    <w:rsid w:val="0E5F2769"/>
    <w:rsid w:val="0EC91B3C"/>
    <w:rsid w:val="0F0A3BA7"/>
    <w:rsid w:val="0F383D81"/>
    <w:rsid w:val="0F4D75A3"/>
    <w:rsid w:val="0F5B2DCA"/>
    <w:rsid w:val="0F713C26"/>
    <w:rsid w:val="0FED051E"/>
    <w:rsid w:val="0FEE4C29"/>
    <w:rsid w:val="10046082"/>
    <w:rsid w:val="103305D8"/>
    <w:rsid w:val="1092654A"/>
    <w:rsid w:val="10A44694"/>
    <w:rsid w:val="112B101A"/>
    <w:rsid w:val="11315192"/>
    <w:rsid w:val="11601662"/>
    <w:rsid w:val="11650D33"/>
    <w:rsid w:val="119B53FC"/>
    <w:rsid w:val="11E32D6C"/>
    <w:rsid w:val="12424CDC"/>
    <w:rsid w:val="129A2738"/>
    <w:rsid w:val="12B56BF1"/>
    <w:rsid w:val="12CB1A89"/>
    <w:rsid w:val="131840FB"/>
    <w:rsid w:val="13375E48"/>
    <w:rsid w:val="13467417"/>
    <w:rsid w:val="136E76CF"/>
    <w:rsid w:val="142078A9"/>
    <w:rsid w:val="14E61045"/>
    <w:rsid w:val="15103CD0"/>
    <w:rsid w:val="15944EEB"/>
    <w:rsid w:val="15BC6B3C"/>
    <w:rsid w:val="16003810"/>
    <w:rsid w:val="163F682C"/>
    <w:rsid w:val="1694429A"/>
    <w:rsid w:val="17146C56"/>
    <w:rsid w:val="1728706D"/>
    <w:rsid w:val="17635326"/>
    <w:rsid w:val="17727205"/>
    <w:rsid w:val="179C5E42"/>
    <w:rsid w:val="17E06633"/>
    <w:rsid w:val="17F61926"/>
    <w:rsid w:val="18236EFD"/>
    <w:rsid w:val="182E0CB8"/>
    <w:rsid w:val="188D1DE4"/>
    <w:rsid w:val="189D5B1F"/>
    <w:rsid w:val="18A34CD0"/>
    <w:rsid w:val="18CE3E98"/>
    <w:rsid w:val="19291BFF"/>
    <w:rsid w:val="19B64DBC"/>
    <w:rsid w:val="1A373ACF"/>
    <w:rsid w:val="1A581A19"/>
    <w:rsid w:val="1A895341"/>
    <w:rsid w:val="1B0D071F"/>
    <w:rsid w:val="1B4568CE"/>
    <w:rsid w:val="1B9015B7"/>
    <w:rsid w:val="1BC04E70"/>
    <w:rsid w:val="1C326A23"/>
    <w:rsid w:val="1CBD494F"/>
    <w:rsid w:val="1CF103F8"/>
    <w:rsid w:val="1D1C7339"/>
    <w:rsid w:val="1D5A79EE"/>
    <w:rsid w:val="1DB508BE"/>
    <w:rsid w:val="1DB86249"/>
    <w:rsid w:val="1E0E2CD0"/>
    <w:rsid w:val="1E5D0E5D"/>
    <w:rsid w:val="1E831280"/>
    <w:rsid w:val="1EBC4704"/>
    <w:rsid w:val="1EE64160"/>
    <w:rsid w:val="1F172EB5"/>
    <w:rsid w:val="1F284737"/>
    <w:rsid w:val="1F474421"/>
    <w:rsid w:val="1F94592D"/>
    <w:rsid w:val="1FB860DE"/>
    <w:rsid w:val="203C5A02"/>
    <w:rsid w:val="209D4C94"/>
    <w:rsid w:val="20E84705"/>
    <w:rsid w:val="218400BA"/>
    <w:rsid w:val="21AB1E2F"/>
    <w:rsid w:val="21D40498"/>
    <w:rsid w:val="22457ACF"/>
    <w:rsid w:val="22767047"/>
    <w:rsid w:val="22783AE1"/>
    <w:rsid w:val="229A56A6"/>
    <w:rsid w:val="22F425EF"/>
    <w:rsid w:val="23A05588"/>
    <w:rsid w:val="23FB6910"/>
    <w:rsid w:val="242F7523"/>
    <w:rsid w:val="243667B6"/>
    <w:rsid w:val="24DA6FD0"/>
    <w:rsid w:val="250A5FE2"/>
    <w:rsid w:val="25243808"/>
    <w:rsid w:val="25431AEB"/>
    <w:rsid w:val="256C76DD"/>
    <w:rsid w:val="25BF43FD"/>
    <w:rsid w:val="25F86BCD"/>
    <w:rsid w:val="25FF5E4C"/>
    <w:rsid w:val="26673907"/>
    <w:rsid w:val="269E416A"/>
    <w:rsid w:val="2716101F"/>
    <w:rsid w:val="272100D3"/>
    <w:rsid w:val="272C72FC"/>
    <w:rsid w:val="2749593C"/>
    <w:rsid w:val="27CD0040"/>
    <w:rsid w:val="27EB149D"/>
    <w:rsid w:val="27FD3E52"/>
    <w:rsid w:val="2834108A"/>
    <w:rsid w:val="28975BB3"/>
    <w:rsid w:val="28CD69F7"/>
    <w:rsid w:val="28E11370"/>
    <w:rsid w:val="294A756A"/>
    <w:rsid w:val="29D5322D"/>
    <w:rsid w:val="2A025DD9"/>
    <w:rsid w:val="2A6D20E7"/>
    <w:rsid w:val="2A7C2231"/>
    <w:rsid w:val="2A856479"/>
    <w:rsid w:val="2ABB753D"/>
    <w:rsid w:val="2ADA211C"/>
    <w:rsid w:val="2B196B97"/>
    <w:rsid w:val="2B2B5C0F"/>
    <w:rsid w:val="2B7A49FA"/>
    <w:rsid w:val="2C4F039F"/>
    <w:rsid w:val="2C615D26"/>
    <w:rsid w:val="2CB679ED"/>
    <w:rsid w:val="2CE41A4F"/>
    <w:rsid w:val="2CFC6DCE"/>
    <w:rsid w:val="2D173C07"/>
    <w:rsid w:val="2D424A86"/>
    <w:rsid w:val="2DC42CE2"/>
    <w:rsid w:val="2DED793F"/>
    <w:rsid w:val="2E7B52DB"/>
    <w:rsid w:val="2EAC5B92"/>
    <w:rsid w:val="2F324CFE"/>
    <w:rsid w:val="2FBA09F1"/>
    <w:rsid w:val="2FD15B4A"/>
    <w:rsid w:val="2FEF2ACF"/>
    <w:rsid w:val="30134A3E"/>
    <w:rsid w:val="30540211"/>
    <w:rsid w:val="30CC4D09"/>
    <w:rsid w:val="312D7741"/>
    <w:rsid w:val="3165624E"/>
    <w:rsid w:val="316F137F"/>
    <w:rsid w:val="317E02CB"/>
    <w:rsid w:val="31972F9E"/>
    <w:rsid w:val="31DF525F"/>
    <w:rsid w:val="32324C2E"/>
    <w:rsid w:val="327171DF"/>
    <w:rsid w:val="341E3434"/>
    <w:rsid w:val="351E2F1B"/>
    <w:rsid w:val="354F0349"/>
    <w:rsid w:val="356F2313"/>
    <w:rsid w:val="35AC4DA2"/>
    <w:rsid w:val="35E460D6"/>
    <w:rsid w:val="360B7EBA"/>
    <w:rsid w:val="369C32FD"/>
    <w:rsid w:val="36F5662E"/>
    <w:rsid w:val="37526A55"/>
    <w:rsid w:val="37666E72"/>
    <w:rsid w:val="37A9391E"/>
    <w:rsid w:val="37BE2BCC"/>
    <w:rsid w:val="37C5228F"/>
    <w:rsid w:val="38167A04"/>
    <w:rsid w:val="394B167A"/>
    <w:rsid w:val="395419C4"/>
    <w:rsid w:val="396104C5"/>
    <w:rsid w:val="3A4E4336"/>
    <w:rsid w:val="3A6007FE"/>
    <w:rsid w:val="3AEC4AAD"/>
    <w:rsid w:val="3AF12819"/>
    <w:rsid w:val="3B4A61AD"/>
    <w:rsid w:val="3B7C2CE4"/>
    <w:rsid w:val="3C0B5355"/>
    <w:rsid w:val="3C270AB7"/>
    <w:rsid w:val="3C5718B8"/>
    <w:rsid w:val="3CD4176B"/>
    <w:rsid w:val="3D1F44D9"/>
    <w:rsid w:val="3D4A7597"/>
    <w:rsid w:val="3D5C38CD"/>
    <w:rsid w:val="3D6114FE"/>
    <w:rsid w:val="3E0800F3"/>
    <w:rsid w:val="3E3C567E"/>
    <w:rsid w:val="3E5070F1"/>
    <w:rsid w:val="3EF42371"/>
    <w:rsid w:val="3F0A4E49"/>
    <w:rsid w:val="3F6C3589"/>
    <w:rsid w:val="3F737382"/>
    <w:rsid w:val="3F850180"/>
    <w:rsid w:val="3F9004D6"/>
    <w:rsid w:val="3FF61A95"/>
    <w:rsid w:val="400A451E"/>
    <w:rsid w:val="400E4D5E"/>
    <w:rsid w:val="402B5F36"/>
    <w:rsid w:val="402F7EFE"/>
    <w:rsid w:val="407C6DED"/>
    <w:rsid w:val="40E1138C"/>
    <w:rsid w:val="40FF326C"/>
    <w:rsid w:val="413814BA"/>
    <w:rsid w:val="41872511"/>
    <w:rsid w:val="42140FBE"/>
    <w:rsid w:val="42466655"/>
    <w:rsid w:val="42A51A4F"/>
    <w:rsid w:val="42C82F57"/>
    <w:rsid w:val="42D0544D"/>
    <w:rsid w:val="43C76AF7"/>
    <w:rsid w:val="43FA3CF9"/>
    <w:rsid w:val="446828F0"/>
    <w:rsid w:val="44A62595"/>
    <w:rsid w:val="455F5432"/>
    <w:rsid w:val="45673673"/>
    <w:rsid w:val="45795E90"/>
    <w:rsid w:val="458C7ADE"/>
    <w:rsid w:val="45C13B4D"/>
    <w:rsid w:val="46054BCA"/>
    <w:rsid w:val="464C6AFC"/>
    <w:rsid w:val="46571993"/>
    <w:rsid w:val="468B0091"/>
    <w:rsid w:val="46A107C3"/>
    <w:rsid w:val="46B15CE2"/>
    <w:rsid w:val="46BE113D"/>
    <w:rsid w:val="46E44B13"/>
    <w:rsid w:val="46EE25C8"/>
    <w:rsid w:val="47014FCC"/>
    <w:rsid w:val="4703508A"/>
    <w:rsid w:val="475023F8"/>
    <w:rsid w:val="47670051"/>
    <w:rsid w:val="47980CD3"/>
    <w:rsid w:val="479D361E"/>
    <w:rsid w:val="47B74789"/>
    <w:rsid w:val="480F2B9D"/>
    <w:rsid w:val="4821154F"/>
    <w:rsid w:val="48282920"/>
    <w:rsid w:val="485321E0"/>
    <w:rsid w:val="48546AD3"/>
    <w:rsid w:val="48CA4868"/>
    <w:rsid w:val="48E24C72"/>
    <w:rsid w:val="48F005D3"/>
    <w:rsid w:val="498F4AF1"/>
    <w:rsid w:val="49C05787"/>
    <w:rsid w:val="49CD217F"/>
    <w:rsid w:val="49CF518D"/>
    <w:rsid w:val="4ADA1F63"/>
    <w:rsid w:val="4AE23D89"/>
    <w:rsid w:val="4B1D01E3"/>
    <w:rsid w:val="4B2038D0"/>
    <w:rsid w:val="4B296E7D"/>
    <w:rsid w:val="4B7D1A7A"/>
    <w:rsid w:val="4B877F28"/>
    <w:rsid w:val="4BD60CA6"/>
    <w:rsid w:val="4C3E62B8"/>
    <w:rsid w:val="4C402DC8"/>
    <w:rsid w:val="4C6C2B55"/>
    <w:rsid w:val="4CBD3C34"/>
    <w:rsid w:val="4CF31004"/>
    <w:rsid w:val="4D916BA6"/>
    <w:rsid w:val="4DC44169"/>
    <w:rsid w:val="4DE76A53"/>
    <w:rsid w:val="4E3704A8"/>
    <w:rsid w:val="4E6F0898"/>
    <w:rsid w:val="4EAC3B65"/>
    <w:rsid w:val="4EF0709E"/>
    <w:rsid w:val="4EF27D04"/>
    <w:rsid w:val="4F3246BD"/>
    <w:rsid w:val="50456F8B"/>
    <w:rsid w:val="513C6A7B"/>
    <w:rsid w:val="519F0131"/>
    <w:rsid w:val="529C0B07"/>
    <w:rsid w:val="5333545B"/>
    <w:rsid w:val="53784C66"/>
    <w:rsid w:val="540C33CC"/>
    <w:rsid w:val="5450213C"/>
    <w:rsid w:val="547808CF"/>
    <w:rsid w:val="549B16B7"/>
    <w:rsid w:val="54D24048"/>
    <w:rsid w:val="54D64CD5"/>
    <w:rsid w:val="554F6252"/>
    <w:rsid w:val="55887D69"/>
    <w:rsid w:val="55D571FD"/>
    <w:rsid w:val="561A0928"/>
    <w:rsid w:val="56423872"/>
    <w:rsid w:val="566B4D4A"/>
    <w:rsid w:val="56B279F0"/>
    <w:rsid w:val="57362972"/>
    <w:rsid w:val="579D710E"/>
    <w:rsid w:val="57AE3DF4"/>
    <w:rsid w:val="57DB745C"/>
    <w:rsid w:val="581F22F6"/>
    <w:rsid w:val="586E1E17"/>
    <w:rsid w:val="58862C35"/>
    <w:rsid w:val="58B73FB5"/>
    <w:rsid w:val="58C14957"/>
    <w:rsid w:val="59347431"/>
    <w:rsid w:val="59B4067F"/>
    <w:rsid w:val="5A202317"/>
    <w:rsid w:val="5A285D49"/>
    <w:rsid w:val="5AE83A50"/>
    <w:rsid w:val="5AFA4FF6"/>
    <w:rsid w:val="5BAB2917"/>
    <w:rsid w:val="5BAF26CF"/>
    <w:rsid w:val="5BFC33FA"/>
    <w:rsid w:val="5C092028"/>
    <w:rsid w:val="5C3107A4"/>
    <w:rsid w:val="5C3B1B93"/>
    <w:rsid w:val="5C9220DF"/>
    <w:rsid w:val="5D4A15F3"/>
    <w:rsid w:val="5D69542A"/>
    <w:rsid w:val="5DDE3802"/>
    <w:rsid w:val="5E0930EF"/>
    <w:rsid w:val="5E3D4D53"/>
    <w:rsid w:val="5E4717E6"/>
    <w:rsid w:val="5E55774C"/>
    <w:rsid w:val="5F3705FF"/>
    <w:rsid w:val="5F5807B7"/>
    <w:rsid w:val="5FA70F6C"/>
    <w:rsid w:val="60104DDC"/>
    <w:rsid w:val="605C0804"/>
    <w:rsid w:val="60A563A7"/>
    <w:rsid w:val="6189617B"/>
    <w:rsid w:val="61B52BB6"/>
    <w:rsid w:val="61B749C2"/>
    <w:rsid w:val="61DB0DFF"/>
    <w:rsid w:val="62280D20"/>
    <w:rsid w:val="622C5B5B"/>
    <w:rsid w:val="62A67249"/>
    <w:rsid w:val="62CA2457"/>
    <w:rsid w:val="6340659E"/>
    <w:rsid w:val="63740FE2"/>
    <w:rsid w:val="638240A1"/>
    <w:rsid w:val="63A5257B"/>
    <w:rsid w:val="63BD3DCC"/>
    <w:rsid w:val="63C61741"/>
    <w:rsid w:val="63FE2C2C"/>
    <w:rsid w:val="64560967"/>
    <w:rsid w:val="656B1D10"/>
    <w:rsid w:val="659B2EBF"/>
    <w:rsid w:val="65E2458B"/>
    <w:rsid w:val="65E60A3C"/>
    <w:rsid w:val="66022B28"/>
    <w:rsid w:val="66200FCB"/>
    <w:rsid w:val="66581E87"/>
    <w:rsid w:val="66F27871"/>
    <w:rsid w:val="66FA11D5"/>
    <w:rsid w:val="672D4BFB"/>
    <w:rsid w:val="674302C7"/>
    <w:rsid w:val="680A5986"/>
    <w:rsid w:val="680D5F4B"/>
    <w:rsid w:val="68113F51"/>
    <w:rsid w:val="68553A05"/>
    <w:rsid w:val="68E94770"/>
    <w:rsid w:val="68F07D87"/>
    <w:rsid w:val="68F708D2"/>
    <w:rsid w:val="68F949C9"/>
    <w:rsid w:val="68F9743F"/>
    <w:rsid w:val="6916122F"/>
    <w:rsid w:val="695A4290"/>
    <w:rsid w:val="695B411C"/>
    <w:rsid w:val="69884262"/>
    <w:rsid w:val="69A1231A"/>
    <w:rsid w:val="6A334932"/>
    <w:rsid w:val="6A3353FF"/>
    <w:rsid w:val="6A5D63E6"/>
    <w:rsid w:val="6A5F24D1"/>
    <w:rsid w:val="6A786D8C"/>
    <w:rsid w:val="6AE347EB"/>
    <w:rsid w:val="6B434AF0"/>
    <w:rsid w:val="6B57675A"/>
    <w:rsid w:val="6B971BD3"/>
    <w:rsid w:val="6BDD7B4D"/>
    <w:rsid w:val="6C0812C0"/>
    <w:rsid w:val="6C240F7A"/>
    <w:rsid w:val="6D4160BF"/>
    <w:rsid w:val="6D776EA9"/>
    <w:rsid w:val="6DEB1B30"/>
    <w:rsid w:val="6DF67774"/>
    <w:rsid w:val="6E301597"/>
    <w:rsid w:val="6EBC0B3A"/>
    <w:rsid w:val="6EC7159E"/>
    <w:rsid w:val="6EF51C7D"/>
    <w:rsid w:val="6F614293"/>
    <w:rsid w:val="6F8363E5"/>
    <w:rsid w:val="6FA04F19"/>
    <w:rsid w:val="6FA406F7"/>
    <w:rsid w:val="6FC746F5"/>
    <w:rsid w:val="70317AC6"/>
    <w:rsid w:val="70863262"/>
    <w:rsid w:val="70A1528F"/>
    <w:rsid w:val="70A76ED3"/>
    <w:rsid w:val="71860B17"/>
    <w:rsid w:val="71987335"/>
    <w:rsid w:val="71ED6D3E"/>
    <w:rsid w:val="723B27CC"/>
    <w:rsid w:val="725646C3"/>
    <w:rsid w:val="72687227"/>
    <w:rsid w:val="72A03FD9"/>
    <w:rsid w:val="72F61D99"/>
    <w:rsid w:val="72FD24DD"/>
    <w:rsid w:val="73406CFF"/>
    <w:rsid w:val="73634CB4"/>
    <w:rsid w:val="736E0871"/>
    <w:rsid w:val="7383028C"/>
    <w:rsid w:val="73A25E44"/>
    <w:rsid w:val="73CA39CA"/>
    <w:rsid w:val="73ED4347"/>
    <w:rsid w:val="741F68CF"/>
    <w:rsid w:val="75252DF3"/>
    <w:rsid w:val="75550D5A"/>
    <w:rsid w:val="75621536"/>
    <w:rsid w:val="75BF3154"/>
    <w:rsid w:val="764A07CF"/>
    <w:rsid w:val="764F6B3D"/>
    <w:rsid w:val="76CD2B7B"/>
    <w:rsid w:val="76D80645"/>
    <w:rsid w:val="76DE441B"/>
    <w:rsid w:val="76E03371"/>
    <w:rsid w:val="77D342EA"/>
    <w:rsid w:val="780E5898"/>
    <w:rsid w:val="782642CC"/>
    <w:rsid w:val="7894095E"/>
    <w:rsid w:val="78BF57A5"/>
    <w:rsid w:val="78E27FB5"/>
    <w:rsid w:val="79000679"/>
    <w:rsid w:val="79A416F0"/>
    <w:rsid w:val="79B03EB6"/>
    <w:rsid w:val="7A244940"/>
    <w:rsid w:val="7AF37579"/>
    <w:rsid w:val="7AF87F64"/>
    <w:rsid w:val="7B1C0C84"/>
    <w:rsid w:val="7B5A62DF"/>
    <w:rsid w:val="7B7A04A8"/>
    <w:rsid w:val="7B9207D0"/>
    <w:rsid w:val="7B9867A6"/>
    <w:rsid w:val="7BDB7F1C"/>
    <w:rsid w:val="7BFF3B20"/>
    <w:rsid w:val="7C05779D"/>
    <w:rsid w:val="7C0C3F6D"/>
    <w:rsid w:val="7C22163C"/>
    <w:rsid w:val="7C595075"/>
    <w:rsid w:val="7C6B07B2"/>
    <w:rsid w:val="7D133243"/>
    <w:rsid w:val="7D972E6C"/>
    <w:rsid w:val="7DB647EB"/>
    <w:rsid w:val="7DF67FF0"/>
    <w:rsid w:val="7E394207"/>
    <w:rsid w:val="7E4007A2"/>
    <w:rsid w:val="7E791CAD"/>
    <w:rsid w:val="7E9836E2"/>
    <w:rsid w:val="7EA50DFB"/>
    <w:rsid w:val="7EC07E21"/>
    <w:rsid w:val="7EC86878"/>
    <w:rsid w:val="7EED169F"/>
    <w:rsid w:val="7F16390D"/>
    <w:rsid w:val="7F691D27"/>
    <w:rsid w:val="7F752917"/>
    <w:rsid w:val="7FE37961"/>
    <w:rsid w:val="7FF633F9"/>
    <w:rsid w:val="7FF9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3"/>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30092</Words>
  <Characters>32760</Characters>
  <Lines>251</Lines>
  <Paragraphs>70</Paragraphs>
  <TotalTime>10</TotalTime>
  <ScaleCrop>false</ScaleCrop>
  <LinksUpToDate>false</LinksUpToDate>
  <CharactersWithSpaces>35264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2022-11-03T07:22:00Z</cp:lastPrinted>
  <dcterms:modified xsi:type="dcterms:W3CDTF">2023-01-20T01:56:49Z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A6671E874FA14614BC2975BCC3DCCBF9</vt:lpwstr>
  </property>
</Properties>
</file>