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广州市净水有限公司环城北净水厂职业病危害预评价及职业病防护设施设计专篇技术咨询项目</w:t>
      </w:r>
    </w:p>
    <w:p>
      <w:pPr>
        <w:pStyle w:val="2"/>
        <w:rPr>
          <w:rFonts w:hint="eastAsia"/>
          <w:lang w:val="en-US" w:eastAsia="zh-CN"/>
        </w:rPr>
      </w:pPr>
    </w:p>
    <w:p>
      <w:pPr>
        <w:jc w:val="center"/>
        <w:rPr>
          <w:rFonts w:ascii="仿宋_GB2312" w:eastAsia="仿宋_GB2312"/>
          <w:color w:val="auto"/>
          <w:sz w:val="32"/>
          <w:szCs w:val="3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jc w:val="both"/>
        <w:rPr>
          <w:rFonts w:hint="eastAsia"/>
          <w:color w:val="auto"/>
          <w:highlight w:val="none"/>
        </w:rPr>
      </w:pPr>
      <w:bookmarkStart w:id="4" w:name="_Toc11322"/>
      <w:bookmarkStart w:id="5" w:name="_Toc7519"/>
      <w:bookmarkStart w:id="6" w:name="_Toc31938"/>
      <w:bookmarkStart w:id="7" w:name="_Toc1669"/>
      <w:bookmarkStart w:id="8" w:name="_Toc4275"/>
      <w:bookmarkStart w:id="9" w:name="_Toc17801"/>
      <w:bookmarkStart w:id="10" w:name="_Toc19609"/>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2355215</wp:posOffset>
                </wp:positionH>
                <wp:positionV relativeFrom="paragraph">
                  <wp:posOffset>514350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45pt;margin-top:40.5pt;height:0pt;width:75.5pt;z-index:251671552;mso-width-relative:page;mso-height-relative:page;" filled="f" stroked="t" coordsize="21600,21600" o:gfxdata="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wNP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广州市净水有限公司环城北净水厂职业病危害预评价及职业病防护设施设计专篇技术咨询项目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广州市净水有限公司环城北净水厂职业病危害预评价及职业病防护设施设计专篇技术咨询项目</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XJ-20230120-1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10.71万元，其中职业病危害预评价5.445万元，职业病防护设施设计专篇5.265万元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本项目包括职业病危害预评价以及职业病防护设施设计专篇两部分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根据</w:t>
      </w:r>
      <w:r>
        <w:rPr>
          <w:rFonts w:hint="eastAsia" w:ascii="仿宋_GB2312" w:eastAsia="仿宋_GB2312"/>
          <w:color w:val="auto"/>
          <w:sz w:val="28"/>
          <w:szCs w:val="28"/>
          <w:highlight w:val="none"/>
          <w:u w:val="single"/>
          <w:lang w:eastAsia="zh-CN"/>
        </w:rPr>
        <w:t>《建设项目职业病防护设施“三同时”监督管理办法》（国家安全生产监督管理总局令 第90号）要求，</w:t>
      </w:r>
      <w:r>
        <w:rPr>
          <w:rFonts w:hint="eastAsia" w:ascii="仿宋_GB2312" w:eastAsia="仿宋_GB2312"/>
          <w:color w:val="auto"/>
          <w:sz w:val="28"/>
          <w:szCs w:val="28"/>
          <w:highlight w:val="none"/>
          <w:u w:val="single"/>
          <w:lang w:val="en-US" w:eastAsia="zh-CN"/>
        </w:rPr>
        <w:t>配合环城北净水厂的项目建设进度实施</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本项目包括职业病危害预评价以及职业病防护设施设计专篇两部分，对应的工作内容如下：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预评价：对建设项目相关的平面布置、生产工艺及设备布局、职业病危害防护设备、辅助卫生设施、应急救援设施、个人防护用品、职业卫生管理措施等方面进行职业病危害预评价，并依据国家相关法律、法规、标准对企业减少或控制职业病的发生，提高劳动生产率提出可行的建议，以利于预防、控制和消除建设项目中存在的职业病危害因素，从而直接或间接地提高企业的经济效益。</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 xml:space="preserve">设计专篇：根据该建设项目可能产生的职业病危害因素进行分析及危害程度预测，对防毒、防暑、降噪等防护设施和应急救援设施的名称、规格、型号、数量、分布等内容进行设计，并对防控性能进行分析；对总平面布置、生产工艺及设备布局、建筑卫生学、辅助用室及卫生设施等防控措施进行设计；对预评价报告中拟采取的职业病防护设施、防护措施及对策措施采纳情况进行说明；列出职业病防护设施和应急救援设施投资概（预）算；对本工程采用的职业病防护设施和应急救援设施的预期效果进行评价。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合同签订之日起至合同约定履行完成</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spacing w:line="360" w:lineRule="auto"/>
        <w:ind w:firstLine="0" w:firstLineChars="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两个阶段的成果均</w:t>
      </w:r>
      <w:r>
        <w:rPr>
          <w:rFonts w:hint="eastAsia" w:ascii="仿宋_GB2312" w:hAnsi="仿宋_GB2312" w:eastAsia="仿宋_GB2312" w:cs="仿宋_GB2312"/>
          <w:color w:val="auto"/>
          <w:sz w:val="28"/>
          <w:szCs w:val="28"/>
          <w:highlight w:val="none"/>
          <w:u w:val="single"/>
        </w:rPr>
        <w:t>通过专家评审并修改完善后提供最终成果，以及配合甲方将</w:t>
      </w:r>
      <w:r>
        <w:rPr>
          <w:rFonts w:hint="eastAsia" w:ascii="仿宋_GB2312" w:hAnsi="仿宋_GB2312" w:eastAsia="仿宋_GB2312" w:cs="仿宋_GB2312"/>
          <w:color w:val="auto"/>
          <w:sz w:val="28"/>
          <w:szCs w:val="28"/>
          <w:highlight w:val="none"/>
          <w:u w:val="single"/>
          <w:lang w:val="en-US" w:eastAsia="zh-CN"/>
        </w:rPr>
        <w:t>两个阶段的</w:t>
      </w:r>
      <w:r>
        <w:rPr>
          <w:rFonts w:hint="eastAsia" w:ascii="仿宋_GB2312" w:hAnsi="仿宋_GB2312" w:eastAsia="仿宋_GB2312" w:cs="仿宋_GB2312"/>
          <w:color w:val="auto"/>
          <w:sz w:val="28"/>
          <w:szCs w:val="28"/>
          <w:highlight w:val="none"/>
          <w:u w:val="single"/>
        </w:rPr>
        <w:t>过程资料形成符合《建设项目职业病防护设施“三同时”监督管理办法》（国家安全生产监督管理总局令 第90号）要求的书面报告</w:t>
      </w:r>
      <w:r>
        <w:rPr>
          <w:rFonts w:hint="eastAsia" w:ascii="仿宋_GB2312" w:hAnsi="仿宋_GB2312" w:eastAsia="仿宋_GB2312" w:cs="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职业卫生技术服务机构资质证书</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一项类似生产型企业的职业病危害预评价以及职业病防护设施设计专篇</w:t>
      </w:r>
      <w:r>
        <w:rPr>
          <w:rFonts w:hint="eastAsia" w:ascii="仿宋_GB2312" w:eastAsia="仿宋_GB2312"/>
          <w:color w:val="auto"/>
          <w:sz w:val="28"/>
          <w:szCs w:val="28"/>
          <w:highlight w:val="none"/>
        </w:rPr>
        <w:t>的业绩。（提供合同复印件证明，包括但不限于项目名称、金额及实施内容、合同签字盖章、签订日期，</w:t>
      </w:r>
      <w:r>
        <w:rPr>
          <w:rFonts w:hint="eastAsia" w:ascii="仿宋_GB2312" w:eastAsia="仿宋_GB2312"/>
          <w:color w:val="auto"/>
          <w:sz w:val="28"/>
          <w:szCs w:val="28"/>
          <w:highlight w:val="none"/>
          <w:lang w:val="en-US" w:eastAsia="zh-CN"/>
        </w:rPr>
        <w:t>以及对应的成果（报告封面、专家评审意见）</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并</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hAnsi="仿宋" w:eastAsia="仿宋_GB2312" w:cs="仿宋"/>
          <w:color w:val="auto"/>
          <w:sz w:val="28"/>
          <w:szCs w:val="28"/>
          <w:highlight w:val="none"/>
          <w:u w:val="none"/>
        </w:rPr>
        <w:t>高级工程师</w:t>
      </w:r>
      <w:r>
        <w:rPr>
          <w:rFonts w:hint="eastAsia" w:ascii="仿宋_GB2312" w:hAnsi="仿宋" w:eastAsia="仿宋_GB2312" w:cs="仿宋"/>
          <w:color w:val="auto"/>
          <w:sz w:val="28"/>
          <w:szCs w:val="28"/>
          <w:highlight w:val="none"/>
          <w:u w:val="none"/>
          <w:lang w:val="en-US" w:eastAsia="zh-CN"/>
        </w:rPr>
        <w:t>职称</w:t>
      </w:r>
      <w:r>
        <w:rPr>
          <w:rFonts w:hint="eastAsia" w:ascii="仿宋_GB2312" w:hAnsi="仿宋" w:eastAsia="仿宋_GB2312" w:cs="仿宋"/>
          <w:color w:val="auto"/>
          <w:sz w:val="28"/>
          <w:szCs w:val="28"/>
          <w:highlight w:val="none"/>
          <w:u w:val="none"/>
        </w:rPr>
        <w:t>，并提供在本单位近三个月社保记录</w:t>
      </w:r>
      <w:r>
        <w:rPr>
          <w:rFonts w:hint="eastAsia" w:ascii="仿宋_GB2312" w:hAnsi="仿宋" w:eastAsia="仿宋_GB2312" w:cs="仿宋"/>
          <w:color w:val="auto"/>
          <w:sz w:val="28"/>
          <w:szCs w:val="28"/>
          <w:highlight w:val="none"/>
          <w:u w:val="none"/>
          <w:lang w:eastAsia="zh-CN"/>
        </w:rPr>
        <w:t>（以加盖社会保险基金管理中心印章的《缴费历史明细表》或《社会保险参保人员证明》为准，</w:t>
      </w:r>
      <w:r>
        <w:rPr>
          <w:rFonts w:hint="eastAsia" w:ascii="仿宋_GB2312" w:hAnsi="仿宋" w:eastAsia="仿宋_GB2312" w:cs="仿宋"/>
          <w:color w:val="auto"/>
          <w:sz w:val="28"/>
          <w:szCs w:val="28"/>
          <w:highlight w:val="none"/>
          <w:u w:val="none"/>
          <w:lang w:val="en-US" w:eastAsia="zh-CN"/>
        </w:rPr>
        <w:t>加盖单位公章</w:t>
      </w:r>
      <w:r>
        <w:rPr>
          <w:rFonts w:hint="eastAsia" w:ascii="仿宋_GB2312" w:hAnsi="仿宋" w:eastAsia="仿宋_GB2312" w:cs="仿宋"/>
          <w:color w:val="auto"/>
          <w:sz w:val="28"/>
          <w:szCs w:val="28"/>
          <w:highlight w:val="none"/>
          <w:u w:val="none"/>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28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r>
        <w:rPr>
          <w:rFonts w:hint="eastAsia" w:asciiTheme="minorEastAsia" w:hAnsiTheme="minorEastAsia"/>
          <w:b/>
          <w:color w:val="auto"/>
          <w:sz w:val="32"/>
          <w:szCs w:val="32"/>
          <w:highlight w:val="non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广州市天河区临江大道501号广</w:t>
      </w:r>
      <w:r>
        <w:rPr>
          <w:rFonts w:hint="eastAsia" w:ascii="仿宋_GB2312" w:eastAsia="仿宋_GB2312"/>
          <w:color w:val="auto"/>
          <w:sz w:val="28"/>
          <w:szCs w:val="28"/>
          <w:highlight w:val="none"/>
          <w:u w:val="single"/>
          <w:lang w:val="en-US" w:eastAsia="zh-CN"/>
        </w:rPr>
        <w:t>州市净水有限公司6楼招标部</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6705"/>
      <w:bookmarkStart w:id="15" w:name="_Toc16557"/>
      <w:bookmarkStart w:id="16" w:name="_Toc23749"/>
      <w:bookmarkStart w:id="17" w:name="_Toc7340"/>
      <w:bookmarkStart w:id="18" w:name="_Toc32588"/>
      <w:bookmarkStart w:id="19" w:name="_Toc9448"/>
      <w:bookmarkStart w:id="20" w:name="_Toc2331"/>
      <w:bookmarkStart w:id="21" w:name="_Toc25603"/>
      <w:bookmarkStart w:id="22" w:name="_Toc19295"/>
      <w:bookmarkStart w:id="23" w:name="_Toc2324"/>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507365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39.95pt;height:0pt;width:75.5pt;z-index:251673600;mso-width-relative:page;mso-height-relative:page;" filled="f" stroked="t" coordsize="21600,21600" o:gfxdata="UEsDBAoAAAAAAIdO4kAAAAAAAAAAAAAAAAAEAAAAZHJzL1BLAwQUAAAACACHTuJAEkH2X9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p4zDIQDKySjIPj&#10;byDLQv7/oPwG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kH2X9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1.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2317750</wp:posOffset>
                </wp:positionH>
                <wp:positionV relativeFrom="paragraph">
                  <wp:posOffset>80010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5pt;margin-top:6.3pt;height:0pt;width:75.5pt;z-index:251660288;mso-width-relative:page;mso-height-relative:page;" filled="f" stroked="t" coordsize="21600,21600" o:gfxdata="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UyV/N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2311400</wp:posOffset>
                </wp:positionH>
                <wp:positionV relativeFrom="paragraph">
                  <wp:posOffset>479425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pt;margin-top:37.75pt;height:0pt;width:75.5pt;z-index:251661312;mso-width-relative:page;mso-height-relative:page;" filled="f" stroked="t" coordsize="21600,21600" o:gfxdata="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VU8CL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hint="eastAsia" w:ascii="方正小标宋简体" w:eastAsia="方正小标宋简体"/>
          <w:color w:val="auto"/>
          <w:sz w:val="44"/>
          <w:szCs w:val="44"/>
          <w:highlight w:val="none"/>
          <w:lang w:eastAsia="zh-CN"/>
        </w:rPr>
      </w:pPr>
    </w:p>
    <w:p>
      <w:pPr>
        <w:pStyle w:val="4"/>
        <w:jc w:val="center"/>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jc w:val="left"/>
        <w:rPr>
          <w:rFonts w:ascii="仿宋_GB2312" w:eastAsia="仿宋_GB2312"/>
          <w:color w:val="auto"/>
          <w:sz w:val="28"/>
          <w:szCs w:val="28"/>
          <w:highlight w:val="none"/>
        </w:rPr>
      </w:pPr>
    </w:p>
    <w:p>
      <w:pPr>
        <w:pStyle w:val="3"/>
        <w:rPr>
          <w:rFonts w:hint="eastAsia"/>
          <w:color w:val="auto"/>
          <w:highlight w:val="none"/>
        </w:rPr>
      </w:pPr>
      <w:bookmarkStart w:id="34" w:name="_Toc23581"/>
      <w:bookmarkStart w:id="35" w:name="_Toc3156"/>
      <w:bookmarkStart w:id="36" w:name="_Toc20594"/>
      <w:bookmarkStart w:id="37" w:name="_Toc7118"/>
      <w:bookmarkStart w:id="38" w:name="_Toc10930"/>
      <w:bookmarkStart w:id="39" w:name="_Toc7437"/>
      <w:bookmarkStart w:id="40" w:name="_Toc19759"/>
      <w:bookmarkStart w:id="41" w:name="_Toc14552"/>
      <w:bookmarkStart w:id="42" w:name="_Toc4952"/>
      <w:bookmarkStart w:id="43" w:name="_Toc14870"/>
      <w:bookmarkStart w:id="44" w:name="_Toc19050"/>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2320290</wp:posOffset>
                </wp:positionH>
                <wp:positionV relativeFrom="paragraph">
                  <wp:posOffset>488950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2.7pt;margin-top:38.5pt;height:0pt;width:75.5pt;z-index:251663360;mso-width-relative:page;mso-height-relative:page;" filled="f" stroked="t" coordsize="21600,21600" o:gfxdata="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iurMnWAAAACQ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2310765</wp:posOffset>
                </wp:positionH>
                <wp:positionV relativeFrom="paragraph">
                  <wp:posOffset>75565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1.95pt;margin-top:5.95pt;height:0pt;width:75.5pt;z-index:251662336;mso-width-relative:page;mso-height-relative:page;" filled="f" stroked="t" coordsize="21600,21600" o:gfxdata="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YNORb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
        <w:rPr>
          <w:color w:val="auto"/>
          <w:highlight w:val="none"/>
        </w:rPr>
      </w:pPr>
      <w:bookmarkStart w:id="45" w:name="_Toc6308"/>
      <w:bookmarkStart w:id="46" w:name="_Toc21079"/>
      <w:bookmarkStart w:id="47" w:name="_Toc29345"/>
      <w:bookmarkStart w:id="48" w:name="_Toc12177"/>
      <w:bookmarkStart w:id="49" w:name="_Toc87616378"/>
      <w:bookmarkStart w:id="50" w:name="_Toc88209941"/>
      <w:bookmarkStart w:id="51" w:name="_Toc13898"/>
      <w:bookmarkStart w:id="52" w:name="_Toc22212"/>
      <w:bookmarkStart w:id="53" w:name="_Toc7831"/>
      <w:bookmarkStart w:id="54" w:name="_Toc29484"/>
      <w:bookmarkStart w:id="55" w:name="_Toc21840"/>
      <w:bookmarkStart w:id="56" w:name="_Toc32607"/>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2347595</wp:posOffset>
                </wp:positionH>
                <wp:positionV relativeFrom="paragraph">
                  <wp:posOffset>514350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85pt;margin-top:40.5pt;height:0pt;width:75.5pt;z-index:251675648;mso-width-relative:page;mso-height-relative:page;" filled="f" stroked="t" coordsize="21600,21600" o:gfxdata="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PxSG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bookmarkEnd w:id="60"/>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ind w:firstLine="588" w:firstLineChars="210"/>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lang w:val="en-US" w:eastAsia="zh-CN"/>
        </w:rPr>
        <w:t>环城北</w:t>
      </w:r>
      <w:r>
        <w:rPr>
          <w:rFonts w:hint="eastAsia" w:ascii="仿宋_GB2312" w:hAnsi="仿宋" w:eastAsia="仿宋_GB2312" w:cs="仿宋"/>
          <w:color w:val="auto"/>
          <w:sz w:val="28"/>
          <w:szCs w:val="28"/>
          <w:highlight w:val="none"/>
          <w:u w:val="none"/>
        </w:rPr>
        <w:t>净水厂，建设规模：新建10万吨/日污水处理厂。工程估算总投资</w:t>
      </w:r>
      <w:r>
        <w:rPr>
          <w:rFonts w:hint="eastAsia" w:ascii="仿宋_GB2312" w:hAnsi="仿宋" w:eastAsia="仿宋_GB2312" w:cs="仿宋"/>
          <w:color w:val="auto"/>
          <w:sz w:val="28"/>
          <w:szCs w:val="28"/>
          <w:highlight w:val="none"/>
          <w:u w:val="none"/>
          <w:lang w:val="en-US" w:eastAsia="zh-CN"/>
        </w:rPr>
        <w:t>约13.79亿元</w:t>
      </w:r>
      <w:r>
        <w:rPr>
          <w:rFonts w:hint="eastAsia" w:ascii="仿宋_GB2312" w:hAnsi="仿宋" w:eastAsia="仿宋_GB2312" w:cs="仿宋"/>
          <w:color w:val="auto"/>
          <w:sz w:val="28"/>
          <w:szCs w:val="28"/>
          <w:highlight w:val="none"/>
          <w:u w:val="none"/>
        </w:rPr>
        <w:t>。</w:t>
      </w:r>
    </w:p>
    <w:p>
      <w:pPr>
        <w:numPr>
          <w:ilvl w:val="0"/>
          <w:numId w:val="3"/>
        </w:num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项目内容及需求</w:t>
      </w:r>
    </w:p>
    <w:p>
      <w:pPr>
        <w:pStyle w:val="22"/>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本项目包括职业病危害预评价以及职业病防护设施设计专篇两部分，对应的工作内容如下：</w:t>
      </w:r>
    </w:p>
    <w:p>
      <w:pPr>
        <w:pStyle w:val="22"/>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预评价：对建设项目相关的平面布置、生产工艺及设备布局、职业病危害防护设备、辅助卫生设施、应急救援设施、个人防护用品、职业卫生管理措施等方面进行职业病危害预评价，并依据国家相关法律、法规、标准对企业减少或控制职业病的发生，提高劳动生产率提出可行的建议，以利于预防、控制和消除建设项目中存在的职业病危害因素，从而直接或间接地提高企业的经济效益。</w:t>
      </w:r>
    </w:p>
    <w:p>
      <w:pPr>
        <w:pStyle w:val="22"/>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设计专篇：根据该建设项目可能产生的职业病危害因素进行分析及危害程度预测，对防毒、防暑、降噪等防护设施和应急救援设施的名称、规格、型号、数量、分布等内容进行设计，并对防控性能进行分析；对总平面布置、生产工艺及设备布局、建筑卫生学、辅助用室及卫生设施等防控措施进行设计；对预评价报告中拟采取的职业病防护设施、防护措施及对策措施采纳情况进行说明；列出职业病防护设施和应急救援设施投资概（预）算；对本工程采用的职业病防护设施和应急救援设施的预期效果进行评价。</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三、</w:t>
      </w:r>
      <w:r>
        <w:rPr>
          <w:rFonts w:hint="eastAsia" w:ascii="仿宋_GB2312" w:hAnsi="仿宋_GB2312" w:eastAsia="仿宋_GB2312" w:cs="仿宋_GB2312"/>
          <w:b/>
          <w:bCs/>
          <w:color w:val="auto"/>
          <w:sz w:val="28"/>
          <w:szCs w:val="28"/>
          <w:highlight w:val="none"/>
        </w:rPr>
        <w:t>项目技术要求</w:t>
      </w:r>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1.根据《中华人民共和国职业病防治法》、《建设项目职业病防护设施“三同时”监督管理办法》（国家安全生产监督管理总局令 第90号）</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val="zh-CN"/>
        </w:rPr>
        <w:t>国家相关的职业卫生法律、法规、技术标准及其他规范性文件</w:t>
      </w:r>
      <w:r>
        <w:rPr>
          <w:rFonts w:hint="eastAsia" w:ascii="仿宋_GB2312" w:hAnsi="仿宋_GB2312" w:eastAsia="仿宋_GB2312" w:cs="仿宋_GB2312"/>
          <w:color w:val="auto"/>
          <w:sz w:val="28"/>
          <w:szCs w:val="28"/>
          <w:highlight w:val="none"/>
        </w:rPr>
        <w:t>，编制符合质量要求的</w:t>
      </w:r>
      <w:r>
        <w:rPr>
          <w:rFonts w:hint="eastAsia" w:ascii="仿宋_GB2312" w:hAnsi="仿宋" w:eastAsia="仿宋_GB2312" w:cs="仿宋"/>
          <w:color w:val="auto"/>
          <w:sz w:val="28"/>
          <w:szCs w:val="28"/>
          <w:highlight w:val="none"/>
          <w:u w:val="none"/>
        </w:rPr>
        <w:t>职业病危害预评价</w:t>
      </w:r>
      <w:r>
        <w:rPr>
          <w:rFonts w:hint="eastAsia" w:ascii="仿宋_GB2312" w:hAnsi="仿宋" w:eastAsia="仿宋_GB2312" w:cs="仿宋"/>
          <w:color w:val="auto"/>
          <w:sz w:val="28"/>
          <w:szCs w:val="28"/>
          <w:highlight w:val="none"/>
          <w:u w:val="none"/>
          <w:lang w:val="en-US" w:eastAsia="zh-CN"/>
        </w:rPr>
        <w:t>报告</w:t>
      </w:r>
      <w:r>
        <w:rPr>
          <w:rFonts w:hint="eastAsia" w:ascii="仿宋_GB2312" w:hAnsi="仿宋" w:eastAsia="仿宋_GB2312" w:cs="仿宋"/>
          <w:color w:val="auto"/>
          <w:sz w:val="28"/>
          <w:szCs w:val="28"/>
          <w:highlight w:val="none"/>
          <w:u w:val="none"/>
        </w:rPr>
        <w:t>以及职业病防护设施设计专篇</w:t>
      </w:r>
      <w:r>
        <w:rPr>
          <w:rFonts w:hint="eastAsia" w:ascii="仿宋_GB2312" w:hAnsi="仿宋" w:eastAsia="仿宋_GB2312" w:cs="仿宋"/>
          <w:color w:val="auto"/>
          <w:sz w:val="28"/>
          <w:szCs w:val="28"/>
          <w:highlight w:val="none"/>
          <w:u w:val="none"/>
          <w:lang w:eastAsia="zh-CN"/>
        </w:rPr>
        <w:t>，</w:t>
      </w:r>
      <w:r>
        <w:rPr>
          <w:rFonts w:hint="eastAsia" w:ascii="仿宋_GB2312" w:hAnsi="仿宋" w:eastAsia="仿宋_GB2312" w:cs="仿宋"/>
          <w:color w:val="auto"/>
          <w:sz w:val="28"/>
          <w:szCs w:val="28"/>
          <w:highlight w:val="none"/>
          <w:u w:val="none"/>
          <w:lang w:val="en-US" w:eastAsia="zh-CN"/>
        </w:rPr>
        <w:t>并</w:t>
      </w:r>
      <w:r>
        <w:rPr>
          <w:rFonts w:hint="eastAsia" w:ascii="仿宋_GB2312" w:hAnsi="仿宋_GB2312" w:eastAsia="仿宋_GB2312" w:cs="仿宋_GB2312"/>
          <w:color w:val="auto"/>
          <w:sz w:val="28"/>
          <w:szCs w:val="28"/>
          <w:highlight w:val="none"/>
        </w:rPr>
        <w:t>配合甲方将两个阶段的过程资料形成符合《建设项目职业病防护设施“三同时”监督管理办法》（国家安全生产监督管理总局令 第90号）要求的书面报告</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在</w:t>
      </w:r>
      <w:r>
        <w:rPr>
          <w:rFonts w:hint="eastAsia" w:ascii="仿宋_GB2312" w:hAnsi="仿宋_GB2312" w:eastAsia="仿宋_GB2312" w:cs="仿宋_GB2312"/>
          <w:color w:val="auto"/>
          <w:sz w:val="28"/>
          <w:szCs w:val="28"/>
          <w:highlight w:val="none"/>
          <w:lang w:val="en-US" w:eastAsia="zh-CN"/>
        </w:rPr>
        <w:t>项目</w:t>
      </w:r>
      <w:r>
        <w:rPr>
          <w:rFonts w:hint="eastAsia" w:ascii="仿宋_GB2312" w:hAnsi="仿宋_GB2312" w:eastAsia="仿宋_GB2312" w:cs="仿宋_GB2312"/>
          <w:color w:val="auto"/>
          <w:sz w:val="28"/>
          <w:szCs w:val="28"/>
          <w:highlight w:val="none"/>
          <w:lang w:val="zh-CN"/>
        </w:rPr>
        <w:t>过程中，能够积极主动的配合、指导建设单位，解决可能出现的其他问题。</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2.质量要求：两个阶段的成果均通过专家评审并修改完善后提供最终成果，以及配合甲方将两个阶段的过程资料形成符合《建设项目职业病防护设施“三同时”监督管理办法》（国家安全生产监督管理总局令 第90号）要求的书面报告。</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4.承包方式：总价包干。</w:t>
      </w:r>
    </w:p>
    <w:p>
      <w:pPr>
        <w:pStyle w:val="22"/>
        <w:rPr>
          <w:rFonts w:hint="default" w:ascii="仿宋_GB2312" w:hAnsi="仿宋" w:eastAsia="仿宋_GB2312" w:cs="仿宋"/>
          <w:color w:val="auto"/>
          <w:kern w:val="2"/>
          <w:sz w:val="28"/>
          <w:szCs w:val="28"/>
          <w:highlight w:val="none"/>
          <w:u w:val="none"/>
          <w:lang w:val="en-US" w:eastAsia="zh-CN" w:bidi="ar-SA"/>
        </w:rPr>
      </w:pPr>
      <w:r>
        <w:rPr>
          <w:rFonts w:hint="default" w:ascii="仿宋_GB2312" w:hAnsi="仿宋" w:eastAsia="仿宋_GB2312" w:cs="仿宋"/>
          <w:color w:val="auto"/>
          <w:kern w:val="2"/>
          <w:sz w:val="28"/>
          <w:szCs w:val="28"/>
          <w:highlight w:val="none"/>
          <w:u w:val="none"/>
          <w:lang w:val="en-US" w:eastAsia="zh-CN" w:bidi="ar-SA"/>
        </w:rPr>
        <w:t>本合同采用总价包干，工作内容包括完成本合同项下的所有工作，包含但不限于成果编制和报审、修改完善、预评价和设计过程报告的编写、职业病危害预评价以及职业病防护设施设计专篇编制两个阶段的专家评审费用等</w:t>
      </w:r>
      <w:r>
        <w:rPr>
          <w:rFonts w:hint="eastAsia" w:ascii="仿宋_GB2312" w:hAnsi="仿宋_GB2312" w:eastAsia="仿宋_GB2312" w:cs="仿宋_GB2312"/>
          <w:color w:val="auto"/>
          <w:sz w:val="28"/>
          <w:szCs w:val="28"/>
          <w:highlight w:val="none"/>
        </w:rPr>
        <w:t>。</w:t>
      </w:r>
    </w:p>
    <w:p>
      <w:pPr>
        <w:pStyle w:val="22"/>
        <w:rPr>
          <w:rFonts w:hint="eastAsia"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ind w:firstLine="0"/>
        <w:rPr>
          <w:color w:val="auto"/>
          <w:highlight w:val="none"/>
        </w:rPr>
      </w:pPr>
    </w:p>
    <w:p>
      <w:pPr>
        <w:pStyle w:val="22"/>
        <w:rPr>
          <w:color w:val="auto"/>
          <w:highlight w:val="none"/>
        </w:rPr>
      </w:pPr>
    </w:p>
    <w:p>
      <w:pPr>
        <w:pStyle w:val="3"/>
        <w:rPr>
          <w:color w:val="auto"/>
          <w:highlight w:val="none"/>
        </w:rPr>
      </w:pPr>
      <w:bookmarkStart w:id="61" w:name="_Toc23330"/>
      <w:bookmarkStart w:id="62" w:name="_Toc537"/>
      <w:bookmarkStart w:id="63" w:name="_Toc25925"/>
      <w:bookmarkStart w:id="64" w:name="_Toc15570"/>
      <w:bookmarkStart w:id="65" w:name="_Toc12135"/>
      <w:bookmarkStart w:id="66" w:name="_Toc23353"/>
      <w:bookmarkStart w:id="67" w:name="_Toc1496"/>
      <w:bookmarkStart w:id="68" w:name="_Toc4680"/>
      <w:bookmarkStart w:id="69" w:name="_Toc18538"/>
      <w:bookmarkStart w:id="70" w:name="_Toc1284"/>
      <w:bookmarkStart w:id="71" w:name="_Toc298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
        <w:rPr>
          <w:color w:val="auto"/>
          <w:highlight w:val="none"/>
        </w:rPr>
      </w:pPr>
      <w:bookmarkStart w:id="72" w:name="_Toc22797"/>
      <w:bookmarkStart w:id="73" w:name="_Toc13309"/>
      <w:bookmarkStart w:id="74" w:name="_Toc19088"/>
      <w:bookmarkStart w:id="75" w:name="_Toc12968"/>
      <w:bookmarkStart w:id="76" w:name="_Toc87616386"/>
      <w:bookmarkStart w:id="77" w:name="_Toc22501"/>
      <w:bookmarkStart w:id="78" w:name="_Toc1375"/>
      <w:bookmarkStart w:id="79" w:name="_Toc12980"/>
      <w:bookmarkStart w:id="80" w:name="_Toc19686"/>
      <w:bookmarkStart w:id="81" w:name="_Toc88209949"/>
      <w:bookmarkStart w:id="82" w:name="_Toc12721"/>
      <w:bookmarkStart w:id="83" w:name="_Toc323"/>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sectPr>
          <w:footerReference r:id="rId7" w:type="first"/>
          <w:footerReference r:id="rId6" w:type="default"/>
          <w:pgSz w:w="11906" w:h="16838"/>
          <w:pgMar w:top="2098" w:right="1474" w:bottom="1985" w:left="1588" w:header="851" w:footer="992" w:gutter="0"/>
          <w:pgNumType w:fmt="decimal" w:start="1"/>
          <w:cols w:space="425" w:num="1"/>
          <w:docGrid w:type="lines" w:linePitch="312" w:charSpace="0"/>
        </w:sectPr>
      </w:pP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第四部分 合同书格式</w:t>
      </w:r>
    </w:p>
    <w:p>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合同文件</w:t>
      </w:r>
    </w:p>
    <w:p>
      <w:pPr>
        <w:pStyle w:val="22"/>
      </w:pPr>
    </w:p>
    <w:p>
      <w:pPr>
        <w:ind w:firstLine="480" w:firstLineChars="200"/>
        <w:rPr>
          <w:rFonts w:ascii="宋体"/>
          <w:sz w:val="24"/>
          <w:szCs w:val="24"/>
          <w:u w:val="single"/>
        </w:rPr>
      </w:pPr>
      <w:r>
        <w:rPr>
          <w:rFonts w:hint="eastAsia" w:ascii="宋体" w:hAnsi="宋体" w:cs="宋体"/>
          <w:sz w:val="24"/>
          <w:szCs w:val="24"/>
        </w:rPr>
        <w:t>甲方（发包人）</w:t>
      </w:r>
      <w:r>
        <w:rPr>
          <w:rFonts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u w:val="single"/>
        </w:rPr>
        <w:t>广州市净水有限公司</w:t>
      </w:r>
    </w:p>
    <w:p>
      <w:pPr>
        <w:ind w:firstLine="480" w:firstLineChars="200"/>
        <w:rPr>
          <w:rFonts w:ascii="宋体"/>
          <w:sz w:val="24"/>
          <w:szCs w:val="24"/>
        </w:rPr>
      </w:pPr>
    </w:p>
    <w:p>
      <w:pPr>
        <w:ind w:firstLine="480" w:firstLineChars="200"/>
        <w:rPr>
          <w:rFonts w:hint="default" w:ascii="宋体" w:eastAsia="宋体"/>
          <w:sz w:val="24"/>
          <w:szCs w:val="24"/>
          <w:u w:val="single"/>
          <w:lang w:val="en-US" w:eastAsia="zh-CN"/>
        </w:rPr>
      </w:pPr>
      <w:r>
        <w:rPr>
          <w:rFonts w:hint="eastAsia" w:ascii="宋体" w:hAnsi="宋体" w:cs="宋体"/>
          <w:sz w:val="24"/>
          <w:szCs w:val="24"/>
        </w:rPr>
        <w:t>乙方（承包人）</w:t>
      </w:r>
      <w:r>
        <w:rPr>
          <w:rFonts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u w:val="single"/>
          <w:lang w:val="en-US" w:eastAsia="zh-CN"/>
        </w:rPr>
        <w:t xml:space="preserve">                           </w:t>
      </w:r>
    </w:p>
    <w:p>
      <w:pPr>
        <w:ind w:firstLine="480" w:firstLineChars="200"/>
        <w:rPr>
          <w:rFonts w:ascii="宋体"/>
          <w:sz w:val="24"/>
          <w:szCs w:val="24"/>
          <w:u w:val="single"/>
        </w:rPr>
      </w:pPr>
    </w:p>
    <w:p>
      <w:pPr>
        <w:pStyle w:val="11"/>
        <w:spacing w:line="360" w:lineRule="auto"/>
        <w:ind w:firstLine="480" w:firstLineChars="200"/>
        <w:rPr>
          <w:rFonts w:hAnsi="宋体" w:cs="宋体"/>
          <w:sz w:val="24"/>
          <w:szCs w:val="24"/>
        </w:rPr>
      </w:pPr>
      <w:r>
        <w:rPr>
          <w:rFonts w:hint="eastAsia" w:hAnsi="宋体" w:cs="宋体"/>
          <w:sz w:val="24"/>
          <w:szCs w:val="24"/>
        </w:rPr>
        <w:t>甲方就</w:t>
      </w:r>
      <w:r>
        <w:rPr>
          <w:rFonts w:hint="eastAsia" w:hAnsi="宋体" w:cs="宋体"/>
          <w:sz w:val="24"/>
          <w:szCs w:val="24"/>
          <w:u w:val="single"/>
          <w:lang w:val="en-US" w:eastAsia="zh-CN"/>
        </w:rPr>
        <w:t>广州市净水有限公司环城北净水厂职业病危害预评价及职业病防护设施设计专篇技术咨询项目</w:t>
      </w:r>
      <w:r>
        <w:rPr>
          <w:rFonts w:hint="eastAsia" w:hAnsi="宋体" w:cs="宋体"/>
          <w:sz w:val="24"/>
          <w:szCs w:val="24"/>
        </w:rPr>
        <w:t>委托乙方提供相应工作成果。经双方协商一致，签订本合同。</w:t>
      </w:r>
    </w:p>
    <w:p>
      <w:pPr>
        <w:spacing w:line="360" w:lineRule="auto"/>
        <w:outlineLvl w:val="0"/>
        <w:rPr>
          <w:rFonts w:ascii="宋体"/>
          <w:b/>
          <w:bCs/>
          <w:sz w:val="28"/>
          <w:szCs w:val="28"/>
        </w:rPr>
      </w:pPr>
      <w:r>
        <w:rPr>
          <w:rFonts w:hint="eastAsia" w:ascii="宋体" w:hAnsi="宋体" w:cs="宋体"/>
          <w:b/>
          <w:bCs/>
          <w:sz w:val="28"/>
          <w:szCs w:val="28"/>
        </w:rPr>
        <w:t>第一条</w:t>
      </w:r>
      <w:r>
        <w:rPr>
          <w:rFonts w:ascii="宋体" w:hAnsi="宋体" w:cs="宋体"/>
          <w:b/>
          <w:bCs/>
          <w:sz w:val="28"/>
          <w:szCs w:val="28"/>
        </w:rPr>
        <w:t xml:space="preserve"> </w:t>
      </w:r>
      <w:r>
        <w:rPr>
          <w:rFonts w:hint="eastAsia" w:ascii="宋体" w:hAnsi="宋体" w:cs="宋体"/>
          <w:b/>
          <w:bCs/>
          <w:sz w:val="28"/>
          <w:szCs w:val="28"/>
        </w:rPr>
        <w:t>评价范围：</w:t>
      </w:r>
    </w:p>
    <w:p>
      <w:pPr>
        <w:spacing w:line="360" w:lineRule="auto"/>
        <w:ind w:firstLine="480" w:firstLineChars="200"/>
        <w:rPr>
          <w:rFonts w:ascii="宋体"/>
          <w:sz w:val="24"/>
          <w:szCs w:val="24"/>
        </w:rPr>
      </w:pPr>
      <w:bookmarkStart w:id="85" w:name="OLE_LINK1"/>
      <w:r>
        <w:rPr>
          <w:rFonts w:hint="eastAsia" w:ascii="宋体" w:hAnsi="宋体" w:cs="宋体"/>
          <w:sz w:val="24"/>
          <w:szCs w:val="24"/>
        </w:rPr>
        <w:t>工程名称：</w:t>
      </w:r>
      <w:r>
        <w:rPr>
          <w:rFonts w:hint="eastAsia" w:ascii="宋体" w:hAnsi="宋体" w:cs="宋体"/>
          <w:sz w:val="24"/>
          <w:szCs w:val="24"/>
          <w:u w:val="single"/>
          <w:lang w:eastAsia="zh-CN"/>
        </w:rPr>
        <w:t>环城北净水厂</w:t>
      </w:r>
      <w:r>
        <w:rPr>
          <w:rFonts w:hint="eastAsia" w:ascii="宋体" w:hAnsi="宋体" w:cs="宋体"/>
          <w:sz w:val="24"/>
          <w:szCs w:val="24"/>
        </w:rPr>
        <w:t>，</w:t>
      </w:r>
      <w:r>
        <w:rPr>
          <w:rFonts w:hint="eastAsia" w:ascii="宋体" w:hAnsi="宋体" w:cs="宋体"/>
          <w:color w:val="000000"/>
          <w:sz w:val="24"/>
          <w:szCs w:val="24"/>
        </w:rPr>
        <w:t>建设规模:</w:t>
      </w:r>
      <w:r>
        <w:rPr>
          <w:rFonts w:hint="eastAsia"/>
          <w:color w:val="000000"/>
          <w:sz w:val="24"/>
          <w:szCs w:val="24"/>
          <w:u w:val="single"/>
          <w:lang w:val="en-US" w:eastAsia="zh-CN"/>
        </w:rPr>
        <w:t>新建10万吨/日污水处理厂</w:t>
      </w:r>
      <w:r>
        <w:rPr>
          <w:rFonts w:hint="eastAsia" w:ascii="宋体" w:hAnsi="宋体" w:cs="宋体"/>
          <w:color w:val="000000"/>
          <w:sz w:val="24"/>
          <w:szCs w:val="24"/>
        </w:rPr>
        <w:t>，投资估算</w:t>
      </w:r>
      <w:r>
        <w:rPr>
          <w:rFonts w:hint="eastAsia" w:ascii="宋体" w:hAnsi="宋体" w:cs="宋体"/>
          <w:color w:val="000000"/>
          <w:sz w:val="24"/>
          <w:szCs w:val="24"/>
          <w:u w:val="none"/>
        </w:rPr>
        <w:t>：</w:t>
      </w:r>
      <w:r>
        <w:rPr>
          <w:rFonts w:hint="eastAsia" w:ascii="宋体" w:hAnsi="宋体" w:cs="宋体"/>
          <w:color w:val="000000"/>
          <w:sz w:val="24"/>
          <w:szCs w:val="24"/>
          <w:u w:val="single"/>
          <w:lang w:val="en-US" w:eastAsia="zh-CN"/>
        </w:rPr>
        <w:t>137900</w:t>
      </w:r>
      <w:r>
        <w:rPr>
          <w:rFonts w:hint="eastAsia" w:ascii="宋体" w:hAnsi="宋体" w:cs="宋体"/>
          <w:color w:val="000000"/>
          <w:sz w:val="24"/>
          <w:szCs w:val="24"/>
        </w:rPr>
        <w:t>万元。</w:t>
      </w:r>
    </w:p>
    <w:bookmarkEnd w:id="85"/>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本项目包括职业病危害预评价以及职业病防护设施设计专篇两部分，对应的工作内容如下：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预评价：</w:t>
      </w:r>
      <w:r>
        <w:rPr>
          <w:rFonts w:hint="eastAsia" w:ascii="宋体" w:hAnsi="宋体" w:cs="宋体"/>
          <w:sz w:val="24"/>
          <w:szCs w:val="24"/>
        </w:rPr>
        <w:t>对建设项目相关的平面布置、生产工艺及设备布局、职业病危害防护设备、辅助卫生设施、应急救援设施、个人防护用品、职业卫生管理措施等方面进行职业病危害预评价，并依据国家相关法律、法规、标准对企业减少或控制职业病的发生，提高劳动生产率提出可行的建议，以利于预防、控制和消除建设项目中存在的职业病危害因素，从而直接或间接地提高企业的经济效益。</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设计</w:t>
      </w:r>
      <w:r>
        <w:rPr>
          <w:rFonts w:hint="eastAsia" w:ascii="宋体" w:hAnsi="宋体" w:cs="宋体"/>
          <w:color w:val="000000"/>
          <w:sz w:val="24"/>
          <w:szCs w:val="24"/>
          <w:lang w:val="en-US" w:eastAsia="zh-CN"/>
        </w:rPr>
        <w:t>专篇</w:t>
      </w:r>
      <w:r>
        <w:rPr>
          <w:rFonts w:hint="eastAsia" w:ascii="宋体" w:hAnsi="宋体" w:cs="宋体"/>
          <w:color w:val="000000"/>
          <w:sz w:val="24"/>
          <w:szCs w:val="24"/>
        </w:rPr>
        <w:t xml:space="preserve">：根据该建设项目可能产生的职业病危害因素进行分析及危害程度预测，对防毒、防暑、降噪等防护设施和应急救援设施的名称、规格、型号、数量、分布等内容进行设计，并对防控性能进行分析；对总平面布置、生产工艺及设备布局、建筑卫生学、辅助用室及卫生设施等防控措施进行设计；对预评价报告中拟采取的职业病防护设施、防护措施及对策措施采纳情况进行说明；列出职业病防护设施和应急救援设施投资概（预）算；对本工程采用的职业病防护设施和应急救援设施的预期效果进行评价。 </w:t>
      </w:r>
    </w:p>
    <w:p>
      <w:pPr>
        <w:spacing w:line="360" w:lineRule="auto"/>
        <w:outlineLvl w:val="0"/>
        <w:rPr>
          <w:rFonts w:ascii="宋体"/>
          <w:b/>
          <w:bCs/>
          <w:sz w:val="28"/>
          <w:szCs w:val="28"/>
        </w:rPr>
      </w:pPr>
      <w:r>
        <w:rPr>
          <w:rFonts w:hint="eastAsia" w:ascii="宋体" w:hAnsi="宋体" w:cs="宋体"/>
          <w:b/>
          <w:bCs/>
          <w:sz w:val="28"/>
          <w:szCs w:val="28"/>
        </w:rPr>
        <w:t>第二条</w:t>
      </w:r>
      <w:r>
        <w:rPr>
          <w:rFonts w:ascii="宋体" w:hAnsi="宋体" w:cs="宋体"/>
          <w:b/>
          <w:bCs/>
          <w:sz w:val="28"/>
          <w:szCs w:val="28"/>
        </w:rPr>
        <w:t xml:space="preserve"> </w:t>
      </w:r>
      <w:r>
        <w:rPr>
          <w:rFonts w:hint="eastAsia" w:ascii="宋体" w:hAnsi="宋体" w:cs="宋体"/>
          <w:b/>
          <w:bCs/>
          <w:sz w:val="28"/>
          <w:szCs w:val="28"/>
        </w:rPr>
        <w:t>评价依据：</w:t>
      </w:r>
    </w:p>
    <w:p>
      <w:pPr>
        <w:spacing w:line="360" w:lineRule="auto"/>
        <w:ind w:firstLine="480" w:firstLineChars="200"/>
        <w:rPr>
          <w:rFonts w:ascii="宋体"/>
          <w:sz w:val="24"/>
          <w:szCs w:val="24"/>
        </w:rPr>
      </w:pPr>
      <w:r>
        <w:rPr>
          <w:rFonts w:ascii="宋体" w:hAnsi="宋体" w:cs="宋体"/>
          <w:sz w:val="24"/>
          <w:szCs w:val="24"/>
        </w:rPr>
        <w:t>2.1</w:t>
      </w:r>
      <w:r>
        <w:rPr>
          <w:rFonts w:hint="eastAsia" w:ascii="宋体" w:hAnsi="宋体" w:cs="宋体"/>
          <w:sz w:val="24"/>
          <w:szCs w:val="24"/>
        </w:rPr>
        <w:t>甲方提供的有关本项目的技术报告，相关设备、设施、装置的技术资料及项目相关职业病危害因素的监测和员工健康监护资料。</w:t>
      </w:r>
    </w:p>
    <w:p>
      <w:pPr>
        <w:spacing w:line="360" w:lineRule="auto"/>
        <w:ind w:firstLine="480" w:firstLineChars="200"/>
        <w:rPr>
          <w:rFonts w:ascii="宋体"/>
          <w:sz w:val="24"/>
          <w:szCs w:val="24"/>
        </w:rPr>
      </w:pPr>
      <w:r>
        <w:rPr>
          <w:rFonts w:ascii="宋体" w:hAnsi="宋体" w:cs="宋体"/>
          <w:sz w:val="24"/>
          <w:szCs w:val="24"/>
        </w:rPr>
        <w:t>2.2</w:t>
      </w:r>
      <w:r>
        <w:rPr>
          <w:rFonts w:hint="eastAsia" w:ascii="宋体" w:hAnsi="宋体" w:cs="宋体"/>
          <w:sz w:val="24"/>
          <w:szCs w:val="24"/>
        </w:rPr>
        <w:t>国家相关的职业卫生法律、法规、技术标准及其他规范性文件。</w:t>
      </w:r>
    </w:p>
    <w:p>
      <w:pPr>
        <w:spacing w:line="360" w:lineRule="auto"/>
        <w:ind w:firstLine="480" w:firstLineChars="200"/>
        <w:rPr>
          <w:rFonts w:ascii="宋体"/>
          <w:sz w:val="24"/>
          <w:szCs w:val="24"/>
        </w:rPr>
      </w:pPr>
      <w:r>
        <w:rPr>
          <w:rFonts w:ascii="宋体" w:hAnsi="宋体" w:cs="宋体"/>
          <w:sz w:val="24"/>
          <w:szCs w:val="24"/>
        </w:rPr>
        <w:t>2.3</w:t>
      </w:r>
      <w:r>
        <w:rPr>
          <w:rFonts w:hint="eastAsia" w:ascii="宋体" w:hAnsi="宋体" w:cs="宋体"/>
          <w:sz w:val="24"/>
          <w:szCs w:val="24"/>
        </w:rPr>
        <w:t>乙方现场卫生学调查获取的以及甲方人员提供的有关信息。</w:t>
      </w:r>
    </w:p>
    <w:p>
      <w:pPr>
        <w:spacing w:line="360" w:lineRule="auto"/>
        <w:ind w:firstLine="480" w:firstLineChars="200"/>
        <w:rPr>
          <w:rFonts w:ascii="宋体"/>
          <w:sz w:val="24"/>
          <w:szCs w:val="24"/>
        </w:rPr>
      </w:pPr>
      <w:r>
        <w:rPr>
          <w:rFonts w:ascii="宋体" w:hAnsi="宋体" w:cs="宋体"/>
          <w:sz w:val="24"/>
          <w:szCs w:val="24"/>
        </w:rPr>
        <w:t>2.4</w:t>
      </w:r>
      <w:r>
        <w:rPr>
          <w:rFonts w:hint="eastAsia" w:ascii="宋体" w:hAnsi="宋体" w:cs="宋体"/>
          <w:sz w:val="24"/>
          <w:szCs w:val="24"/>
        </w:rPr>
        <w:t>本合同有关条款。</w:t>
      </w:r>
    </w:p>
    <w:p>
      <w:pPr>
        <w:spacing w:line="360" w:lineRule="auto"/>
        <w:outlineLvl w:val="0"/>
        <w:rPr>
          <w:rFonts w:ascii="宋体"/>
          <w:b/>
          <w:bCs/>
          <w:sz w:val="28"/>
          <w:szCs w:val="28"/>
        </w:rPr>
      </w:pPr>
      <w:r>
        <w:rPr>
          <w:rFonts w:hint="eastAsia" w:ascii="宋体" w:hAnsi="宋体" w:cs="宋体"/>
          <w:b/>
          <w:bCs/>
          <w:sz w:val="28"/>
          <w:szCs w:val="28"/>
        </w:rPr>
        <w:t>第三条</w:t>
      </w:r>
      <w:r>
        <w:rPr>
          <w:rFonts w:ascii="宋体" w:hAnsi="宋体" w:cs="宋体"/>
          <w:b/>
          <w:bCs/>
          <w:sz w:val="28"/>
          <w:szCs w:val="28"/>
        </w:rPr>
        <w:t xml:space="preserve"> </w:t>
      </w:r>
      <w:r>
        <w:rPr>
          <w:rFonts w:hint="eastAsia" w:ascii="宋体" w:hAnsi="宋体" w:cs="宋体"/>
          <w:b/>
          <w:bCs/>
          <w:sz w:val="28"/>
          <w:szCs w:val="28"/>
        </w:rPr>
        <w:t>甲、乙方提供条件及所承担工作责任</w:t>
      </w:r>
    </w:p>
    <w:p>
      <w:pPr>
        <w:spacing w:line="360" w:lineRule="auto"/>
        <w:ind w:firstLine="480" w:firstLineChars="200"/>
        <w:rPr>
          <w:rFonts w:ascii="宋体"/>
          <w:sz w:val="24"/>
          <w:szCs w:val="24"/>
        </w:rPr>
      </w:pPr>
      <w:r>
        <w:rPr>
          <w:rFonts w:ascii="宋体" w:hAnsi="宋体" w:cs="宋体"/>
          <w:sz w:val="24"/>
          <w:szCs w:val="24"/>
        </w:rPr>
        <w:t>3.1</w:t>
      </w:r>
      <w:r>
        <w:rPr>
          <w:rFonts w:hint="eastAsia" w:ascii="宋体" w:hAnsi="宋体" w:cs="宋体"/>
          <w:sz w:val="24"/>
          <w:szCs w:val="24"/>
        </w:rPr>
        <w:t>甲方提供条件及所承担工作责任</w:t>
      </w:r>
    </w:p>
    <w:p>
      <w:pPr>
        <w:spacing w:line="360" w:lineRule="auto"/>
        <w:ind w:firstLine="480" w:firstLineChars="200"/>
        <w:rPr>
          <w:rFonts w:ascii="宋体"/>
          <w:sz w:val="24"/>
          <w:szCs w:val="24"/>
        </w:rPr>
      </w:pPr>
      <w:r>
        <w:rPr>
          <w:rFonts w:ascii="宋体" w:hAnsi="宋体" w:cs="宋体"/>
          <w:sz w:val="24"/>
          <w:szCs w:val="24"/>
        </w:rPr>
        <w:t xml:space="preserve">3.1.1 </w:t>
      </w:r>
      <w:r>
        <w:rPr>
          <w:rFonts w:hint="eastAsia" w:ascii="宋体" w:hAnsi="宋体" w:cs="宋体"/>
          <w:sz w:val="24"/>
          <w:szCs w:val="24"/>
        </w:rPr>
        <w:t>提供经费及所需资料</w:t>
      </w:r>
      <w:r>
        <w:rPr>
          <w:rFonts w:ascii="宋体" w:hAnsi="宋体" w:cs="宋体"/>
          <w:sz w:val="24"/>
          <w:szCs w:val="24"/>
        </w:rPr>
        <w:t xml:space="preserve">, </w:t>
      </w:r>
      <w:r>
        <w:rPr>
          <w:rFonts w:hint="eastAsia" w:ascii="宋体" w:hAnsi="宋体" w:cs="宋体"/>
          <w:sz w:val="24"/>
          <w:szCs w:val="24"/>
        </w:rPr>
        <w:t>以便乙方开展工作。</w:t>
      </w:r>
    </w:p>
    <w:p>
      <w:pPr>
        <w:spacing w:line="360" w:lineRule="auto"/>
        <w:ind w:firstLine="480" w:firstLineChars="200"/>
        <w:rPr>
          <w:rFonts w:ascii="宋体"/>
          <w:sz w:val="24"/>
          <w:szCs w:val="24"/>
        </w:rPr>
      </w:pPr>
      <w:r>
        <w:rPr>
          <w:rFonts w:ascii="宋体" w:hAnsi="宋体" w:cs="宋体"/>
          <w:sz w:val="24"/>
          <w:szCs w:val="24"/>
        </w:rPr>
        <w:t xml:space="preserve">3.1.2 </w:t>
      </w:r>
      <w:r>
        <w:rPr>
          <w:rFonts w:hint="eastAsia" w:ascii="宋体" w:hAnsi="宋体" w:cs="宋体"/>
          <w:sz w:val="24"/>
          <w:szCs w:val="24"/>
        </w:rPr>
        <w:t>保证所提供资料的真实性和准确性。</w:t>
      </w:r>
    </w:p>
    <w:p>
      <w:pPr>
        <w:spacing w:line="360" w:lineRule="auto"/>
        <w:ind w:firstLine="480" w:firstLineChars="200"/>
        <w:rPr>
          <w:rFonts w:ascii="宋体"/>
          <w:sz w:val="24"/>
          <w:szCs w:val="24"/>
        </w:rPr>
      </w:pPr>
      <w:r>
        <w:rPr>
          <w:rFonts w:ascii="宋体" w:hAnsi="宋体" w:cs="宋体"/>
          <w:sz w:val="24"/>
          <w:szCs w:val="24"/>
        </w:rPr>
        <w:t xml:space="preserve">3.1.3 </w:t>
      </w:r>
      <w:r>
        <w:rPr>
          <w:rFonts w:hint="eastAsia" w:ascii="宋体" w:hAnsi="宋体" w:cs="宋体"/>
          <w:sz w:val="24"/>
          <w:szCs w:val="24"/>
        </w:rPr>
        <w:t>指定协作人员协助开展工作。</w:t>
      </w:r>
    </w:p>
    <w:p>
      <w:pPr>
        <w:spacing w:line="360" w:lineRule="auto"/>
        <w:ind w:firstLine="480" w:firstLineChars="200"/>
        <w:rPr>
          <w:rFonts w:ascii="宋体"/>
          <w:sz w:val="24"/>
          <w:szCs w:val="24"/>
        </w:rPr>
      </w:pPr>
      <w:r>
        <w:rPr>
          <w:rFonts w:ascii="宋体" w:hAnsi="宋体" w:cs="宋体"/>
          <w:sz w:val="24"/>
          <w:szCs w:val="24"/>
        </w:rPr>
        <w:t xml:space="preserve">3.1.4 </w:t>
      </w:r>
      <w:r>
        <w:rPr>
          <w:rFonts w:hint="eastAsia" w:ascii="宋体" w:hAnsi="宋体" w:cs="宋体"/>
          <w:sz w:val="24"/>
          <w:szCs w:val="24"/>
        </w:rPr>
        <w:t>为本项目职业病危害评价</w:t>
      </w:r>
      <w:r>
        <w:rPr>
          <w:rFonts w:hint="eastAsia" w:ascii="宋体" w:hAnsi="宋体" w:cs="宋体"/>
          <w:sz w:val="24"/>
          <w:szCs w:val="24"/>
          <w:lang w:val="en-US" w:eastAsia="zh-CN"/>
        </w:rPr>
        <w:t>和</w:t>
      </w:r>
      <w:r>
        <w:rPr>
          <w:rFonts w:hint="eastAsia" w:ascii="宋体" w:hAnsi="宋体" w:cs="宋体"/>
          <w:sz w:val="24"/>
          <w:szCs w:val="24"/>
        </w:rPr>
        <w:t>职业病防护设施设计专篇的编制的开展提供方便。</w:t>
      </w:r>
    </w:p>
    <w:p>
      <w:pPr>
        <w:spacing w:line="360" w:lineRule="auto"/>
        <w:ind w:firstLine="480" w:firstLineChars="200"/>
        <w:rPr>
          <w:rFonts w:ascii="宋体"/>
          <w:sz w:val="24"/>
          <w:szCs w:val="24"/>
        </w:rPr>
      </w:pPr>
      <w:r>
        <w:rPr>
          <w:rFonts w:ascii="宋体" w:hAnsi="宋体" w:cs="宋体"/>
          <w:sz w:val="24"/>
          <w:szCs w:val="24"/>
        </w:rPr>
        <w:t>3.2</w:t>
      </w:r>
      <w:r>
        <w:rPr>
          <w:rFonts w:hint="eastAsia" w:ascii="宋体" w:hAnsi="宋体" w:cs="宋体"/>
          <w:sz w:val="24"/>
          <w:szCs w:val="24"/>
        </w:rPr>
        <w:t>乙方提供条件及所承担工作责任</w:t>
      </w:r>
    </w:p>
    <w:p>
      <w:pPr>
        <w:spacing w:line="360" w:lineRule="auto"/>
        <w:ind w:firstLine="480" w:firstLineChars="200"/>
        <w:rPr>
          <w:rFonts w:ascii="宋体"/>
          <w:sz w:val="24"/>
          <w:szCs w:val="24"/>
        </w:rPr>
      </w:pPr>
      <w:r>
        <w:rPr>
          <w:rFonts w:ascii="宋体" w:hAnsi="宋体" w:cs="宋体"/>
          <w:sz w:val="24"/>
          <w:szCs w:val="24"/>
        </w:rPr>
        <w:t xml:space="preserve">3.2.1 </w:t>
      </w:r>
      <w:r>
        <w:rPr>
          <w:rFonts w:hint="eastAsia" w:ascii="宋体" w:hAnsi="宋体" w:cs="宋体"/>
          <w:sz w:val="24"/>
          <w:szCs w:val="24"/>
        </w:rPr>
        <w:t>组织评价技术人员开展评价</w:t>
      </w:r>
      <w:r>
        <w:rPr>
          <w:rFonts w:hint="eastAsia" w:ascii="宋体" w:hAnsi="宋体" w:cs="宋体"/>
          <w:sz w:val="24"/>
          <w:szCs w:val="24"/>
          <w:lang w:val="en-US" w:eastAsia="zh-CN"/>
        </w:rPr>
        <w:t>和专篇编制</w:t>
      </w:r>
      <w:r>
        <w:rPr>
          <w:rFonts w:hint="eastAsia" w:ascii="宋体" w:hAnsi="宋体" w:cs="宋体"/>
          <w:sz w:val="24"/>
          <w:szCs w:val="24"/>
        </w:rPr>
        <w:t>工作。</w:t>
      </w:r>
    </w:p>
    <w:p>
      <w:pPr>
        <w:spacing w:line="360" w:lineRule="auto"/>
        <w:ind w:firstLine="480" w:firstLineChars="200"/>
        <w:rPr>
          <w:rFonts w:ascii="宋体"/>
          <w:sz w:val="24"/>
          <w:szCs w:val="24"/>
        </w:rPr>
      </w:pPr>
      <w:r>
        <w:rPr>
          <w:rFonts w:ascii="宋体" w:hAnsi="宋体" w:cs="宋体"/>
          <w:sz w:val="24"/>
          <w:szCs w:val="24"/>
        </w:rPr>
        <w:t xml:space="preserve">3.2.2 </w:t>
      </w:r>
      <w:r>
        <w:rPr>
          <w:rFonts w:hint="eastAsia" w:ascii="宋体" w:hAnsi="宋体" w:cs="宋体"/>
          <w:sz w:val="24"/>
          <w:szCs w:val="24"/>
        </w:rPr>
        <w:t>根据所收集信息及现场卫生学调查情况如实编写</w:t>
      </w:r>
      <w:r>
        <w:rPr>
          <w:rFonts w:hint="eastAsia" w:ascii="宋体" w:hAnsi="宋体" w:cs="宋体"/>
          <w:sz w:val="24"/>
          <w:szCs w:val="24"/>
          <w:lang w:val="en-US" w:eastAsia="zh-CN"/>
        </w:rPr>
        <w:t>预</w:t>
      </w:r>
      <w:r>
        <w:rPr>
          <w:rFonts w:hint="eastAsia" w:ascii="宋体" w:hAnsi="宋体" w:cs="宋体"/>
          <w:sz w:val="24"/>
          <w:szCs w:val="24"/>
        </w:rPr>
        <w:t>评价报告</w:t>
      </w:r>
      <w:r>
        <w:rPr>
          <w:rFonts w:hint="eastAsia" w:ascii="宋体" w:hAnsi="宋体" w:cs="宋体"/>
          <w:sz w:val="24"/>
          <w:szCs w:val="24"/>
          <w:lang w:val="en-US" w:eastAsia="zh-CN"/>
        </w:rPr>
        <w:t>以及</w:t>
      </w:r>
      <w:r>
        <w:rPr>
          <w:rFonts w:hint="eastAsia" w:ascii="宋体" w:hAnsi="宋体" w:cs="宋体"/>
          <w:sz w:val="24"/>
          <w:szCs w:val="24"/>
        </w:rPr>
        <w:t>对职业病防护设施进行设计。</w:t>
      </w:r>
    </w:p>
    <w:p>
      <w:pPr>
        <w:spacing w:line="360" w:lineRule="auto"/>
        <w:ind w:firstLine="480" w:firstLineChars="200"/>
        <w:rPr>
          <w:rFonts w:ascii="宋体"/>
          <w:sz w:val="24"/>
          <w:szCs w:val="24"/>
        </w:rPr>
      </w:pPr>
      <w:r>
        <w:rPr>
          <w:rFonts w:ascii="宋体" w:hAnsi="宋体" w:cs="宋体"/>
          <w:sz w:val="24"/>
          <w:szCs w:val="24"/>
        </w:rPr>
        <w:t xml:space="preserve">3.2.3 </w:t>
      </w:r>
      <w:r>
        <w:rPr>
          <w:rFonts w:hint="eastAsia" w:ascii="宋体" w:hAnsi="宋体" w:cs="宋体"/>
          <w:sz w:val="24"/>
          <w:szCs w:val="24"/>
        </w:rPr>
        <w:t>完成本合同第一条所列的工作内容。</w:t>
      </w:r>
    </w:p>
    <w:p>
      <w:pPr>
        <w:spacing w:line="360" w:lineRule="auto"/>
        <w:ind w:firstLine="480" w:firstLineChars="200"/>
        <w:rPr>
          <w:rFonts w:hint="eastAsia" w:ascii="宋体" w:hAnsi="宋体" w:cs="宋体"/>
          <w:sz w:val="24"/>
          <w:szCs w:val="24"/>
        </w:rPr>
      </w:pPr>
      <w:r>
        <w:rPr>
          <w:rFonts w:ascii="宋体" w:hAnsi="宋体" w:cs="宋体"/>
          <w:sz w:val="24"/>
          <w:szCs w:val="24"/>
        </w:rPr>
        <w:t xml:space="preserve">3.2.4 </w:t>
      </w:r>
      <w:r>
        <w:rPr>
          <w:rFonts w:hint="eastAsia" w:ascii="宋体" w:hAnsi="宋体" w:cs="宋体"/>
          <w:sz w:val="24"/>
          <w:szCs w:val="24"/>
        </w:rPr>
        <w:t>对甲方提供的技术资料及文档负责保密，不向第三方泄露。</w:t>
      </w:r>
    </w:p>
    <w:p>
      <w:pPr>
        <w:spacing w:line="360" w:lineRule="auto"/>
        <w:outlineLvl w:val="0"/>
        <w:rPr>
          <w:rFonts w:ascii="宋体"/>
          <w:b/>
          <w:bCs/>
          <w:sz w:val="28"/>
          <w:szCs w:val="28"/>
        </w:rPr>
      </w:pPr>
      <w:r>
        <w:rPr>
          <w:rFonts w:hint="eastAsia" w:ascii="宋体" w:hAnsi="宋体" w:cs="宋体"/>
          <w:b/>
          <w:bCs/>
          <w:sz w:val="28"/>
          <w:szCs w:val="28"/>
        </w:rPr>
        <w:t>第四条</w:t>
      </w:r>
      <w:r>
        <w:rPr>
          <w:rFonts w:ascii="宋体" w:hAnsi="宋体" w:cs="宋体"/>
          <w:b/>
          <w:bCs/>
          <w:sz w:val="28"/>
          <w:szCs w:val="28"/>
        </w:rPr>
        <w:t xml:space="preserve"> </w:t>
      </w:r>
      <w:r>
        <w:rPr>
          <w:rFonts w:hint="eastAsia" w:ascii="宋体" w:hAnsi="宋体" w:cs="宋体"/>
          <w:b/>
          <w:bCs/>
          <w:sz w:val="28"/>
          <w:szCs w:val="28"/>
        </w:rPr>
        <w:t>报告交付日期</w:t>
      </w:r>
    </w:p>
    <w:p>
      <w:pPr>
        <w:spacing w:line="360" w:lineRule="auto"/>
        <w:ind w:firstLine="480" w:firstLineChars="200"/>
        <w:jc w:val="left"/>
        <w:textAlignment w:val="baseline"/>
        <w:rPr>
          <w:rFonts w:hint="eastAsia" w:ascii="宋体" w:hAnsi="宋体" w:cs="宋体"/>
          <w:sz w:val="24"/>
          <w:szCs w:val="24"/>
        </w:rPr>
      </w:pPr>
      <w:r>
        <w:rPr>
          <w:rFonts w:ascii="宋体" w:hAnsi="宋体" w:cs="宋体"/>
          <w:sz w:val="24"/>
          <w:szCs w:val="24"/>
        </w:rPr>
        <w:t>4.1</w:t>
      </w:r>
      <w:r>
        <w:rPr>
          <w:rFonts w:hint="eastAsia" w:ascii="宋体" w:hAnsi="宋体" w:cs="宋体"/>
          <w:sz w:val="24"/>
          <w:szCs w:val="24"/>
        </w:rPr>
        <w:t>本合同签订后，乙方应在3个工作日内提交编制计划及参编人员名单，报经甲方批准。乙方如需更换编制人员的，需征得甲方书面同意，如有违反，甲方有权解除合同并要求乙方支付10000元/人次作为违约金，以及赔偿由此造成的一切损失。</w:t>
      </w:r>
      <w:r>
        <w:rPr>
          <w:rFonts w:hint="eastAsia" w:ascii="宋体" w:hAnsi="宋体" w:cs="宋体"/>
          <w:sz w:val="24"/>
          <w:szCs w:val="24"/>
          <w:lang w:val="en-US" w:eastAsia="zh-CN"/>
        </w:rPr>
        <w:t>预评价报告以及设计专篇</w:t>
      </w:r>
      <w:r>
        <w:rPr>
          <w:rFonts w:hint="eastAsia" w:ascii="宋体" w:hAnsi="宋体" w:cs="宋体"/>
          <w:sz w:val="24"/>
          <w:szCs w:val="24"/>
        </w:rPr>
        <w:t>应按编制计划所列时间提交。</w:t>
      </w:r>
    </w:p>
    <w:p>
      <w:pPr>
        <w:spacing w:line="360" w:lineRule="auto"/>
        <w:ind w:firstLine="480" w:firstLineChars="200"/>
        <w:jc w:val="left"/>
        <w:textAlignment w:val="baseline"/>
        <w:rPr>
          <w:rFonts w:hint="eastAsia" w:ascii="宋体" w:hAnsi="宋体" w:cs="宋体"/>
          <w:sz w:val="24"/>
          <w:szCs w:val="24"/>
          <w:highlight w:val="none"/>
        </w:rPr>
      </w:pPr>
      <w:r>
        <w:rPr>
          <w:rFonts w:ascii="宋体" w:hAnsi="宋体" w:cs="宋体"/>
          <w:sz w:val="24"/>
          <w:szCs w:val="24"/>
          <w:highlight w:val="none"/>
        </w:rPr>
        <w:t>4.2</w:t>
      </w:r>
      <w:r>
        <w:rPr>
          <w:rFonts w:hint="eastAsia" w:ascii="宋体" w:hAnsi="宋体" w:cs="宋体"/>
          <w:sz w:val="24"/>
          <w:szCs w:val="24"/>
          <w:highlight w:val="none"/>
          <w:lang w:val="en-US" w:eastAsia="zh-CN"/>
        </w:rPr>
        <w:t>.1</w:t>
      </w:r>
      <w:r>
        <w:rPr>
          <w:rFonts w:hint="eastAsia" w:ascii="宋体" w:hAnsi="宋体" w:cs="宋体"/>
          <w:sz w:val="24"/>
          <w:szCs w:val="24"/>
          <w:highlight w:val="none"/>
        </w:rPr>
        <w:t>职业病危害预评价报告书初稿经专家评审确认后</w:t>
      </w:r>
      <w:r>
        <w:rPr>
          <w:rFonts w:ascii="宋体" w:hAnsi="宋体" w:cs="宋体"/>
          <w:sz w:val="24"/>
          <w:szCs w:val="24"/>
          <w:highlight w:val="none"/>
          <w:u w:val="single"/>
        </w:rPr>
        <w:t>5</w:t>
      </w:r>
      <w:r>
        <w:rPr>
          <w:rFonts w:hint="eastAsia" w:ascii="宋体" w:hAnsi="宋体" w:cs="宋体"/>
          <w:sz w:val="24"/>
          <w:szCs w:val="24"/>
          <w:highlight w:val="none"/>
          <w:u w:val="single"/>
        </w:rPr>
        <w:t>个</w:t>
      </w:r>
      <w:r>
        <w:rPr>
          <w:rFonts w:hint="eastAsia" w:ascii="宋体" w:hAnsi="宋体" w:cs="宋体"/>
          <w:sz w:val="24"/>
          <w:szCs w:val="24"/>
          <w:highlight w:val="none"/>
        </w:rPr>
        <w:t>工作日内，乙方向甲方交付正式的职业病危害预评价成果报告书，职业病危害预评价成果报告书一式八份，电子光盘</w:t>
      </w:r>
      <w:r>
        <w:rPr>
          <w:rFonts w:ascii="宋体" w:hAnsi="宋体" w:cs="宋体"/>
          <w:sz w:val="24"/>
          <w:szCs w:val="24"/>
          <w:highlight w:val="none"/>
        </w:rPr>
        <w:t>1</w:t>
      </w:r>
      <w:r>
        <w:rPr>
          <w:rFonts w:hint="eastAsia" w:ascii="宋体" w:hAnsi="宋体" w:cs="宋体"/>
          <w:sz w:val="24"/>
          <w:szCs w:val="24"/>
          <w:highlight w:val="none"/>
        </w:rPr>
        <w:t>份（未加密且可编辑格式）。</w:t>
      </w:r>
    </w:p>
    <w:p>
      <w:pPr>
        <w:spacing w:line="360" w:lineRule="auto"/>
        <w:ind w:firstLine="480" w:firstLineChars="200"/>
        <w:jc w:val="left"/>
        <w:textAlignment w:val="baseline"/>
        <w:rPr>
          <w:rFonts w:ascii="宋体"/>
          <w:sz w:val="24"/>
          <w:szCs w:val="24"/>
        </w:rPr>
      </w:pPr>
      <w:r>
        <w:rPr>
          <w:rFonts w:ascii="宋体" w:hAnsi="宋体" w:cs="宋体"/>
          <w:sz w:val="24"/>
          <w:szCs w:val="24"/>
        </w:rPr>
        <w:t>4.</w:t>
      </w:r>
      <w:r>
        <w:rPr>
          <w:rFonts w:hint="eastAsia" w:ascii="宋体" w:hAnsi="宋体" w:cs="宋体"/>
          <w:sz w:val="24"/>
          <w:szCs w:val="24"/>
          <w:lang w:val="en-US" w:eastAsia="zh-CN"/>
        </w:rPr>
        <w:t>.2.</w:t>
      </w:r>
      <w:r>
        <w:rPr>
          <w:rFonts w:ascii="宋体" w:hAnsi="宋体" w:cs="宋体"/>
          <w:sz w:val="24"/>
          <w:szCs w:val="24"/>
        </w:rPr>
        <w:t>2</w:t>
      </w:r>
      <w:r>
        <w:rPr>
          <w:rFonts w:hint="eastAsia" w:ascii="宋体" w:hAnsi="宋体" w:cs="宋体"/>
          <w:sz w:val="24"/>
          <w:szCs w:val="24"/>
        </w:rPr>
        <w:t>职业病防护设施设计专篇初稿经专家评审确认后</w:t>
      </w:r>
      <w:r>
        <w:rPr>
          <w:rFonts w:ascii="宋体" w:hAnsi="宋体" w:cs="宋体"/>
          <w:sz w:val="24"/>
          <w:szCs w:val="24"/>
          <w:u w:val="single"/>
        </w:rPr>
        <w:t>5</w:t>
      </w:r>
      <w:r>
        <w:rPr>
          <w:rFonts w:hint="eastAsia" w:ascii="宋体" w:hAnsi="宋体" w:cs="宋体"/>
          <w:sz w:val="24"/>
          <w:szCs w:val="24"/>
          <w:u w:val="single"/>
        </w:rPr>
        <w:t>个</w:t>
      </w:r>
      <w:r>
        <w:rPr>
          <w:rFonts w:hint="eastAsia" w:ascii="宋体" w:hAnsi="宋体" w:cs="宋体"/>
          <w:sz w:val="24"/>
          <w:szCs w:val="24"/>
        </w:rPr>
        <w:t>工作日内，乙方向甲方交付正式的职业病防护设施设计专篇成果，职业病防护设施设计专篇成果一式八份，电子光盘</w:t>
      </w:r>
      <w:r>
        <w:rPr>
          <w:rFonts w:ascii="宋体" w:hAnsi="宋体" w:cs="宋体"/>
          <w:sz w:val="24"/>
          <w:szCs w:val="24"/>
        </w:rPr>
        <w:t>1</w:t>
      </w:r>
      <w:r>
        <w:rPr>
          <w:rFonts w:hint="eastAsia" w:ascii="宋体" w:hAnsi="宋体" w:cs="宋体"/>
          <w:sz w:val="24"/>
          <w:szCs w:val="24"/>
        </w:rPr>
        <w:t>份（未加密且可编辑格式）。</w:t>
      </w:r>
    </w:p>
    <w:p>
      <w:pPr>
        <w:spacing w:line="360" w:lineRule="auto"/>
        <w:ind w:firstLine="480" w:firstLineChars="200"/>
        <w:jc w:val="left"/>
        <w:textAlignment w:val="baseline"/>
        <w:rPr>
          <w:rFonts w:ascii="宋体"/>
          <w:b/>
          <w:bCs/>
          <w:sz w:val="28"/>
          <w:szCs w:val="28"/>
        </w:rPr>
      </w:pPr>
      <w:r>
        <w:rPr>
          <w:rFonts w:ascii="宋体" w:hAnsi="宋体" w:cs="宋体"/>
          <w:sz w:val="24"/>
          <w:szCs w:val="24"/>
        </w:rPr>
        <w:t>4.3</w:t>
      </w:r>
      <w:r>
        <w:rPr>
          <w:rFonts w:hint="eastAsia" w:ascii="宋体" w:hAnsi="宋体" w:cs="宋体"/>
          <w:sz w:val="24"/>
          <w:szCs w:val="24"/>
        </w:rPr>
        <w:t>乙方应配合甲方开展结算工作并提交结算的相关资料</w:t>
      </w:r>
      <w:r>
        <w:rPr>
          <w:rFonts w:ascii="宋体" w:cs="宋体"/>
          <w:sz w:val="24"/>
          <w:szCs w:val="24"/>
        </w:rPr>
        <w:t>,</w:t>
      </w:r>
      <w:r>
        <w:rPr>
          <w:rFonts w:hint="eastAsia" w:ascii="宋体" w:hAnsi="宋体" w:cs="宋体"/>
          <w:sz w:val="24"/>
          <w:szCs w:val="24"/>
        </w:rPr>
        <w:t>若乙方逾期超过</w:t>
      </w:r>
      <w:r>
        <w:rPr>
          <w:rFonts w:ascii="宋体" w:hAnsi="宋体" w:cs="宋体"/>
          <w:sz w:val="24"/>
          <w:szCs w:val="24"/>
        </w:rPr>
        <w:t>30</w:t>
      </w:r>
      <w:r>
        <w:rPr>
          <w:rFonts w:hint="eastAsia" w:ascii="宋体" w:hAnsi="宋体" w:cs="宋体"/>
          <w:sz w:val="24"/>
          <w:szCs w:val="24"/>
        </w:rPr>
        <w:t>天未提交完整的结算资料和结算报告等，甲方有权单方自行结算，由此产生的一切责任由乙方承担。</w:t>
      </w:r>
    </w:p>
    <w:p>
      <w:pPr>
        <w:spacing w:line="360" w:lineRule="auto"/>
        <w:outlineLvl w:val="0"/>
        <w:rPr>
          <w:rFonts w:ascii="宋体"/>
          <w:b/>
          <w:bCs/>
          <w:sz w:val="28"/>
          <w:szCs w:val="28"/>
        </w:rPr>
      </w:pPr>
      <w:r>
        <w:rPr>
          <w:rFonts w:hint="eastAsia" w:ascii="宋体" w:hAnsi="宋体" w:cs="宋体"/>
          <w:b/>
          <w:bCs/>
          <w:sz w:val="28"/>
          <w:szCs w:val="28"/>
        </w:rPr>
        <w:t>第五条</w:t>
      </w:r>
      <w:r>
        <w:rPr>
          <w:rFonts w:ascii="宋体" w:hAnsi="宋体" w:cs="宋体"/>
          <w:b/>
          <w:bCs/>
          <w:sz w:val="28"/>
          <w:szCs w:val="28"/>
        </w:rPr>
        <w:t xml:space="preserve"> </w:t>
      </w:r>
      <w:r>
        <w:rPr>
          <w:rFonts w:hint="eastAsia" w:ascii="宋体" w:hAnsi="宋体" w:cs="宋体"/>
          <w:b/>
          <w:bCs/>
          <w:sz w:val="28"/>
          <w:szCs w:val="28"/>
        </w:rPr>
        <w:t>费用</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rPr>
        <w:t>5.1</w:t>
      </w:r>
      <w:r>
        <w:rPr>
          <w:rFonts w:hint="eastAsia" w:ascii="宋体" w:hAnsi="宋体" w:cs="宋体"/>
          <w:sz w:val="24"/>
          <w:szCs w:val="24"/>
        </w:rPr>
        <w:t>本合同</w:t>
      </w:r>
      <w:r>
        <w:rPr>
          <w:rFonts w:hint="eastAsia" w:ascii="宋体" w:hAnsi="宋体" w:cs="宋体"/>
          <w:b w:val="0"/>
          <w:bCs w:val="0"/>
          <w:sz w:val="24"/>
          <w:szCs w:val="24"/>
          <w:highlight w:val="none"/>
        </w:rPr>
        <w:t>总价包干</w:t>
      </w:r>
      <w:r>
        <w:rPr>
          <w:rFonts w:hint="eastAsia" w:ascii="宋体" w:hAnsi="宋体" w:cs="宋体"/>
          <w:b w:val="0"/>
          <w:bCs w:val="0"/>
          <w:sz w:val="24"/>
          <w:szCs w:val="24"/>
          <w:highlight w:val="none"/>
          <w:lang w:eastAsia="zh-CN"/>
        </w:rPr>
        <w:t>，暂定</w:t>
      </w:r>
      <w:r>
        <w:rPr>
          <w:rFonts w:hint="eastAsia" w:ascii="宋体" w:hAnsi="宋体" w:cs="宋体"/>
          <w:sz w:val="24"/>
          <w:szCs w:val="24"/>
          <w:highlight w:val="none"/>
        </w:rPr>
        <w:t>为人民币</w:t>
      </w:r>
      <w:r>
        <w:rPr>
          <w:rFonts w:hint="eastAsia" w:ascii="宋体" w:hAnsi="宋体" w:cs="宋体"/>
          <w:b/>
          <w:bCs/>
          <w:sz w:val="24"/>
          <w:szCs w:val="24"/>
          <w:highlight w:val="none"/>
          <w:u w:val="single"/>
          <w:lang w:val="en-US" w:eastAsia="zh-CN"/>
        </w:rPr>
        <w:t xml:space="preserve">    </w:t>
      </w:r>
      <w:r>
        <w:rPr>
          <w:rFonts w:hint="eastAsia" w:ascii="宋体" w:hAnsi="宋体" w:cs="宋体"/>
          <w:sz w:val="24"/>
          <w:szCs w:val="24"/>
          <w:highlight w:val="none"/>
        </w:rPr>
        <w:t>万元</w:t>
      </w:r>
      <w:r>
        <w:rPr>
          <w:rFonts w:hint="eastAsia" w:ascii="宋体" w:hAnsi="宋体" w:cs="宋体"/>
          <w:sz w:val="24"/>
          <w:szCs w:val="24"/>
          <w:highlight w:val="none"/>
          <w:lang w:eastAsia="zh-CN"/>
        </w:rPr>
        <w:t>（大写：</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元整，含税率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），其中</w:t>
      </w:r>
      <w:r>
        <w:rPr>
          <w:rFonts w:hint="eastAsia" w:ascii="宋体" w:hAnsi="宋体" w:cs="宋体"/>
          <w:sz w:val="24"/>
          <w:szCs w:val="24"/>
          <w:lang w:val="en-US" w:eastAsia="zh-CN"/>
        </w:rPr>
        <w:t>职业病危害预评价费用为   万元，职业病防护设施设计专篇编制费用   万元。</w:t>
      </w:r>
      <w:r>
        <w:rPr>
          <w:rFonts w:hint="eastAsia" w:ascii="宋体" w:hAnsi="宋体" w:cs="宋体"/>
          <w:sz w:val="24"/>
          <w:szCs w:val="24"/>
        </w:rPr>
        <w:t>甲、乙双方同意，对属于《广州市财政投资评审</w:t>
      </w:r>
      <w:r>
        <w:rPr>
          <w:rFonts w:hint="eastAsia" w:ascii="宋体" w:hAnsi="宋体" w:cs="宋体"/>
          <w:sz w:val="24"/>
          <w:szCs w:val="24"/>
          <w:lang w:val="en-US" w:eastAsia="zh-CN"/>
        </w:rPr>
        <w:t>监督</w:t>
      </w:r>
      <w:r>
        <w:rPr>
          <w:rFonts w:hint="eastAsia" w:ascii="宋体" w:hAnsi="宋体" w:cs="宋体"/>
          <w:sz w:val="24"/>
          <w:szCs w:val="24"/>
        </w:rPr>
        <w:t>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.2本合同采用总价包干，工作内容包括完成本合同项下的所有工作，包含但不限于成果编制和报审、修改完善</w:t>
      </w:r>
      <w:r>
        <w:rPr>
          <w:rFonts w:hint="eastAsia" w:ascii="宋体" w:hAnsi="宋体" w:cs="宋体"/>
          <w:sz w:val="24"/>
          <w:highlight w:val="none"/>
          <w:lang w:eastAsia="zh-CN"/>
        </w:rPr>
        <w:t>、预评价和设计过程报告的编写、</w:t>
      </w:r>
      <w:r>
        <w:rPr>
          <w:rFonts w:hint="eastAsia" w:ascii="宋体" w:hAnsi="宋体" w:cs="宋体"/>
          <w:sz w:val="24"/>
          <w:szCs w:val="24"/>
          <w:highlight w:val="none"/>
          <w:lang w:val="en-US" w:eastAsia="zh-CN"/>
        </w:rPr>
        <w:t>职业病危害预评价以及职业病防护设施设计专篇编制两个阶段的专家评审费用</w:t>
      </w:r>
      <w:r>
        <w:rPr>
          <w:rFonts w:hint="eastAsia" w:ascii="宋体" w:hAnsi="宋体" w:cs="宋体"/>
          <w:sz w:val="24"/>
          <w:highlight w:val="none"/>
          <w:lang w:eastAsia="zh-CN"/>
        </w:rPr>
        <w:t>等。</w:t>
      </w:r>
    </w:p>
    <w:p>
      <w:pPr>
        <w:spacing w:line="360" w:lineRule="auto"/>
        <w:outlineLvl w:val="0"/>
        <w:rPr>
          <w:rFonts w:ascii="宋体"/>
          <w:b/>
          <w:bCs/>
          <w:sz w:val="28"/>
          <w:szCs w:val="28"/>
        </w:rPr>
      </w:pPr>
      <w:r>
        <w:rPr>
          <w:rFonts w:hint="eastAsia" w:ascii="宋体" w:hAnsi="宋体" w:cs="宋体"/>
          <w:b/>
          <w:bCs/>
          <w:sz w:val="28"/>
          <w:szCs w:val="28"/>
        </w:rPr>
        <w:t>第六条</w:t>
      </w:r>
      <w:r>
        <w:rPr>
          <w:rFonts w:ascii="宋体" w:hAnsi="宋体" w:cs="宋体"/>
          <w:b/>
          <w:bCs/>
          <w:sz w:val="28"/>
          <w:szCs w:val="28"/>
        </w:rPr>
        <w:t xml:space="preserve"> </w:t>
      </w:r>
      <w:r>
        <w:rPr>
          <w:rFonts w:hint="eastAsia" w:ascii="宋体" w:hAnsi="宋体" w:cs="宋体"/>
          <w:b/>
          <w:bCs/>
          <w:sz w:val="28"/>
          <w:szCs w:val="28"/>
        </w:rPr>
        <w:t>支付方式</w:t>
      </w:r>
    </w:p>
    <w:p>
      <w:pPr>
        <w:spacing w:line="360" w:lineRule="auto"/>
        <w:ind w:firstLine="480" w:firstLineChars="200"/>
        <w:rPr>
          <w:rFonts w:hint="eastAsia" w:ascii="宋体" w:hAnsi="宋体" w:cs="宋体"/>
          <w:sz w:val="24"/>
          <w:szCs w:val="24"/>
        </w:rPr>
      </w:pPr>
      <w:r>
        <w:rPr>
          <w:rFonts w:ascii="宋体" w:hAnsi="宋体" w:cs="宋体"/>
          <w:sz w:val="24"/>
          <w:szCs w:val="24"/>
        </w:rPr>
        <w:t>6.1</w:t>
      </w:r>
      <w:r>
        <w:rPr>
          <w:rFonts w:hint="eastAsia" w:ascii="宋体" w:hAnsi="宋体" w:cs="宋体"/>
          <w:sz w:val="24"/>
          <w:szCs w:val="24"/>
          <w:lang w:val="en-US" w:eastAsia="zh-CN"/>
        </w:rPr>
        <w:t>.1</w:t>
      </w:r>
      <w:r>
        <w:rPr>
          <w:rFonts w:hint="eastAsia" w:ascii="宋体" w:hAnsi="宋体" w:cs="宋体"/>
          <w:sz w:val="24"/>
          <w:szCs w:val="24"/>
        </w:rPr>
        <w:t>支付办法：</w:t>
      </w:r>
      <w:r>
        <w:rPr>
          <w:rFonts w:hint="eastAsia" w:ascii="宋体" w:hAnsi="宋体"/>
          <w:color w:val="000000"/>
          <w:sz w:val="24"/>
        </w:rPr>
        <w:t>本合同生效后，甲方按照</w:t>
      </w:r>
      <w:r>
        <w:rPr>
          <w:rFonts w:hint="eastAsia" w:ascii="宋体" w:hAnsi="宋体" w:cs="宋体"/>
          <w:sz w:val="24"/>
          <w:u w:val="single"/>
        </w:rPr>
        <w:t>《广州市净水有限公司资金集中支付管理办法》</w:t>
      </w:r>
      <w:r>
        <w:rPr>
          <w:rFonts w:hint="eastAsia" w:ascii="宋体" w:hAnsi="宋体"/>
          <w:color w:val="000000"/>
          <w:sz w:val="24"/>
        </w:rPr>
        <w:t>，向乙方支付项目费用</w:t>
      </w:r>
      <w:r>
        <w:rPr>
          <w:rFonts w:hint="eastAsia" w:ascii="宋体" w:hAnsi="宋体" w:cs="宋体"/>
          <w:sz w:val="24"/>
          <w:szCs w:val="24"/>
        </w:rPr>
        <w:t>。</w:t>
      </w:r>
    </w:p>
    <w:p>
      <w:pPr>
        <w:pStyle w:val="46"/>
        <w:ind w:firstLine="480" w:firstLineChars="200"/>
        <w:rPr>
          <w:rFonts w:hAnsi="宋体" w:eastAsia="宋体"/>
          <w:color w:val="auto"/>
        </w:rPr>
      </w:pPr>
      <w:r>
        <w:rPr>
          <w:rFonts w:hint="eastAsia" w:hAnsi="宋体"/>
          <w:color w:val="auto"/>
          <w:lang w:val="en-US" w:eastAsia="zh-CN"/>
        </w:rPr>
        <w:t>6</w:t>
      </w:r>
      <w:r>
        <w:rPr>
          <w:rFonts w:hint="eastAsia" w:hAnsi="宋体"/>
          <w:color w:val="auto"/>
        </w:rPr>
        <w:t xml:space="preserve">.1.2 </w:t>
      </w:r>
      <w:r>
        <w:rPr>
          <w:rFonts w:hint="eastAsia" w:hAnsi="宋体" w:eastAsia="宋体"/>
          <w:color w:val="auto"/>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 w:val="24"/>
          <w:u w:val="single"/>
          <w:lang w:val="en-US" w:eastAsia="zh-CN"/>
        </w:rPr>
        <w:t xml:space="preserve">                       </w:t>
      </w:r>
      <w:r>
        <w:rPr>
          <w:rFonts w:hint="eastAsia" w:ascii="宋体" w:hAnsi="宋体" w:cs="宋体"/>
          <w:sz w:val="24"/>
        </w:rPr>
        <w:t>：</w:t>
      </w:r>
    </w:p>
    <w:p>
      <w:pPr>
        <w:pStyle w:val="46"/>
        <w:ind w:firstLine="960" w:firstLineChars="400"/>
        <w:rPr>
          <w:rFonts w:hAnsi="宋体" w:eastAsia="宋体"/>
          <w:color w:val="auto"/>
        </w:rPr>
      </w:pPr>
      <w:r>
        <w:rPr>
          <w:rFonts w:hint="eastAsia" w:hAnsi="宋体" w:eastAsia="宋体"/>
          <w:color w:val="auto"/>
        </w:rPr>
        <w:t>地址：</w:t>
      </w:r>
      <w:r>
        <w:rPr>
          <w:rFonts w:hint="eastAsia" w:hAnsi="宋体" w:eastAsia="宋体"/>
          <w:color w:val="auto"/>
          <w:u w:val="single"/>
          <w:lang w:val="en-US" w:eastAsia="zh-CN"/>
        </w:rPr>
        <w:t xml:space="preserve">                        </w:t>
      </w:r>
      <w:r>
        <w:rPr>
          <w:rFonts w:hint="eastAsia" w:hAnsi="宋体" w:eastAsia="宋体"/>
          <w:color w:val="auto"/>
        </w:rPr>
        <w:t>：</w:t>
      </w:r>
    </w:p>
    <w:p>
      <w:pPr>
        <w:spacing w:line="360" w:lineRule="auto"/>
        <w:ind w:firstLine="480" w:firstLineChars="200"/>
        <w:rPr>
          <w:rFonts w:ascii="宋体"/>
          <w:sz w:val="24"/>
          <w:szCs w:val="24"/>
        </w:rPr>
      </w:pPr>
      <w:r>
        <w:rPr>
          <w:rFonts w:ascii="宋体" w:hAnsi="宋体" w:cs="宋体"/>
          <w:sz w:val="24"/>
          <w:szCs w:val="24"/>
        </w:rPr>
        <w:t xml:space="preserve">6.2 </w:t>
      </w:r>
      <w:r>
        <w:rPr>
          <w:rFonts w:hint="eastAsia" w:ascii="宋体" w:hAnsi="宋体" w:cs="宋体"/>
          <w:sz w:val="24"/>
          <w:szCs w:val="24"/>
        </w:rPr>
        <w:t>本合同生效后，乙方向甲方提出定金支付申请，甲方向乙方支付合同</w:t>
      </w:r>
      <w:r>
        <w:rPr>
          <w:rFonts w:hint="eastAsia" w:ascii="宋体" w:hAnsi="宋体" w:cs="宋体"/>
          <w:sz w:val="24"/>
          <w:szCs w:val="24"/>
          <w:lang w:val="en-US" w:eastAsia="zh-CN"/>
        </w:rPr>
        <w:t>暂定</w:t>
      </w:r>
      <w:r>
        <w:rPr>
          <w:rFonts w:hint="eastAsia" w:ascii="宋体" w:hAnsi="宋体" w:cs="宋体"/>
          <w:sz w:val="24"/>
          <w:szCs w:val="24"/>
        </w:rPr>
        <w:t>包干价的</w:t>
      </w:r>
      <w:r>
        <w:rPr>
          <w:rFonts w:hint="eastAsia" w:ascii="宋体" w:hAnsi="宋体" w:cs="宋体"/>
          <w:sz w:val="24"/>
          <w:szCs w:val="24"/>
          <w:lang w:val="en-US" w:eastAsia="zh-CN"/>
        </w:rPr>
        <w:t>1</w:t>
      </w:r>
      <w:r>
        <w:rPr>
          <w:rFonts w:ascii="宋体" w:hAnsi="宋体" w:cs="宋体"/>
          <w:b/>
          <w:bCs/>
          <w:sz w:val="24"/>
          <w:szCs w:val="24"/>
        </w:rPr>
        <w:t>0</w:t>
      </w:r>
      <w:r>
        <w:rPr>
          <w:rFonts w:hint="eastAsia" w:ascii="宋体" w:hAnsi="宋体" w:cs="宋体"/>
          <w:b/>
          <w:bCs/>
          <w:sz w:val="24"/>
          <w:szCs w:val="24"/>
        </w:rPr>
        <w:t>％</w:t>
      </w:r>
      <w:r>
        <w:rPr>
          <w:rFonts w:hint="eastAsia" w:ascii="宋体" w:hAnsi="宋体" w:cs="宋体"/>
          <w:sz w:val="24"/>
          <w:szCs w:val="24"/>
        </w:rPr>
        <w:t>作为定金，计</w:t>
      </w:r>
      <w:r>
        <w:rPr>
          <w:rFonts w:hint="eastAsia" w:ascii="宋体" w:hAnsi="宋体" w:cs="宋体"/>
          <w:b/>
          <w:bCs/>
          <w:sz w:val="24"/>
          <w:szCs w:val="24"/>
          <w:highlight w:val="none"/>
          <w:u w:val="single"/>
          <w:lang w:val="en-US" w:eastAsia="zh-CN"/>
        </w:rPr>
        <w:t xml:space="preserve">    </w:t>
      </w:r>
      <w:r>
        <w:rPr>
          <w:rFonts w:hint="eastAsia" w:ascii="宋体" w:hAnsi="宋体" w:cs="宋体"/>
          <w:sz w:val="24"/>
          <w:szCs w:val="24"/>
        </w:rPr>
        <w:t>万元。</w:t>
      </w:r>
    </w:p>
    <w:p>
      <w:pPr>
        <w:spacing w:line="360" w:lineRule="auto"/>
        <w:ind w:firstLine="480" w:firstLineChars="200"/>
        <w:rPr>
          <w:rFonts w:hint="eastAsia" w:ascii="宋体" w:hAnsi="宋体" w:cs="宋体"/>
          <w:sz w:val="24"/>
          <w:szCs w:val="24"/>
        </w:rPr>
      </w:pPr>
      <w:r>
        <w:rPr>
          <w:rFonts w:ascii="宋体" w:hAnsi="宋体" w:cs="宋体"/>
          <w:sz w:val="24"/>
          <w:szCs w:val="24"/>
        </w:rPr>
        <w:t>6.3</w:t>
      </w:r>
      <w:r>
        <w:rPr>
          <w:rFonts w:hint="eastAsia" w:ascii="宋体" w:hAnsi="宋体" w:cs="宋体"/>
          <w:sz w:val="24"/>
          <w:szCs w:val="24"/>
          <w:lang w:val="en-US" w:eastAsia="zh-CN"/>
        </w:rPr>
        <w:t>.1职业病预评价阶段：</w:t>
      </w:r>
      <w:r>
        <w:rPr>
          <w:rFonts w:hint="eastAsia" w:ascii="宋体" w:hAnsi="宋体" w:cs="宋体"/>
          <w:sz w:val="24"/>
          <w:szCs w:val="24"/>
        </w:rPr>
        <w:t>乙方将</w:t>
      </w:r>
      <w:r>
        <w:rPr>
          <w:rFonts w:hint="eastAsia" w:ascii="宋体" w:hAnsi="宋体" w:cs="宋体"/>
          <w:sz w:val="24"/>
          <w:szCs w:val="24"/>
          <w:lang w:eastAsia="zh-CN"/>
        </w:rPr>
        <w:t>预</w:t>
      </w:r>
      <w:r>
        <w:rPr>
          <w:rFonts w:hint="eastAsia" w:ascii="宋体" w:hAnsi="宋体" w:cs="宋体"/>
          <w:sz w:val="24"/>
          <w:szCs w:val="24"/>
        </w:rPr>
        <w:t>评价报告提交</w:t>
      </w:r>
      <w:r>
        <w:rPr>
          <w:rFonts w:hint="eastAsia" w:ascii="宋体" w:hAnsi="宋体" w:cs="宋体"/>
          <w:sz w:val="24"/>
          <w:szCs w:val="24"/>
          <w:highlight w:val="none"/>
        </w:rPr>
        <w:t>给甲方，</w:t>
      </w:r>
      <w:r>
        <w:rPr>
          <w:rFonts w:hint="eastAsia" w:ascii="宋体" w:hAnsi="宋体" w:cs="宋体"/>
          <w:sz w:val="24"/>
          <w:szCs w:val="24"/>
          <w:highlight w:val="none"/>
          <w:lang w:eastAsia="zh-CN"/>
        </w:rPr>
        <w:t>通过专家评审并修改完善</w:t>
      </w:r>
      <w:r>
        <w:rPr>
          <w:rFonts w:hint="eastAsia" w:ascii="宋体" w:hAnsi="宋体" w:cs="宋体"/>
          <w:sz w:val="24"/>
          <w:szCs w:val="24"/>
          <w:highlight w:val="none"/>
          <w:lang w:val="en-US" w:eastAsia="zh-CN"/>
        </w:rPr>
        <w:t>后提供最终成果报告书</w:t>
      </w:r>
      <w:r>
        <w:rPr>
          <w:rFonts w:hint="eastAsia" w:ascii="宋体" w:hAnsi="宋体" w:cs="宋体"/>
          <w:sz w:val="24"/>
          <w:szCs w:val="24"/>
          <w:highlight w:val="none"/>
          <w:lang w:eastAsia="zh-CN"/>
        </w:rPr>
        <w:t>，以及配合甲方将过程资料形成符合《建设项目职业病防护设施“三同时”监督管理办法》（国家安全生产监督管理总局令</w:t>
      </w:r>
      <w:r>
        <w:rPr>
          <w:rFonts w:hint="eastAsia" w:ascii="宋体" w:hAnsi="宋体" w:cs="宋体"/>
          <w:sz w:val="24"/>
          <w:szCs w:val="24"/>
          <w:highlight w:val="none"/>
          <w:lang w:val="en-US" w:eastAsia="zh-CN"/>
        </w:rPr>
        <w:t xml:space="preserve"> 第90号</w:t>
      </w:r>
      <w:r>
        <w:rPr>
          <w:rFonts w:hint="eastAsia" w:ascii="宋体" w:hAnsi="宋体" w:cs="宋体"/>
          <w:sz w:val="24"/>
          <w:szCs w:val="24"/>
          <w:highlight w:val="none"/>
          <w:lang w:eastAsia="zh-CN"/>
        </w:rPr>
        <w:t>）要求的书面报告后</w:t>
      </w:r>
      <w:r>
        <w:rPr>
          <w:rFonts w:hint="eastAsia" w:ascii="宋体" w:hAnsi="宋体" w:cs="宋体"/>
          <w:sz w:val="24"/>
          <w:szCs w:val="24"/>
          <w:highlight w:val="none"/>
        </w:rPr>
        <w:t>，</w:t>
      </w:r>
      <w:r>
        <w:rPr>
          <w:rFonts w:hint="eastAsia" w:ascii="宋体" w:hAnsi="宋体" w:cs="宋体"/>
          <w:sz w:val="24"/>
          <w:szCs w:val="24"/>
        </w:rPr>
        <w:t>乙方应于当月</w:t>
      </w:r>
      <w:r>
        <w:rPr>
          <w:rFonts w:ascii="宋体" w:hAnsi="宋体" w:cs="宋体"/>
          <w:sz w:val="24"/>
          <w:szCs w:val="24"/>
        </w:rPr>
        <w:t>20</w:t>
      </w:r>
      <w:r>
        <w:rPr>
          <w:rFonts w:hint="eastAsia" w:ascii="宋体" w:hAnsi="宋体" w:cs="宋体"/>
          <w:sz w:val="24"/>
          <w:szCs w:val="24"/>
        </w:rPr>
        <w:t>日前将工程支付申请书一式</w:t>
      </w:r>
      <w:r>
        <w:rPr>
          <w:rFonts w:hint="eastAsia" w:ascii="宋体" w:hAnsi="宋体" w:cs="宋体"/>
          <w:sz w:val="24"/>
          <w:szCs w:val="24"/>
          <w:lang w:eastAsia="zh-CN"/>
        </w:rPr>
        <w:t>两</w:t>
      </w:r>
      <w:r>
        <w:rPr>
          <w:rFonts w:hint="eastAsia" w:ascii="宋体" w:hAnsi="宋体" w:cs="宋体"/>
          <w:sz w:val="24"/>
          <w:szCs w:val="24"/>
        </w:rPr>
        <w:t>份报送给甲方，</w:t>
      </w:r>
      <w:r>
        <w:rPr>
          <w:rFonts w:hint="eastAsia" w:ascii="宋体" w:cs="宋体"/>
          <w:sz w:val="24"/>
          <w:szCs w:val="24"/>
        </w:rPr>
        <w:t>甲方向乙方支付至</w:t>
      </w:r>
      <w:r>
        <w:rPr>
          <w:rFonts w:hint="eastAsia" w:ascii="宋体" w:cs="宋体"/>
          <w:sz w:val="24"/>
          <w:szCs w:val="24"/>
          <w:lang w:eastAsia="zh-CN"/>
        </w:rPr>
        <w:t>预评价费用</w:t>
      </w:r>
      <w:r>
        <w:rPr>
          <w:rFonts w:hint="eastAsia" w:ascii="宋体" w:cs="宋体"/>
          <w:sz w:val="24"/>
          <w:szCs w:val="24"/>
        </w:rPr>
        <w:t>的</w:t>
      </w:r>
      <w:r>
        <w:rPr>
          <w:rFonts w:ascii="宋体" w:cs="宋体"/>
          <w:sz w:val="24"/>
          <w:szCs w:val="24"/>
        </w:rPr>
        <w:t>80%</w:t>
      </w:r>
      <w:r>
        <w:rPr>
          <w:rFonts w:hint="eastAsia" w:ascii="宋体" w:cs="宋体"/>
          <w:sz w:val="24"/>
          <w:szCs w:val="24"/>
        </w:rPr>
        <w:t>（</w:t>
      </w:r>
      <w:r>
        <w:rPr>
          <w:rFonts w:hint="eastAsia" w:ascii="宋体" w:cs="宋体"/>
          <w:sz w:val="24"/>
          <w:szCs w:val="24"/>
          <w:lang w:eastAsia="zh-CN"/>
        </w:rPr>
        <w:t>含定金</w:t>
      </w:r>
      <w:r>
        <w:rPr>
          <w:rFonts w:hint="eastAsia" w:ascii="宋体" w:cs="宋体"/>
          <w:sz w:val="24"/>
          <w:szCs w:val="24"/>
        </w:rPr>
        <w:t>）</w:t>
      </w:r>
      <w:r>
        <w:rPr>
          <w:rFonts w:hint="eastAsia" w:ascii="宋体" w:hAnsi="宋体" w:cs="宋体"/>
          <w:sz w:val="24"/>
          <w:szCs w:val="24"/>
        </w:rPr>
        <w:t>。</w:t>
      </w:r>
    </w:p>
    <w:p>
      <w:pPr>
        <w:spacing w:line="360" w:lineRule="auto"/>
        <w:ind w:firstLine="480" w:firstLineChars="200"/>
        <w:rPr>
          <w:rFonts w:ascii="宋体"/>
          <w:sz w:val="24"/>
          <w:szCs w:val="24"/>
        </w:rPr>
      </w:pPr>
      <w:r>
        <w:rPr>
          <w:rFonts w:hint="eastAsia" w:cs="宋体"/>
          <w:sz w:val="24"/>
          <w:szCs w:val="24"/>
          <w:lang w:val="en-US" w:eastAsia="zh-CN"/>
        </w:rPr>
        <w:t>6.3.2设计专篇编写阶段：乙</w:t>
      </w:r>
      <w:r>
        <w:rPr>
          <w:rFonts w:hint="eastAsia" w:ascii="宋体" w:hAnsi="宋体" w:cs="宋体"/>
          <w:sz w:val="24"/>
          <w:szCs w:val="24"/>
        </w:rPr>
        <w:t>方将</w:t>
      </w:r>
      <w:r>
        <w:rPr>
          <w:rFonts w:hint="eastAsia" w:ascii="宋体" w:hAnsi="宋体" w:cs="宋体"/>
          <w:sz w:val="24"/>
          <w:szCs w:val="24"/>
          <w:lang w:eastAsia="zh-CN"/>
        </w:rPr>
        <w:t>设计</w:t>
      </w:r>
      <w:r>
        <w:rPr>
          <w:rFonts w:hint="eastAsia" w:ascii="宋体" w:hAnsi="宋体" w:cs="宋体"/>
          <w:sz w:val="24"/>
          <w:szCs w:val="24"/>
        </w:rPr>
        <w:t>专篇提交给甲方，经专家评审</w:t>
      </w:r>
      <w:r>
        <w:rPr>
          <w:rFonts w:hint="eastAsia" w:ascii="宋体" w:hAnsi="宋体" w:cs="宋体"/>
          <w:sz w:val="24"/>
          <w:szCs w:val="24"/>
          <w:lang w:eastAsia="zh-CN"/>
        </w:rPr>
        <w:t>并修改完善</w:t>
      </w:r>
      <w:r>
        <w:rPr>
          <w:rFonts w:hint="eastAsia" w:ascii="宋体" w:hAnsi="宋体" w:cs="宋体"/>
          <w:sz w:val="24"/>
          <w:szCs w:val="24"/>
          <w:lang w:val="en-US" w:eastAsia="zh-CN"/>
        </w:rPr>
        <w:t>后提交最终成果</w:t>
      </w:r>
      <w:r>
        <w:rPr>
          <w:rFonts w:hint="eastAsia" w:ascii="宋体" w:hAnsi="宋体" w:cs="宋体"/>
          <w:sz w:val="24"/>
          <w:szCs w:val="24"/>
          <w:lang w:eastAsia="zh-CN"/>
        </w:rPr>
        <w:t>，</w:t>
      </w:r>
      <w:r>
        <w:rPr>
          <w:rFonts w:hint="eastAsia" w:ascii="宋体" w:hAnsi="宋体" w:cs="宋体"/>
          <w:sz w:val="24"/>
          <w:szCs w:val="24"/>
          <w:highlight w:val="none"/>
          <w:lang w:eastAsia="zh-CN"/>
        </w:rPr>
        <w:t>以及配合甲方将过程资料形成符合《建设项目职业病防护设施“三同时”监督管理办法》（国家安全生产监督管理总局令</w:t>
      </w:r>
      <w:r>
        <w:rPr>
          <w:rFonts w:hint="eastAsia" w:ascii="宋体" w:hAnsi="宋体" w:cs="宋体"/>
          <w:sz w:val="24"/>
          <w:szCs w:val="24"/>
          <w:highlight w:val="none"/>
          <w:lang w:val="en-US" w:eastAsia="zh-CN"/>
        </w:rPr>
        <w:t xml:space="preserve"> 第90号</w:t>
      </w:r>
      <w:r>
        <w:rPr>
          <w:rFonts w:hint="eastAsia" w:ascii="宋体" w:hAnsi="宋体" w:cs="宋体"/>
          <w:sz w:val="24"/>
          <w:szCs w:val="24"/>
          <w:highlight w:val="none"/>
          <w:lang w:eastAsia="zh-CN"/>
        </w:rPr>
        <w:t>）要求的书面报告后</w:t>
      </w:r>
      <w:r>
        <w:rPr>
          <w:rFonts w:hint="eastAsia" w:ascii="宋体" w:hAnsi="宋体" w:cs="宋体"/>
          <w:sz w:val="24"/>
          <w:szCs w:val="24"/>
          <w:highlight w:val="none"/>
        </w:rPr>
        <w:t>，</w:t>
      </w:r>
      <w:r>
        <w:rPr>
          <w:rFonts w:hint="eastAsia" w:ascii="宋体" w:cs="宋体"/>
          <w:sz w:val="24"/>
          <w:szCs w:val="24"/>
        </w:rPr>
        <w:t>甲方向乙方支付至</w:t>
      </w:r>
      <w:r>
        <w:rPr>
          <w:rFonts w:hint="eastAsia" w:ascii="宋体" w:cs="宋体"/>
          <w:sz w:val="24"/>
          <w:szCs w:val="24"/>
          <w:lang w:eastAsia="zh-CN"/>
        </w:rPr>
        <w:t>合同暂定包干价</w:t>
      </w:r>
      <w:r>
        <w:rPr>
          <w:rFonts w:hint="eastAsia" w:ascii="宋体" w:cs="宋体"/>
          <w:sz w:val="24"/>
          <w:szCs w:val="24"/>
        </w:rPr>
        <w:t>的</w:t>
      </w:r>
      <w:r>
        <w:rPr>
          <w:rFonts w:ascii="宋体" w:cs="宋体"/>
          <w:sz w:val="24"/>
          <w:szCs w:val="24"/>
        </w:rPr>
        <w:t>80%</w:t>
      </w:r>
      <w:r>
        <w:rPr>
          <w:rFonts w:hint="eastAsia" w:ascii="宋体" w:cs="宋体"/>
          <w:sz w:val="24"/>
          <w:szCs w:val="24"/>
        </w:rPr>
        <w:t>（含</w:t>
      </w:r>
      <w:r>
        <w:rPr>
          <w:rFonts w:hint="eastAsia" w:ascii="宋体" w:cs="宋体"/>
          <w:sz w:val="24"/>
          <w:szCs w:val="24"/>
          <w:lang w:eastAsia="zh-CN"/>
        </w:rPr>
        <w:t>已支付定金以及预评价阶段支付费用</w:t>
      </w:r>
      <w:r>
        <w:rPr>
          <w:rFonts w:hint="eastAsia" w:ascii="宋体" w:cs="宋体"/>
          <w:sz w:val="24"/>
          <w:szCs w:val="24"/>
        </w:rPr>
        <w:t>）</w:t>
      </w:r>
      <w:r>
        <w:rPr>
          <w:rFonts w:hint="eastAsia" w:ascii="宋体" w:hAnsi="宋体" w:cs="宋体"/>
          <w:sz w:val="24"/>
          <w:szCs w:val="24"/>
        </w:rPr>
        <w:t>。</w:t>
      </w:r>
    </w:p>
    <w:p>
      <w:pPr>
        <w:spacing w:line="360" w:lineRule="auto"/>
        <w:ind w:firstLine="480" w:firstLineChars="200"/>
        <w:rPr>
          <w:rFonts w:ascii="宋体"/>
          <w:sz w:val="24"/>
          <w:szCs w:val="24"/>
        </w:rPr>
      </w:pPr>
      <w:r>
        <w:rPr>
          <w:rFonts w:ascii="宋体" w:hAnsi="宋体" w:cs="宋体"/>
          <w:sz w:val="24"/>
          <w:szCs w:val="24"/>
        </w:rPr>
        <w:t>6.3</w:t>
      </w:r>
      <w:r>
        <w:rPr>
          <w:rFonts w:hint="eastAsia" w:ascii="宋体" w:hAnsi="宋体" w:cs="宋体"/>
          <w:sz w:val="24"/>
          <w:szCs w:val="24"/>
          <w:lang w:val="en-US" w:eastAsia="zh-CN"/>
        </w:rPr>
        <w:t>.3</w:t>
      </w:r>
      <w:r>
        <w:rPr>
          <w:rFonts w:hint="eastAsia" w:ascii="宋体" w:hAnsi="宋体" w:cs="宋体"/>
          <w:sz w:val="24"/>
          <w:szCs w:val="24"/>
        </w:rPr>
        <w:t>待相关部门终审结算后，甲方支付至合同结算价的</w:t>
      </w:r>
      <w:r>
        <w:rPr>
          <w:rFonts w:ascii="宋体" w:hAnsi="宋体" w:cs="宋体"/>
          <w:sz w:val="24"/>
          <w:szCs w:val="24"/>
        </w:rPr>
        <w:t>100%</w:t>
      </w:r>
      <w:r>
        <w:rPr>
          <w:rFonts w:hint="eastAsia" w:ascii="宋体" w:hAnsi="宋体" w:cs="宋体"/>
          <w:sz w:val="24"/>
          <w:szCs w:val="24"/>
        </w:rPr>
        <w:t>。</w:t>
      </w:r>
    </w:p>
    <w:p>
      <w:pPr>
        <w:spacing w:line="360" w:lineRule="auto"/>
        <w:ind w:firstLine="480" w:firstLineChars="200"/>
        <w:rPr>
          <w:rFonts w:ascii="宋体"/>
          <w:sz w:val="24"/>
          <w:szCs w:val="24"/>
        </w:rPr>
      </w:pPr>
      <w:r>
        <w:rPr>
          <w:rFonts w:ascii="宋体" w:hAnsi="宋体" w:cs="宋体"/>
          <w:sz w:val="24"/>
          <w:szCs w:val="24"/>
        </w:rPr>
        <w:t>6.4</w:t>
      </w:r>
      <w:r>
        <w:rPr>
          <w:rFonts w:hint="eastAsia" w:ascii="宋体" w:hAnsi="宋体" w:cs="宋体"/>
          <w:sz w:val="24"/>
          <w:szCs w:val="24"/>
        </w:rPr>
        <w:t>在合同履行期间，甲方要求终止或解除合同，由双方协商支付费用，最高支付至合同</w:t>
      </w:r>
      <w:r>
        <w:rPr>
          <w:rFonts w:hint="eastAsia" w:ascii="宋体" w:hAnsi="宋体" w:cs="宋体"/>
          <w:sz w:val="24"/>
          <w:szCs w:val="24"/>
          <w:lang w:val="en-US" w:eastAsia="zh-CN"/>
        </w:rPr>
        <w:t>暂定包干</w:t>
      </w:r>
      <w:r>
        <w:rPr>
          <w:rFonts w:hint="eastAsia" w:ascii="宋体" w:hAnsi="宋体" w:cs="宋体"/>
          <w:sz w:val="24"/>
          <w:szCs w:val="24"/>
        </w:rPr>
        <w:t>价的六成。</w:t>
      </w:r>
    </w:p>
    <w:p>
      <w:pPr>
        <w:spacing w:line="360" w:lineRule="auto"/>
        <w:ind w:firstLine="480" w:firstLineChars="200"/>
        <w:rPr>
          <w:rFonts w:ascii="宋体" w:hAnsi="宋体" w:cs="宋体"/>
          <w:sz w:val="24"/>
        </w:rPr>
      </w:pPr>
      <w:r>
        <w:rPr>
          <w:rFonts w:ascii="宋体" w:hAnsi="宋体" w:cs="宋体"/>
          <w:sz w:val="24"/>
          <w:szCs w:val="24"/>
        </w:rPr>
        <w:t>6.5</w:t>
      </w:r>
      <w:r>
        <w:rPr>
          <w:rFonts w:hint="eastAsia" w:ascii="宋体" w:hAnsi="宋体" w:cs="宋体"/>
          <w:sz w:val="24"/>
        </w:rPr>
        <w:t xml:space="preserve"> 付款方式：</w:t>
      </w:r>
      <w:r>
        <w:rPr>
          <w:rFonts w:hint="eastAsia" w:ascii="宋体" w:hAnsi="宋体" w:cs="宋体"/>
          <w:sz w:val="24"/>
        </w:rPr>
        <w:sym w:font="Wingdings" w:char="00FE"/>
      </w:r>
      <w:r>
        <w:rPr>
          <w:rFonts w:hint="eastAsia" w:ascii="宋体" w:hAnsi="宋体" w:cs="宋体"/>
          <w:sz w:val="24"/>
        </w:rPr>
        <w:t>网银支付；</w:t>
      </w:r>
      <w:r>
        <w:rPr>
          <w:rFonts w:hint="eastAsia" w:ascii="宋体" w:hAnsi="宋体" w:cs="宋体"/>
          <w:sz w:val="24"/>
        </w:rPr>
        <w:sym w:font="Wingdings" w:char="00A8"/>
      </w:r>
      <w:r>
        <w:rPr>
          <w:rFonts w:hint="eastAsia" w:ascii="宋体" w:hAnsi="宋体" w:cs="宋体"/>
          <w:sz w:val="24"/>
        </w:rPr>
        <w:t>支票；</w:t>
      </w:r>
      <w:r>
        <w:rPr>
          <w:rFonts w:hint="eastAsia" w:ascii="宋体" w:hAnsi="宋体" w:cs="宋体"/>
          <w:sz w:val="24"/>
        </w:rPr>
        <w:sym w:font="Wingdings" w:char="00A8"/>
      </w:r>
      <w:r>
        <w:rPr>
          <w:rFonts w:hint="eastAsia" w:ascii="宋体" w:hAnsi="宋体" w:cs="宋体"/>
          <w:sz w:val="24"/>
        </w:rPr>
        <w:t>其他：/</w:t>
      </w:r>
    </w:p>
    <w:p>
      <w:pPr>
        <w:spacing w:line="360" w:lineRule="auto"/>
        <w:outlineLvl w:val="0"/>
        <w:rPr>
          <w:rFonts w:ascii="宋体"/>
          <w:b/>
          <w:bCs/>
          <w:sz w:val="28"/>
          <w:szCs w:val="28"/>
          <w:highlight w:val="none"/>
        </w:rPr>
      </w:pPr>
      <w:r>
        <w:rPr>
          <w:rFonts w:hint="eastAsia" w:ascii="宋体" w:hAnsi="宋体" w:cs="宋体"/>
          <w:b/>
          <w:bCs/>
          <w:sz w:val="28"/>
          <w:szCs w:val="28"/>
          <w:highlight w:val="none"/>
        </w:rPr>
        <w:t>第七条</w:t>
      </w:r>
      <w:r>
        <w:rPr>
          <w:rFonts w:ascii="宋体" w:hAnsi="宋体" w:cs="宋体"/>
          <w:b/>
          <w:bCs/>
          <w:sz w:val="28"/>
          <w:szCs w:val="28"/>
          <w:highlight w:val="none"/>
        </w:rPr>
        <w:t xml:space="preserve"> </w:t>
      </w:r>
      <w:r>
        <w:rPr>
          <w:rFonts w:hint="eastAsia" w:ascii="宋体" w:hAnsi="宋体" w:cs="宋体"/>
          <w:b/>
          <w:bCs/>
          <w:sz w:val="28"/>
          <w:szCs w:val="28"/>
          <w:highlight w:val="none"/>
        </w:rPr>
        <w:t>双方责任</w:t>
      </w:r>
    </w:p>
    <w:p>
      <w:pPr>
        <w:spacing w:line="360" w:lineRule="auto"/>
        <w:ind w:firstLine="480" w:firstLineChars="200"/>
        <w:rPr>
          <w:rFonts w:ascii="宋体"/>
          <w:sz w:val="24"/>
          <w:szCs w:val="24"/>
        </w:rPr>
      </w:pPr>
      <w:r>
        <w:rPr>
          <w:rFonts w:ascii="宋体" w:hAnsi="宋体" w:cs="宋体"/>
          <w:sz w:val="24"/>
          <w:szCs w:val="24"/>
        </w:rPr>
        <w:t>7.1</w:t>
      </w:r>
      <w:r>
        <w:rPr>
          <w:rFonts w:hint="eastAsia" w:ascii="宋体" w:hAnsi="宋体" w:cs="宋体"/>
          <w:sz w:val="24"/>
          <w:szCs w:val="24"/>
        </w:rPr>
        <w:t>甲方责任</w:t>
      </w:r>
    </w:p>
    <w:p>
      <w:pPr>
        <w:spacing w:line="360" w:lineRule="auto"/>
        <w:ind w:firstLine="480" w:firstLineChars="200"/>
        <w:rPr>
          <w:rFonts w:ascii="宋体"/>
          <w:sz w:val="24"/>
          <w:szCs w:val="24"/>
        </w:rPr>
      </w:pPr>
      <w:r>
        <w:rPr>
          <w:rFonts w:ascii="宋体" w:hAnsi="宋体" w:cs="宋体"/>
          <w:sz w:val="24"/>
          <w:szCs w:val="24"/>
        </w:rPr>
        <w:t>7.1.1</w:t>
      </w:r>
      <w:r>
        <w:rPr>
          <w:rFonts w:hint="eastAsia" w:ascii="宋体" w:hAnsi="宋体" w:cs="宋体"/>
          <w:sz w:val="24"/>
          <w:szCs w:val="24"/>
        </w:rPr>
        <w:t>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sz w:val="24"/>
          <w:szCs w:val="24"/>
        </w:rPr>
      </w:pPr>
      <w:r>
        <w:rPr>
          <w:rFonts w:ascii="宋体" w:hAnsi="宋体" w:cs="宋体"/>
          <w:sz w:val="24"/>
          <w:szCs w:val="24"/>
        </w:rPr>
        <w:t>7.1.2</w:t>
      </w:r>
      <w:r>
        <w:rPr>
          <w:rFonts w:hint="eastAsia" w:ascii="宋体" w:hAnsi="宋体" w:cs="宋体"/>
          <w:sz w:val="24"/>
          <w:szCs w:val="24"/>
        </w:rPr>
        <w:t>合同生效后，非乙方原因，甲方要求终止或解除合同，乙方未开始编制工作的，不退还甲方已付的定金。</w:t>
      </w:r>
    </w:p>
    <w:p>
      <w:pPr>
        <w:spacing w:line="360" w:lineRule="auto"/>
        <w:ind w:firstLine="480" w:firstLineChars="200"/>
        <w:rPr>
          <w:rFonts w:ascii="宋体"/>
          <w:sz w:val="24"/>
          <w:szCs w:val="24"/>
        </w:rPr>
      </w:pPr>
      <w:r>
        <w:rPr>
          <w:rFonts w:ascii="宋体" w:hAnsi="宋体" w:cs="宋体"/>
          <w:sz w:val="24"/>
          <w:szCs w:val="24"/>
        </w:rPr>
        <w:t xml:space="preserve">7.1.3 </w:t>
      </w:r>
      <w:r>
        <w:rPr>
          <w:rFonts w:hint="eastAsia" w:ascii="宋体" w:hAnsi="宋体" w:cs="宋体"/>
          <w:sz w:val="24"/>
          <w:szCs w:val="24"/>
        </w:rPr>
        <w:t>在合同履行期间，已开始编制工作，非乙方原因，甲方要求终止或解除合同，甲方根据乙方已进行的实际工作量按实进行结算</w:t>
      </w:r>
      <w:r>
        <w:rPr>
          <w:rFonts w:hint="eastAsia" w:ascii="宋体" w:hAnsi="宋体" w:cs="宋体"/>
          <w:sz w:val="24"/>
          <w:szCs w:val="24"/>
          <w:lang w:eastAsia="zh-CN"/>
        </w:rPr>
        <w:t>，</w:t>
      </w:r>
      <w:r>
        <w:rPr>
          <w:rFonts w:hint="eastAsia" w:ascii="宋体" w:hAnsi="宋体" w:cs="宋体"/>
          <w:sz w:val="24"/>
          <w:szCs w:val="24"/>
        </w:rPr>
        <w:t>最高支付至合同</w:t>
      </w:r>
      <w:r>
        <w:rPr>
          <w:rFonts w:hint="eastAsia" w:ascii="宋体" w:hAnsi="宋体" w:cs="宋体"/>
          <w:sz w:val="24"/>
          <w:szCs w:val="24"/>
          <w:lang w:val="en-US" w:eastAsia="zh-CN"/>
        </w:rPr>
        <w:t>暂定包干</w:t>
      </w:r>
      <w:r>
        <w:rPr>
          <w:rFonts w:hint="eastAsia" w:ascii="宋体" w:hAnsi="宋体" w:cs="宋体"/>
          <w:sz w:val="24"/>
          <w:szCs w:val="24"/>
        </w:rPr>
        <w:t>价的六成。</w:t>
      </w:r>
    </w:p>
    <w:p>
      <w:pPr>
        <w:spacing w:line="360" w:lineRule="auto"/>
        <w:ind w:firstLine="480" w:firstLineChars="200"/>
        <w:rPr>
          <w:rFonts w:ascii="宋体"/>
          <w:sz w:val="24"/>
          <w:szCs w:val="24"/>
        </w:rPr>
      </w:pPr>
      <w:r>
        <w:rPr>
          <w:rFonts w:ascii="宋体" w:hAnsi="宋体" w:cs="宋体"/>
          <w:sz w:val="24"/>
          <w:szCs w:val="24"/>
        </w:rPr>
        <w:t xml:space="preserve">7.1.4 </w:t>
      </w:r>
      <w:r>
        <w:rPr>
          <w:rFonts w:hint="eastAsia" w:ascii="宋体" w:hAnsi="宋体" w:cs="宋体"/>
          <w:sz w:val="24"/>
          <w:szCs w:val="24"/>
        </w:rPr>
        <w:t>甲方要求乙方比合同规定时间提前交付编制文件时，需征得乙方同意，不得严重背离合理编制周期。</w:t>
      </w:r>
    </w:p>
    <w:p>
      <w:pPr>
        <w:spacing w:line="360" w:lineRule="auto"/>
        <w:ind w:firstLine="480" w:firstLineChars="200"/>
        <w:rPr>
          <w:rFonts w:ascii="宋体"/>
          <w:sz w:val="24"/>
          <w:szCs w:val="24"/>
        </w:rPr>
      </w:pPr>
      <w:r>
        <w:rPr>
          <w:rFonts w:ascii="宋体" w:hAnsi="宋体" w:cs="宋体"/>
          <w:sz w:val="24"/>
          <w:szCs w:val="24"/>
        </w:rPr>
        <w:t>7.2</w:t>
      </w:r>
      <w:r>
        <w:rPr>
          <w:rFonts w:hint="eastAsia" w:ascii="宋体" w:hAnsi="宋体" w:cs="宋体"/>
          <w:sz w:val="24"/>
          <w:szCs w:val="24"/>
        </w:rPr>
        <w:t>乙方责任</w:t>
      </w:r>
    </w:p>
    <w:p>
      <w:pPr>
        <w:spacing w:line="360" w:lineRule="auto"/>
        <w:ind w:firstLine="480" w:firstLineChars="200"/>
        <w:rPr>
          <w:rFonts w:ascii="宋体"/>
          <w:sz w:val="24"/>
          <w:szCs w:val="24"/>
        </w:rPr>
      </w:pPr>
      <w:r>
        <w:rPr>
          <w:rFonts w:ascii="宋体" w:hAnsi="宋体" w:cs="宋体"/>
          <w:sz w:val="24"/>
          <w:szCs w:val="24"/>
        </w:rPr>
        <w:t>7.2.1</w:t>
      </w:r>
      <w:r>
        <w:rPr>
          <w:rFonts w:hint="eastAsia" w:ascii="宋体" w:hAnsi="宋体" w:cs="宋体"/>
          <w:sz w:val="24"/>
          <w:szCs w:val="24"/>
        </w:rPr>
        <w:t>乙方应在商定的时间内向甲方提交有关技术文件，乙方保证具备相应的资质并对提交的文件、报告及所出的结论负责。</w:t>
      </w:r>
    </w:p>
    <w:p>
      <w:pPr>
        <w:spacing w:line="360" w:lineRule="auto"/>
        <w:ind w:firstLine="480" w:firstLineChars="200"/>
        <w:rPr>
          <w:rFonts w:ascii="宋体"/>
          <w:sz w:val="24"/>
          <w:szCs w:val="24"/>
          <w:highlight w:val="none"/>
        </w:rPr>
      </w:pPr>
      <w:r>
        <w:rPr>
          <w:rFonts w:ascii="宋体" w:hAnsi="宋体" w:cs="宋体"/>
          <w:sz w:val="24"/>
          <w:szCs w:val="24"/>
        </w:rPr>
        <w:t>7.2.2</w:t>
      </w:r>
      <w:r>
        <w:rPr>
          <w:rFonts w:hint="eastAsia" w:ascii="宋体" w:hAnsi="宋体" w:cs="宋体"/>
          <w:sz w:val="24"/>
          <w:szCs w:val="24"/>
        </w:rPr>
        <w:t>因文件质量问题引起返工，除由乙方继续完善外，并视造成损失大小，</w:t>
      </w:r>
      <w:r>
        <w:rPr>
          <w:rFonts w:hint="eastAsia" w:ascii="宋体" w:hAnsi="宋体" w:cs="宋体"/>
          <w:sz w:val="24"/>
          <w:szCs w:val="24"/>
          <w:highlight w:val="none"/>
        </w:rPr>
        <w:t>减收直至免收编制费。</w:t>
      </w:r>
    </w:p>
    <w:p>
      <w:pPr>
        <w:spacing w:line="360" w:lineRule="auto"/>
        <w:ind w:firstLine="480" w:firstLineChars="200"/>
        <w:rPr>
          <w:rFonts w:ascii="宋体"/>
          <w:sz w:val="24"/>
          <w:szCs w:val="24"/>
          <w:highlight w:val="none"/>
        </w:rPr>
      </w:pPr>
      <w:r>
        <w:rPr>
          <w:rFonts w:ascii="宋体" w:hAnsi="宋体" w:cs="宋体"/>
          <w:sz w:val="24"/>
          <w:szCs w:val="24"/>
          <w:highlight w:val="none"/>
        </w:rPr>
        <w:t>7.2.3</w:t>
      </w:r>
      <w:r>
        <w:rPr>
          <w:rFonts w:hint="eastAsia" w:ascii="宋体" w:hAnsi="宋体" w:cs="宋体"/>
          <w:sz w:val="24"/>
          <w:szCs w:val="24"/>
          <w:highlight w:val="none"/>
        </w:rPr>
        <w:t>乙方应</w:t>
      </w:r>
      <w:r>
        <w:rPr>
          <w:rFonts w:hint="eastAsia" w:ascii="宋体" w:hAnsi="宋体" w:cs="宋体"/>
          <w:sz w:val="24"/>
          <w:szCs w:val="24"/>
          <w:highlight w:val="none"/>
          <w:lang w:eastAsia="zh-CN"/>
        </w:rPr>
        <w:t>在职业病危害预评价报告阶段以及</w:t>
      </w:r>
      <w:r>
        <w:rPr>
          <w:rFonts w:hint="eastAsia" w:ascii="宋体" w:hAnsi="宋体" w:cs="宋体"/>
          <w:sz w:val="24"/>
          <w:szCs w:val="24"/>
          <w:highlight w:val="none"/>
          <w:lang w:val="en-US" w:eastAsia="zh-CN"/>
        </w:rPr>
        <w:t>职业病防护设施设计专篇阶段按甲方要求，配合</w:t>
      </w:r>
      <w:r>
        <w:rPr>
          <w:rFonts w:hint="eastAsia" w:ascii="宋体" w:hAnsi="宋体" w:cs="宋体"/>
          <w:sz w:val="24"/>
          <w:szCs w:val="24"/>
          <w:highlight w:val="none"/>
          <w:lang w:eastAsia="zh-CN"/>
        </w:rPr>
        <w:t>组织职业病危害预评价报告和</w:t>
      </w:r>
      <w:r>
        <w:rPr>
          <w:rFonts w:hint="eastAsia" w:ascii="宋体" w:hAnsi="宋体" w:cs="宋体"/>
          <w:sz w:val="24"/>
          <w:szCs w:val="24"/>
          <w:highlight w:val="none"/>
          <w:lang w:val="en-US" w:eastAsia="zh-CN"/>
        </w:rPr>
        <w:t>职业病防护设施设计专篇</w:t>
      </w:r>
      <w:r>
        <w:rPr>
          <w:rFonts w:hint="eastAsia" w:ascii="宋体" w:hAnsi="宋体" w:cs="宋体"/>
          <w:sz w:val="24"/>
          <w:szCs w:val="24"/>
          <w:highlight w:val="none"/>
          <w:lang w:eastAsia="zh-CN"/>
        </w:rPr>
        <w:t>专家评审并按照评审意见对成果进行修改完善，以及配合甲方将过程资料形成符合《建设项目职业病防护设施“三同时”监督管理办法》（国家安全生产监督管理总局令</w:t>
      </w:r>
      <w:r>
        <w:rPr>
          <w:rFonts w:hint="eastAsia" w:ascii="宋体" w:hAnsi="宋体" w:cs="宋体"/>
          <w:sz w:val="24"/>
          <w:szCs w:val="24"/>
          <w:highlight w:val="none"/>
          <w:lang w:val="en-US" w:eastAsia="zh-CN"/>
        </w:rPr>
        <w:t xml:space="preserve"> 第90号</w:t>
      </w:r>
      <w:r>
        <w:rPr>
          <w:rFonts w:hint="eastAsia" w:ascii="宋体" w:hAnsi="宋体" w:cs="宋体"/>
          <w:sz w:val="24"/>
          <w:szCs w:val="24"/>
          <w:highlight w:val="none"/>
          <w:lang w:eastAsia="zh-CN"/>
        </w:rPr>
        <w:t>）要求的书面报告</w:t>
      </w:r>
      <w:r>
        <w:rPr>
          <w:rFonts w:hint="eastAsia" w:ascii="宋体" w:hAnsi="宋体" w:cs="宋体"/>
          <w:sz w:val="24"/>
          <w:szCs w:val="24"/>
          <w:highlight w:val="none"/>
        </w:rPr>
        <w:t>。</w:t>
      </w:r>
    </w:p>
    <w:p>
      <w:pPr>
        <w:spacing w:line="360" w:lineRule="auto"/>
        <w:ind w:firstLine="480" w:firstLineChars="200"/>
        <w:jc w:val="left"/>
        <w:textAlignment w:val="baseline"/>
        <w:rPr>
          <w:rFonts w:ascii="宋体"/>
          <w:sz w:val="24"/>
          <w:szCs w:val="24"/>
        </w:rPr>
      </w:pPr>
      <w:r>
        <w:rPr>
          <w:rFonts w:ascii="宋体" w:hAnsi="宋体" w:cs="宋体"/>
          <w:sz w:val="24"/>
          <w:szCs w:val="24"/>
          <w:highlight w:val="none"/>
        </w:rPr>
        <w:t>7.2.4</w:t>
      </w:r>
      <w:r>
        <w:rPr>
          <w:rFonts w:hint="eastAsia" w:ascii="宋体" w:hAnsi="宋体" w:cs="宋体"/>
          <w:sz w:val="24"/>
          <w:szCs w:val="24"/>
          <w:highlight w:val="none"/>
        </w:rPr>
        <w:t>乙方有责任对甲方提供</w:t>
      </w:r>
      <w:r>
        <w:rPr>
          <w:rFonts w:hint="eastAsia" w:ascii="宋体" w:hAnsi="宋体" w:cs="宋体"/>
          <w:sz w:val="24"/>
          <w:szCs w:val="24"/>
        </w:rPr>
        <w:t>的资料保密，未经许可，不得提供给与本工程无关的单位和人员使用。乙方未尽保密义务，给甲方造成损失的，应该承担赔偿责任，并向甲方一次性支付合同</w:t>
      </w:r>
      <w:r>
        <w:rPr>
          <w:rFonts w:hint="eastAsia" w:ascii="宋体" w:hAnsi="宋体" w:cs="宋体"/>
          <w:sz w:val="24"/>
          <w:szCs w:val="24"/>
          <w:lang w:val="en-US" w:eastAsia="zh-CN"/>
        </w:rPr>
        <w:t>暂定包干价</w:t>
      </w:r>
      <w:r>
        <w:rPr>
          <w:rFonts w:ascii="宋体" w:hAnsi="宋体" w:cs="宋体"/>
          <w:sz w:val="24"/>
          <w:szCs w:val="24"/>
        </w:rPr>
        <w:t>1%</w:t>
      </w:r>
      <w:r>
        <w:rPr>
          <w:rFonts w:hint="eastAsia" w:ascii="宋体" w:hAnsi="宋体" w:cs="宋体"/>
          <w:sz w:val="24"/>
          <w:szCs w:val="24"/>
        </w:rPr>
        <w:t>的违约金。不论何种情况下保密内容失密的，乙方应当及时采取救济措施。若乙方怠于救济导致甲方损失扩大的，乙方对扩大部分承担赔偿责任。</w:t>
      </w:r>
    </w:p>
    <w:p>
      <w:pPr>
        <w:spacing w:line="360" w:lineRule="auto"/>
        <w:ind w:firstLine="480" w:firstLineChars="200"/>
        <w:jc w:val="left"/>
        <w:textAlignment w:val="baseline"/>
        <w:rPr>
          <w:rFonts w:ascii="宋体"/>
          <w:sz w:val="24"/>
          <w:szCs w:val="24"/>
        </w:rPr>
      </w:pPr>
      <w:r>
        <w:rPr>
          <w:rFonts w:ascii="宋体" w:hAnsi="宋体" w:cs="宋体"/>
          <w:sz w:val="24"/>
          <w:szCs w:val="24"/>
        </w:rPr>
        <w:t>7.2.5</w:t>
      </w:r>
      <w:r>
        <w:rPr>
          <w:rFonts w:hint="eastAsia" w:ascii="宋体" w:hAnsi="宋体" w:cs="宋体"/>
          <w:sz w:val="24"/>
          <w:szCs w:val="24"/>
        </w:rPr>
        <w:t>若标准或计划变更，经甲方同意，乙方可顺延期。</w:t>
      </w:r>
    </w:p>
    <w:p>
      <w:pPr>
        <w:spacing w:line="360" w:lineRule="auto"/>
        <w:ind w:firstLine="480" w:firstLineChars="200"/>
        <w:jc w:val="left"/>
        <w:textAlignment w:val="baseline"/>
        <w:rPr>
          <w:rFonts w:ascii="宋体"/>
          <w:sz w:val="24"/>
          <w:szCs w:val="24"/>
        </w:rPr>
      </w:pPr>
      <w:r>
        <w:rPr>
          <w:rFonts w:ascii="宋体" w:hAnsi="宋体" w:cs="宋体"/>
          <w:sz w:val="24"/>
          <w:szCs w:val="24"/>
        </w:rPr>
        <w:t>7.2.6</w:t>
      </w:r>
      <w:r>
        <w:rPr>
          <w:rFonts w:hint="eastAsia" w:ascii="宋体" w:hAnsi="宋体" w:cs="宋体"/>
          <w:sz w:val="24"/>
        </w:rPr>
        <w:t>非甲方原因乙方要求解除合同的，应双倍退还定金，</w:t>
      </w:r>
      <w:r>
        <w:rPr>
          <w:rFonts w:hint="eastAsia" w:ascii="宋体" w:hAnsi="宋体" w:cs="宋体"/>
          <w:sz w:val="24"/>
          <w:lang w:val="en-US" w:eastAsia="zh-CN"/>
        </w:rPr>
        <w:t>返还已支付的全部费用，</w:t>
      </w:r>
      <w:r>
        <w:rPr>
          <w:rFonts w:hint="eastAsia" w:ascii="宋体" w:hAnsi="宋体" w:cs="宋体"/>
          <w:sz w:val="24"/>
        </w:rPr>
        <w:t>定金不足以弥补乙方违约造成的损失的，甲方可以请求超过定金数额的损失。</w:t>
      </w:r>
    </w:p>
    <w:p>
      <w:pPr>
        <w:spacing w:line="360" w:lineRule="auto"/>
        <w:jc w:val="left"/>
        <w:textAlignment w:val="baseline"/>
        <w:rPr>
          <w:rFonts w:ascii="宋体"/>
          <w:b/>
          <w:bCs/>
          <w:sz w:val="28"/>
          <w:szCs w:val="28"/>
        </w:rPr>
      </w:pPr>
      <w:r>
        <w:rPr>
          <w:rFonts w:hint="eastAsia" w:ascii="宋体" w:hAnsi="宋体" w:cs="宋体"/>
          <w:b/>
          <w:bCs/>
          <w:sz w:val="28"/>
          <w:szCs w:val="28"/>
        </w:rPr>
        <w:t>第八条</w:t>
      </w:r>
      <w:r>
        <w:rPr>
          <w:rFonts w:ascii="宋体" w:hAnsi="宋体" w:cs="宋体"/>
          <w:b/>
          <w:bCs/>
          <w:sz w:val="28"/>
          <w:szCs w:val="28"/>
        </w:rPr>
        <w:t xml:space="preserve"> </w:t>
      </w:r>
      <w:r>
        <w:rPr>
          <w:rFonts w:hint="eastAsia" w:ascii="宋体" w:hAnsi="宋体" w:cs="宋体"/>
          <w:b/>
          <w:bCs/>
          <w:sz w:val="28"/>
          <w:szCs w:val="28"/>
        </w:rPr>
        <w:t>知识产权</w:t>
      </w:r>
    </w:p>
    <w:p>
      <w:pPr>
        <w:spacing w:line="360" w:lineRule="auto"/>
        <w:ind w:firstLine="480" w:firstLineChars="200"/>
        <w:jc w:val="left"/>
        <w:textAlignment w:val="baseline"/>
        <w:rPr>
          <w:rFonts w:ascii="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以及用于本合同项目外的项目。如发生以上情况，违约方承担一切由此引起的后果并承担赔偿责任。</w:t>
      </w:r>
    </w:p>
    <w:p>
      <w:pPr>
        <w:spacing w:line="360" w:lineRule="auto"/>
        <w:jc w:val="left"/>
        <w:textAlignment w:val="baseline"/>
        <w:rPr>
          <w:rFonts w:ascii="宋体"/>
          <w:b/>
          <w:bCs/>
          <w:sz w:val="28"/>
          <w:szCs w:val="28"/>
        </w:rPr>
      </w:pPr>
      <w:r>
        <w:rPr>
          <w:rFonts w:hint="eastAsia" w:ascii="宋体" w:hAnsi="宋体" w:cs="宋体"/>
          <w:b/>
          <w:bCs/>
          <w:sz w:val="28"/>
          <w:szCs w:val="28"/>
        </w:rPr>
        <w:t>第九条</w:t>
      </w:r>
      <w:r>
        <w:rPr>
          <w:rFonts w:ascii="宋体" w:hAnsi="宋体" w:cs="宋体"/>
          <w:b/>
          <w:bCs/>
          <w:sz w:val="28"/>
          <w:szCs w:val="28"/>
        </w:rPr>
        <w:t xml:space="preserve"> </w:t>
      </w:r>
      <w:r>
        <w:rPr>
          <w:rFonts w:hint="eastAsia" w:ascii="宋体" w:hAnsi="宋体" w:cs="宋体"/>
          <w:b/>
          <w:bCs/>
          <w:sz w:val="28"/>
          <w:szCs w:val="28"/>
        </w:rPr>
        <w:t>仲裁、起诉</w:t>
      </w:r>
    </w:p>
    <w:p>
      <w:pPr>
        <w:spacing w:line="360" w:lineRule="auto"/>
        <w:ind w:firstLine="480" w:firstLineChars="200"/>
        <w:jc w:val="left"/>
        <w:textAlignment w:val="baseline"/>
        <w:rPr>
          <w:rFonts w:ascii="宋体"/>
          <w:sz w:val="24"/>
          <w:szCs w:val="24"/>
        </w:rPr>
      </w:pPr>
      <w:r>
        <w:rPr>
          <w:rFonts w:hint="eastAsia" w:ascii="宋体" w:hAnsi="宋体" w:cs="宋体"/>
          <w:sz w:val="24"/>
          <w:szCs w:val="24"/>
        </w:rPr>
        <w:t>本合同履行过程中发生争议，由双方当事人协商解决。协商不成的依法向甲方所在地的人民法院起诉。</w:t>
      </w:r>
    </w:p>
    <w:p>
      <w:pPr>
        <w:spacing w:line="360" w:lineRule="auto"/>
        <w:jc w:val="left"/>
        <w:textAlignment w:val="baseline"/>
        <w:rPr>
          <w:rFonts w:ascii="宋体"/>
          <w:b/>
          <w:bCs/>
          <w:sz w:val="28"/>
          <w:szCs w:val="28"/>
        </w:rPr>
      </w:pPr>
      <w:r>
        <w:rPr>
          <w:rFonts w:hint="eastAsia" w:ascii="宋体" w:hAnsi="宋体" w:cs="宋体"/>
          <w:b/>
          <w:bCs/>
          <w:sz w:val="28"/>
          <w:szCs w:val="28"/>
        </w:rPr>
        <w:t>第十条</w:t>
      </w:r>
      <w:r>
        <w:rPr>
          <w:rFonts w:ascii="宋体" w:hAnsi="宋体" w:cs="宋体"/>
          <w:b/>
          <w:bCs/>
          <w:sz w:val="28"/>
          <w:szCs w:val="28"/>
        </w:rPr>
        <w:t xml:space="preserve"> </w:t>
      </w:r>
      <w:r>
        <w:rPr>
          <w:rFonts w:hint="eastAsia" w:ascii="宋体" w:hAnsi="宋体" w:cs="宋体"/>
          <w:b/>
          <w:bCs/>
          <w:sz w:val="28"/>
          <w:szCs w:val="28"/>
        </w:rPr>
        <w:t>合同生效及其他</w:t>
      </w:r>
    </w:p>
    <w:p>
      <w:pPr>
        <w:spacing w:line="360" w:lineRule="auto"/>
        <w:ind w:firstLine="480" w:firstLineChars="200"/>
        <w:jc w:val="left"/>
        <w:textAlignment w:val="baseline"/>
        <w:rPr>
          <w:rFonts w:ascii="宋体"/>
          <w:sz w:val="24"/>
          <w:szCs w:val="24"/>
        </w:rPr>
      </w:pPr>
      <w:r>
        <w:rPr>
          <w:rFonts w:ascii="宋体" w:hAnsi="宋体" w:cs="宋体"/>
          <w:sz w:val="24"/>
          <w:szCs w:val="24"/>
        </w:rPr>
        <w:t>10.1</w:t>
      </w:r>
      <w:r>
        <w:rPr>
          <w:rFonts w:hint="eastAsia" w:ascii="宋体" w:hAnsi="宋体" w:cs="宋体"/>
          <w:sz w:val="24"/>
          <w:szCs w:val="24"/>
        </w:rPr>
        <w:t>合同生效的条件：合同签订盖章。</w:t>
      </w:r>
    </w:p>
    <w:p>
      <w:pPr>
        <w:spacing w:line="360" w:lineRule="auto"/>
        <w:ind w:firstLine="480" w:firstLineChars="200"/>
        <w:jc w:val="left"/>
        <w:textAlignment w:val="baseline"/>
        <w:rPr>
          <w:rFonts w:ascii="宋体"/>
          <w:sz w:val="24"/>
          <w:szCs w:val="24"/>
        </w:rPr>
      </w:pPr>
      <w:r>
        <w:rPr>
          <w:rFonts w:ascii="宋体" w:hAnsi="宋体" w:cs="宋体"/>
          <w:sz w:val="24"/>
          <w:szCs w:val="24"/>
        </w:rPr>
        <w:t>10.2</w:t>
      </w:r>
      <w:r>
        <w:rPr>
          <w:rFonts w:hint="eastAsia" w:ascii="宋体" w:hAnsi="宋体" w:cs="宋体"/>
          <w:sz w:val="24"/>
          <w:szCs w:val="24"/>
        </w:rPr>
        <w:t>甲方委托乙方承担本合同内容以外的工作服务，需另行签订协议并支付费用。</w:t>
      </w:r>
    </w:p>
    <w:p>
      <w:pPr>
        <w:spacing w:line="360" w:lineRule="auto"/>
        <w:ind w:firstLine="480" w:firstLineChars="200"/>
        <w:jc w:val="left"/>
        <w:textAlignment w:val="baseline"/>
        <w:rPr>
          <w:rFonts w:ascii="宋体"/>
          <w:sz w:val="24"/>
          <w:szCs w:val="24"/>
        </w:rPr>
      </w:pPr>
      <w:r>
        <w:rPr>
          <w:rFonts w:ascii="宋体" w:hAnsi="宋体" w:cs="宋体"/>
          <w:sz w:val="24"/>
          <w:szCs w:val="24"/>
        </w:rPr>
        <w:t>10.3</w:t>
      </w:r>
      <w:r>
        <w:rPr>
          <w:rFonts w:hint="eastAsia" w:ascii="宋体" w:hAnsi="宋体" w:cs="宋体"/>
          <w:sz w:val="24"/>
          <w:szCs w:val="24"/>
        </w:rPr>
        <w:t>当项目的建设业主变更时，甲方应书面通知乙方并协商合同终止或变更事宜。</w:t>
      </w:r>
    </w:p>
    <w:p>
      <w:pPr>
        <w:spacing w:line="360" w:lineRule="auto"/>
        <w:ind w:firstLine="480" w:firstLineChars="200"/>
        <w:jc w:val="left"/>
        <w:textAlignment w:val="baseline"/>
        <w:rPr>
          <w:rFonts w:ascii="宋体"/>
          <w:sz w:val="24"/>
          <w:szCs w:val="24"/>
        </w:rPr>
      </w:pPr>
      <w:r>
        <w:rPr>
          <w:rFonts w:ascii="宋体" w:hAnsi="宋体" w:cs="宋体"/>
          <w:sz w:val="24"/>
          <w:szCs w:val="24"/>
        </w:rPr>
        <w:t>10.4</w:t>
      </w:r>
      <w:r>
        <w:rPr>
          <w:rFonts w:hint="eastAsia" w:ascii="宋体" w:hAnsi="宋体" w:cs="宋体"/>
          <w:sz w:val="24"/>
          <w:szCs w:val="24"/>
        </w:rPr>
        <w:t>由于不可抗力因素致使合同无法履行时，双方应及时协商解决。</w:t>
      </w:r>
    </w:p>
    <w:p>
      <w:pPr>
        <w:spacing w:line="360" w:lineRule="auto"/>
        <w:ind w:firstLine="480" w:firstLineChars="200"/>
        <w:jc w:val="left"/>
        <w:textAlignment w:val="baseline"/>
        <w:rPr>
          <w:rFonts w:ascii="宋体"/>
          <w:sz w:val="24"/>
          <w:szCs w:val="24"/>
        </w:rPr>
      </w:pPr>
      <w:r>
        <w:rPr>
          <w:rFonts w:ascii="宋体" w:hAnsi="宋体" w:cs="宋体"/>
          <w:sz w:val="24"/>
          <w:szCs w:val="24"/>
        </w:rPr>
        <w:t>10.5</w:t>
      </w:r>
      <w:r>
        <w:rPr>
          <w:rFonts w:hint="eastAsia" w:ascii="宋体" w:hAnsi="宋体" w:cs="宋体"/>
          <w:sz w:val="24"/>
          <w:szCs w:val="24"/>
        </w:rPr>
        <w:t>本合同正本一式</w:t>
      </w:r>
      <w:r>
        <w:rPr>
          <w:rFonts w:hint="eastAsia" w:ascii="宋体" w:hAnsi="宋体" w:cs="宋体"/>
          <w:sz w:val="24"/>
          <w:szCs w:val="24"/>
          <w:u w:val="single"/>
        </w:rPr>
        <w:t>贰</w:t>
      </w:r>
      <w:r>
        <w:rPr>
          <w:rFonts w:hint="eastAsia" w:ascii="宋体" w:hAnsi="宋体" w:cs="宋体"/>
          <w:sz w:val="24"/>
          <w:szCs w:val="24"/>
        </w:rPr>
        <w:t>份，甲方执</w:t>
      </w:r>
      <w:r>
        <w:rPr>
          <w:rFonts w:hint="eastAsia" w:ascii="宋体" w:hAnsi="宋体" w:cs="宋体"/>
          <w:sz w:val="24"/>
          <w:szCs w:val="24"/>
          <w:u w:val="single"/>
        </w:rPr>
        <w:t>壹</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份，双方所执合同具同等法律效力（若正本与副本有差异，以正本为准。）</w:t>
      </w:r>
    </w:p>
    <w:p>
      <w:pPr>
        <w:spacing w:line="360" w:lineRule="auto"/>
        <w:ind w:firstLine="480" w:firstLineChars="200"/>
        <w:jc w:val="left"/>
        <w:textAlignment w:val="baseline"/>
        <w:rPr>
          <w:rFonts w:ascii="宋体"/>
          <w:sz w:val="24"/>
          <w:szCs w:val="24"/>
        </w:rPr>
      </w:pPr>
      <w:r>
        <w:rPr>
          <w:rFonts w:ascii="宋体" w:hAnsi="宋体" w:cs="宋体"/>
          <w:sz w:val="24"/>
          <w:szCs w:val="24"/>
        </w:rPr>
        <w:t>10.6</w:t>
      </w:r>
      <w:r>
        <w:rPr>
          <w:rFonts w:hint="eastAsia" w:ascii="宋体" w:hAnsi="宋体" w:cs="宋体"/>
          <w:sz w:val="24"/>
          <w:szCs w:val="24"/>
        </w:rPr>
        <w:t>双方履行完合同规定的义务后，本合同即行终止。</w:t>
      </w:r>
    </w:p>
    <w:p>
      <w:pPr>
        <w:spacing w:line="360" w:lineRule="auto"/>
        <w:ind w:firstLine="480" w:firstLineChars="200"/>
        <w:jc w:val="left"/>
        <w:textAlignment w:val="baseline"/>
        <w:rPr>
          <w:rFonts w:ascii="宋体"/>
          <w:sz w:val="24"/>
          <w:szCs w:val="24"/>
        </w:rPr>
      </w:pPr>
      <w:r>
        <w:rPr>
          <w:rFonts w:ascii="宋体" w:hAnsi="宋体" w:cs="宋体"/>
          <w:sz w:val="24"/>
          <w:szCs w:val="24"/>
        </w:rPr>
        <w:t>10.7</w:t>
      </w:r>
      <w:r>
        <w:rPr>
          <w:rFonts w:hint="eastAsia" w:ascii="宋体" w:hAnsi="宋体" w:cs="宋体"/>
          <w:sz w:val="24"/>
          <w:szCs w:val="24"/>
        </w:rPr>
        <w:t>双方认可的来往传真、会议纪要等，均为合同的组成部分，与本合同具有同等法律效力。</w:t>
      </w:r>
    </w:p>
    <w:p>
      <w:pPr>
        <w:spacing w:line="360" w:lineRule="auto"/>
        <w:ind w:firstLine="480" w:firstLineChars="200"/>
        <w:textAlignment w:val="baseline"/>
        <w:outlineLvl w:val="0"/>
        <w:rPr>
          <w:rFonts w:hint="eastAsia" w:ascii="宋体" w:hAnsi="宋体" w:cs="宋体"/>
          <w:sz w:val="24"/>
          <w:szCs w:val="24"/>
        </w:rPr>
      </w:pPr>
      <w:r>
        <w:rPr>
          <w:rFonts w:ascii="宋体" w:hAnsi="宋体" w:cs="宋体"/>
          <w:sz w:val="24"/>
          <w:szCs w:val="24"/>
        </w:rPr>
        <w:t>10.8</w:t>
      </w:r>
      <w:r>
        <w:rPr>
          <w:rFonts w:hint="eastAsia" w:ascii="宋体" w:hAnsi="宋体" w:cs="宋体"/>
          <w:sz w:val="24"/>
          <w:szCs w:val="24"/>
        </w:rPr>
        <w:t>未尽事宜，双方协商一致，可签订补充协议，补充协议与本合同具有同等效力。</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.9本合同附件是合同不可分割的一部分，具有相同的法律效力，具体附件如下：</w:t>
      </w:r>
    </w:p>
    <w:p>
      <w:pPr>
        <w:pStyle w:val="14"/>
        <w:spacing w:line="360" w:lineRule="auto"/>
        <w:ind w:left="0" w:leftChars="0" w:firstLine="480" w:firstLineChars="200"/>
        <w:rPr>
          <w:rFonts w:ascii="宋体" w:hAnsi="宋体" w:eastAsia="宋体" w:cs="宋体"/>
          <w:sz w:val="24"/>
          <w:szCs w:val="24"/>
        </w:rPr>
      </w:pPr>
      <w:r>
        <w:rPr>
          <w:rFonts w:hint="eastAsia" w:ascii="宋体" w:hAnsi="宋体" w:cs="宋体"/>
          <w:sz w:val="24"/>
          <w:szCs w:val="24"/>
        </w:rPr>
        <w:t>附件1：</w:t>
      </w:r>
      <w:r>
        <w:rPr>
          <w:rFonts w:hint="eastAsia" w:ascii="宋体" w:hAnsi="宋体" w:eastAsia="宋体" w:cs="宋体"/>
          <w:sz w:val="24"/>
          <w:szCs w:val="24"/>
        </w:rPr>
        <w:t xml:space="preserve">发包通知书 </w:t>
      </w:r>
    </w:p>
    <w:p>
      <w:pPr>
        <w:pStyle w:val="14"/>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 xml:space="preserve">附件2：廉洁协议 </w:t>
      </w:r>
    </w:p>
    <w:p>
      <w:pPr>
        <w:pStyle w:val="14"/>
        <w:spacing w:line="360" w:lineRule="auto"/>
        <w:ind w:left="0" w:leftChars="0" w:firstLine="480" w:firstLineChars="200"/>
        <w:rPr>
          <w:rFonts w:ascii="宋体" w:hAnsi="宋体" w:cs="宋体"/>
          <w:sz w:val="24"/>
          <w:szCs w:val="24"/>
        </w:rPr>
      </w:pPr>
      <w:r>
        <w:rPr>
          <w:rFonts w:hint="eastAsia" w:ascii="宋体" w:hAnsi="宋体" w:cs="宋体"/>
          <w:sz w:val="24"/>
          <w:szCs w:val="24"/>
        </w:rPr>
        <w:t>附件3：安全协议书</w:t>
      </w:r>
    </w:p>
    <w:p>
      <w:pPr>
        <w:pStyle w:val="22"/>
        <w:rPr>
          <w:rFonts w:hint="eastAsia" w:ascii="宋体" w:hAnsi="宋体" w:cs="宋体"/>
          <w:sz w:val="24"/>
          <w:szCs w:val="24"/>
        </w:rPr>
      </w:pPr>
    </w:p>
    <w:p>
      <w:pPr>
        <w:pStyle w:val="14"/>
        <w:adjustRightInd/>
        <w:spacing w:after="0" w:line="360" w:lineRule="auto"/>
        <w:ind w:left="0" w:leftChars="0" w:firstLine="480" w:firstLineChars="200"/>
        <w:jc w:val="center"/>
        <w:rPr>
          <w:rFonts w:ascii="宋体"/>
          <w:sz w:val="24"/>
          <w:szCs w:val="24"/>
        </w:rPr>
      </w:pPr>
      <w:r>
        <w:rPr>
          <w:rFonts w:hint="eastAsia" w:ascii="宋体" w:hAnsi="宋体" w:cs="宋体"/>
          <w:sz w:val="24"/>
          <w:szCs w:val="24"/>
        </w:rPr>
        <w:t>（以下无正文）</w:t>
      </w:r>
    </w:p>
    <w:p>
      <w:pPr>
        <w:spacing w:line="360" w:lineRule="auto"/>
        <w:ind w:firstLine="480" w:firstLineChars="200"/>
        <w:jc w:val="center"/>
        <w:rPr>
          <w:rFonts w:ascii="宋体"/>
          <w:sz w:val="24"/>
          <w:szCs w:val="24"/>
        </w:rPr>
      </w:pPr>
    </w:p>
    <w:p>
      <w:pPr>
        <w:spacing w:line="360" w:lineRule="auto"/>
        <w:ind w:firstLine="480" w:firstLineChars="200"/>
        <w:jc w:val="left"/>
        <w:rPr>
          <w:rFonts w:ascii="宋体"/>
          <w:sz w:val="24"/>
          <w:szCs w:val="24"/>
        </w:rPr>
      </w:pPr>
    </w:p>
    <w:p>
      <w:pPr>
        <w:spacing w:line="360" w:lineRule="auto"/>
        <w:ind w:firstLine="480" w:firstLineChars="200"/>
        <w:jc w:val="center"/>
        <w:rPr>
          <w:rFonts w:ascii="宋体"/>
          <w:sz w:val="24"/>
          <w:szCs w:val="24"/>
        </w:rPr>
      </w:pPr>
    </w:p>
    <w:tbl>
      <w:tblPr>
        <w:tblStyle w:val="23"/>
        <w:tblW w:w="9167" w:type="dxa"/>
        <w:jc w:val="center"/>
        <w:tblLayout w:type="fixed"/>
        <w:tblCellMar>
          <w:top w:w="0" w:type="dxa"/>
          <w:left w:w="28" w:type="dxa"/>
          <w:bottom w:w="0" w:type="dxa"/>
          <w:right w:w="28" w:type="dxa"/>
        </w:tblCellMar>
      </w:tblPr>
      <w:tblGrid>
        <w:gridCol w:w="4860"/>
        <w:gridCol w:w="4307"/>
      </w:tblGrid>
      <w:tr>
        <w:tblPrEx>
          <w:tblCellMar>
            <w:top w:w="0" w:type="dxa"/>
            <w:left w:w="28" w:type="dxa"/>
            <w:bottom w:w="0" w:type="dxa"/>
            <w:right w:w="28" w:type="dxa"/>
          </w:tblCellMar>
        </w:tblPrEx>
        <w:trPr>
          <w:trHeight w:val="310" w:hRule="atLeast"/>
          <w:jc w:val="center"/>
        </w:trPr>
        <w:tc>
          <w:tcPr>
            <w:tcW w:w="4860" w:type="dxa"/>
            <w:vAlign w:val="center"/>
          </w:tcPr>
          <w:p>
            <w:pPr>
              <w:spacing w:line="360" w:lineRule="auto"/>
              <w:rPr>
                <w:rFonts w:ascii="宋体"/>
                <w:sz w:val="24"/>
                <w:szCs w:val="24"/>
              </w:rPr>
            </w:pPr>
            <w:r>
              <w:rPr>
                <w:rFonts w:hint="eastAsia" w:ascii="宋体" w:hAnsi="宋体" w:cs="宋体"/>
                <w:sz w:val="24"/>
                <w:szCs w:val="24"/>
              </w:rPr>
              <w:t>甲方：广州市净水有限公司</w:t>
            </w:r>
          </w:p>
        </w:tc>
        <w:tc>
          <w:tcPr>
            <w:tcW w:w="4307" w:type="dxa"/>
          </w:tcPr>
          <w:p>
            <w:pPr>
              <w:spacing w:line="360" w:lineRule="auto"/>
              <w:ind w:firstLine="720" w:firstLineChars="300"/>
              <w:rPr>
                <w:rFonts w:ascii="宋体"/>
                <w:sz w:val="24"/>
                <w:szCs w:val="24"/>
              </w:rPr>
            </w:pPr>
            <w:r>
              <w:rPr>
                <w:rFonts w:hint="eastAsia" w:ascii="宋体" w:hAnsi="宋体" w:cs="宋体"/>
                <w:sz w:val="24"/>
                <w:szCs w:val="24"/>
              </w:rPr>
              <w:t>乙方：</w:t>
            </w:r>
          </w:p>
        </w:tc>
      </w:tr>
      <w:tr>
        <w:tblPrEx>
          <w:tblCellMar>
            <w:top w:w="0" w:type="dxa"/>
            <w:left w:w="28" w:type="dxa"/>
            <w:bottom w:w="0" w:type="dxa"/>
            <w:right w:w="28" w:type="dxa"/>
          </w:tblCellMar>
        </w:tblPrEx>
        <w:trPr>
          <w:trHeight w:val="620" w:hRule="atLeast"/>
          <w:jc w:val="center"/>
        </w:trPr>
        <w:tc>
          <w:tcPr>
            <w:tcW w:w="4860" w:type="dxa"/>
            <w:vAlign w:val="center"/>
          </w:tcPr>
          <w:p>
            <w:pPr>
              <w:spacing w:line="360" w:lineRule="auto"/>
              <w:rPr>
                <w:rFonts w:ascii="宋体"/>
                <w:sz w:val="24"/>
                <w:szCs w:val="24"/>
              </w:rPr>
            </w:pPr>
            <w:r>
              <w:rPr>
                <w:rFonts w:hint="eastAsia" w:ascii="宋体" w:hAnsi="宋体" w:cs="宋体"/>
                <w:sz w:val="24"/>
                <w:szCs w:val="24"/>
              </w:rPr>
              <w:t>（盖章）</w:t>
            </w:r>
          </w:p>
          <w:p>
            <w:pPr>
              <w:spacing w:line="360" w:lineRule="auto"/>
              <w:rPr>
                <w:rFonts w:ascii="宋体"/>
                <w:sz w:val="24"/>
                <w:szCs w:val="24"/>
              </w:rPr>
            </w:pPr>
          </w:p>
        </w:tc>
        <w:tc>
          <w:tcPr>
            <w:tcW w:w="4307" w:type="dxa"/>
          </w:tcPr>
          <w:p>
            <w:pPr>
              <w:spacing w:line="360" w:lineRule="auto"/>
              <w:rPr>
                <w:rFonts w:ascii="宋体"/>
                <w:sz w:val="24"/>
                <w:szCs w:val="24"/>
              </w:rPr>
            </w:pPr>
            <w:r>
              <w:rPr>
                <w:rFonts w:hint="eastAsia" w:ascii="宋体" w:hAnsi="宋体" w:cs="宋体"/>
                <w:sz w:val="24"/>
                <w:szCs w:val="24"/>
              </w:rPr>
              <w:t>（盖章）</w:t>
            </w:r>
          </w:p>
          <w:p>
            <w:pPr>
              <w:spacing w:line="360" w:lineRule="auto"/>
              <w:rPr>
                <w:rFonts w:ascii="宋体"/>
                <w:sz w:val="24"/>
                <w:szCs w:val="24"/>
              </w:rPr>
            </w:pPr>
          </w:p>
        </w:tc>
      </w:tr>
      <w:tr>
        <w:tblPrEx>
          <w:tblCellMar>
            <w:top w:w="0" w:type="dxa"/>
            <w:left w:w="28" w:type="dxa"/>
            <w:bottom w:w="0" w:type="dxa"/>
            <w:right w:w="28" w:type="dxa"/>
          </w:tblCellMar>
        </w:tblPrEx>
        <w:trPr>
          <w:trHeight w:val="930" w:hRule="atLeast"/>
          <w:jc w:val="center"/>
        </w:trPr>
        <w:tc>
          <w:tcPr>
            <w:tcW w:w="4860" w:type="dxa"/>
            <w:vAlign w:val="center"/>
          </w:tcPr>
          <w:p>
            <w:pPr>
              <w:spacing w:line="360" w:lineRule="auto"/>
              <w:rPr>
                <w:rFonts w:ascii="宋体"/>
                <w:sz w:val="24"/>
                <w:szCs w:val="24"/>
              </w:rPr>
            </w:pPr>
            <w:r>
              <w:rPr>
                <w:rFonts w:hint="eastAsia" w:ascii="宋体" w:hAnsi="宋体" w:cs="宋体"/>
                <w:sz w:val="24"/>
                <w:szCs w:val="24"/>
              </w:rPr>
              <w:t>法定代表人</w:t>
            </w:r>
            <w:r>
              <w:rPr>
                <w:rFonts w:ascii="宋体" w:hAnsi="宋体" w:cs="宋体"/>
                <w:sz w:val="24"/>
                <w:szCs w:val="24"/>
              </w:rPr>
              <w:t>/</w:t>
            </w:r>
            <w:r>
              <w:rPr>
                <w:rFonts w:hint="eastAsia" w:ascii="宋体" w:hAnsi="宋体" w:cs="宋体"/>
                <w:sz w:val="24"/>
                <w:szCs w:val="24"/>
              </w:rPr>
              <w:t>授权代理人：</w:t>
            </w:r>
          </w:p>
          <w:p>
            <w:pPr>
              <w:spacing w:line="360" w:lineRule="auto"/>
              <w:rPr>
                <w:rFonts w:ascii="宋体"/>
                <w:sz w:val="24"/>
                <w:szCs w:val="24"/>
              </w:rPr>
            </w:pPr>
          </w:p>
        </w:tc>
        <w:tc>
          <w:tcPr>
            <w:tcW w:w="4307" w:type="dxa"/>
          </w:tcPr>
          <w:p>
            <w:pPr>
              <w:spacing w:line="360" w:lineRule="auto"/>
              <w:rPr>
                <w:rFonts w:ascii="宋体"/>
                <w:sz w:val="24"/>
                <w:szCs w:val="24"/>
              </w:rPr>
            </w:pPr>
            <w:r>
              <w:rPr>
                <w:rFonts w:hint="eastAsia" w:ascii="宋体" w:hAnsi="宋体" w:cs="宋体"/>
                <w:sz w:val="24"/>
                <w:szCs w:val="24"/>
              </w:rPr>
              <w:t>法定代表人</w:t>
            </w:r>
            <w:r>
              <w:rPr>
                <w:rFonts w:ascii="宋体" w:hAnsi="宋体" w:cs="宋体"/>
                <w:sz w:val="24"/>
                <w:szCs w:val="24"/>
              </w:rPr>
              <w:t>/</w:t>
            </w:r>
            <w:r>
              <w:rPr>
                <w:rFonts w:hint="eastAsia" w:ascii="宋体" w:hAnsi="宋体" w:cs="宋体"/>
                <w:sz w:val="24"/>
                <w:szCs w:val="24"/>
              </w:rPr>
              <w:t>授权代理人：</w:t>
            </w:r>
          </w:p>
        </w:tc>
      </w:tr>
      <w:tr>
        <w:tblPrEx>
          <w:tblCellMar>
            <w:top w:w="0" w:type="dxa"/>
            <w:left w:w="28" w:type="dxa"/>
            <w:bottom w:w="0" w:type="dxa"/>
            <w:right w:w="28" w:type="dxa"/>
          </w:tblCellMar>
        </w:tblPrEx>
        <w:trPr>
          <w:trHeight w:val="465" w:hRule="atLeast"/>
          <w:jc w:val="center"/>
        </w:trPr>
        <w:tc>
          <w:tcPr>
            <w:tcW w:w="4860" w:type="dxa"/>
            <w:vAlign w:val="center"/>
          </w:tcPr>
          <w:p>
            <w:pPr>
              <w:spacing w:line="360" w:lineRule="auto"/>
              <w:rPr>
                <w:rFonts w:ascii="宋体"/>
                <w:sz w:val="24"/>
                <w:szCs w:val="24"/>
              </w:rPr>
            </w:pPr>
            <w:r>
              <w:rPr>
                <w:rFonts w:hint="eastAsia" w:ascii="宋体" w:hAnsi="宋体" w:cs="宋体"/>
                <w:sz w:val="24"/>
                <w:szCs w:val="24"/>
              </w:rPr>
              <w:t>联系人：</w:t>
            </w:r>
          </w:p>
        </w:tc>
        <w:tc>
          <w:tcPr>
            <w:tcW w:w="4307" w:type="dxa"/>
          </w:tcPr>
          <w:p>
            <w:pPr>
              <w:spacing w:line="360" w:lineRule="auto"/>
              <w:rPr>
                <w:rFonts w:ascii="宋体"/>
                <w:sz w:val="24"/>
                <w:szCs w:val="24"/>
              </w:rPr>
            </w:pPr>
            <w:r>
              <w:rPr>
                <w:rFonts w:hint="eastAsia" w:ascii="宋体" w:hAnsi="宋体" w:cs="宋体"/>
                <w:sz w:val="24"/>
                <w:szCs w:val="24"/>
              </w:rPr>
              <w:t>联系人：</w:t>
            </w:r>
          </w:p>
        </w:tc>
      </w:tr>
      <w:tr>
        <w:tblPrEx>
          <w:tblCellMar>
            <w:top w:w="0" w:type="dxa"/>
            <w:left w:w="28" w:type="dxa"/>
            <w:bottom w:w="0" w:type="dxa"/>
            <w:right w:w="28" w:type="dxa"/>
          </w:tblCellMar>
        </w:tblPrEx>
        <w:trPr>
          <w:trHeight w:val="465" w:hRule="atLeast"/>
          <w:jc w:val="center"/>
        </w:trPr>
        <w:tc>
          <w:tcPr>
            <w:tcW w:w="4860" w:type="dxa"/>
            <w:vAlign w:val="center"/>
          </w:tcPr>
          <w:p>
            <w:pPr>
              <w:spacing w:line="360" w:lineRule="auto"/>
              <w:rPr>
                <w:rFonts w:ascii="宋体"/>
                <w:sz w:val="24"/>
                <w:szCs w:val="24"/>
              </w:rPr>
            </w:pPr>
            <w:r>
              <w:rPr>
                <w:rFonts w:hint="eastAsia" w:ascii="宋体" w:hAnsi="宋体" w:cs="宋体"/>
                <w:sz w:val="24"/>
                <w:szCs w:val="24"/>
              </w:rPr>
              <w:t>地址：</w:t>
            </w:r>
          </w:p>
        </w:tc>
        <w:tc>
          <w:tcPr>
            <w:tcW w:w="4307" w:type="dxa"/>
          </w:tcPr>
          <w:p>
            <w:pPr>
              <w:spacing w:line="360" w:lineRule="auto"/>
              <w:rPr>
                <w:rFonts w:ascii="宋体"/>
                <w:sz w:val="24"/>
                <w:szCs w:val="24"/>
              </w:rPr>
            </w:pPr>
            <w:r>
              <w:rPr>
                <w:rFonts w:hint="eastAsia" w:ascii="宋体" w:hAnsi="宋体" w:cs="宋体"/>
                <w:sz w:val="24"/>
                <w:szCs w:val="24"/>
              </w:rPr>
              <w:t>地址：</w:t>
            </w:r>
          </w:p>
        </w:tc>
      </w:tr>
      <w:tr>
        <w:tblPrEx>
          <w:tblCellMar>
            <w:top w:w="0" w:type="dxa"/>
            <w:left w:w="28" w:type="dxa"/>
            <w:bottom w:w="0" w:type="dxa"/>
            <w:right w:w="28" w:type="dxa"/>
          </w:tblCellMar>
        </w:tblPrEx>
        <w:trPr>
          <w:trHeight w:val="465" w:hRule="atLeast"/>
          <w:jc w:val="center"/>
        </w:trPr>
        <w:tc>
          <w:tcPr>
            <w:tcW w:w="4860" w:type="dxa"/>
            <w:vAlign w:val="center"/>
          </w:tcPr>
          <w:p>
            <w:pPr>
              <w:spacing w:line="360" w:lineRule="auto"/>
              <w:rPr>
                <w:rFonts w:ascii="宋体"/>
                <w:sz w:val="24"/>
                <w:szCs w:val="24"/>
              </w:rPr>
            </w:pPr>
            <w:r>
              <w:rPr>
                <w:rFonts w:hint="eastAsia" w:ascii="宋体" w:hAnsi="宋体" w:cs="宋体"/>
                <w:sz w:val="24"/>
                <w:szCs w:val="24"/>
              </w:rPr>
              <w:t>邮政编码：</w:t>
            </w:r>
          </w:p>
        </w:tc>
        <w:tc>
          <w:tcPr>
            <w:tcW w:w="4307" w:type="dxa"/>
          </w:tcPr>
          <w:p>
            <w:pPr>
              <w:spacing w:line="360" w:lineRule="auto"/>
              <w:rPr>
                <w:rFonts w:ascii="宋体"/>
                <w:sz w:val="24"/>
                <w:szCs w:val="24"/>
              </w:rPr>
            </w:pPr>
            <w:r>
              <w:rPr>
                <w:rFonts w:hint="eastAsia" w:ascii="宋体" w:hAnsi="宋体" w:cs="宋体"/>
                <w:sz w:val="24"/>
                <w:szCs w:val="24"/>
              </w:rPr>
              <w:t>邮政编码：</w:t>
            </w:r>
          </w:p>
        </w:tc>
      </w:tr>
      <w:tr>
        <w:tblPrEx>
          <w:tblCellMar>
            <w:top w:w="0" w:type="dxa"/>
            <w:left w:w="28" w:type="dxa"/>
            <w:bottom w:w="0" w:type="dxa"/>
            <w:right w:w="28" w:type="dxa"/>
          </w:tblCellMar>
        </w:tblPrEx>
        <w:trPr>
          <w:trHeight w:val="465" w:hRule="atLeast"/>
          <w:jc w:val="center"/>
        </w:trPr>
        <w:tc>
          <w:tcPr>
            <w:tcW w:w="4860" w:type="dxa"/>
            <w:vAlign w:val="center"/>
          </w:tcPr>
          <w:p>
            <w:pPr>
              <w:spacing w:line="360" w:lineRule="auto"/>
              <w:rPr>
                <w:rFonts w:ascii="宋体"/>
                <w:sz w:val="24"/>
                <w:szCs w:val="24"/>
              </w:rPr>
            </w:pPr>
            <w:r>
              <w:rPr>
                <w:rFonts w:hint="eastAsia" w:ascii="宋体" w:hAnsi="宋体" w:cs="宋体"/>
                <w:sz w:val="24"/>
                <w:szCs w:val="24"/>
              </w:rPr>
              <w:t>电话：</w:t>
            </w:r>
          </w:p>
        </w:tc>
        <w:tc>
          <w:tcPr>
            <w:tcW w:w="4307" w:type="dxa"/>
          </w:tcPr>
          <w:p>
            <w:pPr>
              <w:spacing w:line="360" w:lineRule="auto"/>
              <w:rPr>
                <w:rFonts w:ascii="宋体"/>
                <w:sz w:val="24"/>
                <w:szCs w:val="24"/>
              </w:rPr>
            </w:pPr>
            <w:r>
              <w:rPr>
                <w:rFonts w:hint="eastAsia" w:ascii="宋体" w:hAnsi="宋体" w:cs="宋体"/>
                <w:sz w:val="24"/>
                <w:szCs w:val="24"/>
              </w:rPr>
              <w:t>电话：</w:t>
            </w:r>
          </w:p>
        </w:tc>
      </w:tr>
      <w:tr>
        <w:tblPrEx>
          <w:tblCellMar>
            <w:top w:w="0" w:type="dxa"/>
            <w:left w:w="28" w:type="dxa"/>
            <w:bottom w:w="0" w:type="dxa"/>
            <w:right w:w="28" w:type="dxa"/>
          </w:tblCellMar>
        </w:tblPrEx>
        <w:trPr>
          <w:trHeight w:val="465" w:hRule="atLeast"/>
          <w:jc w:val="center"/>
        </w:trPr>
        <w:tc>
          <w:tcPr>
            <w:tcW w:w="4860" w:type="dxa"/>
            <w:vAlign w:val="center"/>
          </w:tcPr>
          <w:p>
            <w:pPr>
              <w:spacing w:line="360" w:lineRule="auto"/>
              <w:rPr>
                <w:rFonts w:ascii="宋体"/>
                <w:sz w:val="24"/>
                <w:szCs w:val="24"/>
              </w:rPr>
            </w:pPr>
            <w:r>
              <w:rPr>
                <w:rFonts w:hint="eastAsia" w:ascii="宋体" w:hAnsi="宋体" w:cs="宋体"/>
                <w:sz w:val="24"/>
                <w:szCs w:val="24"/>
              </w:rPr>
              <w:t>传真：</w:t>
            </w:r>
          </w:p>
        </w:tc>
        <w:tc>
          <w:tcPr>
            <w:tcW w:w="4307" w:type="dxa"/>
          </w:tcPr>
          <w:p>
            <w:pPr>
              <w:spacing w:line="360" w:lineRule="auto"/>
              <w:rPr>
                <w:rFonts w:ascii="宋体"/>
                <w:sz w:val="24"/>
                <w:szCs w:val="24"/>
              </w:rPr>
            </w:pPr>
            <w:r>
              <w:rPr>
                <w:rFonts w:hint="eastAsia" w:ascii="宋体" w:hAnsi="宋体" w:cs="宋体"/>
                <w:sz w:val="24"/>
                <w:szCs w:val="24"/>
              </w:rPr>
              <w:t>传真：</w:t>
            </w:r>
          </w:p>
        </w:tc>
      </w:tr>
      <w:tr>
        <w:tblPrEx>
          <w:tblCellMar>
            <w:top w:w="0" w:type="dxa"/>
            <w:left w:w="28" w:type="dxa"/>
            <w:bottom w:w="0" w:type="dxa"/>
            <w:right w:w="28" w:type="dxa"/>
          </w:tblCellMar>
        </w:tblPrEx>
        <w:trPr>
          <w:trHeight w:val="465" w:hRule="atLeast"/>
          <w:jc w:val="center"/>
        </w:trPr>
        <w:tc>
          <w:tcPr>
            <w:tcW w:w="4860" w:type="dxa"/>
            <w:vAlign w:val="center"/>
          </w:tcPr>
          <w:p>
            <w:pPr>
              <w:spacing w:line="360" w:lineRule="auto"/>
              <w:rPr>
                <w:rFonts w:ascii="宋体"/>
                <w:sz w:val="24"/>
                <w:szCs w:val="24"/>
              </w:rPr>
            </w:pPr>
          </w:p>
        </w:tc>
        <w:tc>
          <w:tcPr>
            <w:tcW w:w="4307" w:type="dxa"/>
          </w:tcPr>
          <w:p>
            <w:pPr>
              <w:spacing w:line="360" w:lineRule="auto"/>
              <w:rPr>
                <w:rFonts w:ascii="宋体"/>
                <w:sz w:val="24"/>
                <w:szCs w:val="24"/>
                <w:highlight w:val="none"/>
              </w:rPr>
            </w:pPr>
            <w:r>
              <w:rPr>
                <w:rFonts w:hint="eastAsia" w:ascii="宋体" w:hAnsi="宋体" w:cs="宋体"/>
                <w:sz w:val="24"/>
                <w:szCs w:val="24"/>
                <w:highlight w:val="none"/>
              </w:rPr>
              <w:t>开户行：</w:t>
            </w:r>
          </w:p>
        </w:tc>
      </w:tr>
      <w:tr>
        <w:tblPrEx>
          <w:tblCellMar>
            <w:top w:w="0" w:type="dxa"/>
            <w:left w:w="28" w:type="dxa"/>
            <w:bottom w:w="0" w:type="dxa"/>
            <w:right w:w="28" w:type="dxa"/>
          </w:tblCellMar>
        </w:tblPrEx>
        <w:trPr>
          <w:trHeight w:val="465" w:hRule="atLeast"/>
          <w:jc w:val="center"/>
        </w:trPr>
        <w:tc>
          <w:tcPr>
            <w:tcW w:w="4860" w:type="dxa"/>
            <w:vAlign w:val="center"/>
          </w:tcPr>
          <w:p>
            <w:pPr>
              <w:spacing w:line="360" w:lineRule="auto"/>
              <w:rPr>
                <w:rFonts w:ascii="宋体"/>
                <w:sz w:val="24"/>
                <w:szCs w:val="24"/>
              </w:rPr>
            </w:pPr>
          </w:p>
        </w:tc>
        <w:tc>
          <w:tcPr>
            <w:tcW w:w="4307" w:type="dxa"/>
          </w:tcPr>
          <w:p>
            <w:pPr>
              <w:spacing w:line="360" w:lineRule="auto"/>
              <w:rPr>
                <w:rFonts w:ascii="宋体"/>
                <w:sz w:val="24"/>
                <w:szCs w:val="24"/>
                <w:highlight w:val="none"/>
              </w:rPr>
            </w:pPr>
            <w:r>
              <w:rPr>
                <w:rFonts w:hint="eastAsia" w:ascii="宋体" w:hAnsi="宋体" w:cs="宋体"/>
                <w:sz w:val="24"/>
                <w:szCs w:val="24"/>
                <w:highlight w:val="none"/>
              </w:rPr>
              <w:t>账号：</w:t>
            </w:r>
          </w:p>
        </w:tc>
      </w:tr>
      <w:tr>
        <w:tblPrEx>
          <w:tblCellMar>
            <w:top w:w="0" w:type="dxa"/>
            <w:left w:w="28" w:type="dxa"/>
            <w:bottom w:w="0" w:type="dxa"/>
            <w:right w:w="28" w:type="dxa"/>
          </w:tblCellMar>
        </w:tblPrEx>
        <w:trPr>
          <w:trHeight w:val="414" w:hRule="atLeast"/>
          <w:jc w:val="center"/>
        </w:trPr>
        <w:tc>
          <w:tcPr>
            <w:tcW w:w="4860" w:type="dxa"/>
            <w:vAlign w:val="center"/>
          </w:tcPr>
          <w:p>
            <w:pPr>
              <w:spacing w:line="360" w:lineRule="auto"/>
              <w:rPr>
                <w:rFonts w:ascii="宋体"/>
                <w:sz w:val="24"/>
                <w:szCs w:val="24"/>
              </w:rPr>
            </w:pPr>
            <w:r>
              <w:rPr>
                <w:rFonts w:hint="eastAsia" w:ascii="宋体" w:hAnsi="宋体" w:cs="宋体"/>
                <w:sz w:val="24"/>
                <w:szCs w:val="24"/>
              </w:rPr>
              <w:t>签定日期：</w:t>
            </w:r>
            <w:bookmarkStart w:id="86" w:name="OLE_LINK6"/>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bookmarkEnd w:id="86"/>
          </w:p>
        </w:tc>
        <w:tc>
          <w:tcPr>
            <w:tcW w:w="4307" w:type="dxa"/>
          </w:tcPr>
          <w:p>
            <w:pPr>
              <w:spacing w:line="360" w:lineRule="auto"/>
              <w:rPr>
                <w:rFonts w:ascii="宋体"/>
                <w:sz w:val="24"/>
                <w:szCs w:val="24"/>
              </w:rPr>
            </w:pPr>
            <w:r>
              <w:rPr>
                <w:rFonts w:hint="eastAsia" w:ascii="宋体" w:hAnsi="宋体" w:cs="宋体"/>
                <w:sz w:val="24"/>
                <w:szCs w:val="24"/>
              </w:rPr>
              <w:t>签定日期：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tc>
      </w:tr>
    </w:tbl>
    <w:p>
      <w:pPr>
        <w:ind w:right="-932" w:rightChars="-444"/>
      </w:pPr>
    </w:p>
    <w:p>
      <w:pPr>
        <w:ind w:right="-932" w:rightChars="-444"/>
      </w:pPr>
    </w:p>
    <w:p>
      <w:pPr>
        <w:ind w:right="-932" w:rightChars="-444"/>
      </w:pPr>
    </w:p>
    <w:p>
      <w:pPr>
        <w:ind w:right="-932" w:rightChars="-444"/>
      </w:pPr>
    </w:p>
    <w:p>
      <w:pPr>
        <w:spacing w:line="360" w:lineRule="auto"/>
        <w:rPr>
          <w:rFonts w:hint="eastAsia" w:ascii="宋体" w:hAnsi="宋体" w:cs="宋体"/>
          <w:b/>
          <w:bCs/>
          <w:szCs w:val="21"/>
        </w:rPr>
      </w:pPr>
      <w:r>
        <w:rPr>
          <w:rFonts w:hint="eastAsia" w:ascii="宋体" w:hAnsi="宋体" w:cs="宋体"/>
          <w:b/>
          <w:bCs/>
          <w:szCs w:val="21"/>
        </w:rPr>
        <w:t>附件1  发包通知书</w:t>
      </w:r>
    </w:p>
    <w:p>
      <w:pPr>
        <w:ind w:right="-932" w:rightChars="-444"/>
      </w:pPr>
    </w:p>
    <w:p>
      <w:pPr>
        <w:spacing w:line="360" w:lineRule="auto"/>
        <w:rPr>
          <w:rFonts w:ascii="宋体" w:hAnsi="宋体" w:cs="宋体"/>
          <w:b/>
          <w:bCs/>
          <w:szCs w:val="21"/>
        </w:rPr>
      </w:pPr>
      <w:r>
        <w:rPr>
          <w:rFonts w:hint="eastAsia" w:ascii="宋体" w:hAnsi="宋体" w:cs="宋体"/>
          <w:b/>
          <w:bCs/>
          <w:szCs w:val="21"/>
        </w:rPr>
        <w:t>附件2  廉洁协议</w:t>
      </w:r>
    </w:p>
    <w:p>
      <w:pPr>
        <w:pStyle w:val="46"/>
        <w:rPr>
          <w:color w:val="auto"/>
        </w:rPr>
      </w:pPr>
    </w:p>
    <w:p>
      <w:pPr>
        <w:spacing w:line="520" w:lineRule="exact"/>
        <w:jc w:val="center"/>
        <w:rPr>
          <w:rFonts w:ascii="仿宋" w:hAnsi="仿宋" w:eastAsia="仿宋" w:cs="仿宋"/>
          <w:bCs/>
          <w:sz w:val="28"/>
          <w:szCs w:val="28"/>
        </w:rPr>
      </w:pPr>
      <w:r>
        <w:rPr>
          <w:rFonts w:hint="eastAsia" w:ascii="仿宋" w:hAnsi="仿宋" w:eastAsia="仿宋" w:cs="仿宋"/>
          <w:bCs/>
          <w:sz w:val="28"/>
          <w:szCs w:val="28"/>
        </w:rPr>
        <w:t>廉洁协议</w:t>
      </w:r>
    </w:p>
    <w:p>
      <w:pPr>
        <w:spacing w:line="520" w:lineRule="exact"/>
        <w:ind w:firstLine="630" w:firstLineChars="225"/>
        <w:rPr>
          <w:rFonts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广州市净水有限公司</w:t>
      </w:r>
      <w:r>
        <w:rPr>
          <w:rFonts w:hint="eastAsia" w:ascii="仿宋" w:hAnsi="仿宋" w:eastAsia="仿宋" w:cs="仿宋"/>
          <w:bCs/>
          <w:sz w:val="28"/>
          <w:szCs w:val="28"/>
        </w:rPr>
        <w:t>(以下称甲方)与</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(以下称乙方)，特此订立本协议共同遵照执行。</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第一条 甲乙双方的权利和义务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（二）严格执行</w:t>
      </w:r>
      <w:r>
        <w:rPr>
          <w:rFonts w:hint="eastAsia" w:ascii="仿宋_GB2312" w:eastAsia="仿宋_GB2312"/>
          <w:color w:val="auto"/>
          <w:sz w:val="28"/>
          <w:szCs w:val="28"/>
          <w:highlight w:val="none"/>
          <w:u w:val="single"/>
          <w:lang w:val="en-US" w:eastAsia="zh-CN"/>
        </w:rPr>
        <w:t>广州市净水有限公司环城北净水厂职业病危害预评价及职业病防护设施设计专篇技术咨询项目</w:t>
      </w:r>
      <w:r>
        <w:rPr>
          <w:rFonts w:hint="eastAsia" w:ascii="仿宋" w:hAnsi="仿宋" w:eastAsia="仿宋" w:cs="仿宋"/>
          <w:bCs/>
          <w:sz w:val="28"/>
          <w:szCs w:val="28"/>
        </w:rPr>
        <w:t>合同（以下简称：主合同），自觉履行合同约定的相关义务。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第二条甲方的义务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第三条乙方的义务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pStyle w:val="14"/>
        <w:spacing w:line="520" w:lineRule="exact"/>
        <w:rPr>
          <w:rFonts w:ascii="仿宋" w:hAnsi="仿宋" w:eastAsia="仿宋" w:cs="仿宋"/>
          <w:bCs/>
          <w:sz w:val="28"/>
          <w:szCs w:val="28"/>
        </w:rPr>
      </w:pPr>
      <w:r>
        <w:rPr>
          <w:rFonts w:hint="eastAsia" w:ascii="仿宋" w:hAnsi="仿宋" w:eastAsia="仿宋" w:cs="仿宋"/>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第四条违约责任</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甲方举报投诉联系部门：广州市净水有限公司</w:t>
      </w:r>
      <w:r>
        <w:rPr>
          <w:rFonts w:hint="eastAsia" w:ascii="仿宋" w:hAnsi="仿宋" w:eastAsia="仿宋" w:cs="仿宋"/>
          <w:bCs/>
          <w:sz w:val="28"/>
          <w:szCs w:val="28"/>
          <w:u w:val="single"/>
        </w:rPr>
        <w:t>纪检室</w:t>
      </w:r>
      <w:r>
        <w:rPr>
          <w:rFonts w:hint="eastAsia" w:ascii="仿宋" w:hAnsi="仿宋" w:eastAsia="仿宋" w:cs="仿宋"/>
          <w:bCs/>
          <w:sz w:val="28"/>
          <w:szCs w:val="28"/>
        </w:rPr>
        <w:t>，联系电话：</w:t>
      </w:r>
      <w:r>
        <w:rPr>
          <w:rFonts w:hint="eastAsia" w:ascii="仿宋" w:hAnsi="仿宋" w:eastAsia="仿宋" w:cs="仿宋"/>
          <w:bCs/>
          <w:sz w:val="28"/>
          <w:szCs w:val="28"/>
          <w:u w:val="single"/>
        </w:rPr>
        <w:t xml:space="preserve"> 020-38890265 </w:t>
      </w:r>
      <w:r>
        <w:rPr>
          <w:rFonts w:hint="eastAsia" w:ascii="仿宋" w:hAnsi="仿宋" w:eastAsia="仿宋" w:cs="仿宋"/>
          <w:bCs/>
          <w:sz w:val="28"/>
          <w:szCs w:val="28"/>
        </w:rPr>
        <w:t>。</w:t>
      </w:r>
    </w:p>
    <w:p>
      <w:pPr>
        <w:pStyle w:val="20"/>
        <w:spacing w:beforeAutospacing="0" w:line="520" w:lineRule="exact"/>
        <w:rPr>
          <w:rFonts w:ascii="仿宋" w:hAnsi="仿宋" w:eastAsia="仿宋" w:cs="仿宋"/>
          <w:bCs/>
          <w:sz w:val="28"/>
          <w:szCs w:val="28"/>
        </w:rPr>
      </w:pPr>
      <w:r>
        <w:rPr>
          <w:rFonts w:hint="eastAsia" w:ascii="仿宋" w:hAnsi="仿宋" w:eastAsia="仿宋" w:cs="仿宋"/>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beforeAutospacing="0" w:line="520" w:lineRule="exact"/>
        <w:rPr>
          <w:rFonts w:ascii="仿宋" w:hAnsi="仿宋" w:eastAsia="仿宋" w:cs="仿宋"/>
          <w:bCs/>
          <w:sz w:val="28"/>
          <w:szCs w:val="28"/>
        </w:rPr>
      </w:pPr>
      <w:r>
        <w:rPr>
          <w:rFonts w:hint="eastAsia" w:ascii="仿宋" w:hAnsi="仿宋" w:eastAsia="仿宋" w:cs="仿宋"/>
          <w:bCs/>
          <w:sz w:val="28"/>
          <w:szCs w:val="28"/>
        </w:rPr>
        <w:t>1、扣除主合同的全部履约保证金；</w:t>
      </w:r>
    </w:p>
    <w:p>
      <w:pPr>
        <w:pStyle w:val="20"/>
        <w:spacing w:beforeAutospacing="0" w:line="520" w:lineRule="exact"/>
        <w:rPr>
          <w:rFonts w:ascii="仿宋" w:hAnsi="仿宋" w:eastAsia="仿宋" w:cs="仿宋"/>
          <w:bCs/>
          <w:sz w:val="28"/>
          <w:szCs w:val="28"/>
        </w:rPr>
      </w:pPr>
      <w:r>
        <w:rPr>
          <w:rFonts w:hint="eastAsia" w:ascii="仿宋" w:hAnsi="仿宋" w:eastAsia="仿宋" w:cs="仿宋"/>
          <w:bCs/>
          <w:sz w:val="28"/>
          <w:szCs w:val="28"/>
        </w:rPr>
        <w:t>2、解除主合同；</w:t>
      </w:r>
    </w:p>
    <w:p>
      <w:pPr>
        <w:pStyle w:val="20"/>
        <w:spacing w:beforeAutospacing="0" w:line="520" w:lineRule="exact"/>
        <w:rPr>
          <w:rFonts w:ascii="仿宋" w:hAnsi="仿宋" w:eastAsia="仿宋" w:cs="仿宋"/>
          <w:bCs/>
          <w:sz w:val="28"/>
          <w:szCs w:val="28"/>
        </w:rPr>
      </w:pPr>
      <w:r>
        <w:rPr>
          <w:rFonts w:hint="eastAsia" w:ascii="仿宋" w:hAnsi="仿宋" w:eastAsia="仿宋" w:cs="仿宋"/>
          <w:bCs/>
          <w:sz w:val="28"/>
          <w:szCs w:val="28"/>
        </w:rPr>
        <w:t>3、追究乙方其他违约责任；</w:t>
      </w:r>
    </w:p>
    <w:p>
      <w:pPr>
        <w:pStyle w:val="20"/>
        <w:spacing w:beforeAutospacing="0" w:line="520" w:lineRule="exact"/>
        <w:rPr>
          <w:rFonts w:ascii="仿宋" w:hAnsi="仿宋" w:eastAsia="仿宋" w:cs="仿宋"/>
          <w:bCs/>
          <w:sz w:val="28"/>
          <w:szCs w:val="28"/>
        </w:rPr>
      </w:pPr>
      <w:r>
        <w:rPr>
          <w:rFonts w:hint="eastAsia" w:ascii="仿宋" w:hAnsi="仿宋" w:eastAsia="仿宋" w:cs="仿宋"/>
          <w:bCs/>
          <w:sz w:val="28"/>
          <w:szCs w:val="28"/>
        </w:rPr>
        <w:t>4、根据甲方的有关规章制度，在一定时间内暂停乙方参与甲方及下属单位所有项目的交易资格；</w:t>
      </w:r>
    </w:p>
    <w:p>
      <w:pPr>
        <w:pStyle w:val="20"/>
        <w:spacing w:beforeAutospacing="0" w:line="520" w:lineRule="exact"/>
        <w:rPr>
          <w:rFonts w:ascii="仿宋" w:hAnsi="仿宋" w:eastAsia="仿宋" w:cs="仿宋"/>
          <w:bCs/>
          <w:sz w:val="28"/>
          <w:szCs w:val="28"/>
        </w:rPr>
      </w:pPr>
      <w:r>
        <w:rPr>
          <w:rFonts w:hint="eastAsia" w:ascii="仿宋" w:hAnsi="仿宋" w:eastAsia="仿宋" w:cs="仿宋"/>
          <w:bCs/>
          <w:sz w:val="28"/>
          <w:szCs w:val="28"/>
        </w:rPr>
        <w:t>5、根据甲方的有关规章制度，将乙方清退出甲方相关企业库；</w:t>
      </w:r>
    </w:p>
    <w:p>
      <w:pPr>
        <w:pStyle w:val="20"/>
        <w:spacing w:beforeAutospacing="0" w:line="520" w:lineRule="exact"/>
        <w:rPr>
          <w:rFonts w:ascii="仿宋" w:hAnsi="仿宋" w:eastAsia="仿宋" w:cs="仿宋"/>
          <w:bCs/>
          <w:sz w:val="28"/>
          <w:szCs w:val="28"/>
        </w:rPr>
      </w:pPr>
      <w:r>
        <w:rPr>
          <w:rFonts w:hint="eastAsia" w:ascii="仿宋" w:hAnsi="仿宋" w:eastAsia="仿宋" w:cs="仿宋"/>
          <w:bCs/>
          <w:sz w:val="28"/>
          <w:szCs w:val="28"/>
        </w:rPr>
        <w:t>6、根据甲方上级单位、行政主管部门的意见、决定执行；</w:t>
      </w:r>
    </w:p>
    <w:p>
      <w:pPr>
        <w:pStyle w:val="20"/>
        <w:spacing w:beforeAutospacing="0" w:line="520" w:lineRule="exact"/>
        <w:rPr>
          <w:rFonts w:ascii="仿宋" w:hAnsi="仿宋" w:eastAsia="仿宋" w:cs="仿宋"/>
          <w:bCs/>
          <w:sz w:val="28"/>
          <w:szCs w:val="28"/>
        </w:rPr>
      </w:pPr>
      <w:r>
        <w:rPr>
          <w:rFonts w:hint="eastAsia" w:ascii="仿宋" w:hAnsi="仿宋" w:eastAsia="仿宋" w:cs="仿宋"/>
          <w:bCs/>
          <w:sz w:val="28"/>
          <w:szCs w:val="28"/>
        </w:rPr>
        <w:t>7、按规定向有关行政监督部门、乙方业务管理部门进行投诉、报告。</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_GB2312" w:eastAsia="仿宋_GB2312"/>
          <w:color w:val="auto"/>
          <w:sz w:val="28"/>
          <w:szCs w:val="28"/>
          <w:highlight w:val="none"/>
          <w:u w:val="single"/>
          <w:lang w:val="en-US" w:eastAsia="zh-CN"/>
        </w:rPr>
        <w:t>广州市净水有限公司环城北净水厂职业病危害预评价及职业病防护设施设计专篇技术咨询项目</w:t>
      </w:r>
      <w:r>
        <w:rPr>
          <w:rFonts w:hint="eastAsia" w:ascii="仿宋" w:hAnsi="仿宋" w:eastAsia="仿宋" w:cs="仿宋"/>
          <w:bCs/>
          <w:sz w:val="28"/>
          <w:szCs w:val="28"/>
          <w:u w:val="single"/>
          <w:lang w:val="en-US" w:eastAsia="zh-CN"/>
        </w:rPr>
        <w:t>合同</w:t>
      </w:r>
      <w:r>
        <w:rPr>
          <w:rFonts w:hint="eastAsia" w:ascii="仿宋" w:hAnsi="仿宋" w:eastAsia="仿宋" w:cs="仿宋"/>
          <w:bCs/>
          <w:sz w:val="28"/>
          <w:szCs w:val="28"/>
          <w:u w:val="single"/>
        </w:rPr>
        <w:t>（穗净水合[202</w:t>
      </w:r>
      <w:r>
        <w:rPr>
          <w:rFonts w:hint="eastAsia" w:ascii="仿宋" w:hAnsi="仿宋" w:eastAsia="仿宋" w:cs="仿宋"/>
          <w:bCs/>
          <w:sz w:val="28"/>
          <w:szCs w:val="28"/>
          <w:u w:val="single"/>
          <w:lang w:val="en-US" w:eastAsia="zh-CN"/>
        </w:rPr>
        <w:t>3</w:t>
      </w:r>
      <w:r>
        <w:rPr>
          <w:rFonts w:hint="eastAsia" w:ascii="仿宋" w:hAnsi="仿宋" w:eastAsia="仿宋" w:cs="仿宋"/>
          <w:bCs/>
          <w:sz w:val="28"/>
          <w:szCs w:val="28"/>
          <w:u w:val="single"/>
        </w:rPr>
        <w:t>]   号）</w:t>
      </w:r>
      <w:r>
        <w:rPr>
          <w:rFonts w:hint="eastAsia" w:ascii="仿宋" w:hAnsi="仿宋" w:eastAsia="仿宋" w:cs="仿宋"/>
          <w:bCs/>
          <w:sz w:val="28"/>
          <w:szCs w:val="28"/>
        </w:rPr>
        <w:t>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拾</w:t>
      </w:r>
      <w:r>
        <w:rPr>
          <w:rFonts w:hint="eastAsia" w:ascii="仿宋" w:hAnsi="仿宋" w:eastAsia="仿宋" w:cs="仿宋"/>
          <w:bCs/>
          <w:sz w:val="28"/>
          <w:szCs w:val="28"/>
        </w:rPr>
        <w:t>份，甲方</w:t>
      </w:r>
      <w:r>
        <w:rPr>
          <w:rFonts w:hint="eastAsia" w:ascii="仿宋" w:hAnsi="仿宋" w:eastAsia="仿宋" w:cs="仿宋"/>
          <w:bCs/>
          <w:sz w:val="28"/>
          <w:szCs w:val="28"/>
          <w:u w:val="single"/>
        </w:rPr>
        <w:t>陆</w:t>
      </w:r>
      <w:r>
        <w:rPr>
          <w:rFonts w:hint="eastAsia" w:ascii="仿宋" w:hAnsi="仿宋" w:eastAsia="仿宋" w:cs="仿宋"/>
          <w:bCs/>
          <w:sz w:val="28"/>
          <w:szCs w:val="28"/>
        </w:rPr>
        <w:t>份，乙方</w:t>
      </w:r>
      <w:r>
        <w:rPr>
          <w:rFonts w:hint="eastAsia" w:ascii="仿宋" w:hAnsi="仿宋" w:eastAsia="仿宋" w:cs="仿宋"/>
          <w:bCs/>
          <w:sz w:val="28"/>
          <w:szCs w:val="28"/>
          <w:u w:val="single"/>
        </w:rPr>
        <w:t>肆</w:t>
      </w:r>
      <w:r>
        <w:rPr>
          <w:rFonts w:hint="eastAsia" w:ascii="仿宋" w:hAnsi="仿宋" w:eastAsia="仿宋" w:cs="仿宋"/>
          <w:bCs/>
          <w:sz w:val="28"/>
          <w:szCs w:val="28"/>
        </w:rPr>
        <w:t>份。</w:t>
      </w:r>
    </w:p>
    <w:p>
      <w:pPr>
        <w:spacing w:line="520" w:lineRule="exact"/>
        <w:ind w:firstLine="560" w:firstLineChars="200"/>
        <w:rPr>
          <w:rFonts w:ascii="仿宋" w:hAnsi="仿宋" w:eastAsia="仿宋" w:cs="仿宋"/>
          <w:bCs/>
          <w:sz w:val="28"/>
          <w:szCs w:val="28"/>
        </w:rPr>
      </w:pPr>
    </w:p>
    <w:p>
      <w:pPr>
        <w:spacing w:line="520" w:lineRule="exact"/>
        <w:rPr>
          <w:rFonts w:ascii="仿宋" w:hAnsi="仿宋" w:eastAsia="仿宋" w:cs="仿宋"/>
          <w:bCs/>
          <w:sz w:val="28"/>
          <w:szCs w:val="28"/>
        </w:rPr>
      </w:pPr>
    </w:p>
    <w:p>
      <w:pPr>
        <w:pStyle w:val="22"/>
        <w:rPr>
          <w:color w:val="auto"/>
        </w:rPr>
      </w:pPr>
    </w:p>
    <w:p>
      <w:pPr>
        <w:spacing w:line="520" w:lineRule="exact"/>
        <w:rPr>
          <w:rFonts w:ascii="仿宋" w:hAnsi="仿宋" w:eastAsia="仿宋" w:cs="仿宋"/>
          <w:bCs/>
          <w:sz w:val="28"/>
          <w:szCs w:val="28"/>
        </w:rPr>
      </w:pPr>
      <w:r>
        <w:rPr>
          <w:rFonts w:hint="eastAsia" w:ascii="仿宋" w:hAnsi="仿宋" w:eastAsia="仿宋" w:cs="仿宋"/>
          <w:bCs/>
          <w:sz w:val="28"/>
          <w:szCs w:val="28"/>
        </w:rPr>
        <w:t>甲方（盖章）：                     乙方（盖章）：</w:t>
      </w:r>
    </w:p>
    <w:p>
      <w:pPr>
        <w:pStyle w:val="33"/>
        <w:tabs>
          <w:tab w:val="left" w:pos="5100"/>
        </w:tabs>
        <w:spacing w:line="520" w:lineRule="exact"/>
        <w:ind w:left="7200" w:firstLine="0" w:firstLineChars="0"/>
        <w:jc w:val="left"/>
        <w:rPr>
          <w:rFonts w:ascii="仿宋" w:hAnsi="仿宋" w:eastAsia="仿宋" w:cs="仿宋"/>
          <w:bCs/>
          <w:sz w:val="28"/>
          <w:szCs w:val="28"/>
        </w:rPr>
      </w:pPr>
    </w:p>
    <w:p>
      <w:pPr>
        <w:tabs>
          <w:tab w:val="left" w:pos="5100"/>
        </w:tabs>
        <w:spacing w:line="520" w:lineRule="exact"/>
        <w:ind w:left="8400" w:hanging="8400" w:hangingChars="3000"/>
        <w:rPr>
          <w:rFonts w:ascii="仿宋" w:hAnsi="仿宋" w:eastAsia="仿宋" w:cs="仿宋"/>
          <w:bCs/>
          <w:sz w:val="28"/>
          <w:szCs w:val="28"/>
        </w:rPr>
      </w:pPr>
      <w:r>
        <w:rPr>
          <w:rFonts w:hint="eastAsia" w:ascii="仿宋" w:hAnsi="仿宋" w:eastAsia="仿宋" w:cs="仿宋"/>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 w:hAnsi="仿宋" w:eastAsia="仿宋" w:cs="仿宋"/>
          <w:bCs/>
          <w:sz w:val="28"/>
          <w:szCs w:val="28"/>
        </w:rPr>
        <w:t>日期:</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r>
        <w:rPr>
          <w:rFonts w:hint="eastAsia" w:ascii="仿宋" w:hAnsi="仿宋" w:eastAsia="仿宋" w:cs="仿宋"/>
          <w:bCs/>
          <w:sz w:val="28"/>
          <w:szCs w:val="28"/>
        </w:rPr>
        <w:tab/>
      </w:r>
      <w:r>
        <w:rPr>
          <w:rFonts w:hint="eastAsia" w:ascii="仿宋" w:hAnsi="仿宋" w:eastAsia="仿宋" w:cs="仿宋"/>
          <w:bCs/>
          <w:sz w:val="28"/>
          <w:szCs w:val="28"/>
        </w:rPr>
        <w:t xml:space="preserve">     日期：</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pPr>
        <w:pStyle w:val="46"/>
        <w:rPr>
          <w:color w:val="auto"/>
        </w:rPr>
        <w:sectPr>
          <w:pgSz w:w="11906" w:h="16838"/>
          <w:pgMar w:top="1440" w:right="1800" w:bottom="1440" w:left="1800" w:header="851" w:footer="992" w:gutter="0"/>
          <w:pgNumType w:fmt="decimal"/>
          <w:cols w:space="425" w:num="1"/>
          <w:docGrid w:type="lines" w:linePitch="312" w:charSpace="0"/>
        </w:sectPr>
      </w:pPr>
    </w:p>
    <w:p>
      <w:pPr>
        <w:spacing w:line="560" w:lineRule="exact"/>
        <w:jc w:val="left"/>
        <w:rPr>
          <w:rFonts w:ascii="宋体" w:hAnsi="宋体" w:cs="宋体"/>
          <w:b/>
          <w:bCs/>
          <w:szCs w:val="21"/>
        </w:rPr>
      </w:pPr>
      <w:r>
        <w:rPr>
          <w:rFonts w:hint="eastAsia" w:ascii="宋体" w:hAnsi="宋体" w:eastAsia="宋体" w:cs="宋体"/>
          <w:b/>
          <w:bCs/>
          <w:szCs w:val="21"/>
        </w:rPr>
        <w:t>附件3</w:t>
      </w:r>
      <w:r>
        <w:rPr>
          <w:rFonts w:hint="eastAsia" w:ascii="宋体" w:hAnsi="宋体" w:cs="宋体"/>
          <w:b/>
          <w:bCs/>
          <w:szCs w:val="21"/>
        </w:rPr>
        <w:t xml:space="preserve"> 安全协议书</w:t>
      </w:r>
    </w:p>
    <w:p>
      <w:pPr>
        <w:spacing w:line="360" w:lineRule="auto"/>
        <w:rPr>
          <w:rFonts w:ascii="宋体" w:hAnsi="宋体"/>
          <w:szCs w:val="21"/>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甲方：广州市净水有限公司</w:t>
      </w:r>
      <w:r>
        <w:rPr>
          <w:rFonts w:hint="eastAsia"/>
          <w:sz w:val="24"/>
        </w:rPr>
        <w:t xml:space="preserve">  </w:t>
      </w:r>
    </w:p>
    <w:p>
      <w:pPr>
        <w:spacing w:line="560" w:lineRule="exact"/>
        <w:rPr>
          <w:rFonts w:ascii="宋体" w:hAnsi="宋体" w:cs="Arial"/>
          <w:kern w:val="0"/>
          <w:sz w:val="24"/>
        </w:rPr>
      </w:pPr>
      <w:r>
        <w:rPr>
          <w:rFonts w:hint="eastAsia" w:ascii="宋体" w:hAnsi="宋体" w:cs="Arial"/>
          <w:kern w:val="0"/>
          <w:sz w:val="24"/>
        </w:rPr>
        <w:t>乙方：</w:t>
      </w:r>
      <w:r>
        <w:rPr>
          <w:rFonts w:hint="eastAsia" w:ascii="宋体" w:hAnsi="宋体" w:cs="宋体"/>
          <w:sz w:val="24"/>
        </w:rPr>
        <w:t xml:space="preserve">    </w:t>
      </w:r>
    </w:p>
    <w:p>
      <w:pPr>
        <w:adjustRightInd w:val="0"/>
        <w:snapToGrid w:val="0"/>
        <w:spacing w:line="560" w:lineRule="exact"/>
        <w:ind w:firstLine="480" w:firstLineChars="200"/>
        <w:jc w:val="left"/>
        <w:rPr>
          <w:rFonts w:ascii="宋体" w:hAnsi="宋体"/>
          <w:sz w:val="24"/>
        </w:rPr>
      </w:pPr>
      <w:r>
        <w:rPr>
          <w:rFonts w:hint="eastAsia" w:ascii="宋体" w:hAnsi="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本协议作为</w:t>
      </w:r>
      <w:r>
        <w:rPr>
          <w:rFonts w:hint="eastAsia" w:ascii="宋体" w:hAnsi="宋体"/>
          <w:sz w:val="24"/>
          <w:u w:val="single"/>
          <w:lang w:val="en-US" w:eastAsia="zh-CN"/>
        </w:rPr>
        <w:t>广州市净水有限公司环城北净水厂职业病危害预评价及职业病防护设施设计专篇技术咨询项目</w:t>
      </w:r>
      <w:r>
        <w:rPr>
          <w:rFonts w:hint="eastAsia" w:ascii="宋体" w:hAnsi="宋体"/>
          <w:sz w:val="24"/>
        </w:rPr>
        <w:t>合同的组成部分，与主合同具有同等法律。</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二、甲方权责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rPr>
      </w:pPr>
      <w:r>
        <w:rPr>
          <w:rFonts w:hint="eastAsia" w:ascii="宋体" w:hAnsi="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rPr>
      </w:pPr>
      <w:r>
        <w:rPr>
          <w:rFonts w:hint="eastAsia" w:ascii="宋体" w:hAnsi="宋体"/>
          <w:sz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（四）遵守甲方制定的安全管理要求。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rPr>
      </w:pPr>
      <w:r>
        <w:rPr>
          <w:rFonts w:hint="eastAsia" w:ascii="宋体" w:hAnsi="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rPr>
      </w:pPr>
      <w:r>
        <w:rPr>
          <w:rFonts w:hint="eastAsia" w:ascii="宋体" w:hAnsi="宋体"/>
          <w:sz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rPr>
      </w:pPr>
      <w:r>
        <w:rPr>
          <w:rFonts w:hint="eastAsia" w:ascii="宋体" w:hAnsi="宋体"/>
          <w:sz w:val="24"/>
        </w:rPr>
        <w:t>（七）委托的第三方运输单位或个人，违反本协议的，全部责任均由乙方承担。</w:t>
      </w:r>
    </w:p>
    <w:p>
      <w:pPr>
        <w:pStyle w:val="36"/>
        <w:spacing w:line="560" w:lineRule="exact"/>
        <w:ind w:firstLine="482" w:firstLineChars="200"/>
        <w:rPr>
          <w:rFonts w:ascii="宋体" w:hAnsi="宋体"/>
          <w:sz w:val="24"/>
        </w:rPr>
      </w:pPr>
      <w:r>
        <w:rPr>
          <w:rFonts w:hint="eastAsia" w:ascii="宋体" w:hAnsi="宋体"/>
          <w:b/>
          <w:sz w:val="24"/>
        </w:rPr>
        <w:t>五、补充条款：</w:t>
      </w:r>
      <w:r>
        <w:rPr>
          <w:rFonts w:hint="eastAsia" w:ascii="宋体" w:hAnsi="宋体"/>
          <w:sz w:val="24"/>
          <w:u w:val="single"/>
        </w:rPr>
        <w:t xml:space="preserve"> 无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sz w:val="24"/>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sz w:val="24"/>
              </w:rPr>
            </w:pPr>
            <w:r>
              <w:rPr>
                <w:rFonts w:hint="eastAsia" w:ascii="宋体" w:hAnsi="宋体"/>
                <w:sz w:val="24"/>
              </w:rPr>
              <w:t xml:space="preserve">甲方：广州市净水有限公司 </w:t>
            </w:r>
          </w:p>
          <w:p>
            <w:pPr>
              <w:adjustRightInd w:val="0"/>
              <w:snapToGrid w:val="0"/>
              <w:spacing w:line="560" w:lineRule="exact"/>
              <w:rPr>
                <w:rFonts w:ascii="宋体" w:hAnsi="宋体"/>
                <w:sz w:val="24"/>
              </w:rPr>
            </w:pP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hint="eastAsia" w:ascii="宋体" w:hAnsi="宋体" w:eastAsia="宋体"/>
                <w:sz w:val="24"/>
                <w:lang w:val="en-US" w:eastAsia="zh-CN"/>
              </w:rPr>
            </w:pPr>
            <w:r>
              <w:rPr>
                <w:rFonts w:hint="eastAsia" w:ascii="宋体" w:hAnsi="宋体"/>
                <w:sz w:val="24"/>
              </w:rPr>
              <w:t>联系电话：</w:t>
            </w:r>
            <w:r>
              <w:rPr>
                <w:rFonts w:hint="eastAsia" w:ascii="宋体" w:hAnsi="宋体"/>
                <w:sz w:val="24"/>
                <w:lang w:val="en-US" w:eastAsia="zh-CN"/>
              </w:rPr>
              <w:t xml:space="preserve"> </w:t>
            </w:r>
          </w:p>
          <w:p>
            <w:pPr>
              <w:adjustRightInd w:val="0"/>
              <w:snapToGrid w:val="0"/>
              <w:spacing w:line="560" w:lineRule="exact"/>
              <w:ind w:firstLine="240" w:firstLineChars="100"/>
              <w:jc w:val="right"/>
              <w:rPr>
                <w:rFonts w:ascii="宋体" w:hAnsi="宋体"/>
                <w:sz w:val="24"/>
              </w:rPr>
            </w:pP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c>
          <w:tcPr>
            <w:tcW w:w="4474" w:type="dxa"/>
            <w:noWrap/>
          </w:tcPr>
          <w:p>
            <w:pPr>
              <w:adjustRightInd w:val="0"/>
              <w:snapToGrid w:val="0"/>
              <w:spacing w:line="560" w:lineRule="exact"/>
              <w:rPr>
                <w:rFonts w:hint="eastAsia" w:ascii="宋体" w:hAnsi="宋体" w:eastAsia="宋体"/>
                <w:sz w:val="24"/>
                <w:lang w:eastAsia="zh-CN"/>
              </w:rPr>
            </w:pPr>
            <w:r>
              <w:rPr>
                <w:rFonts w:hint="eastAsia" w:ascii="宋体" w:hAnsi="宋体"/>
                <w:sz w:val="24"/>
              </w:rPr>
              <w:t>乙方：</w:t>
            </w:r>
            <w:r>
              <w:rPr>
                <w:rFonts w:hint="eastAsia" w:ascii="宋体" w:hAnsi="宋体"/>
                <w:sz w:val="24"/>
                <w:lang w:val="en-US" w:eastAsia="zh-CN"/>
              </w:rPr>
              <w:t xml:space="preserve"> </w:t>
            </w:r>
          </w:p>
          <w:p>
            <w:pPr>
              <w:pStyle w:val="22"/>
              <w:rPr>
                <w:color w:val="auto"/>
              </w:rPr>
            </w:pP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hint="eastAsia" w:ascii="宋体" w:hAnsi="宋体" w:eastAsia="宋体"/>
                <w:sz w:val="24"/>
                <w:lang w:val="en-US" w:eastAsia="zh-CN"/>
              </w:rPr>
            </w:pPr>
            <w:r>
              <w:rPr>
                <w:rFonts w:hint="eastAsia" w:ascii="宋体" w:hAnsi="宋体"/>
                <w:sz w:val="24"/>
              </w:rPr>
              <w:t>联系电话：</w:t>
            </w:r>
            <w:r>
              <w:rPr>
                <w:rFonts w:hint="eastAsia" w:ascii="宋体" w:hAnsi="宋体"/>
                <w:sz w:val="24"/>
                <w:lang w:val="en-US" w:eastAsia="zh-CN"/>
              </w:rPr>
              <w:t xml:space="preserve"> </w:t>
            </w:r>
          </w:p>
          <w:p>
            <w:pPr>
              <w:adjustRightInd w:val="0"/>
              <w:snapToGrid w:val="0"/>
              <w:spacing w:line="560" w:lineRule="exact"/>
              <w:jc w:val="right"/>
              <w:rPr>
                <w:rFonts w:ascii="宋体" w:hAnsi="宋体"/>
                <w:sz w:val="24"/>
              </w:rPr>
            </w:pP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tc>
      </w:tr>
    </w:tbl>
    <w:p>
      <w:pPr>
        <w:ind w:right="-932" w:rightChars="-444"/>
      </w:pPr>
    </w:p>
    <w:p>
      <w:pPr>
        <w:ind w:right="-932" w:rightChars="-444"/>
      </w:pPr>
    </w:p>
    <w:p>
      <w:pPr>
        <w:ind w:right="-932" w:rightChars="-444"/>
      </w:pPr>
    </w:p>
    <w:p>
      <w:pPr>
        <w:ind w:right="-932" w:rightChars="-444"/>
      </w:pPr>
    </w:p>
    <w:p>
      <w:pPr>
        <w:ind w:right="-932" w:rightChars="-444"/>
      </w:pPr>
    </w:p>
    <w:p>
      <w:pPr>
        <w:ind w:right="-932" w:rightChars="-444"/>
      </w:pPr>
    </w:p>
    <w:p>
      <w:pPr>
        <w:ind w:right="-932" w:rightChars="-444"/>
      </w:pPr>
    </w:p>
    <w:p>
      <w:pPr>
        <w:ind w:right="-932" w:rightChars="-444"/>
      </w:pPr>
    </w:p>
    <w:p>
      <w:pPr>
        <w:ind w:right="-932" w:rightChars="-444"/>
      </w:pPr>
    </w:p>
    <w:p>
      <w:pPr>
        <w:spacing w:line="360" w:lineRule="auto"/>
        <w:ind w:right="-1153" w:rightChars="-549"/>
        <w:rPr>
          <w:rFonts w:hint="eastAsia" w:eastAsia="宋体"/>
          <w:lang w:eastAsia="zh-CN"/>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3"/>
        <w:rPr>
          <w:rFonts w:hint="eastAsia" w:eastAsiaTheme="minorEastAsia"/>
          <w:color w:val="auto"/>
          <w:highlight w:val="none"/>
          <w:lang w:val="en-US" w:eastAsia="zh-CN"/>
        </w:rPr>
      </w:pPr>
      <w:bookmarkStart w:id="87" w:name="_Toc1563"/>
      <w:bookmarkStart w:id="88" w:name="_Toc16552"/>
      <w:bookmarkStart w:id="89" w:name="_Toc8147"/>
      <w:bookmarkStart w:id="90" w:name="_Toc21847"/>
      <w:bookmarkStart w:id="91" w:name="_Toc28358"/>
      <w:bookmarkStart w:id="92" w:name="_Toc30824"/>
      <w:bookmarkStart w:id="93" w:name="_Toc3723"/>
      <w:bookmarkStart w:id="94" w:name="_Toc6230"/>
      <w:bookmarkStart w:id="95" w:name="_Toc12169"/>
      <w:bookmarkStart w:id="96" w:name="_Toc5129"/>
      <w:bookmarkStart w:id="97" w:name="_Toc2351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
        <w:rPr>
          <w:color w:val="auto"/>
          <w:highlight w:val="none"/>
        </w:rPr>
      </w:pPr>
      <w:bookmarkStart w:id="98" w:name="_Toc30157"/>
      <w:bookmarkStart w:id="99" w:name="_Toc24490"/>
      <w:bookmarkStart w:id="100" w:name="_Toc10840"/>
      <w:bookmarkStart w:id="101" w:name="_Toc24815"/>
      <w:bookmarkStart w:id="102" w:name="_Toc5342"/>
      <w:bookmarkStart w:id="103" w:name="_Toc17119"/>
      <w:bookmarkStart w:id="104" w:name="_Toc88209951"/>
      <w:bookmarkStart w:id="105" w:name="_Toc31564"/>
      <w:bookmarkStart w:id="106" w:name="_Toc22764"/>
      <w:bookmarkStart w:id="107" w:name="_Toc87616388"/>
      <w:bookmarkStart w:id="108" w:name="_Toc12610"/>
      <w:bookmarkStart w:id="109" w:name="_Toc12769"/>
      <w:bookmarkStart w:id="110" w:name="_Toc21675"/>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val="en-US" w:eastAsia="zh-CN"/>
        </w:rPr>
        <w:t xml:space="preserve"> 广州市净水有限公司环城北净水厂职业病危害预评价及职业病防护设施设计专篇</w:t>
      </w: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lang w:val="en-US" w:eastAsia="zh-CN"/>
        </w:rPr>
        <w:t>技术咨询项目</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17" w:name="_Toc28619645"/>
      <w:bookmarkStart w:id="118" w:name="_Toc88209957"/>
      <w:bookmarkStart w:id="119" w:name="_Toc12665"/>
      <w:bookmarkStart w:id="120" w:name="_Toc87616394"/>
      <w:bookmarkStart w:id="121" w:name="_Toc6313"/>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8209958"/>
      <w:bookmarkStart w:id="123" w:name="_Toc22527"/>
      <w:bookmarkStart w:id="124" w:name="_Toc87616395"/>
      <w:bookmarkStart w:id="125"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19830"/>
      <w:bookmarkStart w:id="127" w:name="_Toc87616400"/>
      <w:bookmarkStart w:id="128" w:name="_Toc88209963"/>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广州市净水有限公司环城北净水厂职业病危害预评价及职业病防护设施设计专篇技术咨询项目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ind w:firstLine="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1" w:name="_Toc87616402"/>
      <w:bookmarkStart w:id="132" w:name="_Toc16386"/>
      <w:bookmarkStart w:id="133" w:name="_Toc6058"/>
      <w:bookmarkStart w:id="134" w:name="_Toc88209965"/>
      <w:r>
        <w:rPr>
          <w:rFonts w:hint="eastAsia" w:eastAsiaTheme="majorEastAsia"/>
          <w:color w:val="auto"/>
          <w:highlight w:val="none"/>
          <w:lang w:val="en-US" w:eastAsia="zh-CN"/>
        </w:rPr>
        <w:t>5</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6E6810"/>
    <w:rsid w:val="00911ECD"/>
    <w:rsid w:val="00A042E0"/>
    <w:rsid w:val="00B26BB1"/>
    <w:rsid w:val="00B26E21"/>
    <w:rsid w:val="00B741D7"/>
    <w:rsid w:val="00D4533C"/>
    <w:rsid w:val="00F83B64"/>
    <w:rsid w:val="013E3461"/>
    <w:rsid w:val="01BB0F13"/>
    <w:rsid w:val="02090C75"/>
    <w:rsid w:val="027E65FC"/>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7915854"/>
    <w:rsid w:val="082A69F3"/>
    <w:rsid w:val="08675FC8"/>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320E7D"/>
    <w:rsid w:val="0E5F2769"/>
    <w:rsid w:val="0ED8332F"/>
    <w:rsid w:val="0F4D75A3"/>
    <w:rsid w:val="0F5B2DCA"/>
    <w:rsid w:val="0FA20605"/>
    <w:rsid w:val="0FED051E"/>
    <w:rsid w:val="0FEE4C29"/>
    <w:rsid w:val="0FFD33F6"/>
    <w:rsid w:val="10031608"/>
    <w:rsid w:val="10046082"/>
    <w:rsid w:val="104974DD"/>
    <w:rsid w:val="108C3B91"/>
    <w:rsid w:val="10C96CBC"/>
    <w:rsid w:val="111703D2"/>
    <w:rsid w:val="112B101A"/>
    <w:rsid w:val="119B53FC"/>
    <w:rsid w:val="1215733B"/>
    <w:rsid w:val="12424CDC"/>
    <w:rsid w:val="129A2738"/>
    <w:rsid w:val="12B56BF1"/>
    <w:rsid w:val="12CB1A89"/>
    <w:rsid w:val="131840FB"/>
    <w:rsid w:val="13467417"/>
    <w:rsid w:val="136E76CF"/>
    <w:rsid w:val="14056D94"/>
    <w:rsid w:val="145F08C6"/>
    <w:rsid w:val="14E43F59"/>
    <w:rsid w:val="15776308"/>
    <w:rsid w:val="15BC6B3C"/>
    <w:rsid w:val="16360A7B"/>
    <w:rsid w:val="164D40B0"/>
    <w:rsid w:val="1694429A"/>
    <w:rsid w:val="17635326"/>
    <w:rsid w:val="17B803EA"/>
    <w:rsid w:val="17BF4582"/>
    <w:rsid w:val="1815096B"/>
    <w:rsid w:val="18236EFD"/>
    <w:rsid w:val="18377249"/>
    <w:rsid w:val="189D5B1F"/>
    <w:rsid w:val="18A34CD0"/>
    <w:rsid w:val="195D0693"/>
    <w:rsid w:val="19A53EA8"/>
    <w:rsid w:val="19B64DBC"/>
    <w:rsid w:val="19EC6A4A"/>
    <w:rsid w:val="1A3558AB"/>
    <w:rsid w:val="1A373ACF"/>
    <w:rsid w:val="1A7B10BA"/>
    <w:rsid w:val="1A895341"/>
    <w:rsid w:val="1B0D071F"/>
    <w:rsid w:val="1B4568CE"/>
    <w:rsid w:val="1B9015B7"/>
    <w:rsid w:val="1B950DA6"/>
    <w:rsid w:val="1BF54245"/>
    <w:rsid w:val="1D0E6976"/>
    <w:rsid w:val="1D5A79EE"/>
    <w:rsid w:val="1E0E2CD0"/>
    <w:rsid w:val="1E831280"/>
    <w:rsid w:val="1EBC4704"/>
    <w:rsid w:val="1F172EB5"/>
    <w:rsid w:val="1F22070B"/>
    <w:rsid w:val="1F695E3D"/>
    <w:rsid w:val="1F94592D"/>
    <w:rsid w:val="1FB860DE"/>
    <w:rsid w:val="203C5A02"/>
    <w:rsid w:val="209D4C94"/>
    <w:rsid w:val="20B44FCD"/>
    <w:rsid w:val="20E84705"/>
    <w:rsid w:val="218400BA"/>
    <w:rsid w:val="21AB1E2F"/>
    <w:rsid w:val="21D40498"/>
    <w:rsid w:val="21DB788C"/>
    <w:rsid w:val="22493963"/>
    <w:rsid w:val="22767047"/>
    <w:rsid w:val="23A05588"/>
    <w:rsid w:val="240476A1"/>
    <w:rsid w:val="240D5638"/>
    <w:rsid w:val="247C0C4C"/>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AF3945"/>
    <w:rsid w:val="27EB149D"/>
    <w:rsid w:val="27FD3E52"/>
    <w:rsid w:val="28E11370"/>
    <w:rsid w:val="294A756A"/>
    <w:rsid w:val="29722B26"/>
    <w:rsid w:val="29781BF8"/>
    <w:rsid w:val="297939E2"/>
    <w:rsid w:val="29C33ED0"/>
    <w:rsid w:val="29D5322D"/>
    <w:rsid w:val="2A025DD9"/>
    <w:rsid w:val="2A2619CB"/>
    <w:rsid w:val="2A7317D3"/>
    <w:rsid w:val="2A7376EA"/>
    <w:rsid w:val="2A7C2231"/>
    <w:rsid w:val="2A920E4F"/>
    <w:rsid w:val="2ABB753D"/>
    <w:rsid w:val="2AFE6EC4"/>
    <w:rsid w:val="2B7A49FA"/>
    <w:rsid w:val="2C615D26"/>
    <w:rsid w:val="2CB679ED"/>
    <w:rsid w:val="2CE83C37"/>
    <w:rsid w:val="2D173C07"/>
    <w:rsid w:val="2D424A86"/>
    <w:rsid w:val="2D6F75A0"/>
    <w:rsid w:val="2DDA66B7"/>
    <w:rsid w:val="2E6F2D11"/>
    <w:rsid w:val="2E7B52DB"/>
    <w:rsid w:val="2ED60115"/>
    <w:rsid w:val="2EF44F80"/>
    <w:rsid w:val="2F324CFE"/>
    <w:rsid w:val="2F8B6144"/>
    <w:rsid w:val="2FBA09F1"/>
    <w:rsid w:val="2FEF2ACF"/>
    <w:rsid w:val="2FF93D20"/>
    <w:rsid w:val="30540211"/>
    <w:rsid w:val="30E45100"/>
    <w:rsid w:val="31112A0D"/>
    <w:rsid w:val="3118711F"/>
    <w:rsid w:val="311F4B20"/>
    <w:rsid w:val="312D7741"/>
    <w:rsid w:val="316F137F"/>
    <w:rsid w:val="31DF525F"/>
    <w:rsid w:val="31EC162B"/>
    <w:rsid w:val="32324C2E"/>
    <w:rsid w:val="327171DF"/>
    <w:rsid w:val="328D514A"/>
    <w:rsid w:val="3391569E"/>
    <w:rsid w:val="341E3434"/>
    <w:rsid w:val="34BB4442"/>
    <w:rsid w:val="3584136B"/>
    <w:rsid w:val="3597671C"/>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D605B13"/>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C13B4D"/>
    <w:rsid w:val="46054BCA"/>
    <w:rsid w:val="464C6AFC"/>
    <w:rsid w:val="468B0091"/>
    <w:rsid w:val="46A107C3"/>
    <w:rsid w:val="46B15CE2"/>
    <w:rsid w:val="46BE113D"/>
    <w:rsid w:val="46E44B13"/>
    <w:rsid w:val="4703508A"/>
    <w:rsid w:val="4725637F"/>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CD200BA"/>
    <w:rsid w:val="4D2044E7"/>
    <w:rsid w:val="4D916BA6"/>
    <w:rsid w:val="4DC44169"/>
    <w:rsid w:val="4DC52AAE"/>
    <w:rsid w:val="4DE24E21"/>
    <w:rsid w:val="4E1B19A3"/>
    <w:rsid w:val="4E48787F"/>
    <w:rsid w:val="4EF0709E"/>
    <w:rsid w:val="4F0469A4"/>
    <w:rsid w:val="4F62727E"/>
    <w:rsid w:val="4F793340"/>
    <w:rsid w:val="4F844CD5"/>
    <w:rsid w:val="500E56F4"/>
    <w:rsid w:val="50540C73"/>
    <w:rsid w:val="50752AF8"/>
    <w:rsid w:val="509727E6"/>
    <w:rsid w:val="513C6A7B"/>
    <w:rsid w:val="517300C9"/>
    <w:rsid w:val="52EC6EC2"/>
    <w:rsid w:val="531805D8"/>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EC3BB9"/>
    <w:rsid w:val="59FC7994"/>
    <w:rsid w:val="5A006DFE"/>
    <w:rsid w:val="5AE83A50"/>
    <w:rsid w:val="5B353193"/>
    <w:rsid w:val="5B724FEB"/>
    <w:rsid w:val="5BAB2917"/>
    <w:rsid w:val="5BFC33FA"/>
    <w:rsid w:val="5C3107A4"/>
    <w:rsid w:val="5C3B1B93"/>
    <w:rsid w:val="5C9220DF"/>
    <w:rsid w:val="5D4A15F3"/>
    <w:rsid w:val="5D69542A"/>
    <w:rsid w:val="5D783B72"/>
    <w:rsid w:val="5E0930EF"/>
    <w:rsid w:val="5E3D4D53"/>
    <w:rsid w:val="5E4717E6"/>
    <w:rsid w:val="5E55774C"/>
    <w:rsid w:val="5E873E9A"/>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4302C7"/>
    <w:rsid w:val="676D67DA"/>
    <w:rsid w:val="67CB09D8"/>
    <w:rsid w:val="67EE3B0F"/>
    <w:rsid w:val="680A5986"/>
    <w:rsid w:val="680D5F4B"/>
    <w:rsid w:val="68113F51"/>
    <w:rsid w:val="6828259E"/>
    <w:rsid w:val="68691A4F"/>
    <w:rsid w:val="68AD09A1"/>
    <w:rsid w:val="68C10EF1"/>
    <w:rsid w:val="68E94770"/>
    <w:rsid w:val="68EC1CEF"/>
    <w:rsid w:val="68F949C9"/>
    <w:rsid w:val="695A4290"/>
    <w:rsid w:val="696F3649"/>
    <w:rsid w:val="699E5B68"/>
    <w:rsid w:val="6A334932"/>
    <w:rsid w:val="6A3353FF"/>
    <w:rsid w:val="6A5D63E6"/>
    <w:rsid w:val="6A5F24D1"/>
    <w:rsid w:val="6ACA70C4"/>
    <w:rsid w:val="6AE347EB"/>
    <w:rsid w:val="6B330365"/>
    <w:rsid w:val="6B434AF0"/>
    <w:rsid w:val="6B57675A"/>
    <w:rsid w:val="6B87098A"/>
    <w:rsid w:val="6B954626"/>
    <w:rsid w:val="6BDD7B4D"/>
    <w:rsid w:val="6EBC0B3A"/>
    <w:rsid w:val="6EF51C7D"/>
    <w:rsid w:val="6F8363E5"/>
    <w:rsid w:val="6F841DCF"/>
    <w:rsid w:val="6FA80CCD"/>
    <w:rsid w:val="6FAC3CC5"/>
    <w:rsid w:val="6FB31EE8"/>
    <w:rsid w:val="6FC746F5"/>
    <w:rsid w:val="6FE33EF5"/>
    <w:rsid w:val="70317AC6"/>
    <w:rsid w:val="704B26F7"/>
    <w:rsid w:val="70697B21"/>
    <w:rsid w:val="70863262"/>
    <w:rsid w:val="70A76ED3"/>
    <w:rsid w:val="71860B17"/>
    <w:rsid w:val="723B27CC"/>
    <w:rsid w:val="72687227"/>
    <w:rsid w:val="72A03FD9"/>
    <w:rsid w:val="72F247EE"/>
    <w:rsid w:val="73406CFF"/>
    <w:rsid w:val="7383028C"/>
    <w:rsid w:val="73A25E44"/>
    <w:rsid w:val="741F68CF"/>
    <w:rsid w:val="75252DF3"/>
    <w:rsid w:val="75583DB0"/>
    <w:rsid w:val="75621536"/>
    <w:rsid w:val="75BF3154"/>
    <w:rsid w:val="764A07CF"/>
    <w:rsid w:val="764F6B3D"/>
    <w:rsid w:val="76CD2B7B"/>
    <w:rsid w:val="76D80645"/>
    <w:rsid w:val="76E03371"/>
    <w:rsid w:val="771211AA"/>
    <w:rsid w:val="77736C04"/>
    <w:rsid w:val="77801821"/>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305ECD"/>
    <w:rsid w:val="7B5A62DF"/>
    <w:rsid w:val="7B7A04A8"/>
    <w:rsid w:val="7C0C3F6D"/>
    <w:rsid w:val="7C22163C"/>
    <w:rsid w:val="7C457B4B"/>
    <w:rsid w:val="7C595075"/>
    <w:rsid w:val="7C6B07B2"/>
    <w:rsid w:val="7D133243"/>
    <w:rsid w:val="7D945420"/>
    <w:rsid w:val="7D997857"/>
    <w:rsid w:val="7E394207"/>
    <w:rsid w:val="7E4007A2"/>
    <w:rsid w:val="7E634D85"/>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unhideWhenUsed/>
    <w:qFormat/>
    <w:uiPriority w:val="99"/>
    <w:pPr>
      <w:spacing w:before="100" w:beforeAutospacing="1" w:after="100" w:afterAutospacing="1"/>
      <w:jc w:val="left"/>
    </w:pPr>
    <w:rPr>
      <w:rFonts w:cs="Times New Roman"/>
      <w:kern w:val="0"/>
      <w:sz w:val="24"/>
    </w:rPr>
  </w:style>
  <w:style w:type="paragraph" w:styleId="21">
    <w:name w:val="Body Text First Indent"/>
    <w:basedOn w:val="7"/>
    <w:unhideWhenUsed/>
    <w:qFormat/>
    <w:uiPriority w:val="99"/>
    <w:pPr>
      <w:spacing w:after="120"/>
      <w:ind w:firstLine="420"/>
    </w:pPr>
    <w:rPr>
      <w:sz w:val="21"/>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21"/>
    <w:basedOn w:val="25"/>
    <w:qFormat/>
    <w:uiPriority w:val="0"/>
    <w:rPr>
      <w:rFonts w:hint="eastAsia" w:ascii="宋体" w:hAnsi="宋体" w:eastAsia="宋体" w:cs="宋体"/>
      <w:b/>
      <w:bCs/>
      <w:color w:val="000000"/>
      <w:sz w:val="18"/>
      <w:szCs w:val="18"/>
      <w:u w:val="none"/>
    </w:rPr>
  </w:style>
  <w:style w:type="character" w:customStyle="1" w:styleId="48">
    <w:name w:val="font11"/>
    <w:basedOn w:val="2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16527</Words>
  <Characters>17147</Characters>
  <Lines>300</Lines>
  <Paragraphs>84</Paragraphs>
  <TotalTime>2</TotalTime>
  <ScaleCrop>false</ScaleCrop>
  <LinksUpToDate>false</LinksUpToDate>
  <CharactersWithSpaces>18692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2022-09-06T06:31:00Z</cp:lastPrinted>
  <dcterms:modified xsi:type="dcterms:W3CDTF">2023-01-20T01:32:30Z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1A8E3B1675BC428695E39351FE07A37F</vt:lpwstr>
  </property>
</Properties>
</file>