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5" w:name="_GoBack"/>
      <w:bookmarkEnd w:id="135"/>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广州市净水有限公司环城北净水厂建设涉及西江引水管道安全评估项目</w:t>
      </w:r>
    </w:p>
    <w:p>
      <w:pPr>
        <w:pStyle w:val="23"/>
        <w:rPr>
          <w:rFonts w:hint="default"/>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r>
        <w:rPr>
          <w:rFonts w:ascii="仿宋_GB2312" w:eastAsia="仿宋_GB2312"/>
          <w:color w:val="auto"/>
          <w:sz w:val="32"/>
          <w:szCs w:val="32"/>
          <w:highlight w:val="none"/>
        </w:rPr>
        <w:br w:type="textWrapping"/>
      </w: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一</w:t>
      </w:r>
      <w:r>
        <w:rPr>
          <w:rFonts w:hint="eastAsia" w:ascii="黑体" w:hAnsi="黑体" w:eastAsia="黑体" w:cs="仿宋_GB2312"/>
          <w:color w:val="auto"/>
          <w:sz w:val="32"/>
          <w:szCs w:val="32"/>
          <w:highlight w:val="none"/>
        </w:rPr>
        <w:t>月</w:t>
      </w:r>
    </w:p>
    <w:p>
      <w:pPr>
        <w:rPr>
          <w:color w:val="auto"/>
          <w:highlight w:val="none"/>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3"/>
        <w:rPr>
          <w:color w:val="auto"/>
          <w:highlight w:val="none"/>
        </w:rPr>
      </w:pPr>
    </w:p>
    <w:p>
      <w:pPr>
        <w:pStyle w:val="37"/>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jc w:val="both"/>
        <w:rPr>
          <w:rFonts w:hint="eastAsia"/>
          <w:color w:val="auto"/>
          <w:highlight w:val="none"/>
        </w:rPr>
      </w:pPr>
      <w:bookmarkStart w:id="4" w:name="_Toc1669"/>
      <w:bookmarkStart w:id="5" w:name="_Toc4275"/>
      <w:bookmarkStart w:id="6" w:name="_Toc19609"/>
      <w:bookmarkStart w:id="7" w:name="_Toc17801"/>
      <w:bookmarkStart w:id="8" w:name="_Toc31938"/>
      <w:bookmarkStart w:id="9" w:name="_Toc11322"/>
      <w:bookmarkStart w:id="10" w:name="_Toc7519"/>
    </w:p>
    <w:p>
      <w:pPr>
        <w:pStyle w:val="3"/>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2329180</wp:posOffset>
                </wp:positionH>
                <wp:positionV relativeFrom="paragraph">
                  <wp:posOffset>3175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3.4pt;margin-top:0.25pt;height:0pt;width:75.5pt;z-index:251670528;mso-width-relative:page;mso-height-relative:page;" filled="f" stroked="t" coordsize="21600,21600" o:gfxdata="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R0jj0wAAAAUBAAAPAAAAAAAAAAEAIAAAACIAAABkcnMvZG93bnJldi54bWxQSwECFAAUAAAA&#10;CACHTuJAD6yHiPMBAADkAwAADgAAAAAAAAABACAAAAAiAQAAZHJzL2Uyb0RvYy54bWxQSwUGAAAA&#10;AAYABgBZAQAAh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2321560</wp:posOffset>
                </wp:positionH>
                <wp:positionV relativeFrom="paragraph">
                  <wp:posOffset>640715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2.8pt;margin-top:50.45pt;height:0pt;width:75.5pt;z-index:251671552;mso-width-relative:page;mso-height-relative:page;" filled="f" stroked="t" coordsize="21600,21600" o:gfxdata="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MwWhN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广州市净水有限公司环城北净水厂建设涉及西江引水管道安全评估项目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single"/>
          <w:lang w:val="en-US" w:eastAsia="zh-CN"/>
        </w:rPr>
        <w:t>广州市净水有限公司环城北净水厂建设涉及西江引水管道安全评估项目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XJ-20230113-2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39.4480万元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对上述项目编制安全评估报告并配合建设单位取得相关行政主管部门和管理单位的批复。根据现行最新的规程规范和西江广州引水工程管理单位的要求开展安全评估工作，具体工作包括收集类似案例、调查分析、系统开展计算分析（含三维模拟分析）、提供场地工程地质分析、编制安全评估报告、组织专家评审、提供技术咨询、提供优化建议、协助相关行政和技术报审报批。</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自合同签订之日起至通过西江引水管道相关行政主管部门和管理单位的评审和审批。</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 xml:space="preserve">                     </w:t>
      </w:r>
    </w:p>
    <w:p>
      <w:pPr>
        <w:spacing w:line="36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hAnsi="仿宋_GB2312" w:eastAsia="仿宋_GB2312" w:cs="仿宋_GB2312"/>
          <w:color w:val="auto"/>
          <w:sz w:val="28"/>
          <w:szCs w:val="28"/>
          <w:highlight w:val="none"/>
          <w:u w:val="single"/>
        </w:rPr>
        <w:t>通过相关行政主管部门</w:t>
      </w:r>
      <w:r>
        <w:rPr>
          <w:rFonts w:hint="eastAsia" w:ascii="仿宋_GB2312" w:hAnsi="仿宋_GB2312" w:eastAsia="仿宋_GB2312" w:cs="仿宋_GB2312"/>
          <w:color w:val="auto"/>
          <w:sz w:val="28"/>
          <w:szCs w:val="28"/>
          <w:highlight w:val="none"/>
          <w:u w:val="single"/>
          <w:lang w:eastAsia="zh-CN"/>
        </w:rPr>
        <w:t>和管理</w:t>
      </w:r>
      <w:r>
        <w:rPr>
          <w:rFonts w:hint="eastAsia" w:ascii="仿宋_GB2312" w:hAnsi="仿宋_GB2312" w:eastAsia="仿宋_GB2312" w:cs="仿宋_GB2312"/>
          <w:color w:val="auto"/>
          <w:sz w:val="28"/>
          <w:szCs w:val="28"/>
          <w:highlight w:val="none"/>
          <w:u w:val="single"/>
        </w:rPr>
        <w:t>单位的评审和审批。</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utoSpaceDE w:val="0"/>
        <w:autoSpaceDN w:val="0"/>
        <w:spacing w:line="560" w:lineRule="exac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color w:val="auto"/>
          <w:kern w:val="2"/>
          <w:sz w:val="28"/>
          <w:szCs w:val="28"/>
          <w:highlight w:val="none"/>
          <w:lang w:val="en-US" w:eastAsia="zh-CN" w:bidi="ar-SA"/>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eastAsia="zh-CN"/>
        </w:rPr>
        <w:t>须</w:t>
      </w:r>
      <w:r>
        <w:rPr>
          <w:rFonts w:hint="eastAsia" w:ascii="仿宋_GB2312" w:eastAsia="仿宋_GB2312"/>
          <w:color w:val="auto"/>
          <w:sz w:val="28"/>
          <w:szCs w:val="28"/>
          <w:highlight w:val="none"/>
        </w:rPr>
        <w:t>具备</w:t>
      </w:r>
      <w:r>
        <w:rPr>
          <w:rFonts w:hint="eastAsia" w:ascii="仿宋" w:hAnsi="仿宋" w:eastAsia="仿宋" w:cs="仿宋"/>
          <w:color w:val="auto"/>
          <w:kern w:val="2"/>
          <w:sz w:val="28"/>
          <w:szCs w:val="28"/>
          <w:highlight w:val="none"/>
          <w:lang w:val="en-US" w:eastAsia="zh-CN" w:bidi="ar-SA"/>
        </w:rPr>
        <w:t>工程设计综合甲级资质或工程设计市政行业（燃气工程、轨道交通工程除外）甲级资质。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hAnsi="仿宋" w:eastAsia="仿宋_GB2312" w:cs="仿宋"/>
          <w:color w:val="auto"/>
          <w:sz w:val="28"/>
          <w:szCs w:val="28"/>
          <w:highlight w:val="none"/>
          <w:u w:val="none"/>
          <w:lang w:val="en-US" w:eastAsia="zh-CN"/>
        </w:rPr>
        <w:t>涉及市政工程安全评估</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lang w:eastAsia="zh-CN"/>
        </w:rPr>
        <w:t>（结构专业或给排水专业）</w:t>
      </w:r>
      <w:r>
        <w:rPr>
          <w:rFonts w:hint="eastAsia" w:ascii="仿宋_GB2312" w:hAnsi="仿宋" w:eastAsia="仿宋_GB2312" w:cs="仿宋"/>
          <w:color w:val="auto"/>
          <w:sz w:val="28"/>
          <w:szCs w:val="28"/>
          <w:highlight w:val="none"/>
          <w:u w:val="none"/>
        </w:rPr>
        <w:t>高级工程师</w:t>
      </w:r>
      <w:r>
        <w:rPr>
          <w:rFonts w:hint="eastAsia" w:ascii="仿宋_GB2312" w:hAnsi="仿宋" w:eastAsia="仿宋_GB2312" w:cs="仿宋"/>
          <w:color w:val="auto"/>
          <w:sz w:val="28"/>
          <w:szCs w:val="28"/>
          <w:highlight w:val="none"/>
          <w:u w:val="none"/>
          <w:lang w:val="en-US" w:eastAsia="zh-CN"/>
        </w:rPr>
        <w:t>职称</w:t>
      </w:r>
      <w:r>
        <w:rPr>
          <w:rFonts w:hint="eastAsia" w:ascii="仿宋_GB2312" w:hAnsi="仿宋" w:eastAsia="仿宋_GB2312" w:cs="仿宋"/>
          <w:color w:val="auto"/>
          <w:sz w:val="28"/>
          <w:szCs w:val="28"/>
          <w:highlight w:val="none"/>
          <w:u w:val="none"/>
        </w:rPr>
        <w:t>，并提供在本单位近三个月社保记录</w:t>
      </w:r>
      <w:r>
        <w:rPr>
          <w:rFonts w:hint="eastAsia" w:ascii="仿宋_GB2312" w:hAnsi="仿宋" w:eastAsia="仿宋_GB2312" w:cs="仿宋"/>
          <w:color w:val="auto"/>
          <w:sz w:val="28"/>
          <w:szCs w:val="28"/>
          <w:highlight w:val="none"/>
          <w:u w:val="none"/>
          <w:lang w:eastAsia="zh-CN"/>
        </w:rPr>
        <w:t>（以加盖社会保险基金管理中心印章的《缴费历史明细表》或《社会保险参保人员证明》为准，</w:t>
      </w:r>
      <w:r>
        <w:rPr>
          <w:rFonts w:hint="eastAsia" w:ascii="仿宋_GB2312" w:hAnsi="仿宋" w:eastAsia="仿宋_GB2312" w:cs="仿宋"/>
          <w:color w:val="auto"/>
          <w:sz w:val="28"/>
          <w:szCs w:val="28"/>
          <w:highlight w:val="none"/>
          <w:u w:val="none"/>
          <w:lang w:val="en-US" w:eastAsia="zh-CN"/>
        </w:rPr>
        <w:t>加盖单位公章</w:t>
      </w:r>
      <w:r>
        <w:rPr>
          <w:rFonts w:hint="eastAsia" w:ascii="仿宋_GB2312" w:hAnsi="仿宋" w:eastAsia="仿宋_GB2312" w:cs="仿宋"/>
          <w:color w:val="auto"/>
          <w:sz w:val="28"/>
          <w:szCs w:val="28"/>
          <w:highlight w:val="none"/>
          <w:u w:val="none"/>
        </w:rPr>
        <w:t>。</w:t>
      </w:r>
    </w:p>
    <w:p>
      <w:pPr>
        <w:adjustRightInd w:val="0"/>
        <w:snapToGrid w:val="0"/>
        <w:spacing w:line="600" w:lineRule="exact"/>
        <w:jc w:val="left"/>
        <w:rPr>
          <w:rFonts w:hint="default" w:ascii="仿宋_GB2312" w:eastAsia="仿宋_GB2312"/>
          <w:strike w:val="0"/>
          <w:dstrike w:val="0"/>
          <w:color w:val="auto"/>
          <w:sz w:val="28"/>
          <w:szCs w:val="28"/>
          <w:highlight w:val="none"/>
          <w:u w:val="single"/>
          <w:lang w:val="en-US" w:eastAsia="zh-CN"/>
        </w:rPr>
      </w:pPr>
      <w:r>
        <w:rPr>
          <w:rFonts w:hint="eastAsia" w:ascii="仿宋_GB2312" w:eastAsia="仿宋_GB2312"/>
          <w:strike w:val="0"/>
          <w:dstrike w:val="0"/>
          <w:color w:val="auto"/>
          <w:sz w:val="28"/>
          <w:szCs w:val="28"/>
          <w:highlight w:val="none"/>
        </w:rPr>
        <w:sym w:font="Wingdings 2" w:char="00A3"/>
      </w:r>
      <w:r>
        <w:rPr>
          <w:rFonts w:hint="eastAsia" w:ascii="仿宋_GB2312" w:eastAsia="仿宋_GB2312"/>
          <w:strike w:val="0"/>
          <w:dstrike w:val="0"/>
          <w:color w:val="auto"/>
          <w:sz w:val="28"/>
          <w:szCs w:val="28"/>
          <w:highlight w:val="none"/>
        </w:rPr>
        <w:t>（</w:t>
      </w:r>
      <w:r>
        <w:rPr>
          <w:rFonts w:hint="eastAsia" w:ascii="仿宋_GB2312" w:eastAsia="仿宋_GB2312"/>
          <w:strike w:val="0"/>
          <w:dstrike w:val="0"/>
          <w:color w:val="auto"/>
          <w:sz w:val="28"/>
          <w:szCs w:val="28"/>
          <w:highlight w:val="none"/>
          <w:lang w:val="en-US" w:eastAsia="zh-CN"/>
        </w:rPr>
        <w:t>5</w:t>
      </w:r>
      <w:r>
        <w:rPr>
          <w:rFonts w:hint="eastAsia" w:ascii="仿宋_GB2312" w:eastAsia="仿宋_GB2312"/>
          <w:strike w:val="0"/>
          <w:dstrike w:val="0"/>
          <w:color w:val="auto"/>
          <w:sz w:val="28"/>
          <w:szCs w:val="28"/>
          <w:highlight w:val="none"/>
        </w:rPr>
        <w:t>）其他要求：</w:t>
      </w:r>
      <w:r>
        <w:rPr>
          <w:rFonts w:hint="eastAsia" w:ascii="仿宋_GB2312" w:eastAsia="仿宋_GB2312"/>
          <w:strike w:val="0"/>
          <w:dstrike w:val="0"/>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无</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3.3本次项目不接受联合体参加采购活动</w:t>
      </w:r>
    </w:p>
    <w:p>
      <w:pPr>
        <w:adjustRightInd w:val="0"/>
        <w:snapToGrid w:val="0"/>
        <w:spacing w:line="600" w:lineRule="exact"/>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14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18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r>
        <w:rPr>
          <w:rFonts w:hint="eastAsia" w:asciiTheme="minorEastAsia" w:hAnsiTheme="minorEastAsia"/>
          <w:b/>
          <w:color w:val="auto"/>
          <w:sz w:val="32"/>
          <w:szCs w:val="32"/>
          <w:highlight w:val="non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3"/>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13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31"/>
      <w:bookmarkStart w:id="15" w:name="_Toc19295"/>
      <w:bookmarkStart w:id="16" w:name="_Toc16557"/>
      <w:bookmarkStart w:id="17" w:name="_Toc25603"/>
      <w:bookmarkStart w:id="18" w:name="_Toc23749"/>
      <w:bookmarkStart w:id="19" w:name="_Toc2324"/>
      <w:bookmarkStart w:id="20" w:name="_Toc32588"/>
      <w:bookmarkStart w:id="21" w:name="_Toc9448"/>
      <w:bookmarkStart w:id="22" w:name="_Toc16705"/>
      <w:bookmarkStart w:id="23" w:name="_Toc7340"/>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autoSpaceDE w:val="0"/>
        <w:autoSpaceDN w:val="0"/>
        <w:rPr>
          <w:rFonts w:hint="default" w:ascii="仿宋_GB2312" w:hAnsi="仿宋_GB2312" w:eastAsia="仿宋_GB2312" w:cs="仿宋_GB2312"/>
          <w:color w:val="auto"/>
          <w:sz w:val="28"/>
          <w:szCs w:val="28"/>
          <w:highlight w:val="none"/>
          <w:lang w:val="en-US" w:eastAsia="zh-CN"/>
        </w:rPr>
      </w:pP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1.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9"/>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2332355</wp:posOffset>
                </wp:positionH>
                <wp:positionV relativeFrom="paragraph">
                  <wp:posOffset>682625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65pt;margin-top:53.75pt;height:0pt;width:75.5pt;z-index:251661312;mso-width-relative:page;mso-height-relative:page;" filled="f" stroked="t" coordsize="21600,21600" o:gfxdata="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hYWQ2AAAAAsBAAAPAAAAAAAAAAEAIAAAACIAAABkcnMvZG93bnJldi54bWxQSwECFAAU&#10;AAAACACHTuJAtG2KtfEBAADiAwAADgAAAAAAAAABACAAAAAnAQAAZHJzL2Uyb0RvYy54bWxQSwUG&#10;AAAAAAYABgBZAQAAig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9"/>
        <w:rPr>
          <w:color w:val="auto"/>
          <w:highlight w:val="none"/>
        </w:rPr>
      </w:pPr>
    </w:p>
    <w:p>
      <w:pPr>
        <w:pStyle w:val="4"/>
        <w:rPr>
          <w:color w:val="auto"/>
          <w:highlight w:val="none"/>
        </w:rPr>
      </w:pPr>
      <w:bookmarkStart w:id="28" w:name="_Toc7040"/>
      <w:bookmarkStart w:id="29" w:name="_Toc88209934"/>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30"/>
        <w:rPr>
          <w:rFonts w:ascii="方正小标宋简体" w:eastAsia="方正小标宋简体"/>
          <w:color w:val="auto"/>
          <w:sz w:val="44"/>
          <w:szCs w:val="44"/>
          <w:highlight w:val="none"/>
        </w:rPr>
      </w:pPr>
    </w:p>
    <w:p>
      <w:pPr>
        <w:pStyle w:val="3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jc w:val="left"/>
        <w:rPr>
          <w:rFonts w:ascii="仿宋_GB2312" w:eastAsia="仿宋_GB2312"/>
          <w:color w:val="auto"/>
          <w:sz w:val="28"/>
          <w:szCs w:val="28"/>
          <w:highlight w:val="none"/>
        </w:rPr>
      </w:pPr>
    </w:p>
    <w:p>
      <w:pPr>
        <w:pStyle w:val="3"/>
        <w:rPr>
          <w:color w:val="auto"/>
          <w:highlight w:val="none"/>
        </w:rPr>
      </w:pPr>
      <w:bookmarkStart w:id="34" w:name="_Toc3156"/>
      <w:bookmarkStart w:id="35" w:name="_Toc7118"/>
      <w:bookmarkStart w:id="36" w:name="_Toc7437"/>
      <w:bookmarkStart w:id="37" w:name="_Toc4952"/>
      <w:bookmarkStart w:id="38" w:name="_Toc14552"/>
      <w:bookmarkStart w:id="39" w:name="_Toc19050"/>
      <w:bookmarkStart w:id="40" w:name="_Toc23581"/>
      <w:bookmarkStart w:id="41" w:name="_Toc14870"/>
      <w:bookmarkStart w:id="42" w:name="_Toc10930"/>
      <w:bookmarkStart w:id="43" w:name="_Toc20594"/>
      <w:bookmarkStart w:id="44" w:name="_Toc19759"/>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9"/>
        <w:rPr>
          <w:color w:val="auto"/>
          <w:highlight w:val="none"/>
        </w:rPr>
      </w:pPr>
    </w:p>
    <w:p>
      <w:pPr>
        <w:pStyle w:val="3"/>
        <w:rPr>
          <w:color w:val="auto"/>
          <w:highlight w:val="none"/>
        </w:rPr>
      </w:pPr>
      <w:bookmarkStart w:id="45" w:name="_Toc6308"/>
      <w:bookmarkStart w:id="46" w:name="_Toc29484"/>
      <w:bookmarkStart w:id="47" w:name="_Toc30530"/>
      <w:bookmarkStart w:id="48" w:name="_Toc88209941"/>
      <w:bookmarkStart w:id="49" w:name="_Toc7831"/>
      <w:bookmarkStart w:id="50" w:name="_Toc12177"/>
      <w:bookmarkStart w:id="51" w:name="_Toc21079"/>
      <w:bookmarkStart w:id="52" w:name="_Toc87616378"/>
      <w:bookmarkStart w:id="53" w:name="_Toc29345"/>
      <w:bookmarkStart w:id="54" w:name="_Toc32607"/>
      <w:bookmarkStart w:id="55" w:name="_Toc22212"/>
      <w:bookmarkStart w:id="56" w:name="_Toc21840"/>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ind w:left="0" w:leftChars="0" w:firstLine="0" w:firstLineChars="0"/>
        <w:rPr>
          <w:rFonts w:ascii="仿宋_GB2312" w:eastAsia="仿宋_GB2312" w:hAnsiTheme="minorEastAsia"/>
          <w:color w:val="auto"/>
          <w:szCs w:val="21"/>
          <w:highlight w:val="none"/>
        </w:rPr>
      </w:pPr>
    </w:p>
    <w:p>
      <w:pPr>
        <w:pStyle w:val="23"/>
        <w:ind w:left="0" w:leftChars="0" w:firstLine="0" w:firstLineChars="0"/>
        <w:rPr>
          <w:rFonts w:ascii="仿宋_GB2312" w:eastAsia="仿宋_GB2312" w:hAnsiTheme="minorEastAsia"/>
          <w:color w:val="auto"/>
          <w:szCs w:val="21"/>
          <w:highlight w:val="none"/>
        </w:rPr>
      </w:pPr>
    </w:p>
    <w:p>
      <w:pPr>
        <w:pStyle w:val="23"/>
        <w:ind w:left="0" w:leftChars="0" w:firstLine="0" w:firstLineChars="0"/>
        <w:rPr>
          <w:rFonts w:ascii="仿宋_GB2312" w:eastAsia="仿宋_GB2312" w:hAnsiTheme="minorEastAsia"/>
          <w:color w:val="auto"/>
          <w:szCs w:val="21"/>
          <w:highlight w:val="none"/>
        </w:rPr>
      </w:pPr>
    </w:p>
    <w:p>
      <w:pPr>
        <w:pStyle w:val="23"/>
        <w:ind w:left="0" w:leftChars="0" w:firstLine="0" w:firstLineChars="0"/>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60"/>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hint="eastAsia" w:ascii="仿宋_GB2312" w:hAnsi="仿宋_GB2312" w:eastAsia="仿宋_GB2312" w:cs="仿宋_GB2312"/>
          <w:b/>
          <w:bCs/>
          <w:color w:val="auto"/>
          <w:sz w:val="28"/>
          <w:szCs w:val="28"/>
          <w:highlight w:val="none"/>
        </w:rPr>
      </w:pPr>
    </w:p>
    <w:p>
      <w:pPr>
        <w:pStyle w:val="30"/>
        <w:rPr>
          <w:rFonts w:hint="eastAsia" w:ascii="仿宋_GB2312" w:hAnsi="仿宋_GB2312" w:eastAsia="仿宋_GB2312" w:cs="仿宋_GB2312"/>
          <w:b/>
          <w:bCs/>
          <w:color w:val="auto"/>
          <w:sz w:val="28"/>
          <w:szCs w:val="28"/>
          <w:highlight w:val="none"/>
        </w:rPr>
      </w:pP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一、项目概况</w:t>
      </w:r>
    </w:p>
    <w:p>
      <w:pPr>
        <w:ind w:firstLine="588" w:firstLineChars="210"/>
        <w:rPr>
          <w:rFonts w:hint="eastAsia" w:ascii="仿宋_GB2312" w:hAnsi="仿宋" w:eastAsia="仿宋_GB2312" w:cs="仿宋"/>
          <w:color w:val="auto"/>
          <w:sz w:val="28"/>
          <w:szCs w:val="28"/>
          <w:highlight w:val="none"/>
          <w:u w:val="none"/>
          <w:lang w:eastAsia="zh-CN"/>
        </w:rPr>
      </w:pPr>
      <w:r>
        <w:rPr>
          <w:rFonts w:hint="eastAsia" w:ascii="仿宋_GB2312" w:hAnsi="仿宋" w:eastAsia="仿宋_GB2312" w:cs="仿宋"/>
          <w:color w:val="auto"/>
          <w:sz w:val="28"/>
          <w:szCs w:val="28"/>
          <w:highlight w:val="none"/>
          <w:u w:val="none"/>
          <w:lang w:val="en-US" w:eastAsia="zh-CN"/>
        </w:rPr>
        <w:t>工程名称：环城北</w:t>
      </w:r>
      <w:r>
        <w:rPr>
          <w:rFonts w:hint="eastAsia" w:ascii="仿宋_GB2312" w:hAnsi="仿宋" w:eastAsia="仿宋_GB2312" w:cs="仿宋"/>
          <w:color w:val="auto"/>
          <w:sz w:val="28"/>
          <w:szCs w:val="28"/>
          <w:highlight w:val="none"/>
          <w:u w:val="none"/>
        </w:rPr>
        <w:t>净水厂</w:t>
      </w:r>
    </w:p>
    <w:p>
      <w:pPr>
        <w:ind w:firstLine="588" w:firstLineChars="210"/>
        <w:rPr>
          <w:rFonts w:hint="eastAsia" w:ascii="仿宋_GB2312" w:hAnsi="仿宋" w:eastAsia="仿宋_GB2312" w:cs="仿宋"/>
          <w:color w:val="auto"/>
          <w:sz w:val="28"/>
          <w:szCs w:val="28"/>
          <w:highlight w:val="none"/>
          <w:u w:val="none"/>
        </w:rPr>
      </w:pPr>
      <w:r>
        <w:rPr>
          <w:rFonts w:hint="eastAsia" w:ascii="仿宋_GB2312" w:hAnsi="仿宋" w:eastAsia="仿宋_GB2312" w:cs="仿宋"/>
          <w:color w:val="auto"/>
          <w:sz w:val="28"/>
          <w:szCs w:val="28"/>
          <w:highlight w:val="none"/>
          <w:u w:val="none"/>
        </w:rPr>
        <w:t>建设规模：新建10万吨/日污水处理厂</w:t>
      </w:r>
    </w:p>
    <w:p>
      <w:pPr>
        <w:ind w:firstLine="588" w:firstLineChars="210"/>
        <w:rPr>
          <w:rFonts w:hint="eastAsia" w:ascii="仿宋_GB2312" w:hAnsi="仿宋" w:eastAsia="仿宋_GB2312" w:cs="仿宋"/>
          <w:color w:val="auto"/>
          <w:sz w:val="28"/>
          <w:szCs w:val="28"/>
          <w:highlight w:val="none"/>
          <w:u w:val="none"/>
          <w:lang w:val="en-US" w:eastAsia="zh-CN"/>
        </w:rPr>
      </w:pPr>
      <w:r>
        <w:rPr>
          <w:rFonts w:hint="eastAsia" w:ascii="仿宋_GB2312" w:hAnsi="仿宋" w:eastAsia="仿宋_GB2312" w:cs="仿宋"/>
          <w:color w:val="auto"/>
          <w:sz w:val="28"/>
          <w:szCs w:val="28"/>
          <w:highlight w:val="none"/>
          <w:u w:val="none"/>
        </w:rPr>
        <w:t>工程估算</w:t>
      </w:r>
      <w:r>
        <w:rPr>
          <w:rFonts w:hint="eastAsia" w:ascii="仿宋_GB2312" w:hAnsi="仿宋" w:eastAsia="仿宋_GB2312" w:cs="仿宋"/>
          <w:color w:val="auto"/>
          <w:sz w:val="28"/>
          <w:szCs w:val="28"/>
          <w:highlight w:val="none"/>
          <w:u w:val="none"/>
          <w:lang w:eastAsia="zh-CN"/>
        </w:rPr>
        <w:t>：</w:t>
      </w:r>
      <w:r>
        <w:rPr>
          <w:rFonts w:hint="eastAsia" w:ascii="仿宋_GB2312" w:hAnsi="仿宋" w:eastAsia="仿宋_GB2312" w:cs="仿宋"/>
          <w:color w:val="auto"/>
          <w:sz w:val="28"/>
          <w:szCs w:val="28"/>
          <w:highlight w:val="none"/>
          <w:u w:val="none"/>
        </w:rPr>
        <w:t>总投资</w:t>
      </w:r>
      <w:r>
        <w:rPr>
          <w:rFonts w:hint="eastAsia" w:ascii="仿宋_GB2312" w:hAnsi="仿宋" w:eastAsia="仿宋_GB2312" w:cs="仿宋"/>
          <w:color w:val="auto"/>
          <w:sz w:val="28"/>
          <w:szCs w:val="28"/>
          <w:highlight w:val="none"/>
          <w:u w:val="none"/>
          <w:lang w:val="en-US" w:eastAsia="zh-CN"/>
        </w:rPr>
        <w:t>约13亿元</w:t>
      </w:r>
    </w:p>
    <w:p>
      <w:pPr>
        <w:ind w:firstLine="588" w:firstLineChars="210"/>
        <w:rPr>
          <w:rFonts w:hint="eastAsia" w:ascii="仿宋_GB2312" w:hAnsi="仿宋" w:eastAsia="仿宋_GB2312" w:cs="仿宋"/>
          <w:color w:val="auto"/>
          <w:sz w:val="28"/>
          <w:szCs w:val="28"/>
          <w:highlight w:val="none"/>
          <w:u w:val="none"/>
          <w:lang w:val="en-US" w:eastAsia="zh-CN"/>
        </w:rPr>
      </w:pPr>
      <w:r>
        <w:rPr>
          <w:rFonts w:hint="eastAsia" w:ascii="仿宋_GB2312" w:hAnsi="仿宋" w:eastAsia="仿宋_GB2312" w:cs="仿宋"/>
          <w:color w:val="auto"/>
          <w:sz w:val="28"/>
          <w:szCs w:val="28"/>
          <w:highlight w:val="none"/>
          <w:u w:val="none"/>
          <w:lang w:val="en-US" w:eastAsia="zh-CN"/>
        </w:rPr>
        <w:t>项目名称：</w:t>
      </w:r>
      <w:r>
        <w:rPr>
          <w:rFonts w:hint="eastAsia" w:ascii="仿宋_GB2312" w:eastAsia="仿宋_GB2312"/>
          <w:color w:val="auto"/>
          <w:sz w:val="28"/>
          <w:szCs w:val="28"/>
          <w:highlight w:val="none"/>
          <w:lang w:val="en-US" w:eastAsia="zh-CN"/>
        </w:rPr>
        <w:t>广州市净水有限公司</w:t>
      </w:r>
      <w:r>
        <w:rPr>
          <w:rFonts w:hint="eastAsia" w:ascii="仿宋_GB2312" w:hAnsi="仿宋" w:eastAsia="仿宋_GB2312" w:cs="仿宋"/>
          <w:color w:val="auto"/>
          <w:sz w:val="28"/>
          <w:szCs w:val="28"/>
          <w:highlight w:val="none"/>
          <w:u w:val="none"/>
          <w:lang w:val="en-US" w:eastAsia="zh-CN"/>
        </w:rPr>
        <w:t>环城北净水厂建设涉及西江引水管道安全评估</w:t>
      </w:r>
    </w:p>
    <w:p>
      <w:pPr>
        <w:ind w:firstLine="588" w:firstLineChars="210"/>
        <w:rPr>
          <w:rFonts w:hint="default" w:ascii="仿宋_GB2312" w:hAnsi="仿宋" w:eastAsia="仿宋_GB2312" w:cs="仿宋"/>
          <w:color w:val="auto"/>
          <w:kern w:val="2"/>
          <w:sz w:val="28"/>
          <w:szCs w:val="28"/>
          <w:highlight w:val="none"/>
          <w:u w:val="none"/>
          <w:lang w:val="en-US" w:eastAsia="zh-CN" w:bidi="ar-SA"/>
        </w:rPr>
      </w:pPr>
      <w:r>
        <w:rPr>
          <w:rFonts w:hint="eastAsia" w:ascii="仿宋_GB2312" w:hAnsi="仿宋" w:eastAsia="仿宋_GB2312" w:cs="仿宋"/>
          <w:color w:val="auto"/>
          <w:kern w:val="2"/>
          <w:sz w:val="28"/>
          <w:szCs w:val="28"/>
          <w:highlight w:val="none"/>
          <w:u w:val="none"/>
          <w:lang w:val="en-US" w:eastAsia="zh-CN" w:bidi="ar-SA"/>
        </w:rPr>
        <w:t>项目限价：39.448万元</w:t>
      </w:r>
    </w:p>
    <w:p>
      <w:pPr>
        <w:numPr>
          <w:ilvl w:val="0"/>
          <w:numId w:val="3"/>
        </w:numPr>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项目内容及需求</w:t>
      </w:r>
    </w:p>
    <w:p>
      <w:pPr>
        <w:spacing w:line="360" w:lineRule="auto"/>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对上述项目编制安全评估报告并配合建设单位取得相关行政主管部门和管理单位的批复。根据现行最新的规程规范和西江广州引水工程管理单位的要求开展安全评估工作，具体工作包括：</w:t>
      </w:r>
    </w:p>
    <w:p>
      <w:pPr>
        <w:pStyle w:val="36"/>
        <w:numPr>
          <w:ilvl w:val="0"/>
          <w:numId w:val="4"/>
        </w:numPr>
        <w:snapToGrid w:val="0"/>
        <w:spacing w:line="440" w:lineRule="exact"/>
        <w:ind w:leftChars="0"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收集案例：</w:t>
      </w:r>
      <w:r>
        <w:rPr>
          <w:rFonts w:hint="eastAsia" w:ascii="仿宋" w:hAnsi="仿宋" w:eastAsia="仿宋" w:cs="仿宋"/>
          <w:b w:val="0"/>
          <w:bCs w:val="0"/>
          <w:sz w:val="28"/>
          <w:szCs w:val="28"/>
        </w:rPr>
        <w:t>收集类似工程建设对邻近</w:t>
      </w:r>
      <w:r>
        <w:rPr>
          <w:rFonts w:hint="eastAsia" w:ascii="仿宋" w:hAnsi="仿宋" w:eastAsia="仿宋" w:cs="仿宋"/>
          <w:b w:val="0"/>
          <w:bCs w:val="0"/>
          <w:sz w:val="28"/>
          <w:szCs w:val="28"/>
          <w:lang w:eastAsia="zh-CN"/>
        </w:rPr>
        <w:t>管道结构</w:t>
      </w:r>
      <w:r>
        <w:rPr>
          <w:rFonts w:hint="eastAsia" w:ascii="仿宋" w:hAnsi="仿宋" w:eastAsia="仿宋" w:cs="仿宋"/>
          <w:b w:val="0"/>
          <w:bCs w:val="0"/>
          <w:sz w:val="28"/>
          <w:szCs w:val="28"/>
        </w:rPr>
        <w:t>保护的工程案例，</w:t>
      </w:r>
    </w:p>
    <w:p>
      <w:pPr>
        <w:pStyle w:val="36"/>
        <w:numPr>
          <w:ilvl w:val="0"/>
          <w:numId w:val="0"/>
        </w:numPr>
        <w:snapToGrid w:val="0"/>
        <w:spacing w:line="440" w:lineRule="exact"/>
        <w:ind w:firstLine="1400" w:firstLineChars="5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为本项目提供技术借鉴</w:t>
      </w:r>
      <w:r>
        <w:rPr>
          <w:rFonts w:hint="eastAsia" w:ascii="仿宋" w:hAnsi="仿宋" w:eastAsia="仿宋" w:cs="仿宋"/>
          <w:b w:val="0"/>
          <w:bCs w:val="0"/>
          <w:sz w:val="28"/>
          <w:szCs w:val="28"/>
          <w:lang w:eastAsia="zh-CN"/>
        </w:rPr>
        <w:t>。</w:t>
      </w:r>
    </w:p>
    <w:p>
      <w:pPr>
        <w:pStyle w:val="36"/>
        <w:numPr>
          <w:ilvl w:val="0"/>
          <w:numId w:val="4"/>
        </w:numPr>
        <w:snapToGrid w:val="0"/>
        <w:spacing w:line="440" w:lineRule="exact"/>
        <w:ind w:left="0" w:leftChars="0"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调查分析：</w:t>
      </w:r>
      <w:r>
        <w:rPr>
          <w:rFonts w:hint="eastAsia" w:ascii="仿宋" w:hAnsi="仿宋" w:eastAsia="仿宋" w:cs="仿宋"/>
          <w:b w:val="0"/>
          <w:bCs w:val="0"/>
          <w:sz w:val="28"/>
          <w:szCs w:val="28"/>
        </w:rPr>
        <w:t>协助</w:t>
      </w:r>
      <w:r>
        <w:rPr>
          <w:rFonts w:hint="eastAsia" w:ascii="仿宋" w:hAnsi="仿宋" w:eastAsia="仿宋" w:cs="仿宋"/>
          <w:b w:val="0"/>
          <w:bCs w:val="0"/>
          <w:sz w:val="28"/>
          <w:szCs w:val="28"/>
          <w:lang w:val="en-US" w:eastAsia="zh-CN"/>
        </w:rPr>
        <w:t>甲方</w:t>
      </w:r>
      <w:r>
        <w:rPr>
          <w:rFonts w:hint="eastAsia" w:ascii="仿宋" w:hAnsi="仿宋" w:eastAsia="仿宋" w:cs="仿宋"/>
          <w:b w:val="0"/>
          <w:bCs w:val="0"/>
          <w:sz w:val="28"/>
          <w:szCs w:val="28"/>
        </w:rPr>
        <w:t>开展</w:t>
      </w:r>
      <w:r>
        <w:rPr>
          <w:rFonts w:hint="eastAsia" w:ascii="仿宋" w:hAnsi="仿宋" w:eastAsia="仿宋" w:cs="仿宋"/>
          <w:b w:val="0"/>
          <w:bCs w:val="0"/>
          <w:sz w:val="28"/>
          <w:szCs w:val="28"/>
          <w:lang w:eastAsia="zh-CN"/>
        </w:rPr>
        <w:t>西江引水管道</w:t>
      </w:r>
      <w:r>
        <w:rPr>
          <w:rFonts w:hint="eastAsia" w:ascii="仿宋" w:hAnsi="仿宋" w:eastAsia="仿宋" w:cs="仿宋"/>
          <w:b w:val="0"/>
          <w:bCs w:val="0"/>
          <w:sz w:val="28"/>
          <w:szCs w:val="28"/>
        </w:rPr>
        <w:t>现状调查，分析目前阶</w:t>
      </w:r>
    </w:p>
    <w:p>
      <w:pPr>
        <w:pStyle w:val="36"/>
        <w:numPr>
          <w:ilvl w:val="0"/>
          <w:numId w:val="0"/>
        </w:numPr>
        <w:snapToGrid w:val="0"/>
        <w:spacing w:line="440" w:lineRule="exact"/>
        <w:ind w:firstLine="1400" w:firstLineChars="5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段</w:t>
      </w:r>
      <w:r>
        <w:rPr>
          <w:rFonts w:hint="eastAsia" w:ascii="仿宋" w:hAnsi="仿宋" w:eastAsia="仿宋" w:cs="仿宋"/>
          <w:b w:val="0"/>
          <w:bCs w:val="0"/>
          <w:sz w:val="28"/>
          <w:szCs w:val="28"/>
          <w:lang w:eastAsia="zh-CN"/>
        </w:rPr>
        <w:t>管道</w:t>
      </w:r>
      <w:r>
        <w:rPr>
          <w:rFonts w:hint="eastAsia" w:ascii="仿宋" w:hAnsi="仿宋" w:eastAsia="仿宋" w:cs="仿宋"/>
          <w:b w:val="0"/>
          <w:bCs w:val="0"/>
          <w:sz w:val="28"/>
          <w:szCs w:val="28"/>
        </w:rPr>
        <w:t>结构现状</w:t>
      </w:r>
      <w:r>
        <w:rPr>
          <w:rFonts w:hint="eastAsia" w:ascii="仿宋" w:hAnsi="仿宋" w:eastAsia="仿宋" w:cs="仿宋"/>
          <w:b w:val="0"/>
          <w:bCs w:val="0"/>
          <w:sz w:val="28"/>
          <w:szCs w:val="28"/>
          <w:lang w:eastAsia="zh-CN"/>
        </w:rPr>
        <w:t>和场地工程地质。</w:t>
      </w:r>
    </w:p>
    <w:p>
      <w:pPr>
        <w:pStyle w:val="36"/>
        <w:numPr>
          <w:ilvl w:val="0"/>
          <w:numId w:val="4"/>
        </w:numPr>
        <w:snapToGrid w:val="0"/>
        <w:spacing w:line="44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系统开展涉及西江引水管道相关计算分析工作：</w:t>
      </w:r>
    </w:p>
    <w:p>
      <w:pPr>
        <w:pStyle w:val="36"/>
        <w:numPr>
          <w:ilvl w:val="0"/>
          <w:numId w:val="0"/>
        </w:numPr>
        <w:snapToGrid w:val="0"/>
        <w:spacing w:line="440" w:lineRule="exact"/>
        <w:ind w:firstLine="1400" w:firstLineChars="500"/>
        <w:rPr>
          <w:rFonts w:hint="eastAsia" w:ascii="仿宋" w:hAnsi="仿宋" w:eastAsia="仿宋" w:cs="仿宋"/>
          <w:b w:val="0"/>
          <w:bCs w:val="0"/>
          <w:sz w:val="28"/>
          <w:szCs w:val="28"/>
        </w:rPr>
      </w:pPr>
      <w:r>
        <w:rPr>
          <w:rFonts w:hint="eastAsia" w:ascii="仿宋" w:hAnsi="仿宋" w:eastAsia="仿宋" w:cs="仿宋"/>
          <w:b w:val="0"/>
          <w:bCs w:val="0"/>
          <w:sz w:val="28"/>
          <w:szCs w:val="28"/>
        </w:rPr>
        <w:t>超大基坑施工诱发</w:t>
      </w:r>
      <w:r>
        <w:rPr>
          <w:rFonts w:hint="eastAsia" w:ascii="仿宋" w:hAnsi="仿宋" w:eastAsia="仿宋" w:cs="仿宋"/>
          <w:b w:val="0"/>
          <w:bCs w:val="0"/>
          <w:sz w:val="28"/>
          <w:szCs w:val="28"/>
          <w:lang w:eastAsia="zh-CN"/>
        </w:rPr>
        <w:t>管道</w:t>
      </w:r>
      <w:r>
        <w:rPr>
          <w:rFonts w:hint="eastAsia" w:ascii="仿宋" w:hAnsi="仿宋" w:eastAsia="仿宋" w:cs="仿宋"/>
          <w:b w:val="0"/>
          <w:bCs w:val="0"/>
          <w:sz w:val="28"/>
          <w:szCs w:val="28"/>
        </w:rPr>
        <w:t>结构变形</w:t>
      </w:r>
      <w:r>
        <w:rPr>
          <w:rFonts w:hint="eastAsia" w:ascii="仿宋" w:hAnsi="仿宋" w:eastAsia="仿宋" w:cs="仿宋"/>
          <w:b w:val="0"/>
          <w:bCs w:val="0"/>
          <w:sz w:val="28"/>
          <w:szCs w:val="28"/>
          <w:lang w:eastAsia="zh-CN"/>
        </w:rPr>
        <w:t>影响</w:t>
      </w:r>
      <w:r>
        <w:rPr>
          <w:rFonts w:hint="eastAsia" w:ascii="仿宋" w:hAnsi="仿宋" w:eastAsia="仿宋" w:cs="仿宋"/>
          <w:b w:val="0"/>
          <w:bCs w:val="0"/>
          <w:sz w:val="28"/>
          <w:szCs w:val="28"/>
        </w:rPr>
        <w:t>的三维模拟计算分析；</w:t>
      </w:r>
    </w:p>
    <w:p>
      <w:pPr>
        <w:pStyle w:val="36"/>
        <w:numPr>
          <w:ilvl w:val="0"/>
          <w:numId w:val="0"/>
        </w:numPr>
        <w:snapToGrid w:val="0"/>
        <w:spacing w:line="440" w:lineRule="exact"/>
        <w:ind w:firstLine="1400" w:firstLineChars="500"/>
        <w:rPr>
          <w:rFonts w:hint="eastAsia" w:ascii="仿宋" w:hAnsi="仿宋" w:eastAsia="仿宋" w:cs="仿宋"/>
          <w:b w:val="0"/>
          <w:bCs w:val="0"/>
          <w:sz w:val="28"/>
          <w:szCs w:val="28"/>
        </w:rPr>
      </w:pPr>
      <w:r>
        <w:rPr>
          <w:rFonts w:hint="eastAsia" w:ascii="仿宋" w:hAnsi="仿宋" w:eastAsia="仿宋" w:cs="仿宋"/>
          <w:b w:val="0"/>
          <w:bCs w:val="0"/>
          <w:sz w:val="28"/>
          <w:szCs w:val="28"/>
        </w:rPr>
        <w:t>超大基坑</w:t>
      </w:r>
      <w:r>
        <w:rPr>
          <w:rFonts w:hint="eastAsia" w:ascii="仿宋" w:hAnsi="仿宋" w:eastAsia="仿宋" w:cs="仿宋"/>
          <w:b w:val="0"/>
          <w:bCs w:val="0"/>
          <w:sz w:val="28"/>
          <w:szCs w:val="28"/>
          <w:lang w:eastAsia="zh-CN"/>
        </w:rPr>
        <w:t>施工</w:t>
      </w:r>
      <w:r>
        <w:rPr>
          <w:rFonts w:hint="eastAsia" w:ascii="仿宋" w:hAnsi="仿宋" w:eastAsia="仿宋" w:cs="仿宋"/>
          <w:b w:val="0"/>
          <w:bCs w:val="0"/>
          <w:sz w:val="28"/>
          <w:szCs w:val="28"/>
        </w:rPr>
        <w:t>诱发</w:t>
      </w:r>
      <w:r>
        <w:rPr>
          <w:rFonts w:hint="eastAsia" w:ascii="仿宋" w:hAnsi="仿宋" w:eastAsia="仿宋" w:cs="仿宋"/>
          <w:b w:val="0"/>
          <w:bCs w:val="0"/>
          <w:sz w:val="28"/>
          <w:szCs w:val="28"/>
          <w:lang w:eastAsia="zh-CN"/>
        </w:rPr>
        <w:t>管道结构受力影响</w:t>
      </w:r>
      <w:r>
        <w:rPr>
          <w:rFonts w:hint="eastAsia" w:ascii="仿宋" w:hAnsi="仿宋" w:eastAsia="仿宋" w:cs="仿宋"/>
          <w:b w:val="0"/>
          <w:bCs w:val="0"/>
          <w:sz w:val="28"/>
          <w:szCs w:val="28"/>
        </w:rPr>
        <w:t>的三维模拟计算分析；</w:t>
      </w:r>
    </w:p>
    <w:p>
      <w:pPr>
        <w:pStyle w:val="36"/>
        <w:numPr>
          <w:ilvl w:val="0"/>
          <w:numId w:val="0"/>
        </w:numPr>
        <w:snapToGrid w:val="0"/>
        <w:spacing w:line="440" w:lineRule="exact"/>
        <w:ind w:firstLine="1400" w:firstLineChars="500"/>
        <w:rPr>
          <w:rFonts w:hint="eastAsia" w:ascii="仿宋" w:hAnsi="仿宋" w:eastAsia="仿宋" w:cs="仿宋"/>
          <w:b w:val="0"/>
          <w:bCs w:val="0"/>
          <w:sz w:val="28"/>
          <w:szCs w:val="28"/>
        </w:rPr>
      </w:pPr>
      <w:r>
        <w:rPr>
          <w:rFonts w:hint="eastAsia" w:ascii="仿宋" w:hAnsi="仿宋" w:eastAsia="仿宋" w:cs="仿宋"/>
          <w:b w:val="0"/>
          <w:bCs w:val="0"/>
          <w:sz w:val="28"/>
          <w:szCs w:val="28"/>
        </w:rPr>
        <w:t>水位下降诱发</w:t>
      </w:r>
      <w:r>
        <w:rPr>
          <w:rFonts w:hint="eastAsia" w:ascii="仿宋" w:hAnsi="仿宋" w:eastAsia="仿宋" w:cs="仿宋"/>
          <w:b w:val="0"/>
          <w:bCs w:val="0"/>
          <w:sz w:val="28"/>
          <w:szCs w:val="28"/>
          <w:lang w:eastAsia="zh-CN"/>
        </w:rPr>
        <w:t>管道结构</w:t>
      </w:r>
      <w:r>
        <w:rPr>
          <w:rFonts w:hint="eastAsia" w:ascii="仿宋" w:hAnsi="仿宋" w:eastAsia="仿宋" w:cs="仿宋"/>
          <w:b w:val="0"/>
          <w:bCs w:val="0"/>
          <w:sz w:val="28"/>
          <w:szCs w:val="28"/>
        </w:rPr>
        <w:t>沉降的计算分析；</w:t>
      </w:r>
    </w:p>
    <w:p>
      <w:pPr>
        <w:pStyle w:val="36"/>
        <w:numPr>
          <w:ilvl w:val="0"/>
          <w:numId w:val="0"/>
        </w:numPr>
        <w:snapToGrid w:val="0"/>
        <w:spacing w:line="440" w:lineRule="exact"/>
        <w:ind w:firstLine="1400" w:firstLineChars="5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保护措施对管道结构影响的三维模拟计算分析。</w:t>
      </w:r>
    </w:p>
    <w:p>
      <w:pPr>
        <w:pStyle w:val="36"/>
        <w:numPr>
          <w:ilvl w:val="0"/>
          <w:numId w:val="4"/>
        </w:numPr>
        <w:snapToGrid w:val="0"/>
        <w:spacing w:line="440" w:lineRule="exact"/>
        <w:ind w:left="0" w:leftChars="0"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提供优化建议：</w:t>
      </w:r>
      <w:r>
        <w:rPr>
          <w:rFonts w:hint="eastAsia" w:ascii="仿宋" w:hAnsi="仿宋" w:eastAsia="仿宋" w:cs="仿宋"/>
          <w:b w:val="0"/>
          <w:bCs w:val="0"/>
          <w:sz w:val="28"/>
          <w:szCs w:val="28"/>
        </w:rPr>
        <w:t>结合</w:t>
      </w:r>
      <w:r>
        <w:rPr>
          <w:rFonts w:hint="eastAsia" w:ascii="仿宋" w:hAnsi="仿宋" w:eastAsia="仿宋" w:cs="仿宋"/>
          <w:b w:val="0"/>
          <w:bCs w:val="0"/>
          <w:sz w:val="28"/>
          <w:szCs w:val="28"/>
          <w:lang w:eastAsia="zh-CN"/>
        </w:rPr>
        <w:t>西江引水工程</w:t>
      </w:r>
      <w:r>
        <w:rPr>
          <w:rFonts w:hint="eastAsia" w:ascii="仿宋" w:hAnsi="仿宋" w:eastAsia="仿宋" w:cs="仿宋"/>
          <w:b w:val="0"/>
          <w:bCs w:val="0"/>
          <w:sz w:val="28"/>
          <w:szCs w:val="28"/>
          <w:lang w:val="en-US" w:eastAsia="zh-CN"/>
        </w:rPr>
        <w:t>现状运营情况</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为</w:t>
      </w:r>
      <w:r>
        <w:rPr>
          <w:rFonts w:hint="eastAsia" w:ascii="仿宋" w:hAnsi="仿宋" w:eastAsia="仿宋" w:cs="仿宋"/>
          <w:b w:val="0"/>
          <w:bCs w:val="0"/>
          <w:sz w:val="28"/>
          <w:szCs w:val="28"/>
        </w:rPr>
        <w:t>本项目基</w:t>
      </w:r>
    </w:p>
    <w:p>
      <w:pPr>
        <w:pStyle w:val="36"/>
        <w:numPr>
          <w:ilvl w:val="0"/>
          <w:numId w:val="0"/>
        </w:numPr>
        <w:snapToGrid w:val="0"/>
        <w:spacing w:line="440" w:lineRule="exact"/>
        <w:ind w:firstLine="1400" w:firstLineChars="5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坑的设计</w:t>
      </w:r>
      <w:r>
        <w:rPr>
          <w:rFonts w:hint="eastAsia" w:ascii="仿宋" w:hAnsi="仿宋" w:eastAsia="仿宋" w:cs="仿宋"/>
          <w:b w:val="0"/>
          <w:bCs w:val="0"/>
          <w:sz w:val="28"/>
          <w:szCs w:val="28"/>
          <w:lang w:eastAsia="zh-CN"/>
        </w:rPr>
        <w:t>、涉及西江引水管道专项</w:t>
      </w:r>
      <w:r>
        <w:rPr>
          <w:rFonts w:hint="eastAsia" w:ascii="仿宋" w:hAnsi="仿宋" w:eastAsia="仿宋" w:cs="仿宋"/>
          <w:b w:val="0"/>
          <w:bCs w:val="0"/>
          <w:sz w:val="28"/>
          <w:szCs w:val="28"/>
          <w:lang w:val="en-US" w:eastAsia="zh-CN"/>
        </w:rPr>
        <w:t>保护方案和应急保障方案提</w:t>
      </w:r>
    </w:p>
    <w:p>
      <w:pPr>
        <w:pStyle w:val="36"/>
        <w:numPr>
          <w:ilvl w:val="0"/>
          <w:numId w:val="0"/>
        </w:numPr>
        <w:snapToGrid w:val="0"/>
        <w:spacing w:line="440" w:lineRule="exact"/>
        <w:ind w:firstLine="1400" w:firstLineChars="5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供优化建议</w:t>
      </w:r>
      <w:r>
        <w:rPr>
          <w:rFonts w:hint="eastAsia" w:ascii="仿宋" w:hAnsi="仿宋" w:eastAsia="仿宋" w:cs="仿宋"/>
          <w:b w:val="0"/>
          <w:bCs w:val="0"/>
          <w:sz w:val="28"/>
          <w:szCs w:val="28"/>
        </w:rPr>
        <w:t>等。</w:t>
      </w:r>
    </w:p>
    <w:p>
      <w:pPr>
        <w:pStyle w:val="36"/>
        <w:numPr>
          <w:ilvl w:val="0"/>
          <w:numId w:val="4"/>
        </w:numPr>
        <w:snapToGrid w:val="0"/>
        <w:spacing w:line="440" w:lineRule="exact"/>
        <w:ind w:left="0" w:leftChars="0"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编制安评报告：</w:t>
      </w:r>
      <w:r>
        <w:rPr>
          <w:rFonts w:hint="eastAsia" w:ascii="仿宋" w:hAnsi="仿宋" w:eastAsia="仿宋" w:cs="仿宋"/>
          <w:b w:val="0"/>
          <w:bCs w:val="0"/>
          <w:sz w:val="28"/>
          <w:szCs w:val="28"/>
        </w:rPr>
        <w:t>根据以上分析结果，编制并提供正式的安全</w:t>
      </w:r>
      <w:r>
        <w:rPr>
          <w:rFonts w:hint="eastAsia" w:ascii="仿宋" w:hAnsi="仿宋" w:eastAsia="仿宋" w:cs="仿宋"/>
          <w:b w:val="0"/>
          <w:bCs w:val="0"/>
          <w:sz w:val="28"/>
          <w:szCs w:val="28"/>
          <w:lang w:eastAsia="zh-CN"/>
        </w:rPr>
        <w:t>评</w:t>
      </w:r>
    </w:p>
    <w:p>
      <w:pPr>
        <w:pStyle w:val="36"/>
        <w:numPr>
          <w:ilvl w:val="0"/>
          <w:numId w:val="0"/>
        </w:numPr>
        <w:snapToGrid w:val="0"/>
        <w:spacing w:line="440" w:lineRule="exact"/>
        <w:ind w:firstLine="1400" w:firstLineChars="5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估</w:t>
      </w:r>
      <w:r>
        <w:rPr>
          <w:rFonts w:hint="eastAsia" w:ascii="仿宋" w:hAnsi="仿宋" w:eastAsia="仿宋" w:cs="仿宋"/>
          <w:b w:val="0"/>
          <w:bCs w:val="0"/>
          <w:sz w:val="28"/>
          <w:szCs w:val="28"/>
        </w:rPr>
        <w:t>报告，</w:t>
      </w:r>
      <w:r>
        <w:rPr>
          <w:rFonts w:hint="eastAsia" w:ascii="仿宋" w:hAnsi="仿宋" w:eastAsia="仿宋" w:cs="仿宋"/>
          <w:b w:val="0"/>
          <w:bCs w:val="0"/>
          <w:sz w:val="28"/>
          <w:szCs w:val="28"/>
          <w:lang w:val="en-US" w:eastAsia="zh-CN"/>
        </w:rPr>
        <w:t>组织专家评审会。</w:t>
      </w:r>
    </w:p>
    <w:p>
      <w:pPr>
        <w:pStyle w:val="36"/>
        <w:numPr>
          <w:ilvl w:val="0"/>
          <w:numId w:val="4"/>
        </w:numPr>
        <w:snapToGrid w:val="0"/>
        <w:spacing w:line="440" w:lineRule="exact"/>
        <w:ind w:left="0" w:leftChars="0" w:firstLine="560" w:firstLineChars="200"/>
        <w:rPr>
          <w:rFonts w:hint="eastAsia" w:ascii="仿宋" w:hAnsi="仿宋" w:eastAsia="仿宋" w:cs="仿宋"/>
          <w:sz w:val="28"/>
          <w:szCs w:val="28"/>
        </w:rPr>
      </w:pPr>
      <w:r>
        <w:rPr>
          <w:rFonts w:hint="eastAsia" w:ascii="仿宋" w:hAnsi="仿宋" w:eastAsia="仿宋" w:cs="仿宋"/>
          <w:b w:val="0"/>
          <w:bCs w:val="0"/>
          <w:sz w:val="28"/>
          <w:szCs w:val="28"/>
          <w:lang w:val="en-US" w:eastAsia="zh-CN"/>
        </w:rPr>
        <w:t>协助工作：</w:t>
      </w:r>
      <w:r>
        <w:rPr>
          <w:rFonts w:hint="eastAsia" w:ascii="仿宋" w:hAnsi="仿宋" w:eastAsia="仿宋" w:cs="仿宋"/>
          <w:b w:val="0"/>
          <w:bCs w:val="0"/>
          <w:sz w:val="28"/>
          <w:szCs w:val="28"/>
        </w:rPr>
        <w:t>参</w:t>
      </w:r>
      <w:r>
        <w:rPr>
          <w:rFonts w:hint="eastAsia" w:ascii="仿宋" w:hAnsi="仿宋" w:eastAsia="仿宋" w:cs="仿宋"/>
          <w:sz w:val="28"/>
          <w:szCs w:val="28"/>
        </w:rPr>
        <w:t>加与本项目相关的评审会议，协助</w:t>
      </w:r>
      <w:r>
        <w:rPr>
          <w:rFonts w:hint="eastAsia" w:ascii="仿宋" w:hAnsi="仿宋" w:eastAsia="仿宋" w:cs="仿宋"/>
          <w:sz w:val="28"/>
          <w:szCs w:val="28"/>
          <w:lang w:val="en-US" w:eastAsia="zh-CN"/>
        </w:rPr>
        <w:t>我方</w:t>
      </w:r>
      <w:r>
        <w:rPr>
          <w:rFonts w:hint="eastAsia" w:ascii="仿宋" w:hAnsi="仿宋" w:eastAsia="仿宋" w:cs="仿宋"/>
          <w:sz w:val="28"/>
          <w:szCs w:val="28"/>
        </w:rPr>
        <w:t>通过相关</w:t>
      </w:r>
    </w:p>
    <w:p>
      <w:pPr>
        <w:pStyle w:val="36"/>
        <w:numPr>
          <w:ilvl w:val="0"/>
          <w:numId w:val="0"/>
        </w:numPr>
        <w:snapToGrid w:val="0"/>
        <w:spacing w:line="440" w:lineRule="exact"/>
        <w:ind w:firstLine="1400" w:firstLineChars="500"/>
        <w:rPr>
          <w:rFonts w:hint="eastAsia" w:ascii="仿宋" w:hAnsi="仿宋" w:eastAsia="仿宋" w:cs="仿宋"/>
          <w:sz w:val="28"/>
          <w:szCs w:val="28"/>
          <w:lang w:eastAsia="zh-CN"/>
        </w:rPr>
      </w:pPr>
      <w:r>
        <w:rPr>
          <w:rFonts w:hint="eastAsia" w:ascii="仿宋" w:hAnsi="仿宋" w:eastAsia="仿宋" w:cs="仿宋"/>
          <w:sz w:val="28"/>
          <w:szCs w:val="28"/>
        </w:rPr>
        <w:t>的专家评审会</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如有</w:t>
      </w:r>
      <w:r>
        <w:rPr>
          <w:rFonts w:hint="eastAsia" w:ascii="仿宋" w:hAnsi="仿宋" w:eastAsia="仿宋" w:cs="仿宋"/>
          <w:sz w:val="28"/>
          <w:szCs w:val="28"/>
          <w:lang w:eastAsia="zh-CN"/>
        </w:rPr>
        <w:t>）</w:t>
      </w:r>
      <w:r>
        <w:rPr>
          <w:rFonts w:hint="eastAsia" w:ascii="仿宋" w:hAnsi="仿宋" w:eastAsia="仿宋" w:cs="仿宋"/>
          <w:sz w:val="28"/>
          <w:szCs w:val="28"/>
        </w:rPr>
        <w:t>的技术审查</w:t>
      </w:r>
      <w:r>
        <w:rPr>
          <w:rFonts w:hint="eastAsia" w:ascii="仿宋" w:hAnsi="仿宋" w:eastAsia="仿宋" w:cs="仿宋"/>
          <w:sz w:val="28"/>
          <w:szCs w:val="28"/>
          <w:lang w:eastAsia="zh-CN"/>
        </w:rPr>
        <w:t>，配合我方开展管线专项保</w:t>
      </w:r>
    </w:p>
    <w:p>
      <w:pPr>
        <w:pStyle w:val="36"/>
        <w:numPr>
          <w:ilvl w:val="0"/>
          <w:numId w:val="0"/>
        </w:numPr>
        <w:snapToGrid w:val="0"/>
        <w:spacing w:line="440" w:lineRule="exact"/>
        <w:ind w:firstLine="1400" w:firstLineChars="5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护方案报批报审</w:t>
      </w:r>
      <w:r>
        <w:rPr>
          <w:rFonts w:hint="eastAsia" w:ascii="仿宋" w:hAnsi="仿宋" w:eastAsia="仿宋" w:cs="仿宋"/>
          <w:b w:val="0"/>
          <w:bCs w:val="0"/>
          <w:sz w:val="28"/>
          <w:szCs w:val="28"/>
          <w:lang w:val="en-US" w:eastAsia="zh-CN"/>
        </w:rPr>
        <w:t>。</w:t>
      </w:r>
    </w:p>
    <w:p>
      <w:pPr>
        <w:pStyle w:val="36"/>
        <w:numPr>
          <w:ilvl w:val="0"/>
          <w:numId w:val="4"/>
        </w:numPr>
        <w:snapToGrid w:val="0"/>
        <w:spacing w:line="440" w:lineRule="exact"/>
        <w:ind w:left="0" w:leftChars="0"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技术咨询：</w:t>
      </w:r>
      <w:r>
        <w:rPr>
          <w:rFonts w:hint="eastAsia" w:ascii="仿宋" w:hAnsi="仿宋" w:eastAsia="仿宋" w:cs="仿宋"/>
          <w:b w:val="0"/>
          <w:bCs w:val="0"/>
          <w:sz w:val="28"/>
          <w:szCs w:val="28"/>
        </w:rPr>
        <w:t>向</w:t>
      </w:r>
      <w:r>
        <w:rPr>
          <w:rFonts w:hint="eastAsia" w:ascii="仿宋" w:hAnsi="仿宋" w:eastAsia="仿宋" w:cs="仿宋"/>
          <w:b w:val="0"/>
          <w:bCs w:val="0"/>
          <w:sz w:val="28"/>
          <w:szCs w:val="28"/>
          <w:lang w:val="en-US" w:eastAsia="zh-CN"/>
        </w:rPr>
        <w:t>我方</w:t>
      </w:r>
      <w:r>
        <w:rPr>
          <w:rFonts w:hint="eastAsia" w:ascii="仿宋" w:hAnsi="仿宋" w:eastAsia="仿宋" w:cs="仿宋"/>
          <w:b w:val="0"/>
          <w:bCs w:val="0"/>
          <w:sz w:val="28"/>
          <w:szCs w:val="28"/>
        </w:rPr>
        <w:t>提供与本项目安全保护相关的技术咨询工作，</w:t>
      </w:r>
      <w:r>
        <w:rPr>
          <w:rFonts w:hint="eastAsia" w:ascii="仿宋" w:hAnsi="仿宋" w:eastAsia="仿宋" w:cs="仿宋"/>
          <w:b w:val="0"/>
          <w:bCs w:val="0"/>
          <w:sz w:val="28"/>
          <w:szCs w:val="28"/>
          <w:lang w:val="en-US" w:eastAsia="zh-CN"/>
        </w:rPr>
        <w:t xml:space="preserve"> </w:t>
      </w:r>
    </w:p>
    <w:p>
      <w:pPr>
        <w:pStyle w:val="36"/>
        <w:numPr>
          <w:ilvl w:val="0"/>
          <w:numId w:val="0"/>
        </w:numPr>
        <w:snapToGrid w:val="0"/>
        <w:spacing w:line="440" w:lineRule="exact"/>
        <w:ind w:firstLine="1400" w:firstLineChars="500"/>
        <w:rPr>
          <w:rFonts w:hint="eastAsia" w:ascii="仿宋" w:hAnsi="仿宋" w:eastAsia="仿宋" w:cs="仿宋"/>
          <w:b w:val="0"/>
          <w:bCs w:val="0"/>
          <w:sz w:val="28"/>
          <w:szCs w:val="28"/>
        </w:rPr>
      </w:pPr>
      <w:r>
        <w:rPr>
          <w:rFonts w:hint="eastAsia" w:ascii="仿宋" w:hAnsi="仿宋" w:eastAsia="仿宋" w:cs="仿宋"/>
          <w:b w:val="0"/>
          <w:bCs w:val="0"/>
          <w:sz w:val="28"/>
          <w:szCs w:val="28"/>
        </w:rPr>
        <w:t>包括设计建议、施工措施建议、保护措施要求、监控量测技术</w:t>
      </w:r>
    </w:p>
    <w:p>
      <w:pPr>
        <w:pStyle w:val="36"/>
        <w:numPr>
          <w:ilvl w:val="0"/>
          <w:numId w:val="0"/>
        </w:numPr>
        <w:snapToGrid w:val="0"/>
        <w:spacing w:line="440" w:lineRule="exact"/>
        <w:ind w:firstLine="1400" w:firstLineChars="5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要求等</w:t>
      </w:r>
      <w:r>
        <w:rPr>
          <w:rFonts w:hint="eastAsia" w:ascii="仿宋" w:hAnsi="仿宋" w:eastAsia="仿宋" w:cs="仿宋"/>
          <w:b w:val="0"/>
          <w:bCs w:val="0"/>
          <w:sz w:val="28"/>
          <w:szCs w:val="28"/>
          <w:lang w:eastAsia="zh-CN"/>
        </w:rPr>
        <w:t>。</w:t>
      </w:r>
    </w:p>
    <w:p>
      <w:pPr>
        <w:pStyle w:val="36"/>
        <w:numPr>
          <w:ilvl w:val="0"/>
          <w:numId w:val="4"/>
        </w:numPr>
        <w:snapToGrid w:val="0"/>
        <w:spacing w:line="440" w:lineRule="exact"/>
        <w:ind w:left="0" w:leftChars="0" w:firstLine="560" w:firstLineChars="200"/>
        <w:rPr>
          <w:rFonts w:hint="eastAsia" w:ascii="仿宋" w:hAnsi="仿宋" w:eastAsia="仿宋" w:cs="仿宋"/>
          <w:sz w:val="28"/>
          <w:szCs w:val="28"/>
        </w:rPr>
      </w:pPr>
      <w:r>
        <w:rPr>
          <w:rFonts w:hint="eastAsia" w:ascii="仿宋" w:hAnsi="仿宋" w:eastAsia="仿宋" w:cs="仿宋"/>
          <w:b w:val="0"/>
          <w:bCs w:val="0"/>
          <w:sz w:val="28"/>
          <w:szCs w:val="28"/>
          <w:lang w:val="en-US" w:eastAsia="zh-CN"/>
        </w:rPr>
        <w:t>服务周期：自合同签订之日起至通过西江引水管道相关行政主</w:t>
      </w:r>
    </w:p>
    <w:p>
      <w:pPr>
        <w:pStyle w:val="36"/>
        <w:numPr>
          <w:ilvl w:val="0"/>
          <w:numId w:val="0"/>
        </w:numPr>
        <w:snapToGrid w:val="0"/>
        <w:spacing w:line="440" w:lineRule="exact"/>
        <w:ind w:firstLine="1400" w:firstLineChars="500"/>
        <w:rPr>
          <w:rFonts w:hint="eastAsia" w:ascii="仿宋" w:hAnsi="仿宋" w:eastAsia="仿宋" w:cs="仿宋"/>
          <w:sz w:val="28"/>
          <w:szCs w:val="28"/>
        </w:rPr>
      </w:pPr>
      <w:r>
        <w:rPr>
          <w:rFonts w:hint="eastAsia" w:ascii="仿宋" w:hAnsi="仿宋" w:eastAsia="仿宋" w:cs="仿宋"/>
          <w:b w:val="0"/>
          <w:bCs w:val="0"/>
          <w:sz w:val="28"/>
          <w:szCs w:val="28"/>
          <w:lang w:val="en-US" w:eastAsia="zh-CN"/>
        </w:rPr>
        <w:t>管部门和管理单位的评审和审批。</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三、</w:t>
      </w:r>
      <w:r>
        <w:rPr>
          <w:rFonts w:hint="eastAsia" w:ascii="仿宋_GB2312" w:hAnsi="仿宋_GB2312" w:eastAsia="仿宋_GB2312" w:cs="仿宋_GB2312"/>
          <w:b/>
          <w:bCs/>
          <w:color w:val="auto"/>
          <w:sz w:val="28"/>
          <w:szCs w:val="28"/>
          <w:highlight w:val="none"/>
        </w:rPr>
        <w:t>项目技术要求</w:t>
      </w:r>
    </w:p>
    <w:p>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1.根据</w:t>
      </w:r>
      <w:r>
        <w:rPr>
          <w:rFonts w:hint="eastAsia" w:ascii="仿宋_GB2312" w:hAnsi="仿宋_GB2312" w:eastAsia="仿宋_GB2312" w:cs="仿宋_GB2312"/>
          <w:color w:val="auto"/>
          <w:sz w:val="28"/>
          <w:szCs w:val="28"/>
          <w:highlight w:val="none"/>
          <w:lang w:eastAsia="zh-CN"/>
        </w:rPr>
        <w:t>《室外排水设计标准》、《城乡排水工程项目规范》、《城市给水工程项目规范》、《安全防范工程通用规范》、《给水排水工程构筑物结构设计规范》、《混凝土结构设计规范》、《钢结构设计规范》、《砌体结构设计规范》、《建筑结构可靠度设计统一标准》、《建筑地基基础设计规范》、《基坑工程设计规程》、《建筑桩基技术规范》、《给水排水管道工程施工及验收规范》、《广东省西江广州引水工程管理办法》、《环城北净水厂工程可行性研究报告》等相关资料以及其他法律法规的规定、项目的勘察设计资料，对环城北净水厂建设涉及西江引水管道开展安全性评估。</w:t>
      </w:r>
    </w:p>
    <w:p>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对涉西江引水管道工程的设计方案、专项保护方案以及应急保障方案开展法律、法规、规章、标准、规范符合性评价。</w:t>
      </w:r>
    </w:p>
    <w:p>
      <w:pPr>
        <w:spacing w:line="360" w:lineRule="auto"/>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zh-CN"/>
        </w:rPr>
        <w:t>在服务周期内，能够积极主动的配合、指导建设单位，解决可能出现的其他问题 。</w:t>
      </w:r>
    </w:p>
    <w:p>
      <w:pPr>
        <w:spacing w:line="360" w:lineRule="auto"/>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四</w:t>
      </w:r>
      <w:r>
        <w:rPr>
          <w:rFonts w:hint="eastAsia" w:ascii="仿宋_GB2312" w:hAnsi="仿宋_GB2312" w:eastAsia="仿宋_GB2312" w:cs="仿宋_GB2312"/>
          <w:b/>
          <w:bCs/>
          <w:color w:val="auto"/>
          <w:sz w:val="28"/>
          <w:szCs w:val="28"/>
          <w:highlight w:val="none"/>
        </w:rPr>
        <w:t>、项目商务要求</w:t>
      </w:r>
    </w:p>
    <w:p>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lang w:eastAsia="zh-CN"/>
        </w:rPr>
        <w:t>自合同签订之日起至通过西江引水管道相关行政主管部门和管理单位的评审和审批。</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2.质量要求：通过相关行政主管部门</w:t>
      </w:r>
      <w:r>
        <w:rPr>
          <w:rFonts w:hint="eastAsia" w:ascii="仿宋_GB2312" w:hAnsi="仿宋_GB2312" w:eastAsia="仿宋_GB2312" w:cs="仿宋_GB2312"/>
          <w:color w:val="auto"/>
          <w:sz w:val="28"/>
          <w:szCs w:val="28"/>
          <w:highlight w:val="none"/>
          <w:lang w:eastAsia="zh-CN"/>
        </w:rPr>
        <w:t>和管理</w:t>
      </w:r>
      <w:r>
        <w:rPr>
          <w:rFonts w:hint="eastAsia" w:ascii="仿宋_GB2312" w:hAnsi="仿宋_GB2312" w:eastAsia="仿宋_GB2312" w:cs="仿宋_GB2312"/>
          <w:color w:val="auto"/>
          <w:sz w:val="28"/>
          <w:szCs w:val="28"/>
          <w:highlight w:val="none"/>
        </w:rPr>
        <w:t>单位的评审和审批。</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3.付款方式：见合同书格式。</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4.承包方式：总价包干。</w:t>
      </w:r>
    </w:p>
    <w:p>
      <w:pPr>
        <w:spacing w:line="360" w:lineRule="auto"/>
        <w:ind w:firstLine="560" w:firstLineChars="200"/>
        <w:rPr>
          <w:rFonts w:hint="eastAsia" w:ascii="仿宋_GB2312" w:eastAsia="仿宋_GB2312"/>
          <w:color w:val="auto"/>
          <w:sz w:val="28"/>
          <w:szCs w:val="28"/>
          <w:highlight w:val="none"/>
          <w:u w:val="none"/>
        </w:rPr>
      </w:pPr>
      <w:r>
        <w:rPr>
          <w:rFonts w:hint="eastAsia" w:ascii="仿宋_GB2312" w:hAnsi="仿宋_GB2312" w:eastAsia="仿宋_GB2312" w:cs="仿宋_GB2312"/>
          <w:color w:val="auto"/>
          <w:sz w:val="28"/>
          <w:szCs w:val="28"/>
          <w:highlight w:val="none"/>
        </w:rPr>
        <w:t>合同采用包干价，包括完成本合同项下的所有工作内容所需要的直接和间接的一切费用，不因人工、材料、设备的变化而作调整。具体</w:t>
      </w:r>
      <w:r>
        <w:rPr>
          <w:rFonts w:hint="eastAsia" w:ascii="仿宋_GB2312" w:hAnsi="仿宋_GB2312" w:eastAsia="仿宋_GB2312" w:cs="仿宋_GB2312"/>
          <w:color w:val="auto"/>
          <w:sz w:val="28"/>
          <w:szCs w:val="28"/>
          <w:highlight w:val="none"/>
          <w:lang w:val="en-US" w:eastAsia="zh-CN"/>
        </w:rPr>
        <w:t>工作包括</w:t>
      </w:r>
      <w:r>
        <w:rPr>
          <w:rFonts w:hint="eastAsia" w:ascii="仿宋_GB2312" w:eastAsia="仿宋_GB2312"/>
          <w:color w:val="auto"/>
          <w:sz w:val="28"/>
          <w:szCs w:val="28"/>
          <w:highlight w:val="none"/>
          <w:u w:val="none"/>
          <w:lang w:val="en-US" w:eastAsia="zh-CN"/>
        </w:rPr>
        <w:t>收集类似案例、调查分析、系统开展计算分析（含三维模拟分析）、提供场地工程地质分析、编制安全评估报告、组织专家评审、提供技术咨询、提供优化建议、协助相关行政和技术报审报批。</w:t>
      </w:r>
      <w:r>
        <w:rPr>
          <w:rFonts w:hint="eastAsia" w:ascii="仿宋_GB2312" w:eastAsia="仿宋_GB2312"/>
          <w:color w:val="auto"/>
          <w:sz w:val="28"/>
          <w:szCs w:val="28"/>
          <w:highlight w:val="none"/>
          <w:u w:val="none"/>
        </w:rPr>
        <w:t xml:space="preserve"> </w:t>
      </w:r>
    </w:p>
    <w:p>
      <w:pPr>
        <w:ind w:firstLine="420" w:firstLineChars="200"/>
        <w:rPr>
          <w:rFonts w:hint="default" w:eastAsia="仿宋"/>
          <w:color w:val="auto"/>
          <w:highlight w:val="none"/>
          <w:lang w:val="en-US" w:eastAsia="zh-CN"/>
        </w:rPr>
      </w:pPr>
    </w:p>
    <w:p>
      <w:pPr>
        <w:pStyle w:val="23"/>
        <w:rPr>
          <w:rFonts w:hint="eastAsia" w:ascii="仿宋_GB2312" w:eastAsia="仿宋_GB2312"/>
          <w:color w:val="auto"/>
          <w:sz w:val="28"/>
          <w:szCs w:val="28"/>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3"/>
        <w:rPr>
          <w:color w:val="auto"/>
          <w:highlight w:val="none"/>
        </w:rPr>
      </w:pPr>
      <w:bookmarkStart w:id="61" w:name="_Toc23353"/>
      <w:bookmarkStart w:id="62" w:name="_Toc23330"/>
      <w:bookmarkStart w:id="63" w:name="_Toc15570"/>
      <w:bookmarkStart w:id="64" w:name="_Toc537"/>
      <w:bookmarkStart w:id="65" w:name="_Toc25925"/>
      <w:bookmarkStart w:id="66" w:name="_Toc12135"/>
      <w:bookmarkStart w:id="67" w:name="_Toc29835"/>
      <w:bookmarkStart w:id="68" w:name="_Toc18538"/>
      <w:bookmarkStart w:id="69" w:name="_Toc1284"/>
      <w:bookmarkStart w:id="70" w:name="_Toc4680"/>
      <w:bookmarkStart w:id="71" w:name="_Toc149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2312670</wp:posOffset>
                </wp:positionH>
                <wp:positionV relativeFrom="paragraph">
                  <wp:posOffset>707390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1pt;margin-top:55.7pt;height:0pt;width:75.5pt;z-index:251665408;mso-width-relative:page;mso-height-relative:page;" filled="f" stroked="t" coordsize="21600,21600" o:gfxdata="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AnVW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2312035</wp:posOffset>
                </wp:positionH>
                <wp:positionV relativeFrom="paragraph">
                  <wp:posOffset>285750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2.05pt;margin-top:22.5pt;height:0pt;width:75.5pt;z-index:251664384;mso-width-relative:page;mso-height-relative:page;" filled="f" stroked="t" coordsize="21600,21600" o:gfxdata="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vQIw9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9"/>
        <w:rPr>
          <w:color w:val="auto"/>
          <w:highlight w:val="none"/>
        </w:rPr>
      </w:pPr>
    </w:p>
    <w:p>
      <w:pPr>
        <w:pStyle w:val="3"/>
        <w:rPr>
          <w:color w:val="auto"/>
          <w:highlight w:val="none"/>
        </w:rPr>
      </w:pPr>
      <w:bookmarkStart w:id="72" w:name="_Toc12968"/>
      <w:bookmarkStart w:id="73" w:name="_Toc1375"/>
      <w:bookmarkStart w:id="74" w:name="_Toc19088"/>
      <w:bookmarkStart w:id="75" w:name="_Toc13309"/>
      <w:bookmarkStart w:id="76" w:name="_Toc19686"/>
      <w:bookmarkStart w:id="77" w:name="_Toc12721"/>
      <w:bookmarkStart w:id="78" w:name="_Toc22797"/>
      <w:bookmarkStart w:id="79" w:name="_Toc87616386"/>
      <w:bookmarkStart w:id="80" w:name="_Toc8183"/>
      <w:bookmarkStart w:id="81" w:name="_Toc12980"/>
      <w:bookmarkStart w:id="82" w:name="_Toc323"/>
      <w:bookmarkStart w:id="83" w:name="_Toc22501"/>
      <w:bookmarkStart w:id="84" w:name="_Toc88209949"/>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sectPr>
          <w:footerReference r:id="rId6" w:type="first"/>
          <w:footerReference r:id="rId5" w:type="default"/>
          <w:pgSz w:w="11906" w:h="16838"/>
          <w:pgMar w:top="2098" w:right="1474" w:bottom="1985" w:left="1588" w:header="851" w:footer="992" w:gutter="0"/>
          <w:pgNumType w:fmt="decimal" w:start="1"/>
          <w:cols w:space="425" w:num="1"/>
          <w:docGrid w:type="lines" w:linePitch="312" w:charSpace="0"/>
        </w:sectPr>
      </w:pP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第四部分 合同书格式</w:t>
      </w:r>
    </w:p>
    <w:p>
      <w:pPr>
        <w:jc w:val="center"/>
        <w:rPr>
          <w:rFonts w:ascii="宋体" w:hAnsi="宋体" w:cs="宋体"/>
          <w:color w:val="auto"/>
          <w:sz w:val="32"/>
          <w:szCs w:val="32"/>
          <w:highlight w:val="none"/>
        </w:rPr>
      </w:pPr>
      <w:r>
        <w:rPr>
          <w:rFonts w:hint="eastAsia" w:ascii="宋体" w:hAnsi="宋体" w:cs="宋体"/>
          <w:color w:val="auto"/>
          <w:sz w:val="32"/>
          <w:szCs w:val="32"/>
          <w:highlight w:val="none"/>
        </w:rPr>
        <w:t>合同文件</w:t>
      </w:r>
    </w:p>
    <w:p>
      <w:pPr>
        <w:rPr>
          <w:rFonts w:ascii="宋体" w:hAnsi="宋体" w:cs="宋体"/>
          <w:color w:val="auto"/>
          <w:highlight w:val="none"/>
        </w:rPr>
      </w:pPr>
    </w:p>
    <w:p>
      <w:pPr>
        <w:ind w:firstLine="600" w:firstLineChars="250"/>
        <w:rPr>
          <w:rFonts w:ascii="宋体" w:hAnsi="宋体" w:cs="宋体"/>
          <w:color w:val="auto"/>
          <w:sz w:val="24"/>
          <w:highlight w:val="none"/>
          <w:u w:val="single"/>
        </w:rPr>
      </w:pPr>
      <w:r>
        <w:rPr>
          <w:rFonts w:hint="eastAsia" w:ascii="宋体" w:hAnsi="宋体" w:cs="宋体"/>
          <w:color w:val="auto"/>
          <w:sz w:val="24"/>
          <w:highlight w:val="none"/>
        </w:rPr>
        <w:t>甲方（发包人） ：</w:t>
      </w:r>
      <w:r>
        <w:rPr>
          <w:rFonts w:hint="eastAsia" w:ascii="宋体" w:hAnsi="宋体" w:cs="宋体"/>
          <w:color w:val="auto"/>
          <w:sz w:val="24"/>
          <w:highlight w:val="none"/>
          <w:u w:val="single"/>
        </w:rPr>
        <w:t xml:space="preserve"> 广州市净水有限公司 </w:t>
      </w:r>
    </w:p>
    <w:p>
      <w:pPr>
        <w:ind w:firstLine="600" w:firstLineChars="250"/>
        <w:rPr>
          <w:rFonts w:ascii="宋体" w:hAnsi="宋体" w:cs="宋体"/>
          <w:color w:val="auto"/>
          <w:sz w:val="24"/>
          <w:highlight w:val="none"/>
        </w:rPr>
      </w:pPr>
    </w:p>
    <w:p>
      <w:pPr>
        <w:ind w:firstLine="600" w:firstLineChars="250"/>
        <w:rPr>
          <w:rFonts w:ascii="宋体" w:hAnsi="宋体" w:cs="宋体"/>
          <w:color w:val="auto"/>
          <w:sz w:val="24"/>
          <w:highlight w:val="none"/>
          <w:u w:val="single"/>
        </w:rPr>
      </w:pPr>
      <w:r>
        <w:rPr>
          <w:rFonts w:hint="eastAsia" w:ascii="宋体" w:hAnsi="宋体" w:cs="宋体"/>
          <w:color w:val="auto"/>
          <w:sz w:val="24"/>
          <w:highlight w:val="none"/>
        </w:rPr>
        <w:t>乙方（承包人） ：</w:t>
      </w:r>
      <w:r>
        <w:rPr>
          <w:rFonts w:hint="eastAsia" w:ascii="宋体" w:hAnsi="宋体" w:cs="宋体"/>
          <w:color w:val="auto"/>
          <w:sz w:val="24"/>
          <w:highlight w:val="none"/>
          <w:u w:val="single"/>
        </w:rPr>
        <w:t xml:space="preserve">                      </w:t>
      </w:r>
    </w:p>
    <w:p>
      <w:pPr>
        <w:ind w:firstLine="600" w:firstLineChars="250"/>
        <w:rPr>
          <w:rFonts w:ascii="宋体" w:hAnsi="宋体" w:cs="宋体"/>
          <w:color w:val="auto"/>
          <w:sz w:val="24"/>
          <w:highlight w:val="none"/>
          <w:u w:val="single"/>
        </w:rPr>
      </w:pPr>
    </w:p>
    <w:p>
      <w:pPr>
        <w:pStyle w:val="1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甲方就</w:t>
      </w:r>
      <w:r>
        <w:rPr>
          <w:rFonts w:hint="eastAsia" w:ascii="宋体" w:hAnsi="宋体" w:cs="宋体" w:eastAsiaTheme="minorEastAsia"/>
          <w:color w:val="auto"/>
          <w:sz w:val="24"/>
          <w:szCs w:val="24"/>
          <w:highlight w:val="none"/>
          <w:u w:val="single"/>
          <w:lang w:val="en-US" w:eastAsia="zh-CN"/>
        </w:rPr>
        <w:t>广州市净水有限公司</w:t>
      </w:r>
      <w:r>
        <w:rPr>
          <w:rFonts w:hint="eastAsia" w:hAnsi="宋体" w:cs="宋体"/>
          <w:color w:val="auto"/>
          <w:sz w:val="24"/>
          <w:szCs w:val="24"/>
          <w:highlight w:val="none"/>
          <w:u w:val="single"/>
          <w:lang w:val="en-US" w:eastAsia="zh-CN"/>
        </w:rPr>
        <w:t>环城北净水厂</w:t>
      </w:r>
      <w:r>
        <w:rPr>
          <w:rFonts w:hint="eastAsia" w:hAnsi="宋体" w:cs="宋体"/>
          <w:color w:val="auto"/>
          <w:sz w:val="24"/>
          <w:szCs w:val="24"/>
          <w:highlight w:val="none"/>
          <w:u w:val="single"/>
          <w:lang w:eastAsia="zh-CN"/>
        </w:rPr>
        <w:t>建设涉及西江引水管道安全评估</w:t>
      </w:r>
      <w:r>
        <w:rPr>
          <w:rFonts w:hint="eastAsia" w:hAnsi="宋体" w:cs="宋体"/>
          <w:color w:val="auto"/>
          <w:sz w:val="24"/>
          <w:szCs w:val="24"/>
          <w:highlight w:val="none"/>
        </w:rPr>
        <w:t>委托乙方提供相应工作成果。经双方协商一致，</w:t>
      </w:r>
      <w:r>
        <w:rPr>
          <w:rFonts w:hint="eastAsia" w:hAnsi="宋体" w:cs="宋体"/>
          <w:color w:val="auto"/>
          <w:sz w:val="24"/>
          <w:szCs w:val="24"/>
          <w:highlight w:val="none"/>
          <w:lang w:eastAsia="zh-CN"/>
        </w:rPr>
        <w:t>在真实、充分地表达各自意愿的基础上，依据《中华人民共和国民法典》，</w:t>
      </w:r>
      <w:r>
        <w:rPr>
          <w:rFonts w:hint="eastAsia" w:hAnsi="宋体" w:cs="宋体"/>
          <w:color w:val="auto"/>
          <w:sz w:val="24"/>
          <w:szCs w:val="24"/>
          <w:highlight w:val="none"/>
        </w:rPr>
        <w:t>签订本合同。</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 xml:space="preserve">第一条  签订依据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w:t>
      </w:r>
      <w:r>
        <w:rPr>
          <w:rFonts w:hint="eastAsia" w:ascii="宋体" w:hAnsi="宋体" w:cs="宋体"/>
          <w:color w:val="auto"/>
          <w:sz w:val="24"/>
          <w:highlight w:val="none"/>
          <w:lang w:eastAsia="zh-CN"/>
        </w:rPr>
        <w:t>《中华人民共和国民法典》、</w:t>
      </w:r>
      <w:r>
        <w:rPr>
          <w:rFonts w:hint="eastAsia" w:ascii="宋体" w:hAnsi="宋体" w:cs="宋体"/>
          <w:color w:val="auto"/>
          <w:sz w:val="24"/>
          <w:highlight w:val="none"/>
        </w:rPr>
        <w:t>《中华人民共和国合同法》</w:t>
      </w:r>
    </w:p>
    <w:p>
      <w:pPr>
        <w:spacing w:line="360" w:lineRule="auto"/>
        <w:ind w:firstLine="480" w:firstLineChars="2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1.2</w:t>
      </w:r>
      <w:r>
        <w:rPr>
          <w:rFonts w:hint="eastAsia" w:ascii="宋体" w:hAnsi="宋体" w:cs="宋体"/>
          <w:color w:val="auto"/>
          <w:sz w:val="24"/>
          <w:highlight w:val="none"/>
          <w:lang w:eastAsia="zh-CN"/>
        </w:rPr>
        <w:t>国家及地方有关工程咨询或安全评估法律法规和规章。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1.3建设工程批准文件等。</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第二条  编制依据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szCs w:val="24"/>
          <w:highlight w:val="none"/>
        </w:rPr>
        <w:t>甲方给乙方的发包通知书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2.2甲方提交的基础资料</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国家、自然资源部、住建部、生态环境部、水利部已经颁布并正在实施的有关水务行业技术标准、规范、规定、办法、定额</w:t>
      </w:r>
    </w:p>
    <w:p>
      <w:pPr>
        <w:spacing w:line="360" w:lineRule="auto"/>
        <w:ind w:firstLine="480" w:firstLineChars="2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广东省发改委、自然资源厅、生态环境厅、住建厅、水利厅及沿线各市等部门颁布的有关规定、管理办法和执行办法</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广州市发改委、水务局、住建局、规自局、生态环境局已经颁布并正在实施的有关水务行业技术标准、规范、规定、办法、定额</w:t>
      </w:r>
    </w:p>
    <w:p>
      <w:pPr>
        <w:spacing w:line="360" w:lineRule="auto"/>
        <w:ind w:firstLine="480" w:firstLineChars="2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西江广州引水工程管理单位或集团有关规定和要求</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第三条  合同文件的优先次序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构成本合同的文件可视为是能互相说明的，如果合同文件存在歧义或不一致，则根据如下优先次序来判断其效力：</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 在本合同实施过程双方签署的补充与修正文件；</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3.2 本合同书及其附件</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3.3 中标通知书/发包通知书/成交通知书/委托函；</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 招标文件/询价文件；</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3.5 投标文件/响应文件；</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3.6 标准、规范及有关技术性文件；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3.7 工程量清单报价单或预算书；</w:t>
      </w:r>
    </w:p>
    <w:p>
      <w:pPr>
        <w:tabs>
          <w:tab w:val="left" w:pos="360"/>
        </w:tabs>
        <w:overflowPunct w:val="0"/>
        <w:spacing w:line="360" w:lineRule="auto"/>
        <w:rPr>
          <w:rFonts w:hint="eastAsia" w:ascii="宋体" w:hAnsi="宋体" w:cs="宋体" w:eastAsiaTheme="minorEastAsia"/>
          <w:b/>
          <w:strike w:val="0"/>
          <w:dstrike w:val="0"/>
          <w:color w:val="auto"/>
          <w:sz w:val="28"/>
          <w:szCs w:val="28"/>
          <w:highlight w:val="none"/>
          <w:lang w:eastAsia="zh-CN"/>
        </w:rPr>
      </w:pPr>
      <w:r>
        <w:rPr>
          <w:rFonts w:hint="eastAsia" w:ascii="宋体" w:hAnsi="宋体" w:cs="宋体"/>
          <w:b/>
          <w:strike w:val="0"/>
          <w:dstrike w:val="0"/>
          <w:color w:val="auto"/>
          <w:sz w:val="28"/>
          <w:szCs w:val="28"/>
          <w:highlight w:val="none"/>
        </w:rPr>
        <w:t xml:space="preserve">第四条  </w:t>
      </w:r>
      <w:r>
        <w:rPr>
          <w:rFonts w:hint="eastAsia" w:ascii="宋体" w:hAnsi="宋体" w:cs="宋体"/>
          <w:b/>
          <w:strike w:val="0"/>
          <w:dstrike w:val="0"/>
          <w:color w:val="auto"/>
          <w:sz w:val="28"/>
          <w:szCs w:val="28"/>
          <w:highlight w:val="none"/>
          <w:lang w:eastAsia="zh-CN"/>
        </w:rPr>
        <w:t>服务内容</w:t>
      </w:r>
    </w:p>
    <w:p>
      <w:pPr>
        <w:spacing w:line="360" w:lineRule="auto"/>
        <w:ind w:firstLine="480" w:firstLineChars="200"/>
        <w:rPr>
          <w:rFonts w:hint="eastAsia" w:ascii="宋体" w:hAnsi="宋体" w:cs="宋体" w:eastAsiaTheme="minorEastAsia"/>
          <w:strike w:val="0"/>
          <w:dstrike w:val="0"/>
          <w:color w:val="auto"/>
          <w:sz w:val="24"/>
          <w:szCs w:val="21"/>
          <w:highlight w:val="none"/>
          <w:lang w:eastAsia="zh-CN"/>
        </w:rPr>
      </w:pPr>
      <w:r>
        <w:rPr>
          <w:rFonts w:hint="eastAsia" w:ascii="宋体" w:hAnsi="宋体" w:cs="宋体"/>
          <w:strike w:val="0"/>
          <w:dstrike w:val="0"/>
          <w:color w:val="auto"/>
          <w:sz w:val="24"/>
          <w:szCs w:val="24"/>
          <w:highlight w:val="none"/>
          <w:lang w:eastAsia="zh-CN"/>
        </w:rPr>
        <w:t>工程</w:t>
      </w:r>
      <w:r>
        <w:rPr>
          <w:rFonts w:hint="eastAsia" w:ascii="宋体" w:hAnsi="宋体" w:cs="宋体"/>
          <w:strike w:val="0"/>
          <w:dstrike w:val="0"/>
          <w:color w:val="auto"/>
          <w:sz w:val="24"/>
          <w:szCs w:val="24"/>
          <w:highlight w:val="none"/>
        </w:rPr>
        <w:t>名称：</w:t>
      </w:r>
      <w:r>
        <w:rPr>
          <w:rFonts w:hint="eastAsia" w:ascii="宋体" w:hAnsi="宋体" w:cs="宋体"/>
          <w:strike w:val="0"/>
          <w:dstrike w:val="0"/>
          <w:color w:val="auto"/>
          <w:sz w:val="24"/>
          <w:szCs w:val="21"/>
          <w:highlight w:val="none"/>
          <w:u w:val="single"/>
          <w:lang w:eastAsia="zh-CN"/>
        </w:rPr>
        <w:t>环城北</w:t>
      </w:r>
      <w:r>
        <w:rPr>
          <w:rFonts w:hint="eastAsia" w:ascii="宋体" w:hAnsi="宋体" w:cs="宋体"/>
          <w:strike w:val="0"/>
          <w:dstrike w:val="0"/>
          <w:color w:val="auto"/>
          <w:sz w:val="24"/>
          <w:szCs w:val="21"/>
          <w:highlight w:val="none"/>
          <w:u w:val="single"/>
        </w:rPr>
        <w:t>净水厂</w:t>
      </w:r>
    </w:p>
    <w:p>
      <w:pPr>
        <w:spacing w:line="360" w:lineRule="auto"/>
        <w:ind w:firstLine="480" w:firstLineChars="200"/>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建设规模:</w:t>
      </w:r>
      <w:r>
        <w:rPr>
          <w:rFonts w:hint="eastAsia" w:ascii="宋体" w:hAnsi="宋体" w:cs="宋体"/>
          <w:strike w:val="0"/>
          <w:dstrike w:val="0"/>
          <w:color w:val="auto"/>
          <w:sz w:val="24"/>
          <w:szCs w:val="24"/>
          <w:highlight w:val="none"/>
          <w:lang w:val="en-US" w:eastAsia="zh-CN"/>
        </w:rPr>
        <w:t xml:space="preserve"> </w:t>
      </w:r>
      <w:r>
        <w:rPr>
          <w:rFonts w:hint="eastAsia" w:ascii="宋体" w:hAnsi="宋体" w:cs="宋体"/>
          <w:strike w:val="0"/>
          <w:dstrike w:val="0"/>
          <w:color w:val="auto"/>
          <w:sz w:val="24"/>
          <w:szCs w:val="24"/>
          <w:highlight w:val="none"/>
        </w:rPr>
        <w:t>新建</w:t>
      </w:r>
      <w:r>
        <w:rPr>
          <w:rFonts w:hint="eastAsia" w:ascii="宋体" w:hAnsi="宋体" w:cs="宋体"/>
          <w:strike w:val="0"/>
          <w:dstrike w:val="0"/>
          <w:color w:val="auto"/>
          <w:sz w:val="24"/>
          <w:szCs w:val="24"/>
          <w:highlight w:val="none"/>
          <w:u w:val="single"/>
          <w:lang w:val="en-US" w:eastAsia="zh-CN"/>
        </w:rPr>
        <w:t>10</w:t>
      </w:r>
      <w:r>
        <w:rPr>
          <w:rFonts w:hint="eastAsia" w:ascii="宋体" w:hAnsi="宋体" w:cs="宋体"/>
          <w:strike w:val="0"/>
          <w:dstrike w:val="0"/>
          <w:color w:val="auto"/>
          <w:sz w:val="24"/>
          <w:szCs w:val="24"/>
          <w:highlight w:val="none"/>
        </w:rPr>
        <w:t>万吨/日污水处理厂</w:t>
      </w:r>
    </w:p>
    <w:p>
      <w:pPr>
        <w:spacing w:line="360" w:lineRule="auto"/>
        <w:ind w:firstLine="480" w:firstLineChars="200"/>
        <w:rPr>
          <w:rFonts w:hint="default" w:ascii="宋体" w:hAnsi="宋体" w:cs="宋体" w:eastAsiaTheme="minorEastAsia"/>
          <w:strike w:val="0"/>
          <w:dstrike w:val="0"/>
          <w:color w:val="auto"/>
          <w:kern w:val="2"/>
          <w:sz w:val="24"/>
          <w:szCs w:val="24"/>
          <w:highlight w:val="none"/>
          <w:lang w:val="en-US" w:eastAsia="zh-CN" w:bidi="ar-SA"/>
        </w:rPr>
      </w:pPr>
      <w:r>
        <w:rPr>
          <w:rFonts w:hint="eastAsia" w:ascii="宋体" w:hAnsi="宋体" w:cs="宋体"/>
          <w:strike w:val="0"/>
          <w:dstrike w:val="0"/>
          <w:color w:val="auto"/>
          <w:sz w:val="24"/>
          <w:szCs w:val="24"/>
          <w:highlight w:val="none"/>
        </w:rPr>
        <w:t>投资估算：</w:t>
      </w:r>
      <w:r>
        <w:rPr>
          <w:rFonts w:hint="eastAsia" w:ascii="宋体" w:hAnsi="宋体" w:cs="宋体"/>
          <w:strike w:val="0"/>
          <w:dstrike w:val="0"/>
          <w:color w:val="auto"/>
          <w:sz w:val="24"/>
          <w:szCs w:val="24"/>
          <w:highlight w:val="none"/>
          <w:u w:val="single"/>
          <w:lang w:val="en-US" w:eastAsia="zh-CN"/>
        </w:rPr>
        <w:t>13</w:t>
      </w:r>
      <w:r>
        <w:rPr>
          <w:rFonts w:hint="eastAsia" w:ascii="宋体" w:hAnsi="宋体" w:cs="宋体"/>
          <w:strike w:val="0"/>
          <w:dstrike w:val="0"/>
          <w:color w:val="auto"/>
          <w:sz w:val="24"/>
          <w:szCs w:val="24"/>
          <w:highlight w:val="none"/>
          <w:u w:val="none"/>
          <w:lang w:val="en-US" w:eastAsia="zh-CN"/>
        </w:rPr>
        <w:t>亿</w:t>
      </w:r>
      <w:r>
        <w:rPr>
          <w:rFonts w:hint="eastAsia" w:ascii="宋体" w:hAnsi="宋体" w:cs="宋体"/>
          <w:strike w:val="0"/>
          <w:dstrike w:val="0"/>
          <w:color w:val="auto"/>
          <w:sz w:val="24"/>
          <w:szCs w:val="24"/>
          <w:highlight w:val="none"/>
        </w:rPr>
        <w:t>元</w:t>
      </w:r>
    </w:p>
    <w:p>
      <w:pPr>
        <w:spacing w:line="360" w:lineRule="auto"/>
        <w:ind w:firstLine="480" w:firstLineChars="200"/>
        <w:rPr>
          <w:rFonts w:hint="eastAsia" w:ascii="宋体" w:hAnsi="宋体" w:cs="宋体"/>
          <w:strike w:val="0"/>
          <w:dstrike w:val="0"/>
          <w:color w:val="auto"/>
          <w:sz w:val="24"/>
          <w:highlight w:val="none"/>
          <w:lang w:val="en-US" w:eastAsia="zh-CN"/>
        </w:rPr>
      </w:pPr>
      <w:r>
        <w:rPr>
          <w:rFonts w:hint="eastAsia" w:ascii="宋体" w:hAnsi="宋体" w:cs="宋体"/>
          <w:strike w:val="0"/>
          <w:dstrike w:val="0"/>
          <w:color w:val="auto"/>
          <w:sz w:val="24"/>
          <w:highlight w:val="none"/>
          <w:lang w:eastAsia="zh-CN"/>
        </w:rPr>
        <w:t>乙方</w:t>
      </w:r>
      <w:r>
        <w:rPr>
          <w:rFonts w:hint="eastAsia" w:ascii="宋体" w:hAnsi="宋体" w:cs="宋体"/>
          <w:strike w:val="0"/>
          <w:dstrike w:val="0"/>
          <w:color w:val="auto"/>
          <w:sz w:val="24"/>
          <w:highlight w:val="none"/>
        </w:rPr>
        <w:t>针对</w:t>
      </w:r>
      <w:r>
        <w:rPr>
          <w:rFonts w:hint="eastAsia" w:ascii="宋体" w:hAnsi="宋体" w:cs="宋体"/>
          <w:strike w:val="0"/>
          <w:dstrike w:val="0"/>
          <w:color w:val="auto"/>
          <w:sz w:val="24"/>
          <w:highlight w:val="none"/>
          <w:lang w:eastAsia="zh-CN"/>
        </w:rPr>
        <w:t>环城北净水厂</w:t>
      </w:r>
      <w:r>
        <w:rPr>
          <w:rFonts w:hint="eastAsia" w:ascii="宋体" w:hAnsi="宋体" w:cs="宋体"/>
          <w:strike w:val="0"/>
          <w:dstrike w:val="0"/>
          <w:color w:val="auto"/>
          <w:sz w:val="24"/>
          <w:highlight w:val="none"/>
        </w:rPr>
        <w:t>对</w:t>
      </w:r>
      <w:r>
        <w:rPr>
          <w:rFonts w:hint="eastAsia" w:ascii="宋体" w:hAnsi="宋体" w:cs="宋体"/>
          <w:strike w:val="0"/>
          <w:dstrike w:val="0"/>
          <w:color w:val="auto"/>
          <w:sz w:val="24"/>
          <w:highlight w:val="none"/>
          <w:lang w:eastAsia="zh-CN"/>
        </w:rPr>
        <w:t>西江引水管道</w:t>
      </w:r>
      <w:r>
        <w:rPr>
          <w:rFonts w:hint="eastAsia" w:ascii="宋体" w:hAnsi="宋体" w:cs="宋体"/>
          <w:strike w:val="0"/>
          <w:dstrike w:val="0"/>
          <w:color w:val="auto"/>
          <w:sz w:val="24"/>
          <w:highlight w:val="none"/>
        </w:rPr>
        <w:t>可能造成影响进行分析、预测和评估并对建设项目</w:t>
      </w:r>
      <w:r>
        <w:rPr>
          <w:rFonts w:hint="eastAsia" w:ascii="宋体" w:hAnsi="宋体" w:cs="宋体"/>
          <w:strike w:val="0"/>
          <w:dstrike w:val="0"/>
          <w:color w:val="auto"/>
          <w:sz w:val="24"/>
          <w:highlight w:val="none"/>
          <w:lang w:eastAsia="zh-CN"/>
        </w:rPr>
        <w:t>西江引水管道专项</w:t>
      </w:r>
      <w:r>
        <w:rPr>
          <w:rFonts w:hint="eastAsia" w:ascii="宋体" w:hAnsi="宋体" w:cs="宋体"/>
          <w:strike w:val="0"/>
          <w:dstrike w:val="0"/>
          <w:color w:val="auto"/>
          <w:sz w:val="24"/>
          <w:highlight w:val="none"/>
        </w:rPr>
        <w:t>保护措施</w:t>
      </w:r>
      <w:r>
        <w:rPr>
          <w:rFonts w:hint="eastAsia" w:ascii="宋体" w:hAnsi="宋体" w:cs="宋体"/>
          <w:strike w:val="0"/>
          <w:dstrike w:val="0"/>
          <w:color w:val="auto"/>
          <w:sz w:val="24"/>
          <w:highlight w:val="none"/>
          <w:lang w:eastAsia="zh-CN"/>
        </w:rPr>
        <w:t>和相关设计方案进行</w:t>
      </w:r>
      <w:r>
        <w:rPr>
          <w:rFonts w:hint="eastAsia" w:ascii="宋体" w:hAnsi="宋体" w:cs="宋体"/>
          <w:strike w:val="0"/>
          <w:dstrike w:val="0"/>
          <w:color w:val="auto"/>
          <w:sz w:val="24"/>
          <w:highlight w:val="none"/>
        </w:rPr>
        <w:t>技术、经济</w:t>
      </w:r>
      <w:r>
        <w:rPr>
          <w:rFonts w:hint="eastAsia" w:ascii="宋体" w:hAnsi="宋体" w:cs="宋体"/>
          <w:strike w:val="0"/>
          <w:dstrike w:val="0"/>
          <w:color w:val="auto"/>
          <w:sz w:val="24"/>
          <w:highlight w:val="none"/>
          <w:lang w:eastAsia="zh-CN"/>
        </w:rPr>
        <w:t>、安全、可靠</w:t>
      </w:r>
      <w:r>
        <w:rPr>
          <w:rFonts w:hint="eastAsia" w:ascii="宋体" w:hAnsi="宋体" w:cs="宋体"/>
          <w:strike w:val="0"/>
          <w:dstrike w:val="0"/>
          <w:color w:val="auto"/>
          <w:sz w:val="24"/>
          <w:highlight w:val="none"/>
        </w:rPr>
        <w:t>对比论证</w:t>
      </w:r>
      <w:r>
        <w:rPr>
          <w:rFonts w:hint="eastAsia" w:ascii="宋体" w:hAnsi="宋体" w:cs="宋体"/>
          <w:strike w:val="0"/>
          <w:dstrike w:val="0"/>
          <w:color w:val="auto"/>
          <w:sz w:val="24"/>
          <w:highlight w:val="none"/>
          <w:lang w:eastAsia="zh-CN"/>
        </w:rPr>
        <w:t>，并</w:t>
      </w:r>
      <w:r>
        <w:rPr>
          <w:rFonts w:hint="eastAsia" w:ascii="宋体" w:hAnsi="宋体" w:cs="宋体"/>
          <w:strike w:val="0"/>
          <w:dstrike w:val="0"/>
          <w:color w:val="auto"/>
          <w:sz w:val="24"/>
          <w:highlight w:val="none"/>
        </w:rPr>
        <w:t>根据相关</w:t>
      </w:r>
      <w:r>
        <w:rPr>
          <w:rFonts w:hint="eastAsia" w:ascii="宋体" w:hAnsi="宋体" w:cs="宋体"/>
          <w:strike w:val="0"/>
          <w:dstrike w:val="0"/>
          <w:color w:val="auto"/>
          <w:sz w:val="24"/>
          <w:highlight w:val="none"/>
          <w:lang w:eastAsia="zh-CN"/>
        </w:rPr>
        <w:t>安</w:t>
      </w:r>
      <w:r>
        <w:rPr>
          <w:rFonts w:hint="eastAsia" w:ascii="宋体" w:hAnsi="宋体" w:cs="宋体"/>
          <w:strike w:val="0"/>
          <w:dstrike w:val="0"/>
          <w:color w:val="auto"/>
          <w:sz w:val="24"/>
          <w:highlight w:val="none"/>
        </w:rPr>
        <w:t>评要求配套完成环城北净水厂</w:t>
      </w:r>
      <w:r>
        <w:rPr>
          <w:rFonts w:hint="eastAsia" w:ascii="宋体" w:hAnsi="宋体" w:cs="宋体"/>
          <w:strike w:val="0"/>
          <w:dstrike w:val="0"/>
          <w:color w:val="auto"/>
          <w:sz w:val="24"/>
          <w:highlight w:val="none"/>
          <w:lang w:eastAsia="zh-CN"/>
        </w:rPr>
        <w:t>涉及西江引水管道专项</w:t>
      </w:r>
      <w:r>
        <w:rPr>
          <w:rFonts w:hint="eastAsia" w:ascii="宋体" w:hAnsi="宋体" w:cs="宋体"/>
          <w:strike w:val="0"/>
          <w:dstrike w:val="0"/>
          <w:color w:val="auto"/>
          <w:sz w:val="24"/>
          <w:highlight w:val="none"/>
          <w:lang w:val="en-US" w:eastAsia="zh-CN"/>
        </w:rPr>
        <w:t>安全评估报告编制并配合建设单位取得相关行政主管部门和管理单位的批复。具体工作内容包括但不限于：</w:t>
      </w:r>
    </w:p>
    <w:p>
      <w:pPr>
        <w:pStyle w:val="36"/>
        <w:numPr>
          <w:ilvl w:val="0"/>
          <w:numId w:val="0"/>
        </w:numPr>
        <w:snapToGrid w:val="0"/>
        <w:spacing w:line="440" w:lineRule="exact"/>
        <w:ind w:firstLine="480" w:firstLineChars="200"/>
        <w:rPr>
          <w:rFonts w:hint="eastAsia" w:ascii="宋体" w:hAnsi="宋体" w:cs="宋体" w:eastAsiaTheme="minorEastAsia"/>
          <w:strike w:val="0"/>
          <w:dstrike w:val="0"/>
          <w:color w:val="auto"/>
          <w:kern w:val="2"/>
          <w:sz w:val="24"/>
          <w:szCs w:val="22"/>
          <w:highlight w:val="none"/>
          <w:lang w:val="en-US" w:eastAsia="zh-CN" w:bidi="ar-SA"/>
        </w:rPr>
      </w:pPr>
      <w:r>
        <w:rPr>
          <w:rFonts w:hint="eastAsia" w:ascii="宋体" w:hAnsi="宋体" w:cs="宋体"/>
          <w:strike w:val="0"/>
          <w:dstrike w:val="0"/>
          <w:color w:val="auto"/>
          <w:kern w:val="2"/>
          <w:sz w:val="24"/>
          <w:szCs w:val="22"/>
          <w:highlight w:val="none"/>
          <w:lang w:val="en-US" w:eastAsia="zh-CN" w:bidi="ar-SA"/>
        </w:rPr>
        <w:t>4.1</w:t>
      </w:r>
      <w:r>
        <w:rPr>
          <w:rFonts w:hint="eastAsia" w:ascii="宋体" w:hAnsi="宋体" w:cs="宋体" w:eastAsiaTheme="minorEastAsia"/>
          <w:strike w:val="0"/>
          <w:dstrike w:val="0"/>
          <w:color w:val="auto"/>
          <w:kern w:val="2"/>
          <w:sz w:val="24"/>
          <w:szCs w:val="22"/>
          <w:highlight w:val="none"/>
          <w:lang w:val="en-US" w:eastAsia="zh-CN" w:bidi="ar-SA"/>
        </w:rPr>
        <w:t>收集案例：收集类似工程建设对邻近管道结构保护的工程案例，为本项</w:t>
      </w:r>
    </w:p>
    <w:p>
      <w:pPr>
        <w:pStyle w:val="36"/>
        <w:numPr>
          <w:ilvl w:val="0"/>
          <w:numId w:val="0"/>
        </w:numPr>
        <w:snapToGrid w:val="0"/>
        <w:spacing w:line="440" w:lineRule="exact"/>
        <w:rPr>
          <w:rFonts w:hint="eastAsia" w:ascii="宋体" w:hAnsi="宋体" w:cs="宋体" w:eastAsiaTheme="minorEastAsia"/>
          <w:strike w:val="0"/>
          <w:dstrike w:val="0"/>
          <w:color w:val="auto"/>
          <w:kern w:val="2"/>
          <w:sz w:val="24"/>
          <w:szCs w:val="22"/>
          <w:highlight w:val="none"/>
          <w:lang w:val="en-US" w:eastAsia="zh-CN" w:bidi="ar-SA"/>
        </w:rPr>
      </w:pPr>
      <w:r>
        <w:rPr>
          <w:rFonts w:hint="eastAsia" w:ascii="宋体" w:hAnsi="宋体" w:cs="宋体" w:eastAsiaTheme="minorEastAsia"/>
          <w:strike w:val="0"/>
          <w:dstrike w:val="0"/>
          <w:color w:val="auto"/>
          <w:kern w:val="2"/>
          <w:sz w:val="24"/>
          <w:szCs w:val="22"/>
          <w:highlight w:val="none"/>
          <w:lang w:val="en-US" w:eastAsia="zh-CN" w:bidi="ar-SA"/>
        </w:rPr>
        <w:t>目提供技术借鉴。</w:t>
      </w:r>
    </w:p>
    <w:p>
      <w:pPr>
        <w:pStyle w:val="36"/>
        <w:numPr>
          <w:ilvl w:val="0"/>
          <w:numId w:val="0"/>
        </w:numPr>
        <w:snapToGrid w:val="0"/>
        <w:spacing w:line="440" w:lineRule="exact"/>
        <w:ind w:firstLine="480" w:firstLineChars="200"/>
        <w:rPr>
          <w:rFonts w:hint="eastAsia" w:ascii="宋体" w:hAnsi="宋体" w:cs="宋体" w:eastAsiaTheme="minorEastAsia"/>
          <w:strike w:val="0"/>
          <w:dstrike w:val="0"/>
          <w:color w:val="auto"/>
          <w:kern w:val="2"/>
          <w:sz w:val="24"/>
          <w:szCs w:val="22"/>
          <w:highlight w:val="none"/>
          <w:lang w:val="en-US" w:eastAsia="zh-CN" w:bidi="ar-SA"/>
        </w:rPr>
      </w:pPr>
      <w:r>
        <w:rPr>
          <w:rFonts w:hint="eastAsia" w:ascii="宋体" w:hAnsi="宋体" w:cs="宋体"/>
          <w:strike w:val="0"/>
          <w:dstrike w:val="0"/>
          <w:color w:val="auto"/>
          <w:kern w:val="2"/>
          <w:sz w:val="24"/>
          <w:szCs w:val="22"/>
          <w:highlight w:val="none"/>
          <w:lang w:val="en-US" w:eastAsia="zh-CN" w:bidi="ar-SA"/>
        </w:rPr>
        <w:t>4.2</w:t>
      </w:r>
      <w:r>
        <w:rPr>
          <w:rFonts w:hint="eastAsia" w:ascii="宋体" w:hAnsi="宋体" w:cs="宋体" w:eastAsiaTheme="minorEastAsia"/>
          <w:strike w:val="0"/>
          <w:dstrike w:val="0"/>
          <w:color w:val="auto"/>
          <w:kern w:val="2"/>
          <w:sz w:val="24"/>
          <w:szCs w:val="22"/>
          <w:highlight w:val="none"/>
          <w:lang w:val="en-US" w:eastAsia="zh-CN" w:bidi="ar-SA"/>
        </w:rPr>
        <w:t>调查分析：协助甲方开展西江引水管道现状调查，分析目前阶段管道结</w:t>
      </w:r>
    </w:p>
    <w:p>
      <w:pPr>
        <w:pStyle w:val="36"/>
        <w:numPr>
          <w:ilvl w:val="0"/>
          <w:numId w:val="0"/>
        </w:numPr>
        <w:snapToGrid w:val="0"/>
        <w:spacing w:line="440" w:lineRule="exact"/>
        <w:rPr>
          <w:rFonts w:hint="eastAsia" w:ascii="宋体" w:hAnsi="宋体" w:cs="宋体" w:eastAsiaTheme="minorEastAsia"/>
          <w:strike w:val="0"/>
          <w:dstrike w:val="0"/>
          <w:color w:val="auto"/>
          <w:kern w:val="2"/>
          <w:sz w:val="24"/>
          <w:szCs w:val="22"/>
          <w:highlight w:val="none"/>
          <w:lang w:val="en-US" w:eastAsia="zh-CN" w:bidi="ar-SA"/>
        </w:rPr>
      </w:pPr>
      <w:r>
        <w:rPr>
          <w:rFonts w:hint="eastAsia" w:ascii="宋体" w:hAnsi="宋体" w:cs="宋体" w:eastAsiaTheme="minorEastAsia"/>
          <w:strike w:val="0"/>
          <w:dstrike w:val="0"/>
          <w:color w:val="auto"/>
          <w:kern w:val="2"/>
          <w:sz w:val="24"/>
          <w:szCs w:val="22"/>
          <w:highlight w:val="none"/>
          <w:lang w:val="en-US" w:eastAsia="zh-CN" w:bidi="ar-SA"/>
        </w:rPr>
        <w:t>构现状</w:t>
      </w:r>
      <w:r>
        <w:rPr>
          <w:rFonts w:hint="eastAsia" w:ascii="宋体" w:hAnsi="宋体" w:cs="宋体"/>
          <w:strike w:val="0"/>
          <w:dstrike w:val="0"/>
          <w:color w:val="auto"/>
          <w:kern w:val="2"/>
          <w:sz w:val="24"/>
          <w:szCs w:val="22"/>
          <w:highlight w:val="none"/>
          <w:lang w:val="en-US" w:eastAsia="zh-CN" w:bidi="ar-SA"/>
        </w:rPr>
        <w:t>和场地工程地质。</w:t>
      </w:r>
    </w:p>
    <w:p>
      <w:pPr>
        <w:pStyle w:val="36"/>
        <w:numPr>
          <w:ilvl w:val="0"/>
          <w:numId w:val="0"/>
        </w:numPr>
        <w:snapToGrid w:val="0"/>
        <w:spacing w:line="440" w:lineRule="exact"/>
        <w:ind w:firstLine="480" w:firstLineChars="200"/>
        <w:rPr>
          <w:rFonts w:hint="eastAsia" w:ascii="宋体" w:hAnsi="宋体" w:cs="宋体" w:eastAsiaTheme="minorEastAsia"/>
          <w:strike w:val="0"/>
          <w:dstrike w:val="0"/>
          <w:color w:val="auto"/>
          <w:kern w:val="2"/>
          <w:sz w:val="24"/>
          <w:szCs w:val="22"/>
          <w:highlight w:val="none"/>
          <w:lang w:val="en-US" w:eastAsia="zh-CN" w:bidi="ar-SA"/>
        </w:rPr>
      </w:pPr>
      <w:r>
        <w:rPr>
          <w:rFonts w:hint="eastAsia" w:ascii="宋体" w:hAnsi="宋体" w:cs="宋体"/>
          <w:strike w:val="0"/>
          <w:dstrike w:val="0"/>
          <w:color w:val="auto"/>
          <w:kern w:val="2"/>
          <w:sz w:val="24"/>
          <w:szCs w:val="22"/>
          <w:highlight w:val="none"/>
          <w:lang w:val="en-US" w:eastAsia="zh-CN" w:bidi="ar-SA"/>
        </w:rPr>
        <w:t>4.3</w:t>
      </w:r>
      <w:r>
        <w:rPr>
          <w:rFonts w:hint="eastAsia" w:ascii="宋体" w:hAnsi="宋体" w:cs="宋体" w:eastAsiaTheme="minorEastAsia"/>
          <w:strike w:val="0"/>
          <w:dstrike w:val="0"/>
          <w:color w:val="auto"/>
          <w:kern w:val="2"/>
          <w:sz w:val="24"/>
          <w:szCs w:val="22"/>
          <w:highlight w:val="none"/>
          <w:lang w:val="en-US" w:eastAsia="zh-CN" w:bidi="ar-SA"/>
        </w:rPr>
        <w:t>系统开展</w:t>
      </w:r>
      <w:r>
        <w:rPr>
          <w:rFonts w:hint="eastAsia" w:ascii="宋体" w:hAnsi="宋体" w:cs="宋体"/>
          <w:strike w:val="0"/>
          <w:dstrike w:val="0"/>
          <w:color w:val="auto"/>
          <w:kern w:val="2"/>
          <w:sz w:val="24"/>
          <w:szCs w:val="22"/>
          <w:highlight w:val="none"/>
          <w:lang w:val="en-US" w:eastAsia="zh-CN" w:bidi="ar-SA"/>
        </w:rPr>
        <w:t>涉及西江引水管道相关</w:t>
      </w:r>
      <w:r>
        <w:rPr>
          <w:rFonts w:hint="eastAsia" w:ascii="宋体" w:hAnsi="宋体" w:cs="宋体" w:eastAsiaTheme="minorEastAsia"/>
          <w:strike w:val="0"/>
          <w:dstrike w:val="0"/>
          <w:color w:val="auto"/>
          <w:kern w:val="2"/>
          <w:sz w:val="24"/>
          <w:szCs w:val="22"/>
          <w:highlight w:val="none"/>
          <w:lang w:val="en-US" w:eastAsia="zh-CN" w:bidi="ar-SA"/>
        </w:rPr>
        <w:t>计算分析工作：超大基坑施工诱发管道</w:t>
      </w:r>
    </w:p>
    <w:p>
      <w:pPr>
        <w:pStyle w:val="36"/>
        <w:numPr>
          <w:ilvl w:val="0"/>
          <w:numId w:val="0"/>
        </w:numPr>
        <w:snapToGrid w:val="0"/>
        <w:spacing w:line="440" w:lineRule="exact"/>
        <w:rPr>
          <w:rFonts w:hint="eastAsia" w:ascii="宋体" w:hAnsi="宋体" w:cs="宋体" w:eastAsiaTheme="minorEastAsia"/>
          <w:strike w:val="0"/>
          <w:dstrike w:val="0"/>
          <w:color w:val="auto"/>
          <w:kern w:val="2"/>
          <w:sz w:val="24"/>
          <w:szCs w:val="22"/>
          <w:highlight w:val="none"/>
          <w:lang w:val="en-US" w:eastAsia="zh-CN" w:bidi="ar-SA"/>
        </w:rPr>
      </w:pPr>
      <w:r>
        <w:rPr>
          <w:rFonts w:hint="eastAsia" w:ascii="宋体" w:hAnsi="宋体" w:cs="宋体" w:eastAsiaTheme="minorEastAsia"/>
          <w:strike w:val="0"/>
          <w:dstrike w:val="0"/>
          <w:color w:val="auto"/>
          <w:kern w:val="2"/>
          <w:sz w:val="24"/>
          <w:szCs w:val="22"/>
          <w:highlight w:val="none"/>
          <w:lang w:val="en-US" w:eastAsia="zh-CN" w:bidi="ar-SA"/>
        </w:rPr>
        <w:t>结构变形影响的三维模拟计算分析；超大基坑施工诱发管道结构受力影响的三维模拟计算分析；水位下降诱发管道结构沉降的计算分析；保护措施对管道结构影响的三维模拟计算分析。</w:t>
      </w:r>
    </w:p>
    <w:p>
      <w:pPr>
        <w:pStyle w:val="36"/>
        <w:numPr>
          <w:ilvl w:val="0"/>
          <w:numId w:val="0"/>
        </w:numPr>
        <w:snapToGrid w:val="0"/>
        <w:spacing w:line="440" w:lineRule="exact"/>
        <w:ind w:firstLine="480" w:firstLineChars="200"/>
        <w:rPr>
          <w:rFonts w:hint="eastAsia" w:ascii="宋体" w:hAnsi="宋体" w:cs="宋体" w:eastAsiaTheme="minorEastAsia"/>
          <w:strike w:val="0"/>
          <w:dstrike w:val="0"/>
          <w:color w:val="auto"/>
          <w:kern w:val="2"/>
          <w:sz w:val="24"/>
          <w:szCs w:val="22"/>
          <w:highlight w:val="none"/>
          <w:lang w:val="en-US" w:eastAsia="zh-CN" w:bidi="ar-SA"/>
        </w:rPr>
      </w:pPr>
      <w:r>
        <w:rPr>
          <w:rFonts w:hint="eastAsia" w:ascii="宋体" w:hAnsi="宋体" w:cs="宋体"/>
          <w:strike w:val="0"/>
          <w:dstrike w:val="0"/>
          <w:color w:val="auto"/>
          <w:kern w:val="2"/>
          <w:sz w:val="24"/>
          <w:szCs w:val="22"/>
          <w:highlight w:val="none"/>
          <w:lang w:val="en-US" w:eastAsia="zh-CN" w:bidi="ar-SA"/>
        </w:rPr>
        <w:t>4.4</w:t>
      </w:r>
      <w:r>
        <w:rPr>
          <w:rFonts w:hint="eastAsia" w:ascii="宋体" w:hAnsi="宋体" w:cs="宋体" w:eastAsiaTheme="minorEastAsia"/>
          <w:strike w:val="0"/>
          <w:dstrike w:val="0"/>
          <w:color w:val="auto"/>
          <w:kern w:val="2"/>
          <w:sz w:val="24"/>
          <w:szCs w:val="22"/>
          <w:highlight w:val="none"/>
          <w:lang w:val="en-US" w:eastAsia="zh-CN" w:bidi="ar-SA"/>
        </w:rPr>
        <w:t>提供优化建议：结合西江引水工程现状运营情况，为本项目基坑的设计</w:t>
      </w:r>
    </w:p>
    <w:p>
      <w:pPr>
        <w:pStyle w:val="36"/>
        <w:numPr>
          <w:ilvl w:val="0"/>
          <w:numId w:val="0"/>
        </w:numPr>
        <w:snapToGrid w:val="0"/>
        <w:spacing w:line="440" w:lineRule="exact"/>
        <w:rPr>
          <w:rFonts w:hint="eastAsia" w:ascii="宋体" w:hAnsi="宋体" w:cs="宋体" w:eastAsiaTheme="minorEastAsia"/>
          <w:strike w:val="0"/>
          <w:dstrike w:val="0"/>
          <w:color w:val="auto"/>
          <w:kern w:val="2"/>
          <w:sz w:val="24"/>
          <w:szCs w:val="22"/>
          <w:highlight w:val="none"/>
          <w:lang w:val="en-US" w:eastAsia="zh-CN" w:bidi="ar-SA"/>
        </w:rPr>
      </w:pPr>
      <w:r>
        <w:rPr>
          <w:rFonts w:hint="eastAsia" w:ascii="宋体" w:hAnsi="宋体" w:cs="宋体"/>
          <w:strike w:val="0"/>
          <w:dstrike w:val="0"/>
          <w:color w:val="auto"/>
          <w:kern w:val="2"/>
          <w:sz w:val="24"/>
          <w:szCs w:val="22"/>
          <w:highlight w:val="none"/>
          <w:lang w:val="en-US" w:eastAsia="zh-CN" w:bidi="ar-SA"/>
        </w:rPr>
        <w:t>、涉及西江引水管道专项</w:t>
      </w:r>
      <w:r>
        <w:rPr>
          <w:rFonts w:hint="eastAsia" w:ascii="宋体" w:hAnsi="宋体" w:cs="宋体" w:eastAsiaTheme="minorEastAsia"/>
          <w:strike w:val="0"/>
          <w:dstrike w:val="0"/>
          <w:color w:val="auto"/>
          <w:kern w:val="2"/>
          <w:sz w:val="24"/>
          <w:szCs w:val="22"/>
          <w:highlight w:val="none"/>
          <w:lang w:val="en-US" w:eastAsia="zh-CN" w:bidi="ar-SA"/>
        </w:rPr>
        <w:t>保护方案</w:t>
      </w:r>
      <w:r>
        <w:rPr>
          <w:rFonts w:hint="eastAsia" w:ascii="宋体" w:hAnsi="宋体" w:cs="宋体"/>
          <w:strike w:val="0"/>
          <w:dstrike w:val="0"/>
          <w:color w:val="auto"/>
          <w:kern w:val="2"/>
          <w:sz w:val="24"/>
          <w:szCs w:val="22"/>
          <w:highlight w:val="none"/>
          <w:lang w:val="en-US" w:eastAsia="zh-CN" w:bidi="ar-SA"/>
        </w:rPr>
        <w:t>和应急保障方案</w:t>
      </w:r>
      <w:r>
        <w:rPr>
          <w:rFonts w:hint="eastAsia" w:ascii="宋体" w:hAnsi="宋体" w:cs="宋体" w:eastAsiaTheme="minorEastAsia"/>
          <w:strike w:val="0"/>
          <w:dstrike w:val="0"/>
          <w:color w:val="auto"/>
          <w:kern w:val="2"/>
          <w:sz w:val="24"/>
          <w:szCs w:val="22"/>
          <w:highlight w:val="none"/>
          <w:lang w:val="en-US" w:eastAsia="zh-CN" w:bidi="ar-SA"/>
        </w:rPr>
        <w:t>提供优化建议等。</w:t>
      </w:r>
    </w:p>
    <w:p>
      <w:pPr>
        <w:pStyle w:val="36"/>
        <w:numPr>
          <w:ilvl w:val="0"/>
          <w:numId w:val="0"/>
        </w:numPr>
        <w:snapToGrid w:val="0"/>
        <w:spacing w:line="440" w:lineRule="exact"/>
        <w:ind w:firstLine="480" w:firstLineChars="200"/>
        <w:rPr>
          <w:rFonts w:hint="eastAsia" w:ascii="宋体" w:hAnsi="宋体" w:cs="宋体" w:eastAsiaTheme="minorEastAsia"/>
          <w:strike w:val="0"/>
          <w:dstrike w:val="0"/>
          <w:color w:val="auto"/>
          <w:kern w:val="2"/>
          <w:sz w:val="24"/>
          <w:szCs w:val="22"/>
          <w:highlight w:val="none"/>
          <w:lang w:val="en-US" w:eastAsia="zh-CN" w:bidi="ar-SA"/>
        </w:rPr>
      </w:pPr>
      <w:r>
        <w:rPr>
          <w:rFonts w:hint="eastAsia" w:ascii="宋体" w:hAnsi="宋体" w:cs="宋体"/>
          <w:strike w:val="0"/>
          <w:dstrike w:val="0"/>
          <w:color w:val="auto"/>
          <w:kern w:val="2"/>
          <w:sz w:val="24"/>
          <w:szCs w:val="22"/>
          <w:highlight w:val="none"/>
          <w:lang w:val="en-US" w:eastAsia="zh-CN" w:bidi="ar-SA"/>
        </w:rPr>
        <w:t>4.5</w:t>
      </w:r>
      <w:r>
        <w:rPr>
          <w:rFonts w:hint="eastAsia" w:ascii="宋体" w:hAnsi="宋体" w:cs="宋体" w:eastAsiaTheme="minorEastAsia"/>
          <w:strike w:val="0"/>
          <w:dstrike w:val="0"/>
          <w:color w:val="auto"/>
          <w:kern w:val="2"/>
          <w:sz w:val="24"/>
          <w:szCs w:val="22"/>
          <w:highlight w:val="none"/>
          <w:lang w:val="en-US" w:eastAsia="zh-CN" w:bidi="ar-SA"/>
        </w:rPr>
        <w:t>编制安评报告：根据以上分析结果，编制并提供正式的安全评估报告，</w:t>
      </w:r>
    </w:p>
    <w:p>
      <w:pPr>
        <w:pStyle w:val="36"/>
        <w:numPr>
          <w:ilvl w:val="0"/>
          <w:numId w:val="0"/>
        </w:numPr>
        <w:snapToGrid w:val="0"/>
        <w:spacing w:line="440" w:lineRule="exact"/>
        <w:rPr>
          <w:rFonts w:hint="default" w:ascii="宋体" w:hAnsi="宋体" w:cs="宋体" w:eastAsiaTheme="minorEastAsia"/>
          <w:strike w:val="0"/>
          <w:dstrike w:val="0"/>
          <w:color w:val="auto"/>
          <w:kern w:val="2"/>
          <w:sz w:val="24"/>
          <w:szCs w:val="22"/>
          <w:highlight w:val="none"/>
          <w:lang w:val="en-US" w:eastAsia="zh-CN" w:bidi="ar-SA"/>
        </w:rPr>
      </w:pPr>
      <w:r>
        <w:rPr>
          <w:rFonts w:hint="eastAsia" w:ascii="宋体" w:hAnsi="宋体" w:cs="宋体" w:eastAsiaTheme="minorEastAsia"/>
          <w:strike w:val="0"/>
          <w:dstrike w:val="0"/>
          <w:color w:val="auto"/>
          <w:kern w:val="2"/>
          <w:sz w:val="24"/>
          <w:szCs w:val="22"/>
          <w:highlight w:val="none"/>
          <w:lang w:val="en-US" w:eastAsia="zh-CN" w:bidi="ar-SA"/>
        </w:rPr>
        <w:t>组织专家评审会。</w:t>
      </w:r>
    </w:p>
    <w:p>
      <w:pPr>
        <w:pStyle w:val="36"/>
        <w:numPr>
          <w:ilvl w:val="0"/>
          <w:numId w:val="0"/>
        </w:numPr>
        <w:snapToGrid w:val="0"/>
        <w:spacing w:line="440" w:lineRule="exact"/>
        <w:ind w:firstLine="480" w:firstLineChars="200"/>
        <w:rPr>
          <w:rFonts w:hint="eastAsia" w:ascii="宋体" w:hAnsi="宋体" w:cs="宋体" w:eastAsiaTheme="minorEastAsia"/>
          <w:strike w:val="0"/>
          <w:dstrike w:val="0"/>
          <w:color w:val="auto"/>
          <w:kern w:val="2"/>
          <w:sz w:val="24"/>
          <w:szCs w:val="22"/>
          <w:highlight w:val="none"/>
          <w:lang w:val="en-US" w:eastAsia="zh-CN" w:bidi="ar-SA"/>
        </w:rPr>
      </w:pPr>
      <w:r>
        <w:rPr>
          <w:rFonts w:hint="eastAsia" w:ascii="宋体" w:hAnsi="宋体" w:cs="宋体"/>
          <w:strike w:val="0"/>
          <w:dstrike w:val="0"/>
          <w:color w:val="auto"/>
          <w:kern w:val="2"/>
          <w:sz w:val="24"/>
          <w:szCs w:val="22"/>
          <w:highlight w:val="none"/>
          <w:lang w:val="en-US" w:eastAsia="zh-CN" w:bidi="ar-SA"/>
        </w:rPr>
        <w:t>4.6</w:t>
      </w:r>
      <w:r>
        <w:rPr>
          <w:rFonts w:hint="eastAsia" w:ascii="宋体" w:hAnsi="宋体" w:cs="宋体" w:eastAsiaTheme="minorEastAsia"/>
          <w:strike w:val="0"/>
          <w:dstrike w:val="0"/>
          <w:color w:val="auto"/>
          <w:kern w:val="2"/>
          <w:sz w:val="24"/>
          <w:szCs w:val="22"/>
          <w:highlight w:val="none"/>
          <w:lang w:val="en-US" w:eastAsia="zh-CN" w:bidi="ar-SA"/>
        </w:rPr>
        <w:t>协助工作：参加与本项目相关的评审会议，协助我方通过相关的专家评</w:t>
      </w:r>
    </w:p>
    <w:p>
      <w:pPr>
        <w:pStyle w:val="36"/>
        <w:numPr>
          <w:ilvl w:val="0"/>
          <w:numId w:val="0"/>
        </w:numPr>
        <w:snapToGrid w:val="0"/>
        <w:spacing w:line="440" w:lineRule="exact"/>
        <w:rPr>
          <w:rFonts w:hint="default" w:ascii="宋体" w:hAnsi="宋体" w:cs="宋体" w:eastAsiaTheme="minorEastAsia"/>
          <w:strike w:val="0"/>
          <w:dstrike w:val="0"/>
          <w:color w:val="auto"/>
          <w:kern w:val="2"/>
          <w:sz w:val="24"/>
          <w:szCs w:val="22"/>
          <w:highlight w:val="none"/>
          <w:lang w:val="en-US" w:eastAsia="zh-CN" w:bidi="ar-SA"/>
        </w:rPr>
      </w:pPr>
      <w:r>
        <w:rPr>
          <w:rFonts w:hint="eastAsia" w:ascii="宋体" w:hAnsi="宋体" w:cs="宋体" w:eastAsiaTheme="minorEastAsia"/>
          <w:strike w:val="0"/>
          <w:dstrike w:val="0"/>
          <w:color w:val="auto"/>
          <w:kern w:val="2"/>
          <w:sz w:val="24"/>
          <w:szCs w:val="22"/>
          <w:highlight w:val="none"/>
          <w:lang w:val="en-US" w:eastAsia="zh-CN" w:bidi="ar-SA"/>
        </w:rPr>
        <w:t>审会（如有）的技术审查，配合我方开展管线专项保护方案报批报审。</w:t>
      </w:r>
    </w:p>
    <w:p>
      <w:pPr>
        <w:pStyle w:val="36"/>
        <w:numPr>
          <w:ilvl w:val="0"/>
          <w:numId w:val="0"/>
        </w:numPr>
        <w:snapToGrid w:val="0"/>
        <w:spacing w:line="440" w:lineRule="exact"/>
        <w:ind w:firstLine="480" w:firstLineChars="200"/>
        <w:rPr>
          <w:rFonts w:hint="eastAsia" w:ascii="宋体" w:hAnsi="宋体" w:cs="宋体" w:eastAsiaTheme="minorEastAsia"/>
          <w:strike w:val="0"/>
          <w:dstrike w:val="0"/>
          <w:color w:val="auto"/>
          <w:kern w:val="2"/>
          <w:sz w:val="24"/>
          <w:szCs w:val="22"/>
          <w:highlight w:val="none"/>
          <w:lang w:val="en-US" w:eastAsia="zh-CN" w:bidi="ar-SA"/>
        </w:rPr>
      </w:pPr>
      <w:r>
        <w:rPr>
          <w:rFonts w:hint="eastAsia" w:ascii="宋体" w:hAnsi="宋体" w:cs="宋体"/>
          <w:strike w:val="0"/>
          <w:dstrike w:val="0"/>
          <w:color w:val="auto"/>
          <w:kern w:val="2"/>
          <w:sz w:val="24"/>
          <w:szCs w:val="22"/>
          <w:highlight w:val="none"/>
          <w:lang w:val="en-US" w:eastAsia="zh-CN" w:bidi="ar-SA"/>
        </w:rPr>
        <w:t>4.7</w:t>
      </w:r>
      <w:r>
        <w:rPr>
          <w:rFonts w:hint="eastAsia" w:ascii="宋体" w:hAnsi="宋体" w:cs="宋体" w:eastAsiaTheme="minorEastAsia"/>
          <w:strike w:val="0"/>
          <w:dstrike w:val="0"/>
          <w:color w:val="auto"/>
          <w:kern w:val="2"/>
          <w:sz w:val="24"/>
          <w:szCs w:val="22"/>
          <w:highlight w:val="none"/>
          <w:lang w:val="en-US" w:eastAsia="zh-CN" w:bidi="ar-SA"/>
        </w:rPr>
        <w:t>技术咨询：向我方提供与本项目安全保护相关的技术咨询工作， 包括设计建议、施工措施建议、保护措施要求、监控量测技术要求等。</w:t>
      </w:r>
    </w:p>
    <w:p>
      <w:pPr>
        <w:pStyle w:val="36"/>
        <w:numPr>
          <w:ilvl w:val="0"/>
          <w:numId w:val="0"/>
        </w:numPr>
        <w:snapToGrid w:val="0"/>
        <w:spacing w:line="440" w:lineRule="exact"/>
        <w:ind w:firstLine="480" w:firstLineChars="200"/>
        <w:rPr>
          <w:rFonts w:hint="eastAsia" w:ascii="宋体" w:hAnsi="宋体" w:cs="宋体" w:eastAsiaTheme="minorEastAsia"/>
          <w:strike w:val="0"/>
          <w:dstrike w:val="0"/>
          <w:color w:val="auto"/>
          <w:kern w:val="2"/>
          <w:sz w:val="24"/>
          <w:szCs w:val="22"/>
          <w:highlight w:val="none"/>
          <w:lang w:val="en-US" w:eastAsia="zh-CN" w:bidi="ar-SA"/>
        </w:rPr>
      </w:pPr>
      <w:r>
        <w:rPr>
          <w:rFonts w:hint="eastAsia" w:ascii="宋体" w:hAnsi="宋体" w:cs="宋体"/>
          <w:strike w:val="0"/>
          <w:dstrike w:val="0"/>
          <w:color w:val="auto"/>
          <w:kern w:val="2"/>
          <w:sz w:val="24"/>
          <w:szCs w:val="22"/>
          <w:highlight w:val="none"/>
          <w:lang w:val="en-US" w:eastAsia="zh-CN" w:bidi="ar-SA"/>
        </w:rPr>
        <w:t>4.8</w:t>
      </w:r>
      <w:r>
        <w:rPr>
          <w:rFonts w:hint="eastAsia" w:ascii="宋体" w:hAnsi="宋体" w:cs="宋体" w:eastAsiaTheme="minorEastAsia"/>
          <w:strike w:val="0"/>
          <w:dstrike w:val="0"/>
          <w:color w:val="auto"/>
          <w:kern w:val="2"/>
          <w:sz w:val="24"/>
          <w:szCs w:val="22"/>
          <w:highlight w:val="none"/>
          <w:lang w:val="en-US" w:eastAsia="zh-CN" w:bidi="ar-SA"/>
        </w:rPr>
        <w:t>服务周期：</w:t>
      </w:r>
      <w:r>
        <w:rPr>
          <w:rFonts w:hint="eastAsia" w:ascii="宋体" w:hAnsi="宋体" w:cs="宋体"/>
          <w:strike w:val="0"/>
          <w:dstrike w:val="0"/>
          <w:color w:val="auto"/>
          <w:kern w:val="2"/>
          <w:sz w:val="24"/>
          <w:szCs w:val="22"/>
          <w:highlight w:val="none"/>
          <w:lang w:val="en-US" w:eastAsia="zh-CN" w:bidi="ar-SA"/>
        </w:rPr>
        <w:t>自合同签订之日起至通过西江引水管道相关行政主管部门和管理单位的评审和审批。</w:t>
      </w:r>
    </w:p>
    <w:p>
      <w:pPr>
        <w:pStyle w:val="30"/>
      </w:pP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第五条 乙方向甲方交付资料及文件</w:t>
      </w:r>
    </w:p>
    <w:p>
      <w:pPr>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highlight w:val="none"/>
        </w:rPr>
        <w:t>5.1本合同签订后，乙方应在3个工作日内提交</w:t>
      </w:r>
      <w:r>
        <w:rPr>
          <w:rFonts w:hint="eastAsia" w:ascii="宋体" w:hAnsi="宋体" w:cs="宋体"/>
          <w:color w:val="auto"/>
          <w:sz w:val="24"/>
          <w:highlight w:val="none"/>
          <w:lang w:eastAsia="zh-CN"/>
        </w:rPr>
        <w:t>项目</w:t>
      </w:r>
      <w:r>
        <w:rPr>
          <w:rFonts w:hint="eastAsia" w:ascii="宋体" w:hAnsi="宋体" w:cs="宋体"/>
          <w:color w:val="auto"/>
          <w:sz w:val="24"/>
          <w:highlight w:val="none"/>
        </w:rPr>
        <w:t>人员名单，报经甲方批准。乙方如需更换</w:t>
      </w:r>
      <w:r>
        <w:rPr>
          <w:rFonts w:hint="eastAsia" w:ascii="宋体" w:hAnsi="宋体" w:cs="宋体"/>
          <w:color w:val="auto"/>
          <w:sz w:val="24"/>
          <w:highlight w:val="none"/>
          <w:lang w:eastAsia="zh-CN"/>
        </w:rPr>
        <w:t>服务</w:t>
      </w:r>
      <w:r>
        <w:rPr>
          <w:rFonts w:hint="eastAsia" w:ascii="宋体" w:hAnsi="宋体" w:cs="宋体"/>
          <w:color w:val="auto"/>
          <w:sz w:val="24"/>
          <w:highlight w:val="none"/>
        </w:rPr>
        <w:t>人员的，需征得甲方书面同意</w:t>
      </w:r>
      <w:r>
        <w:rPr>
          <w:rFonts w:ascii="宋体" w:hAnsi="宋体" w:eastAsia="宋体" w:cs="宋体"/>
          <w:color w:val="auto"/>
          <w:sz w:val="24"/>
          <w:szCs w:val="24"/>
          <w:highlight w:val="none"/>
        </w:rPr>
        <w:t>，如有违反，甲方有权解除合同并要求乙方支付</w:t>
      </w:r>
      <w:r>
        <w:rPr>
          <w:rFonts w:hint="eastAsia" w:ascii="宋体" w:hAnsi="宋体" w:eastAsia="宋体" w:cs="宋体"/>
          <w:color w:val="auto"/>
          <w:sz w:val="24"/>
          <w:szCs w:val="24"/>
          <w:highlight w:val="none"/>
        </w:rPr>
        <w:t>10000</w:t>
      </w:r>
      <w:r>
        <w:rPr>
          <w:rFonts w:ascii="宋体" w:hAnsi="宋体" w:eastAsia="宋体" w:cs="宋体"/>
          <w:color w:val="auto"/>
          <w:sz w:val="24"/>
          <w:szCs w:val="24"/>
          <w:highlight w:val="none"/>
        </w:rPr>
        <w:t>元/人次作为违约金，以及赔偿由此造成的一切损失。</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val="en-US" w:eastAsia="zh-CN"/>
        </w:rPr>
        <w:t>5.2本合同签订后，乙方应在7个工作日内提交</w:t>
      </w:r>
      <w:r>
        <w:rPr>
          <w:rFonts w:hint="eastAsia" w:ascii="宋体" w:hAnsi="宋体" w:eastAsia="宋体" w:cs="宋体"/>
          <w:color w:val="auto"/>
          <w:sz w:val="24"/>
          <w:highlight w:val="none"/>
          <w:lang w:eastAsia="zh-CN"/>
        </w:rPr>
        <w:t>项目进度计划，报经甲方批准。项目进度若因乙方原因导致进度滞后，甲方有权索赔违约金，每逾期一天，按本合同金额的万分之五标准进行索赔。</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3相关成果资料</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5.3.1</w:t>
      </w:r>
      <w:r>
        <w:rPr>
          <w:rFonts w:hint="eastAsia" w:ascii="宋体" w:hAnsi="宋体" w:cs="宋体"/>
          <w:color w:val="auto"/>
          <w:sz w:val="24"/>
          <w:highlight w:val="none"/>
          <w:lang w:eastAsia="zh-CN"/>
        </w:rPr>
        <w:t>安全评估</w:t>
      </w:r>
      <w:r>
        <w:rPr>
          <w:rFonts w:hint="eastAsia" w:ascii="宋体" w:hAnsi="宋体" w:cs="宋体"/>
          <w:color w:val="auto"/>
          <w:sz w:val="24"/>
          <w:highlight w:val="none"/>
        </w:rPr>
        <w:t>报告</w:t>
      </w:r>
      <w:r>
        <w:rPr>
          <w:rFonts w:hint="eastAsia" w:ascii="宋体" w:hAnsi="宋体" w:cs="宋体"/>
          <w:color w:val="auto"/>
          <w:sz w:val="24"/>
          <w:highlight w:val="none"/>
          <w:lang w:eastAsia="zh-CN"/>
        </w:rPr>
        <w:t>通过评审后，乙方应在</w:t>
      </w:r>
      <w:r>
        <w:rPr>
          <w:rFonts w:hint="eastAsia" w:ascii="宋体" w:hAnsi="宋体" w:cs="宋体"/>
          <w:color w:val="auto"/>
          <w:sz w:val="24"/>
          <w:highlight w:val="none"/>
        </w:rPr>
        <w:t>10个工作日内，</w:t>
      </w:r>
      <w:r>
        <w:rPr>
          <w:rFonts w:hint="eastAsia" w:ascii="宋体" w:hAnsi="宋体" w:cs="宋体"/>
          <w:color w:val="auto"/>
          <w:sz w:val="24"/>
          <w:highlight w:val="none"/>
          <w:lang w:eastAsia="zh-CN"/>
        </w:rPr>
        <w:t>根据相关评审要求修改并向甲方交付正式的报告，安全评估报告一式六份，电子光盘2份（未加密且可编辑格式）；</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5.3.2三维模拟分析成果应按甲方需求和进度计划交付；</w:t>
      </w:r>
    </w:p>
    <w:p>
      <w:pPr>
        <w:spacing w:line="360" w:lineRule="auto"/>
        <w:ind w:firstLine="480" w:firstLineChars="200"/>
        <w:rPr>
          <w:rFonts w:ascii="宋体" w:hAnsi="宋体" w:cs="宋体"/>
          <w:strike/>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乙方应配合甲方开展结算工作并提交结算的相关资料,若乙方逾期超过30天未提交完整的结算资料和结算报告等，甲方有权单方自行结算，由此产生的一切责任由乙方承担。</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 xml:space="preserve">第六条 费用 </w:t>
      </w:r>
    </w:p>
    <w:p>
      <w:pPr>
        <w:spacing w:line="360" w:lineRule="auto"/>
        <w:ind w:firstLine="568" w:firstLineChars="237"/>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本合同暂定总价为人民币</w:t>
      </w:r>
      <w:r>
        <w:rPr>
          <w:rFonts w:hint="eastAsia" w:ascii="宋体" w:hAnsi="宋体" w:cs="宋体"/>
          <w:b/>
          <w:bCs/>
          <w:color w:val="auto"/>
          <w:sz w:val="24"/>
          <w:highlight w:val="none"/>
          <w:u w:val="single"/>
        </w:rPr>
        <w:t xml:space="preserve">       </w:t>
      </w:r>
      <w:r>
        <w:rPr>
          <w:rFonts w:hint="eastAsia" w:ascii="宋体" w:hAnsi="宋体" w:cs="宋体"/>
          <w:b/>
          <w:color w:val="auto"/>
          <w:sz w:val="24"/>
          <w:highlight w:val="none"/>
        </w:rPr>
        <w:t>万元</w:t>
      </w:r>
      <w:r>
        <w:rPr>
          <w:rFonts w:hint="eastAsia" w:ascii="宋体" w:hAnsi="宋体" w:cs="宋体"/>
          <w:color w:val="auto"/>
          <w:sz w:val="24"/>
          <w:highlight w:val="none"/>
        </w:rPr>
        <w:t>（大写：</w:t>
      </w:r>
      <w:r>
        <w:rPr>
          <w:rFonts w:hint="eastAsia" w:ascii="宋体" w:hAnsi="宋体" w:cs="宋体"/>
          <w:color w:val="auto"/>
          <w:sz w:val="24"/>
          <w:highlight w:val="none"/>
          <w:u w:val="single"/>
        </w:rPr>
        <w:t>人民币</w:t>
      </w:r>
      <w:r>
        <w:rPr>
          <w:rFonts w:hint="eastAsia" w:ascii="宋体" w:hAnsi="宋体" w:cs="宋体"/>
          <w:bCs/>
          <w:color w:val="auto"/>
          <w:sz w:val="24"/>
          <w:highlight w:val="none"/>
          <w:u w:val="single"/>
        </w:rPr>
        <w:t xml:space="preserve">   元</w:t>
      </w:r>
      <w:r>
        <w:rPr>
          <w:rFonts w:hint="eastAsia" w:ascii="宋体" w:hAnsi="宋体" w:cs="宋体"/>
          <w:color w:val="auto"/>
          <w:sz w:val="24"/>
          <w:highlight w:val="none"/>
        </w:rPr>
        <w:t>），含税率   。</w:t>
      </w:r>
      <w:r>
        <w:rPr>
          <w:rFonts w:hint="eastAsia" w:ascii="宋体" w:hAnsi="宋体" w:cs="宋体"/>
          <w:color w:val="auto"/>
          <w:sz w:val="24"/>
          <w:highlight w:val="none"/>
          <w:lang w:val="en-US" w:eastAsia="zh-CN"/>
        </w:rPr>
        <w:t>其中组成分为：</w:t>
      </w:r>
    </w:p>
    <w:p>
      <w:pPr>
        <w:spacing w:line="360" w:lineRule="auto"/>
        <w:ind w:firstLine="568" w:firstLineChars="237"/>
        <w:rPr>
          <w:rFonts w:hint="eastAsia" w:ascii="宋体" w:hAnsi="宋体" w:cs="宋体"/>
          <w:color w:val="auto"/>
          <w:sz w:val="24"/>
          <w:highlight w:val="none"/>
          <w:u w:val="single"/>
          <w:lang w:val="en-US" w:eastAsia="zh-CN"/>
        </w:rPr>
      </w:pPr>
      <w:r>
        <w:rPr>
          <w:rFonts w:hint="eastAsia" w:ascii="宋体" w:hAnsi="宋体" w:cs="宋体"/>
          <w:color w:val="auto"/>
          <w:sz w:val="24"/>
          <w:highlight w:val="none"/>
          <w:lang w:val="en-US" w:eastAsia="zh-CN"/>
        </w:rPr>
        <w:t>6.1费用一：本合同项下的专家评审费用以按实结算形式，暂定为人民币</w:t>
      </w:r>
    </w:p>
    <w:p>
      <w:pPr>
        <w:spacing w:line="360" w:lineRule="auto"/>
        <w:rPr>
          <w:rFonts w:hint="eastAsia" w:ascii="宋体" w:hAnsi="宋体" w:cs="宋体"/>
          <w:b w:val="0"/>
          <w:bCs/>
          <w:i w:val="0"/>
          <w:iCs w:val="0"/>
          <w:color w:val="auto"/>
          <w:sz w:val="24"/>
          <w:highlight w:val="none"/>
          <w:lang w:val="en-US" w:eastAsia="zh-CN"/>
        </w:rPr>
      </w:pPr>
      <w:r>
        <w:rPr>
          <w:rFonts w:hint="eastAsia" w:ascii="宋体" w:hAnsi="宋体" w:cs="宋体"/>
          <w:color w:val="auto"/>
          <w:sz w:val="24"/>
          <w:highlight w:val="none"/>
          <w:u w:val="single"/>
          <w:lang w:val="en-US" w:eastAsia="zh-CN"/>
        </w:rPr>
        <w:t xml:space="preserve">    </w:t>
      </w:r>
      <w:r>
        <w:rPr>
          <w:rFonts w:hint="eastAsia" w:ascii="宋体" w:hAnsi="宋体" w:cs="宋体"/>
          <w:b/>
          <w:color w:val="auto"/>
          <w:sz w:val="24"/>
          <w:highlight w:val="none"/>
        </w:rPr>
        <w:t>万元</w:t>
      </w:r>
      <w:r>
        <w:rPr>
          <w:rFonts w:hint="eastAsia" w:ascii="宋体" w:hAnsi="宋体" w:cs="宋体"/>
          <w:b w:val="0"/>
          <w:bCs/>
          <w:i w:val="0"/>
          <w:iCs w:val="0"/>
          <w:color w:val="auto"/>
          <w:sz w:val="24"/>
          <w:highlight w:val="none"/>
          <w:lang w:val="en-US" w:eastAsia="zh-CN"/>
        </w:rPr>
        <w:t>，最终按实际费用结算。</w:t>
      </w:r>
    </w:p>
    <w:p>
      <w:pPr>
        <w:spacing w:line="360" w:lineRule="auto"/>
        <w:ind w:firstLine="568" w:firstLineChars="237"/>
        <w:rPr>
          <w:rFonts w:hint="eastAsia" w:ascii="宋体" w:hAnsi="宋体" w:cs="宋体"/>
          <w:b/>
          <w:color w:val="auto"/>
          <w:sz w:val="24"/>
          <w:highlight w:val="none"/>
          <w:lang w:val="en-US" w:eastAsia="zh-CN"/>
        </w:rPr>
      </w:pPr>
      <w:r>
        <w:rPr>
          <w:rFonts w:hint="eastAsia" w:ascii="宋体" w:hAnsi="宋体" w:cs="宋体"/>
          <w:color w:val="auto"/>
          <w:sz w:val="24"/>
          <w:highlight w:val="none"/>
          <w:lang w:val="en-US" w:eastAsia="zh-CN"/>
        </w:rPr>
        <w:t>6.2费用二：</w:t>
      </w:r>
      <w:r>
        <w:rPr>
          <w:rFonts w:hint="eastAsia" w:ascii="宋体" w:hAnsi="宋体" w:cs="宋体"/>
          <w:color w:val="auto"/>
          <w:sz w:val="24"/>
          <w:highlight w:val="none"/>
        </w:rPr>
        <w:t>本合同</w:t>
      </w:r>
      <w:r>
        <w:rPr>
          <w:rFonts w:hint="eastAsia" w:ascii="宋体" w:hAnsi="宋体" w:cs="宋体"/>
          <w:color w:val="auto"/>
          <w:sz w:val="24"/>
          <w:highlight w:val="none"/>
          <w:lang w:val="en-US" w:eastAsia="zh-CN"/>
        </w:rPr>
        <w:t>项下的安全评估报告书编制、资料收集分析、三维模拟分析、地质分析、技术咨询和配合工作等采用</w:t>
      </w:r>
      <w:r>
        <w:rPr>
          <w:rFonts w:hint="eastAsia" w:ascii="宋体" w:hAnsi="宋体" w:cs="宋体"/>
          <w:b w:val="0"/>
          <w:bCs w:val="0"/>
          <w:color w:val="auto"/>
          <w:sz w:val="24"/>
          <w:highlight w:val="none"/>
        </w:rPr>
        <w:t>总价包干</w:t>
      </w:r>
      <w:r>
        <w:rPr>
          <w:rFonts w:hint="eastAsia" w:ascii="宋体" w:hAnsi="宋体" w:cs="宋体"/>
          <w:b w:val="0"/>
          <w:bCs w:val="0"/>
          <w:color w:val="auto"/>
          <w:sz w:val="24"/>
          <w:highlight w:val="none"/>
          <w:lang w:val="en-US" w:eastAsia="zh-CN"/>
        </w:rPr>
        <w:t>形式</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暂定</w:t>
      </w:r>
      <w:r>
        <w:rPr>
          <w:rFonts w:hint="eastAsia" w:ascii="宋体" w:hAnsi="宋体" w:cs="宋体"/>
          <w:b w:val="0"/>
          <w:bCs w:val="0"/>
          <w:color w:val="auto"/>
          <w:sz w:val="24"/>
          <w:highlight w:val="none"/>
        </w:rPr>
        <w:t>为</w:t>
      </w:r>
      <w:r>
        <w:rPr>
          <w:rFonts w:hint="eastAsia" w:ascii="宋体" w:hAnsi="宋体" w:cs="宋体"/>
          <w:color w:val="auto"/>
          <w:sz w:val="24"/>
          <w:highlight w:val="none"/>
        </w:rPr>
        <w:t>人民币</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b/>
          <w:color w:val="auto"/>
          <w:sz w:val="24"/>
          <w:highlight w:val="none"/>
        </w:rPr>
        <w:t>万</w:t>
      </w:r>
      <w:r>
        <w:rPr>
          <w:rFonts w:hint="eastAsia" w:ascii="宋体" w:hAnsi="宋体" w:cs="宋体"/>
          <w:b/>
          <w:color w:val="auto"/>
          <w:sz w:val="24"/>
          <w:highlight w:val="none"/>
          <w:lang w:val="en-US" w:eastAsia="zh-CN"/>
        </w:rPr>
        <w:t>元。</w:t>
      </w:r>
    </w:p>
    <w:p>
      <w:pPr>
        <w:spacing w:line="360" w:lineRule="auto"/>
        <w:ind w:firstLine="568" w:firstLineChars="237"/>
        <w:rPr>
          <w:rFonts w:ascii="宋体" w:hAnsi="宋体" w:cs="宋体"/>
          <w:color w:val="auto"/>
          <w:sz w:val="24"/>
          <w:highlight w:val="none"/>
        </w:rPr>
      </w:pPr>
      <w:r>
        <w:rPr>
          <w:rFonts w:hint="eastAsia" w:ascii="宋体" w:hAnsi="宋体" w:cs="宋体"/>
          <w:color w:val="auto"/>
          <w:sz w:val="24"/>
          <w:highlight w:val="none"/>
        </w:rPr>
        <w:t>6.2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本合同</w:t>
      </w:r>
      <w:r>
        <w:rPr>
          <w:rFonts w:hint="eastAsia" w:ascii="宋体" w:hAnsi="宋体" w:cs="宋体"/>
          <w:color w:val="auto"/>
          <w:sz w:val="24"/>
          <w:highlight w:val="none"/>
          <w:lang w:val="en-US" w:eastAsia="zh-CN"/>
        </w:rPr>
        <w:t>总价包干部分费用</w:t>
      </w:r>
      <w:r>
        <w:rPr>
          <w:rFonts w:hint="eastAsia" w:ascii="宋体" w:hAnsi="宋体" w:cs="宋体"/>
          <w:color w:val="auto"/>
          <w:sz w:val="24"/>
          <w:highlight w:val="none"/>
        </w:rPr>
        <w:t>，包括完成本合同</w:t>
      </w:r>
      <w:r>
        <w:rPr>
          <w:rFonts w:hint="eastAsia" w:ascii="宋体" w:hAnsi="宋体" w:cs="宋体"/>
          <w:color w:val="auto"/>
          <w:sz w:val="24"/>
          <w:highlight w:val="none"/>
          <w:lang w:val="en-US" w:eastAsia="zh-CN"/>
        </w:rPr>
        <w:t>总价包干</w:t>
      </w:r>
      <w:r>
        <w:rPr>
          <w:rFonts w:hint="eastAsia" w:ascii="宋体" w:hAnsi="宋体" w:cs="宋体"/>
          <w:color w:val="auto"/>
          <w:sz w:val="24"/>
          <w:highlight w:val="none"/>
        </w:rPr>
        <w:t>项下的所有工作内容所需要的直接和间接的一切费用，不因人工、材料、设备的变化而作调整。</w:t>
      </w:r>
      <w:bookmarkStart w:id="85" w:name="_Hlk111541707"/>
      <w:r>
        <w:rPr>
          <w:rFonts w:hint="eastAsia" w:ascii="宋体" w:hAnsi="宋体" w:cs="宋体"/>
          <w:color w:val="auto"/>
          <w:sz w:val="24"/>
          <w:highlight w:val="none"/>
        </w:rPr>
        <w:t>具体工作包括</w:t>
      </w:r>
      <w:bookmarkEnd w:id="85"/>
      <w:r>
        <w:rPr>
          <w:rFonts w:hint="eastAsia" w:ascii="宋体" w:hAnsi="宋体" w:cs="宋体"/>
          <w:color w:val="auto"/>
          <w:sz w:val="24"/>
          <w:highlight w:val="none"/>
          <w:lang w:val="en-US" w:eastAsia="zh-CN"/>
        </w:rPr>
        <w:t>包括收集类似案例、调查分析、系统开展计算分析（含三维模拟分析）、提供场地工程地质分析、编制安全评估报告、组织专家评审、提供技术咨询、提供优化建议、协助相关行政和技术报审报批。</w:t>
      </w:r>
      <w:r>
        <w:rPr>
          <w:rFonts w:hint="eastAsia" w:ascii="宋体" w:hAnsi="宋体" w:cs="宋体"/>
          <w:color w:val="auto"/>
          <w:sz w:val="24"/>
          <w:highlight w:val="none"/>
        </w:rPr>
        <w:t xml:space="preserve"> </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第七条 支付方式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7.1.1支付办法：本合同生效后，甲方按照</w:t>
      </w:r>
      <w:r>
        <w:rPr>
          <w:rFonts w:hint="eastAsia" w:ascii="宋体" w:hAnsi="宋体" w:cs="宋体"/>
          <w:color w:val="auto"/>
          <w:sz w:val="24"/>
          <w:szCs w:val="24"/>
          <w:highlight w:val="none"/>
          <w:u w:val="single"/>
        </w:rPr>
        <w:t>《广州市净水有限公司资金集中支付管理办法》</w:t>
      </w:r>
      <w:r>
        <w:rPr>
          <w:rFonts w:hint="eastAsia" w:ascii="宋体" w:hAnsi="宋体" w:cs="宋体"/>
          <w:color w:val="auto"/>
          <w:sz w:val="24"/>
          <w:highlight w:val="none"/>
        </w:rPr>
        <w:t>操作程序，向乙方支付编制费。</w:t>
      </w:r>
    </w:p>
    <w:p>
      <w:pPr>
        <w:pStyle w:val="30"/>
        <w:ind w:firstLine="480" w:firstLineChars="200"/>
        <w:rPr>
          <w:rFonts w:hAnsi="宋体" w:eastAsia="宋体"/>
          <w:color w:val="auto"/>
          <w:highlight w:val="none"/>
        </w:rPr>
      </w:pPr>
      <w:r>
        <w:rPr>
          <w:rFonts w:hint="eastAsia" w:hAnsi="宋体"/>
          <w:color w:val="auto"/>
          <w:highlight w:val="none"/>
        </w:rPr>
        <w:t xml:space="preserve">7.1.2 </w:t>
      </w:r>
      <w:r>
        <w:rPr>
          <w:rFonts w:hint="eastAsia" w:hAnsi="宋体" w:eastAsia="宋体"/>
          <w:color w:val="auto"/>
          <w:highlight w:val="none"/>
        </w:rPr>
        <w:t>乙方收款账号资料</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乙方收款账户：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840" w:firstLineChars="35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840" w:firstLineChars="350"/>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乙方在收款前需提交等额增值税专用发票给甲方。增值税专用发票信息：</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pStyle w:val="30"/>
        <w:ind w:firstLine="960" w:firstLineChars="400"/>
        <w:rPr>
          <w:rFonts w:hAnsi="宋体" w:eastAsia="宋体"/>
          <w:color w:val="auto"/>
          <w:highlight w:val="none"/>
        </w:rPr>
      </w:pPr>
      <w:r>
        <w:rPr>
          <w:rFonts w:hint="eastAsia" w:hAnsi="宋体" w:eastAsia="宋体"/>
          <w:color w:val="auto"/>
          <w:highlight w:val="none"/>
        </w:rPr>
        <w:t>地址：</w:t>
      </w:r>
      <w:r>
        <w:rPr>
          <w:rFonts w:hint="eastAsia" w:hAnsi="宋体" w:eastAsia="宋体"/>
          <w:color w:val="auto"/>
          <w:highlight w:val="none"/>
          <w:u w:val="single"/>
        </w:rPr>
        <w:t xml:space="preserve">                                </w:t>
      </w:r>
      <w:r>
        <w:rPr>
          <w:rFonts w:hint="eastAsia" w:hAnsi="宋体" w:eastAsia="宋体"/>
          <w:color w:val="auto"/>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7.1.3付款方式：</w:t>
      </w:r>
      <w:r>
        <w:rPr>
          <w:rFonts w:hint="eastAsia" w:ascii="宋体" w:hAnsi="宋体" w:cs="宋体"/>
          <w:color w:val="auto"/>
          <w:sz w:val="24"/>
          <w:highlight w:val="none"/>
        </w:rPr>
        <w:sym w:font="Wingdings" w:char="00FE"/>
      </w:r>
      <w:r>
        <w:rPr>
          <w:rFonts w:hint="eastAsia" w:ascii="宋体" w:hAnsi="宋体" w:cs="宋体"/>
          <w:color w:val="auto"/>
          <w:sz w:val="24"/>
          <w:highlight w:val="none"/>
        </w:rPr>
        <w:t>网银支付；</w:t>
      </w:r>
      <w:r>
        <w:rPr>
          <w:rFonts w:hint="eastAsia" w:ascii="宋体" w:hAnsi="宋体" w:cs="宋体"/>
          <w:color w:val="auto"/>
          <w:sz w:val="24"/>
          <w:highlight w:val="none"/>
        </w:rPr>
        <w:sym w:font="Wingdings" w:char="00A8"/>
      </w:r>
      <w:r>
        <w:rPr>
          <w:rFonts w:hint="eastAsia" w:ascii="宋体" w:hAnsi="宋体" w:cs="宋体"/>
          <w:color w:val="auto"/>
          <w:sz w:val="24"/>
          <w:highlight w:val="none"/>
        </w:rPr>
        <w:t>支票；</w:t>
      </w:r>
      <w:r>
        <w:rPr>
          <w:rFonts w:hint="eastAsia" w:ascii="宋体" w:hAnsi="宋体" w:cs="宋体"/>
          <w:color w:val="auto"/>
          <w:sz w:val="24"/>
          <w:highlight w:val="none"/>
        </w:rPr>
        <w:sym w:font="Wingdings" w:char="00A8"/>
      </w:r>
      <w:r>
        <w:rPr>
          <w:rFonts w:hint="eastAsia" w:ascii="宋体" w:hAnsi="宋体" w:cs="宋体"/>
          <w:color w:val="auto"/>
          <w:sz w:val="24"/>
          <w:highlight w:val="none"/>
        </w:rPr>
        <w:t>其他：/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本合同生效后，乙方向甲方提出</w:t>
      </w:r>
      <w:r>
        <w:rPr>
          <w:rFonts w:hint="eastAsia" w:ascii="宋体" w:hAnsi="宋体" w:cs="宋体"/>
          <w:color w:val="auto"/>
          <w:sz w:val="24"/>
          <w:highlight w:val="none"/>
          <w:lang w:eastAsia="zh-CN"/>
        </w:rPr>
        <w:t>预付款</w:t>
      </w:r>
      <w:r>
        <w:rPr>
          <w:rFonts w:hint="eastAsia" w:ascii="宋体" w:hAnsi="宋体" w:cs="宋体"/>
          <w:color w:val="auto"/>
          <w:sz w:val="24"/>
          <w:highlight w:val="none"/>
        </w:rPr>
        <w:t>支付申请，甲方向乙方支付</w:t>
      </w:r>
      <w:r>
        <w:rPr>
          <w:rFonts w:hint="eastAsia" w:ascii="宋体" w:hAnsi="宋体" w:cs="宋体"/>
          <w:color w:val="auto"/>
          <w:sz w:val="24"/>
          <w:szCs w:val="24"/>
          <w:highlight w:val="none"/>
        </w:rPr>
        <w:t>合同</w:t>
      </w:r>
      <w:r>
        <w:rPr>
          <w:rFonts w:hint="eastAsia" w:ascii="宋体" w:hAnsi="宋体" w:cs="宋体"/>
          <w:color w:val="auto"/>
          <w:sz w:val="24"/>
          <w:szCs w:val="24"/>
          <w:highlight w:val="none"/>
          <w:lang w:val="en-US" w:eastAsia="zh-CN"/>
        </w:rPr>
        <w:t>费用二</w:t>
      </w:r>
      <w:r>
        <w:rPr>
          <w:rFonts w:hint="eastAsia" w:ascii="宋体" w:hAnsi="宋体" w:cs="宋体"/>
          <w:color w:val="auto"/>
          <w:sz w:val="24"/>
          <w:highlight w:val="none"/>
        </w:rPr>
        <w:t>的</w:t>
      </w:r>
      <w:r>
        <w:rPr>
          <w:rFonts w:hint="eastAsia" w:ascii="宋体" w:hAnsi="宋体" w:cs="宋体"/>
          <w:b/>
          <w:bCs/>
          <w:strike w:val="0"/>
          <w:dstrike w:val="0"/>
          <w:color w:val="auto"/>
          <w:sz w:val="24"/>
          <w:highlight w:val="none"/>
          <w:lang w:val="en-US" w:eastAsia="zh-CN"/>
        </w:rPr>
        <w:t>30%</w:t>
      </w:r>
      <w:r>
        <w:rPr>
          <w:rFonts w:hint="eastAsia" w:ascii="宋体" w:hAnsi="宋体" w:cs="宋体"/>
          <w:color w:val="auto"/>
          <w:sz w:val="24"/>
          <w:highlight w:val="none"/>
        </w:rPr>
        <w:t>作为</w:t>
      </w:r>
      <w:r>
        <w:rPr>
          <w:rFonts w:hint="eastAsia" w:ascii="宋体" w:hAnsi="宋体" w:cs="宋体"/>
          <w:color w:val="auto"/>
          <w:sz w:val="24"/>
          <w:highlight w:val="none"/>
          <w:lang w:eastAsia="zh-CN"/>
        </w:rPr>
        <w:t>预付款</w:t>
      </w:r>
      <w:r>
        <w:rPr>
          <w:rFonts w:hint="eastAsia" w:ascii="宋体" w:hAnsi="宋体" w:cs="宋体"/>
          <w:color w:val="auto"/>
          <w:sz w:val="24"/>
          <w:highlight w:val="none"/>
        </w:rPr>
        <w:t>，计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 xml:space="preserve">3 </w:t>
      </w:r>
      <w:r>
        <w:rPr>
          <w:rFonts w:hint="eastAsia" w:ascii="宋体" w:hAnsi="宋体" w:cs="宋体"/>
          <w:color w:val="auto"/>
          <w:sz w:val="24"/>
          <w:szCs w:val="24"/>
          <w:highlight w:val="none"/>
          <w:lang w:eastAsia="zh-CN"/>
        </w:rPr>
        <w:t>乙方按甲方的要求完成安全技术评价工作并取得涉及西江引水管道施工</w:t>
      </w:r>
      <w:r>
        <w:rPr>
          <w:rFonts w:hint="eastAsia" w:ascii="宋体" w:hAnsi="宋体" w:cs="宋体"/>
          <w:color w:val="auto"/>
          <w:sz w:val="24"/>
          <w:szCs w:val="24"/>
          <w:highlight w:val="none"/>
        </w:rPr>
        <w:t>行政批复后，乙方应于当月20日前将工程支付申请书一式四份报送给甲方，甲方向乙方支付至合同</w:t>
      </w:r>
      <w:r>
        <w:rPr>
          <w:rFonts w:hint="eastAsia" w:ascii="宋体" w:hAnsi="宋体" w:cs="宋体"/>
          <w:color w:val="auto"/>
          <w:sz w:val="24"/>
          <w:szCs w:val="24"/>
          <w:highlight w:val="none"/>
          <w:lang w:val="en-US" w:eastAsia="zh-CN"/>
        </w:rPr>
        <w:t>费用二</w:t>
      </w:r>
      <w:r>
        <w:rPr>
          <w:rFonts w:hint="eastAsia" w:ascii="宋体" w:hAnsi="宋体" w:cs="宋体"/>
          <w:color w:val="auto"/>
          <w:sz w:val="24"/>
          <w:szCs w:val="24"/>
          <w:highlight w:val="none"/>
        </w:rPr>
        <w:t>包干价的80%（含</w:t>
      </w:r>
      <w:r>
        <w:rPr>
          <w:rFonts w:hint="eastAsia" w:ascii="宋体" w:hAnsi="宋体" w:cs="宋体"/>
          <w:color w:val="auto"/>
          <w:sz w:val="24"/>
          <w:szCs w:val="24"/>
          <w:highlight w:val="none"/>
          <w:lang w:eastAsia="zh-CN"/>
        </w:rPr>
        <w:t>预付款</w:t>
      </w:r>
      <w:r>
        <w:rPr>
          <w:rFonts w:hint="eastAsia" w:ascii="宋体" w:hAnsi="宋体" w:cs="宋体"/>
          <w:color w:val="auto"/>
          <w:sz w:val="24"/>
          <w:szCs w:val="24"/>
          <w:highlight w:val="none"/>
        </w:rPr>
        <w:t>）。</w:t>
      </w:r>
    </w:p>
    <w:p>
      <w:pPr>
        <w:spacing w:line="360" w:lineRule="auto"/>
        <w:ind w:firstLine="480" w:firstLineChars="200"/>
        <w:rPr>
          <w:rFonts w:ascii="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4 </w:t>
      </w:r>
      <w:r>
        <w:rPr>
          <w:rFonts w:hint="eastAsia" w:ascii="宋体" w:hAnsi="宋体" w:cs="宋体"/>
          <w:color w:val="auto"/>
          <w:sz w:val="24"/>
          <w:highlight w:val="none"/>
        </w:rPr>
        <w:t>待相关部门终审结算后，按结算价支付至</w:t>
      </w:r>
      <w:r>
        <w:rPr>
          <w:rFonts w:ascii="宋体" w:hAnsi="宋体" w:cs="宋体"/>
          <w:color w:val="auto"/>
          <w:sz w:val="24"/>
          <w:highlight w:val="none"/>
        </w:rPr>
        <w:t>100%</w:t>
      </w:r>
      <w:r>
        <w:rPr>
          <w:rFonts w:hint="eastAsia" w:ascii="宋体" w:hAnsi="宋体" w:cs="宋体"/>
          <w:color w:val="auto"/>
          <w:sz w:val="24"/>
          <w:highlight w:val="none"/>
        </w:rPr>
        <w:t>。如甲方实际支付的费</w:t>
      </w:r>
      <w:r>
        <w:rPr>
          <w:rFonts w:hint="eastAsia" w:ascii="宋体" w:hAnsi="宋体" w:cs="宋体"/>
          <w:color w:val="auto"/>
          <w:sz w:val="24"/>
          <w:highlight w:val="none"/>
          <w:lang w:val="en-US" w:eastAsia="zh-CN"/>
        </w:rPr>
        <w:t>用</w:t>
      </w:r>
      <w:r>
        <w:rPr>
          <w:rFonts w:hint="eastAsia" w:ascii="宋体" w:hAnsi="宋体" w:cs="宋体"/>
          <w:color w:val="auto"/>
          <w:sz w:val="24"/>
          <w:highlight w:val="none"/>
        </w:rPr>
        <w:t>超过结算价的，乙方应当在结算完毕之日起</w:t>
      </w:r>
      <w:r>
        <w:rPr>
          <w:rFonts w:ascii="宋体" w:hAnsi="宋体" w:cs="宋体"/>
          <w:color w:val="auto"/>
          <w:sz w:val="24"/>
          <w:highlight w:val="none"/>
        </w:rPr>
        <w:t>30</w:t>
      </w:r>
      <w:r>
        <w:rPr>
          <w:rFonts w:hint="eastAsia" w:ascii="宋体" w:hAnsi="宋体" w:cs="宋体"/>
          <w:color w:val="auto"/>
          <w:sz w:val="24"/>
          <w:highlight w:val="none"/>
        </w:rPr>
        <w:t>日内向甲方退还超支费</w:t>
      </w:r>
      <w:r>
        <w:rPr>
          <w:rFonts w:hint="eastAsia" w:ascii="宋体" w:hAnsi="宋体" w:cs="宋体"/>
          <w:color w:val="auto"/>
          <w:sz w:val="24"/>
          <w:highlight w:val="none"/>
          <w:lang w:val="en-US" w:eastAsia="zh-CN"/>
        </w:rPr>
        <w:t>用</w:t>
      </w:r>
      <w:r>
        <w:rPr>
          <w:rFonts w:hint="eastAsia" w:ascii="宋体" w:hAnsi="宋体" w:cs="宋体"/>
          <w:color w:val="auto"/>
          <w:sz w:val="24"/>
          <w:highlight w:val="none"/>
        </w:rPr>
        <w:t>。乙方迟延退还的，每逾期一天按超支费</w:t>
      </w:r>
      <w:r>
        <w:rPr>
          <w:rFonts w:hint="eastAsia" w:ascii="宋体" w:hAnsi="宋体" w:cs="宋体"/>
          <w:color w:val="auto"/>
          <w:sz w:val="24"/>
          <w:highlight w:val="none"/>
          <w:lang w:val="en-US" w:eastAsia="zh-CN"/>
        </w:rPr>
        <w:t>用</w:t>
      </w:r>
      <w:r>
        <w:rPr>
          <w:rFonts w:hint="eastAsia" w:ascii="宋体" w:hAnsi="宋体" w:cs="宋体"/>
          <w:color w:val="auto"/>
          <w:sz w:val="24"/>
          <w:highlight w:val="none"/>
        </w:rPr>
        <w:t>的三倍银行同期储蓄利率向甲方支付利息。</w:t>
      </w:r>
    </w:p>
    <w:p>
      <w:pPr>
        <w:pStyle w:val="1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在合同履行期间，甲方要求终止或解除合同，由双方协商支付费用，费用</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最高支付至60%，费用</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按实际发生费用支付。</w:t>
      </w:r>
    </w:p>
    <w:p>
      <w:pPr>
        <w:adjustRightInd w:val="0"/>
        <w:spacing w:line="360" w:lineRule="auto"/>
        <w:ind w:firstLine="480" w:firstLineChars="200"/>
        <w:jc w:val="left"/>
        <w:textAlignment w:val="baseline"/>
        <w:rPr>
          <w:color w:val="auto"/>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rPr>
        <w:t>乙方</w:t>
      </w:r>
      <w:r>
        <w:rPr>
          <w:rFonts w:hint="eastAsia" w:ascii="宋体" w:hAnsi="宋体"/>
          <w:color w:val="auto"/>
          <w:sz w:val="24"/>
          <w:szCs w:val="24"/>
          <w:highlight w:val="none"/>
        </w:rPr>
        <w:t>在收取每一笔合同费用前，需向甲方提供等额有效的增值税专用发票。</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第八条 双方责任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8.1甲方责任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8.1.1合同生效后，非乙方原因，甲方要求终止或解除合同，乙方未开始</w:t>
      </w:r>
      <w:r>
        <w:rPr>
          <w:rFonts w:hint="eastAsia" w:ascii="宋体" w:hAnsi="宋体" w:cs="宋体"/>
          <w:color w:val="auto"/>
          <w:sz w:val="24"/>
          <w:highlight w:val="none"/>
          <w:lang w:eastAsia="zh-CN"/>
        </w:rPr>
        <w:t>评估</w:t>
      </w:r>
      <w:r>
        <w:rPr>
          <w:rFonts w:hint="eastAsia" w:ascii="宋体" w:hAnsi="宋体" w:cs="宋体"/>
          <w:color w:val="auto"/>
          <w:sz w:val="24"/>
          <w:highlight w:val="none"/>
        </w:rPr>
        <w:t>工作的，</w:t>
      </w:r>
      <w:r>
        <w:rPr>
          <w:rFonts w:hint="eastAsia" w:ascii="宋体" w:hAnsi="宋体" w:cs="宋体"/>
          <w:color w:val="auto"/>
          <w:sz w:val="24"/>
          <w:highlight w:val="none"/>
          <w:lang w:eastAsia="zh-CN"/>
        </w:rPr>
        <w:t>须</w:t>
      </w:r>
      <w:r>
        <w:rPr>
          <w:rFonts w:hint="eastAsia" w:ascii="宋体" w:hAnsi="宋体" w:cs="宋体"/>
          <w:color w:val="auto"/>
          <w:sz w:val="24"/>
          <w:highlight w:val="none"/>
        </w:rPr>
        <w:t xml:space="preserve">退还甲方已付的定金。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8.1.2在合同履行期间，已开始</w:t>
      </w:r>
      <w:r>
        <w:rPr>
          <w:rFonts w:hint="eastAsia" w:ascii="宋体" w:hAnsi="宋体" w:cs="宋体"/>
          <w:color w:val="auto"/>
          <w:sz w:val="24"/>
          <w:highlight w:val="none"/>
          <w:lang w:eastAsia="zh-CN"/>
        </w:rPr>
        <w:t>评估</w:t>
      </w:r>
      <w:r>
        <w:rPr>
          <w:rFonts w:hint="eastAsia" w:ascii="宋体" w:hAnsi="宋体" w:cs="宋体"/>
          <w:color w:val="auto"/>
          <w:sz w:val="24"/>
          <w:highlight w:val="none"/>
        </w:rPr>
        <w:t>工作，非乙方原因，甲方要求终止或解除合同，甲方根据乙方已进行的实际工作量按实进行结算。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8.1.3甲方要求乙方比合同规定时间提前交付</w:t>
      </w:r>
      <w:r>
        <w:rPr>
          <w:rFonts w:hint="eastAsia" w:ascii="宋体" w:hAnsi="宋体" w:cs="宋体"/>
          <w:color w:val="auto"/>
          <w:sz w:val="24"/>
          <w:highlight w:val="none"/>
          <w:lang w:eastAsia="zh-CN"/>
        </w:rPr>
        <w:t>成果</w:t>
      </w:r>
      <w:r>
        <w:rPr>
          <w:rFonts w:hint="eastAsia" w:ascii="宋体" w:hAnsi="宋体" w:cs="宋体"/>
          <w:color w:val="auto"/>
          <w:sz w:val="24"/>
          <w:highlight w:val="none"/>
        </w:rPr>
        <w:t>文件时，需征得乙方同意，不得严重背离合理编制周期。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8.2乙方责任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8.2.1乙方应在商定的时间内向甲方提交有关技术文件，乙方保证具备相应的资质并对提交的文件、报告及所出的结论负责。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8.2.2因文件质量低劣引起返工，除由乙方继续完善外，并视造成损失大小，减收直至免收编制费。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8</w:t>
      </w:r>
      <w:r>
        <w:rPr>
          <w:rFonts w:hint="eastAsia" w:ascii="宋体" w:hAnsi="宋体" w:cs="宋体"/>
          <w:color w:val="auto"/>
          <w:sz w:val="24"/>
          <w:szCs w:val="24"/>
          <w:highlight w:val="none"/>
        </w:rPr>
        <w:t>.2.3乙方应协助配合甲方做好项目</w:t>
      </w:r>
      <w:r>
        <w:rPr>
          <w:rFonts w:hint="eastAsia" w:ascii="宋体" w:hAnsi="宋体" w:cs="宋体"/>
          <w:color w:val="auto"/>
          <w:sz w:val="24"/>
          <w:szCs w:val="24"/>
          <w:highlight w:val="none"/>
          <w:lang w:eastAsia="zh-CN"/>
        </w:rPr>
        <w:t>安全评估</w:t>
      </w:r>
      <w:r>
        <w:rPr>
          <w:rFonts w:hint="eastAsia" w:ascii="宋体" w:hAnsi="宋体" w:cs="宋体"/>
          <w:color w:val="auto"/>
          <w:sz w:val="24"/>
          <w:szCs w:val="24"/>
          <w:highlight w:val="none"/>
        </w:rPr>
        <w:t>报告的报批工作，并取得相关批文。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4</w:t>
      </w:r>
      <w:r>
        <w:rPr>
          <w:rFonts w:hint="eastAsia" w:ascii="宋体" w:hAnsi="宋体" w:cs="宋体"/>
          <w:color w:val="auto"/>
          <w:sz w:val="24"/>
          <w:highlight w:val="none"/>
        </w:rPr>
        <w:t>乙方有责任对甲方提供的资料保密，未经许可，不得提供给与本工程无关的单位和人员使用。乙方未尽保密义务，给甲方造成损失的，应该承担赔偿责任，并向甲方一次性支付合同价款1%的违约金。不论何种情况下保密内容失密的，乙方应当及时采取救济措施。若乙方怠于救济导致甲方损失扩大的，乙方对扩大部分承担赔偿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若标准或计划变更，经甲方同意，乙方可顺延期。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非甲方原因乙方要求解除合同的，应双倍退还定金，定金不足以弥补乙方违约造成的损失的，甲方可要求赔偿超过定金数额的损失。</w:t>
      </w:r>
    </w:p>
    <w:p>
      <w:pPr>
        <w:pStyle w:val="22"/>
        <w:spacing w:line="360" w:lineRule="auto"/>
        <w:rPr>
          <w:color w:val="auto"/>
          <w:highlight w:val="none"/>
        </w:rPr>
      </w:pPr>
      <w:r>
        <w:rPr>
          <w:rFonts w:hint="eastAsia" w:ascii="宋体" w:hAnsi="宋体" w:cs="宋体"/>
          <w:color w:val="auto"/>
          <w:sz w:val="24"/>
          <w:szCs w:val="24"/>
          <w:highlight w:val="none"/>
        </w:rPr>
        <w:t>8.2.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在合同有效期内，若乙方发生不诚信行为情形的，乙方自愿接受甲方按《广州市净水有限公司经营建设项目参建企业不诚信行为管理办法》处理，具体处理标准详见附件4。</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第九条  知识产权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双方均应保护对方的知识产权，未经对方同意，任何一方均不得对对方的资料及文件擅自修改、复制或向第三人转让以及用于本合同项目外的项目。如发生以上情况，泄密方承担一切由此引起的后果并承担赔偿责任。</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第十条  仲裁、起诉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本合同履行过程中发生争议，由双方当事人协商解决。协商不成的依法向甲方所在地的人民法院起诉。</w:t>
      </w:r>
    </w:p>
    <w:p>
      <w:pPr>
        <w:tabs>
          <w:tab w:val="left" w:pos="360"/>
        </w:tabs>
        <w:overflowPunct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第十一条  合同生效及其他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11.1合同生效的条件：合同签订盖章。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11.2甲方委托乙方承担本合同内容以外的工作服务，需另行签订协议并支付费用。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11.3当项目的建设业主变更时，甲方应书面通知乙方并协商合同终止或变更事宜。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11.4由于不可抗力因素致使合同无法履行时，双方应及时协商解决。</w:t>
      </w:r>
    </w:p>
    <w:p>
      <w:pPr>
        <w:spacing w:line="360" w:lineRule="auto"/>
        <w:ind w:left="210" w:leftChars="100" w:firstLine="240" w:firstLineChars="100"/>
        <w:rPr>
          <w:rFonts w:ascii="宋体" w:hAnsi="宋体" w:cs="宋体"/>
          <w:color w:val="auto"/>
          <w:sz w:val="24"/>
          <w:highlight w:val="none"/>
        </w:rPr>
      </w:pPr>
      <w:r>
        <w:rPr>
          <w:rFonts w:hint="eastAsia" w:ascii="宋体" w:hAnsi="宋体" w:cs="宋体"/>
          <w:color w:val="auto"/>
          <w:sz w:val="24"/>
          <w:highlight w:val="none"/>
        </w:rPr>
        <w:t>11.5本合同正本一式</w:t>
      </w:r>
      <w:r>
        <w:rPr>
          <w:rFonts w:hint="eastAsia" w:ascii="宋体" w:hAnsi="宋体" w:cs="宋体"/>
          <w:color w:val="auto"/>
          <w:sz w:val="24"/>
          <w:highlight w:val="none"/>
          <w:u w:val="single"/>
        </w:rPr>
        <w:t>贰</w:t>
      </w:r>
      <w:r>
        <w:rPr>
          <w:rFonts w:hint="eastAsia" w:ascii="宋体" w:hAnsi="宋体" w:cs="宋体"/>
          <w:color w:val="auto"/>
          <w:sz w:val="24"/>
          <w:highlight w:val="none"/>
        </w:rPr>
        <w:t>份，甲方执</w:t>
      </w:r>
      <w:r>
        <w:rPr>
          <w:rFonts w:hint="eastAsia" w:ascii="宋体" w:hAnsi="宋体" w:cs="宋体"/>
          <w:color w:val="auto"/>
          <w:sz w:val="24"/>
          <w:highlight w:val="none"/>
          <w:u w:val="single"/>
        </w:rPr>
        <w:t>壹</w:t>
      </w:r>
      <w:r>
        <w:rPr>
          <w:rFonts w:hint="eastAsia" w:ascii="宋体" w:hAnsi="宋体" w:cs="宋体"/>
          <w:color w:val="auto"/>
          <w:sz w:val="24"/>
          <w:highlight w:val="none"/>
        </w:rPr>
        <w:t>份，乙方执</w:t>
      </w:r>
      <w:r>
        <w:rPr>
          <w:rFonts w:hint="eastAsia" w:ascii="宋体" w:hAnsi="宋体" w:cs="宋体"/>
          <w:color w:val="auto"/>
          <w:sz w:val="24"/>
          <w:highlight w:val="none"/>
          <w:u w:val="single"/>
        </w:rPr>
        <w:t>壹</w:t>
      </w:r>
      <w:r>
        <w:rPr>
          <w:rFonts w:hint="eastAsia" w:ascii="宋体" w:hAnsi="宋体" w:cs="宋体"/>
          <w:color w:val="auto"/>
          <w:sz w:val="24"/>
          <w:highlight w:val="none"/>
        </w:rPr>
        <w:t>份；副本一式</w:t>
      </w:r>
      <w:r>
        <w:rPr>
          <w:rFonts w:hint="eastAsia" w:ascii="宋体" w:hAnsi="宋体" w:cs="宋体"/>
          <w:color w:val="auto"/>
          <w:sz w:val="24"/>
          <w:highlight w:val="none"/>
          <w:u w:val="single"/>
        </w:rPr>
        <w:t>捌</w:t>
      </w:r>
      <w:r>
        <w:rPr>
          <w:rFonts w:hint="eastAsia" w:ascii="宋体" w:hAnsi="宋体" w:cs="宋体"/>
          <w:color w:val="auto"/>
          <w:sz w:val="24"/>
          <w:highlight w:val="none"/>
        </w:rPr>
        <w:t>份，甲方执</w:t>
      </w:r>
      <w:r>
        <w:rPr>
          <w:rFonts w:hint="eastAsia" w:ascii="宋体" w:hAnsi="宋体" w:cs="宋体"/>
          <w:color w:val="auto"/>
          <w:sz w:val="24"/>
          <w:highlight w:val="none"/>
          <w:u w:val="single"/>
        </w:rPr>
        <w:t>伍</w:t>
      </w:r>
      <w:r>
        <w:rPr>
          <w:rFonts w:hint="eastAsia" w:ascii="宋体" w:hAnsi="宋体" w:cs="宋体"/>
          <w:color w:val="auto"/>
          <w:sz w:val="24"/>
          <w:highlight w:val="none"/>
        </w:rPr>
        <w:t>份，乙方执</w:t>
      </w:r>
      <w:r>
        <w:rPr>
          <w:rFonts w:hint="eastAsia" w:ascii="宋体" w:hAnsi="宋体" w:cs="宋体"/>
          <w:color w:val="auto"/>
          <w:sz w:val="24"/>
          <w:highlight w:val="none"/>
          <w:u w:val="single"/>
        </w:rPr>
        <w:t>叁</w:t>
      </w:r>
      <w:r>
        <w:rPr>
          <w:rFonts w:hint="eastAsia" w:ascii="宋体" w:hAnsi="宋体" w:cs="宋体"/>
          <w:color w:val="auto"/>
          <w:sz w:val="24"/>
          <w:highlight w:val="none"/>
        </w:rPr>
        <w:t>份，双方所执合同具同等法律效力（若正本与副本有差异，以正本为准。）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11.6双方履行完合同规定的义务后，本合同即行终止。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11.7双方认可的来往传真、会议纪要等，均为合同的组成部分，与本合同具有同等法律效力。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11.8未尽事宜，双方协商一致，可签订补充协议，补充协议与本合同具有同等效力。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11.9本合同附件是合同不可分割的一部分，具有相同的法律效力，具体附件如下：</w:t>
      </w:r>
    </w:p>
    <w:p>
      <w:pPr>
        <w:pStyle w:val="15"/>
        <w:spacing w:line="360" w:lineRule="auto"/>
        <w:ind w:left="0" w:leftChars="0"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rPr>
        <w:t>附件1：</w:t>
      </w:r>
      <w:r>
        <w:rPr>
          <w:rFonts w:hint="eastAsia" w:ascii="宋体" w:hAnsi="宋体" w:eastAsia="宋体" w:cs="宋体"/>
          <w:color w:val="auto"/>
          <w:sz w:val="24"/>
          <w:szCs w:val="24"/>
          <w:highlight w:val="none"/>
        </w:rPr>
        <w:t xml:space="preserve">发包通知书 </w:t>
      </w:r>
    </w:p>
    <w:p>
      <w:pPr>
        <w:pStyle w:val="15"/>
        <w:spacing w:line="360" w:lineRule="auto"/>
        <w:ind w:left="0" w:lef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附件2：廉洁协议 </w:t>
      </w:r>
    </w:p>
    <w:p>
      <w:pPr>
        <w:pStyle w:val="15"/>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附件3：安全协议书</w:t>
      </w:r>
    </w:p>
    <w:p>
      <w:pPr>
        <w:pStyle w:val="15"/>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附件4</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防疫</w:t>
      </w:r>
      <w:r>
        <w:rPr>
          <w:rFonts w:hint="eastAsia" w:ascii="宋体" w:hAnsi="宋体" w:cs="宋体"/>
          <w:color w:val="auto"/>
          <w:sz w:val="24"/>
          <w:szCs w:val="24"/>
          <w:highlight w:val="none"/>
          <w:lang w:eastAsia="zh-CN"/>
        </w:rPr>
        <w:t>管理协议书</w:t>
      </w:r>
      <w:r>
        <w:rPr>
          <w:rFonts w:hint="eastAsia" w:ascii="宋体" w:hAnsi="宋体" w:cs="宋体"/>
          <w:color w:val="auto"/>
          <w:sz w:val="24"/>
          <w:szCs w:val="24"/>
          <w:highlight w:val="none"/>
        </w:rPr>
        <w:t xml:space="preserve"> </w:t>
      </w:r>
    </w:p>
    <w:p>
      <w:pPr>
        <w:pStyle w:val="15"/>
        <w:spacing w:line="360" w:lineRule="auto"/>
        <w:ind w:left="0" w:leftChars="0" w:firstLine="480" w:firstLineChars="200"/>
        <w:rPr>
          <w:rFonts w:ascii="宋体" w:hAnsi="宋体" w:cs="宋体"/>
          <w:color w:val="auto"/>
          <w:sz w:val="24"/>
          <w:szCs w:val="24"/>
          <w:highlight w:val="none"/>
        </w:rPr>
      </w:pPr>
    </w:p>
    <w:p>
      <w:pPr>
        <w:spacing w:line="360" w:lineRule="auto"/>
        <w:ind w:firstLine="480" w:firstLineChars="200"/>
        <w:rPr>
          <w:rFonts w:ascii="宋体" w:hAnsi="宋体" w:cs="宋体"/>
          <w:color w:val="auto"/>
          <w:sz w:val="24"/>
          <w:highlight w:val="none"/>
        </w:rPr>
      </w:pPr>
    </w:p>
    <w:p>
      <w:pPr>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（以下无正文）</w:t>
      </w:r>
    </w:p>
    <w:p>
      <w:pPr>
        <w:pStyle w:val="30"/>
        <w:rPr>
          <w:rFonts w:hint="eastAsia" w:ascii="宋体" w:hAnsi="宋体" w:cs="宋体"/>
          <w:color w:val="auto"/>
          <w:sz w:val="24"/>
          <w:szCs w:val="24"/>
          <w:highlight w:val="none"/>
        </w:rPr>
      </w:pPr>
    </w:p>
    <w:p>
      <w:pPr>
        <w:pStyle w:val="30"/>
        <w:rPr>
          <w:rFonts w:hint="eastAsia" w:ascii="宋体" w:hAnsi="宋体" w:cs="宋体"/>
          <w:color w:val="auto"/>
          <w:sz w:val="24"/>
          <w:szCs w:val="24"/>
          <w:highlight w:val="none"/>
        </w:rPr>
      </w:pPr>
    </w:p>
    <w:p>
      <w:pPr>
        <w:pStyle w:val="30"/>
        <w:rPr>
          <w:rFonts w:hint="eastAsia" w:ascii="宋体" w:hAnsi="宋体" w:cs="宋体"/>
          <w:color w:val="auto"/>
          <w:sz w:val="24"/>
          <w:szCs w:val="24"/>
          <w:highlight w:val="none"/>
        </w:rPr>
      </w:pPr>
    </w:p>
    <w:p>
      <w:pPr>
        <w:pStyle w:val="30"/>
        <w:rPr>
          <w:rFonts w:hint="eastAsia" w:ascii="宋体" w:hAnsi="宋体" w:cs="宋体"/>
          <w:color w:val="auto"/>
          <w:sz w:val="24"/>
          <w:szCs w:val="24"/>
          <w:highlight w:val="none"/>
        </w:rPr>
      </w:pPr>
    </w:p>
    <w:p>
      <w:pPr>
        <w:pStyle w:val="30"/>
        <w:rPr>
          <w:rFonts w:hint="eastAsia" w:ascii="宋体" w:hAnsi="宋体" w:cs="宋体"/>
          <w:color w:val="auto"/>
          <w:sz w:val="24"/>
          <w:szCs w:val="24"/>
          <w:highlight w:val="none"/>
        </w:rPr>
      </w:pPr>
    </w:p>
    <w:p>
      <w:pPr>
        <w:jc w:val="center"/>
        <w:outlineLvl w:val="0"/>
        <w:rPr>
          <w:rFonts w:ascii="宋体" w:hAnsi="宋体" w:cs="宋体"/>
          <w:color w:val="auto"/>
          <w:sz w:val="24"/>
          <w:szCs w:val="24"/>
          <w:highlight w:val="none"/>
        </w:rPr>
      </w:pPr>
    </w:p>
    <w:tbl>
      <w:tblPr>
        <w:tblStyle w:val="24"/>
        <w:tblW w:w="0" w:type="auto"/>
        <w:jc w:val="center"/>
        <w:tblLayout w:type="fixed"/>
        <w:tblCellMar>
          <w:top w:w="0" w:type="dxa"/>
          <w:left w:w="28" w:type="dxa"/>
          <w:bottom w:w="0" w:type="dxa"/>
          <w:right w:w="28" w:type="dxa"/>
        </w:tblCellMar>
      </w:tblPr>
      <w:tblGrid>
        <w:gridCol w:w="4134"/>
        <w:gridCol w:w="5033"/>
      </w:tblGrid>
      <w:tr>
        <w:tblPrEx>
          <w:tblCellMar>
            <w:top w:w="0" w:type="dxa"/>
            <w:left w:w="28" w:type="dxa"/>
            <w:bottom w:w="0" w:type="dxa"/>
            <w:right w:w="28" w:type="dxa"/>
          </w:tblCellMar>
        </w:tblPrEx>
        <w:trPr>
          <w:trHeight w:val="310" w:hRule="atLeast"/>
          <w:jc w:val="center"/>
        </w:trPr>
        <w:tc>
          <w:tcPr>
            <w:tcW w:w="4134"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甲方：</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乙方：</w:t>
            </w:r>
          </w:p>
        </w:tc>
      </w:tr>
      <w:tr>
        <w:tblPrEx>
          <w:tblCellMar>
            <w:top w:w="0" w:type="dxa"/>
            <w:left w:w="28" w:type="dxa"/>
            <w:bottom w:w="0" w:type="dxa"/>
            <w:right w:w="28" w:type="dxa"/>
          </w:tblCellMar>
        </w:tblPrEx>
        <w:trPr>
          <w:trHeight w:val="620"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（盖章）</w:t>
            </w:r>
          </w:p>
          <w:p>
            <w:pPr>
              <w:spacing w:line="360" w:lineRule="auto"/>
              <w:rPr>
                <w:rFonts w:ascii="宋体" w:hAnsi="宋体" w:cs="宋体"/>
                <w:color w:val="auto"/>
                <w:sz w:val="24"/>
                <w:highlight w:val="none"/>
              </w:rPr>
            </w:pP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（盖章）</w:t>
            </w:r>
          </w:p>
          <w:p>
            <w:pPr>
              <w:spacing w:line="360" w:lineRule="auto"/>
              <w:rPr>
                <w:rFonts w:ascii="宋体" w:hAnsi="宋体" w:cs="宋体"/>
                <w:color w:val="auto"/>
                <w:sz w:val="24"/>
                <w:highlight w:val="none"/>
              </w:rPr>
            </w:pPr>
          </w:p>
        </w:tc>
      </w:tr>
      <w:tr>
        <w:tblPrEx>
          <w:tblCellMar>
            <w:top w:w="0" w:type="dxa"/>
            <w:left w:w="28" w:type="dxa"/>
            <w:bottom w:w="0" w:type="dxa"/>
            <w:right w:w="28" w:type="dxa"/>
          </w:tblCellMar>
        </w:tblPrEx>
        <w:trPr>
          <w:trHeight w:val="930"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法定代表人/授权代理人：</w:t>
            </w:r>
          </w:p>
          <w:p>
            <w:pPr>
              <w:spacing w:line="360" w:lineRule="auto"/>
              <w:rPr>
                <w:rFonts w:ascii="宋体" w:hAnsi="宋体" w:cs="宋体"/>
                <w:color w:val="auto"/>
                <w:sz w:val="24"/>
                <w:highlight w:val="none"/>
              </w:rPr>
            </w:pP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法定代表人/授权代理人：</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联系人：</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联系人：</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传真：</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传真：</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开户行：</w:t>
            </w:r>
          </w:p>
        </w:tc>
      </w:tr>
      <w:tr>
        <w:tblPrEx>
          <w:tblCellMar>
            <w:top w:w="0" w:type="dxa"/>
            <w:left w:w="28" w:type="dxa"/>
            <w:bottom w:w="0" w:type="dxa"/>
            <w:right w:w="28" w:type="dxa"/>
          </w:tblCellMar>
        </w:tblPrEx>
        <w:trPr>
          <w:trHeight w:val="465" w:hRule="atLeast"/>
          <w:jc w:val="center"/>
        </w:trPr>
        <w:tc>
          <w:tcPr>
            <w:tcW w:w="4134" w:type="dxa"/>
            <w:vAlign w:val="center"/>
          </w:tcPr>
          <w:p>
            <w:pPr>
              <w:spacing w:line="360" w:lineRule="auto"/>
              <w:rPr>
                <w:rFonts w:ascii="宋体" w:hAnsi="宋体" w:cs="宋体"/>
                <w:color w:val="auto"/>
                <w:sz w:val="24"/>
                <w:highlight w:val="none"/>
              </w:rPr>
            </w:pP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账号：</w:t>
            </w:r>
          </w:p>
        </w:tc>
      </w:tr>
      <w:tr>
        <w:tblPrEx>
          <w:tblCellMar>
            <w:top w:w="0" w:type="dxa"/>
            <w:left w:w="28" w:type="dxa"/>
            <w:bottom w:w="0" w:type="dxa"/>
            <w:right w:w="28" w:type="dxa"/>
          </w:tblCellMar>
        </w:tblPrEx>
        <w:trPr>
          <w:trHeight w:val="414" w:hRule="atLeast"/>
          <w:jc w:val="center"/>
        </w:trPr>
        <w:tc>
          <w:tcPr>
            <w:tcW w:w="413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签定日期：2019年 月 日</w:t>
            </w:r>
          </w:p>
        </w:tc>
        <w:tc>
          <w:tcPr>
            <w:tcW w:w="50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签定日期：2019年 月 日</w:t>
            </w:r>
          </w:p>
        </w:tc>
      </w:tr>
    </w:tbl>
    <w:p>
      <w:pPr>
        <w:ind w:right="-512" w:rightChars="-244"/>
        <w:rPr>
          <w:color w:val="auto"/>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  发包通知书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  廉洁协议</w:t>
      </w:r>
    </w:p>
    <w:p>
      <w:pPr>
        <w:pStyle w:val="30"/>
        <w:rPr>
          <w:color w:val="auto"/>
          <w:highlight w:val="none"/>
        </w:rPr>
      </w:pPr>
    </w:p>
    <w:p>
      <w:pPr>
        <w:spacing w:line="520" w:lineRule="exact"/>
        <w:jc w:val="center"/>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廉洁协议</w:t>
      </w:r>
    </w:p>
    <w:p>
      <w:pPr>
        <w:spacing w:line="520" w:lineRule="exact"/>
        <w:ind w:firstLine="630" w:firstLineChars="225"/>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(以下称甲方)与</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(以下称乙方)，特此订立本协议共同遵照执行。</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第一条 甲乙双方的权利和义务</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（二）严格执行</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合同（以下简称：主合同），自觉履行合同约定的相关义务。</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（三）在业务活动中坚持公开、公正、诚信、透明的原则，不得损害国家、集体利益。</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第二条甲方的义务</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（七）甲方工作人员不得接受乙方给予或赠送的干股或红利。</w:t>
      </w:r>
    </w:p>
    <w:p>
      <w:pPr>
        <w:spacing w:line="520" w:lineRule="exact"/>
        <w:ind w:left="15" w:leftChars="7"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(八）不得存在其他违反廉洁规定的行为。</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第三条乙方的义务</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（一）乙方不得以任何理由向甲方及其工作人员行贿或馈赠礼金、有价证券、贵重礼品。</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（三）乙方不得以任何理由安排甲方工作人员参加可能影响相关业务公开、公正、公平性的宴请及娱乐活动。</w:t>
      </w:r>
    </w:p>
    <w:p>
      <w:pPr>
        <w:spacing w:line="520" w:lineRule="exact"/>
        <w:ind w:left="25" w:leftChars="12"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（七）乙方不得向甲方工作人员提供干股或红利。</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(八）不得存在其他违反廉洁规定的行为。</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第四条违约责任</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甲方举报投诉联系部门：广州市净水有限公司</w:t>
      </w:r>
      <w:r>
        <w:rPr>
          <w:rFonts w:hint="eastAsia" w:ascii="仿宋" w:hAnsi="仿宋" w:eastAsia="仿宋" w:cs="仿宋"/>
          <w:bCs/>
          <w:color w:val="auto"/>
          <w:sz w:val="28"/>
          <w:szCs w:val="28"/>
          <w:highlight w:val="none"/>
          <w:u w:val="single"/>
        </w:rPr>
        <w:t>纪检室</w:t>
      </w:r>
      <w:r>
        <w:rPr>
          <w:rFonts w:hint="eastAsia" w:ascii="仿宋" w:hAnsi="仿宋" w:eastAsia="仿宋" w:cs="仿宋"/>
          <w:bCs/>
          <w:color w:val="auto"/>
          <w:sz w:val="28"/>
          <w:szCs w:val="28"/>
          <w:highlight w:val="none"/>
        </w:rPr>
        <w:t>，联系电话：</w:t>
      </w:r>
      <w:r>
        <w:rPr>
          <w:rFonts w:hint="eastAsia" w:ascii="仿宋" w:hAnsi="仿宋" w:eastAsia="仿宋" w:cs="仿宋"/>
          <w:bCs/>
          <w:color w:val="auto"/>
          <w:sz w:val="28"/>
          <w:szCs w:val="28"/>
          <w:highlight w:val="none"/>
          <w:u w:val="single"/>
        </w:rPr>
        <w:t xml:space="preserve"> 020-38890265 </w:t>
      </w:r>
      <w:r>
        <w:rPr>
          <w:rFonts w:hint="eastAsia" w:ascii="仿宋" w:hAnsi="仿宋" w:eastAsia="仿宋" w:cs="仿宋"/>
          <w:bCs/>
          <w:color w:val="auto"/>
          <w:sz w:val="28"/>
          <w:szCs w:val="28"/>
          <w:highlight w:val="none"/>
        </w:rPr>
        <w:t>。</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1、扣除主合同的全部履约保证金；</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2、解除主合同；</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3、追究乙方其他违约责任；</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4、根据甲方的有关规章制度，在一定时间内暂停乙方参与甲方及下属单位所有项目的交易资格；</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5、根据甲方的有关规章制度，将乙方清退出甲方相关企业库；</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6、根据甲方上级单位、行政主管部门的意见、决定执行；</w:t>
      </w:r>
    </w:p>
    <w:p>
      <w:pPr>
        <w:pStyle w:val="21"/>
        <w:spacing w:beforeAutospacing="0"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7、按规定向有关行政监督部门、乙方业务管理部门进行投诉、报告。</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 w:hAnsi="仿宋" w:eastAsia="仿宋" w:cs="仿宋"/>
          <w:bCs/>
          <w:color w:val="auto"/>
          <w:kern w:val="0"/>
          <w:sz w:val="28"/>
          <w:szCs w:val="28"/>
          <w:highlight w:val="none"/>
        </w:rPr>
      </w:pPr>
      <w:r>
        <w:rPr>
          <w:rFonts w:hint="eastAsia" w:ascii="仿宋" w:hAnsi="仿宋" w:eastAsia="仿宋" w:cs="仿宋"/>
          <w:bCs/>
          <w:color w:val="auto"/>
          <w:sz w:val="28"/>
          <w:szCs w:val="28"/>
          <w:highlight w:val="none"/>
        </w:rPr>
        <w:t xml:space="preserve">第五条 </w:t>
      </w:r>
      <w:r>
        <w:rPr>
          <w:rFonts w:hint="eastAsia" w:ascii="仿宋" w:hAnsi="仿宋" w:eastAsia="仿宋" w:cs="仿宋"/>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第六条本协议作为</w:t>
      </w:r>
      <w:r>
        <w:rPr>
          <w:rFonts w:hint="eastAsia" w:ascii="仿宋" w:hAnsi="仿宋" w:eastAsia="仿宋" w:cs="仿宋"/>
          <w:bCs/>
          <w:color w:val="auto"/>
          <w:sz w:val="28"/>
          <w:szCs w:val="28"/>
          <w:highlight w:val="none"/>
          <w:u w:val="single"/>
        </w:rPr>
        <w:t xml:space="preserve">             合同（穗净水合[2022]   号）</w:t>
      </w:r>
      <w:r>
        <w:rPr>
          <w:rFonts w:hint="eastAsia" w:ascii="仿宋" w:hAnsi="仿宋" w:eastAsia="仿宋" w:cs="仿宋"/>
          <w:bCs/>
          <w:color w:val="auto"/>
          <w:sz w:val="28"/>
          <w:szCs w:val="28"/>
          <w:highlight w:val="none"/>
        </w:rPr>
        <w:t>的附件，并具有同等的法律效力，本协议自双方签字盖章之日起生效，与主合同同时终止。</w:t>
      </w:r>
    </w:p>
    <w:p>
      <w:pPr>
        <w:spacing w:line="520" w:lineRule="exact"/>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第七条本协议一式</w:t>
      </w:r>
      <w:r>
        <w:rPr>
          <w:rFonts w:hint="eastAsia" w:ascii="仿宋" w:hAnsi="仿宋" w:eastAsia="仿宋" w:cs="仿宋"/>
          <w:bCs/>
          <w:color w:val="auto"/>
          <w:sz w:val="28"/>
          <w:szCs w:val="28"/>
          <w:highlight w:val="none"/>
          <w:u w:val="single"/>
        </w:rPr>
        <w:t>拾</w:t>
      </w:r>
      <w:r>
        <w:rPr>
          <w:rFonts w:hint="eastAsia" w:ascii="仿宋" w:hAnsi="仿宋" w:eastAsia="仿宋" w:cs="仿宋"/>
          <w:bCs/>
          <w:color w:val="auto"/>
          <w:sz w:val="28"/>
          <w:szCs w:val="28"/>
          <w:highlight w:val="none"/>
        </w:rPr>
        <w:t>份，甲方</w:t>
      </w:r>
      <w:r>
        <w:rPr>
          <w:rFonts w:hint="eastAsia" w:ascii="仿宋" w:hAnsi="仿宋" w:eastAsia="仿宋" w:cs="仿宋"/>
          <w:bCs/>
          <w:color w:val="auto"/>
          <w:sz w:val="28"/>
          <w:szCs w:val="28"/>
          <w:highlight w:val="none"/>
          <w:u w:val="single"/>
        </w:rPr>
        <w:t>陆</w:t>
      </w:r>
      <w:r>
        <w:rPr>
          <w:rFonts w:hint="eastAsia" w:ascii="仿宋" w:hAnsi="仿宋" w:eastAsia="仿宋" w:cs="仿宋"/>
          <w:bCs/>
          <w:color w:val="auto"/>
          <w:sz w:val="28"/>
          <w:szCs w:val="28"/>
          <w:highlight w:val="none"/>
        </w:rPr>
        <w:t>份，乙方</w:t>
      </w:r>
      <w:r>
        <w:rPr>
          <w:rFonts w:hint="eastAsia" w:ascii="仿宋" w:hAnsi="仿宋" w:eastAsia="仿宋" w:cs="仿宋"/>
          <w:bCs/>
          <w:color w:val="auto"/>
          <w:sz w:val="28"/>
          <w:szCs w:val="28"/>
          <w:highlight w:val="none"/>
          <w:u w:val="single"/>
        </w:rPr>
        <w:t>肆</w:t>
      </w:r>
      <w:r>
        <w:rPr>
          <w:rFonts w:hint="eastAsia" w:ascii="仿宋" w:hAnsi="仿宋" w:eastAsia="仿宋" w:cs="仿宋"/>
          <w:bCs/>
          <w:color w:val="auto"/>
          <w:sz w:val="28"/>
          <w:szCs w:val="28"/>
          <w:highlight w:val="none"/>
        </w:rPr>
        <w:t>份。</w:t>
      </w:r>
    </w:p>
    <w:p>
      <w:pPr>
        <w:spacing w:line="520" w:lineRule="exact"/>
        <w:ind w:firstLine="560" w:firstLineChars="200"/>
        <w:rPr>
          <w:rFonts w:ascii="仿宋" w:hAnsi="仿宋" w:eastAsia="仿宋" w:cs="仿宋"/>
          <w:bCs/>
          <w:color w:val="auto"/>
          <w:sz w:val="28"/>
          <w:szCs w:val="28"/>
          <w:highlight w:val="none"/>
        </w:rPr>
      </w:pPr>
    </w:p>
    <w:p>
      <w:pPr>
        <w:spacing w:line="520" w:lineRule="exact"/>
        <w:rPr>
          <w:rFonts w:ascii="仿宋" w:hAnsi="仿宋" w:eastAsia="仿宋" w:cs="仿宋"/>
          <w:bCs/>
          <w:color w:val="auto"/>
          <w:sz w:val="28"/>
          <w:szCs w:val="28"/>
          <w:highlight w:val="none"/>
        </w:rPr>
      </w:pPr>
    </w:p>
    <w:p>
      <w:pPr>
        <w:pStyle w:val="23"/>
        <w:rPr>
          <w:color w:val="auto"/>
          <w:highlight w:val="none"/>
        </w:rPr>
      </w:pPr>
    </w:p>
    <w:p>
      <w:pPr>
        <w:spacing w:line="52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甲方（盖章）：                     乙方（盖章）：</w:t>
      </w:r>
    </w:p>
    <w:p>
      <w:pPr>
        <w:pStyle w:val="36"/>
        <w:tabs>
          <w:tab w:val="left" w:pos="5100"/>
        </w:tabs>
        <w:spacing w:line="520" w:lineRule="exact"/>
        <w:ind w:left="7200" w:firstLine="0" w:firstLineChars="0"/>
        <w:jc w:val="left"/>
        <w:rPr>
          <w:rFonts w:ascii="仿宋" w:hAnsi="仿宋" w:eastAsia="仿宋" w:cs="仿宋"/>
          <w:bCs/>
          <w:color w:val="auto"/>
          <w:sz w:val="28"/>
          <w:szCs w:val="28"/>
          <w:highlight w:val="none"/>
        </w:rPr>
      </w:pPr>
    </w:p>
    <w:p>
      <w:pPr>
        <w:tabs>
          <w:tab w:val="left" w:pos="5100"/>
        </w:tabs>
        <w:spacing w:line="520" w:lineRule="exact"/>
        <w:ind w:left="8400" w:hanging="8400" w:hangingChars="30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签约代表：                         签约代表：</w:t>
      </w:r>
    </w:p>
    <w:p>
      <w:pPr>
        <w:tabs>
          <w:tab w:val="left" w:pos="4170"/>
        </w:tabs>
        <w:spacing w:line="520" w:lineRule="exact"/>
        <w:rPr>
          <w:rFonts w:ascii="仿宋_GB2312" w:hAnsi="仿宋_GB2312" w:eastAsia="仿宋_GB2312" w:cs="仿宋_GB2312"/>
          <w:bCs/>
          <w:color w:val="auto"/>
          <w:sz w:val="28"/>
          <w:szCs w:val="28"/>
          <w:highlight w:val="none"/>
        </w:rPr>
      </w:pPr>
      <w:r>
        <w:rPr>
          <w:rFonts w:hint="eastAsia" w:ascii="仿宋" w:hAnsi="仿宋" w:eastAsia="仿宋" w:cs="仿宋"/>
          <w:bCs/>
          <w:color w:val="auto"/>
          <w:sz w:val="28"/>
          <w:szCs w:val="28"/>
          <w:highlight w:val="none"/>
        </w:rPr>
        <w:t>日期:2022年  月  日</w:t>
      </w:r>
      <w:r>
        <w:rPr>
          <w:rFonts w:hint="eastAsia" w:ascii="仿宋" w:hAnsi="仿宋" w:eastAsia="仿宋" w:cs="仿宋"/>
          <w:bCs/>
          <w:color w:val="auto"/>
          <w:sz w:val="28"/>
          <w:szCs w:val="28"/>
          <w:highlight w:val="none"/>
        </w:rPr>
        <w:tab/>
      </w:r>
      <w:r>
        <w:rPr>
          <w:rFonts w:hint="eastAsia" w:ascii="仿宋" w:hAnsi="仿宋" w:eastAsia="仿宋" w:cs="仿宋"/>
          <w:bCs/>
          <w:color w:val="auto"/>
          <w:sz w:val="28"/>
          <w:szCs w:val="28"/>
          <w:highlight w:val="none"/>
        </w:rPr>
        <w:t xml:space="preserve">     日期：2022年  月  日</w:t>
      </w:r>
    </w:p>
    <w:p>
      <w:pPr>
        <w:pStyle w:val="30"/>
        <w:rPr>
          <w:color w:val="auto"/>
          <w:highlight w:val="none"/>
        </w:rPr>
        <w:sectPr>
          <w:pgSz w:w="11906" w:h="16838"/>
          <w:pgMar w:top="1440" w:right="1800" w:bottom="1440" w:left="1800" w:header="851" w:footer="992" w:gutter="0"/>
          <w:pgNumType w:fmt="decimal"/>
          <w:cols w:space="425" w:num="1"/>
          <w:docGrid w:type="lines" w:linePitch="312" w:charSpace="0"/>
        </w:sectPr>
      </w:pPr>
    </w:p>
    <w:p>
      <w:pPr>
        <w:spacing w:line="560" w:lineRule="exact"/>
        <w:jc w:val="left"/>
        <w:rPr>
          <w:rFonts w:ascii="宋体" w:hAnsi="宋体" w:cs="宋体"/>
          <w:b/>
          <w:bCs/>
          <w:color w:val="auto"/>
          <w:szCs w:val="21"/>
          <w:highlight w:val="none"/>
        </w:rPr>
      </w:pPr>
      <w:r>
        <w:rPr>
          <w:rFonts w:hint="eastAsia" w:ascii="宋体" w:hAnsi="宋体" w:eastAsia="宋体" w:cs="宋体"/>
          <w:b/>
          <w:bCs/>
          <w:color w:val="auto"/>
          <w:szCs w:val="21"/>
          <w:highlight w:val="none"/>
        </w:rPr>
        <w:t>附件3</w:t>
      </w:r>
      <w:r>
        <w:rPr>
          <w:rFonts w:hint="eastAsia" w:ascii="宋体" w:hAnsi="宋体" w:cs="宋体"/>
          <w:b/>
          <w:bCs/>
          <w:color w:val="auto"/>
          <w:szCs w:val="21"/>
          <w:highlight w:val="none"/>
        </w:rPr>
        <w:t xml:space="preserve"> 安全协议书</w:t>
      </w:r>
    </w:p>
    <w:p>
      <w:pPr>
        <w:spacing w:line="360" w:lineRule="auto"/>
        <w:rPr>
          <w:rFonts w:ascii="宋体" w:hAnsi="宋体"/>
          <w:color w:val="auto"/>
          <w:szCs w:val="21"/>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 xml:space="preserve">  </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乙方：</w:t>
      </w:r>
      <w:r>
        <w:rPr>
          <w:rFonts w:hint="eastAsia" w:ascii="宋体" w:hAnsi="宋体" w:cs="宋体"/>
          <w:color w:val="auto"/>
          <w:sz w:val="24"/>
          <w:highlight w:val="none"/>
        </w:rPr>
        <w:t xml:space="preserve">    </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一、本协议与主合同的关系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本协议作为</w:t>
      </w:r>
      <w:r>
        <w:rPr>
          <w:rFonts w:hint="eastAsia" w:ascii="宋体" w:hAnsi="宋体"/>
          <w:color w:val="auto"/>
          <w:sz w:val="24"/>
          <w:highlight w:val="none"/>
          <w:u w:val="single"/>
        </w:rPr>
        <w:t xml:space="preserve">                    </w:t>
      </w:r>
      <w:r>
        <w:rPr>
          <w:rFonts w:hint="eastAsia" w:ascii="宋体" w:hAnsi="宋体"/>
          <w:color w:val="auto"/>
          <w:sz w:val="24"/>
          <w:highlight w:val="none"/>
        </w:rPr>
        <w:t>合同的组成部分，与主合同具有同等法律。</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二、甲方权责</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三、乙方权责</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（四）遵守甲方制定的安全管理要求。</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四、事故责任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（七）委托的第三方运输单位或个人，违反本协议的，全部责任均由乙方承担。</w:t>
      </w:r>
    </w:p>
    <w:p>
      <w:pPr>
        <w:pStyle w:val="39"/>
        <w:spacing w:line="560" w:lineRule="exact"/>
        <w:ind w:firstLine="482" w:firstLineChars="200"/>
        <w:rPr>
          <w:rFonts w:ascii="宋体" w:hAnsi="宋体"/>
          <w:color w:val="auto"/>
          <w:sz w:val="24"/>
          <w:highlight w:val="none"/>
        </w:rPr>
      </w:pPr>
      <w:r>
        <w:rPr>
          <w:rFonts w:hint="eastAsia" w:ascii="宋体" w:hAnsi="宋体"/>
          <w:b/>
          <w:color w:val="auto"/>
          <w:sz w:val="24"/>
          <w:highlight w:val="none"/>
        </w:rPr>
        <w:t>五、补充条款：</w:t>
      </w:r>
      <w:r>
        <w:rPr>
          <w:rFonts w:hint="eastAsia" w:ascii="宋体" w:hAnsi="宋体"/>
          <w:color w:val="auto"/>
          <w:sz w:val="24"/>
          <w:highlight w:val="none"/>
          <w:u w:val="single"/>
        </w:rPr>
        <w:t xml:space="preserve"> 无 </w:t>
      </w:r>
      <w:r>
        <w:rPr>
          <w:rFonts w:hint="eastAsia" w:ascii="宋体" w:hAnsi="宋体"/>
          <w:color w:val="auto"/>
          <w:sz w:val="24"/>
          <w:highlight w:val="none"/>
        </w:rPr>
        <w:t>。</w:t>
      </w:r>
    </w:p>
    <w:p>
      <w:pPr>
        <w:adjustRightInd w:val="0"/>
        <w:snapToGrid w:val="0"/>
        <w:spacing w:line="56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六、附则</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after="160" w:line="360" w:lineRule="auto"/>
        <w:ind w:firstLine="480" w:firstLineChars="200"/>
        <w:rPr>
          <w:rFonts w:ascii="宋体" w:hAnsi="宋体"/>
          <w:color w:val="auto"/>
          <w:sz w:val="24"/>
          <w:highlight w:val="none"/>
        </w:rPr>
      </w:pPr>
    </w:p>
    <w:tbl>
      <w:tblPr>
        <w:tblStyle w:val="24"/>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tcPr>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 xml:space="preserve">甲方： </w:t>
            </w:r>
          </w:p>
          <w:p>
            <w:pPr>
              <w:adjustRightInd w:val="0"/>
              <w:snapToGrid w:val="0"/>
              <w:spacing w:line="560" w:lineRule="exact"/>
              <w:rPr>
                <w:rFonts w:ascii="宋体" w:hAnsi="宋体"/>
                <w:color w:val="auto"/>
                <w:sz w:val="24"/>
                <w:highlight w:val="none"/>
              </w:rPr>
            </w:pPr>
          </w:p>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签约代表：</w:t>
            </w:r>
          </w:p>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 xml:space="preserve">联系电话： </w:t>
            </w:r>
          </w:p>
          <w:p>
            <w:pPr>
              <w:adjustRightInd w:val="0"/>
              <w:snapToGrid w:val="0"/>
              <w:spacing w:line="560" w:lineRule="exact"/>
              <w:ind w:firstLine="240" w:firstLineChars="100"/>
              <w:jc w:val="right"/>
              <w:rPr>
                <w:rFonts w:ascii="宋体" w:hAnsi="宋体"/>
                <w:color w:val="auto"/>
                <w:sz w:val="24"/>
                <w:highlight w:val="none"/>
              </w:rPr>
            </w:pPr>
            <w:r>
              <w:rPr>
                <w:rFonts w:hint="eastAsia" w:ascii="宋体" w:hAnsi="宋体"/>
                <w:color w:val="auto"/>
                <w:sz w:val="24"/>
                <w:highlight w:val="none"/>
              </w:rPr>
              <w:t>2022年  月  日</w:t>
            </w:r>
          </w:p>
        </w:tc>
        <w:tc>
          <w:tcPr>
            <w:tcW w:w="4474" w:type="dxa"/>
            <w:noWrap/>
          </w:tcPr>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 xml:space="preserve">乙方： </w:t>
            </w:r>
          </w:p>
          <w:p>
            <w:pPr>
              <w:pStyle w:val="23"/>
              <w:rPr>
                <w:color w:val="auto"/>
                <w:highlight w:val="none"/>
              </w:rPr>
            </w:pPr>
          </w:p>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签约代表：</w:t>
            </w:r>
          </w:p>
          <w:p>
            <w:pPr>
              <w:adjustRightInd w:val="0"/>
              <w:snapToGrid w:val="0"/>
              <w:spacing w:line="560" w:lineRule="exact"/>
              <w:rPr>
                <w:rFonts w:ascii="宋体" w:hAnsi="宋体"/>
                <w:color w:val="auto"/>
                <w:sz w:val="24"/>
                <w:highlight w:val="none"/>
              </w:rPr>
            </w:pPr>
            <w:r>
              <w:rPr>
                <w:rFonts w:hint="eastAsia" w:ascii="宋体" w:hAnsi="宋体"/>
                <w:color w:val="auto"/>
                <w:sz w:val="24"/>
                <w:highlight w:val="none"/>
              </w:rPr>
              <w:t>联系电话：</w:t>
            </w:r>
          </w:p>
          <w:p>
            <w:pPr>
              <w:adjustRightInd w:val="0"/>
              <w:snapToGrid w:val="0"/>
              <w:spacing w:line="560" w:lineRule="exact"/>
              <w:jc w:val="right"/>
              <w:rPr>
                <w:rFonts w:ascii="宋体" w:hAnsi="宋体"/>
                <w:color w:val="auto"/>
                <w:sz w:val="24"/>
                <w:highlight w:val="none"/>
              </w:rPr>
            </w:pPr>
            <w:r>
              <w:rPr>
                <w:rFonts w:hint="eastAsia" w:ascii="宋体" w:hAnsi="宋体"/>
                <w:color w:val="auto"/>
                <w:sz w:val="24"/>
                <w:highlight w:val="none"/>
              </w:rPr>
              <w:t>2022年  月  日</w:t>
            </w:r>
          </w:p>
        </w:tc>
      </w:tr>
    </w:tbl>
    <w:p>
      <w:pPr>
        <w:spacing w:line="440" w:lineRule="exact"/>
        <w:jc w:val="both"/>
        <w:rPr>
          <w:rFonts w:hint="eastAsia" w:ascii="宋体" w:hAnsi="宋体" w:cs="宋体" w:eastAsiaTheme="minorEastAsia"/>
          <w:b/>
          <w:bCs/>
          <w:color w:val="auto"/>
          <w:sz w:val="21"/>
          <w:szCs w:val="21"/>
          <w:highlight w:val="none"/>
          <w:lang w:val="en-US" w:eastAsia="zh-CN"/>
        </w:rPr>
      </w:pPr>
    </w:p>
    <w:p>
      <w:pPr>
        <w:spacing w:line="440" w:lineRule="exact"/>
        <w:jc w:val="both"/>
        <w:rPr>
          <w:rFonts w:hint="eastAsia" w:ascii="宋体" w:hAnsi="宋体" w:cs="宋体" w:eastAsiaTheme="minorEastAsia"/>
          <w:b/>
          <w:bCs/>
          <w:color w:val="auto"/>
          <w:sz w:val="21"/>
          <w:szCs w:val="21"/>
          <w:highlight w:val="none"/>
          <w:lang w:val="en-US" w:eastAsia="zh-CN"/>
        </w:rPr>
      </w:pPr>
    </w:p>
    <w:p>
      <w:pPr>
        <w:spacing w:line="440" w:lineRule="exact"/>
        <w:jc w:val="both"/>
        <w:rPr>
          <w:rFonts w:hint="eastAsia" w:ascii="宋体" w:hAnsi="宋体" w:cs="宋体" w:eastAsiaTheme="minorEastAsia"/>
          <w:b/>
          <w:bCs/>
          <w:color w:val="auto"/>
          <w:sz w:val="21"/>
          <w:szCs w:val="21"/>
          <w:highlight w:val="none"/>
          <w:lang w:val="en-US" w:eastAsia="zh-CN"/>
        </w:rPr>
      </w:pPr>
    </w:p>
    <w:p>
      <w:pPr>
        <w:spacing w:line="440" w:lineRule="exact"/>
        <w:jc w:val="both"/>
        <w:rPr>
          <w:rFonts w:hint="eastAsia" w:ascii="宋体" w:hAnsi="宋体" w:cs="宋体" w:eastAsiaTheme="minorEastAsia"/>
          <w:b/>
          <w:bCs/>
          <w:color w:val="auto"/>
          <w:sz w:val="21"/>
          <w:szCs w:val="21"/>
          <w:highlight w:val="none"/>
          <w:lang w:val="en-US" w:eastAsia="zh-CN"/>
        </w:rPr>
      </w:pPr>
    </w:p>
    <w:p>
      <w:pPr>
        <w:spacing w:line="440" w:lineRule="exact"/>
        <w:jc w:val="both"/>
        <w:rPr>
          <w:rFonts w:hint="eastAsia" w:ascii="宋体" w:hAnsi="宋体" w:cs="宋体" w:eastAsiaTheme="minorEastAsia"/>
          <w:b/>
          <w:bCs/>
          <w:color w:val="auto"/>
          <w:sz w:val="21"/>
          <w:szCs w:val="21"/>
          <w:highlight w:val="none"/>
          <w:lang w:val="en-US" w:eastAsia="zh-CN"/>
        </w:rPr>
      </w:pPr>
    </w:p>
    <w:p>
      <w:pPr>
        <w:spacing w:line="440" w:lineRule="exact"/>
        <w:jc w:val="both"/>
        <w:rPr>
          <w:rFonts w:hint="eastAsia" w:ascii="宋体" w:hAnsi="宋体" w:cs="宋体" w:eastAsiaTheme="minorEastAsia"/>
          <w:b/>
          <w:bCs/>
          <w:color w:val="auto"/>
          <w:sz w:val="21"/>
          <w:szCs w:val="21"/>
          <w:highlight w:val="none"/>
          <w:lang w:val="en-US" w:eastAsia="zh-CN"/>
        </w:rPr>
      </w:pPr>
    </w:p>
    <w:p>
      <w:pPr>
        <w:spacing w:line="440" w:lineRule="exact"/>
        <w:jc w:val="both"/>
        <w:rPr>
          <w:rFonts w:hint="eastAsia" w:ascii="宋体" w:hAnsi="宋体" w:cs="宋体" w:eastAsiaTheme="minorEastAsia"/>
          <w:b/>
          <w:bCs/>
          <w:color w:val="auto"/>
          <w:sz w:val="21"/>
          <w:szCs w:val="21"/>
          <w:highlight w:val="none"/>
          <w:lang w:val="en-US" w:eastAsia="zh-CN"/>
        </w:rPr>
      </w:pPr>
    </w:p>
    <w:p>
      <w:pPr>
        <w:spacing w:line="440" w:lineRule="exact"/>
        <w:jc w:val="both"/>
        <w:rPr>
          <w:rFonts w:hint="eastAsia" w:ascii="宋体" w:hAnsi="宋体" w:cs="宋体" w:eastAsiaTheme="minorEastAsia"/>
          <w:b/>
          <w:bCs/>
          <w:color w:val="auto"/>
          <w:sz w:val="21"/>
          <w:szCs w:val="21"/>
          <w:highlight w:val="none"/>
          <w:lang w:val="en-US" w:eastAsia="zh-CN"/>
        </w:rPr>
      </w:pPr>
    </w:p>
    <w:p>
      <w:pPr>
        <w:spacing w:line="440" w:lineRule="exact"/>
        <w:jc w:val="both"/>
        <w:rPr>
          <w:rFonts w:hint="eastAsia" w:ascii="宋体" w:hAnsi="宋体" w:cs="宋体" w:eastAsiaTheme="minorEastAsia"/>
          <w:b/>
          <w:bCs/>
          <w:color w:val="auto"/>
          <w:sz w:val="21"/>
          <w:szCs w:val="21"/>
          <w:highlight w:val="none"/>
          <w:lang w:val="en-US" w:eastAsia="zh-CN"/>
        </w:rPr>
      </w:pPr>
    </w:p>
    <w:p>
      <w:pPr>
        <w:spacing w:line="440" w:lineRule="exact"/>
        <w:jc w:val="both"/>
        <w:rPr>
          <w:rFonts w:hint="default" w:ascii="仿宋_GB2312" w:eastAsia="仿宋_GB2312"/>
          <w:b/>
          <w:bCs/>
          <w:sz w:val="28"/>
          <w:szCs w:val="28"/>
          <w:lang w:val="en-US" w:eastAsia="zh-CN"/>
        </w:rPr>
      </w:pPr>
      <w:r>
        <w:rPr>
          <w:rFonts w:hint="eastAsia" w:ascii="宋体" w:hAnsi="宋体" w:cs="宋体" w:eastAsiaTheme="minorEastAsia"/>
          <w:b/>
          <w:bCs/>
          <w:color w:val="auto"/>
          <w:sz w:val="21"/>
          <w:szCs w:val="21"/>
          <w:highlight w:val="none"/>
          <w:lang w:val="en-US" w:eastAsia="zh-CN"/>
        </w:rPr>
        <w:t>附件4：</w:t>
      </w:r>
    </w:p>
    <w:p>
      <w:pPr>
        <w:spacing w:line="440" w:lineRule="exact"/>
        <w:jc w:val="center"/>
        <w:rPr>
          <w:rFonts w:hint="eastAsia" w:ascii="仿宋_GB2312" w:eastAsia="仿宋_GB2312"/>
          <w:b/>
          <w:bCs/>
          <w:sz w:val="28"/>
          <w:szCs w:val="28"/>
          <w:lang w:val="en-US" w:eastAsia="zh-CN"/>
        </w:rPr>
      </w:pP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7"/>
          <w:rFonts w:hint="eastAsia" w:ascii="仿宋" w:hAnsi="仿宋" w:eastAsia="仿宋" w:cs="仿宋"/>
          <w:b w:val="0"/>
          <w:u w:val="single"/>
        </w:rPr>
      </w:pPr>
      <w:bookmarkStart w:id="86" w:name="_Toc21391"/>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7"/>
          <w:rFonts w:hint="eastAsia" w:ascii="仿宋" w:hAnsi="仿宋" w:eastAsia="仿宋" w:cs="仿宋"/>
          <w:u w:val="single"/>
        </w:rPr>
        <w:t xml:space="preserve">                  </w:t>
      </w:r>
    </w:p>
    <w:bookmarkEnd w:id="86"/>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r>
        <w:rPr>
          <w:rFonts w:hint="eastAsia" w:ascii="仿宋" w:hAnsi="仿宋" w:eastAsia="仿宋" w:cs="仿宋"/>
          <w:sz w:val="24"/>
          <w:lang w:val="en-US" w:eastAsia="zh-CN"/>
        </w:rPr>
        <w:t>效力。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甲方门岗防控要求</w:t>
      </w:r>
      <w:r>
        <w:rPr>
          <w:rFonts w:hint="eastAsia" w:ascii="仿宋" w:hAnsi="仿宋" w:eastAsia="仿宋" w:cs="仿宋"/>
          <w:sz w:val="24"/>
          <w:lang w:val="en-US" w:eastAsia="zh-CN"/>
        </w:rPr>
        <w:t>进行疫苗接种，进厂前现场抗原阴性证明，鼓励进行核酸检测，未满足相关要求的人员甲方有权限制进入厂区。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FF0000"/>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（一）乙方人员按属地疫情防控指挥部门管控要求，若因瞒报、虚报所造成的一切后果由乙方承担；</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9"/>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u w:val="single"/>
        </w:rPr>
      </w:pPr>
      <w:r>
        <w:rPr>
          <w:rFonts w:hint="eastAsia" w:ascii="仿宋" w:hAnsi="仿宋" w:eastAsia="仿宋" w:cs="仿宋"/>
          <w:sz w:val="24"/>
          <w:u w:val="single"/>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pStyle w:val="30"/>
        <w:rPr>
          <w:rFonts w:hint="eastAsia" w:ascii="仿宋_GB2312" w:hAnsi="仿宋_GB2312" w:cs="仿宋_GB2312"/>
          <w:color w:val="auto"/>
          <w:highlight w:val="none"/>
        </w:rPr>
        <w:sectPr>
          <w:pgSz w:w="11906" w:h="16838"/>
          <w:pgMar w:top="2098" w:right="1474" w:bottom="1985" w:left="1588" w:header="851" w:footer="992" w:gutter="0"/>
          <w:pgNumType w:fmt="decimal"/>
          <w:cols w:space="425" w:num="1"/>
          <w:titlePg/>
          <w:docGrid w:type="lines" w:linePitch="312" w:charSpace="0"/>
        </w:sectPr>
      </w:pPr>
      <w:r>
        <w:rPr>
          <w:rFonts w:hint="eastAsia" w:ascii="仿宋" w:hAnsi="仿宋" w:eastAsia="仿宋" w:cs="仿宋"/>
          <w:sz w:val="24"/>
        </w:rPr>
        <w:t xml:space="preserve">      年 　月　  日　　　　　                 年   月  　日</w:t>
      </w:r>
    </w:p>
    <w:p>
      <w:pPr>
        <w:pStyle w:val="23"/>
        <w:ind w:firstLine="0"/>
        <w:rPr>
          <w:rFonts w:ascii="仿宋_GB2312" w:eastAsia="仿宋_GB2312"/>
          <w:color w:val="auto"/>
          <w:sz w:val="28"/>
          <w:szCs w:val="28"/>
          <w:highlight w:val="none"/>
        </w:rPr>
      </w:pPr>
    </w:p>
    <w:p>
      <w:pPr>
        <w:pStyle w:val="3"/>
        <w:rPr>
          <w:rFonts w:hint="eastAsia"/>
          <w:color w:val="auto"/>
          <w:highlight w:val="none"/>
        </w:rPr>
      </w:pPr>
      <w:bookmarkStart w:id="87" w:name="_Toc30824"/>
      <w:bookmarkStart w:id="88" w:name="_Toc23515"/>
      <w:bookmarkStart w:id="89" w:name="_Toc3723"/>
      <w:bookmarkStart w:id="90" w:name="_Toc6230"/>
      <w:bookmarkStart w:id="91" w:name="_Toc5129"/>
      <w:bookmarkStart w:id="92" w:name="_Toc28358"/>
      <w:bookmarkStart w:id="93" w:name="_Toc12169"/>
      <w:bookmarkStart w:id="94" w:name="_Toc21847"/>
      <w:bookmarkStart w:id="95" w:name="_Toc1563"/>
      <w:bookmarkStart w:id="96" w:name="_Toc16552"/>
      <w:bookmarkStart w:id="97" w:name="_Toc8147"/>
    </w:p>
    <w:p>
      <w:pPr>
        <w:pStyle w:val="3"/>
        <w:ind w:firstLine="3520" w:firstLineChars="800"/>
        <w:jc w:val="both"/>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2147570</wp:posOffset>
                </wp:positionH>
                <wp:positionV relativeFrom="paragraph">
                  <wp:posOffset>529590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69.1pt;margin-top:41.7pt;height:0pt;width:75.5pt;z-index:251667456;mso-width-relative:page;mso-height-relative:page;" filled="f" stroked="t" coordsize="21600,21600" o:gfxdata="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3x5dq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2187575</wp:posOffset>
                </wp:positionH>
                <wp:positionV relativeFrom="paragraph">
                  <wp:posOffset>80010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72.25pt;margin-top:6.3pt;height:0pt;width:75.5pt;z-index:251666432;mso-width-relative:page;mso-height-relative:page;" filled="f" stroked="t" coordsize="21600,21600" o:gfxdata="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Nu3v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9"/>
        <w:rPr>
          <w:color w:val="auto"/>
          <w:highlight w:val="none"/>
        </w:rPr>
      </w:pPr>
    </w:p>
    <w:p>
      <w:pPr>
        <w:pStyle w:val="3"/>
        <w:rPr>
          <w:rFonts w:ascii="方正小标宋简体" w:eastAsia="方正小标宋简体"/>
          <w:color w:val="auto"/>
          <w:sz w:val="44"/>
          <w:szCs w:val="44"/>
          <w:highlight w:val="none"/>
        </w:rPr>
      </w:pPr>
      <w:bookmarkStart w:id="98" w:name="_Toc30157"/>
      <w:bookmarkStart w:id="99" w:name="_Toc12610"/>
      <w:bookmarkStart w:id="100" w:name="_Toc24815"/>
      <w:bookmarkStart w:id="101" w:name="_Toc88209951"/>
      <w:bookmarkStart w:id="102" w:name="_Toc31564"/>
      <w:bookmarkStart w:id="103" w:name="_Toc24490"/>
      <w:bookmarkStart w:id="104" w:name="_Toc12769"/>
      <w:bookmarkStart w:id="105" w:name="_Toc5342"/>
      <w:bookmarkStart w:id="106" w:name="_Toc17119"/>
      <w:bookmarkStart w:id="107" w:name="_Toc21675"/>
      <w:bookmarkStart w:id="108" w:name="_Toc22764"/>
      <w:bookmarkStart w:id="109" w:name="_Toc10840"/>
      <w:bookmarkStart w:id="110" w:name="_Toc87616388"/>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23"/>
        <w:ind w:left="0" w:leftChars="0" w:firstLine="0" w:firstLineChars="0"/>
        <w:rPr>
          <w:rFonts w:ascii="方正小标宋简体" w:eastAsia="方正小标宋简体"/>
          <w:color w:val="auto"/>
          <w:sz w:val="44"/>
          <w:szCs w:val="44"/>
          <w:highlight w:val="none"/>
        </w:rPr>
      </w:pPr>
    </w:p>
    <w:p>
      <w:pPr>
        <w:pStyle w:val="23"/>
        <w:ind w:left="0" w:leftChars="0" w:firstLine="0" w:firstLineChars="0"/>
        <w:rPr>
          <w:rFonts w:ascii="方正小标宋简体" w:eastAsia="方正小标宋简体"/>
          <w:color w:val="auto"/>
          <w:sz w:val="44"/>
          <w:szCs w:val="44"/>
          <w:highlight w:val="none"/>
        </w:rPr>
      </w:pPr>
    </w:p>
    <w:p>
      <w:pPr>
        <w:pStyle w:val="23"/>
        <w:ind w:left="0" w:leftChars="0" w:firstLine="0" w:firstLineChars="0"/>
        <w:rPr>
          <w:rFonts w:ascii="方正小标宋简体" w:eastAsia="方正小标宋简体"/>
          <w:color w:val="auto"/>
          <w:sz w:val="44"/>
          <w:szCs w:val="44"/>
          <w:highlight w:val="none"/>
        </w:rPr>
      </w:pPr>
    </w:p>
    <w:p>
      <w:pPr>
        <w:pStyle w:val="23"/>
        <w:ind w:left="0" w:leftChars="0" w:firstLine="0" w:firstLineChars="0"/>
        <w:rPr>
          <w:rFonts w:ascii="方正小标宋简体" w:eastAsia="方正小标宋简体"/>
          <w:color w:val="auto"/>
          <w:sz w:val="44"/>
          <w:szCs w:val="44"/>
          <w:highlight w:val="none"/>
        </w:rPr>
      </w:pPr>
    </w:p>
    <w:p>
      <w:pPr>
        <w:pStyle w:val="23"/>
        <w:ind w:left="0" w:leftChars="0" w:firstLine="0" w:firstLineChars="0"/>
        <w:rPr>
          <w:rFonts w:ascii="方正小标宋简体" w:eastAsia="方正小标宋简体"/>
          <w:color w:val="auto"/>
          <w:sz w:val="44"/>
          <w:szCs w:val="44"/>
          <w:highlight w:val="none"/>
        </w:rPr>
      </w:pPr>
    </w:p>
    <w:p>
      <w:pPr>
        <w:pStyle w:val="23"/>
        <w:ind w:left="0" w:leftChars="0" w:firstLine="0" w:firstLineChars="0"/>
        <w:rPr>
          <w:rFonts w:ascii="方正小标宋简体" w:eastAsia="方正小标宋简体"/>
          <w:color w:val="auto"/>
          <w:sz w:val="44"/>
          <w:szCs w:val="44"/>
          <w:highlight w:val="none"/>
        </w:rPr>
      </w:pPr>
    </w:p>
    <w:p>
      <w:pPr>
        <w:pStyle w:val="23"/>
        <w:ind w:left="0" w:leftChars="0" w:firstLine="0" w:firstLineChars="0"/>
        <w:rPr>
          <w:rFonts w:ascii="方正小标宋简体" w:eastAsia="方正小标宋简体"/>
          <w:color w:val="auto"/>
          <w:sz w:val="44"/>
          <w:szCs w:val="44"/>
          <w:highlight w:val="none"/>
        </w:rPr>
      </w:pPr>
    </w:p>
    <w:p>
      <w:pPr>
        <w:pStyle w:val="23"/>
        <w:ind w:left="0" w:leftChars="0" w:firstLine="0" w:firstLineChars="0"/>
        <w:rPr>
          <w:rFonts w:ascii="方正小标宋简体" w:eastAsia="方正小标宋简体"/>
          <w:color w:val="auto"/>
          <w:sz w:val="44"/>
          <w:szCs w:val="44"/>
          <w:highlight w:val="none"/>
        </w:rPr>
      </w:pPr>
    </w:p>
    <w:p>
      <w:pPr>
        <w:pStyle w:val="23"/>
        <w:ind w:left="0" w:leftChars="0" w:firstLine="0" w:firstLineChars="0"/>
        <w:rPr>
          <w:rFonts w:ascii="方正小标宋简体" w:eastAsia="方正小标宋简体"/>
          <w:color w:val="auto"/>
          <w:sz w:val="44"/>
          <w:szCs w:val="44"/>
          <w:highlight w:val="none"/>
        </w:rPr>
      </w:pPr>
    </w:p>
    <w:p>
      <w:pPr>
        <w:pStyle w:val="23"/>
        <w:ind w:left="0" w:leftChars="0" w:firstLine="0" w:firstLineChars="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w:t>
      </w:r>
      <w:r>
        <w:rPr>
          <w:rFonts w:hint="eastAsia" w:ascii="方正小标宋简体" w:eastAsia="方正小标宋简体"/>
          <w:color w:val="auto"/>
          <w:sz w:val="44"/>
          <w:szCs w:val="44"/>
          <w:highlight w:val="none"/>
          <w:u w:val="single"/>
          <w:lang w:val="en-US" w:eastAsia="zh-CN"/>
        </w:rPr>
        <w:t>广州市净水有限公司环城北净水厂建设涉及西江引水管道安全评估项目</w:t>
      </w:r>
      <w:r>
        <w:rPr>
          <w:rFonts w:hint="eastAsia" w:ascii="方正小标宋简体" w:eastAsia="方正小标宋简体"/>
          <w:color w:val="auto"/>
          <w:sz w:val="44"/>
          <w:szCs w:val="44"/>
          <w:highlight w:val="none"/>
          <w:u w:val="singl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方正小标宋简体" w:eastAsia="方正小标宋简体"/>
          <w:color w:val="auto"/>
          <w:sz w:val="30"/>
          <w:szCs w:val="30"/>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line="600" w:lineRule="exact"/>
        <w:jc w:val="both"/>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7616393"/>
      <w:bookmarkStart w:id="11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w:t>
      </w:r>
      <w:r>
        <w:rPr>
          <w:rFonts w:hint="eastAsia" w:ascii="仿宋_GB2312" w:eastAsia="仿宋_GB2312"/>
          <w:color w:val="auto"/>
          <w:sz w:val="28"/>
          <w:szCs w:val="28"/>
          <w:highlight w:val="none"/>
          <w:lang w:eastAsia="zh-CN"/>
        </w:rPr>
        <w:t>意向承诺及声明函</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bookmarkStart w:id="117" w:name="_Toc88209957"/>
      <w:bookmarkStart w:id="118" w:name="_Toc87616394"/>
      <w:bookmarkStart w:id="119" w:name="_Toc12665"/>
      <w:bookmarkStart w:id="120" w:name="_Toc28619645"/>
      <w:bookmarkStart w:id="121" w:name="_Toc6313"/>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22527"/>
      <w:bookmarkStart w:id="123" w:name="_Toc88209958"/>
      <w:bookmarkStart w:id="124" w:name="_Toc29833"/>
      <w:bookmarkStart w:id="125" w:name="_Toc87616395"/>
    </w:p>
    <w:p>
      <w:pPr>
        <w:pStyle w:val="30"/>
        <w:rPr>
          <w:rFonts w:hint="eastAsia" w:asciiTheme="minorEastAsia" w:hAnsiTheme="minorEastAsia" w:eastAsiaTheme="minorEastAsia"/>
          <w:color w:val="auto"/>
          <w:sz w:val="28"/>
          <w:szCs w:val="28"/>
          <w:highlight w:val="none"/>
        </w:rPr>
      </w:pPr>
    </w:p>
    <w:p>
      <w:pPr>
        <w:pStyle w:val="30"/>
        <w:rPr>
          <w:rFonts w:hint="eastAsia" w:asciiTheme="minorEastAsia" w:hAnsiTheme="minorEastAsia" w:eastAsiaTheme="minorEastAsia"/>
          <w:color w:val="auto"/>
          <w:sz w:val="28"/>
          <w:szCs w:val="28"/>
          <w:highlight w:val="none"/>
        </w:rPr>
      </w:pPr>
    </w:p>
    <w:p>
      <w:pPr>
        <w:pStyle w:val="30"/>
        <w:rPr>
          <w:rFonts w:hint="eastAsia" w:asciiTheme="minorEastAsia" w:hAnsiTheme="minorEastAsia" w:eastAsiaTheme="minorEastAsia"/>
          <w:color w:val="auto"/>
          <w:sz w:val="28"/>
          <w:szCs w:val="28"/>
          <w:highlight w:val="none"/>
        </w:rPr>
      </w:pPr>
    </w:p>
    <w:p>
      <w:pPr>
        <w:pStyle w:val="30"/>
        <w:rPr>
          <w:rFonts w:hint="eastAsia" w:asciiTheme="minorEastAsia" w:hAnsiTheme="minorEastAsia" w:eastAsiaTheme="minorEastAsia"/>
          <w:color w:val="auto"/>
          <w:sz w:val="28"/>
          <w:szCs w:val="28"/>
          <w:highlight w:val="none"/>
        </w:rPr>
      </w:pPr>
    </w:p>
    <w:p>
      <w:pPr>
        <w:pStyle w:val="30"/>
        <w:rPr>
          <w:rFonts w:hint="eastAsia"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9"/>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ind w:left="0" w:leftChars="0" w:firstLine="0" w:firstLineChars="0"/>
        <w:rPr>
          <w:rFonts w:hint="eastAsia" w:ascii="仿宋_GB2312" w:hAnsi="宋体" w:eastAsia="仿宋_GB2312"/>
          <w:color w:val="auto"/>
          <w:sz w:val="30"/>
          <w:szCs w:val="30"/>
          <w:highlight w:val="none"/>
        </w:rPr>
      </w:pPr>
    </w:p>
    <w:p>
      <w:pPr>
        <w:pStyle w:val="23"/>
        <w:ind w:left="0" w:leftChars="0" w:firstLine="0" w:firstLineChars="0"/>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0"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086"/>
      <w:bookmarkStart w:id="127" w:name="_Toc88209963"/>
      <w:bookmarkStart w:id="128" w:name="_Toc19830"/>
      <w:bookmarkStart w:id="129"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130" w:name="_Hlk59025866"/>
      <w:r>
        <w:rPr>
          <w:rFonts w:hint="eastAsia" w:ascii="宋体" w:hAnsi="宋体" w:eastAsia="宋体" w:cs="宋体"/>
          <w:color w:val="auto"/>
          <w:kern w:val="2"/>
          <w:sz w:val="24"/>
          <w:szCs w:val="24"/>
          <w:highlight w:val="none"/>
          <w:lang w:val="en-GB"/>
        </w:rPr>
        <w:t>供应商名称（加盖公章）：</w:t>
      </w:r>
    </w:p>
    <w:p>
      <w:pPr>
        <w:pStyle w:val="30"/>
        <w:rPr>
          <w:rFonts w:hint="eastAsia" w:ascii="宋体" w:hAnsi="宋体" w:eastAsia="宋体" w:cs="宋体"/>
          <w:color w:val="auto"/>
          <w:kern w:val="2"/>
          <w:sz w:val="24"/>
          <w:szCs w:val="24"/>
          <w:highlight w:val="none"/>
          <w:lang w:val="en-GB"/>
        </w:rPr>
      </w:pPr>
    </w:p>
    <w:p>
      <w:pPr>
        <w:pStyle w:val="30"/>
        <w:rPr>
          <w:rFonts w:hint="eastAsia" w:ascii="宋体" w:hAnsi="宋体" w:eastAsia="宋体" w:cs="宋体"/>
          <w:color w:val="auto"/>
          <w:kern w:val="2"/>
          <w:sz w:val="24"/>
          <w:szCs w:val="24"/>
          <w:highlight w:val="none"/>
          <w:lang w:val="en-GB"/>
        </w:rPr>
      </w:pPr>
    </w:p>
    <w:p>
      <w:pPr>
        <w:pStyle w:val="30"/>
        <w:rPr>
          <w:rFonts w:hint="eastAsia" w:ascii="宋体" w:hAnsi="宋体" w:eastAsia="宋体" w:cs="宋体"/>
          <w:color w:val="auto"/>
          <w:kern w:val="2"/>
          <w:sz w:val="24"/>
          <w:szCs w:val="24"/>
          <w:highlight w:val="none"/>
          <w:lang w:val="en-GB"/>
        </w:rPr>
      </w:pPr>
    </w:p>
    <w:p>
      <w:pPr>
        <w:pStyle w:val="3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br w:type="textWrapping"/>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w:t>
      </w:r>
      <w:r>
        <w:rPr>
          <w:rFonts w:hint="eastAsia" w:ascii="宋体" w:hAnsi="宋体" w:cs="宋体" w:eastAsiaTheme="minorEastAsia"/>
          <w:color w:val="auto"/>
          <w:kern w:val="2"/>
          <w:sz w:val="24"/>
          <w:szCs w:val="24"/>
          <w:highlight w:val="none"/>
          <w:lang w:val="en-GB"/>
        </w:rPr>
        <w:t>与</w:t>
      </w:r>
      <w:r>
        <w:rPr>
          <w:rFonts w:hint="eastAsia" w:ascii="宋体" w:hAnsi="宋体" w:cs="宋体" w:eastAsiaTheme="minorEastAsia"/>
          <w:color w:val="auto"/>
          <w:kern w:val="2"/>
          <w:sz w:val="24"/>
          <w:szCs w:val="24"/>
          <w:highlight w:val="none"/>
          <w:lang w:val="en-GB" w:eastAsia="zh-CN"/>
        </w:rPr>
        <w:t>广州市净水有限公司环城北净水厂建设涉及西江引水管道安全评估项目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pStyle w:val="30"/>
        <w:rPr>
          <w:rFonts w:hint="eastAsia" w:cs="Times New Roman" w:asciiTheme="minorEastAsia" w:hAnsiTheme="minorEastAsia"/>
          <w:b/>
          <w:bCs/>
          <w:color w:val="auto"/>
          <w:sz w:val="28"/>
          <w:szCs w:val="28"/>
          <w:highlight w:val="none"/>
          <w:lang w:val="en-US" w:eastAsia="zh-CN"/>
        </w:rPr>
      </w:pPr>
    </w:p>
    <w:p>
      <w:pPr>
        <w:pStyle w:val="30"/>
        <w:rPr>
          <w:rFonts w:hint="eastAsia" w:cs="Times New Roman" w:asciiTheme="minorEastAsia" w:hAnsiTheme="minorEastAsia"/>
          <w:b/>
          <w:bCs/>
          <w:color w:val="auto"/>
          <w:sz w:val="28"/>
          <w:szCs w:val="28"/>
          <w:highlight w:val="none"/>
          <w:lang w:val="en-US" w:eastAsia="zh-CN"/>
        </w:rPr>
      </w:pPr>
    </w:p>
    <w:p>
      <w:pPr>
        <w:pStyle w:val="30"/>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utoSpaceDE w:val="0"/>
        <w:autoSpaceDN w:val="0"/>
        <w:adjustRightInd w:val="0"/>
        <w:spacing w:line="360" w:lineRule="auto"/>
        <w:ind w:left="-539" w:leftChars="-257" w:firstLine="1006" w:firstLineChars="40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r>
        <w:rPr>
          <w:rFonts w:hint="eastAsia" w:ascii="仿宋" w:hAnsi="仿宋" w:eastAsia="仿宋" w:cs="仿宋_GB2312"/>
          <w:snapToGrid w:val="0"/>
          <w:spacing w:val="4"/>
          <w:kern w:val="0"/>
          <w:sz w:val="24"/>
        </w:rPr>
        <w:t xml:space="preserve">   </w:t>
      </w:r>
    </w:p>
    <w:p>
      <w:pPr>
        <w:pStyle w:val="5"/>
        <w:rPr>
          <w:rFonts w:asciiTheme="majorEastAsia" w:hAnsiTheme="majorEastAsia" w:eastAsiaTheme="majorEastAsia"/>
          <w:color w:val="auto"/>
          <w:sz w:val="28"/>
          <w:szCs w:val="28"/>
          <w:highlight w:val="none"/>
        </w:rPr>
      </w:pPr>
      <w:bookmarkStart w:id="131" w:name="_Toc88209965"/>
      <w:bookmarkStart w:id="132" w:name="_Toc16386"/>
      <w:bookmarkStart w:id="133" w:name="_Toc6058"/>
      <w:bookmarkStart w:id="134" w:name="_Toc87616402"/>
      <w:r>
        <w:rPr>
          <w:rFonts w:hint="eastAsia" w:eastAsiaTheme="majorEastAsia"/>
          <w:color w:val="auto"/>
          <w:highlight w:val="none"/>
          <w:lang w:val="en-US" w:eastAsia="zh-CN"/>
        </w:rPr>
        <w:t>5</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BBE2C"/>
    <w:multiLevelType w:val="singleLevel"/>
    <w:tmpl w:val="B3CBBE2C"/>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5EEEC18D"/>
    <w:multiLevelType w:val="singleLevel"/>
    <w:tmpl w:val="5EEEC18D"/>
    <w:lvl w:ilvl="0" w:tentative="0">
      <w:start w:val="1"/>
      <w:numFmt w:val="chineseCounting"/>
      <w:suff w:val="nothing"/>
      <w:lvlText w:val="（%1）"/>
      <w:lvlJc w:val="left"/>
      <w:rPr>
        <w:rFonts w:hint="eastAsia"/>
      </w:r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6E6810"/>
    <w:rsid w:val="00911ECD"/>
    <w:rsid w:val="00A042E0"/>
    <w:rsid w:val="00B26BB1"/>
    <w:rsid w:val="00B26E21"/>
    <w:rsid w:val="00B741D7"/>
    <w:rsid w:val="00D4533C"/>
    <w:rsid w:val="00F83B64"/>
    <w:rsid w:val="013E3461"/>
    <w:rsid w:val="01BB0F13"/>
    <w:rsid w:val="02090C75"/>
    <w:rsid w:val="027E65FC"/>
    <w:rsid w:val="02A23A3C"/>
    <w:rsid w:val="02FB196F"/>
    <w:rsid w:val="035D130A"/>
    <w:rsid w:val="039110A9"/>
    <w:rsid w:val="03AC246A"/>
    <w:rsid w:val="03AE6061"/>
    <w:rsid w:val="03B23056"/>
    <w:rsid w:val="03D11AF4"/>
    <w:rsid w:val="03DA023E"/>
    <w:rsid w:val="03DC3EBA"/>
    <w:rsid w:val="03F9794D"/>
    <w:rsid w:val="041622C6"/>
    <w:rsid w:val="046A2461"/>
    <w:rsid w:val="051C2970"/>
    <w:rsid w:val="060C3611"/>
    <w:rsid w:val="06C64829"/>
    <w:rsid w:val="070E7B6E"/>
    <w:rsid w:val="071D62B7"/>
    <w:rsid w:val="077D16D2"/>
    <w:rsid w:val="07915854"/>
    <w:rsid w:val="07E739B1"/>
    <w:rsid w:val="082A69F3"/>
    <w:rsid w:val="08675FC8"/>
    <w:rsid w:val="08733DD1"/>
    <w:rsid w:val="09B713FD"/>
    <w:rsid w:val="09EC1733"/>
    <w:rsid w:val="09EF6ACC"/>
    <w:rsid w:val="0A315056"/>
    <w:rsid w:val="0A694621"/>
    <w:rsid w:val="0AA213B4"/>
    <w:rsid w:val="0AF61C7E"/>
    <w:rsid w:val="0AFB45AD"/>
    <w:rsid w:val="0B351E9B"/>
    <w:rsid w:val="0B4C50D3"/>
    <w:rsid w:val="0B806B92"/>
    <w:rsid w:val="0B827E94"/>
    <w:rsid w:val="0B842F76"/>
    <w:rsid w:val="0BD070E1"/>
    <w:rsid w:val="0BD65B6B"/>
    <w:rsid w:val="0C2361E7"/>
    <w:rsid w:val="0C247926"/>
    <w:rsid w:val="0CDF49CA"/>
    <w:rsid w:val="0D794204"/>
    <w:rsid w:val="0E2125D1"/>
    <w:rsid w:val="0E214211"/>
    <w:rsid w:val="0E5F2769"/>
    <w:rsid w:val="0E8D6624"/>
    <w:rsid w:val="0ED8332F"/>
    <w:rsid w:val="0F4D75A3"/>
    <w:rsid w:val="0F5B2DCA"/>
    <w:rsid w:val="0FA20605"/>
    <w:rsid w:val="0FED051E"/>
    <w:rsid w:val="0FEE4C29"/>
    <w:rsid w:val="0FFD33F6"/>
    <w:rsid w:val="10031608"/>
    <w:rsid w:val="10046082"/>
    <w:rsid w:val="104974DD"/>
    <w:rsid w:val="108C3B91"/>
    <w:rsid w:val="10C96CBC"/>
    <w:rsid w:val="111703D2"/>
    <w:rsid w:val="112B101A"/>
    <w:rsid w:val="119B53FC"/>
    <w:rsid w:val="11B50367"/>
    <w:rsid w:val="1215733B"/>
    <w:rsid w:val="12424CDC"/>
    <w:rsid w:val="129A2738"/>
    <w:rsid w:val="12B56BF1"/>
    <w:rsid w:val="12CB1A89"/>
    <w:rsid w:val="131840FB"/>
    <w:rsid w:val="13467417"/>
    <w:rsid w:val="136E76CF"/>
    <w:rsid w:val="14211538"/>
    <w:rsid w:val="143C1EEE"/>
    <w:rsid w:val="145F08C6"/>
    <w:rsid w:val="14E43F59"/>
    <w:rsid w:val="15776308"/>
    <w:rsid w:val="15BC6B3C"/>
    <w:rsid w:val="16360A7B"/>
    <w:rsid w:val="164D40B0"/>
    <w:rsid w:val="1694429A"/>
    <w:rsid w:val="16F8319E"/>
    <w:rsid w:val="17635326"/>
    <w:rsid w:val="17B803EA"/>
    <w:rsid w:val="1815096B"/>
    <w:rsid w:val="18236EFD"/>
    <w:rsid w:val="18377249"/>
    <w:rsid w:val="189D5B1F"/>
    <w:rsid w:val="18A34CD0"/>
    <w:rsid w:val="195D0693"/>
    <w:rsid w:val="19A53EA8"/>
    <w:rsid w:val="19B64DBC"/>
    <w:rsid w:val="19EC6A4A"/>
    <w:rsid w:val="1A3558AB"/>
    <w:rsid w:val="1A373ACF"/>
    <w:rsid w:val="1A7B10BA"/>
    <w:rsid w:val="1A895341"/>
    <w:rsid w:val="1B0D071F"/>
    <w:rsid w:val="1B4568CE"/>
    <w:rsid w:val="1B9015B7"/>
    <w:rsid w:val="1B950DA6"/>
    <w:rsid w:val="1BF54245"/>
    <w:rsid w:val="1D0E6976"/>
    <w:rsid w:val="1D5A79EE"/>
    <w:rsid w:val="1E0E2CD0"/>
    <w:rsid w:val="1E831280"/>
    <w:rsid w:val="1EBC4704"/>
    <w:rsid w:val="1F172EB5"/>
    <w:rsid w:val="1F22070B"/>
    <w:rsid w:val="1F695E3D"/>
    <w:rsid w:val="1F94592D"/>
    <w:rsid w:val="1FB860DE"/>
    <w:rsid w:val="1FBD188E"/>
    <w:rsid w:val="202B52AE"/>
    <w:rsid w:val="203C5A02"/>
    <w:rsid w:val="2058580C"/>
    <w:rsid w:val="209D4C94"/>
    <w:rsid w:val="20B44FCD"/>
    <w:rsid w:val="20E84705"/>
    <w:rsid w:val="218400BA"/>
    <w:rsid w:val="21AB1E2F"/>
    <w:rsid w:val="21D40498"/>
    <w:rsid w:val="22493963"/>
    <w:rsid w:val="22767047"/>
    <w:rsid w:val="23A05588"/>
    <w:rsid w:val="240476A1"/>
    <w:rsid w:val="240D5638"/>
    <w:rsid w:val="247C0C4C"/>
    <w:rsid w:val="24DC4372"/>
    <w:rsid w:val="25431AEB"/>
    <w:rsid w:val="25B875EB"/>
    <w:rsid w:val="25BE3BFB"/>
    <w:rsid w:val="25BF43FD"/>
    <w:rsid w:val="25F86BCD"/>
    <w:rsid w:val="25FE7356"/>
    <w:rsid w:val="2605748B"/>
    <w:rsid w:val="26396D26"/>
    <w:rsid w:val="264544A6"/>
    <w:rsid w:val="267702FB"/>
    <w:rsid w:val="269E416A"/>
    <w:rsid w:val="26C11C6B"/>
    <w:rsid w:val="272100D3"/>
    <w:rsid w:val="272C72FC"/>
    <w:rsid w:val="275131CB"/>
    <w:rsid w:val="27770B3A"/>
    <w:rsid w:val="278F6521"/>
    <w:rsid w:val="27AF3945"/>
    <w:rsid w:val="27EB149D"/>
    <w:rsid w:val="27FD3E52"/>
    <w:rsid w:val="28E11370"/>
    <w:rsid w:val="294A756A"/>
    <w:rsid w:val="29722B26"/>
    <w:rsid w:val="29781BF8"/>
    <w:rsid w:val="297939E2"/>
    <w:rsid w:val="29C33ED0"/>
    <w:rsid w:val="29D5322D"/>
    <w:rsid w:val="29FD2068"/>
    <w:rsid w:val="2A025DD9"/>
    <w:rsid w:val="2A2619CB"/>
    <w:rsid w:val="2A7317D3"/>
    <w:rsid w:val="2A7C2231"/>
    <w:rsid w:val="2A920E4F"/>
    <w:rsid w:val="2ABB753D"/>
    <w:rsid w:val="2AFE6EC4"/>
    <w:rsid w:val="2B7A49FA"/>
    <w:rsid w:val="2C615D26"/>
    <w:rsid w:val="2CB679ED"/>
    <w:rsid w:val="2CE83C37"/>
    <w:rsid w:val="2D173C07"/>
    <w:rsid w:val="2D424A86"/>
    <w:rsid w:val="2D6B7861"/>
    <w:rsid w:val="2D6F75A0"/>
    <w:rsid w:val="2DC90D6E"/>
    <w:rsid w:val="2DDA66B7"/>
    <w:rsid w:val="2E6F2D11"/>
    <w:rsid w:val="2E7B52DB"/>
    <w:rsid w:val="2ED60115"/>
    <w:rsid w:val="2EF44F80"/>
    <w:rsid w:val="2F324CFE"/>
    <w:rsid w:val="2F8B6144"/>
    <w:rsid w:val="2FA237D9"/>
    <w:rsid w:val="2FBA09F1"/>
    <w:rsid w:val="2FEF2ACF"/>
    <w:rsid w:val="2FF93D20"/>
    <w:rsid w:val="30540211"/>
    <w:rsid w:val="30B40E08"/>
    <w:rsid w:val="30E45100"/>
    <w:rsid w:val="31112A0D"/>
    <w:rsid w:val="3118711F"/>
    <w:rsid w:val="311F4B20"/>
    <w:rsid w:val="312D7741"/>
    <w:rsid w:val="316F137F"/>
    <w:rsid w:val="31DF525F"/>
    <w:rsid w:val="31EC162B"/>
    <w:rsid w:val="32324C2E"/>
    <w:rsid w:val="327171DF"/>
    <w:rsid w:val="327425CD"/>
    <w:rsid w:val="328D514A"/>
    <w:rsid w:val="3391569E"/>
    <w:rsid w:val="341E3434"/>
    <w:rsid w:val="34BB4442"/>
    <w:rsid w:val="3584136B"/>
    <w:rsid w:val="3597671C"/>
    <w:rsid w:val="35FF5AA4"/>
    <w:rsid w:val="360B7EBA"/>
    <w:rsid w:val="36416867"/>
    <w:rsid w:val="367D5DD4"/>
    <w:rsid w:val="369C32FD"/>
    <w:rsid w:val="37666E72"/>
    <w:rsid w:val="38081EA3"/>
    <w:rsid w:val="38167A04"/>
    <w:rsid w:val="381C3783"/>
    <w:rsid w:val="3827763F"/>
    <w:rsid w:val="394B167A"/>
    <w:rsid w:val="39DA2868"/>
    <w:rsid w:val="3A055F4B"/>
    <w:rsid w:val="3A4E4336"/>
    <w:rsid w:val="3A6007FE"/>
    <w:rsid w:val="3A802587"/>
    <w:rsid w:val="3A852164"/>
    <w:rsid w:val="3AA03DA1"/>
    <w:rsid w:val="3AF93D6C"/>
    <w:rsid w:val="3AFD06C8"/>
    <w:rsid w:val="3B477B26"/>
    <w:rsid w:val="3B7C2CE4"/>
    <w:rsid w:val="3BAF716B"/>
    <w:rsid w:val="3C0B5355"/>
    <w:rsid w:val="3CD4176B"/>
    <w:rsid w:val="3D1F44D9"/>
    <w:rsid w:val="3D5C38CD"/>
    <w:rsid w:val="3D605B13"/>
    <w:rsid w:val="3E5070F1"/>
    <w:rsid w:val="3EC370CB"/>
    <w:rsid w:val="3F3F51A9"/>
    <w:rsid w:val="3F6C3589"/>
    <w:rsid w:val="3F850180"/>
    <w:rsid w:val="3F9004D6"/>
    <w:rsid w:val="3FEE7CFA"/>
    <w:rsid w:val="400E4D5E"/>
    <w:rsid w:val="40E1138C"/>
    <w:rsid w:val="413814BA"/>
    <w:rsid w:val="41872511"/>
    <w:rsid w:val="41DF1251"/>
    <w:rsid w:val="424236D9"/>
    <w:rsid w:val="42466655"/>
    <w:rsid w:val="42C82F57"/>
    <w:rsid w:val="431A299E"/>
    <w:rsid w:val="435707E5"/>
    <w:rsid w:val="439927E1"/>
    <w:rsid w:val="43C76AF7"/>
    <w:rsid w:val="43E97E4A"/>
    <w:rsid w:val="43F71168"/>
    <w:rsid w:val="440D65DA"/>
    <w:rsid w:val="446828F0"/>
    <w:rsid w:val="45093E85"/>
    <w:rsid w:val="45C13B4D"/>
    <w:rsid w:val="46054BCA"/>
    <w:rsid w:val="460B6F34"/>
    <w:rsid w:val="464C6AFC"/>
    <w:rsid w:val="468B0091"/>
    <w:rsid w:val="469612BA"/>
    <w:rsid w:val="46A107C3"/>
    <w:rsid w:val="46B15CE2"/>
    <w:rsid w:val="46BE113D"/>
    <w:rsid w:val="46E44B13"/>
    <w:rsid w:val="4703508A"/>
    <w:rsid w:val="4725637F"/>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A7436B"/>
    <w:rsid w:val="49C05787"/>
    <w:rsid w:val="49CF518D"/>
    <w:rsid w:val="4A7F3979"/>
    <w:rsid w:val="4ADA1F63"/>
    <w:rsid w:val="4AE23D89"/>
    <w:rsid w:val="4B2038D0"/>
    <w:rsid w:val="4B296E7D"/>
    <w:rsid w:val="4B79394E"/>
    <w:rsid w:val="4B877F28"/>
    <w:rsid w:val="4CD200BA"/>
    <w:rsid w:val="4CED59F8"/>
    <w:rsid w:val="4D2044E7"/>
    <w:rsid w:val="4D916BA6"/>
    <w:rsid w:val="4DC44169"/>
    <w:rsid w:val="4DC52AAE"/>
    <w:rsid w:val="4DE24E21"/>
    <w:rsid w:val="4E1B19A3"/>
    <w:rsid w:val="4E48787F"/>
    <w:rsid w:val="4EF0709E"/>
    <w:rsid w:val="4F0469A4"/>
    <w:rsid w:val="500E56F4"/>
    <w:rsid w:val="50540C73"/>
    <w:rsid w:val="5074098A"/>
    <w:rsid w:val="50752AF8"/>
    <w:rsid w:val="513C6A7B"/>
    <w:rsid w:val="517300C9"/>
    <w:rsid w:val="52E038D2"/>
    <w:rsid w:val="52EC6EC2"/>
    <w:rsid w:val="532D486F"/>
    <w:rsid w:val="5333545B"/>
    <w:rsid w:val="538D0E89"/>
    <w:rsid w:val="5450213C"/>
    <w:rsid w:val="546711F3"/>
    <w:rsid w:val="546C3825"/>
    <w:rsid w:val="54D24048"/>
    <w:rsid w:val="54D64CD5"/>
    <w:rsid w:val="5532287C"/>
    <w:rsid w:val="55887D69"/>
    <w:rsid w:val="55EE5D11"/>
    <w:rsid w:val="561A0928"/>
    <w:rsid w:val="56423872"/>
    <w:rsid w:val="569E06BC"/>
    <w:rsid w:val="56B279F0"/>
    <w:rsid w:val="56F20F86"/>
    <w:rsid w:val="57980FCA"/>
    <w:rsid w:val="579D710E"/>
    <w:rsid w:val="581F22F6"/>
    <w:rsid w:val="586E1E17"/>
    <w:rsid w:val="58862C35"/>
    <w:rsid w:val="58C14957"/>
    <w:rsid w:val="58CC23D2"/>
    <w:rsid w:val="58E66050"/>
    <w:rsid w:val="59EC3BB9"/>
    <w:rsid w:val="59FC7994"/>
    <w:rsid w:val="5A006DFE"/>
    <w:rsid w:val="5AE83A50"/>
    <w:rsid w:val="5B353193"/>
    <w:rsid w:val="5B4E0F88"/>
    <w:rsid w:val="5B724FEB"/>
    <w:rsid w:val="5BAB2917"/>
    <w:rsid w:val="5BFC33FA"/>
    <w:rsid w:val="5C3107A4"/>
    <w:rsid w:val="5C3B1B93"/>
    <w:rsid w:val="5C9220DF"/>
    <w:rsid w:val="5CB13BC1"/>
    <w:rsid w:val="5D4A15F3"/>
    <w:rsid w:val="5D69542A"/>
    <w:rsid w:val="5D783B72"/>
    <w:rsid w:val="5E0930EF"/>
    <w:rsid w:val="5E3D4D53"/>
    <w:rsid w:val="5E4717E6"/>
    <w:rsid w:val="5E55774C"/>
    <w:rsid w:val="5E873E9A"/>
    <w:rsid w:val="5E8A70FF"/>
    <w:rsid w:val="5F6D7533"/>
    <w:rsid w:val="5F78631C"/>
    <w:rsid w:val="60045F96"/>
    <w:rsid w:val="60104DDC"/>
    <w:rsid w:val="605C0804"/>
    <w:rsid w:val="60913E6F"/>
    <w:rsid w:val="60E732C8"/>
    <w:rsid w:val="61733C3E"/>
    <w:rsid w:val="6189617B"/>
    <w:rsid w:val="61B52BB6"/>
    <w:rsid w:val="61B749C2"/>
    <w:rsid w:val="62280D20"/>
    <w:rsid w:val="62B4786E"/>
    <w:rsid w:val="62CA2457"/>
    <w:rsid w:val="638240A1"/>
    <w:rsid w:val="63833423"/>
    <w:rsid w:val="63A5257B"/>
    <w:rsid w:val="63BD3DCC"/>
    <w:rsid w:val="63C61741"/>
    <w:rsid w:val="64560967"/>
    <w:rsid w:val="656B1D10"/>
    <w:rsid w:val="658D400A"/>
    <w:rsid w:val="65B841F9"/>
    <w:rsid w:val="66022B28"/>
    <w:rsid w:val="664A38E2"/>
    <w:rsid w:val="66581E87"/>
    <w:rsid w:val="66766EBB"/>
    <w:rsid w:val="66FA11D5"/>
    <w:rsid w:val="674302C7"/>
    <w:rsid w:val="676D67DA"/>
    <w:rsid w:val="67CB09D8"/>
    <w:rsid w:val="67EE3B0F"/>
    <w:rsid w:val="680A5986"/>
    <w:rsid w:val="680D5F4B"/>
    <w:rsid w:val="68113F51"/>
    <w:rsid w:val="6828259E"/>
    <w:rsid w:val="68691A4F"/>
    <w:rsid w:val="68C10EF1"/>
    <w:rsid w:val="68E94770"/>
    <w:rsid w:val="68EC1CEF"/>
    <w:rsid w:val="68F949C9"/>
    <w:rsid w:val="695A4290"/>
    <w:rsid w:val="696F3649"/>
    <w:rsid w:val="69883869"/>
    <w:rsid w:val="699E5B68"/>
    <w:rsid w:val="6A1E5DEF"/>
    <w:rsid w:val="6A334932"/>
    <w:rsid w:val="6A3353FF"/>
    <w:rsid w:val="6A5D63E6"/>
    <w:rsid w:val="6A5F24D1"/>
    <w:rsid w:val="6ACA70C4"/>
    <w:rsid w:val="6AE347EB"/>
    <w:rsid w:val="6B310F78"/>
    <w:rsid w:val="6B330365"/>
    <w:rsid w:val="6B434AF0"/>
    <w:rsid w:val="6B57675A"/>
    <w:rsid w:val="6B87098A"/>
    <w:rsid w:val="6BDD7B4D"/>
    <w:rsid w:val="6D5E6F38"/>
    <w:rsid w:val="6E80343A"/>
    <w:rsid w:val="6EBC0B3A"/>
    <w:rsid w:val="6EF51C7D"/>
    <w:rsid w:val="6F8363E5"/>
    <w:rsid w:val="6F841DCF"/>
    <w:rsid w:val="6FA80CCD"/>
    <w:rsid w:val="6FAC3CC5"/>
    <w:rsid w:val="6FB31EE8"/>
    <w:rsid w:val="6FC746F5"/>
    <w:rsid w:val="6FE33EF5"/>
    <w:rsid w:val="70317AC6"/>
    <w:rsid w:val="704B26F7"/>
    <w:rsid w:val="70697B21"/>
    <w:rsid w:val="70863262"/>
    <w:rsid w:val="70A76ED3"/>
    <w:rsid w:val="71860B17"/>
    <w:rsid w:val="723B27CC"/>
    <w:rsid w:val="72687227"/>
    <w:rsid w:val="72A03FD9"/>
    <w:rsid w:val="72F247EE"/>
    <w:rsid w:val="73406CFF"/>
    <w:rsid w:val="7383028C"/>
    <w:rsid w:val="73847559"/>
    <w:rsid w:val="73A25E44"/>
    <w:rsid w:val="741F68CF"/>
    <w:rsid w:val="75252DF3"/>
    <w:rsid w:val="75621536"/>
    <w:rsid w:val="75BF3154"/>
    <w:rsid w:val="764A07CF"/>
    <w:rsid w:val="764F6B3D"/>
    <w:rsid w:val="76621E60"/>
    <w:rsid w:val="76CD2B7B"/>
    <w:rsid w:val="76D80645"/>
    <w:rsid w:val="76E03371"/>
    <w:rsid w:val="771211AA"/>
    <w:rsid w:val="77736C04"/>
    <w:rsid w:val="777A7C48"/>
    <w:rsid w:val="780E5898"/>
    <w:rsid w:val="782642CC"/>
    <w:rsid w:val="7894095E"/>
    <w:rsid w:val="78964555"/>
    <w:rsid w:val="78B2761A"/>
    <w:rsid w:val="78CF4963"/>
    <w:rsid w:val="79000679"/>
    <w:rsid w:val="7916258F"/>
    <w:rsid w:val="791C0FE5"/>
    <w:rsid w:val="79A416F0"/>
    <w:rsid w:val="79B03EB6"/>
    <w:rsid w:val="79B61437"/>
    <w:rsid w:val="79B65604"/>
    <w:rsid w:val="7AE15A5C"/>
    <w:rsid w:val="7AF37579"/>
    <w:rsid w:val="7AF87F64"/>
    <w:rsid w:val="7B1C0C84"/>
    <w:rsid w:val="7B28444C"/>
    <w:rsid w:val="7B305ECD"/>
    <w:rsid w:val="7B5A62DF"/>
    <w:rsid w:val="7B7A04A8"/>
    <w:rsid w:val="7C0C3F6D"/>
    <w:rsid w:val="7C22163C"/>
    <w:rsid w:val="7C457B4B"/>
    <w:rsid w:val="7C595075"/>
    <w:rsid w:val="7C6B07B2"/>
    <w:rsid w:val="7D133243"/>
    <w:rsid w:val="7D552A7E"/>
    <w:rsid w:val="7D945420"/>
    <w:rsid w:val="7D997857"/>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3"/>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8"/>
    <w:semiHidden/>
    <w:unhideWhenUsed/>
    <w:qFormat/>
    <w:uiPriority w:val="99"/>
    <w:rPr>
      <w:sz w:val="18"/>
      <w:szCs w:val="18"/>
    </w:rPr>
  </w:style>
  <w:style w:type="paragraph" w:styleId="17">
    <w:name w:val="footer"/>
    <w:basedOn w:val="1"/>
    <w:link w:val="32"/>
    <w:unhideWhenUsed/>
    <w:qFormat/>
    <w:uiPriority w:val="99"/>
    <w:pPr>
      <w:tabs>
        <w:tab w:val="center" w:pos="4153"/>
        <w:tab w:val="right" w:pos="8306"/>
      </w:tabs>
      <w:snapToGrid w:val="0"/>
      <w:jc w:val="left"/>
    </w:pPr>
    <w:rPr>
      <w:sz w:val="18"/>
      <w:szCs w:val="18"/>
    </w:rPr>
  </w:style>
  <w:style w:type="paragraph" w:styleId="18">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spacing w:before="100" w:beforeAutospacing="1" w:after="100" w:afterAutospacing="1"/>
      <w:jc w:val="left"/>
    </w:pPr>
    <w:rPr>
      <w:rFonts w:cs="Times New Roman"/>
      <w:kern w:val="0"/>
      <w:sz w:val="24"/>
    </w:rPr>
  </w:style>
  <w:style w:type="paragraph" w:styleId="22">
    <w:name w:val="Body Text First Indent"/>
    <w:basedOn w:val="8"/>
    <w:unhideWhenUsed/>
    <w:qFormat/>
    <w:uiPriority w:val="99"/>
    <w:pPr>
      <w:spacing w:after="120"/>
      <w:ind w:firstLine="420"/>
    </w:pPr>
    <w:rPr>
      <w:sz w:val="21"/>
    </w:r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1">
    <w:name w:val="页眉 Char"/>
    <w:basedOn w:val="26"/>
    <w:link w:val="18"/>
    <w:semiHidden/>
    <w:qFormat/>
    <w:uiPriority w:val="99"/>
    <w:rPr>
      <w:sz w:val="18"/>
      <w:szCs w:val="18"/>
    </w:rPr>
  </w:style>
  <w:style w:type="character" w:customStyle="1" w:styleId="32">
    <w:name w:val="页脚 Char"/>
    <w:basedOn w:val="26"/>
    <w:link w:val="17"/>
    <w:qFormat/>
    <w:uiPriority w:val="99"/>
    <w:rPr>
      <w:sz w:val="18"/>
      <w:szCs w:val="18"/>
    </w:rPr>
  </w:style>
  <w:style w:type="character" w:customStyle="1" w:styleId="33">
    <w:name w:val="标题 1 Char"/>
    <w:basedOn w:val="26"/>
    <w:link w:val="3"/>
    <w:qFormat/>
    <w:uiPriority w:val="9"/>
    <w:rPr>
      <w:rFonts w:eastAsia="方正小标宋简体"/>
      <w:bCs/>
      <w:kern w:val="44"/>
      <w:sz w:val="44"/>
      <w:szCs w:val="44"/>
    </w:rPr>
  </w:style>
  <w:style w:type="character" w:customStyle="1" w:styleId="34">
    <w:name w:val="标题 2 Char"/>
    <w:basedOn w:val="26"/>
    <w:link w:val="4"/>
    <w:qFormat/>
    <w:uiPriority w:val="9"/>
    <w:rPr>
      <w:rFonts w:eastAsia="方正小标宋简体" w:asciiTheme="majorHAnsi" w:hAnsiTheme="majorHAnsi" w:cstheme="majorBidi"/>
      <w:bCs/>
      <w:sz w:val="36"/>
      <w:szCs w:val="32"/>
    </w:rPr>
  </w:style>
  <w:style w:type="character" w:customStyle="1" w:styleId="35">
    <w:name w:val="标题 3 Char"/>
    <w:basedOn w:val="26"/>
    <w:link w:val="5"/>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6"/>
    <w:link w:val="16"/>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3"/>
    <w:next w:val="13"/>
    <w:qFormat/>
    <w:uiPriority w:val="0"/>
    <w:pPr>
      <w:spacing w:after="373"/>
    </w:pPr>
    <w:rPr>
      <w:color w:val="auto"/>
    </w:rPr>
  </w:style>
  <w:style w:type="paragraph" w:customStyle="1" w:styleId="41">
    <w:name w:val="CM91"/>
    <w:basedOn w:val="13"/>
    <w:next w:val="13"/>
    <w:qFormat/>
    <w:uiPriority w:val="0"/>
    <w:pPr>
      <w:spacing w:after="160"/>
    </w:pPr>
    <w:rPr>
      <w:color w:val="auto"/>
    </w:rPr>
  </w:style>
  <w:style w:type="character" w:customStyle="1" w:styleId="42">
    <w:name w:val="正文文本 3 Char"/>
    <w:link w:val="7"/>
    <w:qFormat/>
    <w:uiPriority w:val="99"/>
    <w:rPr>
      <w:sz w:val="16"/>
      <w:szCs w:val="16"/>
    </w:rPr>
  </w:style>
  <w:style w:type="character" w:customStyle="1" w:styleId="43">
    <w:name w:val="正文文本 3 Char1"/>
    <w:basedOn w:val="26"/>
    <w:link w:val="7"/>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2"/>
    <w:qFormat/>
    <w:uiPriority w:val="99"/>
    <w:pPr>
      <w:widowControl w:val="0"/>
      <w:jc w:val="both"/>
    </w:pPr>
    <w:rPr>
      <w:rFonts w:ascii="宋体" w:hAnsi="Courier New"/>
      <w:kern w:val="2"/>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 w:type="paragraph" w:customStyle="1" w:styleId="48">
    <w:name w:val="WPSOffice手动目录 3"/>
    <w:qFormat/>
    <w:uiPriority w:val="0"/>
    <w:pPr>
      <w:ind w:leftChars="400"/>
    </w:pPr>
    <w:rPr>
      <w:rFonts w:asciiTheme="minorHAnsi" w:hAnsiTheme="minorHAnsi" w:eastAsiaTheme="minorEastAsia" w:cstheme="minorBidi"/>
      <w:sz w:val="20"/>
      <w:szCs w:val="20"/>
    </w:rPr>
  </w:style>
  <w:style w:type="character" w:customStyle="1" w:styleId="49">
    <w:name w:val="font21"/>
    <w:basedOn w:val="26"/>
    <w:qFormat/>
    <w:uiPriority w:val="0"/>
    <w:rPr>
      <w:rFonts w:hint="eastAsia" w:ascii="宋体" w:hAnsi="宋体" w:eastAsia="宋体" w:cs="宋体"/>
      <w:b/>
      <w:bCs/>
      <w:color w:val="000000"/>
      <w:sz w:val="18"/>
      <w:szCs w:val="18"/>
      <w:u w:val="none"/>
    </w:rPr>
  </w:style>
  <w:style w:type="character" w:customStyle="1" w:styleId="50">
    <w:name w:val="font11"/>
    <w:basedOn w:val="26"/>
    <w:qFormat/>
    <w:uiPriority w:val="0"/>
    <w:rPr>
      <w:rFonts w:hint="eastAsia" w:ascii="宋体" w:hAnsi="宋体" w:eastAsia="宋体" w:cs="宋体"/>
      <w:b/>
      <w:bCs/>
      <w:color w:val="000000"/>
      <w:sz w:val="18"/>
      <w:szCs w:val="18"/>
      <w:u w:val="none"/>
    </w:rPr>
  </w:style>
  <w:style w:type="paragraph" w:customStyle="1" w:styleId="5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2">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16652</Words>
  <Characters>17288</Characters>
  <Lines>300</Lines>
  <Paragraphs>84</Paragraphs>
  <TotalTime>1</TotalTime>
  <ScaleCrop>false</ScaleCrop>
  <LinksUpToDate>false</LinksUpToDate>
  <CharactersWithSpaces>19080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2022-08-18T09:03:00Z</cp:lastPrinted>
  <dcterms:modified xsi:type="dcterms:W3CDTF">2023-01-13T08:55:19Z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9E1FE0DBDB2E4F2BA8256729A4516B3B</vt:lpwstr>
  </property>
</Properties>
</file>