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ind w:firstLine="520" w:firstLineChars="100"/>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广州市净水有限公司石井分公司高效池斜板大修项目（第二次）</w:t>
      </w:r>
    </w:p>
    <w:p>
      <w:pPr>
        <w:jc w:val="center"/>
        <w:rPr>
          <w:rFonts w:hint="default"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bookmarkStart w:id="135" w:name="_GoBack"/>
      <w:bookmarkEnd w:id="135"/>
    </w:p>
    <w:p>
      <w:pPr>
        <w:jc w:val="center"/>
        <w:rPr>
          <w:rFonts w:hint="default"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十二</w:t>
      </w:r>
      <w:r>
        <w:rPr>
          <w:rFonts w:hint="eastAsia" w:ascii="黑体" w:hAnsi="黑体" w:eastAsia="黑体" w:cs="仿宋_GB2312"/>
          <w:color w:val="auto"/>
          <w:sz w:val="32"/>
          <w:szCs w:val="32"/>
          <w:highlight w:val="none"/>
        </w:rPr>
        <w:t>月</w:t>
      </w:r>
    </w:p>
    <w:p>
      <w:pPr>
        <w:rPr>
          <w:color w:val="auto"/>
          <w:highlight w:val="none"/>
        </w:rPr>
        <w:sectPr>
          <w:footerReference r:id="rId4" w:type="first"/>
          <w:footerReference r:id="rId3" w:type="default"/>
          <w:pgSz w:w="11906" w:h="16838"/>
          <w:pgMar w:top="2098" w:right="1474" w:bottom="1985" w:left="1588" w:header="851" w:footer="992" w:gutter="0"/>
          <w:pgNumType w:fmt="decimal"/>
          <w:cols w:space="425" w:num="1"/>
          <w:docGrid w:type="lines" w:linePitch="312" w:charSpace="0"/>
        </w:sectPr>
      </w:pPr>
    </w:p>
    <w:p>
      <w:pPr>
        <w:pStyle w:val="2"/>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31938"/>
      <w:bookmarkStart w:id="5" w:name="_Toc17801"/>
      <w:bookmarkStart w:id="6" w:name="_Toc1669"/>
      <w:bookmarkStart w:id="7" w:name="_Toc19609"/>
      <w:bookmarkStart w:id="8" w:name="_Toc4275"/>
      <w:bookmarkStart w:id="9" w:name="_Toc11322"/>
      <w:bookmarkStart w:id="10" w:name="_Toc7519"/>
    </w:p>
    <w:p>
      <w:pPr>
        <w:pStyle w:val="4"/>
        <w:rPr>
          <w:rFonts w:hint="eastAsia"/>
          <w:color w:val="auto"/>
          <w:highlight w:val="none"/>
        </w:rPr>
      </w:pPr>
    </w:p>
    <w:p>
      <w:pPr>
        <w:pStyle w:val="4"/>
        <w:jc w:val="both"/>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2321560</wp:posOffset>
                </wp:positionH>
                <wp:positionV relativeFrom="paragraph">
                  <wp:posOffset>523240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2.8pt;margin-top:41.2pt;height:0pt;width:75.5pt;z-index:251670528;mso-width-relative:page;mso-height-relative:page;" filled="f" stroked="t" coordsize="21600,21600" o:gfxdata="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pNm5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950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default"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lang w:val="en-US" w:eastAsia="zh-CN"/>
        </w:rPr>
        <w:t>石井分公司高效池斜板大修项目（第二次）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广州市净水有限公司石井分公司高效池斜板大修项目（第二次）</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XJ-20221201-1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433239.01元</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其中不含税工程造价为397466.98元，税率为9%，绿色施工安全防护措施费为12017.64元</w:t>
      </w:r>
      <w:r>
        <w:rPr>
          <w:rFonts w:hint="eastAsia" w:ascii="仿宋_GB2312" w:eastAsia="仿宋_GB2312"/>
          <w:color w:val="auto"/>
          <w:sz w:val="28"/>
          <w:szCs w:val="28"/>
          <w:highlight w:val="none"/>
          <w:u w:val="single"/>
          <w:lang w:eastAsia="zh-CN"/>
        </w:rPr>
        <w:t>，</w:t>
      </w:r>
      <w:r>
        <w:rPr>
          <w:rFonts w:hint="eastAsia" w:ascii="仿宋" w:hAnsi="仿宋" w:eastAsia="仿宋" w:cs="仿宋"/>
          <w:color w:val="auto"/>
          <w:sz w:val="28"/>
          <w:szCs w:val="28"/>
          <w:highlight w:val="none"/>
          <w:u w:val="single"/>
        </w:rPr>
        <w:t>绿色施工安全防护措施费为非竞争性费用，报价时须按询价文件规定的金额填写，不得参与竞争，否则按无效报价处理。</w:t>
      </w:r>
      <w:r>
        <w:rPr>
          <w:rFonts w:hint="eastAsia" w:ascii="仿宋" w:hAnsi="仿宋" w:eastAsia="仿宋" w:cs="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p>
      <w:pPr>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二期初雨于2017年投产使用，投产至今高效沉淀中的斜板未更换过，在此期间未进行过大修。该斜板是PP塑料材质，长期处于腐蚀性水体中以及密闭空间内，斜板开始风化、老化，变脆，一些斜板已经坍塌。导致沉淀效果差，影响水质处理效果。</w:t>
      </w:r>
    </w:p>
    <w:p>
      <w:pPr>
        <w:pStyle w:val="7"/>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主要实施内容如下：</w:t>
      </w:r>
    </w:p>
    <w:p>
      <w:pPr>
        <w:pStyle w:val="7"/>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首先拆除高效池上方除臭盖板，将池内旧斜板以及旧的支架全部拆除，用水将池面冲洗干净，修复池内的溢流槽，加固溢流槽的支架；安装全新的斜板支架，之后将斜板拼装好放到支架上。四个高效池逐一更换，为了确保安全施工，维修时将高效池放空，施工时工作人员必须佩戴安全带。</w:t>
      </w:r>
    </w:p>
    <w:p>
      <w:pPr>
        <w:spacing w:line="360" w:lineRule="auto"/>
        <w:jc w:val="center"/>
        <w:rPr>
          <w:rFonts w:hint="eastAsia"/>
          <w:color w:val="auto"/>
          <w:highlight w:val="none"/>
        </w:rPr>
      </w:pPr>
      <w:r>
        <w:rPr>
          <w:rFonts w:hint="eastAsia"/>
          <w:color w:val="auto"/>
          <w:highlight w:val="none"/>
        </w:rPr>
        <w:t>表</w:t>
      </w:r>
      <w:r>
        <w:rPr>
          <w:rFonts w:hint="eastAsia"/>
          <w:color w:val="auto"/>
          <w:highlight w:val="none"/>
          <w:lang w:val="en-US" w:eastAsia="zh-CN"/>
        </w:rPr>
        <w:t xml:space="preserve">1 </w:t>
      </w:r>
      <w:r>
        <w:rPr>
          <w:rFonts w:hint="eastAsia" w:ascii="宋体" w:hAnsi="宋体" w:cs="宋体"/>
          <w:color w:val="auto"/>
          <w:kern w:val="0"/>
          <w:szCs w:val="21"/>
          <w:highlight w:val="none"/>
          <w:lang w:val="en-US" w:eastAsia="zh-CN"/>
        </w:rPr>
        <w:t>斜板</w:t>
      </w:r>
      <w:r>
        <w:rPr>
          <w:rFonts w:hint="eastAsia"/>
          <w:color w:val="auto"/>
          <w:highlight w:val="none"/>
        </w:rPr>
        <w:t>大修实施步骤</w:t>
      </w:r>
    </w:p>
    <w:tbl>
      <w:tblPr>
        <w:tblStyle w:val="22"/>
        <w:tblW w:w="9087" w:type="dxa"/>
        <w:tblInd w:w="93" w:type="dxa"/>
        <w:tblLayout w:type="fixed"/>
        <w:tblCellMar>
          <w:top w:w="0" w:type="dxa"/>
          <w:left w:w="108" w:type="dxa"/>
          <w:bottom w:w="0" w:type="dxa"/>
          <w:right w:w="108" w:type="dxa"/>
        </w:tblCellMar>
      </w:tblPr>
      <w:tblGrid>
        <w:gridCol w:w="1008"/>
        <w:gridCol w:w="8079"/>
      </w:tblGrid>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07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内容</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1</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ascii="仿宋_GB2312" w:hAnsi="Calibri" w:cs="Times New Roman"/>
                <w:color w:val="auto"/>
                <w:kern w:val="2"/>
                <w:sz w:val="24"/>
                <w:szCs w:val="32"/>
                <w:highlight w:val="none"/>
                <w:lang w:val="en-US"/>
              </w:rPr>
            </w:pPr>
            <w:r>
              <w:rPr>
                <w:rFonts w:hint="eastAsia" w:hAnsi="Calibri" w:cs="Times New Roman"/>
                <w:color w:val="auto"/>
                <w:kern w:val="2"/>
                <w:sz w:val="24"/>
                <w:szCs w:val="32"/>
                <w:highlight w:val="none"/>
                <w:lang w:val="en-US" w:eastAsia="zh-CN"/>
              </w:rPr>
              <w:t>拆除高效池上方除臭盖板，关闭高效池的进水和出水闸门，轴流风机强制通风，检测气体。</w:t>
            </w:r>
          </w:p>
        </w:tc>
      </w:tr>
      <w:tr>
        <w:tblPrEx>
          <w:tblCellMar>
            <w:top w:w="0" w:type="dxa"/>
            <w:left w:w="108" w:type="dxa"/>
            <w:bottom w:w="0" w:type="dxa"/>
            <w:right w:w="108" w:type="dxa"/>
          </w:tblCellMar>
        </w:tblPrEx>
        <w:trPr>
          <w:trHeight w:val="90" w:hRule="atLeast"/>
        </w:trPr>
        <w:tc>
          <w:tcPr>
            <w:tcW w:w="1008" w:type="dxa"/>
            <w:tcBorders>
              <w:top w:val="nil"/>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2</w:t>
            </w:r>
          </w:p>
        </w:tc>
        <w:tc>
          <w:tcPr>
            <w:tcW w:w="8079" w:type="dxa"/>
            <w:tcBorders>
              <w:top w:val="nil"/>
              <w:left w:val="nil"/>
              <w:bottom w:val="single" w:color="auto" w:sz="4" w:space="0"/>
              <w:right w:val="single" w:color="auto" w:sz="4" w:space="0"/>
            </w:tcBorders>
            <w:vAlign w:val="center"/>
          </w:tcPr>
          <w:p>
            <w:pPr>
              <w:widowControl w:val="0"/>
              <w:spacing w:line="360" w:lineRule="auto"/>
              <w:jc w:val="left"/>
              <w:rPr>
                <w:rFonts w:ascii="仿宋_GB2312" w:hAnsi="Calibri" w:cs="Times New Roman"/>
                <w:color w:val="auto"/>
                <w:kern w:val="2"/>
                <w:sz w:val="24"/>
                <w:szCs w:val="32"/>
                <w:highlight w:val="none"/>
              </w:rPr>
            </w:pPr>
            <w:r>
              <w:rPr>
                <w:rFonts w:hint="eastAsia" w:hAnsi="Calibri" w:cs="Times New Roman"/>
                <w:color w:val="auto"/>
                <w:kern w:val="2"/>
                <w:sz w:val="24"/>
                <w:szCs w:val="32"/>
                <w:highlight w:val="none"/>
                <w:lang w:val="en-US" w:eastAsia="zh-CN"/>
              </w:rPr>
              <w:t>待测得到气体符合安全值时，工作人员穿戴好安全，带上防毒面具，登记有限空间进入表。</w:t>
            </w:r>
          </w:p>
        </w:tc>
      </w:tr>
      <w:tr>
        <w:tblPrEx>
          <w:tblCellMar>
            <w:top w:w="0" w:type="dxa"/>
            <w:left w:w="108" w:type="dxa"/>
            <w:bottom w:w="0" w:type="dxa"/>
            <w:right w:w="108" w:type="dxa"/>
          </w:tblCellMar>
        </w:tblPrEx>
        <w:trPr>
          <w:trHeight w:val="900" w:hRule="atLeast"/>
        </w:trPr>
        <w:tc>
          <w:tcPr>
            <w:tcW w:w="1008" w:type="dxa"/>
            <w:tcBorders>
              <w:top w:val="nil"/>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3</w:t>
            </w:r>
          </w:p>
        </w:tc>
        <w:tc>
          <w:tcPr>
            <w:tcW w:w="8079" w:type="dxa"/>
            <w:tcBorders>
              <w:top w:val="nil"/>
              <w:left w:val="nil"/>
              <w:bottom w:val="single" w:color="auto" w:sz="4" w:space="0"/>
              <w:right w:val="single" w:color="auto" w:sz="4" w:space="0"/>
            </w:tcBorders>
            <w:vAlign w:val="center"/>
          </w:tcPr>
          <w:p>
            <w:pPr>
              <w:widowControl w:val="0"/>
              <w:spacing w:line="360" w:lineRule="auto"/>
              <w:jc w:val="left"/>
              <w:rPr>
                <w:rFonts w:ascii="仿宋_GB2312" w:hAnsi="Calibri" w:cs="Times New Roman"/>
                <w:color w:val="auto"/>
                <w:kern w:val="2"/>
                <w:sz w:val="24"/>
                <w:szCs w:val="32"/>
                <w:highlight w:val="none"/>
              </w:rPr>
            </w:pPr>
            <w:r>
              <w:rPr>
                <w:rFonts w:hint="eastAsia" w:hAnsi="Calibri" w:cs="Times New Roman"/>
                <w:color w:val="auto"/>
                <w:kern w:val="2"/>
                <w:sz w:val="24"/>
                <w:szCs w:val="32"/>
                <w:highlight w:val="none"/>
                <w:lang w:val="en-US" w:eastAsia="zh-CN"/>
              </w:rPr>
              <w:t>拆卸斜板、斜板支撑架</w:t>
            </w:r>
            <w:r>
              <w:rPr>
                <w:rFonts w:hint="eastAsia" w:ascii="仿宋_GB2312" w:hAnsi="Calibri" w:cs="Times New Roman"/>
                <w:color w:val="auto"/>
                <w:kern w:val="2"/>
                <w:sz w:val="24"/>
                <w:szCs w:val="32"/>
                <w:highlight w:val="none"/>
              </w:rPr>
              <w:t>。</w:t>
            </w:r>
          </w:p>
        </w:tc>
      </w:tr>
      <w:tr>
        <w:tblPrEx>
          <w:tblCellMar>
            <w:top w:w="0" w:type="dxa"/>
            <w:left w:w="108" w:type="dxa"/>
            <w:bottom w:w="0" w:type="dxa"/>
            <w:right w:w="108" w:type="dxa"/>
          </w:tblCellMar>
        </w:tblPrEx>
        <w:trPr>
          <w:trHeight w:val="900" w:hRule="atLeast"/>
        </w:trPr>
        <w:tc>
          <w:tcPr>
            <w:tcW w:w="1008" w:type="dxa"/>
            <w:tcBorders>
              <w:top w:val="nil"/>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4</w:t>
            </w:r>
          </w:p>
        </w:tc>
        <w:tc>
          <w:tcPr>
            <w:tcW w:w="8079" w:type="dxa"/>
            <w:tcBorders>
              <w:top w:val="nil"/>
              <w:left w:val="nil"/>
              <w:bottom w:val="single" w:color="auto" w:sz="4" w:space="0"/>
              <w:right w:val="single" w:color="auto" w:sz="4" w:space="0"/>
            </w:tcBorders>
            <w:vAlign w:val="center"/>
          </w:tcPr>
          <w:p>
            <w:pPr>
              <w:widowControl w:val="0"/>
              <w:spacing w:line="360" w:lineRule="auto"/>
              <w:jc w:val="left"/>
              <w:rPr>
                <w:rFonts w:ascii="仿宋_GB2312" w:hAnsi="Calibri" w:cs="Times New Roman"/>
                <w:color w:val="auto"/>
                <w:kern w:val="2"/>
                <w:sz w:val="24"/>
                <w:szCs w:val="32"/>
                <w:highlight w:val="none"/>
              </w:rPr>
            </w:pPr>
            <w:r>
              <w:rPr>
                <w:rFonts w:hint="eastAsia" w:hAnsi="Calibri" w:cs="Times New Roman"/>
                <w:color w:val="auto"/>
                <w:kern w:val="2"/>
                <w:sz w:val="24"/>
                <w:szCs w:val="32"/>
                <w:highlight w:val="none"/>
                <w:lang w:val="en-US" w:eastAsia="zh-CN"/>
              </w:rPr>
              <w:t>将拆卸斜板、斜板支撑架放到空旷场地，做好围蔽，必要时安装警示灯</w:t>
            </w:r>
            <w:r>
              <w:rPr>
                <w:rFonts w:hint="eastAsia" w:ascii="仿宋_GB2312" w:hAnsi="Calibri" w:cs="Times New Roman"/>
                <w:color w:val="auto"/>
                <w:kern w:val="2"/>
                <w:sz w:val="24"/>
                <w:szCs w:val="32"/>
                <w:highlight w:val="none"/>
              </w:rPr>
              <w:t>。</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5</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ascii="仿宋_GB2312" w:hAnsi="Calibri" w:eastAsia="仿宋_GB2312"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利用高压水枪冲洗池面。</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eastAsia" w:ascii="仿宋_GB2312" w:hAnsi="Calibri" w:eastAsia="仿宋_GB2312"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6</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eastAsia" w:ascii="仿宋_GB2312" w:hAnsi="Calibri" w:eastAsia="仿宋_GB2312" w:cs="Times New Roman"/>
                <w:color w:val="auto"/>
                <w:kern w:val="2"/>
                <w:sz w:val="24"/>
                <w:szCs w:val="32"/>
                <w:highlight w:val="none"/>
                <w:lang w:eastAsia="zh-CN"/>
              </w:rPr>
            </w:pPr>
            <w:r>
              <w:rPr>
                <w:rFonts w:hint="eastAsia" w:hAnsi="Calibri" w:cs="Times New Roman"/>
                <w:color w:val="auto"/>
                <w:kern w:val="2"/>
                <w:sz w:val="24"/>
                <w:szCs w:val="32"/>
                <w:highlight w:val="none"/>
                <w:lang w:val="en-US" w:eastAsia="zh-CN"/>
              </w:rPr>
              <w:t>冲洗干净后，对溢流槽槽板进行修复，溢流槽与墙角连接处焊接角铁加固支架</w:t>
            </w:r>
            <w:r>
              <w:rPr>
                <w:rFonts w:hint="eastAsia" w:hAnsi="Calibri" w:cs="Times New Roman"/>
                <w:color w:val="auto"/>
                <w:kern w:val="2"/>
                <w:sz w:val="24"/>
                <w:szCs w:val="32"/>
                <w:highlight w:val="none"/>
                <w:lang w:eastAsia="zh-CN"/>
              </w:rPr>
              <w:t>。</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default" w:hAnsi="Calibri"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7</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ascii="仿宋_GB2312" w:hAnsi="Calibri" w:eastAsia="仿宋_GB2312"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安装支架，捆绑斜管放入支架上</w:t>
            </w:r>
            <w:r>
              <w:rPr>
                <w:rFonts w:hint="eastAsia" w:hAnsi="Calibri" w:cs="Times New Roman"/>
                <w:color w:val="auto"/>
                <w:kern w:val="2"/>
                <w:sz w:val="24"/>
                <w:szCs w:val="32"/>
                <w:highlight w:val="none"/>
                <w:lang w:eastAsia="zh-CN"/>
              </w:rPr>
              <w:t>。</w:t>
            </w:r>
            <w:r>
              <w:rPr>
                <w:rFonts w:hint="eastAsia" w:hAnsi="Calibri" w:cs="Times New Roman"/>
                <w:color w:val="auto"/>
                <w:kern w:val="2"/>
                <w:sz w:val="24"/>
                <w:szCs w:val="32"/>
                <w:highlight w:val="none"/>
                <w:lang w:val="en-US" w:eastAsia="zh-CN"/>
              </w:rPr>
              <w:t>安装时倾斜方向不应水流直冲斜板</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default" w:hAnsi="Calibri"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8</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hAnsi="Calibri"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完成安装，按照原样恢复高效池除臭盖板。</w:t>
            </w:r>
          </w:p>
        </w:tc>
      </w:tr>
    </w:tbl>
    <w:p>
      <w:pPr>
        <w:numPr>
          <w:ilvl w:val="-1"/>
          <w:numId w:val="0"/>
        </w:numPr>
        <w:spacing w:line="360" w:lineRule="auto"/>
        <w:ind w:left="0" w:leftChars="0"/>
        <w:rPr>
          <w:rFonts w:hint="eastAsia" w:ascii="仿宋" w:hAnsi="仿宋" w:eastAsia="仿宋" w:cs="仿宋"/>
          <w:b w:val="0"/>
          <w:bCs/>
          <w:color w:val="auto"/>
          <w:kern w:val="0"/>
          <w:sz w:val="28"/>
          <w:szCs w:val="28"/>
          <w:highlight w:val="none"/>
          <w:lang w:val="en-US" w:eastAsia="zh-CN"/>
        </w:rPr>
      </w:pPr>
    </w:p>
    <w:p>
      <w:pPr>
        <w:numPr>
          <w:ilvl w:val="-1"/>
          <w:numId w:val="0"/>
        </w:numPr>
        <w:spacing w:line="360" w:lineRule="auto"/>
        <w:ind w:left="0" w:leftChars="0"/>
        <w:rPr>
          <w:rFonts w:hint="eastAsia" w:ascii="仿宋" w:hAnsi="仿宋" w:eastAsia="仿宋" w:cs="仿宋"/>
          <w:b w:val="0"/>
          <w:bCs/>
          <w:color w:val="auto"/>
          <w:kern w:val="0"/>
          <w:sz w:val="28"/>
          <w:szCs w:val="28"/>
          <w:highlight w:val="none"/>
          <w:lang w:val="en-US" w:eastAsia="zh-CN"/>
        </w:rPr>
      </w:pPr>
    </w:p>
    <w:p>
      <w:pPr>
        <w:numPr>
          <w:ilvl w:val="-1"/>
          <w:numId w:val="0"/>
        </w:numPr>
        <w:spacing w:line="360" w:lineRule="auto"/>
        <w:ind w:left="0" w:leftChars="0"/>
        <w:rPr>
          <w:rFonts w:hint="eastAsia" w:ascii="仿宋" w:hAnsi="仿宋" w:eastAsia="仿宋" w:cs="仿宋"/>
          <w:b w:val="0"/>
          <w:bCs/>
          <w:color w:val="auto"/>
          <w:kern w:val="0"/>
          <w:sz w:val="28"/>
          <w:szCs w:val="28"/>
          <w:highlight w:val="none"/>
          <w:lang w:val="en-US" w:eastAsia="zh-CN"/>
        </w:rPr>
      </w:pPr>
    </w:p>
    <w:p>
      <w:pPr>
        <w:numPr>
          <w:ilvl w:val="-1"/>
          <w:numId w:val="0"/>
        </w:numPr>
        <w:spacing w:line="360" w:lineRule="auto"/>
        <w:ind w:left="0" w:leftChars="0"/>
        <w:rPr>
          <w:rFonts w:hint="eastAsia" w:ascii="仿宋" w:hAnsi="仿宋" w:eastAsia="仿宋" w:cs="仿宋"/>
          <w:b w:val="0"/>
          <w:bCs/>
          <w:color w:val="auto"/>
          <w:kern w:val="0"/>
          <w:sz w:val="28"/>
          <w:szCs w:val="28"/>
          <w:highlight w:val="none"/>
          <w:lang w:val="en-US" w:eastAsia="zh-CN"/>
        </w:rPr>
      </w:pPr>
    </w:p>
    <w:p>
      <w:pPr>
        <w:numPr>
          <w:ilvl w:val="-1"/>
          <w:numId w:val="0"/>
        </w:numPr>
        <w:spacing w:line="360" w:lineRule="auto"/>
        <w:ind w:left="0" w:leftChars="0"/>
        <w:rPr>
          <w:rFonts w:hint="eastAsia" w:ascii="仿宋" w:hAnsi="仿宋" w:eastAsia="仿宋" w:cs="仿宋"/>
          <w:b w:val="0"/>
          <w:bCs/>
          <w:color w:val="auto"/>
          <w:kern w:val="0"/>
          <w:sz w:val="28"/>
          <w:szCs w:val="28"/>
          <w:highlight w:val="none"/>
          <w:lang w:val="en-US" w:eastAsia="zh-CN"/>
        </w:rPr>
      </w:pPr>
    </w:p>
    <w:p>
      <w:pPr>
        <w:spacing w:line="360" w:lineRule="auto"/>
        <w:jc w:val="center"/>
        <w:rPr>
          <w:rFonts w:hint="eastAsia"/>
          <w:color w:val="auto"/>
          <w:highlight w:val="none"/>
        </w:rPr>
      </w:pPr>
      <w:r>
        <w:rPr>
          <w:rFonts w:hint="eastAsia"/>
          <w:color w:val="auto"/>
          <w:highlight w:val="none"/>
        </w:rPr>
        <w:t>表</w:t>
      </w:r>
      <w:r>
        <w:rPr>
          <w:rFonts w:hint="eastAsia"/>
          <w:color w:val="auto"/>
          <w:highlight w:val="none"/>
          <w:lang w:val="en-US" w:eastAsia="zh-CN"/>
        </w:rPr>
        <w:t>2</w:t>
      </w:r>
      <w:r>
        <w:rPr>
          <w:rFonts w:hint="eastAsia"/>
          <w:color w:val="auto"/>
          <w:highlight w:val="none"/>
        </w:rPr>
        <w:t>备品备件参数及需求情况</w:t>
      </w:r>
    </w:p>
    <w:tbl>
      <w:tblPr>
        <w:tblStyle w:val="22"/>
        <w:tblW w:w="50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2498"/>
        <w:gridCol w:w="1807"/>
        <w:gridCol w:w="829"/>
        <w:gridCol w:w="1302"/>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359"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983"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w:t>
            </w:r>
          </w:p>
        </w:tc>
        <w:tc>
          <w:tcPr>
            <w:tcW w:w="451" w:type="pct"/>
            <w:vAlign w:val="center"/>
          </w:tcPr>
          <w:p>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708" w:type="pct"/>
            <w:vAlign w:val="center"/>
          </w:tcPr>
          <w:p>
            <w:pPr>
              <w:spacing w:line="360" w:lineRule="auto"/>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数量</w:t>
            </w:r>
          </w:p>
        </w:tc>
        <w:tc>
          <w:tcPr>
            <w:tcW w:w="961"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359" w:type="pct"/>
            <w:vAlign w:val="center"/>
          </w:tcPr>
          <w:p>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斜板</w:t>
            </w:r>
          </w:p>
        </w:tc>
        <w:tc>
          <w:tcPr>
            <w:tcW w:w="983"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φ60*0.5；PP材质</w:t>
            </w:r>
          </w:p>
        </w:tc>
        <w:tc>
          <w:tcPr>
            <w:tcW w:w="451"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708" w:type="pct"/>
            <w:vAlign w:val="center"/>
          </w:tcPr>
          <w:p>
            <w:pPr>
              <w:spacing w:line="360" w:lineRule="auto"/>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416</w:t>
            </w:r>
          </w:p>
        </w:tc>
        <w:tc>
          <w:tcPr>
            <w:tcW w:w="961" w:type="pct"/>
            <w:vAlign w:val="center"/>
          </w:tcPr>
          <w:p>
            <w:pPr>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359"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斜板支架</w:t>
            </w:r>
          </w:p>
        </w:tc>
        <w:tc>
          <w:tcPr>
            <w:tcW w:w="983"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不锈钢304</w:t>
            </w:r>
          </w:p>
        </w:tc>
        <w:tc>
          <w:tcPr>
            <w:tcW w:w="451"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708" w:type="pct"/>
            <w:vAlign w:val="center"/>
          </w:tcPr>
          <w:p>
            <w:pPr>
              <w:spacing w:line="360" w:lineRule="auto"/>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416</w:t>
            </w:r>
          </w:p>
        </w:tc>
        <w:tc>
          <w:tcPr>
            <w:tcW w:w="961" w:type="pct"/>
            <w:vAlign w:val="center"/>
          </w:tcPr>
          <w:p>
            <w:pPr>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359" w:type="pct"/>
            <w:vAlign w:val="center"/>
          </w:tcPr>
          <w:p>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安装绳</w:t>
            </w:r>
          </w:p>
        </w:tc>
        <w:tc>
          <w:tcPr>
            <w:tcW w:w="983" w:type="pct"/>
            <w:vAlign w:val="center"/>
          </w:tcPr>
          <w:p>
            <w:pPr>
              <w:spacing w:line="360" w:lineRule="auto"/>
              <w:jc w:val="center"/>
              <w:rPr>
                <w:rFonts w:hint="eastAsia" w:ascii="仿宋" w:hAnsi="仿宋" w:eastAsia="仿宋" w:cs="仿宋"/>
                <w:color w:val="auto"/>
                <w:sz w:val="28"/>
                <w:szCs w:val="28"/>
                <w:highlight w:val="none"/>
              </w:rPr>
            </w:pPr>
          </w:p>
        </w:tc>
        <w:tc>
          <w:tcPr>
            <w:tcW w:w="451"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m</w:t>
            </w:r>
          </w:p>
        </w:tc>
        <w:tc>
          <w:tcPr>
            <w:tcW w:w="708" w:type="pct"/>
            <w:vAlign w:val="center"/>
          </w:tcPr>
          <w:p>
            <w:pPr>
              <w:spacing w:line="360" w:lineRule="auto"/>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6000</w:t>
            </w:r>
          </w:p>
        </w:tc>
        <w:tc>
          <w:tcPr>
            <w:tcW w:w="961" w:type="pct"/>
            <w:vAlign w:val="center"/>
          </w:tcPr>
          <w:p>
            <w:pPr>
              <w:spacing w:line="360" w:lineRule="auto"/>
              <w:jc w:val="center"/>
              <w:rPr>
                <w:rFonts w:hint="eastAsia" w:ascii="仿宋" w:hAnsi="仿宋" w:eastAsia="仿宋" w:cs="仿宋"/>
                <w:color w:val="auto"/>
                <w:sz w:val="28"/>
                <w:szCs w:val="28"/>
                <w:highlight w:val="none"/>
              </w:rPr>
            </w:pPr>
          </w:p>
        </w:tc>
      </w:tr>
    </w:tbl>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广州市白云区夏花一路551号广州市净水有限公司石井分公司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满足石井分公司生产需要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符合《中华人民共和国安全生产法》相关要求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lang w:val="en-US" w:eastAsia="zh-CN"/>
        </w:rPr>
        <w:t>以下资质之一：</w:t>
      </w:r>
    </w:p>
    <w:p>
      <w:pPr>
        <w:pStyle w:val="46"/>
        <w:ind w:firstLine="560" w:firstLineChars="200"/>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①机电工程施工总承包三级（或以上）资质；</w:t>
      </w:r>
    </w:p>
    <w:p>
      <w:pPr>
        <w:adjustRightInd w:val="0"/>
        <w:snapToGrid w:val="0"/>
        <w:spacing w:line="600" w:lineRule="exact"/>
        <w:ind w:firstLine="560" w:firstLineChars="200"/>
        <w:jc w:val="left"/>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②建筑机电安装工程专业承包三级（或以上）资质；</w:t>
      </w:r>
    </w:p>
    <w:p>
      <w:pPr>
        <w:adjustRightInd w:val="0"/>
        <w:snapToGrid w:val="0"/>
        <w:spacing w:line="600" w:lineRule="exact"/>
        <w:ind w:firstLine="0" w:firstLineChars="0"/>
        <w:jc w:val="left"/>
        <w:rPr>
          <w:rFonts w:ascii="仿宋_GB2312" w:eastAsia="仿宋_GB2312"/>
          <w:color w:val="auto"/>
          <w:sz w:val="28"/>
          <w:szCs w:val="28"/>
          <w:highlight w:val="none"/>
          <w:u w:val="single"/>
        </w:rPr>
      </w:pPr>
      <w:r>
        <w:rPr>
          <w:rFonts w:hint="eastAsia" w:ascii="仿宋_GB2312" w:eastAsia="仿宋_GB2312" w:hAnsiTheme="minorHAnsi" w:cstheme="minorBidi"/>
          <w:color w:val="auto"/>
          <w:kern w:val="2"/>
          <w:sz w:val="28"/>
          <w:szCs w:val="28"/>
          <w:highlight w:val="none"/>
          <w:lang w:val="en-US" w:eastAsia="zh-CN" w:bidi="ar-SA"/>
        </w:rPr>
        <w:t>同时具有建设主管部门颁发且在有效期内的《安全生产许可证》。</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2019</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none"/>
          <w:lang w:val="en-US" w:eastAsia="zh-CN"/>
        </w:rPr>
        <w:t xml:space="preserve"> 高效池或</w:t>
      </w:r>
      <w:r>
        <w:rPr>
          <w:rFonts w:hint="default" w:ascii="仿宋_GB2312" w:eastAsia="仿宋_GB2312"/>
          <w:color w:val="auto"/>
          <w:sz w:val="28"/>
          <w:szCs w:val="28"/>
          <w:highlight w:val="none"/>
          <w:u w:val="none"/>
          <w:lang w:val="en-US" w:eastAsia="zh-CN"/>
        </w:rPr>
        <w:t>沉淀池斜管的安装（或维修）</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numPr>
          <w:ilvl w:val="255"/>
          <w:numId w:val="0"/>
        </w:numPr>
        <w:spacing w:line="480" w:lineRule="exact"/>
        <w:ind w:firstLine="560" w:firstLineChars="200"/>
        <w:rPr>
          <w:rFonts w:hint="eastAsia" w:ascii="仿宋_GB2312" w:eastAsia="仿宋_GB2312" w:hAnsiTheme="minorHAnsi" w:cstheme="minorBidi"/>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hAnsiTheme="minorHAnsi" w:cstheme="minorBidi"/>
          <w:color w:val="auto"/>
          <w:sz w:val="28"/>
          <w:szCs w:val="28"/>
          <w:highlight w:val="none"/>
          <w:u w:val="none"/>
        </w:rPr>
        <w:t>机电安装工程专业二级（或以上级别）的注册建造师（须提供最新电子证书）或具备符合粤建市〔2010〕26号文规定的小型项目负责人资格，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r>
        <w:rPr>
          <w:rFonts w:hint="eastAsia" w:ascii="仿宋_GB2312" w:eastAsia="仿宋_GB2312" w:cstheme="minorBidi"/>
          <w:color w:val="auto"/>
          <w:sz w:val="28"/>
          <w:szCs w:val="28"/>
          <w:highlight w:val="none"/>
          <w:u w:val="none"/>
          <w:lang w:eastAsia="zh-CN"/>
        </w:rPr>
        <w:t>。</w:t>
      </w:r>
      <w:r>
        <w:rPr>
          <w:rFonts w:hint="eastAsia" w:ascii="仿宋_GB2312" w:eastAsia="仿宋_GB2312" w:hAnsiTheme="minorHAnsi" w:cstheme="minorBidi"/>
          <w:color w:val="auto"/>
          <w:kern w:val="2"/>
          <w:sz w:val="28"/>
          <w:szCs w:val="28"/>
          <w:highlight w:val="none"/>
          <w:u w:val="none"/>
          <w:lang w:val="en-US" w:eastAsia="zh-CN" w:bidi="ar-SA"/>
        </w:rPr>
        <w:t>广东省外注册的二级建造师人员暂不能在我省执业</w:t>
      </w:r>
      <w:r>
        <w:rPr>
          <w:rFonts w:hint="eastAsia" w:ascii="仿宋_GB2312" w:eastAsia="仿宋_GB2312" w:cstheme="minorBidi"/>
          <w:color w:val="auto"/>
          <w:kern w:val="2"/>
          <w:sz w:val="28"/>
          <w:szCs w:val="28"/>
          <w:highlight w:val="none"/>
          <w:u w:val="none"/>
          <w:lang w:val="en-US" w:eastAsia="zh-CN" w:bidi="ar-SA"/>
        </w:rPr>
        <w:t>。</w:t>
      </w:r>
      <w:r>
        <w:rPr>
          <w:rFonts w:hint="eastAsia" w:ascii="仿宋_GB2312" w:eastAsia="仿宋_GB2312" w:hAnsiTheme="minorHAnsi" w:cstheme="minorBidi"/>
          <w:color w:val="auto"/>
          <w:sz w:val="28"/>
          <w:szCs w:val="28"/>
          <w:highlight w:val="none"/>
          <w:u w:val="none"/>
        </w:rPr>
        <w:t>）</w:t>
      </w:r>
    </w:p>
    <w:p>
      <w:pPr>
        <w:pStyle w:val="2"/>
        <w:adjustRightInd w:val="0"/>
        <w:snapToGrid w:val="0"/>
        <w:spacing w:line="600" w:lineRule="exact"/>
        <w:ind w:firstLine="0"/>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）其他要求：</w:t>
      </w:r>
      <w:r>
        <w:rPr>
          <w:rFonts w:hint="eastAsia" w:ascii="仿宋_GB2312" w:eastAsia="仿宋_GB2312"/>
          <w:color w:val="auto"/>
          <w:sz w:val="28"/>
          <w:szCs w:val="28"/>
          <w:highlight w:val="none"/>
          <w:u w:val="none"/>
          <w:lang w:val="en-US" w:eastAsia="zh-CN"/>
        </w:rPr>
        <w:t>1、</w:t>
      </w:r>
      <w:r>
        <w:rPr>
          <w:rFonts w:hint="eastAsia" w:ascii="仿宋_GB2312" w:eastAsia="仿宋_GB2312"/>
          <w:color w:val="auto"/>
          <w:sz w:val="28"/>
          <w:szCs w:val="28"/>
          <w:highlight w:val="none"/>
          <w:u w:val="none"/>
        </w:rPr>
        <w:t>专职安全人员要求：须具有安全生产考核合格证（C类）（或能够提供广东省建筑施工企业管理人员安全生产考核信息系统安全生产管理人员证书信息的网页截图）。项目负责人不得同时兼任本项目专职安全人员</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adjustRightInd w:val="0"/>
        <w:snapToGrid w:val="0"/>
        <w:spacing w:line="360" w:lineRule="auto"/>
        <w:ind w:firstLine="560" w:firstLineChars="200"/>
        <w:rPr>
          <w:rFonts w:hint="eastAsia" w:ascii="仿宋_GB2312" w:hAnsi="仿宋" w:eastAsia="仿宋_GB2312" w:cs="仿宋_GB2312"/>
          <w:color w:val="auto"/>
          <w:sz w:val="28"/>
          <w:szCs w:val="28"/>
          <w:highlight w:val="none"/>
          <w:lang w:val="zh-CN"/>
        </w:rPr>
      </w:pPr>
      <w:r>
        <w:rPr>
          <w:rFonts w:hint="eastAsia" w:ascii="仿宋_GB2312" w:hAnsi="仿宋" w:eastAsia="仿宋_GB2312" w:cs="仿宋_GB2312"/>
          <w:color w:val="auto"/>
          <w:sz w:val="28"/>
          <w:szCs w:val="28"/>
          <w:highlight w:val="none"/>
          <w:lang w:val="zh-CN"/>
        </w:rPr>
        <w:t>防疫要求：基于疫情防控形势，授权委托人须通过“广州净水公司”微信公众号当天（提前）预约，填写访客预约信息。</w:t>
      </w:r>
      <w:r>
        <w:rPr>
          <w:rFonts w:hint="eastAsia" w:ascii="仿宋_GB2312" w:eastAsia="仿宋_GB2312"/>
          <w:color w:val="auto"/>
          <w:sz w:val="28"/>
          <w:szCs w:val="28"/>
          <w:highlight w:val="none"/>
          <w:lang w:val="en-US" w:eastAsia="zh-CN"/>
        </w:rPr>
        <w:t>（包括：1.近7天内行程有异地中高风险地区及所在的地级市（、盟、州、直辖市的区）旅居史的来（返）穗人员拒绝来访；2.近7天行程内有异地本土疫情报告的地级市（、盟、州、直辖市的区）旅居史的来（返）穗人员拒绝来访3.近7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踏勘现场联系人：张工</w:t>
      </w:r>
    </w:p>
    <w:p>
      <w:pPr>
        <w:pStyle w:val="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踏勘现场联系人联系方式：18620014640</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val="en-US" w:eastAsia="zh-CN"/>
        </w:rPr>
        <w:t>广州市白云区夏花一路551号</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上发布。本公告的补充、修改，在</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发布。本公告在各媒体发布的文本如有不同之处，以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default"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7"/>
                <w:szCs w:val="27"/>
                <w:highlight w:val="none"/>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联系人：</w:t>
            </w:r>
            <w:r>
              <w:rPr>
                <w:rFonts w:hint="eastAsia" w:ascii="仿宋_GB2312" w:hAnsi="仿宋_GB2312" w:eastAsia="仿宋_GB2312" w:cs="仿宋_GB2312"/>
                <w:i w:val="0"/>
                <w:iCs w:val="0"/>
                <w:caps w:val="0"/>
                <w:color w:val="auto"/>
                <w:spacing w:val="0"/>
                <w:sz w:val="27"/>
                <w:szCs w:val="27"/>
                <w:highlight w:val="none"/>
                <w:lang w:val="en-US" w:eastAsia="zh-CN"/>
              </w:rPr>
              <w:t>林</w:t>
            </w:r>
            <w:r>
              <w:rPr>
                <w:rFonts w:hint="eastAsia" w:ascii="仿宋_GB2312" w:hAnsi="仿宋_GB2312" w:eastAsia="仿宋_GB2312" w:cs="仿宋_GB2312"/>
                <w:i w:val="0"/>
                <w:iCs w:val="0"/>
                <w:caps w:val="0"/>
                <w:color w:val="auto"/>
                <w:spacing w:val="0"/>
                <w:sz w:val="27"/>
                <w:szCs w:val="27"/>
                <w:highlight w:val="none"/>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7"/>
                <w:szCs w:val="27"/>
                <w:highlight w:val="none"/>
              </w:rPr>
              <w:t>电 话：020-</w:t>
            </w:r>
            <w:r>
              <w:rPr>
                <w:rFonts w:hint="eastAsia" w:ascii="仿宋_GB2312" w:hAnsi="仿宋_GB2312" w:eastAsia="仿宋_GB2312" w:cs="仿宋_GB2312"/>
                <w:i w:val="0"/>
                <w:iCs w:val="0"/>
                <w:caps w:val="0"/>
                <w:color w:val="auto"/>
                <w:spacing w:val="0"/>
                <w:sz w:val="27"/>
                <w:szCs w:val="27"/>
                <w:highlight w:val="none"/>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520" w:firstLineChars="9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color w:val="auto"/>
          <w:highlight w:val="none"/>
        </w:rPr>
      </w:pPr>
      <w:bookmarkStart w:id="14" w:name="_Toc19295"/>
      <w:bookmarkStart w:id="15" w:name="_Toc23749"/>
      <w:bookmarkStart w:id="16" w:name="_Toc32588"/>
      <w:bookmarkStart w:id="17" w:name="_Toc7340"/>
      <w:bookmarkStart w:id="18" w:name="_Toc2324"/>
      <w:bookmarkStart w:id="19" w:name="_Toc2331"/>
      <w:bookmarkStart w:id="20" w:name="_Toc16705"/>
      <w:bookmarkStart w:id="21" w:name="_Toc25603"/>
      <w:bookmarkStart w:id="22" w:name="_Toc9448"/>
      <w:bookmarkStart w:id="23" w:name="_Toc16557"/>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2321560</wp:posOffset>
                </wp:positionH>
                <wp:positionV relativeFrom="paragraph">
                  <wp:posOffset>548640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2.8pt;margin-top:43.2pt;height:0pt;width:75.5pt;z-index:251672576;mso-width-relative:page;mso-height-relative:page;" filled="f" stroked="t" coordsize="21600,21600" o:gfxdata="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2GWeZ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广州市净水有限公司石井分公司高效池斜板大修项目（第二次）</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left="2514" w:leftChars="1197" w:firstLine="1960" w:firstLineChars="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lang w:val="en-US" w:eastAsia="zh-CN"/>
        </w:rPr>
        <w:t>广州市净水有限公司石井分公司高效池斜板大修项目（第二次）</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lang w:val="en-US" w:eastAsia="zh-CN"/>
        </w:rPr>
        <w:t>广州市净水有限公司石井分公司高效池斜板大修项目（第二次）</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650875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51.25pt;height:0pt;width:75.5pt;z-index:251660288;mso-width-relative:page;mso-height-relative:page;" filled="f" stroked="t" coordsize="21600,21600" o:gfxdata="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JuAfNYAAAAL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7303"/>
      <w:bookmarkStart w:id="29" w:name="_Toc88209934"/>
      <w:bookmarkStart w:id="30" w:name="_Toc87616371"/>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20594"/>
      <w:bookmarkStart w:id="35" w:name="_Toc3156"/>
      <w:bookmarkStart w:id="36" w:name="_Toc19759"/>
      <w:bookmarkStart w:id="37" w:name="_Toc23581"/>
      <w:bookmarkStart w:id="38" w:name="_Toc10930"/>
      <w:bookmarkStart w:id="39" w:name="_Toc7118"/>
      <w:bookmarkStart w:id="40" w:name="_Toc14870"/>
      <w:bookmarkStart w:id="41" w:name="_Toc7437"/>
      <w:bookmarkStart w:id="42" w:name="_Toc4952"/>
      <w:bookmarkStart w:id="43" w:name="_Toc14552"/>
      <w:bookmarkStart w:id="44" w:name="_Toc19050"/>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87616378"/>
      <w:bookmarkStart w:id="46" w:name="_Toc22212"/>
      <w:bookmarkStart w:id="47" w:name="_Toc29345"/>
      <w:bookmarkStart w:id="48" w:name="_Toc29484"/>
      <w:bookmarkStart w:id="49" w:name="_Toc13898"/>
      <w:bookmarkStart w:id="50" w:name="_Toc12177"/>
      <w:bookmarkStart w:id="51" w:name="_Toc6308"/>
      <w:bookmarkStart w:id="52" w:name="_Toc88209941"/>
      <w:bookmarkStart w:id="53" w:name="_Toc7831"/>
      <w:bookmarkStart w:id="54" w:name="_Toc21840"/>
      <w:bookmarkStart w:id="55" w:name="_Toc32607"/>
      <w:bookmarkStart w:id="56" w:name="_Toc30530"/>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360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left="0" w:leftChars="0" w:firstLine="0" w:firstLineChars="0"/>
        <w:rPr>
          <w:rFonts w:hint="eastAsia"/>
          <w:color w:val="auto"/>
          <w:szCs w:val="44"/>
          <w:highlight w:val="none"/>
        </w:rPr>
      </w:pPr>
    </w:p>
    <w:p>
      <w:pPr>
        <w:pStyle w:val="7"/>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主要实施内容如下：</w:t>
      </w:r>
    </w:p>
    <w:p>
      <w:pPr>
        <w:pStyle w:val="7"/>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首先拆除高效池上方除臭盖板，将池内旧斜板以及旧的支架全部拆除，用水将池面冲洗干净，修复池内的溢流槽，加固溢流槽的支架；安装全新的斜板支架，之后将斜板拼装好放到支架上。四个高效池逐一更换，为了确保安全施工，维修时将高效池放空，施工时工作人员必须佩戴安全带。</w:t>
      </w:r>
    </w:p>
    <w:p>
      <w:pPr>
        <w:spacing w:line="360" w:lineRule="auto"/>
        <w:jc w:val="center"/>
        <w:rPr>
          <w:rFonts w:hint="eastAsia"/>
          <w:color w:val="auto"/>
          <w:highlight w:val="none"/>
        </w:rPr>
      </w:pPr>
      <w:r>
        <w:rPr>
          <w:rFonts w:hint="eastAsia"/>
          <w:color w:val="auto"/>
          <w:highlight w:val="none"/>
        </w:rPr>
        <w:t>表</w:t>
      </w:r>
      <w:r>
        <w:rPr>
          <w:rFonts w:hint="eastAsia"/>
          <w:color w:val="auto"/>
          <w:highlight w:val="none"/>
          <w:lang w:val="en-US" w:eastAsia="zh-CN"/>
        </w:rPr>
        <w:t xml:space="preserve">1 </w:t>
      </w:r>
      <w:r>
        <w:rPr>
          <w:rFonts w:hint="eastAsia" w:ascii="宋体" w:hAnsi="宋体" w:cs="宋体"/>
          <w:color w:val="auto"/>
          <w:kern w:val="0"/>
          <w:szCs w:val="21"/>
          <w:highlight w:val="none"/>
          <w:lang w:val="en-US" w:eastAsia="zh-CN"/>
        </w:rPr>
        <w:t>斜板</w:t>
      </w:r>
      <w:r>
        <w:rPr>
          <w:rFonts w:hint="eastAsia"/>
          <w:color w:val="auto"/>
          <w:highlight w:val="none"/>
        </w:rPr>
        <w:t>大修实施步骤</w:t>
      </w:r>
    </w:p>
    <w:tbl>
      <w:tblPr>
        <w:tblStyle w:val="22"/>
        <w:tblW w:w="9087" w:type="dxa"/>
        <w:tblInd w:w="93" w:type="dxa"/>
        <w:tblLayout w:type="fixed"/>
        <w:tblCellMar>
          <w:top w:w="0" w:type="dxa"/>
          <w:left w:w="108" w:type="dxa"/>
          <w:bottom w:w="0" w:type="dxa"/>
          <w:right w:w="108" w:type="dxa"/>
        </w:tblCellMar>
      </w:tblPr>
      <w:tblGrid>
        <w:gridCol w:w="1008"/>
        <w:gridCol w:w="8079"/>
      </w:tblGrid>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07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内容</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1</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ascii="仿宋_GB2312" w:hAnsi="Calibri" w:cs="Times New Roman"/>
                <w:color w:val="auto"/>
                <w:kern w:val="2"/>
                <w:sz w:val="24"/>
                <w:szCs w:val="32"/>
                <w:highlight w:val="none"/>
                <w:lang w:val="en-US"/>
              </w:rPr>
            </w:pPr>
            <w:r>
              <w:rPr>
                <w:rFonts w:hint="eastAsia" w:hAnsi="Calibri" w:cs="Times New Roman"/>
                <w:color w:val="auto"/>
                <w:kern w:val="2"/>
                <w:sz w:val="24"/>
                <w:szCs w:val="32"/>
                <w:highlight w:val="none"/>
                <w:lang w:val="en-US" w:eastAsia="zh-CN"/>
              </w:rPr>
              <w:t>拆除高效池上方除臭盖板，关闭高效池的进水和出水闸门，轴流风机强制通风，检测气体。</w:t>
            </w:r>
          </w:p>
        </w:tc>
      </w:tr>
      <w:tr>
        <w:tblPrEx>
          <w:tblCellMar>
            <w:top w:w="0" w:type="dxa"/>
            <w:left w:w="108" w:type="dxa"/>
            <w:bottom w:w="0" w:type="dxa"/>
            <w:right w:w="108" w:type="dxa"/>
          </w:tblCellMar>
        </w:tblPrEx>
        <w:trPr>
          <w:trHeight w:val="90" w:hRule="atLeast"/>
        </w:trPr>
        <w:tc>
          <w:tcPr>
            <w:tcW w:w="1008" w:type="dxa"/>
            <w:tcBorders>
              <w:top w:val="nil"/>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2</w:t>
            </w:r>
          </w:p>
        </w:tc>
        <w:tc>
          <w:tcPr>
            <w:tcW w:w="8079" w:type="dxa"/>
            <w:tcBorders>
              <w:top w:val="nil"/>
              <w:left w:val="nil"/>
              <w:bottom w:val="single" w:color="auto" w:sz="4" w:space="0"/>
              <w:right w:val="single" w:color="auto" w:sz="4" w:space="0"/>
            </w:tcBorders>
            <w:vAlign w:val="center"/>
          </w:tcPr>
          <w:p>
            <w:pPr>
              <w:widowControl w:val="0"/>
              <w:spacing w:line="360" w:lineRule="auto"/>
              <w:jc w:val="left"/>
              <w:rPr>
                <w:rFonts w:ascii="仿宋_GB2312" w:hAnsi="Calibri" w:cs="Times New Roman"/>
                <w:color w:val="auto"/>
                <w:kern w:val="2"/>
                <w:sz w:val="24"/>
                <w:szCs w:val="32"/>
                <w:highlight w:val="none"/>
              </w:rPr>
            </w:pPr>
            <w:r>
              <w:rPr>
                <w:rFonts w:hint="eastAsia" w:hAnsi="Calibri" w:cs="Times New Roman"/>
                <w:color w:val="auto"/>
                <w:kern w:val="2"/>
                <w:sz w:val="24"/>
                <w:szCs w:val="32"/>
                <w:highlight w:val="none"/>
                <w:lang w:val="en-US" w:eastAsia="zh-CN"/>
              </w:rPr>
              <w:t>待测得到气体符合安全值时，工作人员穿戴好安全，带上防毒面具，登记有限空间进入表。</w:t>
            </w:r>
          </w:p>
        </w:tc>
      </w:tr>
      <w:tr>
        <w:tblPrEx>
          <w:tblCellMar>
            <w:top w:w="0" w:type="dxa"/>
            <w:left w:w="108" w:type="dxa"/>
            <w:bottom w:w="0" w:type="dxa"/>
            <w:right w:w="108" w:type="dxa"/>
          </w:tblCellMar>
        </w:tblPrEx>
        <w:trPr>
          <w:trHeight w:val="900" w:hRule="atLeast"/>
        </w:trPr>
        <w:tc>
          <w:tcPr>
            <w:tcW w:w="1008" w:type="dxa"/>
            <w:tcBorders>
              <w:top w:val="nil"/>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3</w:t>
            </w:r>
          </w:p>
        </w:tc>
        <w:tc>
          <w:tcPr>
            <w:tcW w:w="8079" w:type="dxa"/>
            <w:tcBorders>
              <w:top w:val="nil"/>
              <w:left w:val="nil"/>
              <w:bottom w:val="single" w:color="auto" w:sz="4" w:space="0"/>
              <w:right w:val="single" w:color="auto" w:sz="4" w:space="0"/>
            </w:tcBorders>
            <w:vAlign w:val="center"/>
          </w:tcPr>
          <w:p>
            <w:pPr>
              <w:widowControl w:val="0"/>
              <w:spacing w:line="360" w:lineRule="auto"/>
              <w:jc w:val="left"/>
              <w:rPr>
                <w:rFonts w:ascii="仿宋_GB2312" w:hAnsi="Calibri" w:cs="Times New Roman"/>
                <w:color w:val="auto"/>
                <w:kern w:val="2"/>
                <w:sz w:val="24"/>
                <w:szCs w:val="32"/>
                <w:highlight w:val="none"/>
              </w:rPr>
            </w:pPr>
            <w:r>
              <w:rPr>
                <w:rFonts w:hint="eastAsia" w:hAnsi="Calibri" w:cs="Times New Roman"/>
                <w:color w:val="auto"/>
                <w:kern w:val="2"/>
                <w:sz w:val="24"/>
                <w:szCs w:val="32"/>
                <w:highlight w:val="none"/>
                <w:lang w:val="en-US" w:eastAsia="zh-CN"/>
              </w:rPr>
              <w:t>拆卸斜板、斜板支撑架</w:t>
            </w:r>
            <w:r>
              <w:rPr>
                <w:rFonts w:hint="eastAsia" w:ascii="仿宋_GB2312" w:hAnsi="Calibri" w:cs="Times New Roman"/>
                <w:color w:val="auto"/>
                <w:kern w:val="2"/>
                <w:sz w:val="24"/>
                <w:szCs w:val="32"/>
                <w:highlight w:val="none"/>
              </w:rPr>
              <w:t>。</w:t>
            </w:r>
          </w:p>
        </w:tc>
      </w:tr>
      <w:tr>
        <w:tblPrEx>
          <w:tblCellMar>
            <w:top w:w="0" w:type="dxa"/>
            <w:left w:w="108" w:type="dxa"/>
            <w:bottom w:w="0" w:type="dxa"/>
            <w:right w:w="108" w:type="dxa"/>
          </w:tblCellMar>
        </w:tblPrEx>
        <w:trPr>
          <w:trHeight w:val="900" w:hRule="atLeast"/>
        </w:trPr>
        <w:tc>
          <w:tcPr>
            <w:tcW w:w="1008" w:type="dxa"/>
            <w:tcBorders>
              <w:top w:val="nil"/>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4</w:t>
            </w:r>
          </w:p>
        </w:tc>
        <w:tc>
          <w:tcPr>
            <w:tcW w:w="8079" w:type="dxa"/>
            <w:tcBorders>
              <w:top w:val="nil"/>
              <w:left w:val="nil"/>
              <w:bottom w:val="single" w:color="auto" w:sz="4" w:space="0"/>
              <w:right w:val="single" w:color="auto" w:sz="4" w:space="0"/>
            </w:tcBorders>
            <w:vAlign w:val="center"/>
          </w:tcPr>
          <w:p>
            <w:pPr>
              <w:widowControl w:val="0"/>
              <w:spacing w:line="360" w:lineRule="auto"/>
              <w:jc w:val="left"/>
              <w:rPr>
                <w:rFonts w:ascii="仿宋_GB2312" w:hAnsi="Calibri" w:cs="Times New Roman"/>
                <w:color w:val="auto"/>
                <w:kern w:val="2"/>
                <w:sz w:val="24"/>
                <w:szCs w:val="32"/>
                <w:highlight w:val="none"/>
              </w:rPr>
            </w:pPr>
            <w:r>
              <w:rPr>
                <w:rFonts w:hint="eastAsia" w:hAnsi="Calibri" w:cs="Times New Roman"/>
                <w:color w:val="auto"/>
                <w:kern w:val="2"/>
                <w:sz w:val="24"/>
                <w:szCs w:val="32"/>
                <w:highlight w:val="none"/>
                <w:lang w:val="en-US" w:eastAsia="zh-CN"/>
              </w:rPr>
              <w:t>将拆卸斜板、斜板支撑架放到空旷场地，做好围蔽，必要时安装警示灯</w:t>
            </w:r>
            <w:r>
              <w:rPr>
                <w:rFonts w:hint="eastAsia" w:ascii="仿宋_GB2312" w:hAnsi="Calibri" w:cs="Times New Roman"/>
                <w:color w:val="auto"/>
                <w:kern w:val="2"/>
                <w:sz w:val="24"/>
                <w:szCs w:val="32"/>
                <w:highlight w:val="none"/>
              </w:rPr>
              <w:t>。</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5</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ascii="仿宋_GB2312" w:hAnsi="Calibri" w:eastAsia="仿宋_GB2312"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利用高压水枪冲洗池面。</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eastAsia" w:ascii="仿宋_GB2312" w:hAnsi="Calibri" w:eastAsia="仿宋_GB2312"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6</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eastAsia" w:ascii="仿宋_GB2312" w:hAnsi="Calibri" w:eastAsia="仿宋_GB2312" w:cs="Times New Roman"/>
                <w:color w:val="auto"/>
                <w:kern w:val="2"/>
                <w:sz w:val="24"/>
                <w:szCs w:val="32"/>
                <w:highlight w:val="none"/>
                <w:lang w:eastAsia="zh-CN"/>
              </w:rPr>
            </w:pPr>
            <w:r>
              <w:rPr>
                <w:rFonts w:hint="eastAsia" w:hAnsi="Calibri" w:cs="Times New Roman"/>
                <w:color w:val="auto"/>
                <w:kern w:val="2"/>
                <w:sz w:val="24"/>
                <w:szCs w:val="32"/>
                <w:highlight w:val="none"/>
                <w:lang w:val="en-US" w:eastAsia="zh-CN"/>
              </w:rPr>
              <w:t>冲洗干净后，对溢流槽槽板进行修复，溢流槽与墙角连接处焊接角铁加固支架</w:t>
            </w:r>
            <w:r>
              <w:rPr>
                <w:rFonts w:hint="eastAsia" w:hAnsi="Calibri" w:cs="Times New Roman"/>
                <w:color w:val="auto"/>
                <w:kern w:val="2"/>
                <w:sz w:val="24"/>
                <w:szCs w:val="32"/>
                <w:highlight w:val="none"/>
                <w:lang w:eastAsia="zh-CN"/>
              </w:rPr>
              <w:t>。</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default" w:hAnsi="Calibri"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7</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ascii="仿宋_GB2312" w:hAnsi="Calibri" w:eastAsia="仿宋_GB2312"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安装支架，捆绑斜管放入支架上</w:t>
            </w:r>
            <w:r>
              <w:rPr>
                <w:rFonts w:hint="eastAsia" w:hAnsi="Calibri" w:cs="Times New Roman"/>
                <w:color w:val="auto"/>
                <w:kern w:val="2"/>
                <w:sz w:val="24"/>
                <w:szCs w:val="32"/>
                <w:highlight w:val="none"/>
                <w:lang w:eastAsia="zh-CN"/>
              </w:rPr>
              <w:t>。</w:t>
            </w:r>
            <w:r>
              <w:rPr>
                <w:rFonts w:hint="eastAsia" w:hAnsi="Calibri" w:cs="Times New Roman"/>
                <w:color w:val="auto"/>
                <w:kern w:val="2"/>
                <w:sz w:val="24"/>
                <w:szCs w:val="32"/>
                <w:highlight w:val="none"/>
                <w:lang w:val="en-US" w:eastAsia="zh-CN"/>
              </w:rPr>
              <w:t>安装时倾斜方向不应水流直冲斜板</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default" w:hAnsi="Calibri"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8</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hAnsi="Calibri"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完成安装，按照原样恢复高效池除臭盖板。</w:t>
            </w:r>
          </w:p>
        </w:tc>
      </w:tr>
    </w:tbl>
    <w:p>
      <w:pPr>
        <w:numPr>
          <w:ilvl w:val="-1"/>
          <w:numId w:val="0"/>
        </w:numPr>
        <w:spacing w:line="360" w:lineRule="auto"/>
        <w:ind w:left="0" w:leftChars="0"/>
        <w:rPr>
          <w:rFonts w:hint="eastAsia" w:ascii="仿宋" w:hAnsi="仿宋" w:eastAsia="仿宋" w:cs="仿宋"/>
          <w:b w:val="0"/>
          <w:bCs/>
          <w:color w:val="auto"/>
          <w:kern w:val="0"/>
          <w:sz w:val="28"/>
          <w:szCs w:val="28"/>
          <w:highlight w:val="none"/>
          <w:lang w:val="en-US" w:eastAsia="zh-CN"/>
        </w:rPr>
      </w:pPr>
    </w:p>
    <w:p>
      <w:pPr>
        <w:numPr>
          <w:ilvl w:val="-1"/>
          <w:numId w:val="0"/>
        </w:numPr>
        <w:spacing w:line="360" w:lineRule="auto"/>
        <w:ind w:left="0" w:leftChars="0"/>
        <w:rPr>
          <w:rFonts w:hint="eastAsia" w:ascii="仿宋" w:hAnsi="仿宋" w:eastAsia="仿宋" w:cs="仿宋"/>
          <w:b w:val="0"/>
          <w:bCs/>
          <w:color w:val="auto"/>
          <w:kern w:val="0"/>
          <w:sz w:val="28"/>
          <w:szCs w:val="28"/>
          <w:highlight w:val="none"/>
          <w:lang w:val="en-US" w:eastAsia="zh-CN"/>
        </w:rPr>
      </w:pPr>
    </w:p>
    <w:p>
      <w:pPr>
        <w:pStyle w:val="2"/>
        <w:rPr>
          <w:rFonts w:hint="eastAsia" w:ascii="仿宋" w:hAnsi="仿宋" w:eastAsia="仿宋" w:cs="仿宋"/>
          <w:b w:val="0"/>
          <w:bCs/>
          <w:color w:val="auto"/>
          <w:kern w:val="0"/>
          <w:sz w:val="28"/>
          <w:szCs w:val="28"/>
          <w:highlight w:val="none"/>
          <w:lang w:val="en-US" w:eastAsia="zh-CN"/>
        </w:rPr>
      </w:pPr>
    </w:p>
    <w:p>
      <w:pPr>
        <w:pStyle w:val="2"/>
        <w:rPr>
          <w:rFonts w:hint="eastAsia" w:ascii="仿宋" w:hAnsi="仿宋" w:eastAsia="仿宋" w:cs="仿宋"/>
          <w:b w:val="0"/>
          <w:bCs/>
          <w:color w:val="auto"/>
          <w:kern w:val="0"/>
          <w:sz w:val="28"/>
          <w:szCs w:val="28"/>
          <w:highlight w:val="none"/>
          <w:lang w:val="en-US" w:eastAsia="zh-CN"/>
        </w:rPr>
      </w:pPr>
    </w:p>
    <w:p>
      <w:pPr>
        <w:spacing w:line="360" w:lineRule="auto"/>
        <w:jc w:val="center"/>
        <w:rPr>
          <w:rFonts w:hint="eastAsia"/>
          <w:color w:val="auto"/>
          <w:highlight w:val="none"/>
        </w:rPr>
      </w:pPr>
      <w:r>
        <w:rPr>
          <w:rFonts w:hint="eastAsia"/>
          <w:color w:val="auto"/>
          <w:highlight w:val="none"/>
        </w:rPr>
        <w:t>表</w:t>
      </w:r>
      <w:r>
        <w:rPr>
          <w:rFonts w:hint="eastAsia"/>
          <w:color w:val="auto"/>
          <w:highlight w:val="none"/>
          <w:lang w:val="en-US" w:eastAsia="zh-CN"/>
        </w:rPr>
        <w:t>2</w:t>
      </w:r>
      <w:r>
        <w:rPr>
          <w:rFonts w:hint="eastAsia"/>
          <w:color w:val="auto"/>
          <w:highlight w:val="none"/>
        </w:rPr>
        <w:t>备品备件参数及需求情况</w:t>
      </w:r>
    </w:p>
    <w:tbl>
      <w:tblPr>
        <w:tblStyle w:val="22"/>
        <w:tblW w:w="50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2498"/>
        <w:gridCol w:w="1807"/>
        <w:gridCol w:w="829"/>
        <w:gridCol w:w="1302"/>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359"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983"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w:t>
            </w:r>
          </w:p>
        </w:tc>
        <w:tc>
          <w:tcPr>
            <w:tcW w:w="451" w:type="pct"/>
            <w:vAlign w:val="center"/>
          </w:tcPr>
          <w:p>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708" w:type="pct"/>
            <w:vAlign w:val="center"/>
          </w:tcPr>
          <w:p>
            <w:pPr>
              <w:spacing w:line="360" w:lineRule="auto"/>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数量</w:t>
            </w:r>
          </w:p>
        </w:tc>
        <w:tc>
          <w:tcPr>
            <w:tcW w:w="961"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359" w:type="pct"/>
            <w:vAlign w:val="center"/>
          </w:tcPr>
          <w:p>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斜板</w:t>
            </w:r>
          </w:p>
        </w:tc>
        <w:tc>
          <w:tcPr>
            <w:tcW w:w="983"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φ60*0.5；PP材质</w:t>
            </w:r>
          </w:p>
        </w:tc>
        <w:tc>
          <w:tcPr>
            <w:tcW w:w="451"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708" w:type="pct"/>
            <w:vAlign w:val="center"/>
          </w:tcPr>
          <w:p>
            <w:pPr>
              <w:spacing w:line="360" w:lineRule="auto"/>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416</w:t>
            </w:r>
          </w:p>
        </w:tc>
        <w:tc>
          <w:tcPr>
            <w:tcW w:w="961" w:type="pct"/>
            <w:vAlign w:val="center"/>
          </w:tcPr>
          <w:p>
            <w:pPr>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359"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斜板支架</w:t>
            </w:r>
          </w:p>
        </w:tc>
        <w:tc>
          <w:tcPr>
            <w:tcW w:w="983"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不锈钢304</w:t>
            </w:r>
          </w:p>
        </w:tc>
        <w:tc>
          <w:tcPr>
            <w:tcW w:w="451"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708" w:type="pct"/>
            <w:vAlign w:val="center"/>
          </w:tcPr>
          <w:p>
            <w:pPr>
              <w:spacing w:line="360" w:lineRule="auto"/>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416</w:t>
            </w:r>
          </w:p>
        </w:tc>
        <w:tc>
          <w:tcPr>
            <w:tcW w:w="961" w:type="pct"/>
            <w:vAlign w:val="center"/>
          </w:tcPr>
          <w:p>
            <w:pPr>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359" w:type="pct"/>
            <w:vAlign w:val="center"/>
          </w:tcPr>
          <w:p>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安装绳</w:t>
            </w:r>
          </w:p>
        </w:tc>
        <w:tc>
          <w:tcPr>
            <w:tcW w:w="983" w:type="pct"/>
            <w:vAlign w:val="center"/>
          </w:tcPr>
          <w:p>
            <w:pPr>
              <w:spacing w:line="360" w:lineRule="auto"/>
              <w:jc w:val="center"/>
              <w:rPr>
                <w:rFonts w:hint="eastAsia" w:ascii="仿宋" w:hAnsi="仿宋" w:eastAsia="仿宋" w:cs="仿宋"/>
                <w:color w:val="auto"/>
                <w:sz w:val="28"/>
                <w:szCs w:val="28"/>
                <w:highlight w:val="none"/>
              </w:rPr>
            </w:pPr>
          </w:p>
        </w:tc>
        <w:tc>
          <w:tcPr>
            <w:tcW w:w="451"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m</w:t>
            </w:r>
          </w:p>
        </w:tc>
        <w:tc>
          <w:tcPr>
            <w:tcW w:w="708" w:type="pct"/>
            <w:vAlign w:val="center"/>
          </w:tcPr>
          <w:p>
            <w:pPr>
              <w:spacing w:line="360" w:lineRule="auto"/>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6000</w:t>
            </w:r>
          </w:p>
        </w:tc>
        <w:tc>
          <w:tcPr>
            <w:tcW w:w="961" w:type="pct"/>
            <w:vAlign w:val="center"/>
          </w:tcPr>
          <w:p>
            <w:pPr>
              <w:spacing w:line="360" w:lineRule="auto"/>
              <w:jc w:val="center"/>
              <w:rPr>
                <w:rFonts w:hint="eastAsia" w:ascii="仿宋" w:hAnsi="仿宋" w:eastAsia="仿宋" w:cs="仿宋"/>
                <w:color w:val="auto"/>
                <w:sz w:val="28"/>
                <w:szCs w:val="28"/>
                <w:highlight w:val="none"/>
              </w:rPr>
            </w:pPr>
          </w:p>
        </w:tc>
      </w:tr>
      <w:bookmarkEnd w:id="60"/>
    </w:tbl>
    <w:p>
      <w:pPr>
        <w:ind w:firstLine="0" w:firstLineChars="0"/>
        <w:rPr>
          <w:rFonts w:ascii="仿宋_GB2312" w:eastAsia="仿宋_GB2312"/>
          <w:color w:val="auto"/>
          <w:sz w:val="28"/>
          <w:szCs w:val="28"/>
          <w:highlight w:val="none"/>
        </w:rPr>
      </w:pPr>
    </w:p>
    <w:p>
      <w:pPr>
        <w:autoSpaceDE w:val="0"/>
        <w:autoSpaceDN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zh-CN"/>
        </w:rPr>
        <w:t>主要材料使用要求</w:t>
      </w:r>
    </w:p>
    <w:p>
      <w:pPr>
        <w:autoSpaceDE w:val="0"/>
        <w:autoSpaceDN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2.1维修更换主要零配件须采用</w:t>
      </w:r>
      <w:r>
        <w:rPr>
          <w:rFonts w:hint="eastAsia" w:ascii="仿宋" w:hAnsi="仿宋" w:eastAsia="仿宋" w:cs="仿宋"/>
          <w:color w:val="auto"/>
          <w:sz w:val="28"/>
          <w:szCs w:val="28"/>
          <w:highlight w:val="none"/>
          <w:lang w:val="en-US" w:eastAsia="zh-CN"/>
        </w:rPr>
        <w:t>全新</w:t>
      </w:r>
      <w:r>
        <w:rPr>
          <w:rFonts w:hint="eastAsia" w:ascii="仿宋" w:hAnsi="仿宋" w:eastAsia="仿宋" w:cs="仿宋"/>
          <w:color w:val="auto"/>
          <w:sz w:val="28"/>
          <w:szCs w:val="28"/>
          <w:highlight w:val="none"/>
        </w:rPr>
        <w:t>配件</w:t>
      </w:r>
      <w:r>
        <w:rPr>
          <w:rFonts w:hint="eastAsia" w:ascii="仿宋" w:hAnsi="仿宋" w:eastAsia="仿宋" w:cs="仿宋"/>
          <w:color w:val="auto"/>
          <w:sz w:val="28"/>
          <w:szCs w:val="28"/>
          <w:highlight w:val="none"/>
          <w:lang w:val="en-US" w:eastAsia="zh-CN"/>
        </w:rPr>
        <w:t>并出具相关证明</w:t>
      </w:r>
      <w:r>
        <w:rPr>
          <w:rFonts w:hint="eastAsia" w:ascii="仿宋" w:hAnsi="仿宋" w:eastAsia="仿宋" w:cs="仿宋"/>
          <w:color w:val="auto"/>
          <w:sz w:val="28"/>
          <w:szCs w:val="28"/>
          <w:highlight w:val="none"/>
        </w:rPr>
        <w:t>。</w:t>
      </w:r>
    </w:p>
    <w:p>
      <w:pPr>
        <w:autoSpaceDE w:val="0"/>
        <w:autoSpaceDN w:val="0"/>
        <w:ind w:firstLine="560" w:firstLineChars="200"/>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材料</w:t>
      </w:r>
      <w:r>
        <w:rPr>
          <w:rFonts w:hint="eastAsia" w:ascii="仿宋" w:hAnsi="仿宋" w:eastAsia="仿宋" w:cs="仿宋"/>
          <w:b w:val="0"/>
          <w:bCs w:val="0"/>
          <w:color w:val="auto"/>
          <w:sz w:val="28"/>
          <w:szCs w:val="28"/>
          <w:highlight w:val="none"/>
          <w:u w:val="none"/>
        </w:rPr>
        <w:t>要求：</w:t>
      </w:r>
      <w:r>
        <w:rPr>
          <w:rFonts w:hint="eastAsia" w:ascii="仿宋" w:hAnsi="仿宋" w:eastAsia="仿宋" w:cs="仿宋"/>
          <w:b w:val="0"/>
          <w:bCs w:val="0"/>
          <w:color w:val="auto"/>
          <w:sz w:val="28"/>
          <w:szCs w:val="28"/>
          <w:highlight w:val="none"/>
          <w:u w:val="none"/>
          <w:lang w:val="en-US" w:eastAsia="zh-CN"/>
        </w:rPr>
        <w:t>新斜板槽主要由聚丙烯交叉式斜管组成，聚丙烯交叉式斜管的工作条件及主要技术参数如下：</w:t>
      </w:r>
    </w:p>
    <w:p>
      <w:pPr>
        <w:autoSpaceDE w:val="0"/>
        <w:autoSpaceDN w:val="0"/>
        <w:ind w:firstLine="560" w:firstLineChars="200"/>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1)、工作条件：</w:t>
      </w:r>
    </w:p>
    <w:p>
      <w:pPr>
        <w:autoSpaceDE w:val="0"/>
        <w:autoSpaceDN w:val="0"/>
        <w:ind w:firstLine="560" w:firstLineChars="200"/>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工作介质：城市污水、活性污泥与空气混合液；适应环境温度0-40℃，适应污水温度10-30℃；适应PH：6-8.5；</w:t>
      </w:r>
    </w:p>
    <w:p>
      <w:pPr>
        <w:autoSpaceDE w:val="0"/>
        <w:autoSpaceDN w:val="0"/>
        <w:ind w:firstLine="560" w:firstLineChars="200"/>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2)、斜管设备技术规范</w:t>
      </w:r>
    </w:p>
    <w:p>
      <w:pPr>
        <w:autoSpaceDE w:val="0"/>
        <w:autoSpaceDN w:val="0"/>
        <w:ind w:firstLine="840" w:firstLineChars="300"/>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2.2.1 外观</w:t>
      </w:r>
    </w:p>
    <w:p>
      <w:pPr>
        <w:autoSpaceDE w:val="0"/>
        <w:autoSpaceDN w:val="0"/>
        <w:ind w:firstLine="560" w:firstLineChars="200"/>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制造斜管无裂缝、气泡，无明显色差、杂质，无明显凹凸点。制造斜管的模具光滑度要求：▽7-▽8。</w:t>
      </w:r>
    </w:p>
    <w:p>
      <w:pPr>
        <w:autoSpaceDE w:val="0"/>
        <w:autoSpaceDN w:val="0"/>
        <w:ind w:firstLine="840" w:firstLineChars="300"/>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2.2.2 尺寸：L=1.5m,H=1.3m;孔径：60mm数量：416m²</w:t>
      </w:r>
    </w:p>
    <w:p>
      <w:pPr>
        <w:autoSpaceDE w:val="0"/>
        <w:autoSpaceDN w:val="0"/>
        <w:ind w:firstLine="840" w:firstLineChars="300"/>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2.2.3斜管采用交叉式双向流设计，倾角为60°。</w:t>
      </w:r>
    </w:p>
    <w:p>
      <w:pPr>
        <w:autoSpaceDE w:val="0"/>
        <w:autoSpaceDN w:val="0"/>
        <w:ind w:firstLine="840" w:firstLineChars="300"/>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2.2.4材料力学性能：聚丙烯（乙、丙共聚型）塑料材料的拉伸屈服应力不应小于21MPa。（报价单位须提供所报价斜管产品的原材料产品质量合格证明）。</w:t>
      </w:r>
    </w:p>
    <w:p>
      <w:pPr>
        <w:autoSpaceDE w:val="0"/>
        <w:autoSpaceDN w:val="0"/>
        <w:ind w:firstLine="840" w:firstLineChars="300"/>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2.2.5斜管支撑板材材料壁厚不小于0.8mm，内波纹板板材壁厚不小于0.8mm，误差不超过0.06mm。</w:t>
      </w:r>
    </w:p>
    <w:p>
      <w:pPr>
        <w:autoSpaceDE w:val="0"/>
        <w:autoSpaceDN w:val="0"/>
        <w:ind w:firstLine="560" w:firstLineChars="200"/>
        <w:rPr>
          <w:rFonts w:hint="default"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lang w:val="en-US" w:eastAsia="zh-CN"/>
        </w:rPr>
        <w:t>3)斜管安装完成后不得有“短流”现象。</w:t>
      </w:r>
    </w:p>
    <w:p>
      <w:pPr>
        <w:pStyle w:val="2"/>
        <w:numPr>
          <w:ilvl w:val="0"/>
          <w:numId w:val="4"/>
        </w:num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项目商务要求</w:t>
      </w:r>
    </w:p>
    <w:p>
      <w:pPr>
        <w:numPr>
          <w:ilvl w:val="0"/>
          <w:numId w:val="5"/>
        </w:numPr>
        <w:autoSpaceDE w:val="0"/>
        <w:autoSpaceDN w:val="0"/>
        <w:ind w:left="425" w:hanging="425"/>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lang w:val="en-US" w:eastAsia="zh-CN"/>
        </w:rPr>
        <w:t>工期：</w:t>
      </w:r>
      <w:r>
        <w:rPr>
          <w:rFonts w:hint="eastAsia" w:ascii="仿宋" w:hAnsi="仿宋" w:eastAsia="仿宋" w:cs="仿宋"/>
          <w:color w:val="auto"/>
          <w:sz w:val="28"/>
          <w:szCs w:val="28"/>
          <w:highlight w:val="none"/>
          <w:u w:val="none"/>
          <w:lang w:val="en-US" w:eastAsia="zh-CN"/>
        </w:rPr>
        <w:t>90天。</w:t>
      </w:r>
      <w:r>
        <w:rPr>
          <w:rFonts w:hint="eastAsia" w:ascii="仿宋" w:hAnsi="仿宋" w:eastAsia="仿宋" w:cs="仿宋"/>
          <w:color w:val="auto"/>
          <w:sz w:val="28"/>
          <w:szCs w:val="28"/>
          <w:highlight w:val="none"/>
        </w:rPr>
        <w:t>(具体施工日期及工期调整根据分公司实际计划时间而定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rPr>
        <w:t>具体开工时间以开工报告时间为准。</w:t>
      </w:r>
      <w:r>
        <w:rPr>
          <w:rFonts w:hint="eastAsia" w:ascii="仿宋" w:hAnsi="仿宋" w:eastAsia="仿宋" w:cs="仿宋"/>
          <w:color w:val="auto"/>
          <w:sz w:val="28"/>
          <w:szCs w:val="28"/>
          <w:highlight w:val="none"/>
          <w:u w:val="none"/>
          <w:lang w:eastAsia="zh-CN"/>
        </w:rPr>
        <w:t>）</w:t>
      </w:r>
    </w:p>
    <w:p>
      <w:pPr>
        <w:numPr>
          <w:ilvl w:val="0"/>
          <w:numId w:val="5"/>
        </w:numPr>
        <w:autoSpaceDE w:val="0"/>
        <w:autoSpaceDN w:val="0"/>
        <w:ind w:left="425" w:hanging="42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质量要求：质保1年</w:t>
      </w:r>
    </w:p>
    <w:p>
      <w:pPr>
        <w:pStyle w:val="21"/>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安全文明施工要求：</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（1）在工程进行中，承包单位要注意保护场内的各种管线和设施。</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若有任何损坏，须立即通知有关部门和发包人，并由损坏单位承担损失和修复费用。</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(2)发生重大伤亡及其他安全事故，承包单位应按有关规定立即上报</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有关部门并通知发包人，同时按政府有关部门要求处理，由事故责任方承担发生的费用。发包人、承包单位对事故责任有争议时，应按政府有关部门的认定处理。</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承包单位在施工期间应严格遵守《中华人民共和国安全生产法》</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1"/>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总包及分包规定：</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承包单位不许转包，不许擅自分包,</w:t>
      </w:r>
      <w:r>
        <w:rPr>
          <w:rFonts w:hint="eastAsia" w:ascii="仿宋" w:hAnsi="仿宋" w:eastAsia="仿宋" w:cs="仿宋"/>
          <w:i w:val="0"/>
          <w:caps w:val="0"/>
          <w:color w:val="auto"/>
          <w:spacing w:val="0"/>
          <w:sz w:val="21"/>
          <w:szCs w:val="21"/>
          <w:highlight w:val="none"/>
          <w:shd w:val="clear" w:color="auto" w:fill="FFFFFF"/>
        </w:rPr>
        <w:t xml:space="preserve"> </w:t>
      </w:r>
      <w:r>
        <w:rPr>
          <w:rFonts w:hint="eastAsia" w:ascii="仿宋" w:hAnsi="仿宋" w:eastAsia="仿宋" w:cs="仿宋"/>
          <w:i w:val="0"/>
          <w:caps w:val="0"/>
          <w:color w:val="auto"/>
          <w:spacing w:val="0"/>
          <w:sz w:val="28"/>
          <w:szCs w:val="28"/>
          <w:highlight w:val="none"/>
          <w:shd w:val="clear" w:color="auto" w:fill="FFFFFF"/>
        </w:rPr>
        <w:t>否则，发包人有权单方面终止合同，并令其立即退场，由此而造成的经济损失由承包单位负责赔偿。</w:t>
      </w:r>
    </w:p>
    <w:p>
      <w:pPr>
        <w:pStyle w:val="21"/>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保修期（保养期）：</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维修部位质保期12个月，更换的新部件质保期为12个月。</w:t>
      </w:r>
    </w:p>
    <w:p>
      <w:pPr>
        <w:pStyle w:val="21"/>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发包人将自承包商履行完合同义务之日起三十个工作日内组织验收，验收要求、验收标准及方法如下：</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验收依据：询价文件、询价响应文件、厂家货物技术标准说明及国家有关的质量标准规定，均为验收依据。</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承包单位根据要求进行设备的安装、调试、测试后，由发包人或政府相关部门进行使用性能方面的验收。</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验收合格条件</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确保能够达到</w:t>
      </w:r>
      <w:r>
        <w:rPr>
          <w:rFonts w:hint="eastAsia" w:ascii="仿宋" w:hAnsi="仿宋" w:eastAsia="仿宋" w:cs="仿宋"/>
          <w:i w:val="0"/>
          <w:caps w:val="0"/>
          <w:color w:val="auto"/>
          <w:spacing w:val="0"/>
          <w:sz w:val="28"/>
          <w:szCs w:val="28"/>
          <w:highlight w:val="none"/>
          <w:shd w:val="clear" w:color="auto" w:fill="FFFFFF"/>
          <w:lang w:val="en-US" w:eastAsia="zh-CN"/>
        </w:rPr>
        <w:t>甲方使用要求</w:t>
      </w:r>
      <w:r>
        <w:rPr>
          <w:rFonts w:hint="eastAsia" w:ascii="仿宋" w:hAnsi="仿宋" w:eastAsia="仿宋" w:cs="仿宋"/>
          <w:i w:val="0"/>
          <w:caps w:val="0"/>
          <w:color w:val="auto"/>
          <w:spacing w:val="0"/>
          <w:sz w:val="28"/>
          <w:szCs w:val="28"/>
          <w:highlight w:val="none"/>
          <w:shd w:val="clear" w:color="auto" w:fill="FFFFFF"/>
        </w:rPr>
        <w:t>的标准。</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4</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发包人有权委托我国相关具有检验资质的部门、单位、机构针对维修后设备的精度、性能进行检验。其检验结果将作为验收标准的组成部分之一。</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5</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验收时承包单位必须派代表参加。</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6</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验收过程所发生的一切费用由承包单位承担。</w:t>
      </w:r>
    </w:p>
    <w:p>
      <w:pPr>
        <w:pStyle w:val="21"/>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付款方式：采用网银支付形式。</w:t>
      </w:r>
    </w:p>
    <w:p>
      <w:pPr>
        <w:pStyle w:val="2"/>
        <w:numPr>
          <w:ilvl w:val="0"/>
          <w:numId w:val="5"/>
        </w:numPr>
        <w:adjustRightInd w:val="0"/>
        <w:snapToGrid w:val="0"/>
        <w:spacing w:line="600" w:lineRule="exact"/>
        <w:ind w:left="425" w:hanging="425" w:firstLineChars="0"/>
        <w:jc w:val="left"/>
        <w:rPr>
          <w:rFonts w:hint="default" w:ascii="仿宋_GB2312" w:eastAsia="仿宋_GB2312"/>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rPr>
        <w:t>承包方式：</w:t>
      </w:r>
      <w:r>
        <w:rPr>
          <w:rFonts w:hint="eastAsia" w:ascii="仿宋" w:hAnsi="仿宋" w:eastAsia="仿宋" w:cs="仿宋"/>
          <w:i w:val="0"/>
          <w:caps w:val="0"/>
          <w:color w:val="auto"/>
          <w:spacing w:val="0"/>
          <w:sz w:val="28"/>
          <w:szCs w:val="28"/>
          <w:highlight w:val="none"/>
          <w:shd w:val="clear" w:color="auto" w:fill="FFFFFF"/>
          <w:lang w:val="en-US" w:eastAsia="zh-CN"/>
        </w:rPr>
        <w:t>单价包干。</w:t>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rFonts w:hint="eastAsia"/>
          <w:color w:val="auto"/>
          <w:highlight w:val="none"/>
        </w:rPr>
      </w:pPr>
      <w:bookmarkStart w:id="61" w:name="_Toc23330"/>
      <w:bookmarkStart w:id="62" w:name="_Toc23353"/>
      <w:bookmarkStart w:id="63" w:name="_Toc29835"/>
      <w:bookmarkStart w:id="64" w:name="_Toc18538"/>
      <w:bookmarkStart w:id="65" w:name="_Toc537"/>
      <w:bookmarkStart w:id="66" w:name="_Toc15570"/>
      <w:bookmarkStart w:id="67" w:name="_Toc4680"/>
      <w:bookmarkStart w:id="68" w:name="_Toc1496"/>
      <w:bookmarkStart w:id="69" w:name="_Toc1284"/>
      <w:bookmarkStart w:id="70" w:name="_Toc12135"/>
      <w:bookmarkStart w:id="71" w:name="_Toc25925"/>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48260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3.8pt;height:0pt;width:75.5pt;z-index:251663360;mso-width-relative:page;mso-height-relative:page;" filled="f" stroked="t" coordsize="21600,21600" o:gfxdata="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y4YvOHNg6cJ/fvr2&#10;6+Pnuy8/7r5/Zcus0BCwpsCNu4mnHYabmOke2mjzn4iwQ1H1eFZVHRITdPhisVwuSG9x76oe8kLE&#10;9Ep5y7LRcEwRdNenjXeOrs7HWREV9q8xUWVKvE/IRY1jQ4afU+sCaBRbGgEybSA66LqSi95oea2N&#10;yRkYu93GRLaHPA7ly/wI96+wXGQL2I9xxTUOSq9AvnSSpWMgoRy9D55bsEpyZhQ9p2wRINQJtLkk&#10;kkobRx1kiUdRs7Xz8li0Lud09aXH05jm2fpzX7Ifnub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3GrkjUAAAABwEAAA8AAAAAAAAAAQAgAAAAIgAAAGRycy9kb3ducmV2LnhtbFBLAQIUABQAAAAI&#10;AIdO4kBjZm8c8QEAAOIDAAAOAAAAAAAAAAEAIAAAACMBAABkcnMvZTJvRG9jLnhtbFBLBQYAAAAA&#10;BgAGAFkBAACG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2363470</wp:posOffset>
                </wp:positionH>
                <wp:positionV relativeFrom="paragraph">
                  <wp:posOffset>561340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6.1pt;margin-top:44.2pt;height:0pt;width:75.5pt;z-index:251664384;mso-width-relative:page;mso-height-relative:page;" filled="f" stroked="t" coordsize="21600,21600" o:gfxdata="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InuSD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5"/>
        <w:rPr>
          <w:color w:val="auto"/>
          <w:highlight w:val="none"/>
        </w:rPr>
      </w:pPr>
    </w:p>
    <w:p>
      <w:pPr>
        <w:pStyle w:val="4"/>
        <w:rPr>
          <w:color w:val="auto"/>
          <w:highlight w:val="none"/>
        </w:rPr>
      </w:pPr>
      <w:bookmarkStart w:id="72" w:name="_Toc22797"/>
      <w:bookmarkStart w:id="73" w:name="_Toc1375"/>
      <w:bookmarkStart w:id="74" w:name="_Toc19088"/>
      <w:bookmarkStart w:id="75" w:name="_Toc22501"/>
      <w:bookmarkStart w:id="76" w:name="_Toc88209949"/>
      <w:bookmarkStart w:id="77" w:name="_Toc8183"/>
      <w:bookmarkStart w:id="78" w:name="_Toc12968"/>
      <w:bookmarkStart w:id="79" w:name="_Toc323"/>
      <w:bookmarkStart w:id="80" w:name="_Toc19686"/>
      <w:bookmarkStart w:id="81" w:name="_Toc12980"/>
      <w:bookmarkStart w:id="82" w:name="_Toc12721"/>
      <w:bookmarkStart w:id="83" w:name="_Toc13309"/>
      <w:bookmarkStart w:id="84" w:name="_Toc87616386"/>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ind w:left="1506" w:hanging="1506" w:hangingChars="500"/>
        <w:rPr>
          <w:rFonts w:hint="eastAsia" w:ascii="宋体" w:hAnsi="宋体" w:cs="宋体"/>
          <w:b/>
          <w:color w:val="auto"/>
          <w:sz w:val="30"/>
          <w:szCs w:val="30"/>
          <w:highlight w:val="none"/>
          <w:lang w:eastAsia="zh-CN"/>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val="en-US" w:eastAsia="zh-CN"/>
        </w:rPr>
        <w:t>广州市净水有限公司石井分公司高效池斜板大修项目（第二次）</w:t>
      </w:r>
    </w:p>
    <w:p>
      <w:pPr>
        <w:spacing w:line="360" w:lineRule="auto"/>
        <w:ind w:left="1506" w:hanging="1506" w:hangingChars="500"/>
        <w:rPr>
          <w:rFonts w:hint="eastAsia" w:ascii="宋体" w:hAnsi="宋体" w:eastAsia="宋体" w:cs="宋体"/>
          <w:b/>
          <w:color w:val="auto"/>
          <w:sz w:val="30"/>
          <w:szCs w:val="30"/>
          <w:highlight w:val="none"/>
          <w:lang w:eastAsia="zh-CN"/>
        </w:rPr>
      </w:pPr>
    </w:p>
    <w:p>
      <w:pPr>
        <w:pStyle w:val="45"/>
        <w:spacing w:line="360" w:lineRule="auto"/>
        <w:rPr>
          <w:color w:val="auto"/>
          <w:highlight w:val="none"/>
        </w:rPr>
      </w:pPr>
    </w:p>
    <w:p>
      <w:pPr>
        <w:spacing w:line="400" w:lineRule="atLeast"/>
        <w:rPr>
          <w:rFonts w:hint="eastAsia" w:ascii="宋体" w:hAnsi="宋体"/>
          <w:b/>
          <w:color w:val="auto"/>
          <w:sz w:val="30"/>
          <w:szCs w:val="30"/>
          <w:highlight w:val="none"/>
          <w:lang w:val="en-US" w:eastAsia="zh-CN"/>
        </w:rPr>
      </w:pPr>
      <w:r>
        <w:rPr>
          <w:rFonts w:hint="eastAsia" w:ascii="宋体" w:hAnsi="宋体"/>
          <w:b/>
          <w:color w:val="auto"/>
          <w:sz w:val="30"/>
          <w:szCs w:val="30"/>
          <w:highlight w:val="none"/>
        </w:rPr>
        <w:t>项目编号：</w:t>
      </w:r>
    </w:p>
    <w:p>
      <w:pPr>
        <w:pStyle w:val="2"/>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w:t>
      </w:r>
      <w:r>
        <w:rPr>
          <w:rFonts w:hint="eastAsia" w:ascii="宋体" w:hAnsi="宋体" w:cs="宋体"/>
          <w:b/>
          <w:bCs/>
          <w:color w:val="auto"/>
          <w:sz w:val="30"/>
          <w:szCs w:val="30"/>
          <w:highlight w:val="none"/>
          <w:lang w:val="en-US" w:eastAsia="zh-CN"/>
        </w:rPr>
        <w:t>2022</w:t>
      </w:r>
      <w:r>
        <w:rPr>
          <w:rFonts w:hint="eastAsia" w:ascii="宋体" w:hAnsi="宋体" w:cs="宋体"/>
          <w:b/>
          <w:bCs/>
          <w:color w:val="auto"/>
          <w:sz w:val="30"/>
          <w:szCs w:val="30"/>
          <w:highlight w:val="none"/>
        </w:rPr>
        <w:t>]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r>
        <w:rPr>
          <w:rFonts w:hint="eastAsia" w:ascii="宋体" w:hAnsi="宋体" w:cs="宋体"/>
          <w:b/>
          <w:color w:val="auto"/>
          <w:sz w:val="30"/>
          <w:highlight w:val="none"/>
        </w:rPr>
        <w:t>签约地点：广州市</w:t>
      </w:r>
    </w:p>
    <w:p>
      <w:pPr>
        <w:pStyle w:val="7"/>
        <w:ind w:left="0" w:leftChars="0" w:firstLine="0" w:firstLineChars="0"/>
        <w:rPr>
          <w:rFonts w:hint="eastAsia" w:ascii="宋体" w:hAnsi="宋体" w:cs="宋体"/>
          <w:b/>
          <w:color w:val="auto"/>
          <w:sz w:val="30"/>
          <w:highlight w:val="none"/>
          <w:lang w:val="zh-CN"/>
        </w:rPr>
      </w:pPr>
    </w:p>
    <w:p>
      <w:pPr>
        <w:spacing w:before="93" w:beforeLines="30" w:line="500" w:lineRule="exact"/>
        <w:ind w:left="0" w:leftChars="0" w:firstLine="0" w:firstLineChars="0"/>
        <w:rPr>
          <w:rFonts w:ascii="宋体" w:hAnsi="宋体" w:cs="宋体"/>
          <w:color w:val="auto"/>
          <w:sz w:val="24"/>
          <w:highlight w:val="none"/>
          <w:u w:val="single"/>
        </w:rPr>
      </w:pPr>
      <w:r>
        <w:rPr>
          <w:rFonts w:hint="eastAsia" w:ascii="宋体" w:hAnsi="宋体" w:cs="宋体"/>
          <w:b/>
          <w:color w:val="auto"/>
          <w:sz w:val="30"/>
          <w:highlight w:val="none"/>
          <w:lang w:val="en-US" w:eastAsia="zh-CN"/>
        </w:rPr>
        <w:t xml:space="preserve">    </w:t>
      </w: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color w:val="auto"/>
          <w:sz w:val="24"/>
          <w:highlight w:val="none"/>
          <w:u w:val="single"/>
          <w:lang w:val="en-US" w:eastAsia="zh-CN"/>
        </w:rPr>
        <w:t>广州市净水有限公司石井分公司高效池斜板大修项目（第二次）</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⑶ </w:t>
      </w:r>
      <w:r>
        <w:rPr>
          <w:rFonts w:hint="eastAsia" w:ascii="宋体" w:hAnsi="宋体" w:cs="宋体"/>
          <w:bCs/>
          <w:color w:val="auto"/>
          <w:sz w:val="24"/>
          <w:szCs w:val="22"/>
          <w:highlight w:val="none"/>
        </w:rPr>
        <w:t>成交通知书</w:t>
      </w:r>
      <w:r>
        <w:rPr>
          <w:rFonts w:hint="eastAsia" w:ascii="宋体" w:hAnsi="宋体" w:cs="宋体"/>
          <w:bCs/>
          <w:color w:val="auto"/>
          <w:sz w:val="24"/>
          <w:highlight w:val="none"/>
        </w:rPr>
        <w:t>/委托函；</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500" w:lineRule="exact"/>
        <w:ind w:firstLine="482"/>
        <w:rPr>
          <w:rFonts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50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500" w:lineRule="exact"/>
        <w:ind w:firstLine="480" w:firstLineChars="200"/>
        <w:rPr>
          <w:rFonts w:hint="default"/>
          <w:color w:val="auto"/>
          <w:highlight w:val="none"/>
          <w:lang w:val="en-US" w:eastAsia="zh-CN"/>
        </w:rPr>
      </w:pPr>
      <w:r>
        <w:rPr>
          <w:rFonts w:hint="eastAsia" w:ascii="宋体" w:hAnsi="宋体" w:cs="宋体"/>
          <w:color w:val="auto"/>
          <w:sz w:val="24"/>
          <w:highlight w:val="none"/>
        </w:rPr>
        <w:t>2.1项目名称：</w:t>
      </w:r>
      <w:r>
        <w:rPr>
          <w:rFonts w:hint="eastAsia" w:ascii="宋体" w:hAnsi="宋体" w:cs="宋体"/>
          <w:color w:val="auto"/>
          <w:sz w:val="24"/>
          <w:highlight w:val="none"/>
          <w:u w:val="single"/>
          <w:lang w:val="en-US" w:eastAsia="zh-CN"/>
        </w:rPr>
        <w:t>广州市净水有限公司石井分公司高效池斜板大修项目（第二次）</w:t>
      </w:r>
    </w:p>
    <w:p>
      <w:pPr>
        <w:pStyle w:val="2"/>
        <w:rPr>
          <w:rFonts w:hint="eastAsia" w:cs="宋体" w:eastAsiaTheme="minorEastAsia"/>
          <w:color w:val="auto"/>
          <w:kern w:val="2"/>
          <w:szCs w:val="22"/>
          <w:highlight w:val="none"/>
          <w:u w:val="single"/>
          <w:lang w:val="en-US" w:eastAsia="zh-CN"/>
        </w:rPr>
      </w:pPr>
      <w:r>
        <w:rPr>
          <w:rFonts w:hint="eastAsia" w:ascii="宋体" w:hAnsi="宋体" w:cs="宋体" w:eastAsiaTheme="minorEastAsia"/>
          <w:color w:val="auto"/>
          <w:kern w:val="2"/>
          <w:sz w:val="24"/>
          <w:szCs w:val="22"/>
          <w:highlight w:val="none"/>
          <w:u w:val="none"/>
        </w:rPr>
        <w:t>2.2项目地点：</w:t>
      </w:r>
      <w:r>
        <w:rPr>
          <w:rFonts w:hint="eastAsia" w:ascii="宋体" w:hAnsi="宋体" w:cs="宋体" w:eastAsiaTheme="minorEastAsia"/>
          <w:color w:val="auto"/>
          <w:kern w:val="2"/>
          <w:sz w:val="24"/>
          <w:szCs w:val="22"/>
          <w:highlight w:val="none"/>
          <w:u w:val="single"/>
          <w:lang w:val="en-US" w:eastAsia="zh-CN"/>
        </w:rPr>
        <w:t>广州市白云区夏花一路551号</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2.3项目承包范围：包括提供所有需要的材料、机械、人工、设施、完成合同约定的工作和服务。按照甲方审核同意的方案、图纸所包括的实施范围和内容进行施工并在质量保修期内承担项目质量保修责任。</w:t>
      </w:r>
    </w:p>
    <w:p>
      <w:pPr>
        <w:spacing w:line="600" w:lineRule="exact"/>
        <w:jc w:val="left"/>
        <w:rPr>
          <w:rFonts w:hint="eastAsia" w:ascii="宋体" w:hAnsi="宋体" w:cs="宋体"/>
          <w:color w:val="auto"/>
          <w:sz w:val="24"/>
          <w:highlight w:val="none"/>
          <w:lang w:eastAsia="zh-CN"/>
        </w:rPr>
      </w:pPr>
      <w:r>
        <w:rPr>
          <w:rFonts w:hint="eastAsia" w:ascii="宋体" w:hAnsi="宋体" w:cs="宋体"/>
          <w:color w:val="auto"/>
          <w:sz w:val="28"/>
          <w:szCs w:val="28"/>
          <w:highlight w:val="none"/>
        </w:rPr>
        <w:t>2.4</w:t>
      </w:r>
      <w:r>
        <w:rPr>
          <w:rFonts w:hint="eastAsia" w:ascii="宋体" w:hAnsi="宋体" w:cs="宋体"/>
          <w:color w:val="auto"/>
          <w:sz w:val="24"/>
          <w:highlight w:val="none"/>
        </w:rPr>
        <w:t>项目内容</w:t>
      </w:r>
      <w:r>
        <w:rPr>
          <w:rFonts w:hint="eastAsia" w:ascii="宋体" w:hAnsi="宋体" w:cs="宋体"/>
          <w:color w:val="auto"/>
          <w:sz w:val="24"/>
          <w:highlight w:val="none"/>
          <w:lang w:eastAsia="zh-CN"/>
        </w:rPr>
        <w:t>：</w:t>
      </w:r>
    </w:p>
    <w:p>
      <w:pPr>
        <w:pStyle w:val="7"/>
        <w:rPr>
          <w:rFonts w:hint="eastAsia" w:ascii="仿宋" w:hAnsi="仿宋" w:eastAsia="仿宋" w:cs="仿宋"/>
          <w:color w:val="auto"/>
          <w:sz w:val="28"/>
          <w:szCs w:val="28"/>
          <w:highlight w:val="none"/>
          <w:u w:val="none"/>
          <w:lang w:val="en-US" w:eastAsia="zh-CN"/>
        </w:rPr>
      </w:pPr>
      <w:r>
        <w:rPr>
          <w:rFonts w:hint="eastAsia" w:asciiTheme="minorEastAsia" w:hAnsiTheme="minorEastAsia" w:eastAsiaTheme="minorEastAsia" w:cstheme="minorEastAsia"/>
          <w:color w:val="auto"/>
          <w:sz w:val="28"/>
          <w:szCs w:val="28"/>
          <w:highlight w:val="none"/>
          <w:u w:val="none"/>
          <w:lang w:val="en-US" w:eastAsia="zh-CN"/>
        </w:rPr>
        <w:t>首先拆除高效池上方除臭盖板，将池内旧斜板以及旧的支架全部拆除，用水将池面冲洗干净，修复池内的溢流槽，加固溢流槽的支架；安装全新的斜板支架，之后将斜板拼装好放到支架上。四个高效池逐一更换，为了确保安全施工，维修时将高效池放空，施工时工作人员必须佩戴安全带</w:t>
      </w:r>
      <w:r>
        <w:rPr>
          <w:rFonts w:hint="eastAsia" w:ascii="仿宋" w:hAnsi="仿宋" w:eastAsia="仿宋" w:cs="仿宋"/>
          <w:color w:val="auto"/>
          <w:sz w:val="28"/>
          <w:szCs w:val="28"/>
          <w:highlight w:val="none"/>
          <w:u w:val="none"/>
          <w:lang w:val="en-US" w:eastAsia="zh-CN"/>
        </w:rPr>
        <w:t>。</w:t>
      </w:r>
    </w:p>
    <w:p>
      <w:pPr>
        <w:spacing w:line="360" w:lineRule="auto"/>
        <w:jc w:val="center"/>
        <w:rPr>
          <w:rFonts w:hint="eastAsia"/>
          <w:color w:val="auto"/>
          <w:highlight w:val="none"/>
        </w:rPr>
      </w:pPr>
      <w:r>
        <w:rPr>
          <w:rFonts w:hint="eastAsia"/>
          <w:color w:val="auto"/>
          <w:highlight w:val="none"/>
        </w:rPr>
        <w:t>表</w:t>
      </w:r>
      <w:r>
        <w:rPr>
          <w:rFonts w:hint="eastAsia"/>
          <w:color w:val="auto"/>
          <w:highlight w:val="none"/>
          <w:lang w:val="en-US" w:eastAsia="zh-CN"/>
        </w:rPr>
        <w:t xml:space="preserve">1 </w:t>
      </w:r>
      <w:r>
        <w:rPr>
          <w:rFonts w:hint="eastAsia" w:ascii="宋体" w:hAnsi="宋体" w:cs="宋体"/>
          <w:color w:val="auto"/>
          <w:kern w:val="0"/>
          <w:szCs w:val="21"/>
          <w:highlight w:val="none"/>
          <w:lang w:val="en-US" w:eastAsia="zh-CN"/>
        </w:rPr>
        <w:t>斜板</w:t>
      </w:r>
      <w:r>
        <w:rPr>
          <w:rFonts w:hint="eastAsia"/>
          <w:color w:val="auto"/>
          <w:highlight w:val="none"/>
        </w:rPr>
        <w:t>大修实施步骤</w:t>
      </w:r>
    </w:p>
    <w:tbl>
      <w:tblPr>
        <w:tblStyle w:val="22"/>
        <w:tblW w:w="9087" w:type="dxa"/>
        <w:tblInd w:w="93" w:type="dxa"/>
        <w:tblLayout w:type="fixed"/>
        <w:tblCellMar>
          <w:top w:w="0" w:type="dxa"/>
          <w:left w:w="108" w:type="dxa"/>
          <w:bottom w:w="0" w:type="dxa"/>
          <w:right w:w="108" w:type="dxa"/>
        </w:tblCellMar>
      </w:tblPr>
      <w:tblGrid>
        <w:gridCol w:w="1008"/>
        <w:gridCol w:w="8079"/>
      </w:tblGrid>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07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内容</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1</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ascii="仿宋_GB2312" w:hAnsi="Calibri" w:cs="Times New Roman"/>
                <w:color w:val="auto"/>
                <w:kern w:val="2"/>
                <w:sz w:val="24"/>
                <w:szCs w:val="32"/>
                <w:highlight w:val="none"/>
                <w:lang w:val="en-US"/>
              </w:rPr>
            </w:pPr>
            <w:r>
              <w:rPr>
                <w:rFonts w:hint="eastAsia" w:hAnsi="Calibri" w:cs="Times New Roman"/>
                <w:color w:val="auto"/>
                <w:kern w:val="2"/>
                <w:sz w:val="24"/>
                <w:szCs w:val="32"/>
                <w:highlight w:val="none"/>
                <w:lang w:val="en-US" w:eastAsia="zh-CN"/>
              </w:rPr>
              <w:t>拆除高效池上方除臭盖板，关闭高效池的进水和出水闸门，轴流风机强制通风，检测气体。</w:t>
            </w:r>
          </w:p>
        </w:tc>
      </w:tr>
      <w:tr>
        <w:tblPrEx>
          <w:tblCellMar>
            <w:top w:w="0" w:type="dxa"/>
            <w:left w:w="108" w:type="dxa"/>
            <w:bottom w:w="0" w:type="dxa"/>
            <w:right w:w="108" w:type="dxa"/>
          </w:tblCellMar>
        </w:tblPrEx>
        <w:trPr>
          <w:trHeight w:val="90" w:hRule="atLeast"/>
        </w:trPr>
        <w:tc>
          <w:tcPr>
            <w:tcW w:w="1008" w:type="dxa"/>
            <w:tcBorders>
              <w:top w:val="nil"/>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2</w:t>
            </w:r>
          </w:p>
        </w:tc>
        <w:tc>
          <w:tcPr>
            <w:tcW w:w="8079" w:type="dxa"/>
            <w:tcBorders>
              <w:top w:val="nil"/>
              <w:left w:val="nil"/>
              <w:bottom w:val="single" w:color="auto" w:sz="4" w:space="0"/>
              <w:right w:val="single" w:color="auto" w:sz="4" w:space="0"/>
            </w:tcBorders>
            <w:vAlign w:val="center"/>
          </w:tcPr>
          <w:p>
            <w:pPr>
              <w:widowControl w:val="0"/>
              <w:spacing w:line="360" w:lineRule="auto"/>
              <w:jc w:val="left"/>
              <w:rPr>
                <w:rFonts w:ascii="仿宋_GB2312" w:hAnsi="Calibri" w:cs="Times New Roman"/>
                <w:color w:val="auto"/>
                <w:kern w:val="2"/>
                <w:sz w:val="24"/>
                <w:szCs w:val="32"/>
                <w:highlight w:val="none"/>
              </w:rPr>
            </w:pPr>
            <w:r>
              <w:rPr>
                <w:rFonts w:hint="eastAsia" w:hAnsi="Calibri" w:cs="Times New Roman"/>
                <w:color w:val="auto"/>
                <w:kern w:val="2"/>
                <w:sz w:val="24"/>
                <w:szCs w:val="32"/>
                <w:highlight w:val="none"/>
                <w:lang w:val="en-US" w:eastAsia="zh-CN"/>
              </w:rPr>
              <w:t>待测得到气体符合安全值时，工作人员穿戴好安全，带上防毒面具，登记有限空间进入表。</w:t>
            </w:r>
          </w:p>
        </w:tc>
      </w:tr>
      <w:tr>
        <w:tblPrEx>
          <w:tblCellMar>
            <w:top w:w="0" w:type="dxa"/>
            <w:left w:w="108" w:type="dxa"/>
            <w:bottom w:w="0" w:type="dxa"/>
            <w:right w:w="108" w:type="dxa"/>
          </w:tblCellMar>
        </w:tblPrEx>
        <w:trPr>
          <w:trHeight w:val="900" w:hRule="atLeast"/>
        </w:trPr>
        <w:tc>
          <w:tcPr>
            <w:tcW w:w="1008" w:type="dxa"/>
            <w:tcBorders>
              <w:top w:val="nil"/>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3</w:t>
            </w:r>
          </w:p>
        </w:tc>
        <w:tc>
          <w:tcPr>
            <w:tcW w:w="8079" w:type="dxa"/>
            <w:tcBorders>
              <w:top w:val="nil"/>
              <w:left w:val="nil"/>
              <w:bottom w:val="single" w:color="auto" w:sz="4" w:space="0"/>
              <w:right w:val="single" w:color="auto" w:sz="4" w:space="0"/>
            </w:tcBorders>
            <w:vAlign w:val="center"/>
          </w:tcPr>
          <w:p>
            <w:pPr>
              <w:widowControl w:val="0"/>
              <w:spacing w:line="360" w:lineRule="auto"/>
              <w:jc w:val="left"/>
              <w:rPr>
                <w:rFonts w:ascii="仿宋_GB2312" w:hAnsi="Calibri" w:cs="Times New Roman"/>
                <w:color w:val="auto"/>
                <w:kern w:val="2"/>
                <w:sz w:val="24"/>
                <w:szCs w:val="32"/>
                <w:highlight w:val="none"/>
              </w:rPr>
            </w:pPr>
            <w:r>
              <w:rPr>
                <w:rFonts w:hint="eastAsia" w:hAnsi="Calibri" w:cs="Times New Roman"/>
                <w:color w:val="auto"/>
                <w:kern w:val="2"/>
                <w:sz w:val="24"/>
                <w:szCs w:val="32"/>
                <w:highlight w:val="none"/>
                <w:lang w:val="en-US" w:eastAsia="zh-CN"/>
              </w:rPr>
              <w:t>拆卸斜板、斜板支撑架</w:t>
            </w:r>
            <w:r>
              <w:rPr>
                <w:rFonts w:hint="eastAsia" w:ascii="仿宋_GB2312" w:hAnsi="Calibri" w:cs="Times New Roman"/>
                <w:color w:val="auto"/>
                <w:kern w:val="2"/>
                <w:sz w:val="24"/>
                <w:szCs w:val="32"/>
                <w:highlight w:val="none"/>
              </w:rPr>
              <w:t>。</w:t>
            </w:r>
          </w:p>
        </w:tc>
      </w:tr>
      <w:tr>
        <w:tblPrEx>
          <w:tblCellMar>
            <w:top w:w="0" w:type="dxa"/>
            <w:left w:w="108" w:type="dxa"/>
            <w:bottom w:w="0" w:type="dxa"/>
            <w:right w:w="108" w:type="dxa"/>
          </w:tblCellMar>
        </w:tblPrEx>
        <w:trPr>
          <w:trHeight w:val="900" w:hRule="atLeast"/>
        </w:trPr>
        <w:tc>
          <w:tcPr>
            <w:tcW w:w="1008" w:type="dxa"/>
            <w:tcBorders>
              <w:top w:val="nil"/>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4</w:t>
            </w:r>
          </w:p>
        </w:tc>
        <w:tc>
          <w:tcPr>
            <w:tcW w:w="8079" w:type="dxa"/>
            <w:tcBorders>
              <w:top w:val="nil"/>
              <w:left w:val="nil"/>
              <w:bottom w:val="single" w:color="auto" w:sz="4" w:space="0"/>
              <w:right w:val="single" w:color="auto" w:sz="4" w:space="0"/>
            </w:tcBorders>
            <w:vAlign w:val="center"/>
          </w:tcPr>
          <w:p>
            <w:pPr>
              <w:widowControl w:val="0"/>
              <w:spacing w:line="360" w:lineRule="auto"/>
              <w:jc w:val="left"/>
              <w:rPr>
                <w:rFonts w:ascii="仿宋_GB2312" w:hAnsi="Calibri" w:cs="Times New Roman"/>
                <w:color w:val="auto"/>
                <w:kern w:val="2"/>
                <w:sz w:val="24"/>
                <w:szCs w:val="32"/>
                <w:highlight w:val="none"/>
              </w:rPr>
            </w:pPr>
            <w:r>
              <w:rPr>
                <w:rFonts w:hint="eastAsia" w:hAnsi="Calibri" w:cs="Times New Roman"/>
                <w:color w:val="auto"/>
                <w:kern w:val="2"/>
                <w:sz w:val="24"/>
                <w:szCs w:val="32"/>
                <w:highlight w:val="none"/>
                <w:lang w:val="en-US" w:eastAsia="zh-CN"/>
              </w:rPr>
              <w:t>将拆卸斜板、斜板支撑架放到空旷场地，做好围蔽，必要时安装警示灯</w:t>
            </w:r>
            <w:r>
              <w:rPr>
                <w:rFonts w:hint="eastAsia" w:ascii="仿宋_GB2312" w:hAnsi="Calibri" w:cs="Times New Roman"/>
                <w:color w:val="auto"/>
                <w:kern w:val="2"/>
                <w:sz w:val="24"/>
                <w:szCs w:val="32"/>
                <w:highlight w:val="none"/>
              </w:rPr>
              <w:t>。</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5</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ascii="仿宋_GB2312" w:hAnsi="Calibri" w:eastAsia="仿宋_GB2312"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利用高压水枪冲洗池面。</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eastAsia" w:ascii="仿宋_GB2312" w:hAnsi="Calibri" w:eastAsia="仿宋_GB2312"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6</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eastAsia" w:ascii="仿宋_GB2312" w:hAnsi="Calibri" w:eastAsia="仿宋_GB2312" w:cs="Times New Roman"/>
                <w:color w:val="auto"/>
                <w:kern w:val="2"/>
                <w:sz w:val="24"/>
                <w:szCs w:val="32"/>
                <w:highlight w:val="none"/>
                <w:lang w:eastAsia="zh-CN"/>
              </w:rPr>
            </w:pPr>
            <w:r>
              <w:rPr>
                <w:rFonts w:hint="eastAsia" w:hAnsi="Calibri" w:cs="Times New Roman"/>
                <w:color w:val="auto"/>
                <w:kern w:val="2"/>
                <w:sz w:val="24"/>
                <w:szCs w:val="32"/>
                <w:highlight w:val="none"/>
                <w:lang w:val="en-US" w:eastAsia="zh-CN"/>
              </w:rPr>
              <w:t>冲洗干净后，对溢流槽槽板进行修复，溢流槽与墙角连接处焊接角铁加固支架</w:t>
            </w:r>
            <w:r>
              <w:rPr>
                <w:rFonts w:hint="eastAsia" w:hAnsi="Calibri" w:cs="Times New Roman"/>
                <w:color w:val="auto"/>
                <w:kern w:val="2"/>
                <w:sz w:val="24"/>
                <w:szCs w:val="32"/>
                <w:highlight w:val="none"/>
                <w:lang w:eastAsia="zh-CN"/>
              </w:rPr>
              <w:t>。</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default" w:hAnsi="Calibri"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7</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ascii="仿宋_GB2312" w:hAnsi="Calibri" w:eastAsia="仿宋_GB2312"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安装支架，捆绑斜管放入支架上</w:t>
            </w:r>
            <w:r>
              <w:rPr>
                <w:rFonts w:hint="eastAsia" w:hAnsi="Calibri" w:cs="Times New Roman"/>
                <w:color w:val="auto"/>
                <w:kern w:val="2"/>
                <w:sz w:val="24"/>
                <w:szCs w:val="32"/>
                <w:highlight w:val="none"/>
                <w:lang w:eastAsia="zh-CN"/>
              </w:rPr>
              <w:t>。</w:t>
            </w:r>
            <w:r>
              <w:rPr>
                <w:rFonts w:hint="eastAsia" w:hAnsi="Calibri" w:cs="Times New Roman"/>
                <w:color w:val="auto"/>
                <w:kern w:val="2"/>
                <w:sz w:val="24"/>
                <w:szCs w:val="32"/>
                <w:highlight w:val="none"/>
                <w:lang w:val="en-US" w:eastAsia="zh-CN"/>
              </w:rPr>
              <w:t>安装时倾斜方向不应水流直冲斜板</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default" w:hAnsi="Calibri"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8</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hAnsi="Calibri"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完成安装，按照原样恢复高效池除臭盖板。</w:t>
            </w:r>
          </w:p>
        </w:tc>
      </w:tr>
    </w:tbl>
    <w:p>
      <w:pPr>
        <w:numPr>
          <w:ilvl w:val="-1"/>
          <w:numId w:val="0"/>
        </w:numPr>
        <w:spacing w:line="360" w:lineRule="auto"/>
        <w:ind w:left="0" w:leftChars="0"/>
        <w:rPr>
          <w:rFonts w:hint="eastAsia" w:ascii="仿宋" w:hAnsi="仿宋" w:eastAsia="仿宋" w:cs="仿宋"/>
          <w:b w:val="0"/>
          <w:bCs/>
          <w:color w:val="auto"/>
          <w:kern w:val="0"/>
          <w:sz w:val="28"/>
          <w:szCs w:val="28"/>
          <w:highlight w:val="none"/>
          <w:lang w:val="en-US" w:eastAsia="zh-CN"/>
        </w:rPr>
      </w:pPr>
    </w:p>
    <w:p>
      <w:pPr>
        <w:numPr>
          <w:ilvl w:val="-1"/>
          <w:numId w:val="0"/>
        </w:numPr>
        <w:spacing w:line="360" w:lineRule="auto"/>
        <w:ind w:left="0" w:leftChars="0"/>
        <w:rPr>
          <w:rFonts w:hint="eastAsia" w:ascii="仿宋" w:hAnsi="仿宋" w:eastAsia="仿宋" w:cs="仿宋"/>
          <w:b w:val="0"/>
          <w:bCs/>
          <w:color w:val="auto"/>
          <w:kern w:val="0"/>
          <w:sz w:val="28"/>
          <w:szCs w:val="28"/>
          <w:highlight w:val="none"/>
          <w:lang w:val="en-US" w:eastAsia="zh-CN"/>
        </w:rPr>
      </w:pPr>
    </w:p>
    <w:p>
      <w:pPr>
        <w:pStyle w:val="2"/>
        <w:rPr>
          <w:rFonts w:hint="eastAsia" w:ascii="仿宋" w:hAnsi="仿宋" w:eastAsia="仿宋" w:cs="仿宋"/>
          <w:b w:val="0"/>
          <w:bCs/>
          <w:color w:val="auto"/>
          <w:kern w:val="0"/>
          <w:sz w:val="28"/>
          <w:szCs w:val="28"/>
          <w:highlight w:val="none"/>
          <w:lang w:val="en-US" w:eastAsia="zh-CN"/>
        </w:rPr>
      </w:pPr>
    </w:p>
    <w:p>
      <w:pPr>
        <w:pStyle w:val="2"/>
        <w:rPr>
          <w:rFonts w:hint="eastAsia" w:ascii="仿宋" w:hAnsi="仿宋" w:eastAsia="仿宋" w:cs="仿宋"/>
          <w:b w:val="0"/>
          <w:bCs/>
          <w:color w:val="auto"/>
          <w:kern w:val="0"/>
          <w:sz w:val="28"/>
          <w:szCs w:val="28"/>
          <w:highlight w:val="none"/>
          <w:lang w:val="en-US" w:eastAsia="zh-CN"/>
        </w:rPr>
      </w:pPr>
    </w:p>
    <w:p>
      <w:pPr>
        <w:pStyle w:val="2"/>
        <w:rPr>
          <w:rFonts w:hint="eastAsia" w:ascii="仿宋" w:hAnsi="仿宋" w:eastAsia="仿宋" w:cs="仿宋"/>
          <w:b w:val="0"/>
          <w:bCs/>
          <w:color w:val="auto"/>
          <w:kern w:val="0"/>
          <w:sz w:val="28"/>
          <w:szCs w:val="28"/>
          <w:highlight w:val="none"/>
          <w:lang w:val="en-US" w:eastAsia="zh-CN"/>
        </w:rPr>
      </w:pPr>
    </w:p>
    <w:p>
      <w:pPr>
        <w:pStyle w:val="2"/>
        <w:rPr>
          <w:rFonts w:hint="eastAsia" w:ascii="仿宋" w:hAnsi="仿宋" w:eastAsia="仿宋" w:cs="仿宋"/>
          <w:b w:val="0"/>
          <w:bCs/>
          <w:color w:val="auto"/>
          <w:kern w:val="0"/>
          <w:sz w:val="28"/>
          <w:szCs w:val="28"/>
          <w:highlight w:val="none"/>
          <w:lang w:val="en-US" w:eastAsia="zh-CN"/>
        </w:rPr>
      </w:pPr>
    </w:p>
    <w:p>
      <w:pPr>
        <w:pStyle w:val="2"/>
        <w:rPr>
          <w:rFonts w:hint="eastAsia" w:ascii="仿宋" w:hAnsi="仿宋" w:eastAsia="仿宋" w:cs="仿宋"/>
          <w:b w:val="0"/>
          <w:bCs/>
          <w:color w:val="auto"/>
          <w:kern w:val="0"/>
          <w:sz w:val="28"/>
          <w:szCs w:val="28"/>
          <w:highlight w:val="none"/>
          <w:lang w:val="en-US" w:eastAsia="zh-CN"/>
        </w:rPr>
      </w:pPr>
    </w:p>
    <w:p>
      <w:pPr>
        <w:spacing w:line="360" w:lineRule="auto"/>
        <w:jc w:val="center"/>
        <w:rPr>
          <w:rFonts w:hint="eastAsia"/>
          <w:color w:val="auto"/>
          <w:highlight w:val="none"/>
        </w:rPr>
      </w:pPr>
      <w:r>
        <w:rPr>
          <w:rFonts w:hint="eastAsia"/>
          <w:color w:val="auto"/>
          <w:highlight w:val="none"/>
        </w:rPr>
        <w:t>表</w:t>
      </w:r>
      <w:r>
        <w:rPr>
          <w:rFonts w:hint="eastAsia"/>
          <w:color w:val="auto"/>
          <w:highlight w:val="none"/>
          <w:lang w:val="en-US" w:eastAsia="zh-CN"/>
        </w:rPr>
        <w:t>2</w:t>
      </w:r>
      <w:r>
        <w:rPr>
          <w:rFonts w:hint="eastAsia"/>
          <w:color w:val="auto"/>
          <w:highlight w:val="none"/>
        </w:rPr>
        <w:t>备品备件参数及需求情况</w:t>
      </w:r>
    </w:p>
    <w:tbl>
      <w:tblPr>
        <w:tblStyle w:val="22"/>
        <w:tblW w:w="50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2498"/>
        <w:gridCol w:w="1807"/>
        <w:gridCol w:w="829"/>
        <w:gridCol w:w="1302"/>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359"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983"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w:t>
            </w:r>
          </w:p>
        </w:tc>
        <w:tc>
          <w:tcPr>
            <w:tcW w:w="451" w:type="pct"/>
            <w:vAlign w:val="center"/>
          </w:tcPr>
          <w:p>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708" w:type="pct"/>
            <w:vAlign w:val="center"/>
          </w:tcPr>
          <w:p>
            <w:pPr>
              <w:spacing w:line="360" w:lineRule="auto"/>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数量</w:t>
            </w:r>
          </w:p>
        </w:tc>
        <w:tc>
          <w:tcPr>
            <w:tcW w:w="961"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359" w:type="pct"/>
            <w:vAlign w:val="center"/>
          </w:tcPr>
          <w:p>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斜板</w:t>
            </w:r>
          </w:p>
        </w:tc>
        <w:tc>
          <w:tcPr>
            <w:tcW w:w="983"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φ60*0.5；PP材质</w:t>
            </w:r>
          </w:p>
        </w:tc>
        <w:tc>
          <w:tcPr>
            <w:tcW w:w="451"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708" w:type="pct"/>
            <w:vAlign w:val="center"/>
          </w:tcPr>
          <w:p>
            <w:pPr>
              <w:spacing w:line="360" w:lineRule="auto"/>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416</w:t>
            </w:r>
          </w:p>
        </w:tc>
        <w:tc>
          <w:tcPr>
            <w:tcW w:w="961" w:type="pct"/>
            <w:vAlign w:val="center"/>
          </w:tcPr>
          <w:p>
            <w:pPr>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359"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斜板支架</w:t>
            </w:r>
          </w:p>
        </w:tc>
        <w:tc>
          <w:tcPr>
            <w:tcW w:w="983"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不锈钢304</w:t>
            </w:r>
          </w:p>
        </w:tc>
        <w:tc>
          <w:tcPr>
            <w:tcW w:w="451"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708" w:type="pct"/>
            <w:vAlign w:val="center"/>
          </w:tcPr>
          <w:p>
            <w:pPr>
              <w:spacing w:line="360" w:lineRule="auto"/>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416</w:t>
            </w:r>
          </w:p>
        </w:tc>
        <w:tc>
          <w:tcPr>
            <w:tcW w:w="961" w:type="pct"/>
            <w:vAlign w:val="center"/>
          </w:tcPr>
          <w:p>
            <w:pPr>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359" w:type="pct"/>
            <w:vAlign w:val="center"/>
          </w:tcPr>
          <w:p>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安装绳</w:t>
            </w:r>
          </w:p>
        </w:tc>
        <w:tc>
          <w:tcPr>
            <w:tcW w:w="983" w:type="pct"/>
            <w:vAlign w:val="center"/>
          </w:tcPr>
          <w:p>
            <w:pPr>
              <w:spacing w:line="360" w:lineRule="auto"/>
              <w:jc w:val="center"/>
              <w:rPr>
                <w:rFonts w:hint="eastAsia" w:ascii="仿宋" w:hAnsi="仿宋" w:eastAsia="仿宋" w:cs="仿宋"/>
                <w:color w:val="auto"/>
                <w:sz w:val="28"/>
                <w:szCs w:val="28"/>
                <w:highlight w:val="none"/>
              </w:rPr>
            </w:pPr>
          </w:p>
        </w:tc>
        <w:tc>
          <w:tcPr>
            <w:tcW w:w="451"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m</w:t>
            </w:r>
          </w:p>
        </w:tc>
        <w:tc>
          <w:tcPr>
            <w:tcW w:w="708" w:type="pct"/>
            <w:vAlign w:val="center"/>
          </w:tcPr>
          <w:p>
            <w:pPr>
              <w:spacing w:line="360" w:lineRule="auto"/>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6000</w:t>
            </w:r>
          </w:p>
        </w:tc>
        <w:tc>
          <w:tcPr>
            <w:tcW w:w="961" w:type="pct"/>
            <w:vAlign w:val="center"/>
          </w:tcPr>
          <w:p>
            <w:pPr>
              <w:spacing w:line="360" w:lineRule="auto"/>
              <w:jc w:val="center"/>
              <w:rPr>
                <w:rFonts w:hint="eastAsia" w:ascii="仿宋" w:hAnsi="仿宋" w:eastAsia="仿宋" w:cs="仿宋"/>
                <w:color w:val="auto"/>
                <w:sz w:val="28"/>
                <w:szCs w:val="28"/>
                <w:highlight w:val="none"/>
              </w:rPr>
            </w:pPr>
          </w:p>
        </w:tc>
      </w:tr>
    </w:tbl>
    <w:p>
      <w:pPr>
        <w:spacing w:line="600" w:lineRule="exact"/>
        <w:jc w:val="left"/>
        <w:rPr>
          <w:rFonts w:hint="eastAsia" w:ascii="宋体" w:hAnsi="宋体" w:cs="宋体" w:eastAsiaTheme="minorEastAsia"/>
          <w:color w:val="auto"/>
          <w:sz w:val="24"/>
          <w:szCs w:val="22"/>
          <w:highlight w:val="none"/>
          <w:u w:val="single"/>
          <w:lang w:val="en-US" w:eastAsia="zh-CN"/>
        </w:rPr>
      </w:pP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500" w:lineRule="exact"/>
        <w:ind w:firstLine="482" w:firstLineChars="200"/>
        <w:rPr>
          <w:rFonts w:ascii="宋体" w:hAnsi="宋体" w:cs="宋体"/>
          <w:color w:val="auto"/>
          <w:sz w:val="24"/>
          <w:highlight w:val="none"/>
        </w:rPr>
      </w:pPr>
      <w:r>
        <w:rPr>
          <w:rFonts w:hint="eastAsia" w:ascii="Segoe UI Symbol" w:hAnsi="Segoe UI Symbol" w:cs="Segoe UI Symbol"/>
          <w:b/>
          <w:bCs/>
          <w:color w:val="auto"/>
          <w:sz w:val="24"/>
          <w:highlight w:val="none"/>
          <w:lang w:eastAsia="zh-CN"/>
        </w:rPr>
        <w:sym w:font="Wingdings 2" w:char="0052"/>
      </w:r>
      <w:r>
        <w:rPr>
          <w:rFonts w:hint="eastAsia" w:ascii="宋体" w:hAnsi="宋体" w:cs="宋体"/>
          <w:color w:val="auto"/>
          <w:sz w:val="24"/>
          <w:highlight w:val="none"/>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A8"/>
      </w:r>
      <w:r>
        <w:rPr>
          <w:rFonts w:hint="eastAsia" w:ascii="宋体" w:hAnsi="宋体" w:cs="宋体"/>
          <w:color w:val="auto"/>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500" w:lineRule="exact"/>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6"/>
        </w:num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综合单价</w:t>
      </w:r>
      <w:r>
        <w:rPr>
          <w:rFonts w:hint="eastAsia" w:ascii="宋体" w:hAnsi="宋体" w:cs="宋体"/>
          <w:color w:val="auto"/>
          <w:sz w:val="24"/>
          <w:highlight w:val="none"/>
          <w:lang w:val="en-US" w:eastAsia="zh-CN"/>
        </w:rPr>
        <w:t>详见</w:t>
      </w:r>
      <w:r>
        <w:rPr>
          <w:rFonts w:hint="eastAsia" w:ascii="宋体" w:hAnsi="宋体" w:cs="宋体"/>
          <w:color w:val="auto"/>
          <w:sz w:val="24"/>
          <w:highlight w:val="none"/>
        </w:rPr>
        <w:t>附件5工程量清单报价。</w:t>
      </w:r>
    </w:p>
    <w:p>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税率为9%</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color w:val="auto"/>
          <w:kern w:val="0"/>
          <w:sz w:val="24"/>
          <w:highlight w:val="none"/>
          <w:lang w:val="zh-CN"/>
        </w:rPr>
      </w:pPr>
      <w:r>
        <w:rPr>
          <w:rFonts w:ascii="宋体" w:hAnsi="宋体" w:cs="宋体"/>
          <w:color w:val="auto"/>
          <w:kern w:val="0"/>
          <w:sz w:val="24"/>
          <w:highlight w:val="none"/>
          <w:lang w:val="zh-CN"/>
        </w:rPr>
        <w:t>4.3</w:t>
      </w:r>
      <w:r>
        <w:rPr>
          <w:rFonts w:hint="eastAsia" w:ascii="宋体" w:hAnsi="宋体" w:cs="宋体"/>
          <w:color w:val="auto"/>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color w:val="auto"/>
          <w:highlight w:val="none"/>
        </w:rPr>
      </w:pPr>
      <w:r>
        <w:rPr>
          <w:rFonts w:ascii="宋体" w:hAnsi="宋体" w:cs="宋体"/>
          <w:color w:val="auto"/>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widowControl/>
        <w:spacing w:line="50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rPr>
        <w:t>合同签订后15天内</w:t>
      </w:r>
      <w:r>
        <w:rPr>
          <w:rFonts w:hint="eastAsia" w:ascii="宋体" w:hAnsi="宋体" w:cs="宋体"/>
          <w:color w:val="auto"/>
          <w:sz w:val="24"/>
          <w:highlight w:val="none"/>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color w:val="auto"/>
          <w:sz w:val="24"/>
          <w:highlight w:val="none"/>
          <w:lang w:val="en-US" w:eastAsia="zh-CN"/>
        </w:rPr>
        <w:t>及总日历</w:t>
      </w:r>
      <w:r>
        <w:rPr>
          <w:rFonts w:hint="eastAsia" w:ascii="宋体" w:hAnsi="宋体" w:cs="宋体"/>
          <w:color w:val="auto"/>
          <w:sz w:val="24"/>
          <w:highlight w:val="none"/>
          <w:u w:val="single"/>
          <w:lang w:val="en-US" w:eastAsia="zh-CN"/>
        </w:rPr>
        <w:t>90</w:t>
      </w:r>
      <w:r>
        <w:rPr>
          <w:rFonts w:hint="eastAsia" w:ascii="宋体" w:hAnsi="宋体" w:cs="宋体"/>
          <w:color w:val="auto"/>
          <w:sz w:val="24"/>
          <w:highlight w:val="none"/>
          <w:lang w:val="en-US" w:eastAsia="zh-CN"/>
        </w:rPr>
        <w:t>天</w:t>
      </w:r>
      <w:r>
        <w:rPr>
          <w:rFonts w:hint="eastAsia" w:ascii="宋体" w:hAnsi="宋体" w:eastAsia="等线" w:cs="宋体"/>
          <w:color w:val="auto"/>
          <w:sz w:val="24"/>
          <w:szCs w:val="24"/>
          <w:highlight w:val="none"/>
          <w:lang w:val="en-US" w:eastAsia="zh-CN"/>
        </w:rPr>
        <w:t>。</w:t>
      </w:r>
      <w:r>
        <w:rPr>
          <w:rFonts w:hint="eastAsia" w:ascii="宋体" w:hAnsi="宋体" w:cs="宋体"/>
          <w:color w:val="auto"/>
          <w:sz w:val="24"/>
          <w:highlight w:val="none"/>
        </w:rPr>
        <w:t>乙方未能按合同工期竣工验收的，每逾期一天，甲方有权要求乙方按合同暂定总价的 1%支付违约金，逾期达到</w:t>
      </w:r>
      <w:r>
        <w:rPr>
          <w:rFonts w:ascii="宋体" w:hAnsi="宋体" w:cs="宋体"/>
          <w:color w:val="auto"/>
          <w:sz w:val="24"/>
          <w:highlight w:val="none"/>
          <w:u w:val="single"/>
        </w:rPr>
        <w:t>30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w:t>
      </w:r>
      <w:r>
        <w:rPr>
          <w:rFonts w:hint="eastAsia" w:ascii="宋体" w:hAnsi="宋体" w:cs="宋体"/>
          <w:bCs/>
          <w:color w:val="auto"/>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w:t>
      </w:r>
      <w:r>
        <w:rPr>
          <w:rFonts w:hint="eastAsia" w:asciiTheme="minorEastAsia" w:hAnsiTheme="minorEastAsia" w:eastAsiaTheme="minorEastAsia" w:cstheme="minorEastAsia"/>
          <w:color w:val="auto"/>
          <w:spacing w:val="-8"/>
          <w:sz w:val="24"/>
          <w:szCs w:val="24"/>
          <w:highlight w:val="none"/>
        </w:rPr>
        <w:t>6</w:t>
      </w:r>
      <w:r>
        <w:rPr>
          <w:rFonts w:hint="eastAsia" w:hAnsi="宋体" w:cs="宋体"/>
          <w:color w:val="auto"/>
          <w:spacing w:val="-8"/>
          <w:sz w:val="24"/>
          <w:szCs w:val="24"/>
          <w:highlight w:val="none"/>
        </w:rPr>
        <w:t>乙方不得随意更换项目负责人及附件6中的相关人员，如确须更换，应提前征得甲方同意。如有违反，甲方有权解除合同并要求乙方支付</w:t>
      </w:r>
      <w:r>
        <w:rPr>
          <w:rFonts w:hint="eastAsia" w:hAnsi="宋体" w:cs="宋体"/>
          <w:color w:val="auto"/>
          <w:spacing w:val="-8"/>
          <w:sz w:val="24"/>
          <w:szCs w:val="24"/>
          <w:highlight w:val="none"/>
          <w:u w:val="single"/>
        </w:rPr>
        <w:t>5000元/人次</w:t>
      </w:r>
      <w:r>
        <w:rPr>
          <w:rFonts w:hint="eastAsia" w:hAnsi="宋体" w:cs="宋体"/>
          <w:color w:val="auto"/>
          <w:spacing w:val="-8"/>
          <w:sz w:val="24"/>
          <w:szCs w:val="24"/>
          <w:highlight w:val="none"/>
        </w:rPr>
        <w:t>作为违约金，以及赔偿由此造成的一切损失(包含质量安全事故、工期延误、增加投资等)。</w:t>
      </w:r>
      <w:r>
        <w:rPr>
          <w:rFonts w:hAnsi="宋体" w:cs="宋体"/>
          <w:color w:val="auto"/>
          <w:spacing w:val="-8"/>
          <w:sz w:val="24"/>
          <w:szCs w:val="24"/>
          <w:highlight w:val="none"/>
        </w:rPr>
        <w:t xml:space="preserve">   </w:t>
      </w:r>
    </w:p>
    <w:p>
      <w:pPr>
        <w:widowControl/>
        <w:spacing w:line="500" w:lineRule="exact"/>
        <w:ind w:left="1" w:firstLine="448" w:firstLineChars="200"/>
        <w:jc w:val="left"/>
        <w:rPr>
          <w:rFonts w:ascii="宋体" w:hAnsi="宋体" w:cs="宋体"/>
          <w:color w:val="auto"/>
          <w:spacing w:val="-8"/>
          <w:sz w:val="24"/>
          <w:szCs w:val="24"/>
          <w:highlight w:val="none"/>
        </w:rPr>
      </w:pPr>
      <w:r>
        <w:rPr>
          <w:rFonts w:ascii="宋体" w:hAnsi="宋体" w:cs="宋体"/>
          <w:bCs/>
          <w:color w:val="auto"/>
          <w:spacing w:val="-8"/>
          <w:sz w:val="24"/>
          <w:szCs w:val="24"/>
          <w:highlight w:val="none"/>
        </w:rPr>
        <w:t>5.</w:t>
      </w:r>
      <w:r>
        <w:rPr>
          <w:rFonts w:hint="eastAsia" w:ascii="宋体" w:hAnsi="宋体" w:cs="宋体"/>
          <w:bCs/>
          <w:color w:val="auto"/>
          <w:spacing w:val="-8"/>
          <w:sz w:val="24"/>
          <w:szCs w:val="24"/>
          <w:highlight w:val="none"/>
        </w:rPr>
        <w:t>7施工过程中，项目负责人应驻场管理，否则甲方有权要求乙方支付违约</w:t>
      </w:r>
      <w:r>
        <w:rPr>
          <w:rFonts w:hint="eastAsia" w:ascii="宋体" w:hAnsi="宋体" w:cs="宋体"/>
          <w:bCs/>
          <w:color w:val="auto"/>
          <w:spacing w:val="-8"/>
          <w:sz w:val="24"/>
          <w:szCs w:val="24"/>
          <w:highlight w:val="none"/>
          <w:u w:val="single"/>
        </w:rPr>
        <w:t xml:space="preserve"> 1000元/天</w:t>
      </w:r>
      <w:r>
        <w:rPr>
          <w:rFonts w:hint="eastAsia" w:ascii="宋体" w:hAnsi="宋体" w:cs="宋体"/>
          <w:bCs/>
          <w:color w:val="auto"/>
          <w:spacing w:val="-8"/>
          <w:sz w:val="24"/>
          <w:szCs w:val="24"/>
          <w:highlight w:val="none"/>
        </w:rPr>
        <w:t>，因此造成损失的，按实际发生额赔偿。</w:t>
      </w:r>
    </w:p>
    <w:p>
      <w:pPr>
        <w:widowControl/>
        <w:spacing w:line="500" w:lineRule="exact"/>
        <w:ind w:left="1" w:firstLine="448" w:firstLineChars="200"/>
        <w:jc w:val="left"/>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color w:val="auto"/>
          <w:spacing w:val="-8"/>
          <w:sz w:val="24"/>
          <w:szCs w:val="24"/>
          <w:highlight w:val="none"/>
        </w:rPr>
      </w:pPr>
      <w:r>
        <w:rPr>
          <w:rFonts w:hint="eastAsia" w:ascii="宋体" w:hAnsi="宋体" w:cs="宋体"/>
          <w:color w:val="auto"/>
          <w:spacing w:val="-8"/>
          <w:sz w:val="24"/>
          <w:szCs w:val="24"/>
          <w:highlight w:val="none"/>
        </w:rPr>
        <w:t>5.9</w:t>
      </w:r>
      <w:r>
        <w:rPr>
          <w:rFonts w:hint="eastAsia" w:ascii="宋体" w:hAnsi="宋体" w:eastAsia="宋体" w:cs="宋体"/>
          <w:color w:val="auto"/>
          <w:sz w:val="24"/>
          <w:szCs w:val="24"/>
          <w:highlight w:val="none"/>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w:t>
      </w:r>
      <w:r>
        <w:rPr>
          <w:rFonts w:hint="eastAsia" w:ascii="宋体" w:hAnsi="宋体" w:cs="宋体"/>
          <w:color w:val="auto"/>
          <w:sz w:val="24"/>
          <w:highlight w:val="none"/>
          <w:u w:val="single"/>
          <w:lang w:val="en-US" w:eastAsia="zh-CN"/>
        </w:rPr>
        <w:t>1</w:t>
      </w:r>
      <w:r>
        <w:rPr>
          <w:rFonts w:ascii="宋体" w:hAnsi="宋体" w:cs="宋体"/>
          <w:color w:val="auto"/>
          <w:sz w:val="24"/>
          <w:highlight w:val="none"/>
          <w:u w:val="single"/>
        </w:rPr>
        <w:t>)</w:t>
      </w:r>
      <w:r>
        <w:rPr>
          <w:rFonts w:hint="eastAsia" w:ascii="宋体" w:hAnsi="宋体" w:cs="宋体"/>
          <w:color w:val="auto"/>
          <w:sz w:val="24"/>
          <w:highlight w:val="none"/>
        </w:rPr>
        <w:t>方式执行。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pStyle w:val="45"/>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500" w:lineRule="exact"/>
        <w:ind w:firstLine="480" w:firstLineChars="200"/>
        <w:rPr>
          <w:rFonts w:hAnsi="宋体" w:cs="宋体"/>
          <w:color w:val="auto"/>
          <w:sz w:val="24"/>
          <w:szCs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2"/>
        <w:spacing w:line="50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5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500" w:lineRule="exact"/>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
          <w:color w:val="auto"/>
          <w:sz w:val="24"/>
          <w:highlight w:val="none"/>
        </w:rPr>
        <w:sym w:font="Wingdings" w:char="00A8"/>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sym w:font="Wingdings 2" w:char="0052"/>
      </w:r>
      <w:r>
        <w:rPr>
          <w:rFonts w:hint="eastAsia" w:ascii="Segoe UI Symbol" w:hAnsi="Segoe UI Symbol" w:cs="Segoe UI Symbol"/>
          <w:bCs/>
          <w:color w:val="auto"/>
          <w:sz w:val="24"/>
          <w:highlight w:val="none"/>
        </w:rPr>
        <w:t>有</w:t>
      </w:r>
      <w:r>
        <w:rPr>
          <w:rFonts w:hint="eastAsia" w:ascii="Segoe UI Symbol" w:hAnsi="Segoe UI Symbol" w:cs="Segoe UI Symbol"/>
          <w:b/>
          <w:color w:val="auto"/>
          <w:sz w:val="24"/>
          <w:highlight w:val="none"/>
        </w:rPr>
        <w:t xml:space="preserve"> </w:t>
      </w:r>
      <w:r>
        <w:rPr>
          <w:rFonts w:hint="eastAsia" w:ascii="宋体" w:hAnsi="宋体" w:cs="宋体"/>
          <w:bCs/>
          <w:color w:val="auto"/>
          <w:sz w:val="24"/>
          <w:highlight w:val="none"/>
        </w:rPr>
        <w:t>合同签订后，乙方开具等额的增值税专用发票及提交履约担保担保（如有）</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30%</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2"/>
        <w:spacing w:line="500" w:lineRule="exact"/>
        <w:ind w:firstLine="480" w:firstLineChars="200"/>
        <w:outlineLvl w:val="1"/>
        <w:rPr>
          <w:rFonts w:hint="default" w:hAnsi="宋体" w:cs="宋体"/>
          <w:color w:val="auto"/>
          <w:sz w:val="24"/>
          <w:highlight w:val="none"/>
          <w:u w:val="single"/>
          <w:lang w:val="en-US" w:eastAsia="zh-CN"/>
        </w:rPr>
      </w:pPr>
      <w:r>
        <w:rPr>
          <w:rFonts w:hAnsi="宋体" w:cs="宋体"/>
          <w:color w:val="auto"/>
          <w:sz w:val="24"/>
          <w:szCs w:val="24"/>
          <w:highlight w:val="none"/>
        </w:rPr>
        <w:t>8.2</w:t>
      </w:r>
      <w:r>
        <w:rPr>
          <w:rFonts w:hint="eastAsia" w:hAnsi="宋体" w:cs="宋体"/>
          <w:color w:val="auto"/>
          <w:sz w:val="24"/>
          <w:szCs w:val="24"/>
          <w:highlight w:val="none"/>
        </w:rPr>
        <w:t>项目验收合格后，由乙方提交申请支付资料 15 个工作日内，甲方支付至合同暂定总价的</w:t>
      </w:r>
      <w:r>
        <w:rPr>
          <w:rFonts w:hint="eastAsia" w:hAnsi="宋体" w:cs="宋体"/>
          <w:color w:val="auto"/>
          <w:sz w:val="24"/>
          <w:szCs w:val="24"/>
          <w:highlight w:val="none"/>
          <w:u w:val="single"/>
          <w:lang w:val="en-US" w:eastAsia="zh-CN"/>
        </w:rPr>
        <w:t>80%</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rPr>
        <w:t>项目验收合同后，经甲方或甲方委托有资质第三方机构审核后，由乙方提交申请支付资料</w:t>
      </w:r>
      <w:r>
        <w:rPr>
          <w:rFonts w:hint="eastAsia" w:ascii="宋体" w:hAnsi="宋体" w:cs="宋体"/>
          <w:color w:val="auto"/>
          <w:sz w:val="24"/>
          <w:highlight w:val="none"/>
          <w:u w:val="single"/>
        </w:rPr>
        <w:t>15</w:t>
      </w:r>
      <w:r>
        <w:rPr>
          <w:rFonts w:hint="eastAsia" w:ascii="宋体" w:hAnsi="宋体" w:cs="宋体"/>
          <w:color w:val="auto"/>
          <w:sz w:val="24"/>
          <w:highlight w:val="none"/>
        </w:rPr>
        <w:t>个工作日内，甲方支付至合同结算价的</w:t>
      </w:r>
      <w:r>
        <w:rPr>
          <w:rFonts w:hint="eastAsia" w:ascii="宋体" w:hAnsi="宋体" w:cs="宋体"/>
          <w:color w:val="auto"/>
          <w:sz w:val="24"/>
          <w:highlight w:val="none"/>
          <w:lang w:val="en-US" w:eastAsia="zh-CN"/>
        </w:rPr>
        <w:t>95</w:t>
      </w:r>
      <w:r>
        <w:rPr>
          <w:rFonts w:hint="eastAsia" w:ascii="宋体" w:hAnsi="宋体" w:cs="宋体"/>
          <w:color w:val="auto"/>
          <w:sz w:val="24"/>
          <w:highlight w:val="none"/>
        </w:rPr>
        <w:t>%。</w:t>
      </w:r>
    </w:p>
    <w:p>
      <w:pPr>
        <w:spacing w:line="500" w:lineRule="exact"/>
        <w:ind w:firstLine="480" w:firstLineChars="200"/>
        <w:outlineLvl w:val="1"/>
        <w:rPr>
          <w:rFonts w:hint="eastAsia" w:hAnsi="宋体" w:cs="宋体"/>
          <w:color w:val="auto"/>
          <w:sz w:val="24"/>
          <w:highlight w:val="none"/>
          <w:u w:val="single"/>
          <w:lang w:val="en-US" w:eastAsia="zh-CN"/>
        </w:rPr>
      </w:pPr>
      <w:r>
        <w:rPr>
          <w:rFonts w:ascii="宋体" w:hAnsi="宋体" w:cs="宋体"/>
          <w:color w:val="auto"/>
          <w:sz w:val="24"/>
          <w:highlight w:val="none"/>
        </w:rPr>
        <w:t>8.2.</w:t>
      </w:r>
      <w:r>
        <w:rPr>
          <w:rFonts w:hint="eastAsia" w:ascii="宋体" w:hAnsi="宋体" w:cs="宋体"/>
          <w:color w:val="auto"/>
          <w:sz w:val="24"/>
          <w:highlight w:val="none"/>
          <w:lang w:val="en-US" w:eastAsia="zh-CN"/>
        </w:rPr>
        <w:t>1</w:t>
      </w:r>
      <w:r>
        <w:rPr>
          <w:rFonts w:hint="eastAsia" w:hAnsi="宋体" w:cs="宋体"/>
          <w:color w:val="auto"/>
          <w:sz w:val="24"/>
          <w:highlight w:val="none"/>
        </w:rPr>
        <w:t>本项目工程款的支付单位为：</w:t>
      </w:r>
      <w:r>
        <w:rPr>
          <w:rFonts w:hint="eastAsia" w:hAnsi="宋体" w:cs="宋体"/>
          <w:color w:val="auto"/>
          <w:sz w:val="24"/>
          <w:highlight w:val="none"/>
          <w:u w:val="single"/>
          <w:lang w:val="en-US" w:eastAsia="zh-CN"/>
        </w:rPr>
        <w:t>广州市净水有限公司石井分公司</w:t>
      </w:r>
    </w:p>
    <w:p>
      <w:pPr>
        <w:spacing w:line="50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u w:val="none"/>
          <w:lang w:val="en-US" w:eastAsia="zh-CN"/>
        </w:rPr>
        <w:t>8.2.2质保期按合同第十条规定执行，质保期满后且乙方不存在违约情形，由乙方提交申请质保金退还资料 15 个工作日内，由甲方属下石井分公司支付合同结算价的5％（质保金）给乙方（无息）。</w:t>
      </w:r>
    </w:p>
    <w:p>
      <w:pPr>
        <w:spacing w:line="500" w:lineRule="exact"/>
        <w:ind w:firstLine="480" w:firstLineChars="200"/>
        <w:outlineLvl w:val="1"/>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50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spacing w:line="500" w:lineRule="exact"/>
        <w:ind w:firstLine="960"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r>
        <w:rPr>
          <w:rFonts w:ascii="宋体" w:hAnsi="宋体" w:cs="宋体"/>
          <w:color w:val="auto"/>
          <w:sz w:val="24"/>
          <w:highlight w:val="none"/>
        </w:rPr>
        <w:t xml:space="preserve">                            </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Segoe UI Symbol" w:hAnsi="Segoe UI Symbol" w:cs="Segoe UI Symbol" w:eastAsiaTheme="minorEastAsia"/>
          <w:b/>
          <w:bCs/>
          <w:color w:val="auto"/>
          <w:sz w:val="24"/>
          <w:highlight w:val="none"/>
        </w:rPr>
        <w:sym w:font="Wingdings 2" w:char="00A3"/>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sym w:font="Wingdings 2" w:char="0052"/>
      </w:r>
      <w:r>
        <w:rPr>
          <w:rFonts w:hint="eastAsia" w:ascii="宋体" w:hAnsi="宋体" w:cs="宋体"/>
          <w:color w:val="auto"/>
          <w:sz w:val="24"/>
          <w:highlight w:val="none"/>
        </w:rPr>
        <w:t>有 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元（大写人民币：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1"/>
        <w:spacing w:before="0" w:beforeAutospacing="0" w:after="0" w:afterAutospacing="0" w:line="500" w:lineRule="exact"/>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1"/>
        <w:spacing w:before="0" w:beforeAutospacing="0" w:after="0" w:afterAutospacing="0" w:line="500" w:lineRule="exact"/>
        <w:ind w:firstLine="480"/>
        <w:rPr>
          <w:color w:val="auto"/>
          <w:highlight w:val="none"/>
        </w:rPr>
      </w:pPr>
      <w:r>
        <w:rPr>
          <w:rFonts w:hint="eastAsia"/>
          <w:color w:val="auto"/>
          <w:highlight w:val="none"/>
        </w:rPr>
        <w:t>（1）符合甲方要求（详见附件保函格式）的银行独立保函，</w:t>
      </w:r>
    </w:p>
    <w:p>
      <w:pPr>
        <w:pStyle w:val="21"/>
        <w:spacing w:before="0" w:beforeAutospacing="0" w:after="0" w:afterAutospacing="0" w:line="500" w:lineRule="exact"/>
        <w:ind w:firstLine="480"/>
        <w:rPr>
          <w:color w:val="auto"/>
          <w:highlight w:val="none"/>
        </w:rPr>
      </w:pPr>
      <w:r>
        <w:rPr>
          <w:rFonts w:hint="eastAsia"/>
          <w:color w:val="auto"/>
          <w:highlight w:val="none"/>
        </w:rPr>
        <w:t>（2）现金转账至甲方以下指定账户：</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rPr>
        <w:t>日内将剩余保证金（无息）返还。</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r>
        <w:rPr>
          <w:rFonts w:hint="eastAsia"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color w:val="auto"/>
          <w:sz w:val="24"/>
          <w:highlight w:val="none"/>
          <w:u w:val="single"/>
          <w:bdr w:val="single" w:color="auto" w:sz="4" w:space="0"/>
        </w:rPr>
      </w:pPr>
      <w:r>
        <w:rPr>
          <w:rFonts w:ascii="宋体" w:hAnsi="宋体" w:cs="宋体"/>
          <w:color w:val="auto"/>
          <w:sz w:val="24"/>
          <w:highlight w:val="none"/>
        </w:rPr>
        <w:t>8.6</w:t>
      </w:r>
      <w:r>
        <w:rPr>
          <w:rFonts w:hint="eastAsia" w:ascii="宋体" w:hAnsi="宋体" w:cs="宋体"/>
          <w:color w:val="auto"/>
          <w:sz w:val="24"/>
          <w:highlight w:val="none"/>
        </w:rPr>
        <w:t>付款方式：</w:t>
      </w:r>
      <w:r>
        <w:rPr>
          <w:rFonts w:hint="eastAsia" w:asciiTheme="minorEastAsia" w:hAnsiTheme="minorEastAsia" w:eastAsiaTheme="minorEastAsia" w:cstheme="minorEastAsia"/>
          <w:color w:val="auto"/>
          <w:sz w:val="24"/>
          <w:highlight w:val="none"/>
        </w:rPr>
        <w:t xml:space="preserve"> </w:t>
      </w:r>
      <w:r>
        <w:rPr>
          <w:rFonts w:ascii="Segoe UI Symbol" w:hAnsi="Segoe UI Symbol" w:cs="Segoe UI Symbol" w:eastAsiaTheme="minorEastAsia"/>
          <w:b/>
          <w:bCs/>
          <w:color w:val="auto"/>
          <w:sz w:val="24"/>
          <w:highlight w:val="none"/>
        </w:rPr>
        <w:t>☑</w:t>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u w:val="single"/>
        </w:rPr>
        <w:t xml:space="preserve"> </w:t>
      </w:r>
      <w:r>
        <w:rPr>
          <w:rFonts w:hint="eastAsia" w:ascii="宋体" w:hAnsi="宋体" w:cs="宋体"/>
          <w:color w:val="auto"/>
          <w:sz w:val="24"/>
          <w:highlight w:val="none"/>
          <w:u w:val="single"/>
        </w:rPr>
        <w:t>/</w:t>
      </w:r>
      <w:r>
        <w:rPr>
          <w:rFonts w:hint="eastAsia" w:asciiTheme="minorEastAsia" w:hAnsiTheme="minorEastAsia" w:eastAsiaTheme="minorEastAsia" w:cstheme="minorEastAsia"/>
          <w:bCs/>
          <w:color w:val="auto"/>
          <w:sz w:val="24"/>
          <w:highlight w:val="none"/>
          <w:u w:val="single"/>
          <w:bdr w:val="single" w:color="auto" w:sz="4" w:space="0"/>
        </w:rPr>
        <w:t xml:space="preserve"> </w:t>
      </w:r>
    </w:p>
    <w:p>
      <w:pPr>
        <w:pStyle w:val="12"/>
        <w:spacing w:line="500" w:lineRule="exact"/>
        <w:ind w:firstLine="482" w:firstLineChars="200"/>
        <w:outlineLvl w:val="1"/>
        <w:rPr>
          <w:rFonts w:hAnsi="宋体" w:cs="宋体"/>
          <w:b/>
          <w:bCs/>
          <w:color w:val="auto"/>
          <w:sz w:val="24"/>
          <w:highlight w:val="none"/>
        </w:rPr>
      </w:pPr>
      <w:r>
        <w:rPr>
          <w:rFonts w:hint="eastAsia" w:hAnsi="宋体" w:cs="宋体"/>
          <w:b/>
          <w:bCs/>
          <w:color w:val="auto"/>
          <w:sz w:val="24"/>
          <w:highlight w:val="none"/>
        </w:rPr>
        <w:t>第九条</w:t>
      </w:r>
      <w:r>
        <w:rPr>
          <w:rFonts w:hAnsi="宋体" w:cs="宋体"/>
          <w:b/>
          <w:bCs/>
          <w:color w:val="auto"/>
          <w:sz w:val="24"/>
          <w:highlight w:val="none"/>
        </w:rPr>
        <w:t xml:space="preserve"> </w:t>
      </w:r>
      <w:r>
        <w:rPr>
          <w:rFonts w:hint="eastAsia" w:hAnsi="宋体" w:cs="宋体"/>
          <w:b/>
          <w:bCs/>
          <w:color w:val="auto"/>
          <w:sz w:val="24"/>
          <w:highlight w:val="none"/>
        </w:rPr>
        <w:t>竣工验收</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乙方应在工程完工后30天内将经甲方审核的完整竣工资料（含竣工图）和竣工验收报告各</w:t>
      </w:r>
      <w:r>
        <w:rPr>
          <w:rFonts w:hint="eastAsia" w:ascii="宋体" w:hAnsi="宋体" w:cs="宋体"/>
          <w:color w:val="auto"/>
          <w:sz w:val="24"/>
          <w:highlight w:val="none"/>
          <w:u w:val="single"/>
        </w:rPr>
        <w:t>一式肆份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500" w:lineRule="exact"/>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int="eastAsia" w:asciiTheme="minorEastAsia" w:hAnsi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9.5本合同竣工验收结算单位为：</w:t>
      </w:r>
      <w:r>
        <w:rPr>
          <w:rFonts w:hint="eastAsia" w:asciiTheme="minorEastAsia" w:hAnsiTheme="minorEastAsia" w:cstheme="minorEastAsia"/>
          <w:color w:val="auto"/>
          <w:sz w:val="24"/>
          <w:highlight w:val="none"/>
          <w:u w:val="single"/>
          <w:lang w:val="en-US" w:eastAsia="zh-CN"/>
        </w:rPr>
        <w:t>广州市净水有限公司石井分公司</w:t>
      </w:r>
    </w:p>
    <w:p>
      <w:pPr>
        <w:pStyle w:val="13"/>
        <w:rPr>
          <w:rFonts w:hint="default"/>
          <w:color w:val="auto"/>
          <w:highlight w:val="none"/>
          <w:lang w:val="en-US" w:eastAsia="zh-CN"/>
        </w:rPr>
      </w:pPr>
    </w:p>
    <w:p>
      <w:pPr>
        <w:numPr>
          <w:ilvl w:val="0"/>
          <w:numId w:val="7"/>
        </w:numPr>
        <w:spacing w:before="120" w:after="156" w:afterLines="50"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lang w:val="en-US" w:eastAsia="zh-CN"/>
        </w:rPr>
        <w:t>1</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p>
    <w:p>
      <w:pPr>
        <w:spacing w:line="500" w:lineRule="exact"/>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合同暂定总价的10%/次</w:t>
      </w:r>
      <w:r>
        <w:rPr>
          <w:rFonts w:hint="eastAsia" w:ascii="宋体" w:hAnsi="宋体" w:cs="宋体"/>
          <w:bCs/>
          <w:color w:val="auto"/>
          <w:sz w:val="24"/>
          <w:highlight w:val="none"/>
        </w:rPr>
        <w:t>作为违约金。</w:t>
      </w:r>
    </w:p>
    <w:p>
      <w:pPr>
        <w:spacing w:before="156" w:beforeLines="50" w:after="156" w:afterLines="50" w:line="500" w:lineRule="exact"/>
        <w:ind w:firstLine="422" w:firstLineChars="175"/>
        <w:jc w:val="left"/>
        <w:rPr>
          <w:rFonts w:ascii="宋体" w:hAnsi="宋体" w:cs="宋体"/>
          <w:color w:val="auto"/>
          <w:sz w:val="24"/>
          <w:highlight w:val="none"/>
        </w:rPr>
      </w:pPr>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p>
    <w:p>
      <w:pPr>
        <w:spacing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合同生效及其他</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陆</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份，其中：甲方</w:t>
      </w:r>
      <w:r>
        <w:rPr>
          <w:rFonts w:hint="eastAsia" w:ascii="宋体" w:hAnsi="宋体" w:cs="宋体"/>
          <w:color w:val="auto"/>
          <w:sz w:val="24"/>
          <w:highlight w:val="none"/>
          <w:u w:val="single"/>
          <w:lang w:val="en-US" w:eastAsia="zh-CN"/>
        </w:rPr>
        <w:t>肆</w:t>
      </w:r>
      <w:r>
        <w:rPr>
          <w:rFonts w:hint="eastAsia" w:ascii="宋体" w:hAnsi="宋体" w:cs="宋体"/>
          <w:color w:val="auto"/>
          <w:sz w:val="24"/>
          <w:highlight w:val="none"/>
        </w:rPr>
        <w:t>份，乙方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贰</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pPr>
        <w:pStyle w:val="45"/>
        <w:spacing w:line="500" w:lineRule="exact"/>
        <w:rPr>
          <w:color w:val="auto"/>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spacing w:line="50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3.营运场所施工安全协议书</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4.防疫管理协议书</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工程量清单报价</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hint="eastAsia" w:asciiTheme="minorEastAsia" w:hAnsiTheme="minorEastAsia" w:eastAsiaTheme="minorEastAsia" w:cstheme="minorEastAsia"/>
          <w:color w:val="auto"/>
          <w:sz w:val="24"/>
          <w:highlight w:val="none"/>
        </w:rPr>
        <w:t>/应急救援物资清单</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7.不诚信行为的情形及相应被暂停参与投标活动的处理标准</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营运项目承包单位日常履约考评参照表（安全）</w:t>
      </w:r>
    </w:p>
    <w:p>
      <w:pPr>
        <w:spacing w:line="500" w:lineRule="exact"/>
        <w:ind w:left="718" w:leftChars="342" w:firstLine="0" w:firstLineChars="0"/>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营运项目承包单位综合履约考评表（安全）</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10.</w:t>
      </w:r>
      <w:r>
        <w:rPr>
          <w:rFonts w:hint="eastAsia" w:ascii="宋体" w:hAnsi="宋体" w:cs="宋体"/>
          <w:color w:val="auto"/>
          <w:sz w:val="24"/>
          <w:highlight w:val="none"/>
        </w:rPr>
        <w:t>履约保函（模板）</w:t>
      </w:r>
      <w:r>
        <w:rPr>
          <w:rFonts w:hint="eastAsia" w:ascii="宋体" w:hAnsi="宋体" w:cs="宋体"/>
          <w:color w:val="auto"/>
          <w:sz w:val="24"/>
          <w:highlight w:val="none"/>
        </w:rPr>
        <w:br w:type="textWrapping"/>
      </w:r>
      <w:r>
        <w:rPr>
          <w:rFonts w:hint="eastAsia" w:ascii="宋体" w:hAnsi="宋体" w:cs="宋体"/>
          <w:color w:val="auto"/>
          <w:sz w:val="24"/>
          <w:highlight w:val="none"/>
          <w:lang w:val="en-US" w:eastAsia="zh-CN"/>
        </w:rPr>
        <w:t>11.预付款保函</w:t>
      </w:r>
    </w:p>
    <w:p>
      <w:pPr>
        <w:pStyle w:val="45"/>
        <w:spacing w:line="500" w:lineRule="exact"/>
        <w:rPr>
          <w:rFonts w:hint="default" w:eastAsia="仿宋_GB2312"/>
          <w:color w:val="auto"/>
          <w:highlight w:val="none"/>
          <w:lang w:val="en-US" w:eastAsia="zh-CN"/>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color w:val="auto"/>
          <w:sz w:val="24"/>
          <w:highlight w:val="none"/>
        </w:rPr>
        <w:t xml:space="preserve"> （盖章）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广州市天河区临江大道501号</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经办人：</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5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500" w:lineRule="exact"/>
        <w:ind w:left="6360" w:hanging="6360" w:hangingChars="2650"/>
        <w:rPr>
          <w:rFonts w:hint="eastAsia"/>
          <w:color w:val="auto"/>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  成交通知书</w:t>
      </w:r>
    </w:p>
    <w:p>
      <w:pPr>
        <w:pStyle w:val="2"/>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广州市净水有限公司石井分公司高效池斜板大修项目（第二次）</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广州市净水有限公司石井分公司高效池斜板大修项目（第二次）合同</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穗净水合【2022】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pStyle w:val="2"/>
        <w:ind w:firstLine="0"/>
        <w:rPr>
          <w:rFonts w:hint="eastAsia" w:ascii="仿宋_GB2312" w:hAnsi="仿宋_GB2312" w:eastAsia="仿宋_GB2312" w:cs="仿宋_GB2312"/>
          <w:b w:val="0"/>
          <w:bCs/>
          <w:color w:val="auto"/>
          <w:sz w:val="28"/>
          <w:szCs w:val="28"/>
          <w:highlight w:val="none"/>
        </w:rPr>
      </w:pPr>
    </w:p>
    <w:p>
      <w:pPr>
        <w:tabs>
          <w:tab w:val="left" w:pos="4170"/>
        </w:tabs>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pStyle w:val="2"/>
        <w:ind w:firstLine="0"/>
        <w:rPr>
          <w:rFonts w:hint="eastAsia" w:ascii="宋体" w:hAnsi="宋体" w:cs="宋体"/>
          <w:b/>
          <w:color w:val="auto"/>
          <w:szCs w:val="21"/>
          <w:highlight w:val="none"/>
        </w:rPr>
      </w:pP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jc w:val="left"/>
        <w:rPr>
          <w:rStyle w:val="25"/>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lang w:val="en-US" w:eastAsia="zh-CN"/>
        </w:rPr>
        <w:t>广州市净水有限公司</w:t>
      </w:r>
      <w:r>
        <w:rPr>
          <w:rFonts w:hint="eastAsia" w:asciiTheme="minorEastAsia" w:hAnsiTheme="minorEastAsia"/>
          <w:color w:val="auto"/>
          <w:sz w:val="24"/>
          <w:highlight w:val="none"/>
          <w:u w:val="single"/>
          <w:lang w:val="en-US" w:eastAsia="zh-CN"/>
        </w:rPr>
        <w:t>石井分公司高效池斜板大修项目（第二次）合同</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b/>
          <w:color w:val="auto"/>
          <w:szCs w:val="21"/>
          <w:highlight w:val="none"/>
        </w:rPr>
      </w:pPr>
    </w:p>
    <w:p>
      <w:pPr>
        <w:pStyle w:val="2"/>
        <w:ind w:firstLine="0"/>
        <w:rPr>
          <w:rFonts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附件4：防疫管理协议书</w:t>
      </w:r>
    </w:p>
    <w:p>
      <w:pPr>
        <w:spacing w:line="440" w:lineRule="exact"/>
        <w:jc w:val="center"/>
        <w:rPr>
          <w:rFonts w:ascii="仿宋_GB2312" w:eastAsia="仿宋_GB2312"/>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防疫</w:t>
      </w:r>
      <w:r>
        <w:rPr>
          <w:rFonts w:hint="eastAsia" w:asciiTheme="minorEastAsia" w:hAnsiTheme="minorEastAsia" w:eastAsiaTheme="minorEastAsia" w:cstheme="minorEastAsia"/>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广州市净水有限公司</w:t>
      </w:r>
    </w:p>
    <w:p>
      <w:pPr>
        <w:adjustRightInd w:val="0"/>
        <w:snapToGrid w:val="0"/>
        <w:spacing w:line="440" w:lineRule="exact"/>
        <w:ind w:firstLine="480" w:firstLineChars="200"/>
        <w:jc w:val="left"/>
        <w:rPr>
          <w:rStyle w:val="25"/>
          <w:rFonts w:hint="eastAsia" w:asciiTheme="minorEastAsia" w:hAnsiTheme="minorEastAsia" w:eastAsiaTheme="minorEastAsia" w:cstheme="minorEastAsia"/>
          <w:b w:val="0"/>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Style w:val="25"/>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本协议作为</w:t>
      </w:r>
      <w:r>
        <w:rPr>
          <w:rFonts w:hint="eastAsia" w:asciiTheme="minorEastAsia" w:hAnsiTheme="minorEastAsia" w:eastAsiaTheme="minorEastAsia" w:cstheme="minorEastAsia"/>
          <w:bCs/>
          <w:color w:val="auto"/>
          <w:sz w:val="24"/>
          <w:szCs w:val="24"/>
          <w:highlight w:val="none"/>
          <w:u w:val="single"/>
          <w:lang w:val="en-US" w:eastAsia="zh-CN"/>
        </w:rPr>
        <w:t>广州市净水有限公司</w:t>
      </w:r>
      <w:r>
        <w:rPr>
          <w:rFonts w:hint="eastAsia" w:asciiTheme="minorEastAsia" w:hAnsiTheme="minorEastAsia" w:cstheme="minorEastAsia"/>
          <w:bCs/>
          <w:color w:val="auto"/>
          <w:sz w:val="24"/>
          <w:szCs w:val="24"/>
          <w:highlight w:val="none"/>
          <w:u w:val="single"/>
          <w:lang w:val="en-US" w:eastAsia="zh-CN"/>
        </w:rPr>
        <w:t>石井分公司高效池斜板大修项目（第二次）</w:t>
      </w:r>
      <w:r>
        <w:rPr>
          <w:rFonts w:hint="eastAsia" w:asciiTheme="minorEastAsia" w:hAnsiTheme="minorEastAsia" w:eastAsiaTheme="minorEastAsia" w:cstheme="minorEastAsia"/>
          <w:color w:val="auto"/>
          <w:sz w:val="24"/>
          <w:szCs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w:t>
      </w:r>
      <w:r>
        <w:rPr>
          <w:rFonts w:hint="eastAsia" w:asciiTheme="minorEastAsia" w:hAnsiTheme="minorEastAsia" w:eastAsiaTheme="minorEastAsia" w:cstheme="minorEastAsia"/>
          <w:color w:val="auto"/>
          <w:sz w:val="24"/>
          <w:szCs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（一）开展疫情防控宣传教育，提高</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（二）</w:t>
      </w:r>
      <w:r>
        <w:rPr>
          <w:rFonts w:hint="eastAsia" w:asciiTheme="minorEastAsia" w:hAnsiTheme="minorEastAsia" w:eastAsiaTheme="minorEastAsia" w:cstheme="minorEastAsia"/>
          <w:color w:val="auto"/>
          <w:sz w:val="24"/>
          <w:szCs w:val="24"/>
          <w:highlight w:val="none"/>
          <w:lang w:val="en-US" w:eastAsia="zh-CN"/>
        </w:rPr>
        <w:t>做好乙方人员防控工作管理，及时提交防疫资料，落实疫情防控备案，必要时需</w:t>
      </w:r>
      <w:r>
        <w:rPr>
          <w:rFonts w:hint="eastAsia" w:asciiTheme="minorEastAsia" w:hAnsiTheme="minorEastAsia" w:eastAsiaTheme="minorEastAsia" w:cstheme="minorEastAsia"/>
          <w:color w:val="auto"/>
          <w:kern w:val="2"/>
          <w:sz w:val="24"/>
          <w:szCs w:val="24"/>
          <w:highlight w:val="none"/>
          <w:lang w:val="en-US" w:eastAsia="zh-CN" w:bidi="ar-SA"/>
        </w:rPr>
        <w:t>编制防控管理工作方案</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（三）乙方人员须按照</w:t>
      </w:r>
      <w:r>
        <w:rPr>
          <w:rFonts w:hint="eastAsia" w:asciiTheme="minorEastAsia" w:hAnsiTheme="minorEastAsia" w:eastAsiaTheme="minorEastAsia" w:cstheme="minorEastAsia"/>
          <w:color w:val="auto"/>
          <w:kern w:val="2"/>
          <w:sz w:val="24"/>
          <w:szCs w:val="24"/>
          <w:highlight w:val="none"/>
          <w:lang w:val="en-US" w:eastAsia="zh-CN" w:bidi="ar-SA"/>
        </w:rPr>
        <w:t>甲方各厂区进厂门岗防控要求</w:t>
      </w:r>
      <w:r>
        <w:rPr>
          <w:rFonts w:hint="eastAsia" w:asciiTheme="minorEastAsia" w:hAnsiTheme="minorEastAsia" w:eastAsiaTheme="minorEastAsia" w:cstheme="minorEastAsia"/>
          <w:color w:val="auto"/>
          <w:sz w:val="24"/>
          <w:szCs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（五）各级政府、有关部门及甲方的其他</w:t>
      </w:r>
      <w:r>
        <w:rPr>
          <w:rFonts w:hint="eastAsia" w:asciiTheme="minorEastAsia" w:hAnsiTheme="minorEastAsia" w:eastAsiaTheme="minorEastAsia" w:cstheme="minorEastAsia"/>
          <w:color w:val="auto"/>
          <w:sz w:val="24"/>
          <w:szCs w:val="24"/>
          <w:highlight w:val="none"/>
          <w:lang w:val="en-US" w:eastAsia="zh-CN"/>
        </w:rPr>
        <w:t>防控要求</w:t>
      </w:r>
      <w:r>
        <w:rPr>
          <w:rFonts w:hint="eastAsia" w:asciiTheme="minorEastAsia" w:hAnsiTheme="minorEastAsia" w:eastAsiaTheme="minorEastAsia" w:cstheme="minorEastAsia"/>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p>
    <w:p>
      <w:pPr>
        <w:pStyle w:val="35"/>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、补充条款：</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本协议与合同同时签订、同时终止、同时生效，具有相同的法律效力。合同由甲乙双方签字、盖章生效。</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 xml:space="preserve">代表 （章）：                             </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代表（章）：                                                           　　              　　　　　　　</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pPr>
        <w:pStyle w:val="45"/>
        <w:rPr>
          <w:rFonts w:hAnsi="宋体"/>
          <w:b/>
          <w:bCs/>
          <w:color w:val="auto"/>
          <w:szCs w:val="21"/>
          <w:highlight w:val="none"/>
        </w:rPr>
      </w:pPr>
    </w:p>
    <w:p>
      <w:pPr>
        <w:spacing w:line="360" w:lineRule="auto"/>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4"/>
        <w:gridCol w:w="4039"/>
        <w:gridCol w:w="101"/>
        <w:gridCol w:w="1446"/>
        <w:gridCol w:w="662"/>
        <w:gridCol w:w="1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工程名称：石井分公司高效池斜板大修（2022）</w:t>
            </w:r>
          </w:p>
        </w:tc>
        <w:tc>
          <w:tcPr>
            <w:tcW w:w="872"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6"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605"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33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1188"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872"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高效池斜板大修</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12017.64</w:t>
            </w: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设备费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38" w:type="pct"/>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招标控制价合计=1+2+3+5</w:t>
            </w:r>
          </w:p>
        </w:tc>
        <w:tc>
          <w:tcPr>
            <w:tcW w:w="1188"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pStyle w:val="2"/>
        <w:rPr>
          <w:rFonts w:hint="eastAsia"/>
          <w:color w:val="auto"/>
          <w:highlight w:val="none"/>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3"/>
        <w:gridCol w:w="1329"/>
        <w:gridCol w:w="1226"/>
        <w:gridCol w:w="1984"/>
        <w:gridCol w:w="266"/>
        <w:gridCol w:w="435"/>
        <w:gridCol w:w="753"/>
        <w:gridCol w:w="92"/>
        <w:gridCol w:w="715"/>
        <w:gridCol w:w="804"/>
        <w:gridCol w:w="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工程名称：石井分公司高效池斜板大修（2022）</w:t>
            </w:r>
          </w:p>
        </w:tc>
        <w:tc>
          <w:tcPr>
            <w:tcW w:w="87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6"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3"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74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69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26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24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4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1298"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3"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3"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高效池斜板大修</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040602040002</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斜板及支撑拆除</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1.旧斜板及支架拆除</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2.应满足施工方案及现场实施要求</w:t>
            </w: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416</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040602040003</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斜板及支撑安装</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1.材料品种:PP材质</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2.厚度、规格等:660*0.5</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3.含304不锈钢支架、安全绳</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4.应满足施工方案及现场实施要求</w:t>
            </w: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416</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高效池斜板大修合计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031302007001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高层施工增加</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031301017001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脚手架搭拆费</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单价措施合计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5" w:type="pct"/>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5"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spacing w:line="360" w:lineRule="auto"/>
        <w:rPr>
          <w:rFonts w:hint="eastAsia" w:ascii="宋体" w:hAnsi="宋体" w:cs="宋体"/>
          <w:b/>
          <w:bCs/>
          <w:color w:val="auto"/>
          <w:szCs w:val="21"/>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1"/>
        <w:gridCol w:w="2030"/>
        <w:gridCol w:w="536"/>
        <w:gridCol w:w="1111"/>
        <w:gridCol w:w="735"/>
        <w:gridCol w:w="376"/>
        <w:gridCol w:w="1171"/>
        <w:gridCol w:w="85"/>
        <w:gridCol w:w="1060"/>
        <w:gridCol w:w="1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计日工表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81"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工程名称：石井分公司高效池斜板大修（2022）</w:t>
            </w:r>
          </w:p>
        </w:tc>
        <w:tc>
          <w:tcPr>
            <w:tcW w:w="872"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6"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95"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编号</w:t>
            </w:r>
          </w:p>
        </w:tc>
        <w:tc>
          <w:tcPr>
            <w:tcW w:w="114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30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62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暂定数量</w:t>
            </w:r>
          </w:p>
        </w:tc>
        <w:tc>
          <w:tcPr>
            <w:tcW w:w="62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实际数量</w:t>
            </w:r>
          </w:p>
        </w:tc>
        <w:tc>
          <w:tcPr>
            <w:tcW w:w="70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单价(元)</w:t>
            </w:r>
          </w:p>
        </w:tc>
        <w:tc>
          <w:tcPr>
            <w:tcW w:w="1198"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9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0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0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暂定</w:t>
            </w: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801" w:type="pct"/>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人工小计</w:t>
            </w: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01" w:type="pct"/>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材料小计</w:t>
            </w: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在有害身体健康环境中施工增加</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风机（2台）</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备用风机（1台）</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气体检测仪（1台）</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正压式呼吸器（1台）</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备用正压式呼吸器（1台）</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01" w:type="pct"/>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在有害身体健康环境中施工增加小计</w:t>
            </w: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01" w:type="pct"/>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4.企业管理费和利润</w:t>
            </w: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01" w:type="pct"/>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         计</w:t>
            </w:r>
          </w:p>
        </w:tc>
        <w:tc>
          <w:tcPr>
            <w:tcW w:w="59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bl>
    <w:p>
      <w:pPr>
        <w:pStyle w:val="2"/>
        <w:rPr>
          <w:rFonts w:hint="eastAsia"/>
          <w:color w:val="auto"/>
          <w:highlight w:val="none"/>
        </w:rPr>
      </w:pPr>
    </w:p>
    <w:p>
      <w:pPr>
        <w:pStyle w:val="2"/>
        <w:ind w:firstLine="0"/>
        <w:rPr>
          <w:rFonts w:hint="eastAsia"/>
          <w:color w:val="auto"/>
          <w:highlight w:val="none"/>
        </w:rPr>
      </w:pPr>
    </w:p>
    <w:p>
      <w:pPr>
        <w:spacing w:line="360" w:lineRule="auto"/>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 ：项目投入人员架构表/应急救援物资清单</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附件7 ：不诚信行为的情形及相应被暂停参与投标活动的处理标准</w:t>
      </w:r>
    </w:p>
    <w:p>
      <w:pPr>
        <w:pStyle w:val="45"/>
        <w:rPr>
          <w:rFonts w:hAnsi="宋体" w:eastAsia="宋体"/>
          <w:color w:val="auto"/>
          <w:szCs w:val="21"/>
          <w:highlight w:val="none"/>
        </w:rPr>
      </w:pPr>
    </w:p>
    <w:p>
      <w:pPr>
        <w:adjustRightInd w:val="0"/>
        <w:snapToGrid w:val="0"/>
        <w:rPr>
          <w:rFonts w:ascii="宋体" w:hAnsi="宋体" w:cs="宋体"/>
          <w:color w:val="auto"/>
          <w:sz w:val="24"/>
          <w:highlight w:val="none"/>
        </w:rPr>
      </w:pPr>
    </w:p>
    <w:p>
      <w:pPr>
        <w:adjustRightInd w:val="0"/>
        <w:snapToGrid w:val="0"/>
        <w:rPr>
          <w:rFonts w:ascii="宋体" w:hAnsi="宋体" w:cs="宋体"/>
          <w:color w:val="auto"/>
          <w:sz w:val="24"/>
          <w:highlight w:val="none"/>
        </w:rPr>
      </w:pPr>
    </w:p>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处理</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发生重伤或死亡1～2人的，暂停投标1年至2年（含）。</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发生重伤或死亡3～9人的，暂停投标2年以上至4年。</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其他不诚信</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bl>
    <w:p>
      <w:pPr>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备注：本处理标准出自《广州市净水有限公司经营建设项目参建企业不诚信行为管理办法》。</w:t>
      </w:r>
    </w:p>
    <w:p>
      <w:pPr>
        <w:pStyle w:val="2"/>
        <w:rPr>
          <w:rFonts w:hint="eastAsia" w:ascii="宋体" w:hAnsi="宋体" w:cs="仿宋_GB2312"/>
          <w:color w:val="auto"/>
          <w:sz w:val="24"/>
          <w:highlight w:val="none"/>
        </w:rPr>
      </w:pPr>
    </w:p>
    <w:p>
      <w:pPr>
        <w:pStyle w:val="2"/>
        <w:rPr>
          <w:rFonts w:hint="eastAsia" w:ascii="宋体" w:hAnsi="宋体" w:cs="仿宋_GB2312"/>
          <w:color w:val="auto"/>
          <w:sz w:val="24"/>
          <w:highlight w:val="none"/>
        </w:rPr>
      </w:pPr>
    </w:p>
    <w:p>
      <w:pPr>
        <w:pStyle w:val="2"/>
        <w:rPr>
          <w:rFonts w:hint="eastAsia" w:ascii="宋体" w:hAnsi="宋体" w:cs="仿宋_GB2312"/>
          <w:color w:val="auto"/>
          <w:sz w:val="24"/>
          <w:highlight w:val="none"/>
        </w:rPr>
      </w:pPr>
    </w:p>
    <w:p>
      <w:pPr>
        <w:pStyle w:val="2"/>
        <w:rPr>
          <w:rFonts w:hint="eastAsia" w:ascii="宋体" w:hAnsi="宋体" w:cs="仿宋_GB2312"/>
          <w:color w:val="auto"/>
          <w:sz w:val="24"/>
          <w:highlight w:val="none"/>
        </w:rPr>
      </w:pPr>
    </w:p>
    <w:p>
      <w:pPr>
        <w:pStyle w:val="2"/>
        <w:rPr>
          <w:rFonts w:hint="eastAsia" w:ascii="宋体" w:hAnsi="宋体" w:cs="仿宋_GB2312"/>
          <w:color w:val="auto"/>
          <w:sz w:val="24"/>
          <w:highlight w:val="none"/>
        </w:rPr>
      </w:pPr>
    </w:p>
    <w:p>
      <w:pPr>
        <w:spacing w:line="360" w:lineRule="auto"/>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附件8</w:t>
      </w:r>
      <w:r>
        <w:rPr>
          <w:rFonts w:hint="eastAsia" w:ascii="宋体" w:hAnsi="宋体" w:cs="宋体"/>
          <w:b/>
          <w:bCs/>
          <w:color w:val="auto"/>
          <w:sz w:val="21"/>
          <w:szCs w:val="21"/>
          <w:highlight w:val="none"/>
        </w:rPr>
        <w:t>营运项目承包单位日常履约考评参照表（安全）</w:t>
      </w:r>
    </w:p>
    <w:tbl>
      <w:tblPr>
        <w:tblStyle w:val="22"/>
        <w:tblpPr w:leftFromText="180" w:rightFromText="180" w:vertAnchor="text" w:horzAnchor="page" w:tblpX="1421" w:tblpY="536"/>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numPr>
                <w:ilvl w:val="0"/>
                <w:numId w:val="3"/>
              </w:numPr>
              <w:ind w:left="643" w:hanging="260" w:hangingChars="200"/>
              <w:rPr>
                <w:rFonts w:hint="eastAsia"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spacing w:line="360" w:lineRule="auto"/>
              <w:ind w:firstLine="0" w:firstLineChars="0"/>
              <w:jc w:val="left"/>
              <w:rPr>
                <w:rFonts w:hint="eastAsia" w:ascii="宋体" w:hAnsi="宋体" w:cs="宋体"/>
                <w:b/>
                <w:bCs/>
                <w:color w:val="auto"/>
                <w:sz w:val="21"/>
                <w:szCs w:val="21"/>
                <w:highlight w:val="none"/>
              </w:rPr>
            </w:pPr>
            <w:r>
              <w:rPr>
                <w:rFonts w:hint="eastAsia" w:ascii="宋体" w:hAnsi="宋体" w:cs="宋体"/>
                <w:b/>
                <w:bCs/>
                <w:color w:val="auto"/>
                <w:szCs w:val="21"/>
                <w:highlight w:val="none"/>
                <w:lang w:val="en-US" w:eastAsia="zh-CN"/>
              </w:rPr>
              <w:t>附件9</w:t>
            </w:r>
            <w:r>
              <w:rPr>
                <w:rFonts w:hint="eastAsia" w:ascii="宋体" w:hAnsi="宋体" w:cs="宋体"/>
                <w:b/>
                <w:bCs/>
                <w:color w:val="auto"/>
                <w:sz w:val="21"/>
                <w:szCs w:val="21"/>
                <w:highlight w:val="none"/>
              </w:rPr>
              <w:t>营运项目承包单位综合履约考评表（安全）</w:t>
            </w:r>
          </w:p>
          <w:p>
            <w:pPr>
              <w:pStyle w:val="2"/>
              <w:ind w:firstLine="0"/>
              <w:rPr>
                <w:rFonts w:hint="default" w:eastAsia="仿宋_GB2312"/>
                <w:color w:val="auto"/>
                <w:highlight w:val="none"/>
                <w:lang w:val="en-US" w:eastAsia="zh-CN"/>
              </w:rPr>
            </w:pPr>
          </w:p>
        </w:tc>
      </w:tr>
    </w:tbl>
    <w:p>
      <w:pPr>
        <w:tabs>
          <w:tab w:val="left" w:pos="673"/>
        </w:tabs>
        <w:jc w:val="left"/>
        <w:rPr>
          <w:rFonts w:hint="default"/>
          <w:color w:val="auto"/>
          <w:highlight w:val="none"/>
          <w:lang w:val="en-US" w:eastAsia="zh-CN"/>
        </w:rPr>
      </w:pPr>
    </w:p>
    <w:p>
      <w:pPr>
        <w:pStyle w:val="2"/>
        <w:ind w:left="0" w:leftChars="0" w:firstLine="0" w:firstLineChars="0"/>
        <w:rPr>
          <w:rFonts w:ascii="宋体" w:hAnsi="宋体" w:cs="宋体"/>
          <w:b/>
          <w:bCs/>
          <w:color w:val="auto"/>
          <w:sz w:val="24"/>
          <w:szCs w:val="24"/>
          <w:highlight w:val="none"/>
        </w:rPr>
      </w:pPr>
    </w:p>
    <w:tbl>
      <w:tblPr>
        <w:tblStyle w:val="22"/>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color w:val="auto"/>
                <w:highlight w:val="none"/>
              </w:rPr>
            </w:pPr>
          </w:p>
        </w:tc>
      </w:tr>
    </w:tbl>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：履约保函（模板）</w:t>
      </w:r>
    </w:p>
    <w:p>
      <w:pPr>
        <w:jc w:val="center"/>
        <w:rPr>
          <w:rFonts w:asciiTheme="minorEastAsia" w:hAnsiTheme="minorEastAsia"/>
          <w:b/>
          <w:color w:val="auto"/>
          <w:sz w:val="24"/>
          <w:highlight w:val="none"/>
        </w:rPr>
      </w:pPr>
      <w:r>
        <w:rPr>
          <w:rFonts w:hint="eastAsia" w:asciiTheme="minorEastAsia" w:hAnsiTheme="minorEastAsia"/>
          <w:b/>
          <w:color w:val="auto"/>
          <w:sz w:val="24"/>
          <w:highlight w:val="none"/>
        </w:rPr>
        <w:t>履约保函模板</w:t>
      </w:r>
    </w:p>
    <w:p>
      <w:pPr>
        <w:rPr>
          <w:rFonts w:asciiTheme="minorEastAsia" w:hAnsiTheme="minorEastAsia"/>
          <w:color w:val="auto"/>
          <w:sz w:val="24"/>
          <w:highlight w:val="none"/>
        </w:rPr>
      </w:pPr>
    </w:p>
    <w:p>
      <w:pPr>
        <w:rPr>
          <w:rFonts w:asciiTheme="minorEastAsia" w:hAnsiTheme="minorEastAsia"/>
          <w:color w:val="auto"/>
          <w:sz w:val="24"/>
          <w:highlight w:val="none"/>
        </w:rPr>
      </w:pPr>
      <w:r>
        <w:rPr>
          <w:rFonts w:hint="eastAsia" w:asciiTheme="minorEastAsia" w:hAnsiTheme="minorEastAsia"/>
          <w:color w:val="auto"/>
          <w:sz w:val="24"/>
          <w:highlight w:val="none"/>
        </w:rPr>
        <w:t>致：</w:t>
      </w:r>
      <w:r>
        <w:rPr>
          <w:rFonts w:hint="eastAsia" w:asciiTheme="minorEastAsia" w:hAnsiTheme="minorEastAsia"/>
          <w:color w:val="auto"/>
          <w:sz w:val="24"/>
          <w:highlight w:val="none"/>
          <w:u w:val="single"/>
        </w:rPr>
        <w:t xml:space="preserve">               （受益人）</w:t>
      </w:r>
      <w:r>
        <w:rPr>
          <w:rFonts w:asciiTheme="minorEastAsia" w:hAnsiTheme="minorEastAsia"/>
          <w:color w:val="auto"/>
          <w:sz w:val="24"/>
          <w:highlight w:val="none"/>
        </w:rPr>
        <w:br w:type="textWrapping"/>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鉴于（以下简称“委托人”）与贵方于</w:t>
      </w:r>
      <w:r>
        <w:rPr>
          <w:rFonts w:hint="eastAsia" w:asciiTheme="minorEastAsia" w:hAnsiTheme="minorEastAsia"/>
          <w:color w:val="auto"/>
          <w:sz w:val="24"/>
          <w:highlight w:val="none"/>
          <w:u w:val="single"/>
        </w:rPr>
        <w:t xml:space="preserve">   年  月  日</w:t>
      </w:r>
      <w:r>
        <w:rPr>
          <w:rFonts w:hint="eastAsia" w:asciiTheme="minorEastAsia" w:hAnsiTheme="minorEastAsia"/>
          <w:color w:val="auto"/>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二、贵单位的索赔申请应符合下述条件：</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（一）贵单位法定代表人或其授权代表签字并加盖单位公章；</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（二）在保函有效期内送达我行；</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（三）明确的索赔金额（不得超过本保函第一条所列之限额）。</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三、本保函自签发之日起生效，有效期至</w:t>
      </w:r>
      <w:r>
        <w:rPr>
          <w:rFonts w:hint="eastAsia" w:asciiTheme="minorEastAsia" w:hAnsiTheme="minorEastAsia"/>
          <w:color w:val="auto"/>
          <w:sz w:val="24"/>
          <w:highlight w:val="none"/>
          <w:u w:val="single"/>
        </w:rPr>
        <w:t xml:space="preserve">  年  月  日</w:t>
      </w:r>
      <w:r>
        <w:rPr>
          <w:rFonts w:hint="eastAsia" w:asciiTheme="minorEastAsia" w:hAnsiTheme="minorEastAsia"/>
          <w:color w:val="auto"/>
          <w:sz w:val="24"/>
          <w:highlight w:val="none"/>
        </w:rPr>
        <w:t>。本保函于下述任一事项发生之时立即失效，我行在本保函项下的保证义务即刻解除：</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（一）本保函有效期限届满；</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（二）我行保证的义务履行完毕。</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五、我行向你方支付索赔金额后，本保函担保金额即按贵方通知的索赔金额予以递减。</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六、保函失效后请将保函退回我行注销，无论正本最终退回与否，不影响本保函依上述约定自动失效。</w:t>
      </w:r>
    </w:p>
    <w:p>
      <w:pPr>
        <w:ind w:firstLine="420"/>
        <w:rPr>
          <w:rFonts w:asciiTheme="minorEastAsia" w:hAnsiTheme="minorEastAsia"/>
          <w:color w:val="auto"/>
          <w:sz w:val="24"/>
          <w:highlight w:val="none"/>
        </w:rPr>
      </w:pPr>
    </w:p>
    <w:p>
      <w:pPr>
        <w:ind w:firstLine="420"/>
        <w:rPr>
          <w:rFonts w:asciiTheme="minorEastAsia" w:hAnsiTheme="minorEastAsia"/>
          <w:color w:val="auto"/>
          <w:sz w:val="24"/>
          <w:highlight w:val="none"/>
        </w:rPr>
      </w:pP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 xml:space="preserve">                                                   落款</w:t>
      </w:r>
    </w:p>
    <w:p>
      <w:pPr>
        <w:ind w:firstLine="420"/>
        <w:rPr>
          <w:rFonts w:asciiTheme="minorEastAsia" w:hAnsiTheme="minorEastAsia"/>
          <w:color w:val="auto"/>
          <w:sz w:val="24"/>
          <w:highlight w:val="none"/>
        </w:rPr>
      </w:pPr>
    </w:p>
    <w:p>
      <w:pPr>
        <w:ind w:firstLine="645"/>
        <w:rPr>
          <w:rFonts w:asciiTheme="minorEastAsia" w:hAnsiTheme="minorEastAsia"/>
          <w:color w:val="auto"/>
          <w:sz w:val="24"/>
          <w:highlight w:val="none"/>
        </w:rPr>
      </w:pPr>
      <w:r>
        <w:rPr>
          <w:rFonts w:hint="eastAsia" w:asciiTheme="minorEastAsia" w:hAnsiTheme="minorEastAsia"/>
          <w:color w:val="auto"/>
          <w:sz w:val="24"/>
          <w:highlight w:val="none"/>
        </w:rPr>
        <w:t>保函说明：</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保函不得有下列或类似含义的表述：</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1.银行承担的为连带责任保证、一般保证。</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2.未经银行书面同意，受益人与申请人修改合同或其项下附件时，银行的保证义务解除。</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3.合同撤销或无效的，保函失效。</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4.申请人对受益人的抗辩，银行有权向受益人主张。</w:t>
      </w:r>
    </w:p>
    <w:p>
      <w:pPr>
        <w:spacing w:line="360" w:lineRule="auto"/>
        <w:rPr>
          <w:rFonts w:ascii="宋体" w:hAnsi="宋体" w:cs="宋体"/>
          <w:b/>
          <w:bCs/>
          <w:color w:val="auto"/>
          <w:szCs w:val="21"/>
          <w:highlight w:val="none"/>
        </w:rPr>
      </w:pPr>
      <w:r>
        <w:rPr>
          <w:rFonts w:hint="eastAsia" w:cs="仿宋_GB2312" w:asciiTheme="minorEastAsia" w:hAnsiTheme="minorEastAsia"/>
          <w:color w:val="auto"/>
          <w:sz w:val="24"/>
          <w:highlight w:val="none"/>
        </w:rPr>
        <w:t>5.受益人请求付款的请款单据包含法院裁判文书、仲裁裁决、第三方单位出具的鉴定书等申请人违约的证明材料。</w:t>
      </w:r>
      <w:r>
        <w:rPr>
          <w:rFonts w:hint="eastAsia" w:cs="仿宋_GB2312" w:asciiTheme="minorEastAsia" w:hAnsiTheme="minorEastAsia"/>
          <w:color w:val="auto"/>
          <w:sz w:val="24"/>
          <w:highlight w:val="none"/>
        </w:rPr>
        <w:br w:type="textWrapping"/>
      </w: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rPr>
        <w:t>：预付款保函（格式）</w:t>
      </w:r>
    </w:p>
    <w:p>
      <w:pPr>
        <w:pStyle w:val="45"/>
        <w:numPr>
          <w:ilvl w:val="255"/>
          <w:numId w:val="0"/>
        </w:numPr>
        <w:jc w:val="center"/>
        <w:rPr>
          <w:rFonts w:hAnsi="宋体" w:eastAsia="宋体"/>
          <w:color w:val="auto"/>
          <w:highlight w:val="none"/>
        </w:rPr>
      </w:pPr>
    </w:p>
    <w:p>
      <w:pPr>
        <w:pStyle w:val="45"/>
        <w:numPr>
          <w:ilvl w:val="255"/>
          <w:numId w:val="0"/>
        </w:numPr>
        <w:jc w:val="center"/>
        <w:rPr>
          <w:rFonts w:hAnsi="宋体" w:eastAsia="宋体"/>
          <w:color w:val="auto"/>
          <w:highlight w:val="none"/>
        </w:rPr>
      </w:pPr>
    </w:p>
    <w:p>
      <w:pPr>
        <w:pStyle w:val="45"/>
        <w:numPr>
          <w:ilvl w:val="255"/>
          <w:numId w:val="0"/>
        </w:numPr>
        <w:jc w:val="center"/>
        <w:rPr>
          <w:rFonts w:hAnsi="宋体" w:eastAsia="宋体"/>
          <w:color w:val="auto"/>
          <w:highlight w:val="none"/>
        </w:rPr>
      </w:pPr>
      <w:r>
        <w:rPr>
          <w:rFonts w:hint="eastAsia" w:hAnsi="宋体" w:eastAsia="宋体"/>
          <w:color w:val="auto"/>
          <w:highlight w:val="none"/>
        </w:rPr>
        <w:t>预付款保函模板</w:t>
      </w:r>
    </w:p>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（受益人）</w:t>
      </w:r>
    </w:p>
    <w:p>
      <w:pPr>
        <w:rPr>
          <w:rFonts w:ascii="宋体" w:hAnsi="宋体" w:cs="宋体"/>
          <w:color w:val="auto"/>
          <w:sz w:val="24"/>
          <w:highlight w:val="none"/>
        </w:rPr>
      </w:pPr>
    </w:p>
    <w:p>
      <w:pPr>
        <w:ind w:firstLine="240" w:firstLineChars="100"/>
        <w:rPr>
          <w:rFonts w:ascii="宋体" w:hAnsi="宋体" w:cs="宋体"/>
          <w:color w:val="auto"/>
          <w:sz w:val="24"/>
          <w:highlight w:val="none"/>
        </w:rPr>
      </w:pPr>
      <w:r>
        <w:rPr>
          <w:rFonts w:hint="eastAsia" w:ascii="宋体" w:hAnsi="宋体" w:cs="宋体"/>
          <w:color w:val="auto"/>
          <w:sz w:val="24"/>
          <w:highlight w:val="none"/>
        </w:rPr>
        <w:t>鉴于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（以下简称“委托人”）与你方于</w:t>
      </w:r>
      <w:r>
        <w:rPr>
          <w:rFonts w:hint="eastAsia" w:ascii="宋体" w:hAnsi="宋体" w:cs="宋体"/>
          <w:color w:val="auto"/>
          <w:sz w:val="24"/>
          <w:highlight w:val="none"/>
          <w:u w:val="single"/>
        </w:rPr>
        <w:t xml:space="preserve">   年  月  日</w:t>
      </w:r>
      <w:r>
        <w:rPr>
          <w:rFonts w:hint="eastAsia" w:ascii="宋体" w:hAnsi="宋体" w:cs="宋体"/>
          <w:color w:val="auto"/>
          <w:sz w:val="24"/>
          <w:highlight w:val="none"/>
        </w:rPr>
        <w:t>签订了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（以下简称“合同”），你方将按上述基础交易合同约定向委托人支付预付款人民币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）。我行接受委托人的申请，特此开立以你方为受益人的最高金额为人民币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）（以下称“保函金额”）的保函。</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一、本保函为不可撤销、见索即付的独立保函。</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二、在本保函的有效期内，如委托人违反上述基础交易合同约定的义务而未向你方退还预付款，我行将在收到你方提交的符合下述要求的索赔通知书后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日内，以上述保函金额为限向你方支付相应款项。</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（一）索赔通知书须写明请求付款的金额，并声明该款项并未由委托人或其代理人直接或间接地支付给你方；</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（二）索赔通知书应由你方法定代表人签  字并加盖公章；</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（三）索赔通知书必须于本保函有效期截止日前送达我行。</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三、合同的任何修改、变更、解释或不可执行都不能削弱或免除我行按本保函应承担的义务。</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本保函金额将随我行已向你方支付的金额而自动作相应递减。</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四、本保函未经我行书面同意不得转让。</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五、本保函自签发之日起生效，有效期至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止。在上述期限内若累计赔偿额达到前述保函金额，本保函提前失效。本保函到期后，无论保函原件是否退回我行，皆告失效。</w:t>
      </w:r>
    </w:p>
    <w:p>
      <w:pPr>
        <w:spacing w:line="40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 xml:space="preserve"> </w:t>
      </w:r>
    </w:p>
    <w:p>
      <w:pPr>
        <w:pStyle w:val="2"/>
        <w:rPr>
          <w:rFonts w:hint="default"/>
          <w:color w:val="auto"/>
          <w:highlight w:val="none"/>
          <w:lang w:val="en-US" w:eastAsia="zh-CN"/>
        </w:rPr>
      </w:pPr>
      <w:r>
        <w:rPr>
          <w:rFonts w:hint="eastAsia" w:ascii="宋体" w:hAnsi="宋体" w:cs="宋体"/>
          <w:b/>
          <w:color w:val="auto"/>
          <w:sz w:val="24"/>
          <w:highlight w:val="none"/>
        </w:rPr>
        <w:t>备注：</w:t>
      </w:r>
      <w:r>
        <w:rPr>
          <w:rFonts w:hint="eastAsia" w:ascii="宋体" w:hAnsi="宋体" w:cs="宋体"/>
          <w:color w:val="auto"/>
          <w:sz w:val="24"/>
          <w:highlight w:val="none"/>
        </w:rPr>
        <w:t>本预付款担保格式可采用经甲方认可的其他格式，但相关内容不得违背合同文件约定的实质性内容。</w:t>
      </w:r>
    </w:p>
    <w:p>
      <w:pPr>
        <w:pStyle w:val="2"/>
        <w:ind w:firstLine="0"/>
        <w:rPr>
          <w:rFonts w:ascii="仿宋_GB2312" w:eastAsia="仿宋_GB2312"/>
          <w:color w:val="auto"/>
          <w:sz w:val="28"/>
          <w:szCs w:val="28"/>
          <w:highlight w:val="none"/>
        </w:rPr>
      </w:pPr>
    </w:p>
    <w:p>
      <w:pPr>
        <w:pStyle w:val="4"/>
        <w:rPr>
          <w:rFonts w:hint="eastAsia"/>
          <w:color w:val="auto"/>
          <w:highlight w:val="none"/>
        </w:rPr>
      </w:pPr>
      <w:bookmarkStart w:id="85" w:name="_Toc5129"/>
      <w:bookmarkStart w:id="86" w:name="_Toc30824"/>
      <w:bookmarkStart w:id="87" w:name="_Toc12169"/>
      <w:bookmarkStart w:id="88" w:name="_Toc1563"/>
      <w:bookmarkStart w:id="89" w:name="_Toc21847"/>
      <w:bookmarkStart w:id="90" w:name="_Toc3723"/>
      <w:bookmarkStart w:id="91" w:name="_Toc23515"/>
      <w:bookmarkStart w:id="92" w:name="_Toc6230"/>
      <w:bookmarkStart w:id="93" w:name="_Toc16552"/>
      <w:bookmarkStart w:id="94" w:name="_Toc8147"/>
      <w:bookmarkStart w:id="95" w:name="_Toc28358"/>
    </w:p>
    <w:p>
      <w:pPr>
        <w:pStyle w:val="4"/>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586740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46.2pt;height:0pt;width:75.5pt;z-index:251666432;mso-width-relative:page;mso-height-relative:page;" filled="f" stroked="t" coordsize="21600,21600" o:gfxdata="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V5ce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2299970</wp:posOffset>
                </wp:positionH>
                <wp:positionV relativeFrom="paragraph">
                  <wp:posOffset>41910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1.1pt;margin-top:3.3pt;height:0pt;width:75.5pt;z-index:251665408;mso-width-relative:page;mso-height-relative:page;" filled="f" stroked="t" coordsize="21600,21600" o:gfxdata="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afxh7UAAAABwEAAA8AAAAAAAAAAQAgAAAAIgAAAGRycy9kb3ducmV2LnhtbFBLAQIUABQAAAAI&#10;AIdO4kBCwcCZ8QEAAOM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5"/>
        <w:rPr>
          <w:color w:val="auto"/>
          <w:highlight w:val="none"/>
        </w:rPr>
      </w:pPr>
    </w:p>
    <w:p>
      <w:pPr>
        <w:pStyle w:val="4"/>
        <w:rPr>
          <w:color w:val="auto"/>
          <w:highlight w:val="none"/>
        </w:rPr>
      </w:pPr>
      <w:bookmarkStart w:id="96" w:name="_Toc30157"/>
      <w:bookmarkStart w:id="97" w:name="_Toc12769"/>
      <w:bookmarkStart w:id="98" w:name="_Toc24490"/>
      <w:bookmarkStart w:id="99" w:name="_Toc24815"/>
      <w:bookmarkStart w:id="100" w:name="_Toc21675"/>
      <w:bookmarkStart w:id="101" w:name="_Toc5342"/>
      <w:bookmarkStart w:id="102" w:name="_Toc88209951"/>
      <w:bookmarkStart w:id="103" w:name="_Toc12610"/>
      <w:bookmarkStart w:id="104" w:name="_Toc17119"/>
      <w:bookmarkStart w:id="105" w:name="_Toc22764"/>
      <w:bookmarkStart w:id="106" w:name="_Toc10840"/>
      <w:bookmarkStart w:id="107" w:name="_Toc87616388"/>
      <w:bookmarkStart w:id="108" w:name="_Toc31564"/>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eastAsia="zh-CN"/>
        </w:rPr>
      </w:pPr>
      <w:r>
        <w:rPr>
          <w:rFonts w:hint="eastAsia" w:ascii="方正小标宋简体" w:eastAsia="方正小标宋简体"/>
          <w:color w:val="auto"/>
          <w:sz w:val="52"/>
          <w:szCs w:val="52"/>
          <w:highlight w:val="none"/>
          <w:lang w:val="en-US" w:eastAsia="zh-CN"/>
        </w:rPr>
        <w:t>广州市净水有限公司石井分公司高效池斜板大修项目（第二次）</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8209952"/>
      <w:bookmarkStart w:id="110" w:name="_Toc87616389"/>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8209956"/>
      <w:bookmarkStart w:id="11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5" w:name="_Toc28619645"/>
      <w:bookmarkStart w:id="116" w:name="_Toc88209957"/>
      <w:bookmarkStart w:id="117" w:name="_Toc12665"/>
      <w:bookmarkStart w:id="118" w:name="_Toc87616394"/>
      <w:bookmarkStart w:id="119" w:name="_Toc6313"/>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87616395"/>
      <w:bookmarkStart w:id="121" w:name="_Toc29833"/>
      <w:bookmarkStart w:id="122" w:name="_Toc22527"/>
      <w:bookmarkStart w:id="123"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771900" cy="1139190"/>
                <wp:effectExtent l="4445" t="5080" r="14605" b="1778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89.7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Pvfj/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0"/>
        <w:rPr>
          <w:rFonts w:ascii="仿宋_GB2312" w:eastAsia="仿宋_GB2312"/>
          <w:color w:val="auto"/>
          <w:sz w:val="18"/>
          <w:szCs w:val="18"/>
          <w:highlight w:val="none"/>
        </w:rPr>
      </w:pPr>
      <w:r>
        <w:rPr>
          <w:rFonts w:hint="eastAsia" w:ascii="仿宋_GB2312" w:hAnsi="宋体" w:eastAsia="仿宋_GB2312"/>
          <w:color w:val="auto"/>
          <w:kern w:val="0"/>
          <w:sz w:val="18"/>
          <w:szCs w:val="18"/>
          <w:highlight w:val="none"/>
        </w:rPr>
        <w:t>注：法定代表人证明书亦可采用工商行政管理局统一制订的格式。</w:t>
      </w:r>
    </w:p>
    <w:p>
      <w:pPr>
        <w:spacing w:line="360" w:lineRule="auto"/>
        <w:rPr>
          <w:rFonts w:hint="eastAsia" w:ascii="宋体" w:hAnsi="宋体" w:cs="宋体"/>
          <w:color w:val="auto"/>
          <w:kern w:val="0"/>
          <w:sz w:val="28"/>
          <w:szCs w:val="28"/>
          <w:highlight w:val="none"/>
        </w:rPr>
      </w:pPr>
    </w:p>
    <w:p>
      <w:pPr>
        <w:spacing w:line="360" w:lineRule="auto"/>
        <w:rPr>
          <w:color w:val="auto"/>
          <w:highlight w:val="none"/>
        </w:rPr>
      </w:pP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bookmarkStart w:id="124" w:name="_Toc19830"/>
      <w:bookmarkStart w:id="125" w:name="_Toc88209963"/>
      <w:bookmarkStart w:id="126" w:name="_Toc87616400"/>
      <w:bookmarkStart w:id="127"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bookmarkStart w:id="128" w:name="_Hlk59025866"/>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广州市净水有限公司石井分公司高效池斜板大修项目（第二次）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29" w:name="_Toc19423"/>
      <w:bookmarkStart w:id="130"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9"/>
      <w:bookmarkEnd w:id="130"/>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2"/>
        <w:gridCol w:w="4038"/>
        <w:gridCol w:w="101"/>
        <w:gridCol w:w="1445"/>
        <w:gridCol w:w="662"/>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工程名称：石井分公司高效池斜板大修（2022）</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604"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33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1187"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876"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高效池斜板大修</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12017.64</w:t>
            </w: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设备费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36" w:type="pct"/>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招标控制价合计=1+2+3+5</w:t>
            </w:r>
          </w:p>
        </w:tc>
        <w:tc>
          <w:tcPr>
            <w:tcW w:w="1187"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pStyle w:val="2"/>
        <w:rPr>
          <w:rFonts w:hint="eastAsia"/>
          <w:color w:val="auto"/>
          <w:highlight w:val="none"/>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9"/>
        <w:gridCol w:w="1327"/>
        <w:gridCol w:w="1225"/>
        <w:gridCol w:w="1988"/>
        <w:gridCol w:w="261"/>
        <w:gridCol w:w="435"/>
        <w:gridCol w:w="753"/>
        <w:gridCol w:w="98"/>
        <w:gridCol w:w="717"/>
        <w:gridCol w:w="804"/>
        <w:gridCol w:w="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9"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工程名称：石井分公司高效池斜板大修（2022）</w:t>
            </w:r>
          </w:p>
        </w:tc>
        <w:tc>
          <w:tcPr>
            <w:tcW w:w="87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8"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1"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74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69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26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24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4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1303"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32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6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8"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6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8"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高效池斜板大修</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040602040002</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斜板及支撑拆除</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1.旧斜板及支架拆除</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2.应满足施工方案及现场实施要求</w:t>
            </w: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416</w:t>
            </w: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040602040003</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斜板及支撑安装</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1.材料品种:PP材质</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2.厚度、规格等:660*0.5</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3.含304不锈钢支架、安全绳</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4.应满足施工方案及现场实施要求</w:t>
            </w: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416</w:t>
            </w: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高效池斜板大修合计</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031302007001</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高层施工增加</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031301017001</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脚手架搭拆费</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单价措施合计</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4" w:type="pct"/>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4"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spacing w:line="360" w:lineRule="auto"/>
        <w:rPr>
          <w:rFonts w:hint="eastAsia" w:ascii="宋体" w:hAnsi="宋体" w:cs="宋体"/>
          <w:b/>
          <w:bCs/>
          <w:color w:val="auto"/>
          <w:szCs w:val="21"/>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9"/>
        <w:gridCol w:w="2029"/>
        <w:gridCol w:w="536"/>
        <w:gridCol w:w="1109"/>
        <w:gridCol w:w="738"/>
        <w:gridCol w:w="371"/>
        <w:gridCol w:w="1175"/>
        <w:gridCol w:w="87"/>
        <w:gridCol w:w="1060"/>
        <w:gridCol w:w="1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计日工表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0"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工程名称：石井分公司高效池斜板大修（2022）</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7"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编号</w:t>
            </w:r>
          </w:p>
        </w:tc>
        <w:tc>
          <w:tcPr>
            <w:tcW w:w="11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30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62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暂定数量</w:t>
            </w:r>
          </w:p>
        </w:tc>
        <w:tc>
          <w:tcPr>
            <w:tcW w:w="62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实际数量</w:t>
            </w:r>
          </w:p>
        </w:tc>
        <w:tc>
          <w:tcPr>
            <w:tcW w:w="70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单价(元)</w:t>
            </w:r>
          </w:p>
        </w:tc>
        <w:tc>
          <w:tcPr>
            <w:tcW w:w="119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0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0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暂定</w:t>
            </w: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00" w:type="pct"/>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人工小计</w:t>
            </w: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800" w:type="pct"/>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材料小计</w:t>
            </w: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在有害身体健康环境中施工增加</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风机（2台）</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备用风机（1台）</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气体检测仪（1台）</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正压式呼吸器（1台）</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备用正压式呼吸器（1台）</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00" w:type="pct"/>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在有害身体健康环境中施工增加小计</w:t>
            </w: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00" w:type="pct"/>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4.企业管理费和利润</w:t>
            </w: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00" w:type="pct"/>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         计</w:t>
            </w:r>
          </w:p>
        </w:tc>
        <w:tc>
          <w:tcPr>
            <w:tcW w:w="59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pStyle w:val="6"/>
        <w:rPr>
          <w:rFonts w:asciiTheme="majorEastAsia" w:hAnsiTheme="majorEastAsia" w:eastAsiaTheme="majorEastAsia"/>
          <w:color w:val="auto"/>
          <w:sz w:val="28"/>
          <w:szCs w:val="28"/>
          <w:highlight w:val="none"/>
        </w:rPr>
      </w:pPr>
      <w:bookmarkStart w:id="131" w:name="_Toc6058"/>
      <w:bookmarkStart w:id="132" w:name="_Toc87616402"/>
      <w:bookmarkStart w:id="133" w:name="_Toc88209965"/>
      <w:bookmarkStart w:id="134"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highlight w:val="none"/>
        </w:rPr>
      </w:pPr>
    </w:p>
    <w:sectPr>
      <w:footerReference r:id="rId5" w:type="default"/>
      <w:pgSz w:w="11906" w:h="16838"/>
      <w:pgMar w:top="2098" w:right="1474" w:bottom="1985"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BZC8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OVrShy3OPHzzx/nX3/Ov7+T&#10;t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YFkL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oEPsgBAACb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q5eUOG5x4pfv3y4/fl1+fiXL&#10;IlAfoMa8h4CZaXjjB1ybLFz2Azoz70FFm7/IiGAc5T1f5ZVDIiI/Wq/W6wpDAmPzBXHY7XmIkN5K&#10;b0k2GhpxfkVWfnoPaUydU3I15++1MWWGxv3lQMzsYbces5WG/TA1vvftGfn0OPqGOtx0Ssw7h8rm&#10;LZmNOBv72TiGqA9dWaNcD8LrY8ImSm+5wgg7FcaZFXbTfuWl+PNesm7/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9aBD7IAQAAmw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8dRJ8cBAACa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FOIaoD33ZolwPwutjwiZKb7nCBDsXxpEVdvN65Z34816yHn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8dRJ8cBAACaAwAADgAAAAAAAAABACAAAAAeAQAAZHJzL2Uyb0RvYy54&#10;bWxQSwUGAAAAAAYABgBZAQAAV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HDuRsg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Hn7rjFiZ+/fzv/+HX++ZW8&#10;zvr0AWpMewyYmIa3fsDc2Q/ozLQHFW3+IiGCcVT3dFFXDomI/Gi1XK0qDAmMzRfEZ0/PQ4T0IL0l&#10;2WhoxPEVVfnxPaQxdU7J1Zy/18aUERr3lwMxs4fl3sces5WG3TAR2vn2hHx6nHxDHS46JeadQ2Hz&#10;ksxGnI3dbBxC1PuubFGuB+HNIWETpbdcYYSdCuPICrtpvfJO/HkvWU+/1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Rw7kbIAQAAmg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D6DB4D3"/>
    <w:multiLevelType w:val="singleLevel"/>
    <w:tmpl w:val="DD6DB4D3"/>
    <w:lvl w:ilvl="0" w:tentative="0">
      <w:start w:val="1"/>
      <w:numFmt w:val="decimal"/>
      <w:lvlText w:val="%1)"/>
      <w:lvlJc w:val="left"/>
      <w:pPr>
        <w:ind w:left="425" w:hanging="425"/>
      </w:pPr>
      <w:rPr>
        <w:rFonts w:hint="default" w:ascii="仿宋" w:hAnsi="仿宋" w:eastAsia="仿宋" w:cs="仿宋"/>
        <w:sz w:val="28"/>
        <w:szCs w:val="28"/>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4A4EAD54"/>
    <w:multiLevelType w:val="singleLevel"/>
    <w:tmpl w:val="4A4EAD54"/>
    <w:lvl w:ilvl="0" w:tentative="0">
      <w:start w:val="3"/>
      <w:numFmt w:val="decimal"/>
      <w:suff w:val="nothing"/>
      <w:lvlText w:val="%1、"/>
      <w:lvlJc w:val="left"/>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D5767A"/>
    <w:rsid w:val="00F83B64"/>
    <w:rsid w:val="013E3461"/>
    <w:rsid w:val="01A51B86"/>
    <w:rsid w:val="01D95EFA"/>
    <w:rsid w:val="02090C75"/>
    <w:rsid w:val="02A23A3C"/>
    <w:rsid w:val="02CE606D"/>
    <w:rsid w:val="035A0C6F"/>
    <w:rsid w:val="03822D3F"/>
    <w:rsid w:val="039110A9"/>
    <w:rsid w:val="03AC246A"/>
    <w:rsid w:val="03B23056"/>
    <w:rsid w:val="03DC3EBA"/>
    <w:rsid w:val="03F9794D"/>
    <w:rsid w:val="046A2461"/>
    <w:rsid w:val="051A4589"/>
    <w:rsid w:val="051C2970"/>
    <w:rsid w:val="06C64829"/>
    <w:rsid w:val="06D77967"/>
    <w:rsid w:val="077D16D2"/>
    <w:rsid w:val="07945DC6"/>
    <w:rsid w:val="082A69F3"/>
    <w:rsid w:val="08561AC2"/>
    <w:rsid w:val="08675FC8"/>
    <w:rsid w:val="086E5E0A"/>
    <w:rsid w:val="091870A2"/>
    <w:rsid w:val="0956230E"/>
    <w:rsid w:val="09B713FD"/>
    <w:rsid w:val="09EF6ACC"/>
    <w:rsid w:val="0A315056"/>
    <w:rsid w:val="0AC10AB1"/>
    <w:rsid w:val="0AFB45AD"/>
    <w:rsid w:val="0B351E9B"/>
    <w:rsid w:val="0B4C50D3"/>
    <w:rsid w:val="0B806B92"/>
    <w:rsid w:val="0B827E94"/>
    <w:rsid w:val="0BD070E1"/>
    <w:rsid w:val="0C247926"/>
    <w:rsid w:val="0C6D41C8"/>
    <w:rsid w:val="0D794204"/>
    <w:rsid w:val="0E2125D1"/>
    <w:rsid w:val="0E214211"/>
    <w:rsid w:val="0E5F2769"/>
    <w:rsid w:val="0EDE51A1"/>
    <w:rsid w:val="0F4D75A3"/>
    <w:rsid w:val="0F5B2DCA"/>
    <w:rsid w:val="0FED051E"/>
    <w:rsid w:val="0FEE4C29"/>
    <w:rsid w:val="10046082"/>
    <w:rsid w:val="111703D2"/>
    <w:rsid w:val="112B101A"/>
    <w:rsid w:val="119B53FC"/>
    <w:rsid w:val="12424CDC"/>
    <w:rsid w:val="126E7188"/>
    <w:rsid w:val="129A2738"/>
    <w:rsid w:val="12B56BF1"/>
    <w:rsid w:val="12CB1A89"/>
    <w:rsid w:val="131751EF"/>
    <w:rsid w:val="131840FB"/>
    <w:rsid w:val="13467417"/>
    <w:rsid w:val="136E76CF"/>
    <w:rsid w:val="136F05BC"/>
    <w:rsid w:val="14E03833"/>
    <w:rsid w:val="15776308"/>
    <w:rsid w:val="15BC6B3C"/>
    <w:rsid w:val="15E753AD"/>
    <w:rsid w:val="164D40B0"/>
    <w:rsid w:val="1694429A"/>
    <w:rsid w:val="16B51304"/>
    <w:rsid w:val="17635326"/>
    <w:rsid w:val="18236EFD"/>
    <w:rsid w:val="189D5B1F"/>
    <w:rsid w:val="18A34CD0"/>
    <w:rsid w:val="19A53EA8"/>
    <w:rsid w:val="19B64DBC"/>
    <w:rsid w:val="1A373ACF"/>
    <w:rsid w:val="1A37418B"/>
    <w:rsid w:val="1A7E0D17"/>
    <w:rsid w:val="1A895341"/>
    <w:rsid w:val="1A9A3595"/>
    <w:rsid w:val="1B0D071F"/>
    <w:rsid w:val="1B4568CE"/>
    <w:rsid w:val="1B6573DB"/>
    <w:rsid w:val="1B9015B7"/>
    <w:rsid w:val="1BF54245"/>
    <w:rsid w:val="1D0E6976"/>
    <w:rsid w:val="1D5A79EE"/>
    <w:rsid w:val="1D712256"/>
    <w:rsid w:val="1E0E2CD0"/>
    <w:rsid w:val="1E831280"/>
    <w:rsid w:val="1EBC4704"/>
    <w:rsid w:val="1F172EB5"/>
    <w:rsid w:val="1F917B02"/>
    <w:rsid w:val="1F94592D"/>
    <w:rsid w:val="1FB860DE"/>
    <w:rsid w:val="203C5A02"/>
    <w:rsid w:val="209D4C94"/>
    <w:rsid w:val="20A23F56"/>
    <w:rsid w:val="20E84705"/>
    <w:rsid w:val="218400BA"/>
    <w:rsid w:val="21AB1E2F"/>
    <w:rsid w:val="21D40498"/>
    <w:rsid w:val="22767047"/>
    <w:rsid w:val="227E1CD5"/>
    <w:rsid w:val="23087F7D"/>
    <w:rsid w:val="23A05588"/>
    <w:rsid w:val="240476A1"/>
    <w:rsid w:val="241677BD"/>
    <w:rsid w:val="245E5DAF"/>
    <w:rsid w:val="25431AEB"/>
    <w:rsid w:val="25BF43FD"/>
    <w:rsid w:val="25F86BCD"/>
    <w:rsid w:val="2605748B"/>
    <w:rsid w:val="269E416A"/>
    <w:rsid w:val="272100D3"/>
    <w:rsid w:val="272C72FC"/>
    <w:rsid w:val="275131CB"/>
    <w:rsid w:val="27EB149D"/>
    <w:rsid w:val="27FD3E52"/>
    <w:rsid w:val="28B30B78"/>
    <w:rsid w:val="28E11370"/>
    <w:rsid w:val="294A756A"/>
    <w:rsid w:val="29781BF8"/>
    <w:rsid w:val="29C33ED0"/>
    <w:rsid w:val="29D5322D"/>
    <w:rsid w:val="2A025DD9"/>
    <w:rsid w:val="2A2619CB"/>
    <w:rsid w:val="2A715316"/>
    <w:rsid w:val="2A7C2231"/>
    <w:rsid w:val="2ABB753D"/>
    <w:rsid w:val="2B575A48"/>
    <w:rsid w:val="2B7A49FA"/>
    <w:rsid w:val="2C292579"/>
    <w:rsid w:val="2C615D26"/>
    <w:rsid w:val="2CB679ED"/>
    <w:rsid w:val="2CE40A03"/>
    <w:rsid w:val="2D173C07"/>
    <w:rsid w:val="2D424A86"/>
    <w:rsid w:val="2E7B52DB"/>
    <w:rsid w:val="2EF004E6"/>
    <w:rsid w:val="2F324CFE"/>
    <w:rsid w:val="2FA20164"/>
    <w:rsid w:val="2FBA09F1"/>
    <w:rsid w:val="2FEF2ACF"/>
    <w:rsid w:val="3026243D"/>
    <w:rsid w:val="30540211"/>
    <w:rsid w:val="30A87547"/>
    <w:rsid w:val="30F57440"/>
    <w:rsid w:val="31112A0D"/>
    <w:rsid w:val="311F4B20"/>
    <w:rsid w:val="312D7741"/>
    <w:rsid w:val="316F137F"/>
    <w:rsid w:val="31DF525F"/>
    <w:rsid w:val="32324C2E"/>
    <w:rsid w:val="327171DF"/>
    <w:rsid w:val="333A7C40"/>
    <w:rsid w:val="341E3434"/>
    <w:rsid w:val="34BB4442"/>
    <w:rsid w:val="35E07FA2"/>
    <w:rsid w:val="36074F8A"/>
    <w:rsid w:val="360B7EBA"/>
    <w:rsid w:val="369C32FD"/>
    <w:rsid w:val="37666E72"/>
    <w:rsid w:val="38167A04"/>
    <w:rsid w:val="394B167A"/>
    <w:rsid w:val="39B10FA1"/>
    <w:rsid w:val="3A4E4336"/>
    <w:rsid w:val="3A6007FE"/>
    <w:rsid w:val="3B1F36BA"/>
    <w:rsid w:val="3B58123B"/>
    <w:rsid w:val="3B5C4450"/>
    <w:rsid w:val="3B7C2CE4"/>
    <w:rsid w:val="3B9D3C2D"/>
    <w:rsid w:val="3C0B5355"/>
    <w:rsid w:val="3CD4176B"/>
    <w:rsid w:val="3D1F44D9"/>
    <w:rsid w:val="3D5C38CD"/>
    <w:rsid w:val="3D707ECA"/>
    <w:rsid w:val="3DFC754A"/>
    <w:rsid w:val="3E5070F1"/>
    <w:rsid w:val="3F6C3589"/>
    <w:rsid w:val="3F850180"/>
    <w:rsid w:val="3F9004D6"/>
    <w:rsid w:val="400E4D5E"/>
    <w:rsid w:val="40E1138C"/>
    <w:rsid w:val="413814BA"/>
    <w:rsid w:val="41847A25"/>
    <w:rsid w:val="41872511"/>
    <w:rsid w:val="41D946A5"/>
    <w:rsid w:val="41E00475"/>
    <w:rsid w:val="422B35B4"/>
    <w:rsid w:val="42466655"/>
    <w:rsid w:val="42C82F57"/>
    <w:rsid w:val="43C76AF7"/>
    <w:rsid w:val="446828F0"/>
    <w:rsid w:val="45093E85"/>
    <w:rsid w:val="45C13B4D"/>
    <w:rsid w:val="46054BCA"/>
    <w:rsid w:val="464C6AFC"/>
    <w:rsid w:val="468B0091"/>
    <w:rsid w:val="46A107C3"/>
    <w:rsid w:val="46B15CE2"/>
    <w:rsid w:val="46BE113D"/>
    <w:rsid w:val="46E44B13"/>
    <w:rsid w:val="4703508A"/>
    <w:rsid w:val="475023F8"/>
    <w:rsid w:val="479D361E"/>
    <w:rsid w:val="47B74789"/>
    <w:rsid w:val="47D87096"/>
    <w:rsid w:val="480F2B9D"/>
    <w:rsid w:val="48282920"/>
    <w:rsid w:val="485321E0"/>
    <w:rsid w:val="48546AD3"/>
    <w:rsid w:val="48CA4868"/>
    <w:rsid w:val="48EA5238"/>
    <w:rsid w:val="48F005D3"/>
    <w:rsid w:val="493A3899"/>
    <w:rsid w:val="494E6AD6"/>
    <w:rsid w:val="498F4AF1"/>
    <w:rsid w:val="49C05787"/>
    <w:rsid w:val="49CF518D"/>
    <w:rsid w:val="4ADA1F63"/>
    <w:rsid w:val="4AE23D89"/>
    <w:rsid w:val="4B2038D0"/>
    <w:rsid w:val="4B296E7D"/>
    <w:rsid w:val="4B877F28"/>
    <w:rsid w:val="4BE12B49"/>
    <w:rsid w:val="4CAC43AA"/>
    <w:rsid w:val="4D916BA6"/>
    <w:rsid w:val="4DC44169"/>
    <w:rsid w:val="4E9A48CE"/>
    <w:rsid w:val="4EF0709E"/>
    <w:rsid w:val="4F0469A4"/>
    <w:rsid w:val="513C6A7B"/>
    <w:rsid w:val="520743E2"/>
    <w:rsid w:val="520F4F36"/>
    <w:rsid w:val="532D486F"/>
    <w:rsid w:val="5333545B"/>
    <w:rsid w:val="538D0E89"/>
    <w:rsid w:val="5450213C"/>
    <w:rsid w:val="54AE6F5B"/>
    <w:rsid w:val="54D24048"/>
    <w:rsid w:val="54D64CD5"/>
    <w:rsid w:val="55887D69"/>
    <w:rsid w:val="55DF4274"/>
    <w:rsid w:val="561A0928"/>
    <w:rsid w:val="56423872"/>
    <w:rsid w:val="56B279F0"/>
    <w:rsid w:val="56EE0C86"/>
    <w:rsid w:val="5711330F"/>
    <w:rsid w:val="57124BAE"/>
    <w:rsid w:val="579D710E"/>
    <w:rsid w:val="57BB540A"/>
    <w:rsid w:val="581F22F6"/>
    <w:rsid w:val="585D2BE3"/>
    <w:rsid w:val="586E1E17"/>
    <w:rsid w:val="58862C35"/>
    <w:rsid w:val="58C0353E"/>
    <w:rsid w:val="58C14957"/>
    <w:rsid w:val="58E4174E"/>
    <w:rsid w:val="59225823"/>
    <w:rsid w:val="59655DB9"/>
    <w:rsid w:val="5A32187C"/>
    <w:rsid w:val="5A5322F0"/>
    <w:rsid w:val="5AE83A50"/>
    <w:rsid w:val="5B291AC6"/>
    <w:rsid w:val="5BAB2917"/>
    <w:rsid w:val="5BFC33FA"/>
    <w:rsid w:val="5C3107A4"/>
    <w:rsid w:val="5C3B1B93"/>
    <w:rsid w:val="5C9220DF"/>
    <w:rsid w:val="5D4A15F3"/>
    <w:rsid w:val="5D69542A"/>
    <w:rsid w:val="5D783B72"/>
    <w:rsid w:val="5E0930EF"/>
    <w:rsid w:val="5E3D4D53"/>
    <w:rsid w:val="5E4717E6"/>
    <w:rsid w:val="5E55774C"/>
    <w:rsid w:val="5E974981"/>
    <w:rsid w:val="5F582A91"/>
    <w:rsid w:val="600122DD"/>
    <w:rsid w:val="60104DDC"/>
    <w:rsid w:val="605C0804"/>
    <w:rsid w:val="6169596C"/>
    <w:rsid w:val="6189617B"/>
    <w:rsid w:val="61B52BB6"/>
    <w:rsid w:val="61B749C2"/>
    <w:rsid w:val="6221095A"/>
    <w:rsid w:val="62280D20"/>
    <w:rsid w:val="62CA2457"/>
    <w:rsid w:val="638240A1"/>
    <w:rsid w:val="63833423"/>
    <w:rsid w:val="63A5257B"/>
    <w:rsid w:val="63BD3DCC"/>
    <w:rsid w:val="63C61741"/>
    <w:rsid w:val="64505489"/>
    <w:rsid w:val="64560967"/>
    <w:rsid w:val="64EB28C8"/>
    <w:rsid w:val="656B1D10"/>
    <w:rsid w:val="65B841F9"/>
    <w:rsid w:val="66022B28"/>
    <w:rsid w:val="664A38E2"/>
    <w:rsid w:val="66581E87"/>
    <w:rsid w:val="66FA11D5"/>
    <w:rsid w:val="67084900"/>
    <w:rsid w:val="674302C7"/>
    <w:rsid w:val="680A5986"/>
    <w:rsid w:val="680D5F4B"/>
    <w:rsid w:val="68113F51"/>
    <w:rsid w:val="68820A62"/>
    <w:rsid w:val="68E94770"/>
    <w:rsid w:val="68F949C9"/>
    <w:rsid w:val="695A4290"/>
    <w:rsid w:val="69FB6FA4"/>
    <w:rsid w:val="6A334932"/>
    <w:rsid w:val="6A3353FF"/>
    <w:rsid w:val="6A340173"/>
    <w:rsid w:val="6A5D63E6"/>
    <w:rsid w:val="6A5F24D1"/>
    <w:rsid w:val="6AE347EB"/>
    <w:rsid w:val="6B112C05"/>
    <w:rsid w:val="6B434AF0"/>
    <w:rsid w:val="6B57675A"/>
    <w:rsid w:val="6B7427A3"/>
    <w:rsid w:val="6BDD7B4D"/>
    <w:rsid w:val="6D992A1C"/>
    <w:rsid w:val="6E4E3785"/>
    <w:rsid w:val="6EBC0B3A"/>
    <w:rsid w:val="6EF51C7D"/>
    <w:rsid w:val="6F8363E5"/>
    <w:rsid w:val="6FC746F5"/>
    <w:rsid w:val="70317AC6"/>
    <w:rsid w:val="7060040D"/>
    <w:rsid w:val="70863262"/>
    <w:rsid w:val="70A76ED3"/>
    <w:rsid w:val="71860B17"/>
    <w:rsid w:val="71B238FB"/>
    <w:rsid w:val="720860A3"/>
    <w:rsid w:val="723B27CC"/>
    <w:rsid w:val="72687227"/>
    <w:rsid w:val="72A03FD9"/>
    <w:rsid w:val="73406CFF"/>
    <w:rsid w:val="7383028C"/>
    <w:rsid w:val="73965482"/>
    <w:rsid w:val="73A25E44"/>
    <w:rsid w:val="741F68CF"/>
    <w:rsid w:val="75252DF3"/>
    <w:rsid w:val="75621536"/>
    <w:rsid w:val="75BF3154"/>
    <w:rsid w:val="764A07CF"/>
    <w:rsid w:val="764F6B3D"/>
    <w:rsid w:val="76CD2B7B"/>
    <w:rsid w:val="76D80645"/>
    <w:rsid w:val="76E03371"/>
    <w:rsid w:val="780E5898"/>
    <w:rsid w:val="782642CC"/>
    <w:rsid w:val="7894095E"/>
    <w:rsid w:val="78964555"/>
    <w:rsid w:val="78CF4963"/>
    <w:rsid w:val="79000679"/>
    <w:rsid w:val="79A416F0"/>
    <w:rsid w:val="79B03EB6"/>
    <w:rsid w:val="79C06055"/>
    <w:rsid w:val="79FF08DC"/>
    <w:rsid w:val="7AE15A5C"/>
    <w:rsid w:val="7AF057AD"/>
    <w:rsid w:val="7AF37579"/>
    <w:rsid w:val="7AF87F64"/>
    <w:rsid w:val="7B1C0C84"/>
    <w:rsid w:val="7B444D3F"/>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752917"/>
    <w:rsid w:val="7FDB3003"/>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BodyText"/>
    <w:basedOn w:val="1"/>
    <w:next w:val="47"/>
    <w:qFormat/>
    <w:uiPriority w:val="0"/>
    <w:pPr>
      <w:jc w:val="both"/>
      <w:textAlignment w:val="baseline"/>
    </w:pPr>
    <w:rPr>
      <w:rFonts w:ascii="Times New Roman" w:hAnsi="Times New Roman" w:eastAsia="宋体"/>
      <w:kern w:val="2"/>
      <w:sz w:val="28"/>
      <w:lang w:val="en-US" w:eastAsia="zh-CN" w:bidi="ar-SA"/>
    </w:rPr>
  </w:style>
  <w:style w:type="paragraph" w:customStyle="1" w:styleId="47">
    <w:name w:val="BodyText2"/>
    <w:basedOn w:val="1"/>
    <w:qFormat/>
    <w:uiPriority w:val="0"/>
    <w:pPr>
      <w:spacing w:after="120" w:line="480" w:lineRule="auto"/>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31439</Words>
  <Characters>33211</Characters>
  <Lines>300</Lines>
  <Paragraphs>84</Paragraphs>
  <TotalTime>17</TotalTime>
  <ScaleCrop>false</ScaleCrop>
  <LinksUpToDate>false</LinksUpToDate>
  <CharactersWithSpaces>35575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2022-09-29T09:45:00Z</cp:lastPrinted>
  <dcterms:modified xsi:type="dcterms:W3CDTF">2022-12-01T08:45:08Z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80E841F940DC4199BB56E8749803D278</vt:lpwstr>
  </property>
</Properties>
</file>