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广州市净水有限公司2022年沥滘、大沙地、大观等分公司日常维护维修项目</w:t>
      </w:r>
    </w:p>
    <w:p>
      <w:pPr>
        <w:jc w:val="center"/>
        <w:rPr>
          <w:rFonts w:hint="eastAsia" w:ascii="方正小标宋简体" w:eastAsia="方正小标宋简体"/>
          <w:sz w:val="52"/>
          <w:szCs w:val="52"/>
          <w:lang w:val="en-US" w:eastAsia="zh-CN"/>
        </w:rPr>
      </w:pPr>
      <w:r>
        <w:rPr>
          <w:rFonts w:hint="eastAsia" w:ascii="方正小标宋简体" w:eastAsia="方正小标宋简体"/>
          <w:color w:val="auto"/>
          <w:sz w:val="52"/>
          <w:szCs w:val="52"/>
          <w:highlight w:val="none"/>
          <w:lang w:val="en-US" w:eastAsia="zh-CN"/>
        </w:rPr>
        <w:t>（房屋修缮类</w:t>
      </w:r>
      <w:r>
        <w:rPr>
          <w:rFonts w:hint="eastAsia" w:ascii="方正小标宋简体" w:eastAsia="方正小标宋简体"/>
          <w:sz w:val="52"/>
          <w:szCs w:val="52"/>
          <w:lang w:val="en-US" w:eastAsia="zh-CN"/>
        </w:rPr>
        <w:t>）</w:t>
      </w:r>
    </w:p>
    <w:p>
      <w:pPr>
        <w:pStyle w:val="2"/>
        <w:rPr>
          <w:rFonts w:hint="default"/>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pPr>
    </w:p>
    <w:p>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26148"/>
      <w:bookmarkStart w:id="1" w:name="_Toc18145"/>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4"/>
        <w:rPr>
          <w:rFonts w:hint="eastAsia"/>
          <w:color w:val="auto"/>
          <w:highlight w:val="none"/>
        </w:rPr>
      </w:pPr>
      <w:bookmarkStart w:id="4" w:name="_Toc1669"/>
      <w:bookmarkStart w:id="5" w:name="_Toc11322"/>
      <w:bookmarkStart w:id="6" w:name="_Toc31938"/>
      <w:bookmarkStart w:id="7" w:name="_Toc19609"/>
      <w:bookmarkStart w:id="8" w:name="_Toc7519"/>
      <w:bookmarkStart w:id="9" w:name="_Toc17801"/>
      <w:bookmarkStart w:id="10" w:name="_Toc4275"/>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2380615</wp:posOffset>
                </wp:positionH>
                <wp:positionV relativeFrom="paragraph">
                  <wp:posOffset>483235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7.45pt;margin-top:38.05pt;height:0pt;width:75.5pt;z-index:251671552;mso-width-relative:page;mso-height-relative:page;" filled="f" stroked="t" coordsize="21600,21600" o:gfxdata="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bPX0N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6"/>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广州市净水有限公司2022年</w:t>
      </w:r>
      <w:r>
        <w:rPr>
          <w:rFonts w:hint="eastAsia" w:ascii="仿宋_GB2312" w:eastAsia="仿宋_GB2312"/>
          <w:color w:val="auto"/>
          <w:sz w:val="28"/>
          <w:szCs w:val="28"/>
          <w:highlight w:val="none"/>
          <w:u w:val="single"/>
          <w:lang w:eastAsia="zh-CN"/>
        </w:rPr>
        <w:t>沥滘、大沙地、大观等分公司日常维护维修项目（房屋修缮类</w:t>
      </w:r>
      <w:r>
        <w:rPr>
          <w:rFonts w:hint="eastAsia" w:ascii="仿宋_GB2312" w:eastAsia="仿宋_GB2312"/>
          <w:color w:val="auto"/>
          <w:sz w:val="28"/>
          <w:szCs w:val="28"/>
          <w:highlight w:val="none"/>
          <w:u w:val="single"/>
        </w:rPr>
        <w:t>）</w:t>
      </w:r>
      <w:r>
        <w:rPr>
          <w:rFonts w:hint="eastAsia" w:ascii="仿宋_GB2312" w:eastAsia="仿宋_GB2312"/>
          <w:color w:val="auto"/>
          <w:sz w:val="28"/>
          <w:szCs w:val="28"/>
          <w:highlight w:val="none"/>
        </w:rPr>
        <w:t>已具备采购条件，</w:t>
      </w:r>
      <w:r>
        <w:rPr>
          <w:rFonts w:hint="eastAsia" w:ascii="仿宋_GB2312" w:eastAsia="仿宋_GB2312"/>
          <w:sz w:val="28"/>
          <w:szCs w:val="28"/>
        </w:rPr>
        <w:t>现</w:t>
      </w:r>
      <w:r>
        <w:rPr>
          <w:rFonts w:hint="eastAsia" w:ascii="仿宋_GB2312" w:eastAsia="仿宋_GB2312"/>
          <w:sz w:val="28"/>
          <w:szCs w:val="28"/>
          <w:lang w:val="en-US" w:eastAsia="zh-CN"/>
        </w:rPr>
        <w:t>邀请合格</w:t>
      </w:r>
      <w:r>
        <w:rPr>
          <w:rFonts w:hint="eastAsia" w:ascii="仿宋_GB2312" w:eastAsia="仿宋_GB2312"/>
          <w:sz w:val="28"/>
          <w:szCs w:val="28"/>
          <w:u w:val="none"/>
          <w:lang w:val="en-US" w:eastAsia="zh-CN"/>
        </w:rPr>
        <w:t>单位</w:t>
      </w:r>
      <w:r>
        <w:rPr>
          <w:rFonts w:hint="eastAsia" w:ascii="仿宋_GB2312" w:eastAsia="仿宋_GB2312"/>
          <w:sz w:val="28"/>
          <w:szCs w:val="28"/>
        </w:rPr>
        <w:t>参加本</w:t>
      </w:r>
      <w:r>
        <w:rPr>
          <w:rFonts w:hint="eastAsia" w:ascii="仿宋_GB2312" w:eastAsia="仿宋_GB2312"/>
          <w:sz w:val="28"/>
          <w:szCs w:val="28"/>
        </w:rPr>
        <w:sym w:font="Wingdings 2" w:char="0052"/>
      </w:r>
      <w:r>
        <w:rPr>
          <w:rFonts w:hint="eastAsia" w:ascii="仿宋_GB2312" w:eastAsia="仿宋_GB2312"/>
          <w:sz w:val="28"/>
          <w:szCs w:val="28"/>
        </w:rPr>
        <w:t xml:space="preserve">施工  □货物 </w:t>
      </w:r>
      <w:r>
        <w:rPr>
          <w:rFonts w:hint="eastAsia" w:ascii="仿宋_GB2312" w:eastAsia="仿宋_GB2312"/>
          <w:sz w:val="28"/>
          <w:szCs w:val="28"/>
        </w:rPr>
        <w:sym w:font="Wingdings 2" w:char="00A3"/>
      </w:r>
      <w:r>
        <w:rPr>
          <w:rFonts w:hint="eastAsia" w:ascii="仿宋_GB2312" w:eastAsia="仿宋_GB2312"/>
          <w:sz w:val="28"/>
          <w:szCs w:val="28"/>
        </w:rPr>
        <w:t>服务项目采购活动，采用</w:t>
      </w:r>
      <w:r>
        <w:rPr>
          <w:rFonts w:hint="eastAsia" w:ascii="仿宋_GB2312" w:eastAsia="仿宋_GB2312"/>
          <w:sz w:val="28"/>
          <w:szCs w:val="28"/>
          <w:u w:val="single"/>
        </w:rPr>
        <w:sym w:font="Wingdings 2" w:char="00A3"/>
      </w:r>
      <w:r>
        <w:rPr>
          <w:rFonts w:hint="eastAsia" w:ascii="仿宋_GB2312" w:eastAsia="仿宋_GB2312"/>
          <w:sz w:val="28"/>
          <w:szCs w:val="28"/>
          <w:u w:val="single"/>
          <w:lang w:val="en-US" w:eastAsia="zh-CN"/>
        </w:rPr>
        <w:t>邀请</w:t>
      </w:r>
      <w:r>
        <w:rPr>
          <w:rFonts w:hint="eastAsia" w:ascii="仿宋_GB2312" w:eastAsia="仿宋_GB2312"/>
          <w:sz w:val="28"/>
          <w:szCs w:val="28"/>
          <w:u w:val="single"/>
        </w:rPr>
        <w:t>询比</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lang w:val="en-US" w:eastAsia="zh-CN"/>
        </w:rPr>
        <w:sym w:font="Wingdings 2" w:char="0052"/>
      </w:r>
      <w:r>
        <w:rPr>
          <w:rFonts w:hint="eastAsia" w:ascii="仿宋_GB2312" w:eastAsia="仿宋_GB2312"/>
          <w:sz w:val="28"/>
          <w:szCs w:val="28"/>
          <w:u w:val="single"/>
          <w:lang w:val="en-US" w:eastAsia="zh-CN"/>
        </w:rPr>
        <w:t>公开询比</w:t>
      </w:r>
      <w:r>
        <w:rPr>
          <w:rFonts w:hint="eastAsia" w:ascii="仿宋_GB2312" w:eastAsia="仿宋_GB2312"/>
          <w:sz w:val="28"/>
          <w:szCs w:val="28"/>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广州市净水有限公司2022年</w:t>
      </w:r>
      <w:r>
        <w:rPr>
          <w:rFonts w:hint="eastAsia" w:ascii="仿宋_GB2312" w:eastAsia="仿宋_GB2312"/>
          <w:color w:val="auto"/>
          <w:sz w:val="28"/>
          <w:szCs w:val="28"/>
          <w:highlight w:val="none"/>
          <w:u w:val="single"/>
          <w:lang w:eastAsia="zh-CN"/>
        </w:rPr>
        <w:t>沥滘、大沙地、大观等分公司日常维护维修项目（房屋修缮类</w:t>
      </w:r>
      <w:r>
        <w:rPr>
          <w:rFonts w:hint="eastAsia" w:ascii="仿宋_GB2312" w:eastAsia="仿宋_GB2312"/>
          <w:color w:val="auto"/>
          <w:sz w:val="28"/>
          <w:szCs w:val="28"/>
          <w:highlight w:val="none"/>
          <w:u w:val="single"/>
        </w:rPr>
        <w:t>）</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XJ-20221130-3</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367927.86 元</w:t>
      </w:r>
      <w:r>
        <w:rPr>
          <w:rFonts w:hint="eastAsia" w:ascii="仿宋_GB2312" w:eastAsia="仿宋_GB2312"/>
          <w:color w:val="auto"/>
          <w:sz w:val="28"/>
          <w:szCs w:val="28"/>
          <w:highlight w:val="none"/>
          <w:u w:val="single"/>
        </w:rPr>
        <w:t xml:space="preserve">   </w:t>
      </w:r>
    </w:p>
    <w:tbl>
      <w:tblPr>
        <w:tblStyle w:val="2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6"/>
        <w:gridCol w:w="1213"/>
        <w:gridCol w:w="2230"/>
        <w:gridCol w:w="1129"/>
        <w:gridCol w:w="1129"/>
        <w:gridCol w:w="536"/>
        <w:gridCol w:w="1094"/>
        <w:gridCol w:w="1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2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12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636"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（元）</w:t>
            </w:r>
          </w:p>
        </w:tc>
        <w:tc>
          <w:tcPr>
            <w:tcW w:w="636"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（元）</w:t>
            </w:r>
          </w:p>
        </w:tc>
        <w:tc>
          <w:tcPr>
            <w:tcW w:w="30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6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安措费（元）</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沥滘分公司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沥滘分公司一二三期危废间等墙体修缮项目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20587.65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18887.75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931.27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沥滘分公司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沥滘分公司一二期提标生物滤池电房优化项目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48684.87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44665.02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1035.21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沥滘分公司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沥滘分公司一二期提标深度提升泵房等地面优化项目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14337.61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13153.77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924.07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4</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沥滘分公司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沥滘分公司一期鼓风机房地面修缮项目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47000.88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43120.07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3559.77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5</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大沙地分公司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大沙地分公司一期提标门、窗防汛挡板优化项目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34580.70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31725.41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474.06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6</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大沙地分公司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 xml:space="preserve">大沙地分公司二期排空池排空泵接线箱优化项目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28529.46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26173.82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3732.26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7</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大观分公司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大观分公司2022年负二层无人区射灯加装项目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26374.24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24196.55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1634.10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8</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大观分公司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大观分公司一期变压器房挡水板优化项目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47814.22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43866.26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2511.14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9</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西朗二期分公司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西朗二期分公司出水在线站房增加通风措施项目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 xml:space="preserve">10844.16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9948.77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990.04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10</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highlight w:val="none"/>
                <w:u w:val="none"/>
              </w:rPr>
            </w:pPr>
            <w:r>
              <w:rPr>
                <w:rFonts w:ascii="宋体" w:hAnsi="宋体" w:eastAsia="宋体" w:cs="宋体"/>
                <w:i w:val="0"/>
                <w:iCs w:val="0"/>
                <w:color w:val="000000"/>
                <w:kern w:val="0"/>
                <w:sz w:val="22"/>
                <w:szCs w:val="22"/>
                <w:u w:val="none"/>
                <w:lang w:val="en-US" w:eastAsia="zh-CN" w:bidi="ar"/>
              </w:rPr>
              <w:t>西朗二期分公司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ascii="宋体" w:hAnsi="宋体" w:eastAsia="宋体" w:cs="宋体"/>
                <w:i w:val="0"/>
                <w:iCs w:val="0"/>
                <w:color w:val="000000"/>
                <w:kern w:val="0"/>
                <w:sz w:val="22"/>
                <w:szCs w:val="22"/>
                <w:u w:val="none"/>
                <w:lang w:val="en-US" w:eastAsia="zh-CN" w:bidi="ar"/>
              </w:rPr>
              <w:t>西朗二期分公司一期提标反冲洗废水池溢流排水管优化项目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25479.65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 xml:space="preserve">23375.83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592.49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11</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京溪分公司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广州市净水有限公司京溪分公司硫酸铝加药口土建结构优化项目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28405.83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26060.4(建筑工程部分为17627.82元，给排水部分为8432.58元)</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1057.17(建筑工程部分为330.06元，给排水部分为727.11元)</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cstheme="minorEastAsia"/>
                <w:i w:val="0"/>
                <w:iCs w:val="0"/>
                <w:color w:val="000000"/>
                <w:kern w:val="0"/>
                <w:sz w:val="22"/>
                <w:szCs w:val="22"/>
                <w:u w:val="none"/>
                <w:lang w:val="en-US" w:eastAsia="zh-CN" w:bidi="ar"/>
              </w:rPr>
            </w:pPr>
            <w:r>
              <w:rPr>
                <w:rFonts w:hint="eastAsia" w:asciiTheme="minorEastAsia" w:hAnsiTheme="minorEastAsia" w:cstheme="minorEastAsia"/>
                <w:i w:val="0"/>
                <w:iCs w:val="0"/>
                <w:color w:val="000000"/>
                <w:kern w:val="0"/>
                <w:sz w:val="22"/>
                <w:szCs w:val="22"/>
                <w:u w:val="none"/>
                <w:lang w:val="en-US" w:eastAsia="zh-CN" w:bidi="ar"/>
              </w:rPr>
              <w:t>12</w:t>
            </w:r>
          </w:p>
        </w:tc>
        <w:tc>
          <w:tcPr>
            <w:tcW w:w="12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大坦沙分公司</w:t>
            </w:r>
          </w:p>
        </w:tc>
        <w:tc>
          <w:tcPr>
            <w:tcW w:w="2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大坦沙分公司一二期鼓风机房隔音优化项目</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35288.59 </w:t>
            </w:r>
          </w:p>
        </w:tc>
        <w:tc>
          <w:tcPr>
            <w:tcW w:w="11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32374.85 </w:t>
            </w:r>
          </w:p>
        </w:tc>
        <w:tc>
          <w:tcPr>
            <w:tcW w:w="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751.92 </w:t>
            </w:r>
          </w:p>
        </w:tc>
        <w:tc>
          <w:tcPr>
            <w:tcW w:w="6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lang w:val="zh-CN"/>
        </w:rPr>
        <w:t>绿色施工安全防护措施费为非竞争性费用，在报价时须按询价文件规定的金额填写，不得参与竞争，否则按无效报价处理。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7"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沥滘分公司一二三期危废间等墙体修缮项目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修缮以下区域的墙体：针对危废贮存间顶部外沿墙面、二期中水砂滤池顶部表面破损墙体以及三期粗格栅楼梯入口的飘台底墙体进行修缮。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1.铲除破损处墙面；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2.找平后刷抹灰腻子（耐水性），刮腻子遍数：2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3.刷底漆两遍，面漆两遍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厂区危废贮存间、三期粗格栅楼梯间和泵房（即粗格栅泵房的3号、4号楼梯间）的墙壁表面破损处进行修缮。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1.铲除破损处墙面；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2.涂防水层。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3.找平后刷抹灰腻子（耐水性），刮腻子遍数：2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4.刷底漆两遍，面漆两遍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沥滘分公司一二期提标生物滤池电房优化项目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提标生物滤池低压电房出线电缆桥架上方加装雨棚，防止雨天时电房进水安全隐患。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雨棚详细：提标生物滤池低压电房出线电缆桥架上方加装雨棚，防止雨天时电房进水安全隐患。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雨棚长18米，宽2米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生物滤池电房顶用不锈钢脚架支撑雨棚一侧。另一侧采用钢结构支撑在出水泵房顶部侧边墙壁上。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雨棚向生物滤池电房顶倾斜，形成高低差，让雨棚上的雨水往生物滤池泵房倾斜，同时雨棚生物滤池电房侧（雨棚西侧）做雨水收集槽，雨棚收集槽北侧（即雨棚西北角）接DN100PVC管做雨水管，雨水管沿着生物滤池电房屋顶东边墙壁角落往北侧继续铺设，接入屋顶东北角的雨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沥滘分公司一二期提标深度提升泵房等地面优化项目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对提标深度提升泵南门门槛地面、一期鼓风机西门斜坡地面和1号高压室南门斜波地面进行修缮。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一期鼓风机房施工内容：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1.拆除一期鼓风机房西面入口原有的混凝土斜坡，530cm乘270cm乘20cm，并打磨地面。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2.浇筑新C30混凝土斜坡，尺寸为530cm乘270cm乘20cm。做新浇筑的混凝土斜坡前先做好地面拉毛等处理，内部铺一层钢筋，主筋为三级钢16-150、分布筋为三级钢12-150。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深度提升泵房施工内容：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1.拆除深度提升泵房入口处部分地面，尺寸为420cm乘35cm乘11cm，并打磨。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2.浇筑修复深度提升泵房入口处部分地面，尺寸为420cm乘35cm乘11cm，且再做新C30混凝土斜坡，尺寸为420cm乘200cm乘11cm。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3.做新浇筑的混凝土斜坡前先做好地面拉毛等处理，内部铺一层钢筋，主筋为三级钢16-150、分布筋为三级钢12-150。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PLC控制房施工内容：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1.拆除PLC控制房南面入口原有的混凝土斜坡，尺寸为500cm乘190cm乘45cm，并打磨地面。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浇筑新C30混凝土斜坡，尺寸为500cm乘190cm乘45cm。做新浇筑的混凝土斜坡前先做好地面拉毛等处理，内部铺两层钢筋，主筋为三级钢16-150、分布筋为三级钢12-150。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沥滘分公司一期鼓风机房地面修缮项目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一期鼓风机房地面瓷砖破损更换、刷地坪漆（厚）。地坪漆面积共约200平方米。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一、地面原有瓷砖拆除：156平方米，瓷砖厚5mm。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二、拆除原有地坪漆：44平方米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三、清理基面：高功率无尘打磨机去除原有地坪漆等至混凝土面层；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四、基面清洁：对整体面进行清洁，保证基面干燥、不能有明水；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五、基面结构：涂刮 STIC-930 高渗透性环氧砂浆 3 遍，3mm 厚 （对混凝土基面加固、基面找平），自然风干七天以上；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六、底 漆：涂刷 STIC-9308 环氧底漆一遍；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七、中 间 层：涂刷 STIC-9318 环氧地坪漆二遍；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面 漆：涂刷 STIC-9901-1 特种防腐漆一遍（耐磨、高光）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大沙地分公司一期提标门、窗防汛挡板优化项目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大沙地分公司的一期提标建筑物，未有防汛挡板，存在安全隐患。为了加强防汛能力，需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对关键电房和重要生产设施场所出入口加装防汛挡板。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大沙地分公司二期排空池排空泵接线箱优化项目 </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现有的4、5、6号排空泵的检修，因临边作业，电缆拆除和恢复的操作难度较大，而且有安全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风险，所以需要对排空泵接线箱进行优化。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大观分公司2022年负二层无人区射灯加装项目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top"/>
          </w:tcPr>
          <w:p>
            <w:pPr>
              <w:ind w:firstLine="440" w:firstLineChars="200"/>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auto"/>
                <w:sz w:val="22"/>
                <w:szCs w:val="22"/>
                <w:highlight w:val="none"/>
                <w:u w:val="none"/>
              </w:rPr>
              <w:t>本次负二层无人区射灯加装项目共安装安装18盏方形LED防水防爆投光灯。两组电源自八号梯负二层出口处照明配电箱出线，分别引至负二层无人区北侧和东南侧。北侧电源接入8盏LED灯，东南侧电源接入10盏LED灯，每盏LED灯平均间隔7.5米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大观分公司一期变压器房挡水板优化项目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top"/>
          </w:tcPr>
          <w:p>
            <w:pPr>
              <w:ind w:firstLine="440" w:firstLineChars="200"/>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本次拟为鼓风机专变房和深度处理专变房等剩余4座变压器房增加挡水顶棚。</w:t>
            </w:r>
          </w:p>
          <w:p>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auto"/>
                <w:sz w:val="22"/>
                <w:szCs w:val="22"/>
                <w:highlight w:val="none"/>
                <w:u w:val="none"/>
              </w:rPr>
              <w:t>其次，对配电房顶板进行刷白，及时发现是否发生漏水现象。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西朗二期分公司出水在线站房增加通风措施项目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二期出水在线站房位于西朗二期厂区办公楼一楼，站房内内放置在线监测设备，站房房门日常要求是关闭；房间内空间较小；站房内没有窗户，只有一把排气扇与室外换气通风，站房内没有送风系统，运维人员长时间在此空间工作易产生不适。本项目在出水在线站房内增加送风及排风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西朗二期分公司一期提标反冲洗废水池溢流排水管优化项目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西朗二期分公司一期提标除磷加药间废水池没有设计溢流口及溢流废水排放管道，当废水池控制系统故障导致废水池废水无法抽出或者泵故障抽升量太小，导致废水溢出地面，造成环境污染，严重影响生产环境整洁、工作人员和生产安全。因此将溢流水引流排入污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京溪分公司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广州市净水有限公司京溪分公司硫酸铝加药口土建结构优化项目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1、更换土建遮蔽结构2、优化加药管线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大坦沙分公司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大坦沙分公司一二期鼓风机房隔音优化项目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一二期鼓风机房加建隔音墙</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7"/>
              <w:ind w:firstLine="420" w:firstLineChars="0"/>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项目七</w:t>
            </w:r>
          </w:p>
        </w:tc>
        <w:tc>
          <w:tcPr>
            <w:tcW w:w="2268" w:type="dxa"/>
            <w:vAlign w:val="center"/>
          </w:tcPr>
          <w:p>
            <w:pPr>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highlight w:val="none"/>
                <w:vertAlign w:val="baseli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7"/>
              <w:ind w:firstLine="420" w:firstLineChars="0"/>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项目八</w:t>
            </w:r>
          </w:p>
        </w:tc>
        <w:tc>
          <w:tcPr>
            <w:tcW w:w="2268" w:type="dxa"/>
            <w:vAlign w:val="center"/>
          </w:tcPr>
          <w:p>
            <w:pPr>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highlight w:val="none"/>
                <w:vertAlign w:val="baseline"/>
                <w:lang w:val="en-US" w:eastAsia="zh-CN"/>
              </w:rPr>
              <w:t>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项目九</w:t>
            </w:r>
          </w:p>
        </w:tc>
        <w:tc>
          <w:tcPr>
            <w:tcW w:w="2268" w:type="dxa"/>
            <w:vAlign w:val="center"/>
          </w:tcPr>
          <w:p>
            <w:pPr>
              <w:pStyle w:val="7"/>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项目十</w:t>
            </w:r>
          </w:p>
        </w:tc>
        <w:tc>
          <w:tcPr>
            <w:tcW w:w="2268" w:type="dxa"/>
            <w:vAlign w:val="center"/>
          </w:tcPr>
          <w:p>
            <w:pPr>
              <w:pStyle w:val="7"/>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60天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项目十一</w:t>
            </w:r>
          </w:p>
        </w:tc>
        <w:tc>
          <w:tcPr>
            <w:tcW w:w="2268" w:type="dxa"/>
            <w:vAlign w:val="center"/>
          </w:tcPr>
          <w:p>
            <w:pPr>
              <w:pStyle w:val="7"/>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项目六</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项目十二</w:t>
            </w:r>
          </w:p>
        </w:tc>
        <w:tc>
          <w:tcPr>
            <w:tcW w:w="2268" w:type="dxa"/>
            <w:vAlign w:val="center"/>
          </w:tcPr>
          <w:p>
            <w:pPr>
              <w:pStyle w:val="7"/>
              <w:ind w:firstLine="42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sz w:val="24"/>
                <w:szCs w:val="24"/>
                <w:vertAlign w:val="baseline"/>
                <w:lang w:val="en-US" w:eastAsia="zh-CN"/>
              </w:rPr>
              <w:t>30天</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广州市净水有限公司对应各分公司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 xml:space="preserve">具有建筑工程施工总承包三级（或以上）资质，具有建设主管部门颁发且在有效期内的《安全生产许可证》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 xml:space="preserve"> 建筑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  （注：根据广东省建设信息中心关于启用新版“广东省建设执业资格注册管理信息系统”的通知，二级注册建造师电子证书须由本人在个人签名处手写签名，未手写签名或与签名图像笔迹不一致的，电子证书无效）</w:t>
      </w:r>
      <w:r>
        <w:rPr>
          <w:rFonts w:hint="eastAsia" w:ascii="仿宋_GB2312" w:eastAsia="仿宋_GB2312"/>
          <w:color w:val="auto"/>
          <w:sz w:val="28"/>
          <w:szCs w:val="28"/>
          <w:highlight w:val="none"/>
        </w:rPr>
        <w:t>。</w:t>
      </w:r>
      <w:r>
        <w:rPr>
          <w:rFonts w:hint="eastAsia" w:ascii="仿宋_GB2312" w:eastAsia="仿宋_GB2312"/>
          <w:sz w:val="28"/>
          <w:szCs w:val="28"/>
          <w:highlight w:val="none"/>
          <w:u w:val="single"/>
          <w:lang w:val="zh-CN" w:eastAsia="zh-CN"/>
        </w:rPr>
        <w:t>广东省外注册的二级建造师人员暂不能在我省执业。</w:t>
      </w:r>
    </w:p>
    <w:p>
      <w:pPr>
        <w:pStyle w:val="2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 xml:space="preserve">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adjustRightInd w:val="0"/>
        <w:snapToGrid w:val="0"/>
        <w:spacing w:line="360" w:lineRule="auto"/>
        <w:ind w:firstLine="560" w:firstLineChars="200"/>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hAnsi="仿宋" w:eastAsia="仿宋_GB2312" w:cs="仿宋_GB2312"/>
          <w:color w:val="000000" w:themeColor="text1"/>
          <w:sz w:val="28"/>
          <w:szCs w:val="28"/>
          <w:highlight w:val="none"/>
          <w:lang w:val="zh-CN"/>
          <w14:textFill>
            <w14:solidFill>
              <w14:schemeClr w14:val="tx1"/>
            </w14:solidFill>
          </w14:textFill>
        </w:rPr>
        <w:t>防疫要求：基于疫情防控形势，授权委托人须通过“广州净水公司”微信公众号当天（提前）预约，填写访客预约信息</w:t>
      </w:r>
      <w:r>
        <w:rPr>
          <w:rFonts w:hint="eastAsia" w:ascii="仿宋_GB2312" w:eastAsia="仿宋_GB2312"/>
          <w:color w:val="auto"/>
          <w:sz w:val="28"/>
          <w:szCs w:val="28"/>
          <w:highlight w:val="none"/>
          <w:lang w:val="en-US" w:eastAsia="zh-CN"/>
        </w:rPr>
        <w:t>（包括：1.近7天内行程有异地中高风险地区及所在的地级市（、盟、州、直辖市的区）旅居史的来（返）穗人员拒绝来访；2.近7天行程内有异地本土疫情报告的地级市（、盟、州、直辖市的区）旅居史的来（返）穗人员拒绝来访3.近7天行程内有省外来（返）穗人员应持有抵穗后来访前三天的两次核酸检测证明，即“三天两检”（每次至少间隔24小时）4.如确需工作需要来访，应持有抵穗后来访前24小时内的核酸检测证明）。待被访部室审核员审批通过后，凭访客手机生成的“通行访客码”通行。于门岗处测温并扫码填写调查问卷，手机显示问卷“提交成功”后方可进入厂区</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pStyle w:val="22"/>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项目六：</w:t>
      </w:r>
    </w:p>
    <w:p>
      <w:pPr>
        <w:pStyle w:val="22"/>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踏勘现场联系人：罗工</w:t>
      </w:r>
    </w:p>
    <w:p>
      <w:pPr>
        <w:adjustRightInd w:val="0"/>
        <w:snapToGrid w:val="0"/>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踏勘现场联系人联系方式：1</w:t>
      </w:r>
      <w:r>
        <w:rPr>
          <w:rFonts w:hint="eastAsia" w:ascii="仿宋_GB2312" w:eastAsia="仿宋_GB2312" w:cstheme="minorBidi"/>
          <w:color w:val="auto"/>
          <w:kern w:val="2"/>
          <w:sz w:val="28"/>
          <w:szCs w:val="28"/>
          <w:highlight w:val="none"/>
          <w:lang w:val="en-US" w:eastAsia="zh-CN"/>
        </w:rPr>
        <w:t>3763339903</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踏勘（答疑会）</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12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2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u w:val="none"/>
        </w:rPr>
        <w:t>分</w:t>
      </w:r>
      <w:r>
        <w:rPr>
          <w:rFonts w:hint="eastAsia" w:ascii="仿宋_GB2312" w:eastAsia="仿宋_GB2312"/>
          <w:color w:val="auto"/>
          <w:sz w:val="28"/>
          <w:szCs w:val="28"/>
          <w:highlight w:val="none"/>
          <w:u w:val="none"/>
          <w:lang w:val="en-US" w:eastAsia="zh-CN"/>
        </w:rPr>
        <w:t>-</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u w:val="none"/>
        </w:rPr>
        <w:t>时</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仿宋_GB2312" w:eastAsia="仿宋_GB2312" w:hAnsiTheme="minorHAnsi"/>
          <w:color w:val="auto"/>
          <w:sz w:val="28"/>
          <w:szCs w:val="28"/>
          <w:highlight w:val="none"/>
          <w:u w:val="none"/>
        </w:rPr>
      </w:pPr>
      <w:r>
        <w:rPr>
          <w:rFonts w:hint="eastAsia" w:ascii="仿宋_GB2312" w:eastAsia="仿宋_GB2312" w:hAnsiTheme="minorHAnsi"/>
          <w:color w:val="auto"/>
          <w:sz w:val="28"/>
          <w:szCs w:val="28"/>
          <w:highlight w:val="none"/>
        </w:rPr>
        <w:t>踏勘集中地点：</w:t>
      </w:r>
      <w:r>
        <w:rPr>
          <w:rFonts w:hint="eastAsia" w:ascii="仿宋_GB2312" w:hAnsi="Calibri" w:eastAsia="仿宋_GB2312"/>
          <w:sz w:val="28"/>
          <w:szCs w:val="28"/>
          <w:highlight w:val="none"/>
          <w:u w:val="none"/>
        </w:rPr>
        <w:t xml:space="preserve"> 广州市白云区</w:t>
      </w:r>
      <w:r>
        <w:rPr>
          <w:rFonts w:hint="eastAsia" w:ascii="仿宋_GB2312" w:hAnsi="Calibri" w:eastAsia="仿宋_GB2312"/>
          <w:sz w:val="28"/>
          <w:szCs w:val="28"/>
          <w:highlight w:val="none"/>
          <w:u w:val="none"/>
          <w:lang w:val="en-US" w:eastAsia="zh-CN"/>
        </w:rPr>
        <w:t>沙太北路犀牛二马路1号</w:t>
      </w:r>
      <w:r>
        <w:rPr>
          <w:rFonts w:hint="eastAsia" w:ascii="仿宋_GB2312" w:hAnsi="Calibri" w:eastAsia="仿宋_GB2312"/>
          <w:sz w:val="28"/>
          <w:szCs w:val="28"/>
          <w:highlight w:val="none"/>
          <w:u w:val="none"/>
        </w:rPr>
        <w:t xml:space="preserve"> </w:t>
      </w:r>
      <w:r>
        <w:rPr>
          <w:rFonts w:hint="eastAsia" w:ascii="仿宋_GB2312" w:eastAsia="仿宋_GB2312" w:hAnsiTheme="minorHAnsi"/>
          <w:color w:val="auto"/>
          <w:sz w:val="28"/>
          <w:szCs w:val="28"/>
          <w:highlight w:val="none"/>
          <w:u w:val="none"/>
        </w:rPr>
        <w:t xml:space="preserve">  </w:t>
      </w:r>
    </w:p>
    <w:p>
      <w:pPr>
        <w:adjustRightInd w:val="0"/>
        <w:snapToGrid w:val="0"/>
        <w:spacing w:line="600" w:lineRule="exact"/>
        <w:jc w:val="left"/>
        <w:rPr>
          <w:rFonts w:hint="eastAsia"/>
          <w:lang w:val="zh-CN"/>
        </w:rPr>
      </w:pPr>
      <w:r>
        <w:rPr>
          <w:rFonts w:hint="eastAsia" w:ascii="仿宋_GB2312" w:eastAsia="仿宋_GB2312" w:hAnsiTheme="minorHAnsi"/>
          <w:color w:val="auto"/>
          <w:sz w:val="28"/>
          <w:szCs w:val="28"/>
          <w:highlight w:val="none"/>
          <w:u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2"/>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w:t>
      </w:r>
      <w:r>
        <w:rPr>
          <w:rFonts w:hint="eastAsia" w:ascii="仿宋_GB2312" w:eastAsia="仿宋_GB2312"/>
          <w:color w:val="auto"/>
          <w:sz w:val="28"/>
          <w:szCs w:val="28"/>
          <w:lang w:val="en-US" w:eastAsia="zh-CN"/>
        </w:rPr>
        <w:t>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bl>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2324"/>
      <w:bookmarkStart w:id="15" w:name="_Toc25603"/>
      <w:bookmarkStart w:id="16" w:name="_Toc16557"/>
      <w:bookmarkStart w:id="17" w:name="_Toc32588"/>
      <w:bookmarkStart w:id="18" w:name="_Toc16705"/>
      <w:bookmarkStart w:id="19" w:name="_Toc9448"/>
      <w:bookmarkStart w:id="20" w:name="_Toc19295"/>
      <w:bookmarkStart w:id="21" w:name="_Toc2331"/>
      <w:bookmarkStart w:id="22" w:name="_Toc23749"/>
      <w:bookmarkStart w:id="23" w:name="_Toc7340"/>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2372360</wp:posOffset>
                </wp:positionH>
                <wp:positionV relativeFrom="paragraph">
                  <wp:posOffset>539115</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6.8pt;margin-top:42.45pt;height:0pt;width:75.5pt;z-index:251673600;mso-width-relative:page;mso-height-relative:page;" filled="f" stroked="t" coordsize="21600,21600" o:gfxdata="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kdr8XYAAAACQEAAA8AAAAAAAAAAQAgAAAAIgAAAGRycy9kb3ducmV2LnhtbFBLAQIU&#10;ABQAAAAIAIdO4kCXp1Xa8wEAAOQDAAAOAAAAAAAAAAEAIAAAACcBAABkcnMvZTJvRG9jLnhtbFBL&#10;BQYAAAAABgAGAFkBAACM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ind w:left="0" w:leftChars="0" w:firstLine="0" w:firstLineChars="0"/>
        <w:rPr>
          <w:rFonts w:hint="eastAsia"/>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6"/>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2310765</wp:posOffset>
                </wp:positionH>
                <wp:positionV relativeFrom="paragraph">
                  <wp:posOffset>659130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1.95pt;margin-top:51.9pt;height:0pt;width:75.5pt;z-index:251661312;mso-width-relative:page;mso-height-relative:page;" filled="f" stroked="t" coordsize="21600,21600" o:gfxdata="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SWKL7XAAAACw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6"/>
        <w:rPr>
          <w:color w:val="auto"/>
          <w:highlight w:val="none"/>
        </w:rPr>
      </w:pPr>
    </w:p>
    <w:p>
      <w:pPr>
        <w:pStyle w:val="5"/>
        <w:rPr>
          <w:color w:val="auto"/>
          <w:highlight w:val="none"/>
        </w:rPr>
      </w:pPr>
      <w:bookmarkStart w:id="28" w:name="_Toc7040"/>
      <w:bookmarkStart w:id="29" w:name="_Toc88209934"/>
      <w:bookmarkStart w:id="30" w:name="_Toc87616371"/>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pPr>
    </w:p>
    <w:p>
      <w:pPr>
        <w:pStyle w:val="22"/>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5"/>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19759"/>
      <w:bookmarkStart w:id="35" w:name="_Toc23581"/>
      <w:bookmarkStart w:id="36" w:name="_Toc14552"/>
      <w:bookmarkStart w:id="37" w:name="_Toc4952"/>
      <w:bookmarkStart w:id="38" w:name="_Toc3156"/>
      <w:bookmarkStart w:id="39" w:name="_Toc19050"/>
      <w:bookmarkStart w:id="40" w:name="_Toc10930"/>
      <w:bookmarkStart w:id="41" w:name="_Toc7437"/>
      <w:bookmarkStart w:id="42" w:name="_Toc20594"/>
      <w:bookmarkStart w:id="43" w:name="_Toc7118"/>
      <w:bookmarkStart w:id="44" w:name="_Toc1487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6"/>
        <w:rPr>
          <w:color w:val="auto"/>
          <w:highlight w:val="none"/>
        </w:rPr>
      </w:pPr>
    </w:p>
    <w:p>
      <w:pPr>
        <w:pStyle w:val="4"/>
        <w:rPr>
          <w:color w:val="auto"/>
          <w:highlight w:val="none"/>
        </w:rPr>
      </w:pPr>
      <w:bookmarkStart w:id="45" w:name="_Toc13898"/>
      <w:bookmarkStart w:id="46" w:name="_Toc29345"/>
      <w:bookmarkStart w:id="47" w:name="_Toc30530"/>
      <w:bookmarkStart w:id="48" w:name="_Toc29484"/>
      <w:bookmarkStart w:id="49" w:name="_Toc87616378"/>
      <w:bookmarkStart w:id="50" w:name="_Toc6308"/>
      <w:bookmarkStart w:id="51" w:name="_Toc32607"/>
      <w:bookmarkStart w:id="52" w:name="_Toc21079"/>
      <w:bookmarkStart w:id="53" w:name="_Toc21840"/>
      <w:bookmarkStart w:id="54" w:name="_Toc12177"/>
      <w:bookmarkStart w:id="55" w:name="_Toc22212"/>
      <w:bookmarkStart w:id="56" w:name="_Toc7831"/>
      <w:bookmarkStart w:id="57" w:name="_Toc88209941"/>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5"/>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2356485</wp:posOffset>
                </wp:positionH>
                <wp:positionV relativeFrom="paragraph">
                  <wp:posOffset>211455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5.55pt;margin-top:16.65pt;height:0pt;width:75.5pt;z-index:251674624;mso-width-relative:page;mso-height-relative:page;" filled="f" stroked="t" coordsize="21600,21600" o:gfxdata="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RddX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12"/>
        <w:numPr>
          <w:ilvl w:val="0"/>
          <w:numId w:val="4"/>
        </w:numPr>
        <w:adjustRightInd w:val="0"/>
        <w:snapToGrid w:val="0"/>
        <w:spacing w:line="360" w:lineRule="auto"/>
        <w:ind w:firstLine="562" w:firstLineChars="200"/>
        <w:rPr>
          <w:rFonts w:hint="eastAsia" w:ascii="仿宋" w:hAnsi="仿宋" w:eastAsia="仿宋" w:cs="仿宋_GB2312"/>
          <w:b/>
          <w:bCs/>
          <w:color w:val="000000"/>
          <w:kern w:val="0"/>
          <w:sz w:val="28"/>
          <w:szCs w:val="28"/>
          <w:lang w:val="en-US" w:eastAsia="zh-CN"/>
        </w:rPr>
      </w:pPr>
      <w:r>
        <w:rPr>
          <w:rFonts w:hint="eastAsia" w:ascii="仿宋" w:hAnsi="仿宋" w:eastAsia="仿宋" w:cs="仿宋_GB2312"/>
          <w:b/>
          <w:bCs/>
          <w:color w:val="000000"/>
          <w:kern w:val="0"/>
          <w:sz w:val="28"/>
          <w:szCs w:val="28"/>
          <w:lang w:val="en-US" w:eastAsia="zh-CN"/>
        </w:rPr>
        <w:t>项目内容及需求</w:t>
      </w:r>
    </w:p>
    <w:p>
      <w:pPr>
        <w:widowControl w:val="0"/>
        <w:adjustRightInd w:val="0"/>
        <w:snapToGrid w:val="0"/>
        <w:spacing w:line="360" w:lineRule="auto"/>
        <w:jc w:val="left"/>
        <w:textAlignment w:val="baseline"/>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项目一：沥滘分公司一二三期危废间等墙体修缮项目</w:t>
      </w:r>
    </w:p>
    <w:p>
      <w:pPr>
        <w:pStyle w:val="12"/>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对厂区危废贮存间墙体和三期粗格栅楼梯入口的飘台底、三期粗格栅楼梯间和泵房墙面、二期中水砂滤池墙体等进行墙面修缮。</w:t>
      </w:r>
    </w:p>
    <w:p>
      <w:pPr>
        <w:pStyle w:val="12"/>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针对危废贮存间顶部外沿墙面、二期中水砂滤池顶部表面破损墙体以及三期粗格栅楼梯入口的飘台底墙体进行修缮：</w:t>
      </w:r>
    </w:p>
    <w:p>
      <w:pPr>
        <w:pStyle w:val="12"/>
        <w:numPr>
          <w:ilvl w:val="0"/>
          <w:numId w:val="5"/>
        </w:num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铲除破损处墙面；</w:t>
      </w:r>
    </w:p>
    <w:p>
      <w:pPr>
        <w:pStyle w:val="12"/>
        <w:numPr>
          <w:ilvl w:val="0"/>
          <w:numId w:val="5"/>
        </w:num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找平后刷抹灰腻子（耐水性），刮腻子遍数：2；</w:t>
      </w:r>
    </w:p>
    <w:p>
      <w:pPr>
        <w:pStyle w:val="12"/>
        <w:numPr>
          <w:ilvl w:val="0"/>
          <w:numId w:val="5"/>
        </w:num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刷底漆两遍，面漆两遍。</w:t>
      </w:r>
    </w:p>
    <w:p>
      <w:pPr>
        <w:pStyle w:val="12"/>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厂区危废贮存间、三期粗格栅楼梯间和泵房（即粗格栅泵房的3#、4#楼梯间）的墙壁表面破损处进行修缮:</w:t>
      </w:r>
    </w:p>
    <w:p>
      <w:pPr>
        <w:pStyle w:val="12"/>
        <w:numPr>
          <w:ilvl w:val="0"/>
          <w:numId w:val="6"/>
        </w:num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铲除破损处墙面；</w:t>
      </w:r>
    </w:p>
    <w:p>
      <w:pPr>
        <w:pStyle w:val="12"/>
        <w:numPr>
          <w:ilvl w:val="0"/>
          <w:numId w:val="6"/>
        </w:num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涂防水层;</w:t>
      </w:r>
    </w:p>
    <w:p>
      <w:pPr>
        <w:pStyle w:val="12"/>
        <w:numPr>
          <w:ilvl w:val="0"/>
          <w:numId w:val="6"/>
        </w:num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找平后刷抹灰腻子（耐水性），刮腻子遍数：2;</w:t>
      </w:r>
    </w:p>
    <w:p>
      <w:pPr>
        <w:pStyle w:val="12"/>
        <w:adjustRightInd w:val="0"/>
        <w:snapToGrid w:val="0"/>
        <w:spacing w:line="520" w:lineRule="exact"/>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刷底漆两遍，面漆两遍.</w:t>
      </w:r>
    </w:p>
    <w:p>
      <w:pPr>
        <w:pStyle w:val="2"/>
        <w:rPr>
          <w:rFonts w:hint="eastAsia"/>
          <w:lang w:val="zh-CN" w:eastAsia="zh-CN"/>
        </w:rPr>
      </w:pPr>
    </w:p>
    <w:p>
      <w:pPr>
        <w:pStyle w:val="2"/>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lang w:val="zh-CN" w:eastAsia="zh-CN"/>
        </w:rPr>
        <w:t>：沥滘分公司一二期提标生物滤池电房优化项目</w:t>
      </w:r>
    </w:p>
    <w:p>
      <w:pPr>
        <w:pStyle w:val="13"/>
        <w:ind w:firstLine="420"/>
        <w:rPr>
          <w:rFonts w:ascii="仿宋" w:hAnsi="仿宋" w:eastAsia="仿宋" w:cs="仿宋"/>
          <w:bCs/>
          <w:sz w:val="28"/>
          <w:szCs w:val="28"/>
          <w:highlight w:val="none"/>
        </w:rPr>
      </w:pPr>
      <w:r>
        <w:rPr>
          <w:rFonts w:ascii="仿宋" w:hAnsi="仿宋" w:eastAsia="仿宋" w:cs="仿宋"/>
          <w:bCs/>
          <w:sz w:val="28"/>
          <w:szCs w:val="28"/>
          <w:highlight w:val="none"/>
        </w:rPr>
        <w:t>提标生物滤池低压电房出线电缆桥架上方加装雨棚，防止雨天时电房进水安全隐患。</w:t>
      </w:r>
      <w:r>
        <w:rPr>
          <w:rFonts w:hint="eastAsia" w:ascii="仿宋" w:hAnsi="仿宋" w:eastAsia="仿宋" w:cs="仿宋"/>
          <w:bCs/>
          <w:sz w:val="28"/>
          <w:szCs w:val="28"/>
          <w:highlight w:val="none"/>
        </w:rPr>
        <w:t>雨棚详细：</w:t>
      </w:r>
    </w:p>
    <w:p>
      <w:pPr>
        <w:pStyle w:val="13"/>
        <w:ind w:firstLine="420"/>
        <w:rPr>
          <w:rFonts w:ascii="仿宋" w:hAnsi="仿宋" w:eastAsia="仿宋" w:cs="仿宋"/>
          <w:bCs/>
          <w:sz w:val="28"/>
          <w:szCs w:val="28"/>
          <w:highlight w:val="none"/>
        </w:rPr>
      </w:pPr>
      <w:r>
        <w:rPr>
          <w:rFonts w:hint="eastAsia" w:ascii="仿宋" w:hAnsi="仿宋" w:eastAsia="仿宋" w:cs="仿宋"/>
          <w:bCs/>
          <w:sz w:val="28"/>
          <w:szCs w:val="28"/>
          <w:highlight w:val="none"/>
        </w:rPr>
        <w:t>提标生物滤池低压电房出线电缆桥架上方加装雨棚，防止雨天时电房进水安全隐患。雨棚长约18米，宽约2米,生物滤池电房顶用不锈钢脚架支撑雨棚一侧。另一侧采用钢结构支撑在出水泵房顶部侧边墙壁上。</w:t>
      </w:r>
    </w:p>
    <w:p>
      <w:pPr>
        <w:pStyle w:val="12"/>
        <w:numPr>
          <w:ilvl w:val="255"/>
          <w:numId w:val="0"/>
        </w:num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雨棚向生物滤池电房顶倾斜，形成高低差，让雨棚上的雨水往生物滤池泵房倾斜，同时雨棚生物滤池电房侧（雨棚西侧）做雨水收集槽，雨棚收集槽北侧（即雨棚西北角）接DN100PVC管做雨水管，雨水管沿着生物滤池电房屋顶东边墙壁角落往北侧继续铺设，接入屋顶东北角的雨水槽。</w:t>
      </w:r>
    </w:p>
    <w:p>
      <w:pPr>
        <w:pStyle w:val="3"/>
        <w:rPr>
          <w:rFonts w:hint="eastAsia"/>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lang w:val="zh-CN" w:eastAsia="zh-CN"/>
        </w:rPr>
        <w:t>：沥滘分公司一二期提标深度提升泵房等地面优化项目</w:t>
      </w:r>
    </w:p>
    <w:p>
      <w:pPr>
        <w:pStyle w:val="13"/>
        <w:ind w:firstLine="420"/>
        <w:rPr>
          <w:rFonts w:ascii="仿宋" w:hAnsi="仿宋" w:eastAsia="仿宋" w:cs="仿宋"/>
          <w:bCs/>
          <w:sz w:val="28"/>
          <w:szCs w:val="28"/>
          <w:highlight w:val="none"/>
        </w:rPr>
      </w:pPr>
      <w:r>
        <w:rPr>
          <w:rFonts w:hint="eastAsia" w:ascii="仿宋" w:hAnsi="仿宋" w:eastAsia="仿宋" w:cs="仿宋"/>
          <w:bCs/>
          <w:sz w:val="28"/>
          <w:szCs w:val="28"/>
          <w:highlight w:val="none"/>
        </w:rPr>
        <w:t>对提标深度提升泵南门门槛地面、一期鼓风机西门斜坡地面和1#高压室南门斜波地面进行修缮。</w:t>
      </w:r>
    </w:p>
    <w:p>
      <w:pPr>
        <w:pStyle w:val="13"/>
        <w:ind w:firstLine="420"/>
        <w:rPr>
          <w:rFonts w:ascii="仿宋" w:hAnsi="仿宋" w:eastAsia="仿宋" w:cs="仿宋"/>
          <w:bCs/>
          <w:sz w:val="28"/>
          <w:szCs w:val="28"/>
          <w:highlight w:val="none"/>
        </w:rPr>
      </w:pPr>
      <w:r>
        <w:rPr>
          <w:rFonts w:hint="eastAsia" w:ascii="仿宋" w:hAnsi="仿宋" w:eastAsia="仿宋" w:cs="仿宋"/>
          <w:bCs/>
          <w:sz w:val="28"/>
          <w:szCs w:val="28"/>
          <w:highlight w:val="none"/>
        </w:rPr>
        <w:t>一期鼓风机房施工内容：</w:t>
      </w:r>
    </w:p>
    <w:p>
      <w:pPr>
        <w:pStyle w:val="13"/>
        <w:numPr>
          <w:ilvl w:val="0"/>
          <w:numId w:val="7"/>
        </w:numPr>
        <w:ind w:left="420" w:leftChars="200"/>
        <w:rPr>
          <w:rFonts w:ascii="仿宋" w:hAnsi="仿宋" w:eastAsia="仿宋" w:cs="仿宋"/>
          <w:bCs/>
          <w:sz w:val="28"/>
          <w:szCs w:val="28"/>
          <w:highlight w:val="none"/>
        </w:rPr>
      </w:pPr>
      <w:r>
        <w:rPr>
          <w:rFonts w:hint="eastAsia" w:ascii="仿宋" w:hAnsi="仿宋" w:eastAsia="仿宋" w:cs="仿宋"/>
          <w:bCs/>
          <w:sz w:val="28"/>
          <w:szCs w:val="28"/>
          <w:highlight w:val="none"/>
        </w:rPr>
        <w:t>拆除一期鼓风机房西面入口原有的混凝土斜坡，530cm*270cm*20cm，并打磨地面。</w:t>
      </w:r>
    </w:p>
    <w:p>
      <w:pPr>
        <w:pStyle w:val="13"/>
        <w:numPr>
          <w:ilvl w:val="0"/>
          <w:numId w:val="7"/>
        </w:numPr>
        <w:ind w:left="420" w:leftChars="200"/>
        <w:rPr>
          <w:rFonts w:ascii="仿宋" w:hAnsi="仿宋" w:eastAsia="仿宋" w:cs="仿宋"/>
          <w:bCs/>
          <w:sz w:val="28"/>
          <w:szCs w:val="28"/>
          <w:highlight w:val="none"/>
        </w:rPr>
      </w:pPr>
      <w:r>
        <w:rPr>
          <w:rFonts w:hint="eastAsia" w:ascii="仿宋" w:hAnsi="仿宋" w:eastAsia="仿宋" w:cs="仿宋"/>
          <w:bCs/>
          <w:sz w:val="28"/>
          <w:szCs w:val="28"/>
          <w:highlight w:val="none"/>
        </w:rPr>
        <w:t>浇筑新C30混凝土斜坡，尺寸为530cm*270cm*20cm。做新浇筑的混凝土斜坡前先做好地面拉毛等处理，内部铺一层钢筋，主筋为三级钢16-150、分布筋为三级钢12-150。</w:t>
      </w:r>
    </w:p>
    <w:p>
      <w:pPr>
        <w:pStyle w:val="13"/>
        <w:ind w:firstLine="420"/>
        <w:rPr>
          <w:rFonts w:ascii="仿宋" w:hAnsi="仿宋" w:eastAsia="仿宋" w:cs="仿宋"/>
          <w:bCs/>
          <w:sz w:val="28"/>
          <w:szCs w:val="28"/>
          <w:highlight w:val="none"/>
        </w:rPr>
      </w:pPr>
      <w:r>
        <w:rPr>
          <w:rFonts w:ascii="仿宋" w:hAnsi="仿宋" w:eastAsia="仿宋" w:cs="仿宋"/>
          <w:bCs/>
          <w:sz w:val="28"/>
          <w:szCs w:val="28"/>
          <w:highlight w:val="none"/>
        </w:rPr>
        <w:t>深度提升泵房</w:t>
      </w:r>
      <w:r>
        <w:rPr>
          <w:rFonts w:hint="eastAsia" w:ascii="仿宋" w:hAnsi="仿宋" w:eastAsia="仿宋" w:cs="仿宋"/>
          <w:bCs/>
          <w:sz w:val="28"/>
          <w:szCs w:val="28"/>
          <w:highlight w:val="none"/>
        </w:rPr>
        <w:t>施工内容：</w:t>
      </w:r>
    </w:p>
    <w:p>
      <w:pPr>
        <w:pStyle w:val="13"/>
        <w:numPr>
          <w:ilvl w:val="0"/>
          <w:numId w:val="8"/>
        </w:numPr>
        <w:ind w:left="420" w:leftChars="200"/>
        <w:rPr>
          <w:rFonts w:ascii="仿宋" w:hAnsi="仿宋" w:eastAsia="仿宋" w:cs="仿宋"/>
          <w:bCs/>
          <w:sz w:val="28"/>
          <w:szCs w:val="28"/>
          <w:highlight w:val="none"/>
        </w:rPr>
      </w:pPr>
      <w:r>
        <w:rPr>
          <w:rFonts w:hint="eastAsia" w:ascii="仿宋" w:hAnsi="仿宋" w:eastAsia="仿宋" w:cs="仿宋"/>
          <w:bCs/>
          <w:sz w:val="28"/>
          <w:szCs w:val="28"/>
          <w:highlight w:val="none"/>
        </w:rPr>
        <w:t>拆除</w:t>
      </w:r>
      <w:r>
        <w:rPr>
          <w:rFonts w:ascii="仿宋" w:hAnsi="仿宋" w:eastAsia="仿宋" w:cs="仿宋"/>
          <w:bCs/>
          <w:sz w:val="28"/>
          <w:szCs w:val="28"/>
          <w:highlight w:val="none"/>
        </w:rPr>
        <w:t>深度提升泵房</w:t>
      </w:r>
      <w:r>
        <w:rPr>
          <w:rFonts w:hint="eastAsia" w:ascii="仿宋" w:hAnsi="仿宋" w:eastAsia="仿宋" w:cs="仿宋"/>
          <w:bCs/>
          <w:sz w:val="28"/>
          <w:szCs w:val="28"/>
          <w:highlight w:val="none"/>
        </w:rPr>
        <w:t>入口处部分地面，尺寸为420cm*35cm*11cm，并打磨。</w:t>
      </w:r>
    </w:p>
    <w:p>
      <w:pPr>
        <w:pStyle w:val="13"/>
        <w:numPr>
          <w:ilvl w:val="0"/>
          <w:numId w:val="8"/>
        </w:numPr>
        <w:ind w:left="420" w:leftChars="200"/>
        <w:rPr>
          <w:rFonts w:ascii="仿宋" w:hAnsi="仿宋" w:eastAsia="仿宋" w:cs="仿宋"/>
          <w:bCs/>
          <w:sz w:val="28"/>
          <w:szCs w:val="28"/>
          <w:highlight w:val="none"/>
        </w:rPr>
      </w:pPr>
      <w:r>
        <w:rPr>
          <w:rFonts w:hint="eastAsia" w:ascii="仿宋" w:hAnsi="仿宋" w:eastAsia="仿宋" w:cs="仿宋"/>
          <w:bCs/>
          <w:sz w:val="28"/>
          <w:szCs w:val="28"/>
          <w:highlight w:val="none"/>
        </w:rPr>
        <w:t>浇筑修复</w:t>
      </w:r>
      <w:r>
        <w:rPr>
          <w:rFonts w:ascii="仿宋" w:hAnsi="仿宋" w:eastAsia="仿宋" w:cs="仿宋"/>
          <w:bCs/>
          <w:sz w:val="28"/>
          <w:szCs w:val="28"/>
          <w:highlight w:val="none"/>
        </w:rPr>
        <w:t>深度提升泵房</w:t>
      </w:r>
      <w:r>
        <w:rPr>
          <w:rFonts w:hint="eastAsia" w:ascii="仿宋" w:hAnsi="仿宋" w:eastAsia="仿宋" w:cs="仿宋"/>
          <w:bCs/>
          <w:sz w:val="28"/>
          <w:szCs w:val="28"/>
          <w:highlight w:val="none"/>
        </w:rPr>
        <w:t>入口处部分地面，尺寸为420cm*35cm*11cm，且再做新C30混凝土斜坡，尺寸为420cm*200cm*11cm。</w:t>
      </w:r>
    </w:p>
    <w:p>
      <w:pPr>
        <w:pStyle w:val="13"/>
        <w:numPr>
          <w:ilvl w:val="0"/>
          <w:numId w:val="8"/>
        </w:numPr>
        <w:ind w:left="420" w:leftChars="200"/>
        <w:rPr>
          <w:rFonts w:ascii="仿宋" w:hAnsi="仿宋" w:eastAsia="仿宋" w:cs="仿宋"/>
          <w:bCs/>
          <w:sz w:val="28"/>
          <w:szCs w:val="28"/>
          <w:highlight w:val="none"/>
        </w:rPr>
      </w:pPr>
      <w:r>
        <w:rPr>
          <w:rFonts w:hint="eastAsia" w:ascii="仿宋" w:hAnsi="仿宋" w:eastAsia="仿宋" w:cs="仿宋"/>
          <w:bCs/>
          <w:sz w:val="28"/>
          <w:szCs w:val="28"/>
          <w:highlight w:val="none"/>
        </w:rPr>
        <w:t>做新浇筑的混凝土斜坡前先做好地面拉毛等处理，内部铺一层钢筋，主筋为三级钢16-150、分布筋为三级钢12-150。</w:t>
      </w:r>
    </w:p>
    <w:p>
      <w:pPr>
        <w:pStyle w:val="13"/>
        <w:ind w:firstLine="420"/>
        <w:rPr>
          <w:rFonts w:ascii="仿宋" w:hAnsi="仿宋" w:eastAsia="仿宋" w:cs="仿宋"/>
          <w:bCs/>
          <w:sz w:val="28"/>
          <w:szCs w:val="28"/>
          <w:highlight w:val="none"/>
        </w:rPr>
      </w:pPr>
      <w:r>
        <w:rPr>
          <w:rFonts w:ascii="仿宋" w:hAnsi="仿宋" w:eastAsia="仿宋" w:cs="仿宋"/>
          <w:bCs/>
          <w:sz w:val="28"/>
          <w:szCs w:val="28"/>
          <w:highlight w:val="none"/>
        </w:rPr>
        <w:t>PLC控制房</w:t>
      </w:r>
      <w:r>
        <w:rPr>
          <w:rFonts w:hint="eastAsia" w:ascii="仿宋" w:hAnsi="仿宋" w:eastAsia="仿宋" w:cs="仿宋"/>
          <w:bCs/>
          <w:sz w:val="28"/>
          <w:szCs w:val="28"/>
          <w:highlight w:val="none"/>
        </w:rPr>
        <w:t>施工内容：</w:t>
      </w:r>
    </w:p>
    <w:p>
      <w:pPr>
        <w:pStyle w:val="13"/>
        <w:numPr>
          <w:ilvl w:val="0"/>
          <w:numId w:val="9"/>
        </w:numPr>
        <w:ind w:left="420" w:leftChars="200"/>
        <w:rPr>
          <w:rFonts w:ascii="仿宋" w:hAnsi="仿宋" w:eastAsia="仿宋" w:cs="仿宋"/>
          <w:bCs/>
          <w:sz w:val="28"/>
          <w:szCs w:val="28"/>
          <w:highlight w:val="none"/>
        </w:rPr>
      </w:pPr>
      <w:r>
        <w:rPr>
          <w:rFonts w:hint="eastAsia" w:ascii="仿宋" w:hAnsi="仿宋" w:eastAsia="仿宋" w:cs="仿宋"/>
          <w:bCs/>
          <w:sz w:val="28"/>
          <w:szCs w:val="28"/>
          <w:highlight w:val="none"/>
        </w:rPr>
        <w:t>拆除</w:t>
      </w:r>
      <w:r>
        <w:rPr>
          <w:rFonts w:ascii="仿宋" w:hAnsi="仿宋" w:eastAsia="仿宋" w:cs="仿宋"/>
          <w:bCs/>
          <w:sz w:val="28"/>
          <w:szCs w:val="28"/>
          <w:highlight w:val="none"/>
        </w:rPr>
        <w:t>PLC控制房</w:t>
      </w:r>
      <w:r>
        <w:rPr>
          <w:rFonts w:hint="eastAsia" w:ascii="仿宋" w:hAnsi="仿宋" w:eastAsia="仿宋" w:cs="仿宋"/>
          <w:bCs/>
          <w:sz w:val="28"/>
          <w:szCs w:val="28"/>
          <w:highlight w:val="none"/>
        </w:rPr>
        <w:t>南面入口原有的混凝土斜坡，尺寸为500cm*190cm*45cm，并打磨地面。</w:t>
      </w:r>
    </w:p>
    <w:p>
      <w:pPr>
        <w:pStyle w:val="13"/>
        <w:numPr>
          <w:ilvl w:val="0"/>
          <w:numId w:val="9"/>
        </w:numPr>
        <w:ind w:firstLine="420"/>
        <w:rPr>
          <w:rFonts w:ascii="仿宋" w:hAnsi="仿宋" w:eastAsia="仿宋" w:cs="仿宋"/>
          <w:bCs/>
          <w:sz w:val="28"/>
          <w:szCs w:val="28"/>
          <w:highlight w:val="none"/>
        </w:rPr>
      </w:pPr>
      <w:r>
        <w:rPr>
          <w:rFonts w:hint="eastAsia" w:ascii="仿宋" w:hAnsi="仿宋" w:eastAsia="仿宋" w:cs="仿宋"/>
          <w:bCs/>
          <w:sz w:val="28"/>
          <w:szCs w:val="28"/>
          <w:highlight w:val="none"/>
        </w:rPr>
        <w:t>浇筑新C30混凝土斜坡，尺寸为500cm*190cm*45cm。做新浇筑的混凝土斜坡前先做好地面拉毛等处理，内部铺两层钢筋，主筋为三级钢16-150、分布筋为三级钢12-150。</w:t>
      </w: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四</w:t>
      </w:r>
      <w:r>
        <w:rPr>
          <w:rFonts w:hint="eastAsia" w:ascii="仿宋" w:hAnsi="仿宋" w:eastAsia="仿宋" w:cs="仿宋"/>
          <w:b/>
          <w:bCs/>
          <w:color w:val="auto"/>
          <w:sz w:val="28"/>
          <w:szCs w:val="28"/>
          <w:lang w:val="zh-CN" w:eastAsia="zh-CN"/>
        </w:rPr>
        <w:t>：沥滘分公司一期鼓风机房地面修缮项目</w:t>
      </w:r>
    </w:p>
    <w:p>
      <w:pPr>
        <w:pStyle w:val="13"/>
        <w:rPr>
          <w:rFonts w:ascii="仿宋" w:hAnsi="仿宋" w:eastAsia="仿宋" w:cs="仿宋"/>
          <w:bCs/>
          <w:sz w:val="28"/>
          <w:szCs w:val="28"/>
          <w:highlight w:val="none"/>
        </w:rPr>
      </w:pPr>
      <w:r>
        <w:rPr>
          <w:rFonts w:hint="eastAsia" w:ascii="仿宋" w:hAnsi="仿宋" w:eastAsia="仿宋" w:cs="仿宋"/>
          <w:bCs/>
          <w:sz w:val="28"/>
          <w:szCs w:val="28"/>
          <w:highlight w:val="none"/>
        </w:rPr>
        <w:t>做</w:t>
      </w:r>
      <w:r>
        <w:rPr>
          <w:rFonts w:ascii="仿宋" w:hAnsi="仿宋" w:eastAsia="仿宋" w:cs="仿宋"/>
          <w:bCs/>
          <w:sz w:val="28"/>
          <w:szCs w:val="28"/>
          <w:highlight w:val="none"/>
        </w:rPr>
        <w:t>一期鼓风机房地面修缮项目，地面瓷砖破损更换、刷地坪漆（厚）</w:t>
      </w:r>
      <w:r>
        <w:rPr>
          <w:rFonts w:hint="eastAsia" w:ascii="仿宋" w:hAnsi="仿宋" w:eastAsia="仿宋" w:cs="仿宋"/>
          <w:bCs/>
          <w:sz w:val="28"/>
          <w:szCs w:val="28"/>
          <w:highlight w:val="none"/>
        </w:rPr>
        <w:t>。</w:t>
      </w:r>
    </w:p>
    <w:p>
      <w:pPr>
        <w:pStyle w:val="13"/>
        <w:numPr>
          <w:ilvl w:val="0"/>
          <w:numId w:val="10"/>
        </w:numPr>
        <w:rPr>
          <w:rFonts w:ascii="仿宋" w:hAnsi="仿宋" w:eastAsia="仿宋" w:cs="仿宋"/>
          <w:bCs/>
          <w:sz w:val="28"/>
          <w:szCs w:val="28"/>
          <w:highlight w:val="none"/>
        </w:rPr>
      </w:pPr>
      <w:r>
        <w:rPr>
          <w:rFonts w:ascii="仿宋" w:hAnsi="仿宋" w:eastAsia="仿宋" w:cs="仿宋"/>
          <w:bCs/>
          <w:sz w:val="28"/>
          <w:szCs w:val="28"/>
          <w:highlight w:val="none"/>
        </w:rPr>
        <w:t>地面原有瓷砖拆除</w:t>
      </w:r>
      <w:r>
        <w:rPr>
          <w:rFonts w:hint="eastAsia" w:ascii="仿宋" w:hAnsi="仿宋" w:eastAsia="仿宋" w:cs="仿宋"/>
          <w:bCs/>
          <w:sz w:val="28"/>
          <w:szCs w:val="28"/>
          <w:highlight w:val="none"/>
        </w:rPr>
        <w:t>：156m</w:t>
      </w:r>
      <w:r>
        <w:rPr>
          <w:rFonts w:hint="eastAsia" w:hAnsi="宋体"/>
          <w:bCs/>
          <w:sz w:val="28"/>
          <w:szCs w:val="28"/>
          <w:highlight w:val="none"/>
        </w:rPr>
        <w:t>²</w:t>
      </w:r>
      <w:r>
        <w:rPr>
          <w:rFonts w:hint="eastAsia" w:ascii="仿宋" w:hAnsi="仿宋" w:eastAsia="仿宋" w:cs="仿宋"/>
          <w:bCs/>
          <w:sz w:val="28"/>
          <w:szCs w:val="28"/>
          <w:highlight w:val="none"/>
        </w:rPr>
        <w:t>，瓷砖</w:t>
      </w:r>
      <w:r>
        <w:rPr>
          <w:rFonts w:ascii="仿宋" w:hAnsi="仿宋" w:eastAsia="仿宋" w:cs="仿宋"/>
          <w:bCs/>
          <w:sz w:val="28"/>
          <w:szCs w:val="28"/>
          <w:highlight w:val="none"/>
        </w:rPr>
        <w:t>厚5mm</w:t>
      </w:r>
      <w:r>
        <w:rPr>
          <w:rFonts w:hint="eastAsia" w:ascii="仿宋" w:hAnsi="仿宋" w:eastAsia="仿宋" w:cs="仿宋"/>
          <w:bCs/>
          <w:sz w:val="28"/>
          <w:szCs w:val="28"/>
          <w:highlight w:val="none"/>
        </w:rPr>
        <w:t>。</w:t>
      </w:r>
    </w:p>
    <w:p>
      <w:pPr>
        <w:pStyle w:val="13"/>
        <w:numPr>
          <w:ilvl w:val="0"/>
          <w:numId w:val="10"/>
        </w:numPr>
        <w:rPr>
          <w:rFonts w:ascii="仿宋" w:hAnsi="仿宋" w:eastAsia="仿宋" w:cs="仿宋"/>
          <w:bCs/>
          <w:sz w:val="28"/>
          <w:szCs w:val="28"/>
          <w:highlight w:val="none"/>
        </w:rPr>
      </w:pPr>
      <w:r>
        <w:rPr>
          <w:rFonts w:hint="eastAsia" w:ascii="仿宋" w:hAnsi="仿宋" w:eastAsia="仿宋" w:cs="仿宋"/>
          <w:bCs/>
          <w:sz w:val="28"/>
          <w:szCs w:val="28"/>
          <w:highlight w:val="none"/>
        </w:rPr>
        <w:t>拆除原有地坪漆：44m</w:t>
      </w:r>
      <w:r>
        <w:rPr>
          <w:rFonts w:hint="eastAsia" w:hAnsi="宋体"/>
          <w:bCs/>
          <w:sz w:val="28"/>
          <w:szCs w:val="28"/>
          <w:highlight w:val="none"/>
        </w:rPr>
        <w:t>²</w:t>
      </w:r>
    </w:p>
    <w:p>
      <w:pPr>
        <w:pStyle w:val="13"/>
        <w:numPr>
          <w:ilvl w:val="0"/>
          <w:numId w:val="10"/>
        </w:numPr>
        <w:rPr>
          <w:rFonts w:ascii="仿宋" w:hAnsi="仿宋" w:eastAsia="仿宋" w:cs="仿宋"/>
          <w:bCs/>
          <w:sz w:val="28"/>
          <w:szCs w:val="28"/>
          <w:highlight w:val="none"/>
        </w:rPr>
      </w:pPr>
      <w:r>
        <w:rPr>
          <w:rFonts w:hint="eastAsia" w:ascii="仿宋" w:hAnsi="仿宋" w:eastAsia="仿宋" w:cs="仿宋"/>
          <w:bCs/>
          <w:sz w:val="28"/>
          <w:szCs w:val="28"/>
          <w:highlight w:val="none"/>
        </w:rPr>
        <w:t>清理基面：高功率无尘打磨机去除原有地坪漆至混凝土面层；</w:t>
      </w:r>
    </w:p>
    <w:p>
      <w:pPr>
        <w:pStyle w:val="13"/>
        <w:numPr>
          <w:ilvl w:val="0"/>
          <w:numId w:val="10"/>
        </w:numPr>
        <w:rPr>
          <w:rFonts w:ascii="仿宋" w:hAnsi="仿宋" w:eastAsia="仿宋" w:cs="仿宋"/>
          <w:bCs/>
          <w:sz w:val="28"/>
          <w:szCs w:val="28"/>
          <w:highlight w:val="none"/>
        </w:rPr>
      </w:pPr>
      <w:r>
        <w:rPr>
          <w:rFonts w:hint="eastAsia" w:ascii="仿宋" w:hAnsi="仿宋" w:eastAsia="仿宋" w:cs="仿宋"/>
          <w:bCs/>
          <w:sz w:val="28"/>
          <w:szCs w:val="28"/>
          <w:highlight w:val="none"/>
        </w:rPr>
        <w:t>基面清洁：对整体面进行清洁，保证基面干燥、不能有明水；</w:t>
      </w:r>
    </w:p>
    <w:p>
      <w:pPr>
        <w:pStyle w:val="13"/>
        <w:numPr>
          <w:ilvl w:val="0"/>
          <w:numId w:val="10"/>
        </w:numPr>
        <w:rPr>
          <w:rFonts w:ascii="仿宋" w:hAnsi="仿宋" w:eastAsia="仿宋" w:cs="仿宋"/>
          <w:bCs/>
          <w:sz w:val="28"/>
          <w:szCs w:val="28"/>
          <w:highlight w:val="none"/>
        </w:rPr>
      </w:pPr>
      <w:r>
        <w:rPr>
          <w:rFonts w:hint="eastAsia" w:ascii="仿宋" w:hAnsi="仿宋" w:eastAsia="仿宋" w:cs="仿宋"/>
          <w:bCs/>
          <w:sz w:val="28"/>
          <w:szCs w:val="28"/>
          <w:highlight w:val="none"/>
        </w:rPr>
        <w:t>基面结构：涂刮 STIC-930 高渗透性环氧砂浆 3 遍，3mm 厚 （对混凝土基面加固、基面找平），自然风干七天以上；</w:t>
      </w:r>
    </w:p>
    <w:p>
      <w:pPr>
        <w:pStyle w:val="13"/>
        <w:numPr>
          <w:ilvl w:val="0"/>
          <w:numId w:val="10"/>
        </w:numPr>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底 漆：涂刷 STIC-9308 环氧底漆一遍； </w:t>
      </w:r>
    </w:p>
    <w:p>
      <w:pPr>
        <w:pStyle w:val="13"/>
        <w:numPr>
          <w:ilvl w:val="0"/>
          <w:numId w:val="10"/>
        </w:numPr>
        <w:rPr>
          <w:rFonts w:ascii="仿宋" w:hAnsi="仿宋" w:eastAsia="仿宋" w:cs="仿宋"/>
          <w:bCs/>
          <w:sz w:val="28"/>
          <w:szCs w:val="28"/>
          <w:highlight w:val="none"/>
        </w:rPr>
      </w:pPr>
      <w:r>
        <w:rPr>
          <w:rFonts w:hint="eastAsia" w:ascii="仿宋" w:hAnsi="仿宋" w:eastAsia="仿宋" w:cs="仿宋"/>
          <w:bCs/>
          <w:sz w:val="28"/>
          <w:szCs w:val="28"/>
          <w:highlight w:val="none"/>
        </w:rPr>
        <w:t>中 间 层：涂刷 STIC-9318 环氧地坪漆二遍； 面 漆：涂刷 STIC-9901-1 特种防腐漆一遍（耐磨、高光）</w:t>
      </w: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五</w:t>
      </w:r>
      <w:r>
        <w:rPr>
          <w:rFonts w:hint="eastAsia" w:ascii="仿宋" w:hAnsi="仿宋" w:eastAsia="仿宋" w:cs="仿宋"/>
          <w:b/>
          <w:bCs/>
          <w:color w:val="auto"/>
          <w:sz w:val="28"/>
          <w:szCs w:val="28"/>
          <w:lang w:val="zh-CN" w:eastAsia="zh-CN"/>
        </w:rPr>
        <w:t>：大沙地分公司一期提标门、窗防汛挡板优化项目</w:t>
      </w:r>
    </w:p>
    <w:p>
      <w:pPr>
        <w:pStyle w:val="12"/>
        <w:numPr>
          <w:ilvl w:val="255"/>
          <w:numId w:val="0"/>
        </w:numPr>
        <w:adjustRightInd w:val="0"/>
        <w:snapToGrid w:val="0"/>
        <w:spacing w:line="360" w:lineRule="auto"/>
        <w:ind w:firstLine="560" w:firstLineChars="200"/>
        <w:rPr>
          <w:rFonts w:hint="eastAsia" w:ascii="仿宋" w:hAnsi="仿宋" w:eastAsia="仿宋" w:cs="仿宋_GB2312"/>
          <w:color w:val="000000"/>
          <w:kern w:val="0"/>
          <w:sz w:val="28"/>
          <w:szCs w:val="28"/>
          <w:lang w:val="en-US" w:eastAsia="zh-CN"/>
        </w:rPr>
      </w:pPr>
      <w:r>
        <w:rPr>
          <w:rFonts w:hint="eastAsia" w:ascii="仿宋" w:hAnsi="仿宋" w:eastAsia="仿宋" w:cs="仿宋_GB2312"/>
          <w:color w:val="000000"/>
          <w:kern w:val="0"/>
          <w:sz w:val="28"/>
          <w:szCs w:val="28"/>
          <w:lang w:val="en-US" w:eastAsia="zh-CN"/>
        </w:rPr>
        <w:t>大沙地分公司的一期提标建筑物，未有防汛挡板，存在安全隐患。为了加强防汛能力，需对关键电房和重要生产设施场所出入口加装防汛挡板。</w:t>
      </w:r>
    </w:p>
    <w:p>
      <w:pPr>
        <w:pStyle w:val="12"/>
        <w:numPr>
          <w:ilvl w:val="255"/>
          <w:numId w:val="0"/>
        </w:numPr>
        <w:adjustRightInd w:val="0"/>
        <w:snapToGrid w:val="0"/>
        <w:spacing w:line="360" w:lineRule="auto"/>
        <w:ind w:firstLine="560" w:firstLineChars="200"/>
        <w:rPr>
          <w:rFonts w:hint="eastAsia" w:ascii="仿宋" w:hAnsi="仿宋" w:eastAsia="仿宋" w:cs="仿宋"/>
          <w:b/>
          <w:bCs/>
          <w:color w:val="auto"/>
          <w:sz w:val="28"/>
          <w:szCs w:val="28"/>
          <w:lang w:val="zh-CN" w:eastAsia="zh-CN"/>
        </w:rPr>
      </w:pPr>
      <w:r>
        <w:rPr>
          <w:rFonts w:hint="eastAsia" w:ascii="仿宋" w:hAnsi="仿宋" w:eastAsia="仿宋" w:cs="仿宋_GB2312"/>
          <w:color w:val="000000"/>
          <w:kern w:val="0"/>
          <w:sz w:val="28"/>
          <w:szCs w:val="28"/>
        </w:rPr>
        <w:t>验收要求：</w:t>
      </w:r>
      <w:r>
        <w:rPr>
          <w:rFonts w:hint="eastAsia" w:ascii="仿宋" w:hAnsi="仿宋" w:eastAsia="仿宋" w:cs="仿宋_GB2312"/>
          <w:color w:val="000000"/>
          <w:kern w:val="0"/>
          <w:sz w:val="28"/>
          <w:szCs w:val="28"/>
          <w:lang w:val="en-US" w:eastAsia="zh-CN"/>
        </w:rPr>
        <w:t>安装牢固，</w:t>
      </w:r>
      <w:r>
        <w:rPr>
          <w:rFonts w:hint="eastAsia" w:ascii="仿宋" w:hAnsi="仿宋" w:eastAsia="仿宋" w:cs="仿宋_GB2312"/>
          <w:color w:val="000000"/>
          <w:kern w:val="0"/>
          <w:sz w:val="28"/>
          <w:szCs w:val="28"/>
        </w:rPr>
        <w:t>符合业主要求，现场环境收拾干净，不留垃圾。</w:t>
      </w: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六</w:t>
      </w:r>
      <w:r>
        <w:rPr>
          <w:rFonts w:hint="eastAsia" w:ascii="仿宋" w:hAnsi="仿宋" w:eastAsia="仿宋" w:cs="仿宋"/>
          <w:b/>
          <w:bCs/>
          <w:color w:val="auto"/>
          <w:sz w:val="28"/>
          <w:szCs w:val="28"/>
          <w:lang w:val="zh-CN" w:eastAsia="zh-CN"/>
        </w:rPr>
        <w:t xml:space="preserve">：大沙地分公司二期排空池排空泵接线箱优化项目 </w:t>
      </w:r>
    </w:p>
    <w:p>
      <w:pPr>
        <w:pStyle w:val="12"/>
        <w:numPr>
          <w:ilvl w:val="255"/>
          <w:numId w:val="0"/>
        </w:numPr>
        <w:adjustRightInd w:val="0"/>
        <w:snapToGrid w:val="0"/>
        <w:spacing w:line="360" w:lineRule="auto"/>
        <w:rPr>
          <w:rFonts w:hint="eastAsia" w:ascii="仿宋" w:hAnsi="仿宋" w:eastAsia="仿宋" w:cs="仿宋_GB2312"/>
          <w:color w:val="000000"/>
          <w:kern w:val="0"/>
          <w:sz w:val="28"/>
          <w:szCs w:val="28"/>
          <w:lang w:val="en-US" w:eastAsia="zh-CN" w:bidi="ar-SA"/>
        </w:rPr>
      </w:pPr>
      <w:r>
        <w:rPr>
          <w:rFonts w:hint="eastAsia"/>
          <w:lang w:val="en-US" w:eastAsia="zh-CN"/>
        </w:rPr>
        <w:t xml:space="preserve">    </w:t>
      </w:r>
      <w:r>
        <w:rPr>
          <w:rFonts w:hint="eastAsia" w:ascii="仿宋" w:hAnsi="仿宋" w:eastAsia="仿宋" w:cs="仿宋_GB2312"/>
          <w:color w:val="000000"/>
          <w:kern w:val="0"/>
          <w:sz w:val="28"/>
          <w:szCs w:val="28"/>
          <w:lang w:val="en-US" w:eastAsia="zh-CN" w:bidi="ar-SA"/>
        </w:rPr>
        <w:t>现有的4#、5#、6#排空泵的检修，因临边作业，电缆拆除和恢复的操作难度较大，而且有安全风险，所以需要对排空泵接线箱进行优化。：</w:t>
      </w:r>
    </w:p>
    <w:p>
      <w:pPr>
        <w:widowControl w:val="0"/>
        <w:numPr>
          <w:ilvl w:val="0"/>
          <w:numId w:val="11"/>
        </w:numPr>
        <w:spacing w:line="360" w:lineRule="auto"/>
        <w:jc w:val="both"/>
        <w:rPr>
          <w:rFonts w:ascii="宋体" w:hAnsi="宋体" w:eastAsia="宋体" w:cs="宋体"/>
          <w:sz w:val="24"/>
          <w:szCs w:val="24"/>
        </w:rPr>
      </w:pPr>
      <w:r>
        <w:rPr>
          <w:rFonts w:hint="eastAsia" w:ascii="仿宋_GB2312" w:hAnsi="仿宋_GB2312" w:eastAsia="仿宋_GB2312" w:cs="仿宋_GB2312"/>
          <w:sz w:val="30"/>
          <w:szCs w:val="30"/>
          <w:lang w:val="en-US" w:eastAsia="zh-CN"/>
        </w:rPr>
        <w:t>在4#、5#、6#排空泵的出水管后方各增加一个过渡接线箱，接线箱内设有相应接线端子，和运行指示灯。</w:t>
      </w:r>
    </w:p>
    <w:p>
      <w:pPr>
        <w:widowControl w:val="0"/>
        <w:numPr>
          <w:ilvl w:val="0"/>
          <w:numId w:val="0"/>
        </w:numPr>
        <w:spacing w:line="360" w:lineRule="auto"/>
        <w:jc w:val="both"/>
        <w:rPr>
          <w:rFonts w:hint="eastAsia" w:ascii="仿宋_GB2312" w:hAnsi="仿宋_GB2312" w:eastAsia="仿宋_GB2312" w:cs="仿宋_GB2312"/>
          <w:sz w:val="30"/>
          <w:szCs w:val="30"/>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"https://img.alicdn.com/imgextra/i3/2870578716/O1CN01DfUiyW2EFyr89ZbXZ_!!2870578716.jpg"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578860" cy="3235960"/>
            <wp:effectExtent l="0" t="0" r="2540" b="254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0"/>
                    <a:srcRect t="33113" b="5341"/>
                    <a:stretch>
                      <a:fillRect/>
                    </a:stretch>
                  </pic:blipFill>
                  <pic:spPr>
                    <a:xfrm>
                      <a:off x="0" y="0"/>
                      <a:ext cx="3578860" cy="3235960"/>
                    </a:xfrm>
                    <a:prstGeom prst="rect">
                      <a:avLst/>
                    </a:prstGeom>
                    <a:noFill/>
                    <a:ln>
                      <a:noFill/>
                    </a:ln>
                  </pic:spPr>
                </pic:pic>
              </a:graphicData>
            </a:graphic>
          </wp:inline>
        </w:drawing>
      </w:r>
      <w:r>
        <w:rPr>
          <w:rFonts w:ascii="宋体" w:hAnsi="宋体" w:eastAsia="宋体" w:cs="宋体"/>
          <w:sz w:val="24"/>
          <w:szCs w:val="24"/>
        </w:rPr>
        <w:fldChar w:fldCharType="end"/>
      </w:r>
    </w:p>
    <w:p>
      <w:pPr>
        <w:widowControl w:val="0"/>
        <w:numPr>
          <w:ilvl w:val="0"/>
          <w:numId w:val="0"/>
        </w:numPr>
        <w:spacing w:line="360" w:lineRule="auto"/>
        <w:jc w:val="both"/>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（户外304不锈钢双门配电箱，300*400*250，2mm厚）</w:t>
      </w:r>
    </w:p>
    <w:p>
      <w:pPr>
        <w:widowControl w:val="0"/>
        <w:numPr>
          <w:ilvl w:val="0"/>
          <w:numId w:val="11"/>
        </w:numPr>
        <w:spacing w:line="360" w:lineRule="auto"/>
        <w:jc w:val="both"/>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然后从新增的过渡接线箱内敷设ZR-YJV 4*6+3*2.5电缆至原有排空泵控制电箱。</w:t>
      </w: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七</w:t>
      </w:r>
      <w:r>
        <w:rPr>
          <w:rFonts w:hint="eastAsia" w:ascii="仿宋" w:hAnsi="仿宋" w:eastAsia="仿宋" w:cs="仿宋"/>
          <w:b/>
          <w:bCs/>
          <w:color w:val="auto"/>
          <w:sz w:val="28"/>
          <w:szCs w:val="28"/>
          <w:lang w:val="zh-CN" w:eastAsia="zh-CN"/>
        </w:rPr>
        <w:t>：大观分公司2022年负二层无人区射灯加装项目</w:t>
      </w:r>
    </w:p>
    <w:p>
      <w:pPr>
        <w:pStyle w:val="33"/>
        <w:autoSpaceDE w:val="0"/>
        <w:autoSpaceDN w:val="0"/>
        <w:spacing w:line="360" w:lineRule="auto"/>
        <w:ind w:firstLine="56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负二层无人区设置照明系统不完善，存在较大安全隐患，无人区内的旋流沉砂池、预处理区域放空阀为污水处理的重要设备设施。沉砂池发生堵塞时，运行班组或施工单位需要频繁进入沉砂池负二层进行清堵，但由于原有照明灯管较少，且容易潮湿短路损坏。当缺乏正常照明时，严重威胁人身安全。施工内容包括：</w:t>
      </w:r>
    </w:p>
    <w:p>
      <w:pPr>
        <w:pStyle w:val="33"/>
        <w:autoSpaceDE w:val="0"/>
        <w:autoSpaceDN w:val="0"/>
        <w:spacing w:line="360" w:lineRule="auto"/>
        <w:ind w:firstLine="56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安装18盏方形LED防水防爆投光灯。两组电源自八号梯负二层出口处照明配电箱出线，分别引至负二层无人区北侧和东南侧。如下图所示：北侧电源接入8盏LED灯，东南侧电源接入10盏LED灯，每盏LED灯平均间隔7.5米安装。</w:t>
      </w:r>
    </w:p>
    <w:p>
      <w:pPr>
        <w:pStyle w:val="33"/>
        <w:autoSpaceDE w:val="0"/>
        <w:autoSpaceDN w:val="0"/>
        <w:spacing w:line="360" w:lineRule="auto"/>
        <w:ind w:firstLine="56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2"/>
          <w:sz w:val="28"/>
          <w:szCs w:val="28"/>
          <w:highlight w:val="none"/>
          <w:lang w:val="en-US" w:eastAsia="zh-CN" w:bidi="ar-SA"/>
        </w:rPr>
        <w:t>1.LED投光灯</w:t>
      </w:r>
      <w:r>
        <w:rPr>
          <w:rFonts w:hint="eastAsia" w:ascii="仿宋_GB2312" w:hAnsi="仿宋_GB2312" w:eastAsia="仿宋_GB2312" w:cs="仿宋_GB2312"/>
          <w:color w:val="auto"/>
          <w:sz w:val="28"/>
          <w:szCs w:val="28"/>
          <w:highlight w:val="none"/>
        </w:rPr>
        <w:t>要求：功率100W，电压220V,6000K白光，COB高亮度灯芯；</w:t>
      </w:r>
    </w:p>
    <w:p>
      <w:pPr>
        <w:pStyle w:val="33"/>
        <w:autoSpaceDE w:val="0"/>
        <w:autoSpaceDN w:val="0"/>
        <w:spacing w:line="360" w:lineRule="auto"/>
        <w:ind w:left="0" w:leftChars="0" w:firstLine="0" w:firstLineChars="0"/>
        <w:jc w:val="lef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方形，航空加厚铁铸铝外壳、钢化玻璃面罩材质；照射范围：50m</w:t>
      </w:r>
      <w:r>
        <w:rPr>
          <w:rFonts w:hint="eastAsia" w:ascii="仿宋_GB2312" w:hAnsi="仿宋_GB2312" w:eastAsia="仿宋_GB2312" w:cs="仿宋_GB2312"/>
          <w:color w:val="auto"/>
          <w:sz w:val="28"/>
          <w:szCs w:val="28"/>
          <w:highlight w:val="none"/>
          <w:vertAlign w:val="superscript"/>
        </w:rPr>
        <w:t>3</w:t>
      </w:r>
      <w:r>
        <w:rPr>
          <w:rFonts w:hint="eastAsia" w:ascii="仿宋_GB2312" w:hAnsi="仿宋_GB2312" w:eastAsia="仿宋_GB2312" w:cs="仿宋_GB2312"/>
          <w:color w:val="auto"/>
          <w:sz w:val="28"/>
          <w:szCs w:val="28"/>
          <w:highlight w:val="none"/>
        </w:rPr>
        <w:t>以上；IP66级防水防爆</w:t>
      </w:r>
      <w:r>
        <w:rPr>
          <w:rFonts w:hint="eastAsia" w:ascii="仿宋_GB2312" w:hAnsi="仿宋_GB2312" w:eastAsia="仿宋_GB2312" w:cs="仿宋_GB2312"/>
          <w:color w:val="auto"/>
          <w:sz w:val="28"/>
          <w:szCs w:val="28"/>
          <w:highlight w:val="none"/>
          <w:lang w:eastAsia="zh-CN"/>
        </w:rPr>
        <w:t>。</w:t>
      </w:r>
    </w:p>
    <w:p>
      <w:pPr>
        <w:pStyle w:val="33"/>
        <w:autoSpaceDE w:val="0"/>
        <w:autoSpaceDN w:val="0"/>
        <w:spacing w:line="360" w:lineRule="auto"/>
        <w:ind w:left="0" w:leftChars="0" w:firstLine="560" w:firstLineChars="200"/>
        <w:jc w:val="left"/>
        <w:rPr>
          <w:rFonts w:hint="eastAsia" w:ascii="仿宋_GB2312" w:hAnsi="仿宋_GB2312" w:eastAsia="仿宋_GB2312" w:cs="仿宋_GB2312"/>
          <w:color w:val="auto"/>
          <w:sz w:val="28"/>
          <w:szCs w:val="28"/>
          <w:highlight w:val="none"/>
          <w:vertAlign w:val="baseline"/>
          <w:lang w:eastAsia="zh-CN"/>
        </w:rPr>
      </w:pPr>
      <w:r>
        <w:rPr>
          <w:rFonts w:hint="eastAsia" w:ascii="仿宋_GB2312" w:hAnsi="仿宋_GB2312" w:eastAsia="仿宋_GB2312" w:cs="仿宋_GB2312"/>
          <w:color w:val="auto"/>
          <w:kern w:val="2"/>
          <w:sz w:val="28"/>
          <w:szCs w:val="28"/>
          <w:highlight w:val="none"/>
          <w:lang w:val="en-US" w:eastAsia="zh-CN" w:bidi="ar-SA"/>
        </w:rPr>
        <w:t>2.电气设备及其配件</w:t>
      </w:r>
      <w:r>
        <w:rPr>
          <w:rFonts w:hint="eastAsia" w:ascii="仿宋_GB2312" w:hAnsi="仿宋_GB2312" w:eastAsia="仿宋_GB2312" w:cs="仿宋_GB2312"/>
          <w:color w:val="auto"/>
          <w:sz w:val="28"/>
          <w:szCs w:val="28"/>
          <w:highlight w:val="none"/>
        </w:rPr>
        <w:t>要求：</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2组</w:t>
      </w:r>
      <w:r>
        <w:rPr>
          <w:rFonts w:hint="eastAsia" w:ascii="仿宋_GB2312" w:hAnsi="仿宋_GB2312" w:eastAsia="仿宋_GB2312" w:cs="仿宋_GB2312"/>
          <w:color w:val="auto"/>
          <w:sz w:val="28"/>
          <w:szCs w:val="28"/>
          <w:highlight w:val="none"/>
        </w:rPr>
        <w:t>空气开关</w:t>
      </w:r>
      <w:r>
        <w:rPr>
          <w:rFonts w:hint="eastAsia" w:ascii="仿宋_GB2312" w:hAnsi="仿宋_GB2312" w:eastAsia="仿宋_GB2312" w:cs="仿宋_GB2312"/>
          <w:color w:val="auto"/>
          <w:sz w:val="28"/>
          <w:szCs w:val="28"/>
          <w:highlight w:val="none"/>
          <w:lang w:eastAsia="zh-CN"/>
        </w:rPr>
        <w:t>，额定工作电压（Ue）：AC 230V/400V（1P），额定绝缘电压（Ui）：600V，额定冲击耐受电压(Uimp)：4KV ，</w:t>
      </w:r>
      <w:r>
        <w:rPr>
          <w:rFonts w:hint="eastAsia" w:ascii="仿宋_GB2312" w:hAnsi="仿宋_GB2312" w:eastAsia="仿宋_GB2312" w:cs="仿宋_GB2312"/>
          <w:color w:val="auto"/>
          <w:sz w:val="28"/>
          <w:szCs w:val="28"/>
          <w:highlight w:val="none"/>
          <w:lang w:val="en-US" w:eastAsia="zh-CN"/>
        </w:rPr>
        <w:t>带漏保功能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）电缆，RVV,3*1.5mm</w:t>
      </w:r>
      <w:r>
        <w:rPr>
          <w:rFonts w:hint="eastAsia" w:ascii="仿宋_GB2312" w:hAnsi="仿宋_GB2312" w:eastAsia="仿宋_GB2312" w:cs="仿宋_GB2312"/>
          <w:color w:val="auto"/>
          <w:sz w:val="28"/>
          <w:szCs w:val="28"/>
          <w:highlight w:val="none"/>
          <w:vertAlign w:val="superscript"/>
          <w:lang w:eastAsia="zh-CN"/>
        </w:rPr>
        <w:t>2。</w:t>
      </w:r>
      <w:r>
        <w:rPr>
          <w:rFonts w:hint="eastAsia" w:ascii="仿宋_GB2312" w:hAnsi="仿宋_GB2312" w:eastAsia="仿宋_GB2312" w:cs="仿宋_GB2312"/>
          <w:color w:val="auto"/>
          <w:sz w:val="28"/>
          <w:szCs w:val="28"/>
          <w:highlight w:val="none"/>
          <w:vertAlign w:val="baseline"/>
          <w:lang w:eastAsia="zh-CN"/>
        </w:rPr>
        <w:t>（</w:t>
      </w:r>
      <w:r>
        <w:rPr>
          <w:rFonts w:hint="eastAsia" w:ascii="仿宋_GB2312" w:hAnsi="仿宋_GB2312" w:eastAsia="仿宋_GB2312" w:cs="仿宋_GB2312"/>
          <w:color w:val="auto"/>
          <w:sz w:val="28"/>
          <w:szCs w:val="28"/>
          <w:highlight w:val="none"/>
          <w:vertAlign w:val="baseline"/>
          <w:lang w:val="en-US" w:eastAsia="zh-CN"/>
        </w:rPr>
        <w:t>3</w:t>
      </w:r>
      <w:r>
        <w:rPr>
          <w:rFonts w:hint="eastAsia" w:ascii="仿宋_GB2312" w:hAnsi="仿宋_GB2312" w:eastAsia="仿宋_GB2312" w:cs="仿宋_GB2312"/>
          <w:color w:val="auto"/>
          <w:sz w:val="28"/>
          <w:szCs w:val="28"/>
          <w:highlight w:val="none"/>
          <w:vertAlign w:val="baseline"/>
          <w:lang w:eastAsia="zh-CN"/>
        </w:rPr>
        <w:t>）绝缘电工套管PVC材质，0.1-0.3（MPa），公称外径16#0.6毫米厚。（</w:t>
      </w:r>
      <w:r>
        <w:rPr>
          <w:rFonts w:hint="eastAsia" w:ascii="仿宋_GB2312" w:hAnsi="仿宋_GB2312" w:eastAsia="仿宋_GB2312" w:cs="仿宋_GB2312"/>
          <w:color w:val="auto"/>
          <w:sz w:val="28"/>
          <w:szCs w:val="28"/>
          <w:highlight w:val="none"/>
          <w:vertAlign w:val="baseline"/>
          <w:lang w:val="en-US" w:eastAsia="zh-CN"/>
        </w:rPr>
        <w:t>4</w:t>
      </w:r>
      <w:r>
        <w:rPr>
          <w:rFonts w:hint="eastAsia" w:ascii="仿宋_GB2312" w:hAnsi="仿宋_GB2312" w:eastAsia="仿宋_GB2312" w:cs="仿宋_GB2312"/>
          <w:color w:val="auto"/>
          <w:sz w:val="28"/>
          <w:szCs w:val="28"/>
          <w:highlight w:val="none"/>
          <w:vertAlign w:val="baseline"/>
          <w:lang w:eastAsia="zh-CN"/>
        </w:rPr>
        <w:t>）手动开关，配线盒，二开单控。（</w:t>
      </w:r>
      <w:r>
        <w:rPr>
          <w:rFonts w:hint="eastAsia" w:ascii="仿宋_GB2312" w:hAnsi="仿宋_GB2312" w:eastAsia="仿宋_GB2312" w:cs="仿宋_GB2312"/>
          <w:color w:val="auto"/>
          <w:sz w:val="28"/>
          <w:szCs w:val="28"/>
          <w:highlight w:val="none"/>
          <w:vertAlign w:val="baseline"/>
          <w:lang w:val="en-US" w:eastAsia="zh-CN"/>
        </w:rPr>
        <w:t>5</w:t>
      </w:r>
      <w:r>
        <w:rPr>
          <w:rFonts w:hint="eastAsia" w:ascii="仿宋_GB2312" w:hAnsi="仿宋_GB2312" w:eastAsia="仿宋_GB2312" w:cs="仿宋_GB2312"/>
          <w:color w:val="auto"/>
          <w:sz w:val="28"/>
          <w:szCs w:val="28"/>
          <w:highlight w:val="none"/>
          <w:vertAlign w:val="baseline"/>
          <w:lang w:eastAsia="zh-CN"/>
        </w:rPr>
        <w:t>）</w:t>
      </w:r>
      <w:r>
        <w:rPr>
          <w:rFonts w:hint="eastAsia" w:ascii="仿宋_GB2312" w:hAnsi="仿宋_GB2312" w:eastAsia="仿宋_GB2312" w:cs="仿宋_GB2312"/>
          <w:color w:val="auto"/>
          <w:sz w:val="28"/>
          <w:szCs w:val="28"/>
          <w:highlight w:val="none"/>
          <w:vertAlign w:val="baseline"/>
          <w:lang w:val="en-US" w:eastAsia="zh-CN"/>
        </w:rPr>
        <w:t>8位</w:t>
      </w:r>
      <w:r>
        <w:rPr>
          <w:rFonts w:hint="eastAsia" w:ascii="仿宋_GB2312" w:hAnsi="仿宋_GB2312" w:eastAsia="仿宋_GB2312" w:cs="仿宋_GB2312"/>
          <w:color w:val="auto"/>
          <w:sz w:val="28"/>
          <w:szCs w:val="28"/>
          <w:highlight w:val="none"/>
          <w:vertAlign w:val="baseline"/>
          <w:lang w:eastAsia="zh-CN"/>
        </w:rPr>
        <w:t>防水接线盒，IP665级防水，ABS绝缘材质。</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bidi="ar-SA"/>
        </w:rPr>
        <w:t>项目实施内容包括但不限于电缆</w:t>
      </w:r>
      <w:r>
        <w:rPr>
          <w:rFonts w:hint="eastAsia" w:ascii="仿宋_GB2312" w:eastAsia="仿宋_GB2312" w:cstheme="minorBidi"/>
          <w:color w:val="auto"/>
          <w:kern w:val="2"/>
          <w:sz w:val="28"/>
          <w:szCs w:val="28"/>
          <w:highlight w:val="none"/>
          <w:lang w:val="en-US" w:eastAsia="zh-CN" w:bidi="ar-SA"/>
        </w:rPr>
        <w:t>及线管</w:t>
      </w:r>
      <w:r>
        <w:rPr>
          <w:rFonts w:hint="eastAsia" w:ascii="仿宋_GB2312" w:eastAsia="仿宋_GB2312" w:hAnsiTheme="minorHAnsi" w:cstheme="minorBidi"/>
          <w:color w:val="auto"/>
          <w:kern w:val="2"/>
          <w:sz w:val="28"/>
          <w:szCs w:val="28"/>
          <w:highlight w:val="none"/>
          <w:lang w:val="en-US" w:eastAsia="zh-CN" w:bidi="ar-SA"/>
        </w:rPr>
        <w:t>拆除、安装、电缆头制安</w:t>
      </w:r>
      <w:r>
        <w:rPr>
          <w:rFonts w:hint="eastAsia" w:ascii="仿宋_GB2312" w:eastAsia="仿宋_GB2312" w:cstheme="minorBidi"/>
          <w:color w:val="auto"/>
          <w:kern w:val="2"/>
          <w:sz w:val="28"/>
          <w:szCs w:val="28"/>
          <w:highlight w:val="none"/>
          <w:lang w:val="en-US" w:eastAsia="zh-CN" w:bidi="ar-SA"/>
        </w:rPr>
        <w:t>及穿管直埋敷设、</w:t>
      </w:r>
      <w:r>
        <w:rPr>
          <w:rFonts w:hint="eastAsia" w:ascii="仿宋_GB2312" w:eastAsia="仿宋_GB2312"/>
          <w:color w:val="auto"/>
          <w:sz w:val="28"/>
          <w:szCs w:val="28"/>
          <w:highlight w:val="none"/>
          <w:lang w:val="en-US" w:eastAsia="zh-CN"/>
        </w:rPr>
        <w:t>迁改配电箱位置、</w:t>
      </w:r>
      <w:r>
        <w:rPr>
          <w:rFonts w:hint="eastAsia" w:ascii="仿宋_GB2312" w:eastAsia="仿宋_GB2312" w:hAnsiTheme="minorHAnsi" w:cstheme="minorBidi"/>
          <w:color w:val="auto"/>
          <w:kern w:val="2"/>
          <w:sz w:val="28"/>
          <w:szCs w:val="28"/>
          <w:highlight w:val="none"/>
          <w:lang w:val="en-US" w:eastAsia="zh-CN" w:bidi="ar-SA"/>
        </w:rPr>
        <w:t>现场配电箱制安、电缆检查试验</w:t>
      </w:r>
      <w:r>
        <w:rPr>
          <w:rFonts w:hint="eastAsia" w:ascii="仿宋_GB2312" w:eastAsia="仿宋_GB2312" w:cstheme="minorBidi"/>
          <w:color w:val="auto"/>
          <w:kern w:val="2"/>
          <w:sz w:val="28"/>
          <w:szCs w:val="28"/>
          <w:highlight w:val="none"/>
          <w:lang w:val="en-US" w:eastAsia="zh-CN" w:bidi="ar-SA"/>
        </w:rPr>
        <w:t>，报价</w:t>
      </w:r>
      <w:r>
        <w:rPr>
          <w:rFonts w:hint="eastAsia" w:ascii="仿宋_GB2312" w:eastAsia="仿宋_GB2312"/>
          <w:color w:val="auto"/>
          <w:sz w:val="28"/>
          <w:szCs w:val="28"/>
          <w:highlight w:val="none"/>
          <w:lang w:val="en-US" w:eastAsia="zh-CN"/>
        </w:rPr>
        <w:t>单位报价时，应综合考虑该部分费用，施工中不对其进行工程量变更。</w:t>
      </w:r>
    </w:p>
    <w:p>
      <w:pPr>
        <w:spacing w:line="360" w:lineRule="auto"/>
        <w:jc w:val="center"/>
      </w:pPr>
      <w:r>
        <w:drawing>
          <wp:inline distT="0" distB="0" distL="114300" distR="114300">
            <wp:extent cx="5273040" cy="2634615"/>
            <wp:effectExtent l="0" t="0" r="3810" b="133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5273040" cy="2634615"/>
                    </a:xfrm>
                    <a:prstGeom prst="rect">
                      <a:avLst/>
                    </a:prstGeom>
                    <a:noFill/>
                    <a:ln>
                      <a:noFill/>
                    </a:ln>
                  </pic:spPr>
                </pic:pic>
              </a:graphicData>
            </a:graphic>
          </wp:inline>
        </w:drawing>
      </w:r>
    </w:p>
    <w:p>
      <w:pPr>
        <w:pStyle w:val="2"/>
        <w:jc w:val="center"/>
        <w:rPr>
          <w:rFonts w:hint="eastAsia"/>
          <w:sz w:val="21"/>
          <w:szCs w:val="21"/>
          <w:lang w:val="en-US" w:eastAsia="zh-CN"/>
        </w:rPr>
      </w:pPr>
      <w:r>
        <w:rPr>
          <w:rFonts w:hint="eastAsia"/>
          <w:sz w:val="21"/>
          <w:szCs w:val="21"/>
          <w:lang w:val="en-US" w:eastAsia="zh-CN"/>
        </w:rPr>
        <w:t>负二层无人区平面布置图</w:t>
      </w: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八</w:t>
      </w:r>
      <w:r>
        <w:rPr>
          <w:rFonts w:hint="eastAsia" w:ascii="仿宋" w:hAnsi="仿宋" w:eastAsia="仿宋" w:cs="仿宋"/>
          <w:b/>
          <w:bCs/>
          <w:color w:val="auto"/>
          <w:sz w:val="28"/>
          <w:szCs w:val="28"/>
          <w:lang w:val="zh-CN" w:eastAsia="zh-CN"/>
        </w:rPr>
        <w:t>：大观分公司一期变压器房挡水板优化项目</w:t>
      </w:r>
    </w:p>
    <w:p>
      <w:pPr>
        <w:autoSpaceDE w:val="0"/>
        <w:autoSpaceDN w:val="0"/>
        <w:spacing w:line="360" w:lineRule="auto"/>
        <w:ind w:left="0" w:leftChars="0"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参照之前</w:t>
      </w:r>
      <w:r>
        <w:rPr>
          <w:rFonts w:hint="eastAsia" w:ascii="仿宋_GB2312" w:hAnsi="仿宋_GB2312" w:eastAsia="仿宋_GB2312" w:cs="仿宋_GB2312"/>
          <w:color w:val="auto"/>
          <w:sz w:val="28"/>
          <w:szCs w:val="28"/>
          <w:highlight w:val="none"/>
        </w:rPr>
        <w:t>预处理专变房、污泥干化专变房等4座变压器房增加挡水顶棚</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本次拟为鼓风机专变房和深度处理专变房等剩余4座变压器房增加挡水顶棚。其次，对配电房顶板进行刷白，及时发现是否发生漏水现象。</w:t>
      </w:r>
    </w:p>
    <w:p>
      <w:pPr>
        <w:pStyle w:val="2"/>
        <w:numPr>
          <w:ilvl w:val="0"/>
          <w:numId w:val="12"/>
        </w:numPr>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2"/>
          <w:sz w:val="28"/>
          <w:szCs w:val="28"/>
          <w:highlight w:val="none"/>
          <w:lang w:val="en-US" w:eastAsia="zh-CN" w:bidi="ar-SA"/>
        </w:rPr>
        <w:t>采光天棚及排水管</w:t>
      </w:r>
      <w:r>
        <w:rPr>
          <w:rFonts w:hint="eastAsia" w:ascii="仿宋_GB2312" w:hAnsi="仿宋_GB2312" w:eastAsia="仿宋_GB2312" w:cs="仿宋_GB2312"/>
          <w:color w:val="auto"/>
          <w:sz w:val="28"/>
          <w:szCs w:val="28"/>
          <w:highlight w:val="none"/>
        </w:rPr>
        <w:t>要求：骨架类型：不锈钢骨架,30*30*2mm；面层材料品种、规格：阻燃高透明PC板</w:t>
      </w:r>
      <w:r>
        <w:rPr>
          <w:rFonts w:hint="eastAsia" w:ascii="仿宋_GB2312" w:hAnsi="仿宋_GB2312" w:eastAsia="仿宋_GB2312" w:cs="仿宋_GB2312"/>
          <w:color w:val="auto"/>
          <w:sz w:val="28"/>
          <w:szCs w:val="28"/>
          <w:highlight w:val="none"/>
          <w:lang w:eastAsia="zh-CN"/>
        </w:rPr>
        <w:t>；不锈钢排水管</w:t>
      </w:r>
      <w:r>
        <w:rPr>
          <w:rFonts w:hint="eastAsia" w:eastAsia="仿宋_GB2312"/>
          <w:lang w:eastAsia="zh-CN"/>
        </w:rPr>
        <w:t>：</w:t>
      </w:r>
      <w:r>
        <w:rPr>
          <w:rFonts w:hint="eastAsia" w:ascii="仿宋_GB2312" w:hAnsi="仿宋_GB2312" w:eastAsia="仿宋_GB2312" w:cs="仿宋_GB2312"/>
          <w:color w:val="auto"/>
          <w:sz w:val="28"/>
          <w:szCs w:val="28"/>
          <w:highlight w:val="none"/>
          <w:lang w:eastAsia="zh-CN"/>
        </w:rPr>
        <w:t>材质及规格：不锈钢管DN50；</w:t>
      </w:r>
    </w:p>
    <w:p>
      <w:pPr>
        <w:pStyle w:val="2"/>
        <w:numPr>
          <w:ilvl w:val="0"/>
          <w:numId w:val="12"/>
        </w:numPr>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抹灰面油漆要求：</w:t>
      </w:r>
      <w:r>
        <w:rPr>
          <w:rFonts w:hint="eastAsia" w:ascii="仿宋_GB2312" w:hAnsi="仿宋_GB2312" w:eastAsia="仿宋_GB2312" w:cs="仿宋_GB2312"/>
          <w:color w:val="auto"/>
          <w:sz w:val="28"/>
          <w:szCs w:val="28"/>
          <w:highlight w:val="none"/>
          <w:lang w:val="en-US" w:eastAsia="zh-CN"/>
        </w:rPr>
        <w:t>铲除原渗漏墙体水印，</w:t>
      </w:r>
      <w:r>
        <w:rPr>
          <w:rFonts w:hint="eastAsia" w:ascii="仿宋_GB2312" w:hAnsi="仿宋_GB2312" w:eastAsia="仿宋_GB2312" w:cs="仿宋_GB2312"/>
          <w:color w:val="auto"/>
          <w:sz w:val="28"/>
          <w:szCs w:val="28"/>
          <w:highlight w:val="none"/>
        </w:rPr>
        <w:t>墙面油乳胶漆二遍</w:t>
      </w:r>
      <w:r>
        <w:rPr>
          <w:rFonts w:hint="eastAsia" w:ascii="仿宋_GB2312" w:hAnsi="仿宋_GB2312" w:eastAsia="仿宋_GB2312" w:cs="仿宋_GB2312"/>
          <w:color w:val="auto"/>
          <w:sz w:val="28"/>
          <w:szCs w:val="28"/>
          <w:highlight w:val="none"/>
          <w:lang w:eastAsia="zh-CN"/>
        </w:rPr>
        <w:t>。</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bidi="ar-SA"/>
        </w:rPr>
        <w:t>项目实施内容包括但不限于</w:t>
      </w:r>
      <w:r>
        <w:rPr>
          <w:rFonts w:hint="eastAsia" w:ascii="仿宋_GB2312" w:eastAsia="仿宋_GB2312" w:cstheme="minorBidi"/>
          <w:color w:val="auto"/>
          <w:kern w:val="2"/>
          <w:sz w:val="28"/>
          <w:szCs w:val="28"/>
          <w:highlight w:val="none"/>
          <w:lang w:val="en-US" w:eastAsia="zh-CN" w:bidi="ar-SA"/>
        </w:rPr>
        <w:t>消防烟感设备</w:t>
      </w:r>
      <w:r>
        <w:rPr>
          <w:rFonts w:hint="eastAsia" w:ascii="仿宋_GB2312" w:eastAsia="仿宋_GB2312" w:hAnsiTheme="minorHAnsi" w:cstheme="minorBidi"/>
          <w:color w:val="auto"/>
          <w:kern w:val="2"/>
          <w:sz w:val="28"/>
          <w:szCs w:val="28"/>
          <w:highlight w:val="none"/>
          <w:lang w:val="en-US" w:eastAsia="zh-CN" w:bidi="ar-SA"/>
        </w:rPr>
        <w:t>拆除、安装、</w:t>
      </w:r>
      <w:r>
        <w:rPr>
          <w:rFonts w:hint="eastAsia" w:ascii="仿宋_GB2312" w:eastAsia="仿宋_GB2312" w:cstheme="minorBidi"/>
          <w:color w:val="auto"/>
          <w:kern w:val="2"/>
          <w:sz w:val="28"/>
          <w:szCs w:val="28"/>
          <w:highlight w:val="none"/>
          <w:lang w:val="en-US" w:eastAsia="zh-CN" w:bidi="ar-SA"/>
        </w:rPr>
        <w:t>支架</w:t>
      </w:r>
      <w:r>
        <w:rPr>
          <w:rFonts w:hint="eastAsia" w:ascii="仿宋_GB2312" w:eastAsia="仿宋_GB2312" w:hAnsiTheme="minorHAnsi" w:cstheme="minorBidi"/>
          <w:color w:val="auto"/>
          <w:kern w:val="2"/>
          <w:sz w:val="28"/>
          <w:szCs w:val="28"/>
          <w:highlight w:val="none"/>
          <w:lang w:val="en-US" w:eastAsia="zh-CN" w:bidi="ar-SA"/>
        </w:rPr>
        <w:t>制安、</w:t>
      </w:r>
      <w:r>
        <w:rPr>
          <w:rFonts w:hint="eastAsia" w:ascii="仿宋_GB2312" w:eastAsia="仿宋_GB2312" w:cstheme="minorBidi"/>
          <w:color w:val="auto"/>
          <w:kern w:val="2"/>
          <w:sz w:val="28"/>
          <w:szCs w:val="28"/>
          <w:highlight w:val="none"/>
          <w:lang w:val="en-US" w:eastAsia="zh-CN" w:bidi="ar-SA"/>
        </w:rPr>
        <w:t>排水管道制安、防水</w:t>
      </w:r>
      <w:r>
        <w:rPr>
          <w:rFonts w:hint="eastAsia" w:ascii="仿宋_GB2312" w:eastAsia="仿宋_GB2312" w:hAnsiTheme="minorHAnsi" w:cstheme="minorBidi"/>
          <w:color w:val="auto"/>
          <w:kern w:val="2"/>
          <w:sz w:val="28"/>
          <w:szCs w:val="28"/>
          <w:highlight w:val="none"/>
          <w:lang w:val="en-US" w:eastAsia="zh-CN" w:bidi="ar-SA"/>
        </w:rPr>
        <w:t>检查试验</w:t>
      </w:r>
      <w:r>
        <w:rPr>
          <w:rFonts w:hint="eastAsia" w:ascii="仿宋_GB2312" w:eastAsia="仿宋_GB2312" w:cstheme="minorBidi"/>
          <w:color w:val="auto"/>
          <w:kern w:val="2"/>
          <w:sz w:val="28"/>
          <w:szCs w:val="28"/>
          <w:highlight w:val="none"/>
          <w:lang w:val="en-US" w:eastAsia="zh-CN" w:bidi="ar-SA"/>
        </w:rPr>
        <w:t>，报价</w:t>
      </w:r>
      <w:r>
        <w:rPr>
          <w:rFonts w:hint="eastAsia" w:ascii="仿宋_GB2312" w:eastAsia="仿宋_GB2312"/>
          <w:color w:val="auto"/>
          <w:sz w:val="28"/>
          <w:szCs w:val="28"/>
          <w:highlight w:val="none"/>
          <w:lang w:val="en-US" w:eastAsia="zh-CN"/>
        </w:rPr>
        <w:t>单位报价时，应综合考虑该部分费用，施工中不对其进行工程量变更。</w:t>
      </w:r>
    </w:p>
    <w:p>
      <w:pPr>
        <w:pStyle w:val="3"/>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注：该项目为变配电房内高空作业，全体作业人员均需持有对应的特种作业操作证。</w:t>
      </w:r>
    </w:p>
    <w:p>
      <w:pPr>
        <w:pStyle w:val="2"/>
        <w:jc w:val="center"/>
        <w:rPr>
          <w:rFonts w:hint="eastAsia"/>
          <w:lang w:eastAsia="zh-CN"/>
        </w:rPr>
      </w:pPr>
      <w:r>
        <w:rPr>
          <w:rFonts w:hint="eastAsia"/>
          <w:lang w:eastAsia="zh-CN"/>
        </w:rPr>
        <w:drawing>
          <wp:inline distT="0" distB="0" distL="114300" distR="114300">
            <wp:extent cx="5213350" cy="1952625"/>
            <wp:effectExtent l="0" t="0" r="6350" b="9525"/>
            <wp:docPr id="26" name="图片 1" descr="bd383ba56d338dd8b2e2b30caf58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bd383ba56d338dd8b2e2b30caf58d8e"/>
                    <pic:cNvPicPr>
                      <a:picLocks noChangeAspect="1"/>
                    </pic:cNvPicPr>
                  </pic:nvPicPr>
                  <pic:blipFill>
                    <a:blip r:embed="rId12"/>
                    <a:srcRect b="19508"/>
                    <a:stretch>
                      <a:fillRect/>
                    </a:stretch>
                  </pic:blipFill>
                  <pic:spPr>
                    <a:xfrm>
                      <a:off x="0" y="0"/>
                      <a:ext cx="5213350" cy="1952625"/>
                    </a:xfrm>
                    <a:prstGeom prst="rect">
                      <a:avLst/>
                    </a:prstGeom>
                    <a:noFill/>
                    <a:ln>
                      <a:noFill/>
                    </a:ln>
                  </pic:spPr>
                </pic:pic>
              </a:graphicData>
            </a:graphic>
          </wp:inline>
        </w:drawing>
      </w:r>
    </w:p>
    <w:p>
      <w:pPr>
        <w:pStyle w:val="3"/>
        <w:jc w:val="center"/>
        <w:rPr>
          <w:rFonts w:hint="default" w:ascii="仿宋_GB2312" w:hAnsi="仿宋_GB2312" w:eastAsia="仿宋_GB2312" w:cs="仿宋_GB2312"/>
          <w:color w:val="auto"/>
          <w:sz w:val="28"/>
          <w:szCs w:val="28"/>
          <w:highlight w:val="none"/>
          <w:lang w:val="en-US" w:eastAsia="zh-CN"/>
        </w:rPr>
      </w:pPr>
      <w:r>
        <w:rPr>
          <w:rFonts w:hint="eastAsia"/>
          <w:sz w:val="21"/>
          <w:szCs w:val="21"/>
          <w:lang w:val="en-US" w:eastAsia="zh-CN"/>
        </w:rPr>
        <w:t>已安装挡水板电房现场照片</w:t>
      </w: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九</w:t>
      </w:r>
      <w:r>
        <w:rPr>
          <w:rFonts w:hint="eastAsia" w:ascii="仿宋" w:hAnsi="仿宋" w:eastAsia="仿宋" w:cs="仿宋"/>
          <w:b/>
          <w:bCs/>
          <w:color w:val="auto"/>
          <w:sz w:val="28"/>
          <w:szCs w:val="28"/>
          <w:lang w:val="zh-CN" w:eastAsia="zh-CN"/>
        </w:rPr>
        <w:t>：西朗二期分公司出水在线站房增加通风措施项目</w:t>
      </w:r>
    </w:p>
    <w:p>
      <w:pPr>
        <w:numPr>
          <w:ilvl w:val="0"/>
          <w:numId w:val="0"/>
        </w:numPr>
        <w:tabs>
          <w:tab w:val="left" w:pos="640"/>
        </w:tabs>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主要工作内容：</w:t>
      </w:r>
    </w:p>
    <w:p>
      <w:pPr>
        <w:numPr>
          <w:ilvl w:val="0"/>
          <w:numId w:val="0"/>
        </w:numPr>
        <w:tabs>
          <w:tab w:val="left" w:pos="640"/>
        </w:tabs>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（1）从站房旁的</w:t>
      </w:r>
      <w:r>
        <w:rPr>
          <w:rFonts w:hint="eastAsia" w:ascii="宋体" w:hAnsi="宋体" w:cs="宋体"/>
          <w:b w:val="0"/>
          <w:bCs w:val="0"/>
          <w:sz w:val="28"/>
          <w:szCs w:val="28"/>
          <w:lang w:val="en-US" w:eastAsia="zh-CN"/>
        </w:rPr>
        <w:t>风机</w:t>
      </w:r>
      <w:r>
        <w:rPr>
          <w:rFonts w:hint="eastAsia" w:ascii="宋体" w:hAnsi="宋体" w:eastAsia="宋体" w:cs="宋体"/>
          <w:b w:val="0"/>
          <w:bCs w:val="0"/>
          <w:sz w:val="28"/>
          <w:szCs w:val="28"/>
          <w:lang w:val="en-US" w:eastAsia="zh-CN"/>
        </w:rPr>
        <w:t>房间</w:t>
      </w:r>
      <w:r>
        <w:rPr>
          <w:rFonts w:hint="eastAsia" w:ascii="宋体" w:hAnsi="宋体" w:cs="宋体"/>
          <w:b w:val="0"/>
          <w:bCs w:val="0"/>
          <w:sz w:val="28"/>
          <w:szCs w:val="28"/>
          <w:lang w:val="en-US" w:eastAsia="zh-CN"/>
        </w:rPr>
        <w:t>正</w:t>
      </w:r>
      <w:r>
        <w:rPr>
          <w:rFonts w:hint="eastAsia" w:ascii="宋体" w:hAnsi="宋体" w:eastAsia="宋体" w:cs="宋体"/>
          <w:b w:val="0"/>
          <w:bCs w:val="0"/>
          <w:sz w:val="28"/>
          <w:szCs w:val="28"/>
          <w:lang w:val="en-US" w:eastAsia="zh-CN"/>
        </w:rPr>
        <w:t>门墙身开孔安装送风系统；</w:t>
      </w:r>
    </w:p>
    <w:p>
      <w:pPr>
        <w:numPr>
          <w:ilvl w:val="0"/>
          <w:numId w:val="13"/>
        </w:numPr>
        <w:tabs>
          <w:tab w:val="left" w:pos="640"/>
        </w:tabs>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房间内沿墙身安装通风管道穿墙壁进在线监测房；</w:t>
      </w:r>
    </w:p>
    <w:p>
      <w:pPr>
        <w:numPr>
          <w:ilvl w:val="0"/>
          <w:numId w:val="13"/>
        </w:numPr>
        <w:tabs>
          <w:tab w:val="left" w:pos="640"/>
        </w:tabs>
        <w:ind w:left="0" w:leftChars="0" w:firstLine="0" w:firstLineChars="0"/>
        <w:rPr>
          <w:rFonts w:hint="eastAsia" w:ascii="仿宋" w:hAnsi="仿宋" w:eastAsia="仿宋" w:cs="仿宋"/>
          <w:b/>
          <w:bCs/>
          <w:color w:val="auto"/>
          <w:sz w:val="28"/>
          <w:szCs w:val="28"/>
          <w:lang w:val="zh-CN" w:eastAsia="zh-CN"/>
        </w:rPr>
      </w:pPr>
      <w:r>
        <w:rPr>
          <w:rFonts w:hint="eastAsia" w:ascii="宋体" w:hAnsi="宋体" w:eastAsia="宋体" w:cs="宋体"/>
          <w:b w:val="0"/>
          <w:bCs w:val="0"/>
          <w:sz w:val="28"/>
          <w:szCs w:val="28"/>
          <w:lang w:val="en-US" w:eastAsia="zh-CN"/>
        </w:rPr>
        <w:t>监测站房内墙身开孔接入送风管</w:t>
      </w: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十</w:t>
      </w:r>
      <w:r>
        <w:rPr>
          <w:rFonts w:hint="eastAsia" w:ascii="仿宋" w:hAnsi="仿宋" w:eastAsia="仿宋" w:cs="仿宋"/>
          <w:b/>
          <w:bCs/>
          <w:color w:val="auto"/>
          <w:sz w:val="28"/>
          <w:szCs w:val="28"/>
          <w:lang w:val="zh-CN" w:eastAsia="zh-CN"/>
        </w:rPr>
        <w:t>：西朗二期分公司一期提标反冲洗废水池溢流排水管优化项目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主要工作内容：</w:t>
      </w:r>
    </w:p>
    <w:p>
      <w:pPr>
        <w:pStyle w:val="3"/>
        <w:keepNext w:val="0"/>
        <w:keepLines w:val="0"/>
        <w:pageBreakBefore w:val="0"/>
        <w:widowControl w:val="0"/>
        <w:numPr>
          <w:ilvl w:val="0"/>
          <w:numId w:val="14"/>
        </w:numPr>
        <w:kinsoku/>
        <w:wordWrap/>
        <w:overflowPunct/>
        <w:topLinePunct w:val="0"/>
        <w:autoSpaceDE/>
        <w:autoSpaceDN/>
        <w:bidi w:val="0"/>
        <w:adjustRightInd/>
        <w:snapToGrid/>
        <w:spacing w:after="0" w:line="240" w:lineRule="auto"/>
        <w:textAlignment w:val="auto"/>
        <w:rPr>
          <w:rFonts w:hint="eastAsia" w:ascii="宋体" w:hAnsi="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池壁及外墙穿孔并修补。</w:t>
      </w:r>
    </w:p>
    <w:p>
      <w:pPr>
        <w:pStyle w:val="3"/>
        <w:keepNext w:val="0"/>
        <w:keepLines w:val="0"/>
        <w:pageBreakBefore w:val="0"/>
        <w:widowControl w:val="0"/>
        <w:numPr>
          <w:ilvl w:val="0"/>
          <w:numId w:val="14"/>
        </w:numPr>
        <w:kinsoku/>
        <w:wordWrap/>
        <w:overflowPunct/>
        <w:topLinePunct w:val="0"/>
        <w:autoSpaceDE/>
        <w:autoSpaceDN/>
        <w:bidi w:val="0"/>
        <w:adjustRightInd/>
        <w:snapToGrid/>
        <w:spacing w:after="0" w:line="240" w:lineRule="auto"/>
        <w:textAlignment w:val="auto"/>
        <w:rPr>
          <w:rFonts w:hint="default" w:ascii="宋体" w:hAnsi="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开挖地面及构筑回流储水池。</w:t>
      </w:r>
    </w:p>
    <w:p>
      <w:pPr>
        <w:pStyle w:val="3"/>
        <w:keepNext w:val="0"/>
        <w:keepLines w:val="0"/>
        <w:pageBreakBefore w:val="0"/>
        <w:widowControl w:val="0"/>
        <w:numPr>
          <w:ilvl w:val="0"/>
          <w:numId w:val="14"/>
        </w:numPr>
        <w:kinsoku/>
        <w:wordWrap/>
        <w:overflowPunct/>
        <w:topLinePunct w:val="0"/>
        <w:autoSpaceDE/>
        <w:autoSpaceDN/>
        <w:bidi w:val="0"/>
        <w:adjustRightInd/>
        <w:snapToGrid/>
        <w:spacing w:after="0" w:line="240" w:lineRule="auto"/>
        <w:textAlignment w:val="auto"/>
        <w:rPr>
          <w:rFonts w:hint="default" w:ascii="宋体" w:hAnsi="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开挖道路及排水管道铺设。</w:t>
      </w:r>
    </w:p>
    <w:p>
      <w:pPr>
        <w:pStyle w:val="3"/>
        <w:keepNext w:val="0"/>
        <w:keepLines w:val="0"/>
        <w:pageBreakBefore w:val="0"/>
        <w:widowControl w:val="0"/>
        <w:numPr>
          <w:ilvl w:val="0"/>
          <w:numId w:val="14"/>
        </w:numPr>
        <w:kinsoku/>
        <w:wordWrap/>
        <w:overflowPunct/>
        <w:topLinePunct w:val="0"/>
        <w:autoSpaceDE/>
        <w:autoSpaceDN/>
        <w:bidi w:val="0"/>
        <w:adjustRightInd/>
        <w:snapToGrid/>
        <w:spacing w:after="0" w:line="240" w:lineRule="auto"/>
        <w:textAlignment w:val="auto"/>
        <w:rPr>
          <w:rFonts w:hint="eastAsia" w:ascii="仿宋" w:hAnsi="仿宋" w:eastAsia="仿宋" w:cs="仿宋"/>
          <w:b/>
          <w:bCs/>
          <w:color w:val="auto"/>
          <w:sz w:val="28"/>
          <w:szCs w:val="28"/>
          <w:lang w:val="zh-CN" w:eastAsia="zh-CN"/>
        </w:rPr>
      </w:pPr>
      <w:r>
        <w:rPr>
          <w:rFonts w:hint="eastAsia" w:ascii="宋体" w:hAnsi="宋体" w:cs="宋体"/>
          <w:b w:val="0"/>
          <w:bCs w:val="0"/>
          <w:kern w:val="2"/>
          <w:sz w:val="28"/>
          <w:szCs w:val="28"/>
          <w:lang w:val="en-US" w:eastAsia="zh-CN" w:bidi="ar-SA"/>
        </w:rPr>
        <w:t>场地恢复。</w:t>
      </w: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十一</w:t>
      </w:r>
      <w:r>
        <w:rPr>
          <w:rFonts w:hint="eastAsia" w:ascii="仿宋" w:hAnsi="仿宋" w:eastAsia="仿宋" w:cs="仿宋"/>
          <w:b/>
          <w:bCs/>
          <w:color w:val="auto"/>
          <w:sz w:val="28"/>
          <w:szCs w:val="28"/>
          <w:lang w:val="zh-CN" w:eastAsia="zh-CN"/>
        </w:rPr>
        <w:t>：广州市净水有限公司京溪分公司硫酸铝加药口土建结构优化项目</w:t>
      </w:r>
    </w:p>
    <w:p>
      <w:pPr>
        <w:pStyle w:val="12"/>
        <w:adjustRightInd w:val="0"/>
        <w:snapToGrid w:val="0"/>
        <w:spacing w:line="520" w:lineRule="exact"/>
        <w:ind w:firstLine="560" w:firstLineChars="200"/>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本项目主要分为两部分：</w:t>
      </w:r>
    </w:p>
    <w:p>
      <w:pPr>
        <w:pStyle w:val="13"/>
        <w:numPr>
          <w:ilvl w:val="0"/>
          <w:numId w:val="15"/>
        </w:numPr>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给排水部分：包括拆除现状管道，将临时加药管及主管做好相应衔接。</w:t>
      </w:r>
    </w:p>
    <w:p>
      <w:pPr>
        <w:pStyle w:val="14"/>
        <w:numPr>
          <w:ilvl w:val="0"/>
          <w:numId w:val="0"/>
        </w:numPr>
      </w:pPr>
      <w:r>
        <w:drawing>
          <wp:inline distT="0" distB="0" distL="114300" distR="114300">
            <wp:extent cx="5607685" cy="3370580"/>
            <wp:effectExtent l="0" t="0" r="12065" b="127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3"/>
                    <a:srcRect b="5011"/>
                    <a:stretch>
                      <a:fillRect/>
                    </a:stretch>
                  </pic:blipFill>
                  <pic:spPr>
                    <a:xfrm>
                      <a:off x="0" y="0"/>
                      <a:ext cx="5607685" cy="3370580"/>
                    </a:xfrm>
                    <a:prstGeom prst="rect">
                      <a:avLst/>
                    </a:prstGeom>
                    <a:noFill/>
                    <a:ln>
                      <a:noFill/>
                    </a:ln>
                  </pic:spPr>
                </pic:pic>
              </a:graphicData>
            </a:graphic>
          </wp:inline>
        </w:drawing>
      </w:r>
      <w:r>
        <w:drawing>
          <wp:inline distT="0" distB="0" distL="114300" distR="114300">
            <wp:extent cx="5615305" cy="2776855"/>
            <wp:effectExtent l="0" t="0" r="4445" b="444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4"/>
                    <a:stretch>
                      <a:fillRect/>
                    </a:stretch>
                  </pic:blipFill>
                  <pic:spPr>
                    <a:xfrm>
                      <a:off x="0" y="0"/>
                      <a:ext cx="5615305" cy="2776855"/>
                    </a:xfrm>
                    <a:prstGeom prst="rect">
                      <a:avLst/>
                    </a:prstGeom>
                    <a:noFill/>
                    <a:ln>
                      <a:noFill/>
                    </a:ln>
                  </pic:spPr>
                </pic:pic>
              </a:graphicData>
            </a:graphic>
          </wp:inline>
        </w:drawing>
      </w:r>
    </w:p>
    <w:p>
      <w:pPr>
        <w:pStyle w:val="13"/>
        <w:numPr>
          <w:ilvl w:val="0"/>
          <w:numId w:val="15"/>
        </w:numPr>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建筑工程部分：拆除现有土建结构及临时围蔽，建立混凝土平台及永久性不锈钢围蔽结构。</w:t>
      </w:r>
    </w:p>
    <w:p>
      <w:pPr>
        <w:pStyle w:val="14"/>
        <w:rPr>
          <w:rFonts w:hint="default"/>
          <w:lang w:val="en-US" w:eastAsia="zh-CN"/>
        </w:rPr>
      </w:pPr>
      <w:r>
        <w:drawing>
          <wp:inline distT="0" distB="0" distL="114300" distR="114300">
            <wp:extent cx="5612765" cy="3661410"/>
            <wp:effectExtent l="0" t="0" r="6985"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5"/>
                    <a:stretch>
                      <a:fillRect/>
                    </a:stretch>
                  </pic:blipFill>
                  <pic:spPr>
                    <a:xfrm>
                      <a:off x="0" y="0"/>
                      <a:ext cx="5612765" cy="3661410"/>
                    </a:xfrm>
                    <a:prstGeom prst="rect">
                      <a:avLst/>
                    </a:prstGeom>
                    <a:noFill/>
                    <a:ln>
                      <a:noFill/>
                    </a:ln>
                  </pic:spPr>
                </pic:pic>
              </a:graphicData>
            </a:graphic>
          </wp:inline>
        </w:drawing>
      </w:r>
    </w:p>
    <w:p>
      <w:pPr>
        <w:pStyle w:val="3"/>
        <w:rPr>
          <w:rFonts w:hint="eastAsia" w:ascii="仿宋" w:hAnsi="仿宋" w:eastAsia="仿宋" w:cs="仿宋"/>
          <w:b/>
          <w:bCs/>
          <w:color w:val="auto"/>
          <w:sz w:val="28"/>
          <w:szCs w:val="28"/>
          <w:lang w:val="zh-CN" w:eastAsia="zh-CN"/>
        </w:rPr>
      </w:pPr>
    </w:p>
    <w:p>
      <w:pPr>
        <w:pStyle w:val="3"/>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zh-CN" w:eastAsia="zh-CN"/>
        </w:rPr>
        <w:t>项目</w:t>
      </w:r>
      <w:r>
        <w:rPr>
          <w:rFonts w:hint="eastAsia" w:ascii="仿宋" w:hAnsi="仿宋" w:eastAsia="仿宋" w:cs="仿宋"/>
          <w:b/>
          <w:bCs/>
          <w:color w:val="auto"/>
          <w:sz w:val="28"/>
          <w:szCs w:val="28"/>
          <w:lang w:val="en-US" w:eastAsia="zh-CN"/>
        </w:rPr>
        <w:t>十二</w:t>
      </w:r>
      <w:r>
        <w:rPr>
          <w:rFonts w:hint="eastAsia" w:ascii="仿宋" w:hAnsi="仿宋" w:eastAsia="仿宋" w:cs="仿宋"/>
          <w:b/>
          <w:bCs/>
          <w:color w:val="auto"/>
          <w:sz w:val="28"/>
          <w:szCs w:val="28"/>
          <w:lang w:val="zh-CN" w:eastAsia="zh-CN"/>
        </w:rPr>
        <w:t>：大坦沙分公司一二期鼓风机房隔音优化项目</w:t>
      </w:r>
    </w:p>
    <w:p>
      <w:pPr>
        <w:pStyle w:val="7"/>
        <w:numPr>
          <w:ilvl w:val="0"/>
          <w:numId w:val="16"/>
        </w:numPr>
        <w:ind w:left="425" w:leftChars="0" w:hanging="425"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把巷子草地整体开挖，将植物的根茎叶全部清除，开挖位置尺寸：2m*30m*0.1m；</w:t>
      </w:r>
    </w:p>
    <w:p>
      <w:pPr>
        <w:pStyle w:val="7"/>
        <w:numPr>
          <w:ilvl w:val="0"/>
          <w:numId w:val="16"/>
        </w:numPr>
        <w:ind w:left="425" w:leftChars="0" w:hanging="425"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清理完成后，在开挖位置使用含6％水泥石粉0.05m厚垫层，并浇筑M10混凝土与周边地面找平，约0.05m。</w:t>
      </w:r>
    </w:p>
    <w:p>
      <w:pPr>
        <w:pStyle w:val="7"/>
        <w:numPr>
          <w:ilvl w:val="0"/>
          <w:numId w:val="16"/>
        </w:numPr>
        <w:ind w:left="425" w:leftChars="0" w:hanging="425"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在巷子两边设置四个不锈钢隔音门，尺寸1.5*2.1m，门框通过膨胀螺栓固定在隔音墙及风机房墙壁上，隔音墙每堵尺寸0.5*2.1m，共四堵墙，墙面抹灰涂白色漆；</w:t>
      </w:r>
    </w:p>
    <w:p>
      <w:pPr>
        <w:pStyle w:val="7"/>
        <w:numPr>
          <w:ilvl w:val="0"/>
          <w:numId w:val="16"/>
        </w:numPr>
        <w:ind w:left="425" w:leftChars="0" w:hanging="425"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隔音门上各建一个2*2.9m高的镀锌隔音板，隔音板含支架，支架使用膨胀螺栓固定在隔音墙及风机房墙壁上，隔音板采用灰色，共四个。</w:t>
      </w:r>
    </w:p>
    <w:p>
      <w:pPr>
        <w:pStyle w:val="7"/>
        <w:jc w:val="center"/>
      </w:pPr>
      <w:r>
        <w:drawing>
          <wp:inline distT="0" distB="0" distL="114300" distR="114300">
            <wp:extent cx="1974850" cy="2010410"/>
            <wp:effectExtent l="0" t="0" r="6350" b="889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6"/>
                    <a:stretch>
                      <a:fillRect/>
                    </a:stretch>
                  </pic:blipFill>
                  <pic:spPr>
                    <a:xfrm>
                      <a:off x="0" y="0"/>
                      <a:ext cx="1974850" cy="2010410"/>
                    </a:xfrm>
                    <a:prstGeom prst="rect">
                      <a:avLst/>
                    </a:prstGeom>
                    <a:noFill/>
                    <a:ln>
                      <a:noFill/>
                    </a:ln>
                  </pic:spPr>
                </pic:pic>
              </a:graphicData>
            </a:graphic>
          </wp:inline>
        </w:drawing>
      </w:r>
    </w:p>
    <w:p>
      <w:pPr>
        <w:spacing w:line="360" w:lineRule="auto"/>
        <w:ind w:firstLine="645"/>
        <w:jc w:val="center"/>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镀锌隔音板</w:t>
      </w:r>
    </w:p>
    <w:p>
      <w:pPr>
        <w:pStyle w:val="7"/>
        <w:jc w:val="center"/>
      </w:pPr>
      <w:r>
        <w:drawing>
          <wp:inline distT="0" distB="0" distL="114300" distR="114300">
            <wp:extent cx="1729740" cy="2141855"/>
            <wp:effectExtent l="0" t="0" r="3810" b="1079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7"/>
                    <a:stretch>
                      <a:fillRect/>
                    </a:stretch>
                  </pic:blipFill>
                  <pic:spPr>
                    <a:xfrm>
                      <a:off x="0" y="0"/>
                      <a:ext cx="1729740" cy="2141855"/>
                    </a:xfrm>
                    <a:prstGeom prst="rect">
                      <a:avLst/>
                    </a:prstGeom>
                    <a:noFill/>
                    <a:ln>
                      <a:noFill/>
                    </a:ln>
                  </pic:spPr>
                </pic:pic>
              </a:graphicData>
            </a:graphic>
          </wp:inline>
        </w:drawing>
      </w:r>
    </w:p>
    <w:p>
      <w:pPr>
        <w:spacing w:line="360" w:lineRule="auto"/>
        <w:ind w:firstLine="645"/>
        <w:jc w:val="center"/>
        <w:rPr>
          <w:rFonts w:hint="eastAsia" w:ascii="仿宋" w:hAnsi="仿宋" w:eastAsia="仿宋" w:cs="仿宋"/>
          <w:b/>
          <w:bCs/>
          <w:color w:val="auto"/>
          <w:sz w:val="28"/>
          <w:szCs w:val="28"/>
          <w:lang w:val="en-US" w:eastAsia="zh-CN"/>
        </w:rPr>
      </w:pPr>
      <w:r>
        <w:rPr>
          <w:rFonts w:hint="eastAsia" w:ascii="仿宋" w:hAnsi="仿宋" w:eastAsia="仿宋"/>
          <w:color w:val="auto"/>
          <w:sz w:val="28"/>
          <w:szCs w:val="28"/>
          <w:lang w:val="en-US" w:eastAsia="zh-CN"/>
        </w:rPr>
        <w:t>隔音墙及隔音门安装样式</w:t>
      </w:r>
    </w:p>
    <w:p>
      <w:pPr>
        <w:pStyle w:val="13"/>
        <w:rPr>
          <w:rFonts w:hint="eastAsia"/>
          <w:lang w:val="en-US" w:eastAsia="zh-CN"/>
        </w:rPr>
      </w:pPr>
    </w:p>
    <w:p>
      <w:pPr>
        <w:pStyle w:val="12"/>
        <w:adjustRightInd w:val="0"/>
        <w:snapToGrid w:val="0"/>
        <w:spacing w:line="520" w:lineRule="exact"/>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en-US" w:eastAsia="zh-CN"/>
        </w:rPr>
        <w:t>三</w:t>
      </w:r>
      <w:r>
        <w:rPr>
          <w:rFonts w:hint="eastAsia" w:ascii="仿宋_GB2312" w:hAnsi="仿宋_GB2312" w:eastAsia="仿宋_GB2312" w:cs="仿宋_GB2312"/>
          <w:b/>
          <w:sz w:val="28"/>
          <w:szCs w:val="28"/>
          <w:lang w:val="zh-CN"/>
        </w:rPr>
        <w:t>、项目商务要求</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1.工期：</w:t>
      </w:r>
      <w:r>
        <w:rPr>
          <w:rFonts w:hint="eastAsia" w:ascii="仿宋_GB2312" w:hAnsi="仿宋_GB2312" w:eastAsia="仿宋_GB2312" w:cs="仿宋_GB2312"/>
          <w:sz w:val="28"/>
          <w:szCs w:val="28"/>
          <w:lang w:val="en-US" w:eastAsia="zh-CN"/>
        </w:rPr>
        <w:t>详见附表</w:t>
      </w:r>
      <w:r>
        <w:rPr>
          <w:rFonts w:hint="eastAsia" w:ascii="仿宋_GB2312" w:hAnsi="仿宋_GB2312" w:eastAsia="仿宋_GB2312" w:cs="仿宋_GB2312"/>
          <w:sz w:val="28"/>
          <w:szCs w:val="28"/>
        </w:rPr>
        <w:t>。具体施工日期及工期调整根据实际计划时间而定。</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7"/>
              <w:ind w:firstLine="420" w:firstLineChars="0"/>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项目七</w:t>
            </w:r>
          </w:p>
        </w:tc>
        <w:tc>
          <w:tcPr>
            <w:tcW w:w="2268" w:type="dxa"/>
            <w:vAlign w:val="center"/>
          </w:tcPr>
          <w:p>
            <w:pPr>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highlight w:val="none"/>
                <w:vertAlign w:val="baseli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10天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项目八</w:t>
            </w:r>
          </w:p>
        </w:tc>
        <w:tc>
          <w:tcPr>
            <w:tcW w:w="2268" w:type="dxa"/>
            <w:vAlign w:val="center"/>
          </w:tcPr>
          <w:p>
            <w:pPr>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highlight w:val="none"/>
                <w:vertAlign w:val="baseline"/>
                <w:lang w:val="en-US" w:eastAsia="zh-CN"/>
              </w:rPr>
              <w:t>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项目九</w:t>
            </w:r>
          </w:p>
        </w:tc>
        <w:tc>
          <w:tcPr>
            <w:tcW w:w="2268" w:type="dxa"/>
            <w:vAlign w:val="center"/>
          </w:tcPr>
          <w:p>
            <w:pPr>
              <w:pStyle w:val="7"/>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项目十</w:t>
            </w:r>
          </w:p>
        </w:tc>
        <w:tc>
          <w:tcPr>
            <w:tcW w:w="2268" w:type="dxa"/>
            <w:vAlign w:val="center"/>
          </w:tcPr>
          <w:p>
            <w:pPr>
              <w:pStyle w:val="7"/>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60天</w:t>
            </w:r>
          </w:p>
        </w:tc>
        <w:tc>
          <w:tcPr>
            <w:tcW w:w="2264"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项目十一</w:t>
            </w:r>
          </w:p>
        </w:tc>
        <w:tc>
          <w:tcPr>
            <w:tcW w:w="2268" w:type="dxa"/>
            <w:vAlign w:val="center"/>
          </w:tcPr>
          <w:p>
            <w:pPr>
              <w:pStyle w:val="7"/>
              <w:ind w:firstLine="42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项目六</w:t>
            </w:r>
          </w:p>
        </w:tc>
        <w:tc>
          <w:tcPr>
            <w:tcW w:w="2264"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项目十二</w:t>
            </w:r>
          </w:p>
        </w:tc>
        <w:tc>
          <w:tcPr>
            <w:tcW w:w="2268" w:type="dxa"/>
            <w:vAlign w:val="center"/>
          </w:tcPr>
          <w:p>
            <w:pPr>
              <w:pStyle w:val="7"/>
              <w:ind w:firstLine="42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sz w:val="24"/>
                <w:szCs w:val="24"/>
                <w:vertAlign w:val="baseline"/>
                <w:lang w:val="en-US" w:eastAsia="zh-CN"/>
              </w:rPr>
              <w:t>30天</w:t>
            </w:r>
          </w:p>
        </w:tc>
      </w:tr>
    </w:tbl>
    <w:p>
      <w:pPr>
        <w:pStyle w:val="7"/>
      </w:pP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2.质量要求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（3）必须用合格焊工。焊接、防锈、安装精度必须合格。</w:t>
      </w:r>
    </w:p>
    <w:p>
      <w:pPr>
        <w:autoSpaceDE w:val="0"/>
        <w:autoSpaceDN w:val="0"/>
        <w:spacing w:line="520" w:lineRule="exact"/>
        <w:ind w:firstLine="560" w:firstLineChars="200"/>
        <w:rPr>
          <w:rFonts w:hint="default" w:eastAsia="仿宋_GB2312"/>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项目十二：1、隔音板、隔音门需提供产品质量证明文件、2、所用到的隔音材料防火等级为A。3、隔音效果必须满足GBJ75-84《建筑隔声测量规范》内的标准。4、所有涉及的材料必须为全新，且出厂时间不得多于半年。</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3.安全文明施工要求：</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4.总包及分包规定：</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承包单位不许转包，不许擅自分包,</w:t>
      </w:r>
      <w:r>
        <w:rPr>
          <w:rFonts w:hint="eastAsia" w:ascii="仿宋_GB2312" w:hAnsi="仿宋_GB2312" w:eastAsia="仿宋_GB2312" w:cs="仿宋_GB2312"/>
          <w:bCs/>
          <w:szCs w:val="21"/>
        </w:rPr>
        <w:t xml:space="preserve"> </w:t>
      </w:r>
      <w:r>
        <w:rPr>
          <w:rFonts w:hint="eastAsia" w:ascii="仿宋_GB2312" w:hAnsi="仿宋_GB2312" w:eastAsia="仿宋_GB2312" w:cs="仿宋_GB2312"/>
          <w:sz w:val="28"/>
          <w:szCs w:val="28"/>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5.保修期（保养期</w:t>
      </w:r>
      <w:r>
        <w:rPr>
          <w:rFonts w:hint="eastAsia" w:ascii="仿宋_GB2312" w:hAnsi="仿宋_GB2312" w:eastAsia="仿宋_GB2312" w:cs="仿宋_GB2312"/>
          <w:sz w:val="28"/>
          <w:szCs w:val="28"/>
          <w:highlight w:val="none"/>
        </w:rPr>
        <w:t>）：质保期为项目完成经验收合格之日起1年。</w:t>
      </w:r>
    </w:p>
    <w:p>
      <w:pPr>
        <w:pStyle w:val="21"/>
        <w:shd w:val="clear" w:color="auto" w:fill="FFFFFF"/>
        <w:spacing w:before="0" w:beforeAutospacing="0" w:after="0" w:afterAutospacing="0" w:line="520" w:lineRule="exact"/>
        <w:ind w:firstLine="560" w:firstLineChars="200"/>
        <w:jc w:val="both"/>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6.询价人将自承包人履行完合同义务之日起15个工作日内组织验收，验收要求、验收标准及方法如下：</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（1）验收依据：询价文件、询价响应文件、厂家货物技术标准说明及国家有关的质量标准规定，均为验收依据。</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（2）承包单位根据要求进行设备的安装、调试、测试后，由发包人或政府相关部门进行使用性能方面的验收。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（3）验收合格条件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①调试完毕后现场试运行连续稳定工作24小时，无异常，并确保能够达到要求的标准。</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②各类电气系统、保护装置等附属设备均正常运行。</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（4）发包人有权委托我国相关具有检验资质的部门、单位、机构针对维修后设备的精度、性能进行检验。其检验结果将作为验收标准的组成部分之一。</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7.付款方式：银行汇票形式。</w:t>
      </w:r>
    </w:p>
    <w:p>
      <w:pPr>
        <w:spacing w:line="52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rPr>
        <w:t>8.承包方式：</w:t>
      </w:r>
      <w:r>
        <w:rPr>
          <w:rFonts w:hint="eastAsia" w:ascii="仿宋_GB2312" w:hAnsi="仿宋_GB2312" w:eastAsia="仿宋_GB2312" w:cs="仿宋_GB2312"/>
          <w:sz w:val="28"/>
          <w:szCs w:val="28"/>
          <w:lang w:val="zh-CN"/>
        </w:rPr>
        <w:t>单价包干。</w:t>
      </w:r>
    </w:p>
    <w:bookmarkEnd w:id="60"/>
    <w:p>
      <w:pPr>
        <w:pStyle w:val="22"/>
        <w:ind w:left="0" w:leftChars="0" w:firstLine="0" w:firstLineChars="0"/>
        <w:rPr>
          <w:rFonts w:ascii="仿宋_GB2312" w:eastAsia="仿宋_GB2312"/>
          <w:color w:val="auto"/>
          <w:sz w:val="28"/>
          <w:szCs w:val="28"/>
          <w:highlight w:val="none"/>
        </w:rPr>
      </w:pPr>
    </w:p>
    <w:p>
      <w:pPr>
        <w:pStyle w:val="3"/>
        <w:rPr>
          <w:rFonts w:hint="eastAsia"/>
          <w:color w:val="auto"/>
          <w:highlight w:val="none"/>
        </w:rPr>
      </w:pPr>
      <w:bookmarkStart w:id="61" w:name="_Toc4680"/>
      <w:bookmarkStart w:id="62" w:name="_Toc29835"/>
      <w:bookmarkStart w:id="63" w:name="_Toc23353"/>
      <w:bookmarkStart w:id="64" w:name="_Toc23330"/>
      <w:bookmarkStart w:id="65" w:name="_Toc15570"/>
      <w:bookmarkStart w:id="66" w:name="_Toc18538"/>
      <w:bookmarkStart w:id="67" w:name="_Toc12135"/>
      <w:bookmarkStart w:id="68" w:name="_Toc25925"/>
      <w:bookmarkStart w:id="69" w:name="_Toc1496"/>
      <w:bookmarkStart w:id="70" w:name="_Toc1284"/>
      <w:bookmarkStart w:id="71" w:name="_Toc537"/>
    </w:p>
    <w:p>
      <w:pPr>
        <w:pStyle w:val="3"/>
        <w:rPr>
          <w:rFonts w:hint="eastAsia"/>
          <w:color w:val="auto"/>
          <w:highlight w:val="none"/>
        </w:rPr>
      </w:pPr>
    </w:p>
    <w:p>
      <w:pPr>
        <w:pStyle w:val="4"/>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rPr>
      </w:pPr>
    </w:p>
    <w:p>
      <w:pPr>
        <w:rPr>
          <w:rFonts w:hint="eastAsia"/>
        </w:rPr>
      </w:pPr>
    </w:p>
    <w:p>
      <w:pPr>
        <w:pStyle w:val="4"/>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2346325</wp:posOffset>
                </wp:positionH>
                <wp:positionV relativeFrom="paragraph">
                  <wp:posOffset>648335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4.75pt;margin-top:51.05pt;height:0pt;width:75.5pt;z-index:251665408;mso-width-relative:page;mso-height-relative:page;" filled="f" stroked="t" coordsize="21600,21600" o:gfxdata="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USP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2301875</wp:posOffset>
                </wp:positionH>
                <wp:positionV relativeFrom="paragraph">
                  <wp:posOffset>183515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1.25pt;margin-top:14.45pt;height:0pt;width:75.5pt;z-index:251664384;mso-width-relative:page;mso-height-relative:page;" filled="f" stroked="t" coordsize="21600,21600" o:gfxdata="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6a6aL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6"/>
        <w:rPr>
          <w:color w:val="auto"/>
          <w:highlight w:val="none"/>
        </w:rPr>
      </w:pPr>
    </w:p>
    <w:p>
      <w:pPr>
        <w:pStyle w:val="4"/>
        <w:rPr>
          <w:color w:val="auto"/>
          <w:highlight w:val="none"/>
        </w:rPr>
      </w:pPr>
      <w:bookmarkStart w:id="72" w:name="_Toc22797"/>
      <w:bookmarkStart w:id="73" w:name="_Toc13309"/>
      <w:bookmarkStart w:id="74" w:name="_Toc19088"/>
      <w:bookmarkStart w:id="75" w:name="_Toc12980"/>
      <w:bookmarkStart w:id="76" w:name="_Toc8183"/>
      <w:bookmarkStart w:id="77" w:name="_Toc323"/>
      <w:bookmarkStart w:id="78" w:name="_Toc88209949"/>
      <w:bookmarkStart w:id="79" w:name="_Toc12721"/>
      <w:bookmarkStart w:id="80" w:name="_Toc1375"/>
      <w:bookmarkStart w:id="81" w:name="_Toc22501"/>
      <w:bookmarkStart w:id="82" w:name="_Toc19686"/>
      <w:bookmarkStart w:id="83" w:name="_Toc12968"/>
      <w:bookmarkStart w:id="84" w:name="_Toc87616386"/>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pStyle w:val="2"/>
        <w:rPr>
          <w:rFonts w:hint="eastAsia" w:ascii="方正小标宋简体" w:eastAsia="方正小标宋简体"/>
          <w:color w:val="auto"/>
          <w:sz w:val="28"/>
          <w:szCs w:val="28"/>
          <w:highlight w:val="none"/>
        </w:rPr>
      </w:pPr>
    </w:p>
    <w:p>
      <w:pPr>
        <w:pStyle w:val="3"/>
        <w:rPr>
          <w:rFonts w:hint="eastAsia" w:ascii="方正小标宋简体" w:eastAsia="方正小标宋简体"/>
          <w:color w:val="auto"/>
          <w:sz w:val="28"/>
          <w:szCs w:val="28"/>
          <w:highlight w:val="none"/>
        </w:rPr>
      </w:pPr>
    </w:p>
    <w:p>
      <w:pPr>
        <w:pStyle w:val="3"/>
        <w:rPr>
          <w:rFonts w:hint="eastAsia" w:ascii="方正小标宋简体" w:eastAsia="方正小标宋简体"/>
          <w:color w:val="auto"/>
          <w:sz w:val="28"/>
          <w:szCs w:val="28"/>
          <w:highlight w:val="none"/>
        </w:rPr>
      </w:pPr>
    </w:p>
    <w:p>
      <w:pPr>
        <w:pStyle w:val="3"/>
        <w:rPr>
          <w:rFonts w:hint="eastAsia" w:ascii="方正小标宋简体" w:eastAsia="方正小标宋简体"/>
          <w:color w:val="auto"/>
          <w:sz w:val="28"/>
          <w:szCs w:val="28"/>
          <w:highlight w:val="none"/>
        </w:rPr>
      </w:pPr>
    </w:p>
    <w:p>
      <w:pPr>
        <w:pStyle w:val="3"/>
        <w:rPr>
          <w:rFonts w:hint="eastAsia" w:ascii="方正小标宋简体" w:eastAsia="方正小标宋简体"/>
          <w:color w:val="auto"/>
          <w:sz w:val="28"/>
          <w:szCs w:val="28"/>
          <w:highlight w:val="none"/>
        </w:rPr>
      </w:pPr>
    </w:p>
    <w:p>
      <w:pPr>
        <w:pStyle w:val="3"/>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360" w:lineRule="auto"/>
        <w:ind w:left="1506" w:hanging="1506" w:hangingChars="500"/>
        <w:rPr>
          <w:rFonts w:hint="eastAsia" w:ascii="宋体" w:hAnsi="宋体" w:eastAsia="宋体" w:cs="宋体"/>
          <w:b/>
          <w:sz w:val="30"/>
          <w:szCs w:val="30"/>
          <w:lang w:eastAsia="zh-CN"/>
        </w:rPr>
      </w:pPr>
      <w:r>
        <w:rPr>
          <w:rFonts w:hint="eastAsia" w:ascii="宋体" w:hAnsi="宋体" w:cs="宋体"/>
          <w:b/>
          <w:sz w:val="30"/>
          <w:szCs w:val="30"/>
        </w:rPr>
        <w:t xml:space="preserve">项目名称: </w:t>
      </w:r>
    </w:p>
    <w:p>
      <w:pPr>
        <w:pStyle w:val="47"/>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bookmarkStart w:id="85" w:name="合同"/>
      <w:bookmarkEnd w:id="85"/>
    </w:p>
    <w:p>
      <w:pPr>
        <w:pStyle w:val="22"/>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hint="eastAsia" w:ascii="宋体" w:hAnsi="宋体" w:cs="宋体"/>
          <w:b/>
          <w:sz w:val="30"/>
        </w:rPr>
      </w:pPr>
      <w:r>
        <w:rPr>
          <w:rFonts w:hint="eastAsia" w:ascii="宋体" w:hAnsi="宋体" w:cs="宋体"/>
          <w:b/>
          <w:sz w:val="30"/>
        </w:rPr>
        <w:t>签约地点：广州市</w:t>
      </w:r>
    </w:p>
    <w:p>
      <w:pPr>
        <w:pStyle w:val="7"/>
        <w:rPr>
          <w:rFonts w:hint="eastAsia" w:ascii="宋体" w:hAnsi="宋体" w:cs="宋体"/>
          <w:b/>
          <w:sz w:val="30"/>
        </w:rPr>
      </w:pPr>
    </w:p>
    <w:p>
      <w:pPr>
        <w:pStyle w:val="7"/>
        <w:rPr>
          <w:rFonts w:hint="eastAsia" w:ascii="宋体" w:hAnsi="宋体" w:cs="宋体"/>
          <w:b/>
          <w:sz w:val="30"/>
        </w:rPr>
      </w:pPr>
    </w:p>
    <w:p>
      <w:pPr>
        <w:pStyle w:val="7"/>
        <w:ind w:left="0" w:leftChars="0" w:firstLine="0" w:firstLineChars="0"/>
        <w:rPr>
          <w:rFonts w:hint="eastAsia" w:ascii="宋体" w:hAnsi="宋体" w:cs="宋体"/>
          <w:b/>
          <w:sz w:val="30"/>
          <w:lang w:val="zh-CN"/>
        </w:rPr>
      </w:pPr>
    </w:p>
    <w:p>
      <w:pPr>
        <w:spacing w:before="93" w:beforeLines="30" w:line="500" w:lineRule="exact"/>
        <w:ind w:left="210" w:leftChars="100" w:firstLine="600" w:firstLineChars="250"/>
        <w:rPr>
          <w:rFonts w:ascii="宋体" w:hAnsi="宋体" w:cs="宋体"/>
          <w:sz w:val="24"/>
          <w:u w:val="single"/>
        </w:rPr>
      </w:pPr>
      <w:r>
        <w:rPr>
          <w:rFonts w:hint="eastAsia" w:ascii="宋体" w:hAnsi="宋体" w:cs="宋体"/>
          <w:sz w:val="24"/>
        </w:rPr>
        <w:t>根据《中华人民共和国民法典》及其他有关法律、行政法规，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 xml:space="preserve"> （以下简称“乙方”）就</w:t>
      </w:r>
      <w:r>
        <w:rPr>
          <w:rFonts w:hint="eastAsia" w:ascii="宋体" w:hAnsi="宋体" w:cs="宋体"/>
          <w:sz w:val="24"/>
          <w:u w:val="single"/>
          <w:lang w:eastAsia="zh-CN"/>
        </w:rPr>
        <w:t>广州市净水有限公司2022年沥滘、大沙地、大观等分公司日常维护维修项目（房屋修缮类）</w:t>
      </w:r>
      <w:r>
        <w:rPr>
          <w:rFonts w:hint="eastAsia" w:asciiTheme="minorEastAsia" w:hAnsiTheme="minorEastAsia" w:eastAsiaTheme="minorEastAsia" w:cstheme="minorEastAsia"/>
          <w:sz w:val="24"/>
        </w:rPr>
        <w:t>承接工作事宜，</w:t>
      </w:r>
      <w:r>
        <w:rPr>
          <w:rFonts w:hint="eastAsia" w:ascii="宋体" w:hAnsi="宋体" w:cs="宋体"/>
          <w:sz w:val="24"/>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500" w:lineRule="exact"/>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500" w:lineRule="exact"/>
        <w:ind w:firstLine="482"/>
        <w:rPr>
          <w:rFonts w:ascii="宋体" w:hAnsi="宋体" w:cs="宋体"/>
          <w:bCs/>
          <w:sz w:val="24"/>
        </w:rPr>
      </w:pPr>
      <w:r>
        <w:rPr>
          <w:rFonts w:hint="eastAsia" w:ascii="宋体" w:hAnsi="宋体" w:cs="宋体"/>
          <w:bCs/>
          <w:sz w:val="24"/>
        </w:rPr>
        <w:t>⑵ 本合同书；</w:t>
      </w:r>
    </w:p>
    <w:p>
      <w:pPr>
        <w:spacing w:line="500" w:lineRule="exact"/>
        <w:ind w:firstLine="482"/>
        <w:rPr>
          <w:rFonts w:ascii="宋体" w:hAnsi="宋体" w:cs="宋体"/>
          <w:bCs/>
          <w:sz w:val="24"/>
        </w:rPr>
      </w:pPr>
      <w:r>
        <w:rPr>
          <w:rFonts w:hint="eastAsia" w:ascii="宋体" w:hAnsi="宋体" w:cs="宋体"/>
          <w:bCs/>
          <w:sz w:val="24"/>
        </w:rPr>
        <w:t xml:space="preserve">⑶ </w:t>
      </w:r>
      <w:r>
        <w:rPr>
          <w:rFonts w:hint="eastAsia" w:ascii="宋体" w:hAnsi="宋体" w:cs="宋体"/>
          <w:bCs/>
          <w:sz w:val="24"/>
          <w:szCs w:val="22"/>
        </w:rPr>
        <w:t>成交通知书</w:t>
      </w:r>
      <w:r>
        <w:rPr>
          <w:rFonts w:hint="eastAsia" w:ascii="宋体" w:hAnsi="宋体" w:cs="宋体"/>
          <w:bCs/>
          <w:sz w:val="24"/>
        </w:rPr>
        <w:t>/委托函；</w:t>
      </w:r>
    </w:p>
    <w:p>
      <w:pPr>
        <w:spacing w:line="500" w:lineRule="exact"/>
        <w:ind w:firstLine="482"/>
        <w:rPr>
          <w:rFonts w:ascii="宋体" w:hAnsi="宋体" w:cs="宋体"/>
          <w:bCs/>
          <w:sz w:val="24"/>
        </w:rPr>
      </w:pPr>
      <w:r>
        <w:rPr>
          <w:rFonts w:hint="eastAsia" w:ascii="宋体" w:hAnsi="宋体" w:cs="宋体"/>
          <w:bCs/>
          <w:sz w:val="24"/>
        </w:rPr>
        <w:t>⑷ 询价文件；</w:t>
      </w:r>
    </w:p>
    <w:p>
      <w:pPr>
        <w:spacing w:line="500" w:lineRule="exact"/>
        <w:ind w:firstLine="482"/>
        <w:rPr>
          <w:rFonts w:ascii="宋体" w:hAnsi="宋体" w:cs="宋体"/>
          <w:bCs/>
          <w:sz w:val="24"/>
        </w:rPr>
      </w:pPr>
      <w:r>
        <w:rPr>
          <w:rFonts w:hint="eastAsia" w:ascii="宋体" w:hAnsi="宋体" w:cs="宋体"/>
          <w:bCs/>
          <w:sz w:val="24"/>
        </w:rPr>
        <w:t>⑸ 响应文件；</w:t>
      </w:r>
    </w:p>
    <w:p>
      <w:pPr>
        <w:spacing w:line="500" w:lineRule="exact"/>
        <w:ind w:firstLine="482"/>
        <w:rPr>
          <w:rFonts w:ascii="宋体" w:hAnsi="宋体" w:cs="宋体"/>
          <w:bCs/>
          <w:sz w:val="24"/>
        </w:rPr>
      </w:pPr>
      <w:r>
        <w:rPr>
          <w:rFonts w:hint="eastAsia" w:ascii="宋体" w:hAnsi="宋体" w:cs="宋体"/>
          <w:bCs/>
          <w:sz w:val="24"/>
        </w:rPr>
        <w:t>⑹ 标准、规范及有关技术性文件；</w:t>
      </w:r>
    </w:p>
    <w:p>
      <w:pPr>
        <w:spacing w:line="500" w:lineRule="exact"/>
        <w:ind w:firstLine="482"/>
        <w:rPr>
          <w:rFonts w:ascii="宋体" w:hAnsi="宋体" w:cs="宋体"/>
          <w:bCs/>
          <w:sz w:val="24"/>
        </w:rPr>
      </w:pPr>
      <w:r>
        <w:rPr>
          <w:rFonts w:hint="eastAsia" w:ascii="宋体" w:hAnsi="宋体" w:cs="宋体"/>
          <w:bCs/>
          <w:sz w:val="24"/>
        </w:rPr>
        <w:t>⑺ 图纸；</w:t>
      </w:r>
    </w:p>
    <w:p>
      <w:pPr>
        <w:spacing w:line="500" w:lineRule="exact"/>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500" w:lineRule="exact"/>
        <w:ind w:firstLine="482"/>
        <w:rPr>
          <w:rFonts w:ascii="宋体" w:hAnsi="宋体" w:cs="宋体"/>
          <w:b/>
          <w:bCs/>
          <w:sz w:val="24"/>
        </w:rPr>
      </w:pPr>
      <w:r>
        <w:rPr>
          <w:rFonts w:hint="eastAsia" w:ascii="宋体" w:hAnsi="宋体" w:cs="宋体"/>
          <w:bCs/>
          <w:sz w:val="24"/>
        </w:rPr>
        <w:t>⑼ 本合同其他附件；</w:t>
      </w:r>
    </w:p>
    <w:p>
      <w:pPr>
        <w:spacing w:line="500" w:lineRule="exact"/>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hint="eastAsia" w:ascii="宋体" w:hAnsi="宋体"/>
          <w:sz w:val="24"/>
          <w:u w:val="single"/>
          <w:lang w:eastAsia="zh-CN"/>
        </w:rPr>
      </w:pPr>
      <w:r>
        <w:rPr>
          <w:rFonts w:hint="eastAsia" w:ascii="宋体" w:hAnsi="宋体" w:cs="宋体"/>
          <w:sz w:val="24"/>
        </w:rPr>
        <w:t>2.1项目名称：</w:t>
      </w:r>
      <w:r>
        <w:rPr>
          <w:rFonts w:hint="eastAsia" w:ascii="宋体" w:hAnsi="宋体"/>
          <w:sz w:val="24"/>
          <w:u w:val="single"/>
          <w:lang w:eastAsia="zh-CN"/>
        </w:rPr>
        <w:t>广州市净水有限公司2022年沥滘、大沙地、大观等分公司日常维护维修项目（房屋修缮类）</w:t>
      </w:r>
    </w:p>
    <w:tbl>
      <w:tblPr>
        <w:tblStyle w:val="23"/>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7"/>
        <w:gridCol w:w="2380"/>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填报单位 </w:t>
            </w:r>
          </w:p>
        </w:tc>
        <w:tc>
          <w:tcPr>
            <w:tcW w:w="2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沥滘分公司一二三期危废间等墙体修缮项目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沥滘分公司一二期提标生物滤池电房优化项目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沥滘分公司一二期提标深度提升泵房等地面优化项目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沥滘分公司一期鼓风机房地面修缮项目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大沙地分公司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大沙地分公司一期提标门、窗防汛挡板优化项目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大沙地分公司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 xml:space="preserve">大沙地分公司二期排空池排空泵接线箱优化项目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大观分公司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大观分公司2022年负二层无人区射灯加装项目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大观分公司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大观分公司一期变压器房挡水板优化项目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西朗二期分公司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西朗二期分公司出水在线站房增加通风措施项目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西朗二期分公司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西朗二期分公司一期提标反冲洗废水池溢流排水管优化项目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京溪分公司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广州市净水有限公司京溪分公司硫酸铝加药口土建结构优化项目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大坦沙分公司</w:t>
            </w:r>
          </w:p>
        </w:tc>
        <w:tc>
          <w:tcPr>
            <w:tcW w:w="5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大坦沙分公司一二期鼓风机房隔音优化项目</w:t>
            </w:r>
          </w:p>
        </w:tc>
      </w:tr>
    </w:tbl>
    <w:p>
      <w:pPr>
        <w:pStyle w:val="2"/>
        <w:rPr>
          <w:rFonts w:hint="eastAsia"/>
          <w:lang w:eastAsia="zh-CN"/>
        </w:rPr>
      </w:pPr>
    </w:p>
    <w:p>
      <w:pPr>
        <w:spacing w:line="500" w:lineRule="exact"/>
        <w:ind w:firstLine="480" w:firstLineChars="200"/>
        <w:rPr>
          <w:rFonts w:ascii="宋体" w:hAnsi="宋体" w:cs="宋体"/>
          <w:sz w:val="24"/>
          <w:highlight w:val="none"/>
        </w:rPr>
      </w:pPr>
      <w:r>
        <w:rPr>
          <w:rFonts w:hint="eastAsia" w:ascii="宋体" w:hAnsi="宋体" w:cs="宋体"/>
          <w:bCs/>
          <w:sz w:val="24"/>
          <w:szCs w:val="22"/>
          <w:highlight w:val="none"/>
        </w:rPr>
        <w:t>（以下分别简称“项目一、项目二、项目三</w:t>
      </w:r>
      <w:r>
        <w:rPr>
          <w:rFonts w:hint="eastAsia" w:ascii="宋体" w:hAnsi="宋体" w:cs="宋体"/>
          <w:bCs/>
          <w:sz w:val="24"/>
          <w:szCs w:val="22"/>
          <w:highlight w:val="none"/>
          <w:lang w:eastAsia="zh-CN"/>
        </w:rPr>
        <w:t>、</w:t>
      </w:r>
      <w:r>
        <w:rPr>
          <w:rFonts w:hint="eastAsia" w:ascii="宋体" w:hAnsi="宋体" w:cs="宋体"/>
          <w:bCs/>
          <w:sz w:val="24"/>
          <w:szCs w:val="22"/>
          <w:highlight w:val="none"/>
        </w:rPr>
        <w:t>项目</w:t>
      </w:r>
      <w:r>
        <w:rPr>
          <w:rFonts w:hint="eastAsia" w:ascii="宋体" w:hAnsi="宋体" w:cs="宋体"/>
          <w:bCs/>
          <w:sz w:val="24"/>
          <w:szCs w:val="22"/>
          <w:highlight w:val="none"/>
          <w:lang w:val="en-US" w:eastAsia="zh-CN"/>
        </w:rPr>
        <w:t>四、项目五、项目六、项目七、项目八、项目九、项目十、项目十一、项目十二</w:t>
      </w:r>
      <w:r>
        <w:rPr>
          <w:rFonts w:hint="eastAsia" w:ascii="宋体" w:hAnsi="宋体" w:cs="宋体"/>
          <w:bCs/>
          <w:sz w:val="24"/>
          <w:szCs w:val="22"/>
          <w:highlight w:val="none"/>
        </w:rPr>
        <w:t>”）</w:t>
      </w:r>
    </w:p>
    <w:p>
      <w:pPr>
        <w:spacing w:line="500" w:lineRule="exact"/>
        <w:ind w:firstLine="480" w:firstLineChars="200"/>
        <w:rPr>
          <w:rFonts w:ascii="宋体" w:hAnsi="宋体" w:cs="宋体"/>
          <w:sz w:val="24"/>
        </w:rPr>
      </w:pPr>
      <w:r>
        <w:rPr>
          <w:rFonts w:hint="eastAsia" w:ascii="宋体" w:hAnsi="宋体" w:cs="宋体"/>
          <w:sz w:val="24"/>
        </w:rPr>
        <w:t xml:space="preserve">2.2项目地点： </w:t>
      </w:r>
      <w:r>
        <w:rPr>
          <w:rFonts w:hint="eastAsia" w:ascii="宋体" w:hAnsi="宋体" w:cs="宋体"/>
          <w:sz w:val="24"/>
          <w:u w:val="single"/>
        </w:rPr>
        <w:t xml:space="preserve">  </w:t>
      </w:r>
      <w:r>
        <w:rPr>
          <w:rFonts w:hint="eastAsia" w:ascii="宋体" w:hAnsi="宋体" w:cs="宋体"/>
          <w:sz w:val="24"/>
          <w:u w:val="single"/>
          <w:lang w:val="en-US" w:eastAsia="zh-CN"/>
        </w:rPr>
        <w:t>项目所属各分公司</w:t>
      </w:r>
      <w:r>
        <w:rPr>
          <w:rFonts w:hint="eastAsia" w:ascii="宋体" w:hAnsi="宋体" w:cs="宋体"/>
          <w:sz w:val="24"/>
          <w:u w:val="single"/>
        </w:rPr>
        <w:t xml:space="preserve"> 。</w:t>
      </w:r>
    </w:p>
    <w:p>
      <w:pPr>
        <w:pStyle w:val="12"/>
        <w:spacing w:line="500" w:lineRule="exact"/>
        <w:ind w:firstLine="0" w:firstLineChars="0"/>
        <w:outlineLvl w:val="1"/>
        <w:rPr>
          <w:rFonts w:hint="default" w:hAnsi="宋体" w:cs="宋体"/>
          <w:sz w:val="24"/>
          <w:szCs w:val="20"/>
          <w:lang w:val="en-US" w:eastAsia="zh-CN"/>
        </w:rPr>
      </w:pPr>
    </w:p>
    <w:p>
      <w:pPr>
        <w:spacing w:line="500" w:lineRule="exact"/>
      </w:pPr>
      <w:r>
        <w:rPr>
          <w:rFonts w:hint="eastAsia" w:ascii="宋体" w:hAnsi="宋体" w:cs="宋体"/>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sz w:val="24"/>
        </w:rPr>
      </w:pPr>
      <w:r>
        <w:rPr>
          <w:rFonts w:hint="eastAsia" w:ascii="宋体" w:hAnsi="宋体" w:cs="宋体"/>
          <w:sz w:val="24"/>
        </w:rPr>
        <w:t>2.4项目内容</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沥滘分公司一二三期危废间等墙体修缮项目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修缮以下区域的墙体：针对危废贮存间顶部外沿墙面、二期中水砂滤池顶部表面破损墙体以及三期粗格栅楼梯入口的飘台底墙体进行修缮。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1.铲除破损处墙面；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2.找平后刷抹灰腻子（耐水性），刮腻子遍数：2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3.刷底漆两遍，面漆两遍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厂区危废贮存间、三期粗格栅楼梯间和泵房（即粗格栅泵房的3号、4号楼梯间）的墙壁表面破损处进行修缮。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1.铲除破损处墙面；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2.涂防水层。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3.找平后刷抹灰腻子（耐水性），刮腻子遍数：2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4.刷底漆两遍，面漆两遍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7"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沥滘分公司一二期提标生物滤池电房优化项目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提标生物滤池低压电房出线电缆桥架上方加装雨棚，防止雨天时电房进水安全隐患。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雨棚详细：提标生物滤池低压电房出线电缆桥架上方加装雨棚，防止雨天时电房进水安全隐患。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雨棚长18米，宽2米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生物滤池电房顶用不锈钢脚架支撑雨棚一侧。另一侧采用钢结构支撑在出水泵房顶部侧边墙壁上。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雨棚向生物滤池电房顶倾斜，形成高低差，让雨棚上的雨水往生物滤池泵房倾斜，同时雨棚生物滤池电房侧（雨棚西侧）做雨水收集槽，雨棚收集槽北侧（即雨棚西北角）接DN100PVC管做雨水管，雨水管沿着生物滤池电房屋顶东边墙壁角落往北侧继续铺设，接入屋顶东北角的雨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沥滘分公司一二期提标深度提升泵房等地面优化项目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对提标深度提升泵南门门槛地面、一期鼓风机西门斜坡地面和1号高压室南门斜波地面进行修缮。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一期鼓风机房施工内容：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1.拆除一期鼓风机房西面入口原有的混凝土斜坡，530cm乘270cm乘20cm，并打磨地面。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2.浇筑新C30混凝土斜坡，尺寸为530cm乘270cm乘20cm。做新浇筑的混凝土斜坡前先做好地面拉毛等处理，内部铺一层钢筋，主筋为三级钢16-150、分布筋为三级钢12-150。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深度提升泵房施工内容：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1.拆除深度提升泵房入口处部分地面，尺寸为420cm乘35cm乘11cm，并打磨。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2.浇筑修复深度提升泵房入口处部分地面，尺寸为420cm乘35cm乘11cm，且再做新C30混凝土斜坡，尺寸为420cm乘200cm乘11cm。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3.做新浇筑的混凝土斜坡前先做好地面拉毛等处理，内部铺一层钢筋，主筋为三级钢16-150、分布筋为三级钢12-150。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PLC控制房施工内容：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1.拆除PLC控制房南面入口原有的混凝土斜坡，尺寸为500cm乘190cm乘45cm，并打磨地面。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浇筑新C30混凝土斜坡，尺寸为500cm乘190cm乘45cm。做新浇筑的混凝土斜坡前先做好地面拉毛等处理，内部铺两层钢筋，主筋为三级钢16-150、分布筋为三级钢12-150。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沥滘分公司一期鼓风机房地面修缮项目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一期鼓风机房地面瓷砖破损更换、刷地坪漆（厚）。地坪漆面积共约200平方米。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一、地面原有瓷砖拆除：156平方米，瓷砖厚5mm。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二、拆除原有地坪漆：44平方米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三、清理基面：高功率无尘打磨机去除原有地坪漆等至混凝土面层；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四、基面清洁：对整体面进行清洁，保证基面干燥、不能有明水；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五、基面结构：涂刮 STIC-930 高渗透性环氧砂浆 3 遍，3mm 厚 （对混凝土基面加固、基面找平），自然风干七天以上；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六、底 漆：涂刷 STIC-9308 环氧底漆一遍；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七、中 间 层：涂刷 STIC-9318 环氧地坪漆二遍；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面 漆：涂刷 STIC-9901-1 特种防腐漆一遍（耐磨、高光）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大沙地分公司一期提标门、窗防汛挡板优化项目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大沙地分公司的一期提标建筑物，未有防汛挡板，存在安全隐患。为了加强防汛能力，需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对关键电房和重要生产设施场所出入口加装防汛挡板。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大沙地分公司二期排空池排空泵接线箱优化项目 </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现有的4、5、6号排空泵的检修，因临边作业，电缆拆除和恢复的操作难度较大，而且有安全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风险，所以需要对排空泵接线箱进行优化。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大观分公司2022年负二层无人区射灯加装项目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top"/>
          </w:tcPr>
          <w:p>
            <w:pPr>
              <w:ind w:firstLine="440" w:firstLineChars="200"/>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auto"/>
                <w:sz w:val="22"/>
                <w:szCs w:val="22"/>
                <w:highlight w:val="none"/>
                <w:u w:val="none"/>
              </w:rPr>
              <w:t>本次负二层无人区射灯加装项目共安装安装18盏方形LED防水防爆投光灯。两组电源自八号梯负二层出口处照明配电箱出线，分别引至负二层无人区北侧和东南侧。北侧电源接入8盏LED灯，东南侧电源接入10盏LED灯，每盏LED灯平均间隔7.5米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大观分公司一期变压器房挡水板优化项目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top"/>
          </w:tcPr>
          <w:p>
            <w:pPr>
              <w:ind w:firstLine="440" w:firstLineChars="200"/>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本次拟为鼓风机专变房和深度处理专变房等剩余4座变压器房增加挡水顶棚。</w:t>
            </w:r>
          </w:p>
          <w:p>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auto"/>
                <w:sz w:val="22"/>
                <w:szCs w:val="22"/>
                <w:highlight w:val="none"/>
                <w:u w:val="none"/>
              </w:rPr>
              <w:t>其次，对配电房顶板进行刷白，及时发现是否发生漏水现象。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西朗二期分公司出水在线站房增加通风措施项目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二期出水在线站房位于西朗二期厂区办公楼一楼，站房内内放置在线监测设备，站房房门日常要求是关闭；房间内空间较小；站房内没有窗户，只有一把排气扇与室外换气通风，站房内没有送风系统，运维人员长时间在此空间工作易产生不适。本项目在出水在线站房内增加送风及排风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西朗二期分公司一期提标反冲洗废水池溢流排水管优化项目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西朗二期分公司一期提标除磷加药间废水池没有设计溢流口及溢流废水排放管道，当废水池控制系统故障导致废水池废水无法抽出或者泵故障抽升量太小，导致废水溢出地面，造成环境污染，严重影响生产环境整洁、工作人员和生产安全。因此将溢流水引流排入污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京溪分公司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广州市净水有限公司京溪分公司硫酸铝加药口土建结构优化项目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1、更换土建遮蔽结构2、优化加药管线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大坦沙分公司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大坦沙分公司一二期鼓风机房隔音优化项目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u w:val="none"/>
                <w:lang w:val="en-US" w:eastAsia="zh-CN" w:bidi="ar"/>
              </w:rPr>
              <w:t>一二期鼓风机房加建隔音墙</w:t>
            </w:r>
          </w:p>
        </w:tc>
      </w:tr>
    </w:tbl>
    <w:p>
      <w:pPr>
        <w:pStyle w:val="2"/>
      </w:pPr>
    </w:p>
    <w:p>
      <w:pPr>
        <w:spacing w:line="500" w:lineRule="exact"/>
        <w:ind w:firstLine="482" w:firstLineChars="200"/>
        <w:rPr>
          <w:rFonts w:ascii="宋体" w:hAnsi="宋体" w:cs="宋体"/>
          <w:b/>
          <w:bCs/>
          <w:sz w:val="24"/>
        </w:rPr>
      </w:pPr>
      <w:r>
        <w:rPr>
          <w:rFonts w:hint="eastAsia" w:ascii="宋体" w:hAnsi="宋体" w:cs="宋体"/>
          <w:b/>
          <w:bCs/>
          <w:sz w:val="24"/>
        </w:rPr>
        <w:t>第三条 项目承包方式</w:t>
      </w:r>
    </w:p>
    <w:p>
      <w:pPr>
        <w:spacing w:line="500" w:lineRule="exact"/>
        <w:ind w:firstLine="482" w:firstLineChars="200"/>
        <w:rPr>
          <w:rFonts w:ascii="宋体" w:hAnsi="宋体" w:cs="宋体"/>
          <w:sz w:val="24"/>
        </w:rPr>
      </w:pPr>
      <w:r>
        <w:rPr>
          <w:rFonts w:hint="eastAsia" w:ascii="Segoe UI Symbol" w:hAnsi="Segoe UI Symbol" w:cs="Segoe UI Symbol"/>
          <w:b/>
          <w:bCs/>
          <w:sz w:val="24"/>
          <w:lang w:eastAsia="zh-CN"/>
        </w:rPr>
        <w:sym w:font="Wingdings 2" w:char="0052"/>
      </w:r>
      <w:r>
        <w:rPr>
          <w:rFonts w:hint="eastAsia" w:ascii="宋体" w:hAnsi="宋体" w:cs="宋体"/>
          <w:sz w:val="24"/>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sz w:val="24"/>
        </w:rPr>
      </w:pPr>
      <w:r>
        <w:rPr>
          <w:rFonts w:ascii="宋体" w:hAnsi="宋体" w:cs="宋体"/>
          <w:bCs/>
          <w:sz w:val="24"/>
        </w:rPr>
        <w:sym w:font="Wingdings" w:char="00A8"/>
      </w:r>
      <w:r>
        <w:rPr>
          <w:rFonts w:hint="eastAsia" w:ascii="宋体" w:hAnsi="宋体" w:cs="宋体"/>
          <w:sz w:val="24"/>
        </w:rPr>
        <w:t>包工、包料、包质量、包工期、包安全、包文明施工、包设计、包调试、包验收的施工图纸，以总价包干形式。</w:t>
      </w:r>
    </w:p>
    <w:p>
      <w:pPr>
        <w:spacing w:line="500" w:lineRule="exact"/>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500" w:lineRule="exact"/>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numPr>
          <w:ilvl w:val="0"/>
          <w:numId w:val="17"/>
        </w:numPr>
        <w:spacing w:line="500" w:lineRule="exact"/>
        <w:ind w:firstLine="480" w:firstLineChars="200"/>
        <w:rPr>
          <w:rFonts w:ascii="宋体" w:hAnsi="宋体" w:cs="宋体"/>
          <w:sz w:val="24"/>
        </w:rPr>
      </w:pP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合同总价组成：</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7"/>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sz w:val="24"/>
                <w:u w:val="none"/>
                <w:vertAlign w:val="baseline"/>
              </w:rPr>
            </w:pPr>
            <w:r>
              <w:rPr>
                <w:rFonts w:hint="eastAsia" w:ascii="宋体" w:hAnsi="宋体" w:eastAsia="宋体" w:cs="宋体"/>
                <w:b/>
                <w:bCs/>
                <w:sz w:val="24"/>
                <w:u w:val="none"/>
              </w:rPr>
              <w:t>项目</w:t>
            </w:r>
          </w:p>
        </w:tc>
        <w:tc>
          <w:tcPr>
            <w:tcW w:w="2506" w:type="pct"/>
            <w:vAlign w:val="center"/>
          </w:tcPr>
          <w:p>
            <w:pPr>
              <w:spacing w:line="500" w:lineRule="exact"/>
              <w:jc w:val="center"/>
              <w:rPr>
                <w:rFonts w:hint="eastAsia" w:ascii="宋体" w:hAnsi="宋体" w:eastAsia="宋体" w:cs="宋体"/>
                <w:b/>
                <w:bCs/>
                <w:sz w:val="24"/>
                <w:u w:val="none"/>
                <w:vertAlign w:val="baseline"/>
                <w:lang w:eastAsia="zh-CN"/>
              </w:rPr>
            </w:pPr>
            <w:r>
              <w:rPr>
                <w:rFonts w:hint="eastAsia" w:ascii="宋体" w:hAnsi="宋体" w:eastAsia="宋体" w:cs="宋体"/>
                <w:b/>
                <w:bCs/>
                <w:sz w:val="24"/>
                <w:u w:val="none"/>
              </w:rPr>
              <w:t>人民币</w:t>
            </w:r>
            <w:r>
              <w:rPr>
                <w:rFonts w:hint="eastAsia" w:ascii="宋体" w:hAnsi="宋体" w:eastAsia="宋体" w:cs="宋体"/>
                <w:b/>
                <w:bCs/>
                <w:sz w:val="24"/>
                <w:u w:val="none"/>
                <w:lang w:eastAsia="zh-CN"/>
              </w:rPr>
              <w:t>（</w:t>
            </w:r>
            <w:r>
              <w:rPr>
                <w:rFonts w:hint="eastAsia" w:ascii="宋体" w:hAnsi="宋体" w:eastAsia="宋体" w:cs="宋体"/>
                <w:b/>
                <w:bCs/>
                <w:sz w:val="24"/>
                <w:u w:val="none"/>
                <w:lang w:val="en-US" w:eastAsia="zh-CN"/>
              </w:rPr>
              <w:t>小写</w:t>
            </w:r>
            <w:r>
              <w:rPr>
                <w:rFonts w:hint="eastAsia" w:ascii="宋体" w:hAnsi="宋体" w:cs="宋体"/>
                <w:b/>
                <w:bCs/>
                <w:sz w:val="24"/>
                <w:u w:val="none"/>
                <w:lang w:val="en-US" w:eastAsia="zh-CN"/>
              </w:rPr>
              <w:t>/元</w:t>
            </w:r>
            <w:r>
              <w:rPr>
                <w:rFonts w:hint="eastAsia" w:ascii="宋体" w:hAnsi="宋体" w:eastAsia="宋体" w:cs="宋体"/>
                <w:b/>
                <w:bCs/>
                <w:sz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sz w:val="24"/>
                <w:u w:val="none"/>
                <w:vertAlign w:val="baseline"/>
              </w:rPr>
            </w:pPr>
            <w:r>
              <w:rPr>
                <w:rFonts w:hint="eastAsia" w:asciiTheme="minorEastAsia" w:hAnsiTheme="minorEastAsia" w:eastAsiaTheme="minorEastAsia" w:cstheme="minorEastAsia"/>
                <w:sz w:val="24"/>
              </w:rPr>
              <w:t>项目一</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sz w:val="24"/>
                <w:u w:val="none"/>
                <w:vertAlign w:val="baseline"/>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二</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sz w:val="24"/>
                <w:u w:val="none"/>
                <w:vertAlign w:val="baseline"/>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三</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四</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五</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六</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七</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八</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九</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十</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3" w:type="pct"/>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十一</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十二</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bl>
    <w:p>
      <w:pPr>
        <w:spacing w:line="500" w:lineRule="exact"/>
        <w:ind w:firstLine="482" w:firstLineChars="200"/>
        <w:rPr>
          <w:rFonts w:ascii="宋体" w:hAnsi="宋体" w:cs="宋体"/>
          <w:b/>
          <w:sz w:val="24"/>
        </w:rPr>
      </w:pPr>
      <w:r>
        <w:rPr>
          <w:rFonts w:hint="eastAsia" w:ascii="宋体" w:hAnsi="宋体" w:cs="宋体"/>
          <w:b/>
          <w:sz w:val="24"/>
        </w:rPr>
        <w:t xml:space="preserve">         </w:t>
      </w:r>
    </w:p>
    <w:p>
      <w:pPr>
        <w:spacing w:line="500" w:lineRule="exact"/>
        <w:ind w:firstLine="480" w:firstLineChars="200"/>
        <w:rPr>
          <w:rFonts w:ascii="宋体" w:hAnsi="宋体" w:cs="宋体"/>
          <w:sz w:val="24"/>
        </w:rPr>
      </w:pPr>
      <w:r>
        <w:rPr>
          <w:rFonts w:hint="eastAsia" w:ascii="宋体" w:hAnsi="宋体" w:cs="宋体"/>
          <w:sz w:val="24"/>
        </w:rPr>
        <w:t>综合单价</w:t>
      </w:r>
      <w:r>
        <w:rPr>
          <w:rFonts w:hint="eastAsia" w:ascii="宋体" w:hAnsi="宋体" w:cs="宋体"/>
          <w:sz w:val="24"/>
          <w:lang w:val="en-US" w:eastAsia="zh-CN"/>
        </w:rPr>
        <w:t>详见</w:t>
      </w:r>
      <w:r>
        <w:rPr>
          <w:rFonts w:hint="eastAsia" w:ascii="宋体" w:hAnsi="宋体" w:cs="宋体"/>
          <w:sz w:val="24"/>
        </w:rPr>
        <w:t>附件5工程量清单报价。</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sz w:val="24"/>
          <w:highlight w:val="none"/>
        </w:rPr>
        <w:t>）</w:t>
      </w:r>
      <w:r>
        <w:rPr>
          <w:rFonts w:hint="eastAsia" w:ascii="宋体" w:hAnsi="宋体" w:cs="宋体"/>
          <w:sz w:val="24"/>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kern w:val="0"/>
          <w:sz w:val="24"/>
          <w:lang w:val="zh-CN"/>
        </w:rPr>
      </w:pPr>
      <w:r>
        <w:rPr>
          <w:rFonts w:ascii="宋体" w:hAnsi="宋体" w:cs="宋体"/>
          <w:kern w:val="0"/>
          <w:sz w:val="24"/>
          <w:lang w:val="zh-CN"/>
        </w:rPr>
        <w:t>4.3</w:t>
      </w:r>
      <w:r>
        <w:rPr>
          <w:rFonts w:hint="eastAsia" w:ascii="宋体" w:hAnsi="宋体" w:cs="宋体"/>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新增单价计价原则：</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（4）通过市场询价双方协商确定。</w:t>
      </w:r>
    </w:p>
    <w:p>
      <w:pPr>
        <w:widowControl/>
        <w:tabs>
          <w:tab w:val="left" w:pos="851"/>
        </w:tabs>
        <w:adjustRightInd w:val="0"/>
        <w:snapToGrid w:val="0"/>
        <w:spacing w:line="500" w:lineRule="exact"/>
        <w:ind w:firstLine="480" w:firstLineChars="200"/>
      </w:pPr>
      <w:r>
        <w:rPr>
          <w:rFonts w:ascii="宋体" w:hAnsi="宋体" w:cs="宋体"/>
          <w:kern w:val="0"/>
          <w:sz w:val="24"/>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500" w:lineRule="exact"/>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lang w:val="en-US" w:eastAsia="zh-CN"/>
        </w:rPr>
        <w:t>详见下表</w:t>
      </w:r>
      <w:r>
        <w:rPr>
          <w:rFonts w:hint="eastAsia" w:ascii="宋体" w:hAnsi="宋体" w:cs="宋体"/>
          <w:sz w:val="24"/>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sz w:val="24"/>
          <w:lang w:val="en-US" w:eastAsia="zh-CN"/>
        </w:rPr>
        <w:t>及总日历天数</w:t>
      </w:r>
      <w:r>
        <w:rPr>
          <w:rFonts w:hint="eastAsia" w:asciiTheme="minorEastAsia" w:hAnsiTheme="minorEastAsia" w:eastAsiaTheme="minorEastAsia" w:cstheme="minorEastAsia"/>
          <w:sz w:val="24"/>
          <w:szCs w:val="24"/>
          <w:highlight w:val="none"/>
        </w:rPr>
        <w:t>：</w:t>
      </w:r>
      <w:r>
        <w:rPr>
          <w:rFonts w:hint="eastAsia" w:ascii="宋体" w:hAnsi="宋体" w:cs="宋体"/>
          <w:sz w:val="24"/>
          <w:lang w:val="en-US" w:eastAsia="zh-CN"/>
        </w:rPr>
        <w:t>详见下表</w:t>
      </w:r>
      <w:r>
        <w:rPr>
          <w:rFonts w:hint="eastAsia" w:ascii="宋体" w:hAnsi="宋体" w:cs="宋体"/>
          <w:b/>
          <w:bCs/>
          <w:sz w:val="24"/>
          <w:highlight w:val="none"/>
        </w:rPr>
        <w:t>。</w:t>
      </w:r>
      <w:bookmarkStart w:id="136" w:name="_GoBack"/>
      <w:bookmarkEnd w:id="136"/>
      <w:r>
        <w:rPr>
          <w:rFonts w:hint="eastAsia" w:ascii="宋体" w:hAnsi="宋体" w:cs="宋体"/>
          <w:sz w:val="24"/>
        </w:rPr>
        <w:t>乙方未能按合同工期竣工验收的，每逾期一天，甲方有权要求乙方按合同暂定总价的 1%支付违约金，逾期达到</w:t>
      </w:r>
      <w:r>
        <w:rPr>
          <w:rFonts w:ascii="宋体" w:hAnsi="宋体" w:cs="宋体"/>
          <w:sz w:val="24"/>
          <w:u w:val="single"/>
        </w:rPr>
        <w:t>30</w:t>
      </w:r>
      <w:r>
        <w:rPr>
          <w:rFonts w:hint="eastAsia" w:ascii="宋体" w:hAnsi="宋体" w:cs="宋体"/>
          <w:sz w:val="24"/>
        </w:rPr>
        <w:t>天及以上的，甲方有权解除合同并要求乙方支付</w:t>
      </w:r>
      <w:r>
        <w:rPr>
          <w:rFonts w:hint="eastAsia" w:ascii="宋体" w:hAnsi="宋体" w:cs="宋体"/>
          <w:sz w:val="24"/>
          <w:u w:val="single"/>
        </w:rPr>
        <w:t>合同暂定总价的</w:t>
      </w:r>
      <w:r>
        <w:rPr>
          <w:rFonts w:ascii="宋体" w:hAnsi="宋体" w:cs="宋体"/>
          <w:sz w:val="24"/>
          <w:u w:val="single"/>
        </w:rPr>
        <w:t>20%</w:t>
      </w:r>
      <w:r>
        <w:rPr>
          <w:rFonts w:ascii="宋体" w:hAnsi="宋体" w:cs="宋体"/>
          <w:sz w:val="24"/>
        </w:rPr>
        <w:t>作为违约金。</w:t>
      </w:r>
    </w:p>
    <w:p>
      <w:pPr>
        <w:pStyle w:val="7"/>
      </w:pPr>
    </w:p>
    <w:tbl>
      <w:tblPr>
        <w:tblStyle w:val="24"/>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213"/>
        <w:gridCol w:w="1805"/>
        <w:gridCol w:w="1509"/>
        <w:gridCol w:w="1141"/>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09"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1213" w:type="dxa"/>
            <w:vAlign w:val="center"/>
          </w:tcPr>
          <w:p>
            <w:pPr>
              <w:pStyle w:val="7"/>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暂定开工日期</w:t>
            </w:r>
          </w:p>
        </w:tc>
        <w:tc>
          <w:tcPr>
            <w:tcW w:w="1805" w:type="dxa"/>
            <w:vAlign w:val="center"/>
          </w:tcPr>
          <w:p>
            <w:pPr>
              <w:pStyle w:val="7"/>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合同工期及总日历天数</w:t>
            </w:r>
          </w:p>
        </w:tc>
        <w:tc>
          <w:tcPr>
            <w:tcW w:w="1509" w:type="dxa"/>
            <w:vAlign w:val="center"/>
          </w:tcPr>
          <w:p>
            <w:pPr>
              <w:pStyle w:val="7"/>
              <w:ind w:firstLine="42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1141" w:type="dxa"/>
            <w:vAlign w:val="center"/>
          </w:tcPr>
          <w:p>
            <w:pPr>
              <w:pStyle w:val="7"/>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暂定开工日期</w:t>
            </w:r>
          </w:p>
        </w:tc>
        <w:tc>
          <w:tcPr>
            <w:tcW w:w="1881" w:type="dxa"/>
            <w:vAlign w:val="center"/>
          </w:tcPr>
          <w:p>
            <w:pPr>
              <w:pStyle w:val="7"/>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合同工期及总日历天数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1213"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p>
        </w:tc>
        <w:tc>
          <w:tcPr>
            <w:tcW w:w="1805" w:type="dxa"/>
            <w:vAlign w:val="center"/>
          </w:tcPr>
          <w:p>
            <w:pPr>
              <w:keepNext w:val="0"/>
              <w:keepLines w:val="0"/>
              <w:widowControl/>
              <w:suppressLineNumbers w:val="0"/>
              <w:jc w:val="center"/>
              <w:textAlignment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u w:val="none"/>
                <w:lang w:val="en-US" w:eastAsia="zh-CN" w:bidi="ar"/>
              </w:rPr>
              <w:t>5天</w:t>
            </w:r>
          </w:p>
        </w:tc>
        <w:tc>
          <w:tcPr>
            <w:tcW w:w="1509"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项目七</w:t>
            </w:r>
          </w:p>
        </w:tc>
        <w:tc>
          <w:tcPr>
            <w:tcW w:w="1141" w:type="dxa"/>
            <w:vAlign w:val="center"/>
          </w:tcPr>
          <w:p>
            <w:pPr>
              <w:ind w:firstLine="420" w:firstLineChars="0"/>
              <w:jc w:val="center"/>
              <w:rPr>
                <w:rFonts w:hint="eastAsia" w:ascii="仿宋" w:hAnsi="仿宋" w:eastAsia="仿宋" w:cs="仿宋"/>
                <w:sz w:val="24"/>
                <w:szCs w:val="24"/>
                <w:vertAlign w:val="baseline"/>
                <w:lang w:val="en-US" w:eastAsia="zh-CN"/>
              </w:rPr>
            </w:pPr>
          </w:p>
        </w:tc>
        <w:tc>
          <w:tcPr>
            <w:tcW w:w="1881" w:type="dxa"/>
            <w:vAlign w:val="center"/>
          </w:tcPr>
          <w:p>
            <w:pPr>
              <w:keepNext w:val="0"/>
              <w:keepLines w:val="0"/>
              <w:widowControl/>
              <w:suppressLineNumbers w:val="0"/>
              <w:jc w:val="center"/>
              <w:textAlignment w:val="center"/>
              <w:rPr>
                <w:rFonts w:hint="eastAsia" w:ascii="仿宋" w:hAnsi="仿宋" w:eastAsia="仿宋" w:cs="仿宋"/>
                <w:b/>
                <w:bCs/>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1213"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p>
        </w:tc>
        <w:tc>
          <w:tcPr>
            <w:tcW w:w="1805" w:type="dxa"/>
            <w:vAlign w:val="center"/>
          </w:tcPr>
          <w:p>
            <w:pPr>
              <w:keepNext w:val="0"/>
              <w:keepLines w:val="0"/>
              <w:widowControl/>
              <w:suppressLineNumbers w:val="0"/>
              <w:jc w:val="center"/>
              <w:textAlignment w:val="center"/>
              <w:rPr>
                <w:rFonts w:hint="eastAsia" w:ascii="仿宋" w:hAnsi="仿宋" w:eastAsia="仿宋" w:cs="仿宋"/>
                <w:sz w:val="24"/>
                <w:szCs w:val="24"/>
                <w:highlight w:val="none"/>
                <w:vertAlign w:val="baseline"/>
              </w:rPr>
            </w:pPr>
            <w:r>
              <w:rPr>
                <w:rFonts w:hint="eastAsia" w:ascii="仿宋" w:hAnsi="仿宋" w:eastAsia="仿宋" w:cs="仿宋"/>
                <w:i w:val="0"/>
                <w:iCs w:val="0"/>
                <w:color w:val="000000"/>
                <w:kern w:val="0"/>
                <w:sz w:val="24"/>
                <w:szCs w:val="24"/>
                <w:u w:val="none"/>
                <w:lang w:val="en-US" w:eastAsia="zh-CN" w:bidi="ar"/>
              </w:rPr>
              <w:t>10天</w:t>
            </w:r>
          </w:p>
        </w:tc>
        <w:tc>
          <w:tcPr>
            <w:tcW w:w="1509"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项目八</w:t>
            </w:r>
          </w:p>
        </w:tc>
        <w:tc>
          <w:tcPr>
            <w:tcW w:w="1141" w:type="dxa"/>
            <w:vAlign w:val="center"/>
          </w:tcPr>
          <w:p>
            <w:pPr>
              <w:ind w:firstLine="420" w:firstLineChars="0"/>
              <w:jc w:val="center"/>
              <w:rPr>
                <w:rFonts w:hint="eastAsia" w:ascii="仿宋" w:hAnsi="仿宋" w:eastAsia="仿宋" w:cs="仿宋"/>
                <w:sz w:val="24"/>
                <w:szCs w:val="24"/>
                <w:vertAlign w:val="baseline"/>
                <w:lang w:val="en-US" w:eastAsia="zh-CN"/>
              </w:rPr>
            </w:pPr>
          </w:p>
        </w:tc>
        <w:tc>
          <w:tcPr>
            <w:tcW w:w="1881" w:type="dxa"/>
            <w:vAlign w:val="center"/>
          </w:tcPr>
          <w:p>
            <w:pPr>
              <w:keepNext w:val="0"/>
              <w:keepLines w:val="0"/>
              <w:widowControl/>
              <w:suppressLineNumbers w:val="0"/>
              <w:jc w:val="center"/>
              <w:textAlignment w:val="center"/>
              <w:rPr>
                <w:rFonts w:hint="eastAsia" w:ascii="仿宋" w:hAnsi="仿宋" w:eastAsia="仿宋" w:cs="仿宋"/>
                <w:b/>
                <w:bCs/>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1213"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p>
        </w:tc>
        <w:tc>
          <w:tcPr>
            <w:tcW w:w="1805" w:type="dxa"/>
            <w:vAlign w:val="center"/>
          </w:tcPr>
          <w:p>
            <w:pPr>
              <w:keepNext w:val="0"/>
              <w:keepLines w:val="0"/>
              <w:widowControl/>
              <w:suppressLineNumbers w:val="0"/>
              <w:jc w:val="center"/>
              <w:textAlignment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u w:val="none"/>
                <w:lang w:val="en-US" w:eastAsia="zh-CN" w:bidi="ar"/>
              </w:rPr>
              <w:t>7天</w:t>
            </w:r>
          </w:p>
        </w:tc>
        <w:tc>
          <w:tcPr>
            <w:tcW w:w="1509"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项目九</w:t>
            </w:r>
          </w:p>
        </w:tc>
        <w:tc>
          <w:tcPr>
            <w:tcW w:w="1141" w:type="dxa"/>
            <w:vAlign w:val="center"/>
          </w:tcPr>
          <w:p>
            <w:pPr>
              <w:ind w:firstLine="420" w:firstLineChars="0"/>
              <w:jc w:val="center"/>
              <w:rPr>
                <w:rFonts w:hint="eastAsia" w:ascii="仿宋" w:hAnsi="仿宋" w:eastAsia="仿宋" w:cs="仿宋"/>
                <w:sz w:val="24"/>
                <w:szCs w:val="24"/>
                <w:vertAlign w:val="baseline"/>
                <w:lang w:val="en-US" w:eastAsia="zh-CN"/>
              </w:rPr>
            </w:pPr>
          </w:p>
        </w:tc>
        <w:tc>
          <w:tcPr>
            <w:tcW w:w="1881" w:type="dxa"/>
            <w:vAlign w:val="center"/>
          </w:tcPr>
          <w:p>
            <w:pPr>
              <w:keepNext w:val="0"/>
              <w:keepLines w:val="0"/>
              <w:widowControl/>
              <w:suppressLineNumbers w:val="0"/>
              <w:jc w:val="center"/>
              <w:textAlignment w:val="center"/>
              <w:rPr>
                <w:rFonts w:hint="eastAsia" w:ascii="仿宋" w:hAnsi="仿宋" w:eastAsia="仿宋" w:cs="仿宋"/>
                <w:b/>
                <w:bCs/>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jc w:val="center"/>
        </w:trPr>
        <w:tc>
          <w:tcPr>
            <w:tcW w:w="1509"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1213"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p>
        </w:tc>
        <w:tc>
          <w:tcPr>
            <w:tcW w:w="1805" w:type="dxa"/>
            <w:vAlign w:val="center"/>
          </w:tcPr>
          <w:p>
            <w:pPr>
              <w:keepNext w:val="0"/>
              <w:keepLines w:val="0"/>
              <w:widowControl/>
              <w:suppressLineNumbers w:val="0"/>
              <w:jc w:val="center"/>
              <w:textAlignment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u w:val="none"/>
                <w:lang w:val="en-US" w:eastAsia="zh-CN" w:bidi="ar"/>
              </w:rPr>
              <w:t>14天</w:t>
            </w:r>
          </w:p>
        </w:tc>
        <w:tc>
          <w:tcPr>
            <w:tcW w:w="1509"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项目十</w:t>
            </w:r>
          </w:p>
        </w:tc>
        <w:tc>
          <w:tcPr>
            <w:tcW w:w="1141" w:type="dxa"/>
            <w:vAlign w:val="center"/>
          </w:tcPr>
          <w:p>
            <w:pPr>
              <w:ind w:firstLine="420" w:firstLineChars="0"/>
              <w:jc w:val="center"/>
              <w:rPr>
                <w:rFonts w:hint="eastAsia" w:ascii="仿宋" w:hAnsi="仿宋" w:eastAsia="仿宋" w:cs="仿宋"/>
                <w:sz w:val="24"/>
                <w:szCs w:val="24"/>
                <w:vertAlign w:val="baseline"/>
                <w:lang w:val="en-US" w:eastAsia="zh-CN"/>
              </w:rPr>
            </w:pPr>
          </w:p>
        </w:tc>
        <w:tc>
          <w:tcPr>
            <w:tcW w:w="1881" w:type="dxa"/>
            <w:vAlign w:val="center"/>
          </w:tcPr>
          <w:p>
            <w:pPr>
              <w:keepNext w:val="0"/>
              <w:keepLines w:val="0"/>
              <w:widowControl/>
              <w:suppressLineNumbers w:val="0"/>
              <w:jc w:val="center"/>
              <w:textAlignment w:val="center"/>
              <w:rPr>
                <w:rFonts w:hint="eastAsia" w:ascii="仿宋" w:hAnsi="仿宋" w:eastAsia="仿宋" w:cs="仿宋"/>
                <w:b/>
                <w:bCs/>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jc w:val="center"/>
        </w:trPr>
        <w:tc>
          <w:tcPr>
            <w:tcW w:w="1509" w:type="dxa"/>
            <w:vAlign w:val="center"/>
          </w:tcPr>
          <w:p>
            <w:pPr>
              <w:pStyle w:val="7"/>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项目五</w:t>
            </w:r>
          </w:p>
        </w:tc>
        <w:tc>
          <w:tcPr>
            <w:tcW w:w="1213"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p>
        </w:tc>
        <w:tc>
          <w:tcPr>
            <w:tcW w:w="1805" w:type="dxa"/>
            <w:vAlign w:val="center"/>
          </w:tcPr>
          <w:p>
            <w:pPr>
              <w:keepNext w:val="0"/>
              <w:keepLines w:val="0"/>
              <w:widowControl/>
              <w:suppressLineNumbers w:val="0"/>
              <w:jc w:val="center"/>
              <w:textAlignment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u w:val="none"/>
                <w:lang w:val="en-US" w:eastAsia="zh-CN" w:bidi="ar"/>
              </w:rPr>
              <w:t>60天</w:t>
            </w:r>
          </w:p>
        </w:tc>
        <w:tc>
          <w:tcPr>
            <w:tcW w:w="1509" w:type="dxa"/>
            <w:vAlign w:val="center"/>
          </w:tcPr>
          <w:p>
            <w:pPr>
              <w:pStyle w:val="7"/>
              <w:ind w:firstLine="420" w:firstLineChars="0"/>
              <w:jc w:val="center"/>
              <w:rPr>
                <w:rFonts w:hint="default" w:ascii="仿宋" w:hAnsi="仿宋" w:eastAsia="仿宋" w:cs="仿宋"/>
                <w:b/>
                <w:bCs/>
                <w:sz w:val="24"/>
                <w:szCs w:val="24"/>
                <w:vertAlign w:val="baseline"/>
                <w:lang w:val="en-US" w:eastAsia="zh-CN"/>
              </w:rPr>
            </w:pPr>
            <w:r>
              <w:rPr>
                <w:rFonts w:hint="eastAsia" w:ascii="仿宋" w:hAnsi="仿宋" w:eastAsia="仿宋" w:cs="仿宋"/>
                <w:sz w:val="24"/>
                <w:szCs w:val="24"/>
                <w:vertAlign w:val="baseline"/>
                <w:lang w:val="en-US" w:eastAsia="zh-CN"/>
              </w:rPr>
              <w:t>项目十一</w:t>
            </w:r>
          </w:p>
        </w:tc>
        <w:tc>
          <w:tcPr>
            <w:tcW w:w="1141" w:type="dxa"/>
            <w:vAlign w:val="center"/>
          </w:tcPr>
          <w:p>
            <w:pPr>
              <w:ind w:firstLine="420" w:firstLineChars="0"/>
              <w:jc w:val="center"/>
              <w:rPr>
                <w:rFonts w:hint="eastAsia" w:ascii="仿宋" w:hAnsi="仿宋" w:eastAsia="仿宋" w:cs="仿宋"/>
                <w:sz w:val="24"/>
                <w:szCs w:val="24"/>
                <w:vertAlign w:val="baseline"/>
                <w:lang w:val="en-US" w:eastAsia="zh-CN"/>
              </w:rPr>
            </w:pPr>
          </w:p>
        </w:tc>
        <w:tc>
          <w:tcPr>
            <w:tcW w:w="1881" w:type="dxa"/>
            <w:vAlign w:val="center"/>
          </w:tcPr>
          <w:p>
            <w:pPr>
              <w:keepNext w:val="0"/>
              <w:keepLines w:val="0"/>
              <w:widowControl/>
              <w:suppressLineNumbers w:val="0"/>
              <w:jc w:val="center"/>
              <w:textAlignment w:val="center"/>
              <w:rPr>
                <w:rFonts w:hint="eastAsia" w:ascii="仿宋" w:hAnsi="仿宋" w:eastAsia="仿宋" w:cs="仿宋"/>
                <w:b/>
                <w:bCs/>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项目六</w:t>
            </w:r>
          </w:p>
        </w:tc>
        <w:tc>
          <w:tcPr>
            <w:tcW w:w="1213"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p>
        </w:tc>
        <w:tc>
          <w:tcPr>
            <w:tcW w:w="1805" w:type="dxa"/>
            <w:vAlign w:val="center"/>
          </w:tcPr>
          <w:p>
            <w:pPr>
              <w:keepNext w:val="0"/>
              <w:keepLines w:val="0"/>
              <w:widowControl/>
              <w:suppressLineNumbers w:val="0"/>
              <w:jc w:val="center"/>
              <w:textAlignment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u w:val="none"/>
                <w:lang w:val="en-US" w:eastAsia="zh-CN" w:bidi="ar"/>
              </w:rPr>
              <w:t>30天</w:t>
            </w:r>
          </w:p>
        </w:tc>
        <w:tc>
          <w:tcPr>
            <w:tcW w:w="1509" w:type="dxa"/>
            <w:vAlign w:val="center"/>
          </w:tcPr>
          <w:p>
            <w:pPr>
              <w:pStyle w:val="7"/>
              <w:ind w:firstLine="42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项目十二</w:t>
            </w:r>
          </w:p>
        </w:tc>
        <w:tc>
          <w:tcPr>
            <w:tcW w:w="1141" w:type="dxa"/>
            <w:vAlign w:val="center"/>
          </w:tcPr>
          <w:p>
            <w:pPr>
              <w:ind w:firstLine="420" w:firstLineChars="0"/>
              <w:jc w:val="center"/>
              <w:rPr>
                <w:rFonts w:hint="eastAsia" w:ascii="仿宋" w:hAnsi="仿宋" w:eastAsia="仿宋" w:cs="仿宋"/>
                <w:sz w:val="24"/>
                <w:szCs w:val="24"/>
                <w:vertAlign w:val="baseline"/>
                <w:lang w:val="en-US" w:eastAsia="zh-CN"/>
              </w:rPr>
            </w:pPr>
          </w:p>
        </w:tc>
        <w:tc>
          <w:tcPr>
            <w:tcW w:w="1881" w:type="dxa"/>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30天</w:t>
            </w:r>
          </w:p>
        </w:tc>
      </w:tr>
    </w:tbl>
    <w:p>
      <w:pPr>
        <w:pStyle w:val="7"/>
      </w:pPr>
    </w:p>
    <w:p>
      <w:pPr>
        <w:widowControl/>
        <w:spacing w:line="500" w:lineRule="exact"/>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7 </w:t>
      </w:r>
      <w:r>
        <w:rPr>
          <w:rFonts w:hint="eastAsia" w:ascii="宋体" w:hAnsi="宋体" w:cs="宋体"/>
          <w:bCs/>
          <w:sz w:val="24"/>
        </w:rPr>
        <w:t>日内将全部图纸退还给甲方。</w:t>
      </w:r>
    </w:p>
    <w:p>
      <w:pPr>
        <w:widowControl/>
        <w:spacing w:line="500" w:lineRule="exact"/>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sz w:val="24"/>
        </w:rPr>
      </w:pPr>
      <w:r>
        <w:rPr>
          <w:rFonts w:ascii="宋体" w:hAnsi="宋体" w:cs="宋体"/>
          <w:bCs/>
          <w:sz w:val="24"/>
        </w:rPr>
        <w:t>5.5</w:t>
      </w:r>
      <w:r>
        <w:rPr>
          <w:rFonts w:hint="eastAsia" w:ascii="宋体" w:hAnsi="宋体" w:cs="宋体"/>
          <w:bCs/>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2"/>
        <w:spacing w:line="500" w:lineRule="exact"/>
        <w:ind w:firstLine="448" w:firstLineChars="200"/>
        <w:outlineLvl w:val="1"/>
        <w:rPr>
          <w:rFonts w:hAnsi="宋体" w:cs="宋体"/>
          <w:spacing w:val="-8"/>
          <w:sz w:val="24"/>
          <w:szCs w:val="24"/>
        </w:rPr>
      </w:pPr>
      <w:r>
        <w:rPr>
          <w:rFonts w:asciiTheme="minorEastAsia" w:hAnsiTheme="minorEastAsia" w:eastAsiaTheme="minorEastAsia" w:cstheme="minorEastAsia"/>
          <w:spacing w:val="-8"/>
          <w:sz w:val="24"/>
          <w:szCs w:val="24"/>
        </w:rPr>
        <w:t>5.</w:t>
      </w:r>
      <w:r>
        <w:rPr>
          <w:rFonts w:hint="eastAsia" w:asciiTheme="minorEastAsia" w:hAnsiTheme="minorEastAsia" w:eastAsiaTheme="minorEastAsia" w:cstheme="minorEastAsia"/>
          <w:spacing w:val="-8"/>
          <w:sz w:val="24"/>
          <w:szCs w:val="24"/>
        </w:rPr>
        <w:t>6</w:t>
      </w:r>
      <w:r>
        <w:rPr>
          <w:rFonts w:hint="eastAsia" w:hAnsi="宋体" w:cs="宋体"/>
          <w:spacing w:val="-8"/>
          <w:sz w:val="24"/>
          <w:szCs w:val="24"/>
        </w:rPr>
        <w:t>乙方不得随意更换项目负责人及附件6中的相关人员，如确须更换，应提前征得甲方同意。如有违反，甲方有权解除合同并要求乙方支付</w:t>
      </w:r>
      <w:r>
        <w:rPr>
          <w:rFonts w:hint="eastAsia" w:hAnsi="宋体" w:cs="宋体"/>
          <w:spacing w:val="-8"/>
          <w:sz w:val="24"/>
          <w:szCs w:val="24"/>
          <w:u w:val="single"/>
        </w:rPr>
        <w:t>5000元/人次</w:t>
      </w:r>
      <w:r>
        <w:rPr>
          <w:rFonts w:hint="eastAsia" w:hAnsi="宋体" w:cs="宋体"/>
          <w:spacing w:val="-8"/>
          <w:sz w:val="24"/>
          <w:szCs w:val="24"/>
        </w:rPr>
        <w:t>作为违约金，以及赔偿由此造成的一切损失(包含质量安全事故、工期延误、增加投资等)。</w:t>
      </w:r>
      <w:r>
        <w:rPr>
          <w:rFonts w:hAnsi="宋体" w:cs="宋体"/>
          <w:spacing w:val="-8"/>
          <w:sz w:val="24"/>
          <w:szCs w:val="24"/>
        </w:rPr>
        <w:t xml:space="preserve">   </w:t>
      </w:r>
    </w:p>
    <w:p>
      <w:pPr>
        <w:widowControl/>
        <w:spacing w:line="500" w:lineRule="exact"/>
        <w:ind w:left="1" w:firstLine="448" w:firstLineChars="200"/>
        <w:jc w:val="left"/>
        <w:rPr>
          <w:rFonts w:ascii="宋体" w:hAnsi="宋体" w:cs="宋体"/>
          <w:spacing w:val="-8"/>
          <w:sz w:val="24"/>
          <w:szCs w:val="24"/>
        </w:rPr>
      </w:pPr>
      <w:r>
        <w:rPr>
          <w:rFonts w:ascii="宋体" w:hAnsi="宋体" w:cs="宋体"/>
          <w:bCs/>
          <w:spacing w:val="-8"/>
          <w:sz w:val="24"/>
          <w:szCs w:val="24"/>
        </w:rPr>
        <w:t>5.</w:t>
      </w:r>
      <w:r>
        <w:rPr>
          <w:rFonts w:hint="eastAsia" w:ascii="宋体" w:hAnsi="宋体" w:cs="宋体"/>
          <w:bCs/>
          <w:spacing w:val="-8"/>
          <w:sz w:val="24"/>
          <w:szCs w:val="24"/>
        </w:rPr>
        <w:t>7施工过程中，项目负责人应驻场管理，否则甲方有权要求乙方支付违约</w:t>
      </w:r>
      <w:r>
        <w:rPr>
          <w:rFonts w:hint="eastAsia" w:ascii="宋体" w:hAnsi="宋体" w:cs="宋体"/>
          <w:bCs/>
          <w:spacing w:val="-8"/>
          <w:sz w:val="24"/>
          <w:szCs w:val="24"/>
          <w:u w:val="single"/>
        </w:rPr>
        <w:t xml:space="preserve"> 1000元/天</w:t>
      </w:r>
      <w:r>
        <w:rPr>
          <w:rFonts w:hint="eastAsia" w:ascii="宋体" w:hAnsi="宋体" w:cs="宋体"/>
          <w:bCs/>
          <w:spacing w:val="-8"/>
          <w:sz w:val="24"/>
          <w:szCs w:val="24"/>
        </w:rPr>
        <w:t>，因此造成损失的，按实际发生额赔偿。</w:t>
      </w:r>
    </w:p>
    <w:p>
      <w:pPr>
        <w:widowControl/>
        <w:spacing w:line="500" w:lineRule="exact"/>
        <w:ind w:left="1" w:firstLine="448" w:firstLineChars="200"/>
        <w:jc w:val="left"/>
        <w:rPr>
          <w:rFonts w:ascii="宋体" w:hAnsi="宋体" w:cs="宋体"/>
          <w:spacing w:val="-8"/>
          <w:sz w:val="24"/>
          <w:szCs w:val="24"/>
        </w:rPr>
      </w:pPr>
      <w:r>
        <w:rPr>
          <w:rFonts w:hint="eastAsia" w:ascii="宋体" w:hAnsi="宋体" w:cs="宋体"/>
          <w:spacing w:val="-8"/>
          <w:sz w:val="24"/>
          <w:szCs w:val="24"/>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spacing w:val="-8"/>
          <w:sz w:val="24"/>
          <w:szCs w:val="24"/>
        </w:rPr>
      </w:pPr>
      <w:r>
        <w:rPr>
          <w:rFonts w:hint="eastAsia" w:ascii="宋体" w:hAnsi="宋体" w:cs="宋体"/>
          <w:spacing w:val="-8"/>
          <w:sz w:val="24"/>
          <w:szCs w:val="24"/>
        </w:rPr>
        <w:t>5.9</w:t>
      </w:r>
      <w:r>
        <w:rPr>
          <w:rFonts w:hint="eastAsia" w:ascii="宋体" w:hAnsi="宋体" w:eastAsia="宋体" w:cs="宋体"/>
          <w:sz w:val="24"/>
          <w:szCs w:val="24"/>
          <w:lang w:val="en-US" w:eastAsia="zh-CN"/>
        </w:rPr>
        <w:t>在合同有效期内，乙方自愿接受甲方按《营运项目承包单位日常履约考评参照表（安全）》处理，具体处理标准详见附件</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p>
    <w:p>
      <w:pPr>
        <w:spacing w:line="500" w:lineRule="exact"/>
        <w:ind w:firstLine="482" w:firstLineChars="200"/>
        <w:rPr>
          <w:rFonts w:ascii="宋体" w:hAnsi="宋体" w:cs="宋体"/>
          <w:b/>
          <w:sz w:val="24"/>
        </w:rPr>
      </w:pP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500" w:lineRule="exact"/>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ascii="宋体" w:hAnsi="宋体" w:cs="宋体"/>
          <w:sz w:val="24"/>
          <w:u w:val="single"/>
        </w:rPr>
        <w:t>(</w:t>
      </w:r>
      <w:r>
        <w:rPr>
          <w:rFonts w:hint="eastAsia" w:ascii="宋体" w:hAnsi="宋体" w:cs="宋体"/>
          <w:sz w:val="24"/>
          <w:u w:val="single"/>
        </w:rPr>
        <w:t>1</w:t>
      </w:r>
      <w:r>
        <w:rPr>
          <w:rFonts w:ascii="宋体" w:hAnsi="宋体" w:cs="宋体"/>
          <w:sz w:val="24"/>
          <w:u w:val="single"/>
        </w:rPr>
        <w:t>)</w:t>
      </w:r>
      <w:r>
        <w:rPr>
          <w:rFonts w:hint="eastAsia" w:ascii="宋体" w:hAnsi="宋体" w:cs="宋体"/>
          <w:sz w:val="24"/>
        </w:rPr>
        <w:t>方式执行。</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）由甲方提供施工用水用电接口，水电费按合同综合单价水电含量计算，从甲方支付的工程款中直接扣回。</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pStyle w:val="47"/>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pacing w:line="500" w:lineRule="exact"/>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500" w:lineRule="exact"/>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500" w:lineRule="exact"/>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500" w:lineRule="exact"/>
        <w:ind w:firstLine="480" w:firstLineChars="200"/>
        <w:rPr>
          <w:rFonts w:hAnsi="宋体" w:cs="宋体"/>
          <w:sz w:val="24"/>
          <w:szCs w:val="24"/>
        </w:rPr>
      </w:pPr>
      <w:r>
        <w:rPr>
          <w:rFonts w:ascii="宋体" w:hAnsi="宋体" w:cs="宋体"/>
          <w:sz w:val="24"/>
        </w:rPr>
        <w:t>6.6</w:t>
      </w:r>
      <w:r>
        <w:rPr>
          <w:rFonts w:hint="eastAsia" w:ascii="宋体" w:hAnsi="宋体" w:cs="宋体"/>
          <w:sz w:val="24"/>
        </w:rPr>
        <w:t>按相关法律法规及甲方相关作业施工管理要求执行。</w:t>
      </w:r>
    </w:p>
    <w:p>
      <w:pPr>
        <w:pStyle w:val="12"/>
        <w:spacing w:line="500" w:lineRule="exact"/>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500" w:lineRule="exact"/>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sz w:val="24"/>
        </w:rPr>
      </w:pPr>
      <w:r>
        <w:rPr>
          <w:rFonts w:hint="eastAsia" w:ascii="宋体" w:hAnsi="宋体" w:cs="宋体"/>
          <w:sz w:val="24"/>
        </w:rPr>
        <w:t>7.1采购供应的材料、其名称、品种、型号、规格、质量等，均应符合国家、地方及行业有关规范及要求。</w:t>
      </w:r>
    </w:p>
    <w:p>
      <w:pPr>
        <w:spacing w:line="500" w:lineRule="exact"/>
        <w:ind w:firstLine="480" w:firstLineChars="200"/>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500" w:lineRule="exact"/>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500" w:lineRule="exact"/>
        <w:ind w:firstLine="482" w:firstLineChars="200"/>
        <w:rPr>
          <w:rFonts w:ascii="宋体" w:hAnsi="宋体" w:cs="宋体"/>
          <w:sz w:val="24"/>
        </w:rPr>
      </w:pP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500" w:lineRule="exact"/>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
          <w:sz w:val="24"/>
        </w:rPr>
        <w:sym w:font="Wingdings" w:char="00FE"/>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t>□</w:t>
      </w:r>
      <w:r>
        <w:rPr>
          <w:rFonts w:hint="eastAsia" w:ascii="Segoe UI Symbol" w:hAnsi="Segoe UI Symbol" w:cs="Segoe UI Symbol"/>
          <w:bCs/>
          <w:sz w:val="24"/>
        </w:rPr>
        <w:t>有</w:t>
      </w:r>
      <w:r>
        <w:rPr>
          <w:rFonts w:hint="eastAsia" w:ascii="Segoe UI Symbol" w:hAnsi="Segoe UI Symbol" w:cs="Segoe UI Symbol"/>
          <w:b/>
          <w:sz w:val="24"/>
        </w:rPr>
        <w:t xml:space="preserve"> </w:t>
      </w:r>
      <w:r>
        <w:rPr>
          <w:rFonts w:hint="eastAsia" w:ascii="宋体" w:hAnsi="宋体" w:cs="宋体"/>
          <w:bCs/>
          <w:sz w:val="24"/>
        </w:rPr>
        <w:t>合同签订后，乙方开具等额的增值税专用发票及提交履约担保担保（如有）</w:t>
      </w:r>
      <w:r>
        <w:rPr>
          <w:rFonts w:ascii="宋体" w:hAnsi="宋体" w:cs="宋体"/>
          <w:bCs/>
          <w:sz w:val="24"/>
          <w:u w:val="single"/>
        </w:rPr>
        <w:t xml:space="preserve"> 10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ascii="宋体" w:hAnsi="宋体" w:cs="宋体"/>
          <w:bCs/>
          <w:sz w:val="24"/>
          <w:u w:val="single"/>
        </w:rPr>
        <w:t>30%</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rPr>
        <w:t>万分之五</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spacing w:line="384" w:lineRule="auto"/>
        <w:ind w:firstLine="480" w:firstLineChars="200"/>
        <w:rPr>
          <w:rFonts w:hint="eastAsia" w:hAnsi="宋体" w:cs="宋体"/>
          <w:sz w:val="24"/>
          <w:szCs w:val="24"/>
          <w:u w:val="single"/>
        </w:rPr>
      </w:pPr>
      <w:r>
        <w:rPr>
          <w:rFonts w:hAnsi="宋体" w:cs="宋体"/>
          <w:sz w:val="24"/>
          <w:szCs w:val="24"/>
        </w:rPr>
        <w:t>8.2</w:t>
      </w:r>
      <w:r>
        <w:rPr>
          <w:rFonts w:hint="eastAsia" w:hAnsi="宋体" w:cs="宋体"/>
          <w:sz w:val="24"/>
          <w:szCs w:val="24"/>
        </w:rPr>
        <w:t>项目分项验收分项支付，验收合格后，由乙方提交申请支付资料 15 个工作日内，甲方</w:t>
      </w:r>
      <w:r>
        <w:rPr>
          <w:rFonts w:hint="eastAsia" w:hAnsi="宋体" w:cs="宋体"/>
          <w:color w:val="auto"/>
          <w:sz w:val="24"/>
          <w:szCs w:val="24"/>
        </w:rPr>
        <w:t>支付至</w:t>
      </w:r>
      <w:r>
        <w:rPr>
          <w:rFonts w:hint="eastAsia" w:hAnsi="宋体" w:cs="宋体"/>
          <w:color w:val="auto"/>
          <w:sz w:val="24"/>
          <w:szCs w:val="24"/>
          <w:lang w:val="en-US" w:eastAsia="zh-CN"/>
        </w:rPr>
        <w:t>各项目</w:t>
      </w:r>
      <w:r>
        <w:rPr>
          <w:rFonts w:hint="eastAsia" w:hAnsi="宋体" w:cs="宋体"/>
          <w:color w:val="auto"/>
          <w:sz w:val="24"/>
          <w:szCs w:val="24"/>
        </w:rPr>
        <w:t>合同暂定总价的</w:t>
      </w:r>
      <w:r>
        <w:rPr>
          <w:rFonts w:hint="eastAsia" w:hAnsi="宋体" w:cs="宋体"/>
          <w:color w:val="auto"/>
          <w:sz w:val="24"/>
          <w:szCs w:val="24"/>
          <w:u w:val="single"/>
          <w:lang w:val="en-US" w:eastAsia="zh-CN"/>
        </w:rPr>
        <w:t>80%</w:t>
      </w:r>
      <w:r>
        <w:rPr>
          <w:rFonts w:hint="eastAsia" w:hAnsi="宋体" w:cs="宋体"/>
          <w:sz w:val="24"/>
          <w:szCs w:val="24"/>
          <w:u w:val="single"/>
        </w:rPr>
        <w:t>给乙方。</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7"/>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sz w:val="24"/>
                <w:u w:val="none"/>
                <w:vertAlign w:val="baseline"/>
              </w:rPr>
            </w:pPr>
            <w:r>
              <w:rPr>
                <w:rFonts w:hint="eastAsia" w:ascii="宋体" w:hAnsi="宋体" w:eastAsia="宋体" w:cs="宋体"/>
                <w:b/>
                <w:bCs/>
                <w:sz w:val="24"/>
                <w:u w:val="none"/>
              </w:rPr>
              <w:t>项目</w:t>
            </w:r>
          </w:p>
        </w:tc>
        <w:tc>
          <w:tcPr>
            <w:tcW w:w="2506" w:type="pct"/>
            <w:vAlign w:val="center"/>
          </w:tcPr>
          <w:p>
            <w:pPr>
              <w:spacing w:line="500" w:lineRule="exact"/>
              <w:jc w:val="center"/>
              <w:rPr>
                <w:rFonts w:hint="eastAsia" w:ascii="宋体" w:hAnsi="宋体" w:eastAsia="宋体" w:cs="宋体"/>
                <w:b/>
                <w:bCs/>
                <w:sz w:val="24"/>
                <w:u w:val="none"/>
                <w:vertAlign w:val="baseline"/>
                <w:lang w:eastAsia="zh-CN"/>
              </w:rPr>
            </w:pPr>
            <w:r>
              <w:rPr>
                <w:rFonts w:hint="eastAsia" w:ascii="宋体" w:hAnsi="宋体" w:eastAsia="宋体" w:cs="宋体"/>
                <w:b/>
                <w:bCs/>
                <w:sz w:val="24"/>
                <w:u w:val="none"/>
              </w:rPr>
              <w:t>人民币</w:t>
            </w:r>
            <w:r>
              <w:rPr>
                <w:rFonts w:hint="eastAsia" w:ascii="宋体" w:hAnsi="宋体" w:eastAsia="宋体" w:cs="宋体"/>
                <w:b/>
                <w:bCs/>
                <w:sz w:val="24"/>
                <w:u w:val="none"/>
                <w:lang w:eastAsia="zh-CN"/>
              </w:rPr>
              <w:t>（</w:t>
            </w:r>
            <w:r>
              <w:rPr>
                <w:rFonts w:hint="eastAsia" w:ascii="宋体" w:hAnsi="宋体" w:eastAsia="宋体" w:cs="宋体"/>
                <w:b/>
                <w:bCs/>
                <w:sz w:val="24"/>
                <w:u w:val="none"/>
                <w:lang w:val="en-US" w:eastAsia="zh-CN"/>
              </w:rPr>
              <w:t>小写</w:t>
            </w:r>
            <w:r>
              <w:rPr>
                <w:rFonts w:hint="eastAsia" w:ascii="宋体" w:hAnsi="宋体" w:cs="宋体"/>
                <w:b/>
                <w:bCs/>
                <w:sz w:val="24"/>
                <w:u w:val="none"/>
                <w:lang w:val="en-US" w:eastAsia="zh-CN"/>
              </w:rPr>
              <w:t>/元</w:t>
            </w:r>
            <w:r>
              <w:rPr>
                <w:rFonts w:hint="eastAsia" w:ascii="宋体" w:hAnsi="宋体" w:eastAsia="宋体" w:cs="宋体"/>
                <w:b/>
                <w:bCs/>
                <w:sz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sz w:val="24"/>
                <w:u w:val="none"/>
                <w:vertAlign w:val="baseline"/>
              </w:rPr>
            </w:pPr>
            <w:r>
              <w:rPr>
                <w:rFonts w:hint="eastAsia" w:asciiTheme="minorEastAsia" w:hAnsiTheme="minorEastAsia" w:eastAsiaTheme="minorEastAsia" w:cstheme="minorEastAsia"/>
                <w:sz w:val="24"/>
              </w:rPr>
              <w:t>项目一</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sz w:val="24"/>
                <w:u w:val="none"/>
                <w:vertAlign w:val="baseline"/>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二</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sz w:val="24"/>
                <w:u w:val="none"/>
                <w:vertAlign w:val="baseline"/>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三</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四</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五</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六</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七</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八</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九</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cstheme="minorEastAsia"/>
                <w:sz w:val="24"/>
                <w:lang w:val="en-US" w:eastAsia="zh-CN"/>
              </w:rPr>
              <w:t>十</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仿宋" w:hAnsi="仿宋" w:eastAsia="仿宋" w:cs="仿宋"/>
                <w:sz w:val="24"/>
                <w:szCs w:val="24"/>
                <w:vertAlign w:val="baseline"/>
                <w:lang w:val="en-US" w:eastAsia="zh-CN"/>
              </w:rPr>
              <w:t>项目十一</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仿宋" w:hAnsi="仿宋" w:eastAsia="仿宋" w:cs="仿宋"/>
                <w:sz w:val="24"/>
                <w:szCs w:val="24"/>
                <w:vertAlign w:val="baseline"/>
                <w:lang w:val="en-US" w:eastAsia="zh-CN"/>
              </w:rPr>
              <w:t>项目十二</w:t>
            </w:r>
          </w:p>
        </w:tc>
        <w:tc>
          <w:tcPr>
            <w:tcW w:w="2506" w:type="pct"/>
            <w:vAlign w:val="center"/>
          </w:tcPr>
          <w:p>
            <w:pPr>
              <w:spacing w:line="500" w:lineRule="exact"/>
              <w:jc w:val="center"/>
              <w:rPr>
                <w:rFonts w:hint="eastAsia" w:ascii="宋体" w:hAnsi="宋体" w:eastAsia="宋体" w:cs="宋体"/>
                <w:b/>
                <w:bCs/>
                <w:sz w:val="24"/>
                <w:u w:val="none"/>
                <w:vertAlign w:val="baseline"/>
              </w:rPr>
            </w:pPr>
          </w:p>
        </w:tc>
      </w:tr>
    </w:tbl>
    <w:p>
      <w:pPr>
        <w:spacing w:line="384" w:lineRule="auto"/>
        <w:ind w:firstLine="480" w:firstLineChars="200"/>
        <w:rPr>
          <w:rFonts w:hint="default" w:hAnsi="宋体" w:cs="宋体"/>
          <w:color w:val="auto"/>
          <w:sz w:val="24"/>
          <w:u w:val="single"/>
          <w:lang w:val="en-US" w:eastAsia="zh-CN"/>
        </w:rPr>
      </w:pPr>
      <w:r>
        <w:rPr>
          <w:rFonts w:hint="eastAsia" w:ascii="宋体" w:hAnsi="宋体" w:eastAsia="宋体" w:cs="宋体"/>
          <w:sz w:val="24"/>
          <w:lang w:val="en-US" w:eastAsia="zh-CN"/>
        </w:rPr>
        <w:t>给乙方。</w:t>
      </w:r>
    </w:p>
    <w:p>
      <w:pPr>
        <w:spacing w:line="50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8.2.1</w:t>
      </w:r>
      <w:r>
        <w:rPr>
          <w:rFonts w:hint="eastAsia" w:ascii="宋体" w:hAnsi="宋体" w:cs="宋体"/>
          <w:color w:val="000000" w:themeColor="text1"/>
          <w:sz w:val="24"/>
          <w14:textFill>
            <w14:solidFill>
              <w14:schemeClr w14:val="tx1"/>
            </w14:solidFill>
          </w14:textFill>
        </w:rPr>
        <w:t>项目</w:t>
      </w:r>
      <w:r>
        <w:rPr>
          <w:rFonts w:hint="eastAsia" w:ascii="宋体" w:hAnsi="宋体" w:cs="宋体"/>
          <w:color w:val="000000" w:themeColor="text1"/>
          <w:sz w:val="24"/>
          <w:lang w:val="en-US" w:eastAsia="zh-CN"/>
          <w14:textFill>
            <w14:solidFill>
              <w14:schemeClr w14:val="tx1"/>
            </w14:solidFill>
          </w14:textFill>
        </w:rPr>
        <w:t>分项</w:t>
      </w:r>
      <w:r>
        <w:rPr>
          <w:rFonts w:hint="eastAsia" w:ascii="宋体" w:hAnsi="宋体" w:cs="宋体"/>
          <w:color w:val="000000" w:themeColor="text1"/>
          <w:sz w:val="24"/>
          <w14:textFill>
            <w14:solidFill>
              <w14:schemeClr w14:val="tx1"/>
            </w14:solidFill>
          </w14:textFill>
        </w:rPr>
        <w:t>验收</w:t>
      </w:r>
      <w:r>
        <w:rPr>
          <w:rFonts w:hint="eastAsia" w:ascii="宋体" w:hAnsi="宋体" w:cs="宋体"/>
          <w:color w:val="000000" w:themeColor="text1"/>
          <w:sz w:val="24"/>
          <w:lang w:val="en-US" w:eastAsia="zh-CN"/>
          <w14:textFill>
            <w14:solidFill>
              <w14:schemeClr w14:val="tx1"/>
            </w14:solidFill>
          </w14:textFill>
        </w:rPr>
        <w:t>合格</w:t>
      </w:r>
      <w:r>
        <w:rPr>
          <w:rFonts w:hint="eastAsia" w:ascii="宋体" w:hAnsi="宋体" w:cs="宋体"/>
          <w:color w:val="000000" w:themeColor="text1"/>
          <w:sz w:val="24"/>
          <w14:textFill>
            <w14:solidFill>
              <w14:schemeClr w14:val="tx1"/>
            </w14:solidFill>
          </w14:textFill>
        </w:rPr>
        <w:t>后，经甲方或甲方委托有资质第三方机构审核后，由乙方提交申请支付资料</w:t>
      </w:r>
      <w:r>
        <w:rPr>
          <w:rFonts w:hint="eastAsia" w:ascii="宋体" w:hAnsi="宋体" w:cs="宋体"/>
          <w:color w:val="000000" w:themeColor="text1"/>
          <w:sz w:val="24"/>
          <w:u w:val="single"/>
          <w14:textFill>
            <w14:solidFill>
              <w14:schemeClr w14:val="tx1"/>
            </w14:solidFill>
          </w14:textFill>
        </w:rPr>
        <w:t>15</w:t>
      </w:r>
      <w:r>
        <w:rPr>
          <w:rFonts w:hint="eastAsia" w:ascii="宋体" w:hAnsi="宋体" w:cs="宋体"/>
          <w:color w:val="000000" w:themeColor="text1"/>
          <w:sz w:val="24"/>
          <w14:textFill>
            <w14:solidFill>
              <w14:schemeClr w14:val="tx1"/>
            </w14:solidFill>
          </w14:textFill>
        </w:rPr>
        <w:t>个工作日内，甲方支付至</w:t>
      </w:r>
      <w:r>
        <w:rPr>
          <w:rFonts w:hint="eastAsia" w:ascii="宋体" w:hAnsi="宋体" w:cs="宋体"/>
          <w:color w:val="000000" w:themeColor="text1"/>
          <w:sz w:val="24"/>
          <w:lang w:val="en-US" w:eastAsia="zh-CN"/>
          <w14:textFill>
            <w14:solidFill>
              <w14:schemeClr w14:val="tx1"/>
            </w14:solidFill>
          </w14:textFill>
        </w:rPr>
        <w:t>各项目</w:t>
      </w:r>
      <w:r>
        <w:rPr>
          <w:rFonts w:hint="eastAsia" w:ascii="宋体" w:hAnsi="宋体" w:cs="宋体"/>
          <w:color w:val="000000" w:themeColor="text1"/>
          <w:sz w:val="24"/>
          <w14:textFill>
            <w14:solidFill>
              <w14:schemeClr w14:val="tx1"/>
            </w14:solidFill>
          </w14:textFill>
        </w:rPr>
        <w:t>结算价的</w:t>
      </w:r>
      <w:r>
        <w:rPr>
          <w:rFonts w:hint="eastAsia" w:ascii="宋体" w:hAnsi="宋体" w:cs="宋体"/>
          <w:color w:val="000000" w:themeColor="text1"/>
          <w:sz w:val="24"/>
          <w:lang w:val="en-US" w:eastAsia="zh-CN"/>
          <w14:textFill>
            <w14:solidFill>
              <w14:schemeClr w14:val="tx1"/>
            </w14:solidFill>
          </w14:textFill>
        </w:rPr>
        <w:t>100</w:t>
      </w:r>
      <w:r>
        <w:rPr>
          <w:rFonts w:hint="eastAsia" w:ascii="宋体" w:hAnsi="宋体" w:cs="宋体"/>
          <w:color w:val="000000" w:themeColor="text1"/>
          <w:sz w:val="24"/>
          <w14:textFill>
            <w14:solidFill>
              <w14:schemeClr w14:val="tx1"/>
            </w14:solidFill>
          </w14:textFill>
        </w:rPr>
        <w:t>%。</w:t>
      </w:r>
    </w:p>
    <w:p>
      <w:pPr>
        <w:spacing w:line="384" w:lineRule="auto"/>
        <w:ind w:firstLine="480" w:firstLineChars="200"/>
        <w:outlineLvl w:val="1"/>
        <w:rPr>
          <w:rFonts w:ascii="宋体" w:hAnsi="宋体" w:cs="宋体"/>
          <w:color w:val="000000" w:themeColor="text1"/>
          <w:sz w:val="24"/>
          <w:highlight w:val="yellow"/>
          <w14:textFill>
            <w14:solidFill>
              <w14:schemeClr w14:val="tx1"/>
            </w14:solidFill>
          </w14:textFill>
        </w:rPr>
      </w:pPr>
      <w:r>
        <w:rPr>
          <w:rFonts w:ascii="宋体" w:hAnsi="宋体" w:cs="宋体"/>
          <w:color w:val="000000" w:themeColor="text1"/>
          <w:sz w:val="24"/>
          <w14:textFill>
            <w14:solidFill>
              <w14:schemeClr w14:val="tx1"/>
            </w14:solidFill>
          </w14:textFill>
        </w:rPr>
        <w:t>8.2.</w:t>
      </w:r>
      <w:r>
        <w:rPr>
          <w:rFonts w:hint="eastAsia" w:ascii="宋体" w:hAnsi="宋体" w:cs="宋体"/>
          <w:color w:val="000000" w:themeColor="text1"/>
          <w:sz w:val="24"/>
          <w14:textFill>
            <w14:solidFill>
              <w14:schemeClr w14:val="tx1"/>
            </w14:solidFill>
          </w14:textFill>
        </w:rPr>
        <w:t>2</w:t>
      </w:r>
      <w:r>
        <w:rPr>
          <w:rFonts w:hint="eastAsia" w:hAnsi="宋体" w:cs="宋体"/>
          <w:color w:val="000000" w:themeColor="text1"/>
          <w:sz w:val="24"/>
          <w14:textFill>
            <w14:solidFill>
              <w14:schemeClr w14:val="tx1"/>
            </w14:solidFill>
          </w14:textFill>
        </w:rPr>
        <w:t>质保期按合同第十条规定执行，质保期满后且乙方不存在违约情形，由乙方提交申请质保金退还资料</w:t>
      </w:r>
      <w:r>
        <w:rPr>
          <w:rFonts w:hAnsi="宋体" w:cs="宋体"/>
          <w:color w:val="000000" w:themeColor="text1"/>
          <w:sz w:val="24"/>
          <w:u w:val="single"/>
          <w14:textFill>
            <w14:solidFill>
              <w14:schemeClr w14:val="tx1"/>
            </w14:solidFill>
          </w14:textFill>
        </w:rPr>
        <w:t xml:space="preserve"> 15 </w:t>
      </w:r>
      <w:r>
        <w:rPr>
          <w:rFonts w:hint="eastAsia" w:hAnsi="宋体" w:cs="宋体"/>
          <w:color w:val="000000" w:themeColor="text1"/>
          <w:sz w:val="24"/>
          <w14:textFill>
            <w14:solidFill>
              <w14:schemeClr w14:val="tx1"/>
            </w14:solidFill>
          </w14:textFill>
        </w:rPr>
        <w:t>个工作日内，甲方支付合同结算价的</w:t>
      </w:r>
      <w:r>
        <w:rPr>
          <w:rFonts w:hint="eastAsia" w:hAnsi="宋体" w:cs="宋体"/>
          <w:color w:val="000000" w:themeColor="text1"/>
          <w:sz w:val="24"/>
          <w:lang w:val="en-US" w:eastAsia="zh-CN"/>
          <w14:textFill>
            <w14:solidFill>
              <w14:schemeClr w14:val="tx1"/>
            </w14:solidFill>
          </w14:textFill>
        </w:rPr>
        <w:t xml:space="preserve"> </w:t>
      </w:r>
      <w:r>
        <w:rPr>
          <w:rFonts w:hint="eastAsia" w:hAnsi="宋体" w:cs="宋体"/>
          <w:color w:val="000000" w:themeColor="text1"/>
          <w:sz w:val="24"/>
          <w:u w:val="single"/>
          <w:lang w:val="en-US" w:eastAsia="zh-CN"/>
          <w14:textFill>
            <w14:solidFill>
              <w14:schemeClr w14:val="tx1"/>
            </w14:solidFill>
          </w14:textFill>
        </w:rPr>
        <w:t>/</w:t>
      </w:r>
      <w:r>
        <w:rPr>
          <w:rFonts w:hint="eastAsia" w:hAnsi="宋体" w:cs="宋体"/>
          <w:color w:val="000000" w:themeColor="text1"/>
          <w:sz w:val="24"/>
          <w14:textFill>
            <w14:solidFill>
              <w14:schemeClr w14:val="tx1"/>
            </w14:solidFill>
          </w14:textFill>
        </w:rPr>
        <w:t>％（质保金）给乙方（无息）。</w:t>
      </w:r>
    </w:p>
    <w:p>
      <w:pPr>
        <w:pStyle w:val="12"/>
        <w:spacing w:line="500" w:lineRule="exact"/>
        <w:ind w:firstLine="480" w:firstLineChars="200"/>
        <w:outlineLvl w:val="1"/>
        <w:rPr>
          <w:rFonts w:hint="eastAsia" w:hAnsi="宋体" w:cs="宋体"/>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sz w:val="24"/>
          <w:szCs w:val="24"/>
          <w:u w:val="single"/>
          <w:lang w:val="en-US" w:eastAsia="zh-CN"/>
        </w:rPr>
        <w:t xml:space="preserve"> 项目所属各分公司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960" w:firstLineChars="400"/>
        <w:rPr>
          <w:rFonts w:ascii="宋体" w:hAnsi="宋体" w:cs="宋体"/>
          <w:sz w:val="24"/>
        </w:rPr>
      </w:pPr>
      <w:r>
        <w:rPr>
          <w:rFonts w:hint="eastAsia" w:ascii="宋体" w:hAnsi="宋体" w:cs="宋体"/>
          <w:sz w:val="24"/>
        </w:rPr>
        <w:t>名称：广州市净水有限公司</w:t>
      </w:r>
    </w:p>
    <w:p>
      <w:pPr>
        <w:spacing w:line="500" w:lineRule="exact"/>
        <w:ind w:firstLine="960" w:firstLineChars="4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960" w:firstLineChars="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地址及电话：</w:t>
      </w:r>
      <w:r>
        <w:rPr>
          <w:rFonts w:hint="eastAsia" w:asciiTheme="minorEastAsia" w:hAnsiTheme="minorEastAsia" w:eastAsiaTheme="minorEastAsia" w:cstheme="minorEastAsia"/>
          <w:sz w:val="24"/>
          <w:u w:val="single"/>
        </w:rPr>
        <w:t>广州市天河区临江大道501号 020-38890283</w:t>
      </w:r>
      <w:r>
        <w:rPr>
          <w:rFonts w:hint="eastAsia" w:asciiTheme="minorEastAsia" w:hAnsiTheme="minorEastAsia" w:eastAsiaTheme="minorEastAsia" w:cstheme="minorEastAsia"/>
          <w:sz w:val="24"/>
        </w:rPr>
        <w:t>；</w:t>
      </w:r>
    </w:p>
    <w:p>
      <w:pPr>
        <w:spacing w:line="500" w:lineRule="exact"/>
        <w:ind w:firstLine="960" w:firstLineChars="400"/>
        <w:rPr>
          <w:rFonts w:ascii="宋体" w:hAnsi="宋体" w:cs="宋体"/>
          <w:sz w:val="24"/>
        </w:rPr>
      </w:pPr>
      <w:r>
        <w:rPr>
          <w:rFonts w:hint="eastAsia" w:asciiTheme="minorEastAsia" w:hAnsiTheme="minorEastAsia" w:eastAsiaTheme="minorEastAsia" w:cstheme="minorEastAsia"/>
          <w:sz w:val="24"/>
        </w:rPr>
        <w:t>开户行/账号：</w:t>
      </w:r>
      <w:r>
        <w:rPr>
          <w:rFonts w:hint="eastAsia" w:asciiTheme="minorEastAsia" w:hAnsiTheme="minorEastAsia" w:eastAsiaTheme="minorEastAsia" w:cstheme="minorEastAsia"/>
          <w:sz w:val="24"/>
          <w:u w:val="single"/>
        </w:rPr>
        <w:t>民生银行广州分行0301014140006932</w:t>
      </w:r>
      <w:r>
        <w:rPr>
          <w:rFonts w:hint="eastAsia" w:asciiTheme="minorEastAsia" w:hAnsiTheme="minorEastAsia" w:eastAsiaTheme="minorEastAsia" w:cstheme="minorEastAsia"/>
          <w:sz w:val="24"/>
        </w:rPr>
        <w:t>。</w:t>
      </w:r>
      <w:r>
        <w:rPr>
          <w:rFonts w:ascii="宋体" w:hAnsi="宋体" w:cs="宋体"/>
          <w:sz w:val="24"/>
        </w:rPr>
        <w:t xml:space="preserve">                            </w:t>
      </w:r>
    </w:p>
    <w:p>
      <w:pPr>
        <w:spacing w:line="500" w:lineRule="exact"/>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Segoe UI Symbol" w:hAnsi="Segoe UI Symbol" w:cs="Segoe UI Symbol" w:eastAsiaTheme="minorEastAsia"/>
          <w:b/>
          <w:bCs/>
          <w:sz w:val="24"/>
        </w:rPr>
        <w:sym w:font="Wingdings 2" w:char="0052"/>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sym w:font="Wingdings 2" w:char="00A3"/>
      </w:r>
      <w:r>
        <w:rPr>
          <w:rFonts w:hint="eastAsia" w:ascii="宋体" w:hAnsi="宋体" w:cs="宋体"/>
          <w:sz w:val="24"/>
        </w:rPr>
        <w:t>有 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元（大写人民币：</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1"/>
        <w:spacing w:before="0" w:beforeAutospacing="0" w:after="0" w:afterAutospacing="0" w:line="500" w:lineRule="exact"/>
        <w:ind w:firstLine="480" w:firstLineChars="200"/>
      </w:pPr>
      <w:r>
        <w:rPr>
          <w:rFonts w:cs="宋体"/>
        </w:rPr>
        <w:t>8.5.1</w:t>
      </w:r>
      <w:r>
        <w:t>履约担保</w:t>
      </w:r>
      <w:r>
        <w:rPr>
          <w:rFonts w:hint="eastAsia"/>
        </w:rPr>
        <w:t>按以下任一种形式提供</w:t>
      </w:r>
      <w:r>
        <w:t>：</w:t>
      </w:r>
    </w:p>
    <w:p>
      <w:pPr>
        <w:pStyle w:val="21"/>
        <w:spacing w:before="0" w:beforeAutospacing="0" w:after="0" w:afterAutospacing="0" w:line="500" w:lineRule="exact"/>
        <w:ind w:firstLine="480"/>
      </w:pPr>
      <w:r>
        <w:rPr>
          <w:rFonts w:hint="eastAsia"/>
        </w:rPr>
        <w:t>（1）符合甲方要求（详见附件保函格式）的银行独立保函，</w:t>
      </w:r>
    </w:p>
    <w:p>
      <w:pPr>
        <w:pStyle w:val="21"/>
        <w:spacing w:before="0" w:beforeAutospacing="0" w:after="0" w:afterAutospacing="0" w:line="500" w:lineRule="exact"/>
        <w:ind w:firstLine="480"/>
      </w:pPr>
      <w:r>
        <w:rPr>
          <w:rFonts w:hint="eastAsia"/>
        </w:rPr>
        <w:t>（2）现金转账至甲方以下指定账户：</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开户行：浦发银行广州分行</w:t>
      </w:r>
    </w:p>
    <w:p>
      <w:pPr>
        <w:spacing w:line="500" w:lineRule="exact"/>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500" w:lineRule="exact"/>
        <w:ind w:firstLine="480" w:firstLineChars="200"/>
        <w:outlineLvl w:val="0"/>
        <w:rPr>
          <w:rFonts w:ascii="宋体" w:hAnsi="宋体" w:cs="宋体"/>
          <w:sz w:val="24"/>
        </w:rPr>
      </w:pPr>
      <w:r>
        <w:rPr>
          <w:rFonts w:hint="eastAsia" w:ascii="宋体" w:hAnsi="宋体" w:cs="宋体"/>
          <w:sz w:val="24"/>
        </w:rPr>
        <w:t>（1）履约银行保函（或现金履约保证金）的担保期限：从提供履约担保（或转账成功）之日起至合同履行完成。</w:t>
      </w:r>
    </w:p>
    <w:p>
      <w:pPr>
        <w:spacing w:line="500" w:lineRule="exact"/>
        <w:ind w:firstLine="480" w:firstLineChars="200"/>
        <w:rPr>
          <w:rFonts w:ascii="宋体" w:hAnsi="宋体" w:cs="宋体"/>
          <w:sz w:val="24"/>
        </w:rPr>
      </w:pPr>
      <w:r>
        <w:rPr>
          <w:rFonts w:hint="eastAsia" w:ascii="宋体" w:hAnsi="宋体" w:cs="宋体"/>
          <w:sz w:val="24"/>
        </w:rPr>
        <w:t>（2）履约银行保函在合同履行完成后，由乙方提出申请，甲方在28日内返还，不支付利息。</w:t>
      </w:r>
    </w:p>
    <w:p>
      <w:pPr>
        <w:spacing w:line="500" w:lineRule="exact"/>
        <w:ind w:firstLine="480" w:firstLineChars="200"/>
        <w:outlineLvl w:val="0"/>
        <w:rPr>
          <w:rFonts w:ascii="宋体" w:hAnsi="宋体" w:cs="宋体"/>
          <w:sz w:val="24"/>
        </w:rPr>
      </w:pPr>
      <w:r>
        <w:rPr>
          <w:rFonts w:hint="eastAsia" w:ascii="宋体" w:hAnsi="宋体" w:cs="宋体"/>
          <w:sz w:val="24"/>
        </w:rPr>
        <w:t>（3）延长担保期限。乙方以履约银行保函形式提交履约保证金的，在银行保函到期前，乙方应提前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1"/>
        <w:spacing w:before="0" w:beforeAutospacing="0" w:after="0" w:afterAutospacing="0" w:line="500" w:lineRule="exact"/>
        <w:ind w:left="199" w:leftChars="95" w:firstLine="360" w:firstLineChars="150"/>
        <w:rPr>
          <w:rFonts w:cs="宋体"/>
          <w:u w:val="single"/>
        </w:rPr>
      </w:pPr>
      <w:r>
        <w:rPr>
          <w:rFonts w:hint="eastAsia" w:cs="宋体"/>
        </w:rPr>
        <w:t>（</w:t>
      </w:r>
      <w:r>
        <w:rPr>
          <w:rFonts w:cs="宋体"/>
        </w:rPr>
        <w:t>4</w:t>
      </w:r>
      <w:r>
        <w:rPr>
          <w:rFonts w:hint="eastAsia" w:cs="宋体"/>
        </w:rPr>
        <w:t>）现金履约保证金的退还：合同履行完成后，由乙方提出申请，甲方在</w:t>
      </w:r>
      <w:r>
        <w:rPr>
          <w:rFonts w:hint="eastAsia" w:cs="宋体"/>
          <w:u w:val="single"/>
        </w:rPr>
        <w:t>28</w:t>
      </w:r>
      <w:r>
        <w:rPr>
          <w:rFonts w:hint="eastAsia" w:cs="宋体"/>
        </w:rPr>
        <w:t>日内将剩余保证金（无息）返还。</w:t>
      </w:r>
    </w:p>
    <w:p>
      <w:pPr>
        <w:spacing w:line="500" w:lineRule="exact"/>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hint="eastAsia" w:ascii="宋体" w:hAnsi="宋体" w:cs="宋体"/>
          <w:sz w:val="24"/>
          <w:u w:val="single"/>
        </w:rPr>
        <w:t xml:space="preserve"> 7</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sz w:val="24"/>
          <w:u w:val="single"/>
          <w:bdr w:val="single" w:color="auto" w:sz="4" w:space="0"/>
        </w:rPr>
      </w:pPr>
      <w:r>
        <w:rPr>
          <w:rFonts w:ascii="宋体" w:hAnsi="宋体" w:cs="宋体"/>
          <w:sz w:val="24"/>
        </w:rPr>
        <w:t>8.6</w:t>
      </w:r>
      <w:r>
        <w:rPr>
          <w:rFonts w:hint="eastAsia" w:ascii="宋体" w:hAnsi="宋体" w:cs="宋体"/>
          <w:sz w:val="24"/>
        </w:rPr>
        <w:t>付款方式：</w:t>
      </w:r>
      <w:r>
        <w:rPr>
          <w:rFonts w:hint="eastAsia" w:asciiTheme="minorEastAsia" w:hAnsiTheme="minorEastAsia" w:eastAsiaTheme="minorEastAsia" w:cstheme="minorEastAsia"/>
          <w:sz w:val="24"/>
        </w:rPr>
        <w:t xml:space="preserve"> </w:t>
      </w:r>
      <w:r>
        <w:rPr>
          <w:rFonts w:ascii="Segoe UI Symbol" w:hAnsi="Segoe UI Symbol" w:cs="Segoe UI Symbol" w:eastAsiaTheme="minorEastAsia"/>
          <w:b/>
          <w:bCs/>
          <w:sz w:val="24"/>
        </w:rPr>
        <w:t>☑</w:t>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r>
        <w:rPr>
          <w:rFonts w:hint="eastAsia" w:asciiTheme="minorEastAsia" w:hAnsiTheme="minorEastAsia" w:eastAsiaTheme="minorEastAsia" w:cstheme="minorEastAsia"/>
          <w:sz w:val="24"/>
          <w:u w:val="single"/>
        </w:rPr>
        <w:t xml:space="preserve"> </w:t>
      </w:r>
      <w:r>
        <w:rPr>
          <w:rFonts w:hint="eastAsia" w:ascii="宋体" w:hAnsi="宋体" w:cs="宋体"/>
          <w:sz w:val="24"/>
          <w:u w:val="single"/>
        </w:rPr>
        <w:t>/</w:t>
      </w:r>
      <w:r>
        <w:rPr>
          <w:rFonts w:hint="eastAsia" w:asciiTheme="minorEastAsia" w:hAnsiTheme="minorEastAsia" w:eastAsiaTheme="minorEastAsia" w:cstheme="minorEastAsia"/>
          <w:bCs/>
          <w:sz w:val="24"/>
          <w:u w:val="single"/>
          <w:bdr w:val="single" w:color="auto" w:sz="4" w:space="0"/>
        </w:rPr>
        <w:t xml:space="preserve"> </w:t>
      </w:r>
    </w:p>
    <w:p>
      <w:pPr>
        <w:pStyle w:val="12"/>
        <w:spacing w:line="500" w:lineRule="exact"/>
        <w:ind w:firstLine="482" w:firstLineChars="200"/>
        <w:outlineLvl w:val="1"/>
        <w:rPr>
          <w:rFonts w:hAnsi="宋体" w:cs="宋体"/>
          <w:b/>
          <w:bCs/>
          <w:sz w:val="24"/>
        </w:rPr>
      </w:pPr>
      <w:r>
        <w:rPr>
          <w:rFonts w:hint="eastAsia" w:hAnsi="宋体" w:cs="宋体"/>
          <w:b/>
          <w:bCs/>
          <w:sz w:val="24"/>
        </w:rPr>
        <w:t>第九条</w:t>
      </w:r>
      <w:r>
        <w:rPr>
          <w:rFonts w:hAnsi="宋体" w:cs="宋体"/>
          <w:b/>
          <w:bCs/>
          <w:sz w:val="24"/>
        </w:rPr>
        <w:t xml:space="preserve"> </w:t>
      </w:r>
      <w:r>
        <w:rPr>
          <w:rFonts w:hint="eastAsia" w:hAnsi="宋体" w:cs="宋体"/>
          <w:b/>
          <w:bCs/>
          <w:sz w:val="24"/>
        </w:rPr>
        <w:t>竣工验收</w:t>
      </w:r>
    </w:p>
    <w:p>
      <w:pPr>
        <w:spacing w:line="500" w:lineRule="exact"/>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乙方应在工程完工后30天内将经甲方审核的完整竣工资料（含竣工图）和竣工验收报告各</w:t>
      </w:r>
      <w:r>
        <w:rPr>
          <w:rFonts w:hint="eastAsia" w:ascii="宋体" w:hAnsi="宋体" w:cs="宋体"/>
          <w:sz w:val="24"/>
          <w:u w:val="single"/>
        </w:rPr>
        <w:t>一式肆份</w:t>
      </w:r>
      <w:r>
        <w:rPr>
          <w:rFonts w:hint="eastAsia" w:ascii="宋体" w:hAnsi="宋体" w:cs="宋体"/>
          <w:sz w:val="24"/>
        </w:rPr>
        <w:t>交甲方，不按时报送工程竣工资料的，每逾期一天，甲方要求乙方支付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500" w:lineRule="exact"/>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500" w:lineRule="exact"/>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12"/>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sz w:val="24"/>
        </w:rPr>
        <w:t>9.5本合同竣工验收结算单位为：</w:t>
      </w:r>
      <w:r>
        <w:rPr>
          <w:rFonts w:hint="eastAsia" w:hAnsi="宋体" w:cs="宋体"/>
          <w:sz w:val="24"/>
          <w:szCs w:val="24"/>
          <w:u w:val="single"/>
          <w:lang w:val="en-US" w:eastAsia="zh-CN"/>
        </w:rPr>
        <w:t xml:space="preserve"> 项目所属各分公司 </w:t>
      </w:r>
    </w:p>
    <w:p>
      <w:pPr>
        <w:numPr>
          <w:ilvl w:val="0"/>
          <w:numId w:val="18"/>
        </w:numPr>
        <w:spacing w:before="120" w:after="156" w:afterLines="50" w:line="500" w:lineRule="exact"/>
        <w:ind w:firstLine="482" w:firstLineChars="200"/>
        <w:jc w:val="left"/>
        <w:rPr>
          <w:rFonts w:ascii="宋体" w:hAnsi="宋体" w:cs="宋体"/>
          <w:b/>
          <w:bCs/>
          <w:sz w:val="24"/>
        </w:rPr>
      </w:pPr>
      <w:r>
        <w:rPr>
          <w:rFonts w:hint="eastAsia" w:ascii="宋体" w:hAnsi="宋体" w:cs="宋体"/>
          <w:b/>
          <w:bCs/>
          <w:sz w:val="24"/>
        </w:rPr>
        <w:t>质量保证</w:t>
      </w:r>
    </w:p>
    <w:p>
      <w:pPr>
        <w:spacing w:line="500" w:lineRule="exact"/>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kern w:val="0"/>
          <w:sz w:val="24"/>
          <w:highlight w:val="none"/>
          <w:lang w:val="zh-CN"/>
        </w:rPr>
      </w:pPr>
      <w:r>
        <w:rPr>
          <w:rFonts w:ascii="宋体" w:hAnsi="宋体" w:cs="宋体"/>
          <w:bCs/>
          <w:sz w:val="24"/>
          <w:highlight w:val="none"/>
        </w:rPr>
        <w:t xml:space="preserve">10.2 </w:t>
      </w:r>
      <w:r>
        <w:rPr>
          <w:rFonts w:hint="eastAsia" w:ascii="宋体" w:hAnsi="宋体" w:cs="宋体"/>
          <w:bCs/>
          <w:sz w:val="24"/>
          <w:highlight w:val="none"/>
        </w:rPr>
        <w:t>质量保修期为</w:t>
      </w:r>
      <w:r>
        <w:rPr>
          <w:rFonts w:hint="eastAsia" w:ascii="宋体" w:hAnsi="宋体" w:cs="宋体"/>
          <w:kern w:val="0"/>
          <w:sz w:val="24"/>
          <w:highlight w:val="none"/>
          <w:lang w:val="zh-CN"/>
        </w:rPr>
        <w:t>自验收合格之日起</w:t>
      </w:r>
      <w:r>
        <w:rPr>
          <w:rFonts w:hint="eastAsia" w:ascii="宋体" w:hAnsi="宋体" w:cs="宋体"/>
          <w:kern w:val="0"/>
          <w:sz w:val="24"/>
          <w:highlight w:val="none"/>
          <w:u w:val="single"/>
        </w:rPr>
        <w:t xml:space="preserve"> </w:t>
      </w:r>
      <w:r>
        <w:rPr>
          <w:rFonts w:hint="eastAsia" w:ascii="宋体" w:hAnsi="宋体" w:cs="宋体"/>
          <w:b/>
          <w:bCs/>
          <w:kern w:val="0"/>
          <w:sz w:val="24"/>
          <w:highlight w:val="none"/>
          <w:u w:val="single"/>
          <w:lang w:val="en-US" w:eastAsia="zh-CN"/>
        </w:rPr>
        <w:t>壹</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lang w:val="en-US" w:eastAsia="zh-CN"/>
        </w:rPr>
        <w:t>,且不得低于法定保修年限</w:t>
      </w:r>
      <w:r>
        <w:rPr>
          <w:rFonts w:hint="eastAsia" w:ascii="宋体" w:hAnsi="宋体" w:cs="宋体"/>
          <w:kern w:val="0"/>
          <w:sz w:val="24"/>
          <w:highlight w:val="none"/>
          <w:lang w:val="zh-CN"/>
        </w:rPr>
        <w:t>。</w:t>
      </w:r>
    </w:p>
    <w:p>
      <w:pPr>
        <w:spacing w:line="500" w:lineRule="exact"/>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合同暂定总价的10%/次</w:t>
      </w:r>
      <w:r>
        <w:rPr>
          <w:rFonts w:hint="eastAsia" w:ascii="宋体" w:hAnsi="宋体" w:cs="宋体"/>
          <w:bCs/>
          <w:sz w:val="24"/>
        </w:rPr>
        <w:t>作为违约金。</w:t>
      </w:r>
    </w:p>
    <w:p>
      <w:pPr>
        <w:spacing w:before="156" w:beforeLines="50" w:after="156" w:afterLines="50" w:line="500" w:lineRule="exact"/>
        <w:ind w:firstLine="422" w:firstLineChars="175"/>
        <w:jc w:val="left"/>
        <w:rPr>
          <w:rFonts w:ascii="宋体" w:hAnsi="宋体" w:cs="宋体"/>
          <w:sz w:val="24"/>
        </w:rPr>
      </w:pPr>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（1）</w:t>
      </w:r>
      <w:r>
        <w:rPr>
          <w:rFonts w:hint="eastAsia" w:ascii="宋体" w:hAnsi="宋体" w:cs="宋体"/>
          <w:bCs/>
          <w:sz w:val="24"/>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sz w:val="24"/>
        </w:rPr>
      </w:pP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sz w:val="24"/>
        </w:rPr>
      </w:pPr>
    </w:p>
    <w:p>
      <w:pPr>
        <w:spacing w:line="500" w:lineRule="exact"/>
        <w:ind w:firstLine="482"/>
        <w:jc w:val="left"/>
        <w:rPr>
          <w:rFonts w:ascii="宋体" w:hAnsi="宋体" w:cs="宋体"/>
          <w:b/>
          <w:bCs/>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500" w:lineRule="exact"/>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r>
        <w:rPr>
          <w:rFonts w:hint="eastAsia" w:ascii="宋体" w:hAnsi="宋体" w:cs="宋体"/>
          <w:b/>
          <w:bCs/>
          <w:sz w:val="24"/>
        </w:rPr>
        <w:t>合同生效及其他</w:t>
      </w:r>
    </w:p>
    <w:p>
      <w:pPr>
        <w:spacing w:line="500" w:lineRule="exact"/>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500" w:lineRule="exact"/>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w:t>
      </w:r>
    </w:p>
    <w:p>
      <w:pPr>
        <w:spacing w:line="500" w:lineRule="exact"/>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ascii="宋体" w:hAnsi="宋体" w:cs="宋体"/>
          <w:sz w:val="24"/>
          <w:u w:val="single"/>
        </w:rPr>
        <w:t xml:space="preserve">  </w:t>
      </w:r>
      <w:r>
        <w:rPr>
          <w:rFonts w:hint="eastAsia" w:ascii="宋体" w:hAnsi="宋体" w:cs="宋体"/>
          <w:sz w:val="24"/>
          <w:u w:val="single"/>
          <w:lang w:val="en-US" w:eastAsia="zh-CN"/>
        </w:rPr>
        <w:t>无</w:t>
      </w:r>
      <w:r>
        <w:rPr>
          <w:rFonts w:hint="eastAsia" w:ascii="宋体" w:hAnsi="宋体" w:cs="宋体"/>
          <w:sz w:val="24"/>
          <w:u w:val="single"/>
        </w:rPr>
        <w:t xml:space="preserve"> </w:t>
      </w:r>
      <w:r>
        <w:rPr>
          <w:rFonts w:ascii="宋体" w:hAnsi="宋体" w:cs="宋体"/>
          <w:sz w:val="24"/>
          <w:u w:val="single"/>
        </w:rPr>
        <w:t xml:space="preserve">  </w:t>
      </w:r>
    </w:p>
    <w:p>
      <w:pPr>
        <w:pStyle w:val="47"/>
        <w:spacing w:line="500" w:lineRule="exact"/>
        <w:rPr>
          <w:color w:val="auto"/>
        </w:rPr>
      </w:pPr>
    </w:p>
    <w:p>
      <w:pPr>
        <w:spacing w:line="500" w:lineRule="exact"/>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成交通知书</w:t>
      </w:r>
    </w:p>
    <w:p>
      <w:pPr>
        <w:spacing w:line="500" w:lineRule="exact"/>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500" w:lineRule="exact"/>
        <w:ind w:firstLine="720" w:firstLineChars="300"/>
        <w:rPr>
          <w:rFonts w:ascii="宋体" w:hAnsi="宋体" w:cs="宋体"/>
          <w:sz w:val="24"/>
        </w:rPr>
      </w:pPr>
      <w:r>
        <w:rPr>
          <w:rFonts w:hint="eastAsia" w:ascii="宋体" w:hAnsi="宋体" w:cs="宋体"/>
          <w:sz w:val="24"/>
        </w:rPr>
        <w:t>3.营运场所施工安全协议书</w:t>
      </w:r>
    </w:p>
    <w:p>
      <w:pPr>
        <w:spacing w:line="500" w:lineRule="exact"/>
        <w:ind w:firstLine="720" w:firstLineChars="300"/>
        <w:rPr>
          <w:rFonts w:ascii="宋体" w:hAnsi="宋体" w:cs="宋体"/>
          <w:sz w:val="24"/>
        </w:rPr>
      </w:pPr>
      <w:r>
        <w:rPr>
          <w:rFonts w:hint="eastAsia" w:ascii="宋体" w:hAnsi="宋体" w:cs="宋体"/>
          <w:sz w:val="24"/>
        </w:rPr>
        <w:t>4.防疫管理协议书</w:t>
      </w:r>
    </w:p>
    <w:p>
      <w:pPr>
        <w:spacing w:line="500" w:lineRule="exact"/>
        <w:rPr>
          <w:rFonts w:ascii="宋体" w:hAnsi="宋体" w:cs="宋体"/>
          <w:sz w:val="24"/>
        </w:rPr>
      </w:pPr>
      <w:r>
        <w:rPr>
          <w:rFonts w:ascii="宋体" w:hAnsi="宋体" w:cs="宋体"/>
          <w:sz w:val="24"/>
        </w:rPr>
        <w:t xml:space="preserve">      </w:t>
      </w:r>
      <w:r>
        <w:rPr>
          <w:rFonts w:hint="eastAsia" w:ascii="宋体" w:hAnsi="宋体" w:cs="宋体"/>
          <w:sz w:val="24"/>
        </w:rPr>
        <w:t>5</w:t>
      </w:r>
      <w:r>
        <w:rPr>
          <w:rFonts w:ascii="宋体" w:hAnsi="宋体" w:cs="宋体"/>
          <w:sz w:val="24"/>
        </w:rPr>
        <w:t>.</w:t>
      </w:r>
      <w:r>
        <w:rPr>
          <w:rFonts w:hint="eastAsia" w:ascii="宋体" w:hAnsi="宋体" w:cs="宋体"/>
          <w:sz w:val="24"/>
        </w:rPr>
        <w:t>工程量清单报价</w:t>
      </w:r>
    </w:p>
    <w:p>
      <w:pPr>
        <w:spacing w:line="500" w:lineRule="exact"/>
        <w:rPr>
          <w:rFonts w:ascii="宋体" w:hAnsi="宋体" w:cs="宋体"/>
          <w:sz w:val="24"/>
        </w:rPr>
      </w:pPr>
      <w:r>
        <w:rPr>
          <w:rFonts w:ascii="宋体" w:hAnsi="宋体" w:cs="宋体"/>
          <w:sz w:val="24"/>
        </w:rPr>
        <w:t xml:space="preserve">      </w:t>
      </w:r>
      <w:r>
        <w:rPr>
          <w:rFonts w:hint="eastAsia" w:ascii="宋体" w:hAnsi="宋体" w:cs="宋体"/>
          <w:sz w:val="24"/>
        </w:rPr>
        <w:t>6</w:t>
      </w:r>
      <w:r>
        <w:rPr>
          <w:rFonts w:ascii="宋体" w:hAnsi="宋体" w:cs="宋体"/>
          <w:sz w:val="24"/>
        </w:rPr>
        <w:t>.</w:t>
      </w:r>
      <w:r>
        <w:rPr>
          <w:rFonts w:hint="eastAsia" w:ascii="宋体" w:hAnsi="宋体" w:cs="宋体"/>
          <w:sz w:val="24"/>
        </w:rPr>
        <w:t>项目投入人员架构表</w:t>
      </w:r>
      <w:r>
        <w:rPr>
          <w:rFonts w:hint="eastAsia" w:asciiTheme="minorEastAsia" w:hAnsiTheme="minorEastAsia" w:eastAsiaTheme="minorEastAsia" w:cstheme="minorEastAsia"/>
          <w:sz w:val="24"/>
        </w:rPr>
        <w:t>/应急救援物资清单</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营运项目承包单位日常履约考评参照表（安全）</w:t>
      </w:r>
    </w:p>
    <w:p>
      <w:pPr>
        <w:spacing w:line="500" w:lineRule="exact"/>
        <w:ind w:firstLine="720" w:firstLineChars="300"/>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营运项目承包单位综合履约考评表（安全）</w:t>
      </w:r>
    </w:p>
    <w:p>
      <w:pPr>
        <w:pStyle w:val="47"/>
        <w:spacing w:line="500" w:lineRule="exact"/>
        <w:rPr>
          <w:rFonts w:hint="default" w:eastAsia="仿宋_GB2312"/>
          <w:color w:val="auto"/>
          <w:lang w:val="en-US" w:eastAsia="zh-CN"/>
        </w:rPr>
      </w:pPr>
    </w:p>
    <w:p>
      <w:pPr>
        <w:spacing w:line="500" w:lineRule="exact"/>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sz w:val="24"/>
        </w:rPr>
        <w:t xml:space="preserve"> （盖章）</w:t>
      </w:r>
    </w:p>
    <w:p>
      <w:pPr>
        <w:spacing w:line="500" w:lineRule="exact"/>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500" w:lineRule="exact"/>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sz w:val="24"/>
        </w:rPr>
        <w:t>地址：</w:t>
      </w:r>
      <w:r>
        <w:rPr>
          <w:rFonts w:hint="eastAsia" w:ascii="宋体" w:hAnsi="宋体" w:cs="宋体"/>
          <w:sz w:val="24"/>
          <w:lang w:val="en-US" w:eastAsia="zh-CN"/>
        </w:rPr>
        <w:t>广州市天河区临江大道501号</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陈秋彬</w:t>
      </w:r>
      <w:r>
        <w:rPr>
          <w:rFonts w:ascii="宋体" w:hAnsi="宋体" w:cs="宋体"/>
          <w:sz w:val="24"/>
        </w:rPr>
        <w:t xml:space="preserve">                       </w:t>
      </w:r>
      <w:r>
        <w:rPr>
          <w:rFonts w:hint="eastAsia" w:ascii="宋体" w:hAnsi="宋体" w:cs="宋体"/>
          <w:sz w:val="24"/>
        </w:rPr>
        <w:t>经办人：</w:t>
      </w:r>
    </w:p>
    <w:p>
      <w:pPr>
        <w:spacing w:line="500" w:lineRule="exact"/>
        <w:rPr>
          <w:rFonts w:hint="default" w:ascii="宋体" w:hAnsi="宋体" w:eastAsia="宋体" w:cs="宋体"/>
          <w:sz w:val="24"/>
          <w:lang w:val="en-US" w:eastAsia="zh-CN"/>
        </w:rPr>
      </w:pPr>
      <w:r>
        <w:rPr>
          <w:rFonts w:hint="eastAsia" w:ascii="宋体" w:hAnsi="宋体" w:cs="宋体"/>
          <w:sz w:val="24"/>
        </w:rPr>
        <w:t>联系电话：</w:t>
      </w:r>
      <w:r>
        <w:rPr>
          <w:rFonts w:hint="eastAsia" w:ascii="宋体" w:hAnsi="宋体" w:cs="宋体"/>
          <w:sz w:val="24"/>
          <w:lang w:val="en-US" w:eastAsia="zh-CN"/>
        </w:rPr>
        <w:t>020-38890587</w:t>
      </w:r>
      <w:r>
        <w:rPr>
          <w:rFonts w:ascii="宋体" w:hAnsi="宋体" w:cs="宋体"/>
          <w:sz w:val="24"/>
        </w:rPr>
        <w:t xml:space="preserve">               </w:t>
      </w:r>
      <w:r>
        <w:rPr>
          <w:rFonts w:hint="eastAsia" w:ascii="宋体" w:hAnsi="宋体" w:cs="宋体"/>
          <w:sz w:val="24"/>
        </w:rPr>
        <w:t>联系电话：</w:t>
      </w:r>
      <w:r>
        <w:rPr>
          <w:rFonts w:hint="eastAsia" w:ascii="宋体" w:hAnsi="宋体" w:cs="宋体"/>
          <w:color w:val="auto"/>
          <w:sz w:val="24"/>
          <w:lang w:val="en-US" w:eastAsia="zh-CN"/>
        </w:rPr>
        <w:t xml:space="preserve">     </w:t>
      </w:r>
    </w:p>
    <w:p>
      <w:pPr>
        <w:spacing w:line="500" w:lineRule="exact"/>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500" w:lineRule="exact"/>
        <w:ind w:left="6360" w:right="0" w:rightChars="0" w:hanging="6360" w:hangingChars="2650"/>
        <w:rPr>
          <w:rFonts w:hAnsi="宋体"/>
          <w:b/>
          <w:bCs/>
          <w:szCs w:val="21"/>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宋体" w:hAnsi="宋体" w:cs="宋体"/>
          <w:b/>
          <w:szCs w:val="21"/>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hint="eastAsia" w:ascii="宋体" w:hAnsi="宋体" w:cs="宋体"/>
          <w:b/>
          <w:szCs w:val="21"/>
        </w:rPr>
      </w:pPr>
    </w:p>
    <w:p>
      <w:pPr>
        <w:tabs>
          <w:tab w:val="left" w:pos="4170"/>
        </w:tabs>
        <w:spacing w:line="360" w:lineRule="auto"/>
        <w:rPr>
          <w:rFonts w:ascii="宋体" w:hAnsi="宋体" w:cs="宋体"/>
          <w:b/>
          <w:szCs w:val="21"/>
        </w:rPr>
      </w:pPr>
      <w:r>
        <w:rPr>
          <w:rFonts w:hint="eastAsia" w:ascii="宋体" w:hAnsi="宋体" w:cs="宋体"/>
          <w:b/>
          <w:szCs w:val="21"/>
        </w:rPr>
        <w:t>附件3：营运场所施工安全协议书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spacing w:line="560" w:lineRule="exact"/>
        <w:jc w:val="left"/>
        <w:rPr>
          <w:rStyle w:val="26"/>
          <w:rFonts w:asciiTheme="minorEastAsia" w:hAnsiTheme="minorEastAsia" w:eastAsiaTheme="minorEastAsia"/>
          <w:b w:val="0"/>
          <w:u w:val="single"/>
        </w:rPr>
      </w:pP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一、本协议与主合同的关系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本协议作为</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sz w:val="24"/>
        </w:rPr>
      </w:pPr>
      <w:r>
        <w:rPr>
          <w:rFonts w:asciiTheme="minorEastAsia" w:hAnsiTheme="minorEastAsia" w:eastAsiaTheme="minorEastAsia"/>
          <w:b/>
          <w:sz w:val="24"/>
        </w:rPr>
        <w:t xml:space="preserve"> 二、</w:t>
      </w:r>
      <w:r>
        <w:rPr>
          <w:rFonts w:hint="eastAsia" w:asciiTheme="minorEastAsia" w:hAnsiTheme="minorEastAsia" w:eastAsiaTheme="minorEastAsia"/>
          <w:b/>
          <w:sz w:val="24"/>
        </w:rPr>
        <w:t>甲方权责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根据《广州市水务局关于印发广州市水务工程施工和监理企业诚信评价管理办法的通知》（穗水建设〔2</w:t>
      </w:r>
      <w:r>
        <w:rPr>
          <w:rFonts w:asciiTheme="minorEastAsia" w:hAnsiTheme="minorEastAsia" w:eastAsiaTheme="minorEastAsia"/>
          <w:sz w:val="24"/>
        </w:rPr>
        <w:t>014</w:t>
      </w:r>
      <w:r>
        <w:rPr>
          <w:rFonts w:hint="eastAsia" w:asciiTheme="minorEastAsia" w:hAnsiTheme="minorEastAsia" w:eastAsiaTheme="minorEastAsia"/>
          <w:sz w:val="24"/>
        </w:rPr>
        <w:t>〕1</w:t>
      </w:r>
      <w:r>
        <w:rPr>
          <w:rFonts w:asciiTheme="minorEastAsia" w:hAnsiTheme="minorEastAsia" w:eastAsiaTheme="minorEastAsia"/>
          <w:sz w:val="24"/>
        </w:rPr>
        <w:t>0</w:t>
      </w:r>
      <w:r>
        <w:rPr>
          <w:rFonts w:hint="eastAsia" w:asciiTheme="minorEastAsia" w:hAnsiTheme="minorEastAsia" w:eastAsiaTheme="minorEastAsia"/>
          <w:sz w:val="24"/>
        </w:rPr>
        <w:t>号）、《市净水公司关于印发施工和监理企业诚信评价工作实施办法的通知》（穗净水〔201</w:t>
      </w:r>
      <w:r>
        <w:rPr>
          <w:rFonts w:asciiTheme="minorEastAsia" w:hAnsiTheme="minorEastAsia" w:eastAsiaTheme="minorEastAsia"/>
          <w:sz w:val="24"/>
        </w:rPr>
        <w:t>5</w:t>
      </w:r>
      <w:r>
        <w:rPr>
          <w:rFonts w:hint="eastAsia" w:asciiTheme="minorEastAsia" w:hAnsiTheme="minorEastAsia" w:eastAsiaTheme="minorEastAsia"/>
          <w:sz w:val="24"/>
        </w:rPr>
        <w:t>〕2</w:t>
      </w:r>
      <w:r>
        <w:rPr>
          <w:rFonts w:asciiTheme="minorEastAsia" w:hAnsiTheme="minorEastAsia" w:eastAsiaTheme="minorEastAsia"/>
          <w:sz w:val="24"/>
        </w:rPr>
        <w:t>40</w:t>
      </w:r>
      <w:r>
        <w:rPr>
          <w:rFonts w:hint="eastAsia" w:asciiTheme="minorEastAsia" w:hAnsiTheme="minorEastAsia" w:eastAsiaTheme="minorEastAsia"/>
          <w:sz w:val="24"/>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向上级进行反映，包括但不限于广东省市政行业协会、广州市市政公路协会等。</w:t>
      </w:r>
    </w:p>
    <w:p>
      <w:pPr>
        <w:spacing w:line="560" w:lineRule="exact"/>
        <w:ind w:firstLine="480" w:firstLineChars="200"/>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三、乙方权责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（三）乙方应在合同签订后</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rPr>
        <w:t>15</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四、事故责任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6"/>
        <w:spacing w:line="56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五、补充条款：</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无</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六、附则</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sz w:val="24"/>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甲方：</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签约代表：</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联系电话：</w:t>
            </w:r>
          </w:p>
          <w:p>
            <w:pPr>
              <w:adjustRightInd w:val="0"/>
              <w:snapToGrid w:val="0"/>
              <w:spacing w:line="560" w:lineRule="exact"/>
              <w:ind w:firstLine="240" w:firstLineChars="100"/>
              <w:jc w:val="right"/>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c>
          <w:tcPr>
            <w:tcW w:w="4474" w:type="dxa"/>
          </w:tcPr>
          <w:p>
            <w:pPr>
              <w:adjustRightInd w:val="0"/>
              <w:snapToGrid w:val="0"/>
              <w:spacing w:line="560" w:lineRule="exact"/>
              <w:rPr>
                <w:rFonts w:ascii="宋体" w:hAnsi="宋体" w:eastAsia="宋体"/>
                <w:sz w:val="24"/>
              </w:rPr>
            </w:pPr>
            <w:r>
              <w:rPr>
                <w:rFonts w:hint="eastAsia" w:ascii="宋体" w:hAnsi="宋体" w:eastAsia="宋体"/>
                <w:sz w:val="24"/>
              </w:rPr>
              <w:t>乙方：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ind w:firstLine="1440" w:firstLineChars="600"/>
              <w:jc w:val="both"/>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r>
    </w:tbl>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ascii="宋体" w:hAnsi="宋体" w:cs="宋体"/>
          <w:b/>
          <w:szCs w:val="21"/>
        </w:rPr>
      </w:pPr>
      <w:r>
        <w:rPr>
          <w:rFonts w:hint="eastAsia" w:ascii="宋体" w:hAnsi="宋体" w:cs="宋体"/>
          <w:b/>
          <w:szCs w:val="21"/>
        </w:rPr>
        <w:t>附件4：防疫管理协议书</w:t>
      </w:r>
    </w:p>
    <w:p>
      <w:pPr>
        <w:spacing w:line="440" w:lineRule="exact"/>
        <w:jc w:val="center"/>
        <w:rPr>
          <w:rFonts w:ascii="仿宋_GB2312" w:eastAsia="仿宋_GB2312"/>
          <w:b/>
          <w:bCs/>
          <w:sz w:val="28"/>
          <w:szCs w:val="28"/>
        </w:rPr>
      </w:pPr>
      <w:r>
        <w:rPr>
          <w:rFonts w:hint="eastAsia" w:asciiTheme="minorEastAsia" w:hAnsiTheme="minorEastAsia" w:eastAsiaTheme="minorEastAsia" w:cstheme="minorEastAsia"/>
          <w:b/>
          <w:bCs/>
          <w:sz w:val="28"/>
          <w:szCs w:val="28"/>
          <w:lang w:val="en-US" w:eastAsia="zh-CN"/>
        </w:rPr>
        <w:t>防疫</w:t>
      </w:r>
      <w:r>
        <w:rPr>
          <w:rFonts w:hint="eastAsia" w:asciiTheme="minorEastAsia" w:hAnsiTheme="minorEastAsia" w:eastAsiaTheme="minorEastAsia" w:cstheme="minorEastAsia"/>
          <w:b/>
          <w:bCs/>
          <w:sz w:val="28"/>
          <w:szCs w:val="28"/>
        </w:rPr>
        <w:t>管理协议书</w:t>
      </w:r>
    </w:p>
    <w:p>
      <w:pPr>
        <w:spacing w:line="440" w:lineRule="exact"/>
        <w:rPr>
          <w:rFonts w:ascii="仿宋_GB2312" w:hAnsi="宋体" w:eastAsia="仿宋_GB2312"/>
          <w:sz w:val="24"/>
        </w:rPr>
      </w:pPr>
    </w:p>
    <w:p>
      <w:pPr>
        <w:adjustRightInd w:val="0"/>
        <w:snapToGrid w:val="0"/>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甲方</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广州市净水有限公司</w:t>
      </w:r>
    </w:p>
    <w:p>
      <w:pPr>
        <w:adjustRightInd w:val="0"/>
        <w:snapToGrid w:val="0"/>
        <w:spacing w:line="440" w:lineRule="exact"/>
        <w:ind w:firstLine="480" w:firstLineChars="200"/>
        <w:jc w:val="left"/>
        <w:rPr>
          <w:rStyle w:val="26"/>
          <w:rFonts w:hint="eastAsia" w:asciiTheme="minorEastAsia" w:hAnsiTheme="minorEastAsia" w:eastAsiaTheme="minorEastAsia" w:cstheme="minorEastAsia"/>
          <w:b w:val="0"/>
          <w:sz w:val="24"/>
          <w:szCs w:val="24"/>
          <w:u w:val="single"/>
        </w:rPr>
      </w:pPr>
      <w:r>
        <w:rPr>
          <w:rFonts w:hint="eastAsia" w:asciiTheme="minorEastAsia" w:hAnsiTheme="minorEastAsia" w:eastAsiaTheme="minorEastAsia" w:cstheme="minorEastAsia"/>
          <w:sz w:val="24"/>
          <w:szCs w:val="24"/>
          <w:lang w:val="en-US" w:eastAsia="zh-CN"/>
        </w:rPr>
        <w:t>乙方</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Style w:val="26"/>
          <w:rFonts w:hint="eastAsia" w:asciiTheme="minorEastAsia" w:hAnsiTheme="minorEastAsia" w:eastAsiaTheme="minorEastAsia" w:cstheme="minorEastAsia"/>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本协议作为</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sz w:val="24"/>
          <w:szCs w:val="24"/>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w:t>
      </w:r>
      <w:r>
        <w:rPr>
          <w:rFonts w:hint="eastAsia" w:asciiTheme="minorEastAsia" w:hAnsiTheme="minorEastAsia" w:eastAsiaTheme="minorEastAsia" w:cstheme="minorEastAsia"/>
          <w:sz w:val="24"/>
          <w:szCs w:val="24"/>
          <w:lang w:val="en-US" w:eastAsia="zh-CN"/>
        </w:rPr>
        <w:t>与建设主管部门和属地疫情防控指挥部门形成联防联控机制，建立快速有效的处置工作流程。</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三、乙方的义务</w:t>
      </w:r>
    </w:p>
    <w:p>
      <w:pPr>
        <w:pStyle w:val="7"/>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（一）开展疫情防控宣传教育，提高</w:t>
      </w:r>
      <w:r>
        <w:rPr>
          <w:rFonts w:hint="eastAsia" w:asciiTheme="minorEastAsia" w:hAnsiTheme="minorEastAsia" w:eastAsiaTheme="minorEastAsia" w:cstheme="minorEastAsia"/>
          <w:sz w:val="24"/>
          <w:szCs w:val="24"/>
          <w:lang w:val="en-US" w:eastAsia="zh-CN"/>
        </w:rPr>
        <w:t>乙方</w:t>
      </w:r>
      <w:r>
        <w:rPr>
          <w:rFonts w:hint="eastAsia" w:asciiTheme="minorEastAsia" w:hAnsiTheme="minorEastAsia" w:eastAsiaTheme="minorEastAsia" w:cstheme="minorEastAsia"/>
          <w:kern w:val="2"/>
          <w:sz w:val="24"/>
          <w:szCs w:val="24"/>
          <w:lang w:val="en-US" w:eastAsia="zh-CN" w:bidi="ar-SA"/>
        </w:rPr>
        <w:t>人员自我防护意识，最大限度减少人员暴露和感染的风险。</w:t>
      </w:r>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（二）</w:t>
      </w:r>
      <w:r>
        <w:rPr>
          <w:rFonts w:hint="eastAsia" w:asciiTheme="minorEastAsia" w:hAnsiTheme="minorEastAsia" w:eastAsiaTheme="minorEastAsia" w:cstheme="minorEastAsia"/>
          <w:sz w:val="24"/>
          <w:szCs w:val="24"/>
          <w:lang w:val="en-US" w:eastAsia="zh-CN"/>
        </w:rPr>
        <w:t>做好乙方人员防控工作管理，及时提交防疫资料，落实疫情防控备案，必要时需</w:t>
      </w:r>
      <w:r>
        <w:rPr>
          <w:rFonts w:hint="eastAsia" w:asciiTheme="minorEastAsia" w:hAnsiTheme="minorEastAsia" w:eastAsiaTheme="minorEastAsia" w:cstheme="minorEastAsia"/>
          <w:kern w:val="2"/>
          <w:sz w:val="24"/>
          <w:szCs w:val="24"/>
          <w:lang w:val="en-US" w:eastAsia="zh-CN" w:bidi="ar-SA"/>
        </w:rPr>
        <w:t>编制防控管理工作方案</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（三）乙方人员须按</w:t>
      </w:r>
      <w:r>
        <w:rPr>
          <w:rFonts w:hint="eastAsia" w:asciiTheme="minorEastAsia" w:hAnsiTheme="minorEastAsia" w:eastAsiaTheme="minorEastAsia" w:cstheme="minorEastAsia"/>
          <w:color w:val="auto"/>
          <w:sz w:val="24"/>
          <w:szCs w:val="24"/>
          <w:lang w:val="en-US" w:eastAsia="zh-CN"/>
        </w:rPr>
        <w:t>照</w:t>
      </w:r>
      <w:r>
        <w:rPr>
          <w:rFonts w:hint="eastAsia" w:asciiTheme="minorEastAsia" w:hAnsiTheme="minorEastAsia" w:eastAsiaTheme="minorEastAsia" w:cstheme="minorEastAsia"/>
          <w:color w:val="auto"/>
          <w:kern w:val="2"/>
          <w:sz w:val="24"/>
          <w:szCs w:val="24"/>
          <w:lang w:val="en-US" w:eastAsia="zh-CN" w:bidi="ar-SA"/>
        </w:rPr>
        <w:t>甲方各厂区进厂门岗防控要求</w:t>
      </w:r>
      <w:r>
        <w:rPr>
          <w:rFonts w:hint="eastAsia" w:asciiTheme="minorEastAsia" w:hAnsiTheme="minorEastAsia" w:eastAsiaTheme="minorEastAsia" w:cstheme="minorEastAsia"/>
          <w:sz w:val="24"/>
          <w:szCs w:val="24"/>
          <w:lang w:val="en-US" w:eastAsia="zh-CN"/>
        </w:rPr>
        <w:t>进行疫苗接种及核酸检测，未满足相关要求的人员甲方有权限制进入厂区。</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（五）各级政府、有关部门及甲方的其他</w:t>
      </w:r>
      <w:r>
        <w:rPr>
          <w:rFonts w:hint="eastAsia" w:asciiTheme="minorEastAsia" w:hAnsiTheme="minorEastAsia" w:eastAsiaTheme="minorEastAsia" w:cstheme="minorEastAsia"/>
          <w:sz w:val="24"/>
          <w:szCs w:val="24"/>
          <w:lang w:val="en-US" w:eastAsia="zh-CN"/>
        </w:rPr>
        <w:t>防控要求</w:t>
      </w:r>
      <w:r>
        <w:rPr>
          <w:rFonts w:hint="eastAsia" w:asciiTheme="minorEastAsia" w:hAnsiTheme="minorEastAsia" w:eastAsiaTheme="minorEastAsia" w:cstheme="minorEastAsia"/>
          <w:color w:val="auto"/>
          <w:kern w:val="2"/>
          <w:sz w:val="24"/>
          <w:szCs w:val="24"/>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（一）乙方人员及其</w:t>
      </w:r>
      <w:r>
        <w:rPr>
          <w:rFonts w:hint="eastAsia" w:asciiTheme="minorEastAsia" w:hAnsiTheme="minorEastAsia" w:eastAsiaTheme="minorEastAsia" w:cstheme="minorEastAsia"/>
          <w:color w:val="auto"/>
          <w:sz w:val="24"/>
          <w:szCs w:val="24"/>
          <w:highlight w:val="none"/>
          <w:lang w:val="en-US" w:eastAsia="zh-CN"/>
        </w:rPr>
        <w:t>密接</w:t>
      </w:r>
      <w:r>
        <w:rPr>
          <w:rFonts w:hint="eastAsia" w:asciiTheme="minorEastAsia" w:hAnsiTheme="minorEastAsia" w:eastAsiaTheme="minorEastAsia" w:cstheme="minorEastAsia"/>
          <w:sz w:val="24"/>
          <w:szCs w:val="24"/>
          <w:lang w:val="en-US" w:eastAsia="zh-CN"/>
        </w:rPr>
        <w:t>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sz w:val="24"/>
          <w:szCs w:val="24"/>
        </w:rPr>
      </w:pPr>
    </w:p>
    <w:p>
      <w:pPr>
        <w:pStyle w:val="36"/>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、补充条款：</w:t>
      </w:r>
      <w:r>
        <w:rPr>
          <w:rFonts w:hint="eastAsia" w:asciiTheme="minorEastAsia" w:hAnsiTheme="minorEastAsia" w:eastAsiaTheme="minorEastAsia" w:cstheme="minorEastAsia"/>
          <w:sz w:val="24"/>
          <w:szCs w:val="24"/>
          <w:u w:val="single"/>
        </w:rPr>
        <w:t xml:space="preserve">         /       </w:t>
      </w:r>
      <w:r>
        <w:rPr>
          <w:rFonts w:hint="eastAsia" w:asciiTheme="minorEastAsia" w:hAnsiTheme="minorEastAsia" w:eastAsiaTheme="minorEastAsia" w:cstheme="minorEastAsia"/>
          <w:sz w:val="24"/>
          <w:szCs w:val="24"/>
        </w:rPr>
        <w:t>。</w:t>
      </w:r>
    </w:p>
    <w:p>
      <w:pPr>
        <w:adjustRightInd w:val="0"/>
        <w:snapToGrid w:val="0"/>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份。</w:t>
      </w:r>
    </w:p>
    <w:p>
      <w:pPr>
        <w:adjustRightInd w:val="0"/>
        <w:snapToGrid w:val="0"/>
        <w:spacing w:line="440" w:lineRule="exact"/>
        <w:rPr>
          <w:rFonts w:hint="eastAsia" w:asciiTheme="minorEastAsia" w:hAnsiTheme="minorEastAsia" w:eastAsiaTheme="minorEastAsia" w:cstheme="minorEastAsia"/>
          <w:sz w:val="24"/>
          <w:szCs w:val="24"/>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甲方</w:t>
      </w:r>
      <w:r>
        <w:rPr>
          <w:rFonts w:hint="eastAsia" w:asciiTheme="minorEastAsia" w:hAnsiTheme="minorEastAsia" w:eastAsiaTheme="minorEastAsia" w:cstheme="minorEastAsia"/>
          <w:sz w:val="24"/>
          <w:szCs w:val="24"/>
        </w:rPr>
        <w:t xml:space="preserve">代表 （章）：                             </w:t>
      </w:r>
      <w:r>
        <w:rPr>
          <w:rFonts w:hint="eastAsia" w:asciiTheme="minorEastAsia" w:hAnsiTheme="minorEastAsia" w:eastAsiaTheme="minorEastAsia" w:cstheme="minorEastAsia"/>
          <w:sz w:val="24"/>
          <w:szCs w:val="24"/>
          <w:lang w:val="en-US" w:eastAsia="zh-CN"/>
        </w:rPr>
        <w:t>乙方</w:t>
      </w:r>
      <w:r>
        <w:rPr>
          <w:rFonts w:hint="eastAsia" w:asciiTheme="minorEastAsia" w:hAnsiTheme="minorEastAsia" w:eastAsiaTheme="minorEastAsia" w:cstheme="minorEastAsia"/>
          <w:sz w:val="24"/>
          <w:szCs w:val="24"/>
        </w:rPr>
        <w:t>代表（章）：                                                           　　              　　　　　　　</w:t>
      </w:r>
    </w:p>
    <w:p>
      <w:pPr>
        <w:adjustRightInd w:val="0"/>
        <w:snapToGrid w:val="0"/>
        <w:spacing w:line="440" w:lineRule="exact"/>
        <w:rPr>
          <w:rFonts w:hint="eastAsia" w:ascii="宋体" w:hAnsi="宋体" w:cs="宋体"/>
          <w:b/>
          <w:szCs w:val="21"/>
        </w:rPr>
      </w:pPr>
      <w:r>
        <w:rPr>
          <w:rFonts w:hint="eastAsia" w:asciiTheme="minorEastAsia" w:hAnsiTheme="minorEastAsia" w:eastAsiaTheme="minorEastAsia" w:cstheme="minorEastAsia"/>
          <w:sz w:val="24"/>
          <w:szCs w:val="24"/>
        </w:rPr>
        <w:t xml:space="preserve">      年 　月　  日　　　　　                 年   月  　日</w:t>
      </w:r>
    </w:p>
    <w:p>
      <w:pPr>
        <w:spacing w:line="360" w:lineRule="auto"/>
        <w:rPr>
          <w:rFonts w:hint="eastAsia" w:ascii="宋体" w:hAnsi="宋体" w:cs="宋体"/>
          <w:b/>
          <w:szCs w:val="21"/>
          <w:lang w:val="en-US" w:eastAsia="zh-CN"/>
        </w:rPr>
      </w:pPr>
      <w:r>
        <w:rPr>
          <w:rFonts w:hint="eastAsia" w:ascii="宋体" w:hAnsi="宋体" w:cs="宋体"/>
          <w:b/>
          <w:szCs w:val="21"/>
        </w:rPr>
        <w:t>附件</w:t>
      </w:r>
      <w:r>
        <w:rPr>
          <w:rFonts w:hint="eastAsia" w:ascii="宋体" w:hAnsi="宋体" w:cs="宋体"/>
          <w:b/>
          <w:szCs w:val="21"/>
          <w:lang w:val="en-US" w:eastAsia="zh-CN"/>
        </w:rPr>
        <w:t>5</w:t>
      </w:r>
      <w:r>
        <w:rPr>
          <w:rFonts w:hint="eastAsia" w:ascii="宋体" w:hAnsi="宋体" w:cs="宋体"/>
          <w:b/>
          <w:szCs w:val="21"/>
        </w:rPr>
        <w:t>：</w:t>
      </w:r>
      <w:r>
        <w:rPr>
          <w:rFonts w:hint="eastAsia" w:ascii="宋体" w:hAnsi="宋体" w:cs="宋体"/>
          <w:b/>
          <w:szCs w:val="21"/>
          <w:lang w:val="en-US" w:eastAsia="zh-CN"/>
        </w:rPr>
        <w:t>工程量清单报价（详见响应文件报价清单）</w:t>
      </w:r>
    </w:p>
    <w:p>
      <w:pPr>
        <w:spacing w:line="360" w:lineRule="auto"/>
        <w:rPr>
          <w:rFonts w:ascii="宋体" w:hAnsi="宋体" w:cs="宋体"/>
          <w:b/>
          <w:bCs/>
          <w:szCs w:val="21"/>
        </w:rPr>
      </w:pPr>
      <w:r>
        <w:rPr>
          <w:rFonts w:hint="eastAsia" w:ascii="宋体" w:hAnsi="宋体" w:cs="宋体"/>
          <w:b/>
          <w:bCs/>
          <w:szCs w:val="21"/>
        </w:rPr>
        <w:t>附件6 ：项目投入人员架构表/应急救援物资清单</w:t>
      </w:r>
    </w:p>
    <w:p>
      <w:pPr>
        <w:spacing w:line="360" w:lineRule="auto"/>
        <w:jc w:val="center"/>
        <w:outlineLvl w:val="3"/>
        <w:rPr>
          <w:rFonts w:ascii="宋体" w:hAnsi="宋体" w:cs="宋体"/>
          <w:b/>
          <w:sz w:val="24"/>
          <w:szCs w:val="24"/>
        </w:rPr>
      </w:pPr>
      <w:r>
        <w:rPr>
          <w:rFonts w:hint="eastAsia" w:ascii="宋体" w:hAnsi="宋体" w:cs="宋体"/>
          <w:b/>
          <w:sz w:val="24"/>
          <w:szCs w:val="24"/>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bl>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contextualSpacing/>
        <w:jc w:val="left"/>
        <w:rPr>
          <w:rFonts w:ascii="宋体" w:hAnsi="宋体" w:cs="仿宋_GB2312"/>
          <w:sz w:val="24"/>
        </w:rPr>
      </w:pPr>
    </w:p>
    <w:p>
      <w:pPr>
        <w:jc w:val="left"/>
        <w:rPr>
          <w:rFonts w:hint="default" w:eastAsia="宋体"/>
          <w:lang w:val="en-US" w:eastAsia="zh-CN"/>
        </w:rPr>
      </w:pPr>
      <w:r>
        <w:rPr>
          <w:rFonts w:hint="eastAsia"/>
          <w:lang w:val="en-US" w:eastAsia="zh-CN"/>
        </w:rPr>
        <w:t>附件7</w:t>
      </w:r>
    </w:p>
    <w:tbl>
      <w:tblPr>
        <w:tblStyle w:val="23"/>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缺安全架构扣合同金额的10%或2000；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缺安全架构扣合同金额的2%或1万；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缺安全架构扣合同金额的1%或2万；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扣合同金额的0.5%～1%；</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扣合同金额的0.3%～0.4%；</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sz w:val="13"/>
                <w:szCs w:val="13"/>
              </w:rPr>
            </w:pPr>
            <w:r>
              <w:rPr>
                <w:rFonts w:hint="eastAsia"/>
                <w:sz w:val="13"/>
                <w:szCs w:val="13"/>
              </w:rPr>
              <w:t>注：1、与安全管理相关的考评内容具体考评标准内容参照广州市净水有限公司标准《工程项目安全管理规范》（Q/GZJSA 1-2021）执行。</w:t>
            </w:r>
          </w:p>
          <w:p>
            <w:r>
              <w:rPr>
                <w:rFonts w:hint="eastAsia" w:ascii="仿宋_GB2312" w:hAnsi="仿宋_GB2312" w:eastAsia="仿宋_GB2312" w:cs="仿宋_GB2312"/>
                <w:color w:val="000000"/>
                <w:sz w:val="13"/>
                <w:szCs w:val="13"/>
              </w:rPr>
              <w:t>2.本处理标准出自《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2"/>
              <w:ind w:firstLine="1126"/>
              <w:rPr>
                <w:rFonts w:hint="default" w:eastAsia="仿宋_GB2312"/>
                <w:lang w:val="en-US" w:eastAsia="zh-CN"/>
              </w:rPr>
            </w:pPr>
            <w:r>
              <w:rPr>
                <w:rFonts w:hint="eastAsia"/>
                <w:lang w:val="en-US" w:eastAsia="zh-CN"/>
              </w:rPr>
              <w:t>附件8</w:t>
            </w:r>
          </w:p>
        </w:tc>
      </w:tr>
    </w:tbl>
    <w:p>
      <w:pPr>
        <w:pStyle w:val="22"/>
        <w:ind w:left="0" w:leftChars="0" w:firstLine="0" w:firstLineChars="0"/>
        <w:rPr>
          <w:rFonts w:ascii="宋体" w:hAnsi="宋体" w:cs="宋体"/>
          <w:b/>
          <w:bCs/>
          <w:color w:val="000000"/>
          <w:sz w:val="24"/>
          <w:szCs w:val="24"/>
        </w:rPr>
      </w:pPr>
    </w:p>
    <w:p>
      <w:pPr>
        <w:pStyle w:val="22"/>
        <w:ind w:left="0" w:leftChars="0" w:firstLine="0" w:firstLineChars="0"/>
        <w:rPr>
          <w:rFonts w:ascii="宋体" w:hAnsi="宋体" w:cs="宋体"/>
          <w:b/>
          <w:bCs/>
          <w:color w:val="000000"/>
          <w:sz w:val="24"/>
          <w:szCs w:val="24"/>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缺安全架构扣5～10分/项；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缺花名册扣3～5分/项；</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sz w:val="13"/>
                <w:szCs w:val="13"/>
                <w:lang w:eastAsia="zh-CN"/>
              </w:rPr>
            </w:pPr>
            <w:r>
              <w:rPr>
                <w:rFonts w:hint="eastAsia"/>
                <w:sz w:val="13"/>
                <w:szCs w:val="13"/>
              </w:rPr>
              <w:t>注：1、综合考评满分100分，各考评项目扣分不设上限；</w:t>
            </w:r>
          </w:p>
          <w:p>
            <w:pPr>
              <w:widowControl/>
              <w:jc w:val="left"/>
              <w:textAlignment w:val="center"/>
              <w:rPr>
                <w:rFonts w:hint="eastAsia" w:eastAsia="宋体"/>
                <w:sz w:val="13"/>
                <w:szCs w:val="13"/>
                <w:lang w:eastAsia="zh-CN"/>
              </w:rPr>
            </w:pPr>
            <w:r>
              <w:rPr>
                <w:rFonts w:hint="eastAsia"/>
                <w:sz w:val="13"/>
                <w:szCs w:val="13"/>
              </w:rPr>
              <w:t xml:space="preserve">    2、监理单位考评只作为参考及履职依据，不计入考评，无监理单位不需填写；</w:t>
            </w:r>
          </w:p>
          <w:p>
            <w:pPr>
              <w:widowControl/>
              <w:jc w:val="left"/>
              <w:textAlignment w:val="center"/>
              <w:rPr>
                <w:rFonts w:hint="eastAsia" w:eastAsia="宋体"/>
                <w:sz w:val="13"/>
                <w:szCs w:val="13"/>
                <w:lang w:eastAsia="zh-CN"/>
              </w:rPr>
            </w:pPr>
            <w:r>
              <w:rPr>
                <w:rFonts w:hint="eastAsia"/>
                <w:sz w:val="13"/>
                <w:szCs w:val="13"/>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lang w:eastAsia="zh-CN"/>
              </w:rPr>
            </w:pPr>
            <w:r>
              <w:rPr>
                <w:rFonts w:hint="eastAsia"/>
                <w:sz w:val="13"/>
                <w:szCs w:val="13"/>
              </w:rPr>
              <w:t xml:space="preserve">    4、各分公司考评填写相应的得（扣）分数值，如奖2分则填写“2”，扣2分则填写“-2”；</w:t>
            </w:r>
          </w:p>
          <w:p>
            <w:pPr>
              <w:widowControl/>
              <w:jc w:val="left"/>
              <w:textAlignment w:val="center"/>
              <w:rPr>
                <w:rFonts w:hint="eastAsia" w:eastAsia="宋体"/>
                <w:sz w:val="13"/>
                <w:szCs w:val="13"/>
                <w:lang w:eastAsia="zh-CN"/>
              </w:rPr>
            </w:pPr>
            <w:r>
              <w:rPr>
                <w:rFonts w:hint="eastAsia"/>
                <w:sz w:val="13"/>
                <w:szCs w:val="13"/>
              </w:rPr>
              <w:t xml:space="preserve">    5、单项“综合考评”=项目部考评+公司考评；综合考评总分=各单项“综合考评”+100</w:t>
            </w:r>
          </w:p>
          <w:p>
            <w:pPr>
              <w:widowControl/>
              <w:jc w:val="left"/>
              <w:textAlignment w:val="center"/>
              <w:rPr>
                <w:rFonts w:hint="eastAsia" w:eastAsia="宋体"/>
                <w:sz w:val="13"/>
                <w:szCs w:val="13"/>
                <w:lang w:eastAsia="zh-CN"/>
              </w:rPr>
            </w:pPr>
            <w:r>
              <w:rPr>
                <w:rFonts w:hint="eastAsia"/>
                <w:sz w:val="13"/>
                <w:szCs w:val="13"/>
              </w:rPr>
              <w:t xml:space="preserve">    6、最后得分=综合考评总分X类别系数；</w:t>
            </w:r>
          </w:p>
          <w:p>
            <w:pPr>
              <w:widowControl/>
              <w:jc w:val="left"/>
              <w:textAlignment w:val="center"/>
              <w:rPr>
                <w:sz w:val="13"/>
                <w:szCs w:val="13"/>
              </w:rPr>
            </w:pPr>
            <w:r>
              <w:rPr>
                <w:rFonts w:hint="eastAsia"/>
                <w:sz w:val="13"/>
                <w:szCs w:val="13"/>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rPr>
            </w:pPr>
            <w:r>
              <w:rPr>
                <w:rFonts w:hint="eastAsia" w:ascii="仿宋_GB2312" w:hAnsi="仿宋_GB2312" w:eastAsia="仿宋_GB2312" w:cs="仿宋_GB2312"/>
                <w:color w:val="000000"/>
                <w:sz w:val="13"/>
                <w:szCs w:val="13"/>
              </w:rPr>
              <w:t>8、本处理标准出自《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2"/>
              <w:ind w:firstLine="1126"/>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2"/>
        <w:rPr>
          <w:rFonts w:ascii="仿宋_GB2312" w:eastAsia="仿宋_GB2312"/>
          <w:color w:val="auto"/>
          <w:sz w:val="28"/>
          <w:szCs w:val="28"/>
          <w:highlight w:val="none"/>
        </w:rPr>
      </w:pPr>
    </w:p>
    <w:p>
      <w:pPr>
        <w:pStyle w:val="4"/>
        <w:rPr>
          <w:color w:val="auto"/>
          <w:highlight w:val="none"/>
        </w:rPr>
      </w:pPr>
      <w:bookmarkStart w:id="86" w:name="_Toc1563"/>
      <w:bookmarkStart w:id="87" w:name="_Toc16552"/>
      <w:bookmarkStart w:id="88" w:name="_Toc6230"/>
      <w:bookmarkStart w:id="89" w:name="_Toc12169"/>
      <w:bookmarkStart w:id="90" w:name="_Toc21847"/>
      <w:bookmarkStart w:id="91" w:name="_Toc3723"/>
      <w:bookmarkStart w:id="92" w:name="_Toc5129"/>
      <w:bookmarkStart w:id="93" w:name="_Toc28358"/>
      <w:bookmarkStart w:id="94" w:name="_Toc8147"/>
      <w:bookmarkStart w:id="95" w:name="_Toc23515"/>
      <w:bookmarkStart w:id="96" w:name="_Toc30824"/>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6"/>
        <w:rPr>
          <w:color w:val="auto"/>
          <w:highlight w:val="none"/>
        </w:rPr>
      </w:pPr>
    </w:p>
    <w:p>
      <w:pPr>
        <w:pStyle w:val="4"/>
        <w:rPr>
          <w:color w:val="auto"/>
          <w:highlight w:val="none"/>
        </w:rPr>
      </w:pPr>
      <w:bookmarkStart w:id="97" w:name="_Toc12769"/>
      <w:bookmarkStart w:id="98" w:name="_Toc31564"/>
      <w:bookmarkStart w:id="99" w:name="_Toc12610"/>
      <w:bookmarkStart w:id="100" w:name="_Toc21675"/>
      <w:bookmarkStart w:id="101" w:name="_Toc30157"/>
      <w:bookmarkStart w:id="102" w:name="_Toc24490"/>
      <w:bookmarkStart w:id="103" w:name="_Toc5342"/>
      <w:bookmarkStart w:id="104" w:name="_Toc17119"/>
      <w:bookmarkStart w:id="105" w:name="_Toc87616388"/>
      <w:bookmarkStart w:id="106" w:name="_Toc24815"/>
      <w:bookmarkStart w:id="107" w:name="_Toc10840"/>
      <w:bookmarkStart w:id="108" w:name="_Toc22764"/>
      <w:bookmarkStart w:id="109" w:name="_Toc88209951"/>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3"/>
        <w:rPr>
          <w:rFonts w:hint="eastAsia"/>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7616390"/>
      <w:bookmarkStart w:id="113" w:name="_Toc88209953"/>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pPr>
    </w:p>
    <w:p>
      <w:pPr>
        <w:pStyle w:val="6"/>
        <w:rPr>
          <w:rFonts w:asciiTheme="minorEastAsia" w:hAnsiTheme="minorEastAsia" w:eastAsiaTheme="minorEastAsia"/>
          <w:color w:val="auto"/>
          <w:sz w:val="28"/>
          <w:szCs w:val="28"/>
          <w:highlight w:val="none"/>
        </w:rPr>
      </w:pPr>
      <w:bookmarkStart w:id="116" w:name="_Toc87616394"/>
      <w:bookmarkStart w:id="117" w:name="_Toc88209957"/>
      <w:bookmarkStart w:id="118" w:name="_Toc12665"/>
      <w:bookmarkStart w:id="119" w:name="_Toc28619645"/>
      <w:bookmarkStart w:id="120" w:name="_Toc6313"/>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1" w:name="_Toc87616395"/>
      <w:bookmarkStart w:id="122" w:name="_Toc22527"/>
      <w:bookmarkStart w:id="123" w:name="_Toc29833"/>
      <w:bookmarkStart w:id="124" w:name="_Toc88209958"/>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086"/>
      <w:bookmarkStart w:id="126" w:name="_Toc87616400"/>
      <w:bookmarkStart w:id="127" w:name="_Toc88209963"/>
      <w:bookmarkStart w:id="128"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rPr>
        <w:t>广州市净水有限公司2022年</w:t>
      </w:r>
      <w:r>
        <w:rPr>
          <w:rFonts w:hint="eastAsia" w:ascii="宋体" w:hAnsi="宋体" w:eastAsia="宋体" w:cs="宋体"/>
          <w:color w:val="auto"/>
          <w:kern w:val="2"/>
          <w:sz w:val="24"/>
          <w:szCs w:val="24"/>
          <w:highlight w:val="none"/>
          <w:u w:val="single"/>
          <w:lang w:val="en-GB" w:eastAsia="zh-CN"/>
        </w:rPr>
        <w:t>沥滘、大沙地、大观等分公司日常维护维修项目（房屋修缮类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2"/>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30" w:name="_Toc19423"/>
      <w:bookmarkStart w:id="131"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0"/>
      <w:bookmarkEnd w:id="131"/>
    </w:p>
    <w:tbl>
      <w:tblPr>
        <w:tblStyle w:val="24"/>
        <w:tblpPr w:leftFromText="180" w:rightFromText="180" w:vertAnchor="text" w:horzAnchor="page" w:tblpX="1578" w:tblpY="57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5434"/>
        <w:gridCol w:w="1622"/>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序号</w:t>
            </w:r>
          </w:p>
        </w:tc>
        <w:tc>
          <w:tcPr>
            <w:tcW w:w="2999" w:type="pct"/>
            <w:noWrap w:val="0"/>
            <w:vAlign w:val="center"/>
          </w:tcPr>
          <w:p>
            <w:pPr>
              <w:pStyle w:val="47"/>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项目名称</w:t>
            </w:r>
          </w:p>
        </w:tc>
        <w:tc>
          <w:tcPr>
            <w:tcW w:w="895" w:type="pct"/>
            <w:noWrap w:val="0"/>
            <w:vAlign w:val="center"/>
          </w:tcPr>
          <w:p>
            <w:pPr>
              <w:pStyle w:val="47"/>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项目总价（含税价/元）</w:t>
            </w:r>
          </w:p>
        </w:tc>
        <w:tc>
          <w:tcPr>
            <w:tcW w:w="823" w:type="pct"/>
            <w:noWrap w:val="0"/>
            <w:vAlign w:val="center"/>
          </w:tcPr>
          <w:p>
            <w:pPr>
              <w:pStyle w:val="47"/>
              <w:jc w:val="center"/>
              <w:rPr>
                <w:rFonts w:hint="eastAsia" w:ascii="宋体" w:hAnsi="宋体" w:eastAsia="宋体" w:cs="宋体"/>
                <w:b/>
                <w:bCs/>
                <w:color w:val="auto"/>
                <w:sz w:val="24"/>
                <w:szCs w:val="24"/>
              </w:rPr>
            </w:pPr>
            <w:r>
              <w:rPr>
                <w:rFonts w:hint="eastAsia" w:hAnsi="宋体" w:eastAsia="宋体" w:cs="宋体"/>
                <w:b/>
                <w:bCs/>
                <w:color w:val="auto"/>
                <w:sz w:val="24"/>
                <w:szCs w:val="24"/>
                <w:lang w:val="en-US" w:eastAsia="zh-CN"/>
              </w:rPr>
              <w:t>绿色安全措施费（元）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2"/>
                <w:szCs w:val="22"/>
              </w:rPr>
            </w:pPr>
            <w:r>
              <w:rPr>
                <w:rFonts w:ascii="宋体" w:hAnsi="宋体" w:eastAsia="宋体" w:cs="宋体"/>
                <w:i w:val="0"/>
                <w:iCs w:val="0"/>
                <w:color w:val="000000"/>
                <w:kern w:val="0"/>
                <w:sz w:val="22"/>
                <w:szCs w:val="22"/>
                <w:u w:val="none"/>
                <w:lang w:val="en-US" w:eastAsia="zh-CN" w:bidi="ar"/>
              </w:rPr>
              <w:t>沥滘分公司一二三期危废间等墙体修缮项目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沥滘分公司一二期提标生物滤池电房优化项目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沥滘分公司一二期提标深度提升泵房等地面优化项目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4</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沥滘分公司一期鼓风机房地面修缮项目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5</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大沙地分公司一期提标门、窗防汛挡板优化项目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6</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 xml:space="preserve">大沙地分公司二期排空池排空泵接线箱优化项目 </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7</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大观分公司2022年负二层无人区射灯加装项目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8</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大观分公司一期变压器房挡水板优化项目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9</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西朗二期分公司出水在线站房增加通风措施项目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10</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西朗二期分公司一期提标反冲洗废水池溢流排水管优化项目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11</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广州市净水有限公司京溪分公司硫酸铝加药口土建结构优化项目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47"/>
              <w:spacing w:line="360" w:lineRule="auto"/>
              <w:jc w:val="center"/>
              <w:outlineLvl w:val="1"/>
              <w:rPr>
                <w:rFonts w:hint="default"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12</w:t>
            </w:r>
          </w:p>
        </w:tc>
        <w:tc>
          <w:tcPr>
            <w:tcW w:w="543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ascii="宋体" w:hAnsi="宋体" w:eastAsia="宋体" w:cs="宋体"/>
                <w:i w:val="0"/>
                <w:iCs w:val="0"/>
                <w:color w:val="000000"/>
                <w:kern w:val="0"/>
                <w:sz w:val="22"/>
                <w:szCs w:val="22"/>
                <w:u w:val="none"/>
                <w:lang w:val="en-US" w:eastAsia="zh-CN" w:bidi="ar"/>
              </w:rPr>
              <w:t>大坦沙分公司一二期鼓风机房隔音优化项目</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noWrap w:val="0"/>
            <w:vAlign w:val="center"/>
          </w:tcPr>
          <w:p>
            <w:pPr>
              <w:pStyle w:val="12"/>
              <w:spacing w:line="360" w:lineRule="auto"/>
              <w:jc w:val="center"/>
              <w:outlineLvl w:val="1"/>
              <w:rPr>
                <w:rFonts w:hint="default" w:ascii="宋体" w:hAnsi="宋体" w:eastAsia="宋体" w:cs="宋体"/>
                <w:b/>
                <w:bCs/>
                <w:sz w:val="24"/>
                <w:szCs w:val="24"/>
                <w:lang w:val="en-US" w:eastAsia="zh-CN"/>
              </w:rPr>
            </w:pPr>
            <w:r>
              <w:rPr>
                <w:rFonts w:hint="eastAsia" w:hAnsi="宋体" w:eastAsia="宋体" w:cs="宋体"/>
                <w:b/>
                <w:bCs/>
                <w:sz w:val="24"/>
                <w:szCs w:val="24"/>
                <w:lang w:val="en-US" w:eastAsia="zh-CN"/>
              </w:rPr>
              <w:t>13</w:t>
            </w:r>
          </w:p>
        </w:tc>
        <w:tc>
          <w:tcPr>
            <w:tcW w:w="2999" w:type="pct"/>
            <w:noWrap w:val="0"/>
            <w:vAlign w:val="center"/>
          </w:tcPr>
          <w:p>
            <w:pPr>
              <w:pStyle w:val="12"/>
              <w:spacing w:line="360" w:lineRule="auto"/>
              <w:jc w:val="center"/>
              <w:outlineLvl w:val="1"/>
              <w:rPr>
                <w:rFonts w:hint="eastAsia" w:ascii="宋体" w:hAnsi="宋体" w:eastAsia="宋体" w:cs="宋体"/>
                <w:b/>
                <w:bCs/>
                <w:sz w:val="24"/>
                <w:szCs w:val="24"/>
              </w:rPr>
            </w:pPr>
            <w:r>
              <w:rPr>
                <w:rFonts w:hint="eastAsia" w:ascii="宋体" w:hAnsi="宋体" w:eastAsia="宋体" w:cs="宋体"/>
                <w:b/>
                <w:bCs/>
                <w:sz w:val="24"/>
                <w:szCs w:val="24"/>
              </w:rPr>
              <w:t>合计</w:t>
            </w:r>
          </w:p>
        </w:tc>
        <w:tc>
          <w:tcPr>
            <w:tcW w:w="895" w:type="pct"/>
            <w:noWrap w:val="0"/>
            <w:vAlign w:val="center"/>
          </w:tcPr>
          <w:p>
            <w:pPr>
              <w:pStyle w:val="47"/>
              <w:jc w:val="center"/>
              <w:rPr>
                <w:rFonts w:hint="eastAsia" w:ascii="宋体" w:hAnsi="宋体" w:eastAsia="宋体" w:cs="宋体"/>
                <w:color w:val="auto"/>
                <w:sz w:val="24"/>
                <w:szCs w:val="24"/>
              </w:rPr>
            </w:pPr>
          </w:p>
        </w:tc>
        <w:tc>
          <w:tcPr>
            <w:tcW w:w="823" w:type="pct"/>
            <w:noWrap w:val="0"/>
            <w:vAlign w:val="center"/>
          </w:tcPr>
          <w:p>
            <w:pPr>
              <w:pStyle w:val="47"/>
              <w:jc w:val="center"/>
              <w:rPr>
                <w:rFonts w:hint="eastAsia" w:ascii="宋体" w:hAnsi="宋体" w:eastAsia="宋体" w:cs="宋体"/>
                <w:color w:val="auto"/>
                <w:sz w:val="24"/>
                <w:szCs w:val="24"/>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highlight w:val="none"/>
        </w:rPr>
        <w:t>项目一：沥</w:t>
      </w:r>
      <w:r>
        <w:rPr>
          <w:rFonts w:hint="eastAsia" w:ascii="宋体" w:hAnsi="宋体" w:eastAsia="宋体" w:cs="宋体"/>
          <w:sz w:val="28"/>
          <w:szCs w:val="28"/>
          <w:highlight w:val="none"/>
        </w:rPr>
        <w:t>滘</w:t>
      </w:r>
      <w:r>
        <w:rPr>
          <w:rFonts w:hint="eastAsia" w:ascii="仿宋_GB2312" w:hAnsi="仿宋_GB2312" w:eastAsia="仿宋_GB2312" w:cs="仿宋_GB2312"/>
          <w:sz w:val="28"/>
          <w:szCs w:val="28"/>
          <w:highlight w:val="none"/>
        </w:rPr>
        <w:t>分公司一二三期危废间等墙体修缮项目</w:t>
      </w:r>
      <w:r>
        <w:rPr>
          <w:rFonts w:hint="eastAsia" w:ascii="仿宋_GB2312" w:eastAsia="仿宋_GB2312"/>
          <w:sz w:val="28"/>
          <w:szCs w:val="28"/>
          <w:highlight w:val="none"/>
        </w:rPr>
        <w:t xml:space="preserve">  </w:t>
      </w:r>
    </w:p>
    <w:tbl>
      <w:tblPr>
        <w:tblStyle w:val="23"/>
        <w:tblW w:w="0" w:type="auto"/>
        <w:tblInd w:w="93" w:type="dxa"/>
        <w:tblLayout w:type="autofit"/>
        <w:tblCellMar>
          <w:top w:w="0" w:type="dxa"/>
          <w:left w:w="108" w:type="dxa"/>
          <w:bottom w:w="0" w:type="dxa"/>
          <w:right w:w="108" w:type="dxa"/>
        </w:tblCellMar>
      </w:tblPr>
      <w:tblGrid>
        <w:gridCol w:w="658"/>
        <w:gridCol w:w="173"/>
        <w:gridCol w:w="173"/>
        <w:gridCol w:w="171"/>
        <w:gridCol w:w="251"/>
        <w:gridCol w:w="391"/>
        <w:gridCol w:w="360"/>
        <w:gridCol w:w="1527"/>
        <w:gridCol w:w="136"/>
        <w:gridCol w:w="216"/>
        <w:gridCol w:w="215"/>
        <w:gridCol w:w="369"/>
        <w:gridCol w:w="447"/>
        <w:gridCol w:w="304"/>
        <w:gridCol w:w="170"/>
        <w:gridCol w:w="168"/>
        <w:gridCol w:w="179"/>
        <w:gridCol w:w="367"/>
        <w:gridCol w:w="316"/>
        <w:gridCol w:w="383"/>
        <w:gridCol w:w="1993"/>
      </w:tblGrid>
      <w:tr>
        <w:tblPrEx>
          <w:tblCellMar>
            <w:top w:w="0" w:type="dxa"/>
            <w:left w:w="108" w:type="dxa"/>
            <w:bottom w:w="0" w:type="dxa"/>
            <w:right w:w="108" w:type="dxa"/>
          </w:tblCellMar>
        </w:tblPrEx>
        <w:trPr>
          <w:trHeight w:val="795" w:hRule="atLeast"/>
        </w:trPr>
        <w:tc>
          <w:tcPr>
            <w:tcW w:w="0" w:type="auto"/>
            <w:gridSpan w:val="21"/>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单位工程</w:t>
            </w:r>
            <w:r>
              <w:rPr>
                <w:rFonts w:hint="eastAsia" w:ascii="宋体" w:hAnsi="宋体" w:eastAsia="宋体" w:cs="宋体"/>
                <w:b/>
                <w:bCs/>
                <w:kern w:val="0"/>
                <w:sz w:val="40"/>
                <w:szCs w:val="40"/>
                <w:lang w:val="en-US" w:eastAsia="zh-CN"/>
              </w:rPr>
              <w:t>报价</w:t>
            </w:r>
            <w:r>
              <w:rPr>
                <w:rFonts w:hint="eastAsia" w:ascii="宋体" w:hAnsi="宋体" w:eastAsia="宋体" w:cs="宋体"/>
                <w:b/>
                <w:bCs/>
                <w:kern w:val="0"/>
                <w:sz w:val="40"/>
                <w:szCs w:val="40"/>
              </w:rPr>
              <w:t>汇总表</w:t>
            </w:r>
          </w:p>
        </w:tc>
      </w:tr>
      <w:tr>
        <w:tblPrEx>
          <w:tblCellMar>
            <w:top w:w="0" w:type="dxa"/>
            <w:left w:w="108" w:type="dxa"/>
            <w:bottom w:w="0" w:type="dxa"/>
            <w:right w:w="108" w:type="dxa"/>
          </w:tblCellMar>
        </w:tblPrEx>
        <w:trPr>
          <w:trHeight w:val="57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工程名称：沥滘分公司一二三期危废间等墙体修缮项目</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4"/>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375" w:hRule="atLeast"/>
        </w:trPr>
        <w:tc>
          <w:tcPr>
            <w:tcW w:w="0" w:type="auto"/>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5"/>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汇总内容</w:t>
            </w:r>
          </w:p>
        </w:tc>
        <w:tc>
          <w:tcPr>
            <w:tcW w:w="0" w:type="auto"/>
            <w:gridSpan w:val="9"/>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c>
          <w:tcPr>
            <w:tcW w:w="0" w:type="auto"/>
            <w:gridSpan w:val="4"/>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其中：暂估价(元)</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措施合计</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其他措施费</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其他项目</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暂列金额</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暂估价</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计日工</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总承包服务费</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预算包干费</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工程优质费</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概算幅度差</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索赔费用</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现场签证费用</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3.10</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税前工程造价</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总造价</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人工费</w:t>
            </w:r>
          </w:p>
        </w:tc>
        <w:tc>
          <w:tcPr>
            <w:tcW w:w="0" w:type="auto"/>
            <w:gridSpan w:val="9"/>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预算价合计=1+2+3+5</w:t>
            </w:r>
          </w:p>
        </w:tc>
        <w:tc>
          <w:tcPr>
            <w:tcW w:w="0" w:type="auto"/>
            <w:gridSpan w:val="9"/>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60" w:hRule="atLeast"/>
        </w:trPr>
        <w:tc>
          <w:tcPr>
            <w:tcW w:w="0" w:type="auto"/>
            <w:gridSpan w:val="21"/>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注：本表适用于单位工程招标控制价或投标报价的汇总，如无单位工程划分，单项工程也使用本表汇总</w:t>
            </w:r>
          </w:p>
        </w:tc>
      </w:tr>
      <w:tr>
        <w:tblPrEx>
          <w:tblCellMar>
            <w:top w:w="0" w:type="dxa"/>
            <w:left w:w="108" w:type="dxa"/>
            <w:bottom w:w="0" w:type="dxa"/>
            <w:right w:w="108" w:type="dxa"/>
          </w:tblCellMar>
        </w:tblPrEx>
        <w:trPr>
          <w:trHeight w:val="360" w:hRule="atLeast"/>
        </w:trPr>
        <w:tc>
          <w:tcPr>
            <w:tcW w:w="0" w:type="auto"/>
            <w:gridSpan w:val="8"/>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4"/>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表—04</w:t>
            </w:r>
          </w:p>
        </w:tc>
      </w:tr>
      <w:tr>
        <w:tblPrEx>
          <w:tblCellMar>
            <w:top w:w="0" w:type="dxa"/>
            <w:left w:w="108" w:type="dxa"/>
            <w:bottom w:w="0" w:type="dxa"/>
            <w:right w:w="108" w:type="dxa"/>
          </w:tblCellMar>
        </w:tblPrEx>
        <w:trPr>
          <w:trHeight w:val="795" w:hRule="atLeast"/>
        </w:trPr>
        <w:tc>
          <w:tcPr>
            <w:tcW w:w="0" w:type="auto"/>
            <w:gridSpan w:val="21"/>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工程名称：沥滘分公司一二三期危废间等墙体修缮项目</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4"/>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3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7"/>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整个项目</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铲除危废间飘台抹灰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1.拆除部位:危废间飘台天棚底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14.4</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危废间飘台刷腻子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14.4</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危废间飘台刷面油漆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2.部位:天棚</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14.4</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铲除危废间墙体抹灰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1.拆除部位:危废间墙体</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危废间墙体涂防水层</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1.防水膜品种:聚氨酯防水涂料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2.涂膜厚度:1.5mm</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危废间墙体一般抹灰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1.墙体类型:内立墙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2.底层厚度、砂浆配合比:15mm 1:2.5抹灰水泥砂浆</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危废间墙体刷腻子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危废间墙体刷面油漆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2.部位:内立墙</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铲除中水砂滤池抹灰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1.拆除部位:中水砂滤池天棚底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51</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中水砂滤池刷腻子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51</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中水砂滤池刷面油漆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2.部位:天棚</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51</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08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铲除三期粗格栅飘台抹灰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1.拆除部位:三期粗格栅飘台天棚底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三期粗格栅飘台刷腻子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三期粗格栅飘台刷面油漆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2.部位:天棚</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3"/>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1"/>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4"/>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1"/>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工程名称：沥滘分公司一二三期危废间等墙体修缮项目</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4"/>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2 页  共 3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7"/>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铲除3#楼梯口墙面抹灰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1.拆除部位:3#楼梯口立墙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3#楼梯口墙面涂防水层</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1.防水膜品种:聚氨酯防水涂料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2.涂膜厚度:1.5mm</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3#楼梯口墙面一般抹灰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1.墙体类型:内立墙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2.底层厚度、砂浆配合比:15mm 1:2.5抹灰水泥砂浆</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3#楼梯口刷腻子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3#楼梯口刷面油漆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2.部位:内立墙</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铲除4#楼梯口墙面抹灰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1.拆除部位:4#楼梯口立墙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31.5</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4#楼梯口墙面涂防水层</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1.防水膜品种:聚氨酯防水涂料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2.涂膜厚度:1.5mm</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31.5</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4#楼梯口墙面一般抹灰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1.墙体类型:内立墙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2.底层厚度、砂浆配合比:15mm 1:2.5抹灰水泥砂浆</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31.5</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4#楼梯口刷腻子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31.5</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4#楼梯口刷面油漆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2.部位:内立墙</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31.5</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铲除空调周围墙壁抹灰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1.拆除部位:空调周围墙壁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2.抹灰层种类:一般抹灰基层、面层</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空调周围墙壁涂防水层</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1.防水膜品种:聚氨酯防水涂料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2.涂膜厚度:1.5mm</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空调周围墙壁一般抹灰</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1.墙体类型:内立墙</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2.底层厚度、砂浆配合比:15mm 1:2.5抹灰水泥砂浆</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空调周围墙壁刷腻子</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1.腻子种类:腻子膏（耐水型）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2.刮腻子遍数:2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空调周围墙壁刷面油漆</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1.油漆品种、刷漆遍数:底漆2遍、面漆2遍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2.部位:内立墙</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3"/>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1"/>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4"/>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1"/>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工程名称：沥滘分公司一二三期危废间等墙体修缮项目</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4"/>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3 页  共 3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7"/>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措施项目</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单排钢脚手架</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高度约10米内</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54</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满堂脚手架</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综合高度约5.2m</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71.4</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7"/>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gridSpan w:val="3"/>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1"/>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4"/>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1"/>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总价措施项目清单与计价表</w:t>
            </w:r>
          </w:p>
        </w:tc>
      </w:tr>
      <w:tr>
        <w:tblPrEx>
          <w:tblCellMar>
            <w:top w:w="0" w:type="dxa"/>
            <w:left w:w="108" w:type="dxa"/>
            <w:bottom w:w="0" w:type="dxa"/>
            <w:right w:w="108" w:type="dxa"/>
          </w:tblCellMar>
        </w:tblPrEx>
        <w:trPr>
          <w:trHeight w:val="825"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工程名称：沥滘分公司一二三期危废间等墙体修缮项目</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4"/>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817" w:type="dxa"/>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(元)</w:t>
            </w:r>
          </w:p>
        </w:tc>
        <w:tc>
          <w:tcPr>
            <w:tcW w:w="821" w:type="dxa"/>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费率(%)</w:t>
            </w:r>
          </w:p>
        </w:tc>
        <w:tc>
          <w:tcPr>
            <w:tcW w:w="0" w:type="auto"/>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调整后</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金额(元)</w:t>
            </w:r>
          </w:p>
        </w:tc>
        <w:tc>
          <w:tcPr>
            <w:tcW w:w="0" w:type="auto"/>
            <w:gridSpan w:val="2"/>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备注</w:t>
            </w:r>
          </w:p>
        </w:tc>
      </w:tr>
      <w:tr>
        <w:tblPrEx>
          <w:tblCellMar>
            <w:top w:w="0" w:type="dxa"/>
            <w:left w:w="108" w:type="dxa"/>
            <w:bottom w:w="0" w:type="dxa"/>
            <w:right w:w="108" w:type="dxa"/>
          </w:tblCellMar>
        </w:tblPrEx>
        <w:trPr>
          <w:trHeight w:val="159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p>
        </w:tc>
        <w:tc>
          <w:tcPr>
            <w:tcW w:w="817" w:type="dxa"/>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highlight w:val="none"/>
              </w:rPr>
            </w:pPr>
            <w:r>
              <w:rPr>
                <w:rFonts w:hint="eastAsia" w:ascii="宋体" w:hAnsi="宋体" w:eastAsia="宋体" w:cs="宋体"/>
                <w:kern w:val="0"/>
                <w:sz w:val="20"/>
                <w:szCs w:val="20"/>
                <w:highlight w:val="none"/>
              </w:rPr>
              <w:t>931.27</w:t>
            </w:r>
          </w:p>
        </w:tc>
        <w:tc>
          <w:tcPr>
            <w:tcW w:w="821"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highlight w:val="none"/>
              </w:rPr>
            </w:pPr>
            <w:r>
              <w:rPr>
                <w:rFonts w:hint="eastAsia" w:ascii="宋体" w:hAnsi="宋体" w:eastAsia="宋体" w:cs="宋体"/>
                <w:kern w:val="0"/>
                <w:sz w:val="20"/>
                <w:szCs w:val="20"/>
                <w:highlight w:val="none"/>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highlight w:val="none"/>
              </w:rPr>
            </w:pP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highlight w:val="none"/>
              </w:rPr>
            </w:pPr>
          </w:p>
        </w:tc>
      </w:tr>
      <w:tr>
        <w:tblPrEx>
          <w:tblCellMar>
            <w:top w:w="0" w:type="dxa"/>
            <w:left w:w="108" w:type="dxa"/>
            <w:bottom w:w="0" w:type="dxa"/>
            <w:right w:w="108" w:type="dxa"/>
          </w:tblCellMar>
        </w:tblPrEx>
        <w:trPr>
          <w:trHeight w:val="235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文明工地增加费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817" w:type="dxa"/>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821"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以分部分项的人工费与施工机具费之和为计算基础，市级文明工地为0.6%；省级文明工地为1.2%</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夜间施工增加费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817" w:type="dxa"/>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821"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以夜间施工项目人工费的20%计算</w:t>
            </w:r>
          </w:p>
        </w:tc>
      </w:tr>
      <w:tr>
        <w:tblPrEx>
          <w:tblCellMar>
            <w:top w:w="0" w:type="dxa"/>
            <w:left w:w="108" w:type="dxa"/>
            <w:bottom w:w="0" w:type="dxa"/>
            <w:right w:w="108" w:type="dxa"/>
          </w:tblCellMar>
        </w:tblPrEx>
        <w:trPr>
          <w:trHeight w:val="286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赶工措施费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817" w:type="dxa"/>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821"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赶工措施费=（1-δ）*分部分项的（人工费+施工机具费）*0.3 （0.8≤δ＜1   式中：δ=合同工期/定额工期）</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821" w:type="dxa"/>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按经批准的专项施工组织方案计算</w:t>
            </w:r>
          </w:p>
        </w:tc>
      </w:tr>
      <w:tr>
        <w:tblPrEx>
          <w:tblCellMar>
            <w:top w:w="0" w:type="dxa"/>
            <w:left w:w="108" w:type="dxa"/>
            <w:bottom w:w="0" w:type="dxa"/>
            <w:right w:w="108" w:type="dxa"/>
          </w:tblCellMar>
        </w:tblPrEx>
        <w:trPr>
          <w:trHeight w:val="360" w:hRule="atLeast"/>
        </w:trPr>
        <w:tc>
          <w:tcPr>
            <w:tcW w:w="0" w:type="auto"/>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817" w:type="dxa"/>
            <w:gridSpan w:val="2"/>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p>
        </w:tc>
        <w:tc>
          <w:tcPr>
            <w:tcW w:w="821" w:type="dxa"/>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8" w:space="0"/>
              <w:right w:val="single" w:color="000000" w:sz="8"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1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编制人（造价人员）：</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复核人（造价工程师）：</w:t>
            </w:r>
          </w:p>
        </w:tc>
        <w:tc>
          <w:tcPr>
            <w:tcW w:w="0" w:type="auto"/>
            <w:gridSpan w:val="4"/>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6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4"/>
            <w:tcBorders>
              <w:top w:val="nil"/>
              <w:left w:val="nil"/>
              <w:bottom w:val="nil"/>
              <w:right w:val="nil"/>
            </w:tcBorders>
            <w:shd w:val="clear" w:color="FFFFFF" w:fill="FFFFFF"/>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表-11</w:t>
            </w:r>
          </w:p>
        </w:tc>
      </w:tr>
      <w:tr>
        <w:tblPrEx>
          <w:tblCellMar>
            <w:top w:w="0" w:type="dxa"/>
            <w:left w:w="108" w:type="dxa"/>
            <w:bottom w:w="0" w:type="dxa"/>
            <w:right w:w="108" w:type="dxa"/>
          </w:tblCellMar>
        </w:tblPrEx>
        <w:trPr>
          <w:trHeight w:val="795" w:hRule="atLeast"/>
        </w:trPr>
        <w:tc>
          <w:tcPr>
            <w:tcW w:w="0" w:type="auto"/>
            <w:gridSpan w:val="21"/>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规费、税金项目清单与计价表</w:t>
            </w:r>
          </w:p>
        </w:tc>
      </w:tr>
      <w:tr>
        <w:tblPrEx>
          <w:tblCellMar>
            <w:top w:w="0" w:type="dxa"/>
            <w:left w:w="108" w:type="dxa"/>
            <w:bottom w:w="0" w:type="dxa"/>
            <w:right w:w="108" w:type="dxa"/>
          </w:tblCellMar>
        </w:tblPrEx>
        <w:trPr>
          <w:trHeight w:val="570" w:hRule="atLeast"/>
        </w:trPr>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工程名称：沥滘分公司一二三期危废间等墙体修缮项目</w:t>
            </w:r>
          </w:p>
        </w:tc>
        <w:tc>
          <w:tcPr>
            <w:tcW w:w="0" w:type="auto"/>
            <w:gridSpan w:val="8"/>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5"/>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gridSpan w:val="5"/>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取费基数</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570" w:hRule="atLeast"/>
        </w:trPr>
        <w:tc>
          <w:tcPr>
            <w:tcW w:w="0" w:type="auto"/>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分部分项合计+措施合计+其他项目</w:t>
            </w:r>
          </w:p>
        </w:tc>
        <w:tc>
          <w:tcPr>
            <w:tcW w:w="0" w:type="auto"/>
            <w:gridSpan w:val="5"/>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9</w:t>
            </w:r>
          </w:p>
        </w:tc>
        <w:tc>
          <w:tcPr>
            <w:tcW w:w="0" w:type="auto"/>
            <w:gridSpan w:val="3"/>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8"/>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合    计</w:t>
            </w:r>
          </w:p>
        </w:tc>
        <w:tc>
          <w:tcPr>
            <w:tcW w:w="0" w:type="auto"/>
            <w:gridSpan w:val="3"/>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60" w:hRule="atLeast"/>
        </w:trPr>
        <w:tc>
          <w:tcPr>
            <w:tcW w:w="0" w:type="auto"/>
            <w:gridSpan w:val="8"/>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xml:space="preserve"> 编制人（造价人员）：</w:t>
            </w:r>
          </w:p>
        </w:tc>
        <w:tc>
          <w:tcPr>
            <w:tcW w:w="0" w:type="auto"/>
            <w:gridSpan w:val="13"/>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8"/>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8"/>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5"/>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表—13</w:t>
            </w:r>
          </w:p>
        </w:tc>
      </w:tr>
    </w:tbl>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项目二：沥</w:t>
      </w:r>
      <w:r>
        <w:rPr>
          <w:rFonts w:hint="eastAsia" w:ascii="宋体" w:hAnsi="宋体" w:eastAsia="宋体" w:cs="宋体"/>
          <w:sz w:val="28"/>
          <w:szCs w:val="28"/>
          <w:highlight w:val="none"/>
        </w:rPr>
        <w:t>滘</w:t>
      </w:r>
      <w:r>
        <w:rPr>
          <w:rFonts w:hint="eastAsia" w:ascii="仿宋_GB2312" w:hAnsi="仿宋_GB2312" w:eastAsia="仿宋_GB2312" w:cs="仿宋_GB2312"/>
          <w:sz w:val="28"/>
          <w:szCs w:val="28"/>
          <w:highlight w:val="none"/>
        </w:rPr>
        <w:t>分公司一二期提标生物滤池电房优化项目</w:t>
      </w:r>
      <w:r>
        <w:rPr>
          <w:rFonts w:hint="eastAsia" w:ascii="仿宋_GB2312" w:eastAsia="仿宋_GB2312"/>
          <w:sz w:val="28"/>
          <w:szCs w:val="28"/>
          <w:highlight w:val="none"/>
        </w:rPr>
        <w:t xml:space="preserve"> </w:t>
      </w:r>
    </w:p>
    <w:tbl>
      <w:tblPr>
        <w:tblStyle w:val="23"/>
        <w:tblW w:w="0" w:type="auto"/>
        <w:tblInd w:w="93" w:type="dxa"/>
        <w:tblLayout w:type="autofit"/>
        <w:tblCellMar>
          <w:top w:w="0" w:type="dxa"/>
          <w:left w:w="108" w:type="dxa"/>
          <w:bottom w:w="0" w:type="dxa"/>
          <w:right w:w="108" w:type="dxa"/>
        </w:tblCellMar>
      </w:tblPr>
      <w:tblGrid>
        <w:gridCol w:w="649"/>
        <w:gridCol w:w="164"/>
        <w:gridCol w:w="164"/>
        <w:gridCol w:w="164"/>
        <w:gridCol w:w="151"/>
        <w:gridCol w:w="303"/>
        <w:gridCol w:w="302"/>
        <w:gridCol w:w="1618"/>
        <w:gridCol w:w="264"/>
        <w:gridCol w:w="264"/>
        <w:gridCol w:w="944"/>
        <w:gridCol w:w="458"/>
        <w:gridCol w:w="458"/>
        <w:gridCol w:w="98"/>
        <w:gridCol w:w="98"/>
        <w:gridCol w:w="98"/>
        <w:gridCol w:w="126"/>
        <w:gridCol w:w="127"/>
        <w:gridCol w:w="210"/>
        <w:gridCol w:w="211"/>
        <w:gridCol w:w="315"/>
        <w:gridCol w:w="1781"/>
      </w:tblGrid>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单位工程</w:t>
            </w:r>
            <w:r>
              <w:rPr>
                <w:rFonts w:hint="eastAsia" w:ascii="宋体" w:hAnsi="宋体" w:eastAsia="宋体" w:cs="宋体"/>
                <w:b/>
                <w:bCs/>
                <w:kern w:val="0"/>
                <w:sz w:val="40"/>
                <w:szCs w:val="40"/>
                <w:lang w:val="en-US" w:eastAsia="zh-CN"/>
              </w:rPr>
              <w:t>报</w:t>
            </w:r>
            <w:r>
              <w:rPr>
                <w:rFonts w:hint="eastAsia" w:ascii="宋体" w:hAnsi="宋体" w:eastAsia="宋体" w:cs="宋体"/>
                <w:b/>
                <w:bCs/>
                <w:kern w:val="0"/>
                <w:sz w:val="40"/>
                <w:szCs w:val="40"/>
              </w:rPr>
              <w:t>价汇总表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工程名称：沥滘分公司一二期提标生物滤池电房优化项目</w:t>
            </w:r>
          </w:p>
        </w:tc>
        <w:tc>
          <w:tcPr>
            <w:tcW w:w="0" w:type="auto"/>
            <w:gridSpan w:val="3"/>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375" w:hRule="atLeast"/>
        </w:trPr>
        <w:tc>
          <w:tcPr>
            <w:tcW w:w="0" w:type="auto"/>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汇总内容</w:t>
            </w:r>
          </w:p>
        </w:tc>
        <w:tc>
          <w:tcPr>
            <w:tcW w:w="0" w:type="auto"/>
            <w:gridSpan w:val="8"/>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c>
          <w:tcPr>
            <w:tcW w:w="0" w:type="auto"/>
            <w:gridSpan w:val="5"/>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其中：暂估价(元)</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措施合计</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其他措施费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其他项目</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暂列金额</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暂估价</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计日工</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总承包服务费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预算包干费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工程优质费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概算幅度差</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索赔费用</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现场签证费用</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3.10</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税前工程造价</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总造价</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人工费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招标控制价合计=1+2+3+5</w:t>
            </w:r>
          </w:p>
        </w:tc>
        <w:tc>
          <w:tcPr>
            <w:tcW w:w="0" w:type="auto"/>
            <w:gridSpan w:val="8"/>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60" w:hRule="atLeast"/>
        </w:trPr>
        <w:tc>
          <w:tcPr>
            <w:tcW w:w="0" w:type="auto"/>
            <w:gridSpan w:val="22"/>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注：本表适用于单位工程招标控制价或投标报价的汇总，如无单位工程划分，单项工程也使用本表汇总</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3"/>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表—04</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工程名称：沥滘分公司一二期提标生物滤池电房优化项目</w:t>
            </w:r>
          </w:p>
        </w:tc>
        <w:tc>
          <w:tcPr>
            <w:tcW w:w="0" w:type="auto"/>
            <w:gridSpan w:val="4"/>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8"/>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9"/>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5"/>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整个项目</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08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雨棚制安</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1.雨棚制安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2.骨架类型:钢结构骨架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3.面层材料品种、规格:PC阳光板</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36</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84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钢支架</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1.不锈钢支架安装</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2.不锈钢管DN50*3，1.5m*5根</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3.不锈钢方钢70*40*3，1m*5根</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4.不锈钢板100*100*5/块，5块</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0.03697</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塑料管</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1.安装部位:室外</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2.材质、规格:PVC排水管DN100</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26</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8"/>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8"/>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gridSpan w:val="3"/>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2"/>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10"/>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4"/>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8"/>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总价措施项目清单与计价表</w:t>
            </w:r>
          </w:p>
        </w:tc>
      </w:tr>
      <w:tr>
        <w:tblPrEx>
          <w:tblCellMar>
            <w:top w:w="0" w:type="dxa"/>
            <w:left w:w="108" w:type="dxa"/>
            <w:bottom w:w="0" w:type="dxa"/>
            <w:right w:w="108" w:type="dxa"/>
          </w:tblCellMar>
        </w:tblPrEx>
        <w:trPr>
          <w:trHeight w:val="825"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工程名称：沥滘分公司一二期提标生物滤池电房优化项目</w:t>
            </w:r>
          </w:p>
        </w:tc>
        <w:tc>
          <w:tcPr>
            <w:tcW w:w="0" w:type="auto"/>
            <w:gridSpan w:val="5"/>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7"/>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(元)</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费率(%)</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调整后</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金额(元)</w:t>
            </w:r>
          </w:p>
        </w:tc>
        <w:tc>
          <w:tcPr>
            <w:tcW w:w="0" w:type="auto"/>
            <w:gridSpan w:val="2"/>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备注</w:t>
            </w:r>
          </w:p>
        </w:tc>
      </w:tr>
      <w:tr>
        <w:tblPrEx>
          <w:tblCellMar>
            <w:top w:w="0" w:type="dxa"/>
            <w:left w:w="108" w:type="dxa"/>
            <w:bottom w:w="0" w:type="dxa"/>
            <w:right w:w="108" w:type="dxa"/>
          </w:tblCellMar>
        </w:tblPrEx>
        <w:trPr>
          <w:trHeight w:val="159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p>
        </w:tc>
        <w:tc>
          <w:tcPr>
            <w:tcW w:w="0" w:type="auto"/>
            <w:gridSpan w:val="2"/>
            <w:tcBorders>
              <w:top w:val="single" w:color="000000" w:sz="4" w:space="0"/>
              <w:left w:val="nil"/>
              <w:bottom w:val="single" w:color="000000" w:sz="4" w:space="0"/>
              <w:right w:val="single" w:color="000000" w:sz="4" w:space="0"/>
            </w:tcBorders>
            <w:shd w:val="clear" w:color="FFFFFF"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shd w:val="clear"/>
              </w:rPr>
              <w:t>1035.21</w:t>
            </w:r>
          </w:p>
        </w:tc>
        <w:tc>
          <w:tcPr>
            <w:tcW w:w="0" w:type="auto"/>
            <w:gridSpan w:val="4"/>
            <w:tcBorders>
              <w:top w:val="single" w:color="000000" w:sz="4" w:space="0"/>
              <w:left w:val="nil"/>
              <w:bottom w:val="single" w:color="000000" w:sz="4" w:space="0"/>
              <w:right w:val="single" w:color="000000" w:sz="4" w:space="0"/>
            </w:tcBorders>
            <w:shd w:val="clear" w:color="FFFFFF"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auto"/>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8" w:space="0"/>
            </w:tcBorders>
            <w:shd w:val="clear" w:color="FFFFFF" w:fill="auto"/>
            <w:vAlign w:val="center"/>
          </w:tcPr>
          <w:p>
            <w:pPr>
              <w:widowControl/>
              <w:jc w:val="center"/>
              <w:rPr>
                <w:rFonts w:ascii="宋体" w:hAnsi="宋体" w:eastAsia="宋体" w:cs="宋体"/>
                <w:kern w:val="0"/>
                <w:sz w:val="20"/>
                <w:szCs w:val="20"/>
              </w:rPr>
            </w:pPr>
          </w:p>
        </w:tc>
      </w:tr>
      <w:tr>
        <w:tblPrEx>
          <w:tblCellMar>
            <w:top w:w="0" w:type="dxa"/>
            <w:left w:w="108" w:type="dxa"/>
            <w:bottom w:w="0" w:type="dxa"/>
            <w:right w:w="108" w:type="dxa"/>
          </w:tblCellMar>
        </w:tblPrEx>
        <w:trPr>
          <w:trHeight w:val="235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文明工地增加费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以分部分项的人工费与施工机具费之和为计算基础，市级文明工地为1.20%；省级文明工地为2.10%</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夜间施工增加费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以夜间施工项目人工费的20%计算</w:t>
            </w:r>
          </w:p>
        </w:tc>
      </w:tr>
      <w:tr>
        <w:tblPrEx>
          <w:tblCellMar>
            <w:top w:w="0" w:type="dxa"/>
            <w:left w:w="108" w:type="dxa"/>
            <w:bottom w:w="0" w:type="dxa"/>
            <w:right w:w="108" w:type="dxa"/>
          </w:tblCellMar>
        </w:tblPrEx>
        <w:trPr>
          <w:trHeight w:val="286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赶工措施费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赶工措施费=（1-δ）*分部分项的（人工费+施工机具费）*0.3 （0.8≤δ＜1   式中：δ=合同工期/定额工期）</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按经批准的专项施工组织方案计算</w:t>
            </w:r>
          </w:p>
        </w:tc>
      </w:tr>
      <w:tr>
        <w:tblPrEx>
          <w:tblCellMar>
            <w:top w:w="0" w:type="dxa"/>
            <w:left w:w="108" w:type="dxa"/>
            <w:bottom w:w="0" w:type="dxa"/>
            <w:right w:w="108" w:type="dxa"/>
          </w:tblCellMar>
        </w:tblPrEx>
        <w:trPr>
          <w:trHeight w:val="360" w:hRule="atLeast"/>
        </w:trPr>
        <w:tc>
          <w:tcPr>
            <w:tcW w:w="0" w:type="auto"/>
            <w:gridSpan w:val="10"/>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gridSpan w:val="2"/>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8" w:space="0"/>
              <w:right w:val="single" w:color="000000" w:sz="8"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编制人（造价人员）：</w:t>
            </w:r>
          </w:p>
        </w:tc>
        <w:tc>
          <w:tcPr>
            <w:tcW w:w="0" w:type="auto"/>
            <w:gridSpan w:val="12"/>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5"/>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7"/>
            <w:tcBorders>
              <w:top w:val="nil"/>
              <w:left w:val="nil"/>
              <w:bottom w:val="nil"/>
              <w:right w:val="nil"/>
            </w:tcBorders>
            <w:shd w:val="clear" w:color="FFFFFF" w:fill="FFFFFF"/>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表-11</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规费、税金项目清单与计价表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工程名称：沥滘分公司一二期提标生物滤池电房优化项目</w:t>
            </w:r>
          </w:p>
        </w:tc>
        <w:tc>
          <w:tcPr>
            <w:tcW w:w="0" w:type="auto"/>
            <w:gridSpan w:val="3"/>
            <w:tcBorders>
              <w:top w:val="nil"/>
              <w:left w:val="nil"/>
              <w:bottom w:val="nil"/>
              <w:right w:val="nil"/>
            </w:tcBorders>
            <w:shd w:val="clear" w:color="FFFFFF" w:fill="FFFFFF"/>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计算基数</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570" w:hRule="atLeast"/>
        </w:trPr>
        <w:tc>
          <w:tcPr>
            <w:tcW w:w="0" w:type="auto"/>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分部分项合计+措施合计+其他项目</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9</w:t>
            </w:r>
          </w:p>
        </w:tc>
        <w:tc>
          <w:tcPr>
            <w:tcW w:w="0" w:type="auto"/>
            <w:gridSpan w:val="3"/>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合    计</w:t>
            </w:r>
          </w:p>
        </w:tc>
        <w:tc>
          <w:tcPr>
            <w:tcW w:w="0" w:type="auto"/>
            <w:gridSpan w:val="3"/>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xml:space="preserve"> 编制人（造价人员）：</w:t>
            </w:r>
          </w:p>
        </w:tc>
        <w:tc>
          <w:tcPr>
            <w:tcW w:w="0" w:type="auto"/>
            <w:gridSpan w:val="12"/>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3"/>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表—13</w:t>
            </w:r>
          </w:p>
        </w:tc>
      </w:tr>
    </w:tbl>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项目三：沥</w:t>
      </w:r>
      <w:r>
        <w:rPr>
          <w:rFonts w:hint="eastAsia" w:ascii="宋体" w:hAnsi="宋体" w:eastAsia="宋体" w:cs="宋体"/>
          <w:sz w:val="28"/>
          <w:szCs w:val="28"/>
          <w:highlight w:val="none"/>
        </w:rPr>
        <w:t>滘</w:t>
      </w:r>
      <w:r>
        <w:rPr>
          <w:rFonts w:hint="eastAsia" w:ascii="仿宋_GB2312" w:hAnsi="仿宋_GB2312" w:eastAsia="仿宋_GB2312" w:cs="仿宋_GB2312"/>
          <w:sz w:val="28"/>
          <w:szCs w:val="28"/>
          <w:highlight w:val="none"/>
        </w:rPr>
        <w:t>分公司一二期提标深度提升泵房等地面优化项目</w:t>
      </w:r>
    </w:p>
    <w:tbl>
      <w:tblPr>
        <w:tblStyle w:val="23"/>
        <w:tblW w:w="0" w:type="auto"/>
        <w:tblInd w:w="93" w:type="dxa"/>
        <w:tblLayout w:type="autofit"/>
        <w:tblCellMar>
          <w:top w:w="0" w:type="dxa"/>
          <w:left w:w="108" w:type="dxa"/>
          <w:bottom w:w="0" w:type="dxa"/>
          <w:right w:w="108" w:type="dxa"/>
        </w:tblCellMar>
      </w:tblPr>
      <w:tblGrid>
        <w:gridCol w:w="655"/>
        <w:gridCol w:w="162"/>
        <w:gridCol w:w="162"/>
        <w:gridCol w:w="162"/>
        <w:gridCol w:w="121"/>
        <w:gridCol w:w="428"/>
        <w:gridCol w:w="406"/>
        <w:gridCol w:w="1516"/>
        <w:gridCol w:w="264"/>
        <w:gridCol w:w="264"/>
        <w:gridCol w:w="939"/>
        <w:gridCol w:w="458"/>
        <w:gridCol w:w="458"/>
        <w:gridCol w:w="97"/>
        <w:gridCol w:w="97"/>
        <w:gridCol w:w="97"/>
        <w:gridCol w:w="125"/>
        <w:gridCol w:w="126"/>
        <w:gridCol w:w="209"/>
        <w:gridCol w:w="210"/>
        <w:gridCol w:w="305"/>
        <w:gridCol w:w="1706"/>
      </w:tblGrid>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单位工程</w:t>
            </w:r>
            <w:r>
              <w:rPr>
                <w:rFonts w:hint="eastAsia" w:ascii="宋体" w:hAnsi="宋体" w:eastAsia="宋体" w:cs="宋体"/>
                <w:b/>
                <w:bCs/>
                <w:kern w:val="0"/>
                <w:sz w:val="40"/>
                <w:szCs w:val="40"/>
                <w:lang w:val="en-US" w:eastAsia="zh-CN"/>
              </w:rPr>
              <w:t>报</w:t>
            </w:r>
            <w:r>
              <w:rPr>
                <w:rFonts w:hint="eastAsia" w:ascii="宋体" w:hAnsi="宋体" w:eastAsia="宋体" w:cs="宋体"/>
                <w:b/>
                <w:bCs/>
                <w:kern w:val="0"/>
                <w:sz w:val="40"/>
                <w:szCs w:val="40"/>
              </w:rPr>
              <w:t>价汇总表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工程名称：沥滘分公司一二期提标深度提升泵房等地面优化项目</w:t>
            </w:r>
          </w:p>
        </w:tc>
        <w:tc>
          <w:tcPr>
            <w:tcW w:w="0" w:type="auto"/>
            <w:gridSpan w:val="3"/>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375" w:hRule="atLeast"/>
        </w:trPr>
        <w:tc>
          <w:tcPr>
            <w:tcW w:w="0" w:type="auto"/>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汇总内容</w:t>
            </w:r>
          </w:p>
        </w:tc>
        <w:tc>
          <w:tcPr>
            <w:tcW w:w="0" w:type="auto"/>
            <w:gridSpan w:val="8"/>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c>
          <w:tcPr>
            <w:tcW w:w="0" w:type="auto"/>
            <w:gridSpan w:val="5"/>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其中：暂估价(元)</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一期鼓风机房地面优化</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深度提升泵房地面优化</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PLC控制房地面优化</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措施合计</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其他措施费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其他项目</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暂列金额</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暂估价</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计日工</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总承包服务费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预算包干费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工程优质费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概算幅度差</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索赔费用</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现场签证费用</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3.10</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税前工程造价</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总造价</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人工费</w:t>
            </w:r>
          </w:p>
        </w:tc>
        <w:tc>
          <w:tcPr>
            <w:tcW w:w="0" w:type="auto"/>
            <w:gridSpan w:val="8"/>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招标控制价合计=1+2+3+5</w:t>
            </w:r>
          </w:p>
        </w:tc>
        <w:tc>
          <w:tcPr>
            <w:tcW w:w="0" w:type="auto"/>
            <w:gridSpan w:val="8"/>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22"/>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注：本表适用于单位工程招标控制价或投标报价的汇总，如无单位工程划分，单项工程也使用本表汇总</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3"/>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表—04</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工程名称：沥滘分公司一二期提标深度提升泵房等地面优化项目</w:t>
            </w:r>
          </w:p>
        </w:tc>
        <w:tc>
          <w:tcPr>
            <w:tcW w:w="0" w:type="auto"/>
            <w:gridSpan w:val="4"/>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8"/>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2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9"/>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5"/>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一期鼓风机房地面优化</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混凝土构件拆除</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1.构件名称:拆除原有混凝土</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2.拆除构件的厚度或规格尺寸:20cm</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1.4257</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平面砂浆找平层</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1.地面找平</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14.31</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垫层</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1.垫层材料种类、配合比、厚度:碎砖</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1.431</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现浇构件钢筋</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1.钢筋种类、规格:圆钢Φ16</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0.15073</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现浇构件钢筋</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1.钢筋种类、规格:圆钢Φ12</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0.08392</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08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水泥混凝土</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1.混凝土强度等级:C30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2.工作内容:模板制作、安拆、浇筑、捣固、抹光、拉毛或刻防滑纹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14.31</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深度提升泵房地面优化</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人工拆除沥青混凝土铺装层 厚5cm</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1.人工拆除原有沥青路面</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8.4</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混凝土构件拆除</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1.构件名称:拆除原有混凝土</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0.462</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平面砂浆找平层</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1.地面找平</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9.87</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垫层</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1.垫层材料种类、配合比、厚度:碎砖</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0.4935</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现浇构件钢筋</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1.钢筋种类、规格:圆钢Φ16</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0.11945</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现浇构件钢筋</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1.钢筋种类、规格:圆钢Φ12</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0.06216</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08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水泥混凝土</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1.混凝土强度等级:C30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2.工作内容:模板制作、安拆、浇筑、捣固、抹光、拉毛或刻防滑纹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8.4</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08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水泥混凝土</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1.混凝土强度等级:C30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2.工作内容:模板制作、安拆、浇筑、捣固、抹光、拉毛或刻防滑纹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1.47</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8"/>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3"/>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2"/>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10"/>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4"/>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8"/>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工程名称：沥滘分公司一二期提标深度提升泵房等地面优化项目</w:t>
            </w:r>
          </w:p>
        </w:tc>
        <w:tc>
          <w:tcPr>
            <w:tcW w:w="0" w:type="auto"/>
            <w:gridSpan w:val="4"/>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8"/>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2 页  共 2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9"/>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5"/>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3"/>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PLC控制房地面优化</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混凝土构件拆除</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1.构件名称:拆除原有混凝土</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2.1375</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平面砂浆找平层</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1.地面找平</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9.5</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垫层</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1.垫层材料种类、配合比、厚度:碎砖</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2.185</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现浇构件钢筋</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1.钢筋种类、规格:圆钢Φ16，两层</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0.2844</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现浇构件钢筋</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1.钢筋种类、规格:圆钢Φ12 两层</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t</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0.1181</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08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水泥混凝土</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1.混凝土强度等级:C30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2.工作内容:模板制作、安拆、浇筑、捣固、抹光、拉毛或刻防滑纹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2.1375</w:t>
            </w:r>
          </w:p>
        </w:tc>
        <w:tc>
          <w:tcPr>
            <w:tcW w:w="0" w:type="auto"/>
            <w:gridSpan w:val="5"/>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8"/>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8"/>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gridSpan w:val="3"/>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2"/>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10"/>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4"/>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8"/>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总价措施项目清单与计价表</w:t>
            </w:r>
          </w:p>
        </w:tc>
      </w:tr>
      <w:tr>
        <w:tblPrEx>
          <w:tblCellMar>
            <w:top w:w="0" w:type="dxa"/>
            <w:left w:w="108" w:type="dxa"/>
            <w:bottom w:w="0" w:type="dxa"/>
            <w:right w:w="108" w:type="dxa"/>
          </w:tblCellMar>
        </w:tblPrEx>
        <w:trPr>
          <w:trHeight w:val="825"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工程名称：沥滘分公司一二期提标深度提升泵房等地面优化项目</w:t>
            </w:r>
          </w:p>
        </w:tc>
        <w:tc>
          <w:tcPr>
            <w:tcW w:w="0" w:type="auto"/>
            <w:gridSpan w:val="5"/>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7"/>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gridSpan w:val="2"/>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(元)</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费率(%)</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调整后</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金额(元)</w:t>
            </w:r>
          </w:p>
        </w:tc>
        <w:tc>
          <w:tcPr>
            <w:tcW w:w="0" w:type="auto"/>
            <w:gridSpan w:val="2"/>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备注</w:t>
            </w:r>
          </w:p>
        </w:tc>
      </w:tr>
      <w:tr>
        <w:tblPrEx>
          <w:tblCellMar>
            <w:top w:w="0" w:type="dxa"/>
            <w:left w:w="108" w:type="dxa"/>
            <w:bottom w:w="0" w:type="dxa"/>
            <w:right w:w="108" w:type="dxa"/>
          </w:tblCellMar>
        </w:tblPrEx>
        <w:trPr>
          <w:trHeight w:val="159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19</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shd w:val="clear"/>
              </w:rPr>
              <w:t>924.07</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p>
        </w:tc>
      </w:tr>
      <w:tr>
        <w:tblPrEx>
          <w:tblCellMar>
            <w:top w:w="0" w:type="dxa"/>
            <w:left w:w="108" w:type="dxa"/>
            <w:bottom w:w="0" w:type="dxa"/>
            <w:right w:w="108" w:type="dxa"/>
          </w:tblCellMar>
        </w:tblPrEx>
        <w:trPr>
          <w:trHeight w:val="235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文明工地增加费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以分部分项的人工费与施工机具费之和为计算基础，市级文明工地为1.20%；省级文明工地为2.10%</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夜间施工增加费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以夜间施工项目人工费的20%计算</w:t>
            </w:r>
          </w:p>
        </w:tc>
      </w:tr>
      <w:tr>
        <w:tblPrEx>
          <w:tblCellMar>
            <w:top w:w="0" w:type="dxa"/>
            <w:left w:w="108" w:type="dxa"/>
            <w:bottom w:w="0" w:type="dxa"/>
            <w:right w:w="108" w:type="dxa"/>
          </w:tblCellMar>
        </w:tblPrEx>
        <w:trPr>
          <w:trHeight w:val="286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赶工措施费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赶工措施费=（1-δ）*分部分项的（人工费+施工机具费）*0.3 （0.8≤δ＜1   式中：δ=合同工期/定额工期）</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按经批准的专项施工组织方案计算</w:t>
            </w:r>
          </w:p>
        </w:tc>
      </w:tr>
      <w:tr>
        <w:tblPrEx>
          <w:tblCellMar>
            <w:top w:w="0" w:type="dxa"/>
            <w:left w:w="108" w:type="dxa"/>
            <w:bottom w:w="0" w:type="dxa"/>
            <w:right w:w="108" w:type="dxa"/>
          </w:tblCellMar>
        </w:tblPrEx>
        <w:trPr>
          <w:trHeight w:val="360" w:hRule="atLeast"/>
        </w:trPr>
        <w:tc>
          <w:tcPr>
            <w:tcW w:w="0" w:type="auto"/>
            <w:gridSpan w:val="10"/>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gridSpan w:val="2"/>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8" w:space="0"/>
              <w:right w:val="single" w:color="000000" w:sz="8"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编制人（造价人员）：</w:t>
            </w:r>
          </w:p>
        </w:tc>
        <w:tc>
          <w:tcPr>
            <w:tcW w:w="0" w:type="auto"/>
            <w:gridSpan w:val="12"/>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5"/>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7"/>
            <w:tcBorders>
              <w:top w:val="nil"/>
              <w:left w:val="nil"/>
              <w:bottom w:val="nil"/>
              <w:right w:val="nil"/>
            </w:tcBorders>
            <w:shd w:val="clear" w:color="FFFFFF" w:fill="FFFFFF"/>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表-11</w:t>
            </w:r>
          </w:p>
        </w:tc>
      </w:tr>
      <w:tr>
        <w:tblPrEx>
          <w:tblCellMar>
            <w:top w:w="0" w:type="dxa"/>
            <w:left w:w="108" w:type="dxa"/>
            <w:bottom w:w="0" w:type="dxa"/>
            <w:right w:w="108" w:type="dxa"/>
          </w:tblCellMar>
        </w:tblPrEx>
        <w:trPr>
          <w:trHeight w:val="795" w:hRule="atLeast"/>
        </w:trPr>
        <w:tc>
          <w:tcPr>
            <w:tcW w:w="0" w:type="auto"/>
            <w:gridSpan w:val="22"/>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规费、税金项目清单与计价表</w:t>
            </w:r>
          </w:p>
        </w:tc>
      </w:tr>
      <w:tr>
        <w:tblPrEx>
          <w:tblCellMar>
            <w:top w:w="0" w:type="dxa"/>
            <w:left w:w="108" w:type="dxa"/>
            <w:bottom w:w="0" w:type="dxa"/>
            <w:right w:w="108" w:type="dxa"/>
          </w:tblCellMar>
        </w:tblPrEx>
        <w:trPr>
          <w:trHeight w:val="570" w:hRule="atLeast"/>
        </w:trPr>
        <w:tc>
          <w:tcPr>
            <w:tcW w:w="0" w:type="auto"/>
            <w:gridSpan w:val="10"/>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工程名称：沥滘分公司一二期提标深度提升泵房等地面优化项目</w:t>
            </w:r>
          </w:p>
        </w:tc>
        <w:tc>
          <w:tcPr>
            <w:tcW w:w="0" w:type="auto"/>
            <w:gridSpan w:val="3"/>
            <w:tcBorders>
              <w:top w:val="nil"/>
              <w:left w:val="nil"/>
              <w:bottom w:val="nil"/>
              <w:right w:val="nil"/>
            </w:tcBorders>
            <w:shd w:val="clear" w:color="FFFFFF" w:fill="FFFFFF"/>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计算基数</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gridSpan w:val="3"/>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570" w:hRule="atLeast"/>
        </w:trPr>
        <w:tc>
          <w:tcPr>
            <w:tcW w:w="0" w:type="auto"/>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分部分项合计+措施合计+其他项目</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9</w:t>
            </w:r>
          </w:p>
        </w:tc>
        <w:tc>
          <w:tcPr>
            <w:tcW w:w="0" w:type="auto"/>
            <w:gridSpan w:val="3"/>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合    计</w:t>
            </w:r>
          </w:p>
        </w:tc>
        <w:tc>
          <w:tcPr>
            <w:tcW w:w="0" w:type="auto"/>
            <w:gridSpan w:val="3"/>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xml:space="preserve"> 编制人（造价人员）：</w:t>
            </w:r>
          </w:p>
        </w:tc>
        <w:tc>
          <w:tcPr>
            <w:tcW w:w="0" w:type="auto"/>
            <w:gridSpan w:val="12"/>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10"/>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3"/>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9"/>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表—13</w:t>
            </w:r>
          </w:p>
        </w:tc>
      </w:tr>
    </w:tbl>
    <w:p>
      <w:pPr>
        <w:adjustRightInd w:val="0"/>
        <w:snapToGrid w:val="0"/>
        <w:spacing w:line="600" w:lineRule="exact"/>
        <w:jc w:val="left"/>
        <w:rPr>
          <w:rFonts w:ascii="仿宋_GB2312" w:eastAsia="仿宋_GB2312"/>
          <w:sz w:val="28"/>
          <w:szCs w:val="28"/>
        </w:rPr>
      </w:pPr>
    </w:p>
    <w:p>
      <w:pPr>
        <w:pStyle w:val="47"/>
        <w:rPr>
          <w:rFonts w:hAnsi="宋体"/>
          <w:b/>
          <w:bCs/>
          <w:szCs w:val="21"/>
          <w:highlight w:val="none"/>
        </w:rPr>
      </w:pPr>
      <w:r>
        <w:rPr>
          <w:rFonts w:hint="eastAsia" w:ascii="仿宋_GB2312"/>
          <w:sz w:val="28"/>
          <w:szCs w:val="28"/>
          <w:highlight w:val="none"/>
        </w:rPr>
        <w:t>项目四：沥</w:t>
      </w:r>
      <w:r>
        <w:rPr>
          <w:rFonts w:hint="eastAsia" w:hAnsi="宋体" w:eastAsia="宋体"/>
          <w:sz w:val="28"/>
          <w:szCs w:val="28"/>
          <w:highlight w:val="none"/>
        </w:rPr>
        <w:t>滘</w:t>
      </w:r>
      <w:r>
        <w:rPr>
          <w:rFonts w:hint="eastAsia" w:ascii="仿宋_GB2312" w:hAnsi="仿宋_GB2312" w:cs="仿宋_GB2312"/>
          <w:sz w:val="28"/>
          <w:szCs w:val="28"/>
          <w:highlight w:val="none"/>
        </w:rPr>
        <w:t>分公司一期鼓风机房地面修缮项目</w:t>
      </w:r>
    </w:p>
    <w:tbl>
      <w:tblPr>
        <w:tblStyle w:val="23"/>
        <w:tblW w:w="0" w:type="auto"/>
        <w:tblInd w:w="93" w:type="dxa"/>
        <w:tblLayout w:type="autofit"/>
        <w:tblCellMar>
          <w:top w:w="0" w:type="dxa"/>
          <w:left w:w="108" w:type="dxa"/>
          <w:bottom w:w="0" w:type="dxa"/>
          <w:right w:w="108" w:type="dxa"/>
        </w:tblCellMar>
      </w:tblPr>
      <w:tblGrid>
        <w:gridCol w:w="624"/>
        <w:gridCol w:w="179"/>
        <w:gridCol w:w="179"/>
        <w:gridCol w:w="179"/>
        <w:gridCol w:w="157"/>
        <w:gridCol w:w="373"/>
        <w:gridCol w:w="372"/>
        <w:gridCol w:w="1008"/>
        <w:gridCol w:w="546"/>
        <w:gridCol w:w="936"/>
        <w:gridCol w:w="595"/>
        <w:gridCol w:w="89"/>
        <w:gridCol w:w="89"/>
        <w:gridCol w:w="89"/>
        <w:gridCol w:w="115"/>
        <w:gridCol w:w="115"/>
        <w:gridCol w:w="119"/>
        <w:gridCol w:w="347"/>
        <w:gridCol w:w="611"/>
        <w:gridCol w:w="2245"/>
      </w:tblGrid>
      <w:tr>
        <w:tblPrEx>
          <w:tblCellMar>
            <w:top w:w="0" w:type="dxa"/>
            <w:left w:w="108" w:type="dxa"/>
            <w:bottom w:w="0" w:type="dxa"/>
            <w:right w:w="108" w:type="dxa"/>
          </w:tblCellMar>
        </w:tblPrEx>
        <w:trPr>
          <w:trHeight w:val="795" w:hRule="atLeast"/>
        </w:trPr>
        <w:tc>
          <w:tcPr>
            <w:tcW w:w="0" w:type="auto"/>
            <w:gridSpan w:val="20"/>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单位工程</w:t>
            </w:r>
            <w:r>
              <w:rPr>
                <w:rFonts w:hint="eastAsia" w:ascii="宋体" w:hAnsi="宋体" w:eastAsia="宋体" w:cs="宋体"/>
                <w:b/>
                <w:bCs/>
                <w:kern w:val="0"/>
                <w:sz w:val="40"/>
                <w:szCs w:val="40"/>
                <w:lang w:val="en-US" w:eastAsia="zh-CN"/>
              </w:rPr>
              <w:t>报</w:t>
            </w:r>
            <w:r>
              <w:rPr>
                <w:rFonts w:hint="eastAsia" w:ascii="宋体" w:hAnsi="宋体" w:eastAsia="宋体" w:cs="宋体"/>
                <w:b/>
                <w:bCs/>
                <w:kern w:val="0"/>
                <w:sz w:val="40"/>
                <w:szCs w:val="40"/>
              </w:rPr>
              <w:t>价汇总表</w:t>
            </w:r>
          </w:p>
        </w:tc>
      </w:tr>
      <w:tr>
        <w:tblPrEx>
          <w:tblCellMar>
            <w:top w:w="0" w:type="dxa"/>
            <w:left w:w="108" w:type="dxa"/>
            <w:bottom w:w="0" w:type="dxa"/>
            <w:right w:w="108" w:type="dxa"/>
          </w:tblCellMar>
        </w:tblPrEx>
        <w:trPr>
          <w:trHeight w:val="570" w:hRule="atLeast"/>
        </w:trPr>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工程名称：沥滘分公司一期鼓风机房地面修缮项目</w:t>
            </w:r>
          </w:p>
        </w:tc>
        <w:tc>
          <w:tcPr>
            <w:tcW w:w="0" w:type="auto"/>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10"/>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375" w:hRule="atLeast"/>
        </w:trPr>
        <w:tc>
          <w:tcPr>
            <w:tcW w:w="0" w:type="auto"/>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汇总内容</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c>
          <w:tcPr>
            <w:tcW w:w="0" w:type="auto"/>
            <w:gridSpan w:val="5"/>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其中：暂估价(元)</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措施合计</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其他措施费</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其他项目</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暂列金额</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暂估价</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计日工</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总承包服务费</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预算包干费</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工程优质费</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概算幅度差</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索赔费用</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现场签证费用</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3.10</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税前工程造价</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总造价</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3"/>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0" w:type="auto"/>
            <w:gridSpan w:val="6"/>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人工费</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招标控制价合计=1+2+3+5</w:t>
            </w:r>
          </w:p>
        </w:tc>
        <w:tc>
          <w:tcPr>
            <w:tcW w:w="0" w:type="auto"/>
            <w:gridSpan w:val="6"/>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5"/>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20"/>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注：本表适用于单位工程招标控制价或投标报价的汇总，如无单位工程划分，单项工程也使用本表汇总</w:t>
            </w:r>
          </w:p>
        </w:tc>
      </w:tr>
      <w:tr>
        <w:tblPrEx>
          <w:tblCellMar>
            <w:top w:w="0" w:type="dxa"/>
            <w:left w:w="108" w:type="dxa"/>
            <w:bottom w:w="0" w:type="dxa"/>
            <w:right w:w="108" w:type="dxa"/>
          </w:tblCellMar>
        </w:tblPrEx>
        <w:trPr>
          <w:trHeight w:val="360" w:hRule="atLeast"/>
        </w:trPr>
        <w:tc>
          <w:tcPr>
            <w:tcW w:w="0" w:type="auto"/>
            <w:gridSpan w:val="9"/>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10"/>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表—04</w:t>
            </w:r>
          </w:p>
        </w:tc>
      </w:tr>
      <w:tr>
        <w:tblPrEx>
          <w:tblCellMar>
            <w:top w:w="0" w:type="dxa"/>
            <w:left w:w="108" w:type="dxa"/>
            <w:bottom w:w="0" w:type="dxa"/>
            <w:right w:w="108" w:type="dxa"/>
          </w:tblCellMar>
        </w:tblPrEx>
        <w:trPr>
          <w:trHeight w:val="795" w:hRule="atLeast"/>
        </w:trPr>
        <w:tc>
          <w:tcPr>
            <w:tcW w:w="0" w:type="auto"/>
            <w:gridSpan w:val="20"/>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570" w:hRule="atLeast"/>
        </w:trPr>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工程名称：沥滘分公司一期鼓风机房地面修缮项目</w:t>
            </w:r>
          </w:p>
        </w:tc>
        <w:tc>
          <w:tcPr>
            <w:tcW w:w="0" w:type="auto"/>
            <w:gridSpan w:val="3"/>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8"/>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工程量</w:t>
            </w:r>
          </w:p>
        </w:tc>
        <w:tc>
          <w:tcPr>
            <w:tcW w:w="0" w:type="auto"/>
            <w:gridSpan w:val="9"/>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综合单价</w:t>
            </w:r>
          </w:p>
        </w:tc>
        <w:tc>
          <w:tcPr>
            <w:tcW w:w="0" w:type="auto"/>
            <w:gridSpan w:val="2"/>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综合合价</w:t>
            </w: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其中</w:t>
            </w:r>
          </w:p>
        </w:tc>
      </w:tr>
      <w:tr>
        <w:tblPrEx>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6"/>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kern w:val="0"/>
                <w:sz w:val="20"/>
                <w:szCs w:val="20"/>
              </w:rPr>
            </w:pPr>
          </w:p>
        </w:tc>
        <w:tc>
          <w:tcPr>
            <w:tcW w:w="0" w:type="auto"/>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暂估价</w:t>
            </w:r>
          </w:p>
        </w:tc>
      </w:tr>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整个项目</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平面块料拆除</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1.地面原有瓷砖拆除 厚5mm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2.废料外运20km</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126</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铲除油漆面</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1.地面原有地坪漆铲除</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44</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57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防腐砂浆面层</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1.对打磨好的混凝土面挂涂环氧砂浆3mm厚</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200</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133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防腐涂料</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1.在做好的环氧砂浆面层涂刷地坪漆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2.环氧底漆1遍；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3.环氧中间漆2遍；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4.环氧面漆1遍</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200</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7"/>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本页小计</w:t>
            </w:r>
          </w:p>
        </w:tc>
        <w:tc>
          <w:tcPr>
            <w:tcW w:w="0" w:type="auto"/>
            <w:gridSpan w:val="2"/>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gridSpan w:val="2"/>
            <w:tcBorders>
              <w:top w:val="nil"/>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45" w:hRule="atLeast"/>
        </w:trPr>
        <w:tc>
          <w:tcPr>
            <w:tcW w:w="0" w:type="auto"/>
            <w:gridSpan w:val="20"/>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注：为计取规费等的使用，可在表中增设其中：“定额人工费”。</w:t>
            </w:r>
          </w:p>
        </w:tc>
      </w:tr>
      <w:tr>
        <w:tblPrEx>
          <w:tblCellMar>
            <w:top w:w="0" w:type="dxa"/>
            <w:left w:w="108" w:type="dxa"/>
            <w:bottom w:w="0" w:type="dxa"/>
            <w:right w:w="108" w:type="dxa"/>
          </w:tblCellMar>
        </w:tblPrEx>
        <w:trPr>
          <w:trHeight w:val="345" w:hRule="atLeast"/>
        </w:trPr>
        <w:tc>
          <w:tcPr>
            <w:tcW w:w="0" w:type="auto"/>
            <w:gridSpan w:val="9"/>
            <w:tcBorders>
              <w:top w:val="nil"/>
              <w:left w:val="nil"/>
              <w:bottom w:val="nil"/>
              <w:right w:val="nil"/>
            </w:tcBorders>
            <w:shd w:val="clear" w:color="FFFFFF" w:fill="FFFFFF"/>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3"/>
            <w:tcBorders>
              <w:top w:val="nil"/>
              <w:left w:val="nil"/>
              <w:bottom w:val="nil"/>
              <w:right w:val="nil"/>
            </w:tcBorders>
            <w:shd w:val="clear" w:color="FFFFFF" w:fill="FFFFFF"/>
          </w:tcPr>
          <w:p>
            <w:pPr>
              <w:widowControl/>
              <w:jc w:val="left"/>
              <w:rPr>
                <w:rFonts w:ascii="宋体" w:hAnsi="宋体" w:eastAsia="宋体" w:cs="宋体"/>
                <w:kern w:val="0"/>
                <w:sz w:val="18"/>
                <w:szCs w:val="18"/>
                <w:u w:val="single"/>
              </w:rPr>
            </w:pPr>
            <w:r>
              <w:rPr>
                <w:rFonts w:hint="eastAsia" w:ascii="宋体" w:hAnsi="宋体" w:eastAsia="宋体" w:cs="宋体"/>
                <w:kern w:val="0"/>
                <w:sz w:val="18"/>
                <w:szCs w:val="18"/>
                <w:u w:val="single"/>
              </w:rPr>
              <w:t>　</w:t>
            </w:r>
          </w:p>
        </w:tc>
        <w:tc>
          <w:tcPr>
            <w:tcW w:w="0" w:type="auto"/>
            <w:gridSpan w:val="8"/>
            <w:tcBorders>
              <w:top w:val="nil"/>
              <w:left w:val="nil"/>
              <w:bottom w:val="nil"/>
              <w:right w:val="nil"/>
            </w:tcBorders>
            <w:shd w:val="clear" w:color="FFFFFF" w:fill="FFFFFF"/>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表—08</w:t>
            </w:r>
          </w:p>
        </w:tc>
      </w:tr>
      <w:tr>
        <w:tblPrEx>
          <w:tblCellMar>
            <w:top w:w="0" w:type="dxa"/>
            <w:left w:w="108" w:type="dxa"/>
            <w:bottom w:w="0" w:type="dxa"/>
            <w:right w:w="108" w:type="dxa"/>
          </w:tblCellMar>
        </w:tblPrEx>
        <w:trPr>
          <w:trHeight w:val="795" w:hRule="atLeast"/>
        </w:trPr>
        <w:tc>
          <w:tcPr>
            <w:tcW w:w="0" w:type="auto"/>
            <w:gridSpan w:val="20"/>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总价措施项目清单与计价表</w:t>
            </w:r>
          </w:p>
        </w:tc>
      </w:tr>
      <w:tr>
        <w:tblPrEx>
          <w:tblCellMar>
            <w:top w:w="0" w:type="dxa"/>
            <w:left w:w="108" w:type="dxa"/>
            <w:bottom w:w="0" w:type="dxa"/>
            <w:right w:w="108" w:type="dxa"/>
          </w:tblCellMar>
        </w:tblPrEx>
        <w:trPr>
          <w:trHeight w:val="825" w:hRule="atLeast"/>
        </w:trPr>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工程名称：沥滘分公司一期鼓风机房地面修缮项目</w:t>
            </w:r>
          </w:p>
        </w:tc>
        <w:tc>
          <w:tcPr>
            <w:tcW w:w="0" w:type="auto"/>
            <w:gridSpan w:val="4"/>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7"/>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项目编码</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(元)</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费率(%)</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调整后</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金额(元)</w:t>
            </w:r>
          </w:p>
        </w:tc>
        <w:tc>
          <w:tcPr>
            <w:tcW w:w="0" w:type="auto"/>
            <w:gridSpan w:val="2"/>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备注</w:t>
            </w:r>
          </w:p>
        </w:tc>
      </w:tr>
      <w:tr>
        <w:tblPrEx>
          <w:tblCellMar>
            <w:top w:w="0" w:type="dxa"/>
            <w:left w:w="108" w:type="dxa"/>
            <w:bottom w:w="0" w:type="dxa"/>
            <w:right w:w="108" w:type="dxa"/>
          </w:tblCellMar>
        </w:tblPrEx>
        <w:trPr>
          <w:trHeight w:val="1590"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绿色施工安全防护措施费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p>
        </w:tc>
        <w:tc>
          <w:tcPr>
            <w:tcW w:w="0" w:type="auto"/>
            <w:tcBorders>
              <w:top w:val="single" w:color="000000" w:sz="4" w:space="0"/>
              <w:left w:val="nil"/>
              <w:bottom w:val="single" w:color="000000" w:sz="4" w:space="0"/>
              <w:right w:val="single" w:color="000000" w:sz="4" w:space="0"/>
            </w:tcBorders>
            <w:shd w:val="clear" w:color="FFFFFF" w:fill="auto"/>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shd w:val="clear"/>
              </w:rPr>
              <w:t>3559.77</w:t>
            </w:r>
          </w:p>
        </w:tc>
        <w:tc>
          <w:tcPr>
            <w:tcW w:w="0" w:type="auto"/>
            <w:gridSpan w:val="4"/>
            <w:tcBorders>
              <w:top w:val="single" w:color="000000" w:sz="4" w:space="0"/>
              <w:left w:val="nil"/>
              <w:bottom w:val="single" w:color="000000" w:sz="4" w:space="0"/>
              <w:right w:val="single" w:color="000000" w:sz="4" w:space="0"/>
            </w:tcBorders>
            <w:shd w:val="clear" w:color="FFFFFF"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p>
        </w:tc>
      </w:tr>
      <w:tr>
        <w:tblPrEx>
          <w:tblCellMar>
            <w:top w:w="0" w:type="dxa"/>
            <w:left w:w="108" w:type="dxa"/>
            <w:bottom w:w="0" w:type="dxa"/>
            <w:right w:w="108" w:type="dxa"/>
          </w:tblCellMar>
        </w:tblPrEx>
        <w:trPr>
          <w:trHeight w:val="235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文明工地增加费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w:t>
            </w:r>
          </w:p>
        </w:tc>
        <w:tc>
          <w:tcPr>
            <w:tcW w:w="0" w:type="auto"/>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以分部分项的人工费与施工机具费之和为计算基础，市级文明工地为1.20%；省级文明工地为2.10%</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夜间施工增加费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20</w:t>
            </w:r>
          </w:p>
        </w:tc>
        <w:tc>
          <w:tcPr>
            <w:tcW w:w="0" w:type="auto"/>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以夜间施工项目人工费的20%计算</w:t>
            </w:r>
          </w:p>
        </w:tc>
      </w:tr>
      <w:tr>
        <w:tblPrEx>
          <w:tblCellMar>
            <w:top w:w="0" w:type="dxa"/>
            <w:left w:w="108" w:type="dxa"/>
            <w:bottom w:w="0" w:type="dxa"/>
            <w:right w:w="108" w:type="dxa"/>
          </w:tblCellMar>
        </w:tblPrEx>
        <w:trPr>
          <w:trHeight w:val="286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赶工措施费</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分部分项人工费+分部分项机具费</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0</w:t>
            </w:r>
          </w:p>
        </w:tc>
        <w:tc>
          <w:tcPr>
            <w:tcW w:w="0" w:type="auto"/>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赶工措施费=（1-δ）*分部分项的（人工费+施工机具费）*0.3 （0.8≤δ＜1   式中：δ=合同工期/定额工期）</w:t>
            </w:r>
          </w:p>
        </w:tc>
      </w:tr>
      <w:tr>
        <w:tblPrEx>
          <w:tblCellMar>
            <w:top w:w="0" w:type="dxa"/>
            <w:left w:w="108" w:type="dxa"/>
            <w:bottom w:w="0" w:type="dxa"/>
            <w:right w:w="108" w:type="dxa"/>
          </w:tblCellMar>
        </w:tblPrEx>
        <w:trPr>
          <w:trHeight w:val="825" w:hRule="atLeast"/>
        </w:trPr>
        <w:tc>
          <w:tcPr>
            <w:tcW w:w="0" w:type="auto"/>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p>
        </w:tc>
        <w:tc>
          <w:tcPr>
            <w:tcW w:w="0" w:type="auto"/>
            <w:gridSpan w:val="3"/>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其他费用</w:t>
            </w:r>
          </w:p>
        </w:tc>
        <w:tc>
          <w:tcPr>
            <w:tcW w:w="0" w:type="auto"/>
            <w:tcBorders>
              <w:top w:val="nil"/>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按经批准的专项施工组织方案计算</w:t>
            </w:r>
          </w:p>
        </w:tc>
      </w:tr>
      <w:tr>
        <w:tblPrEx>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合    计</w:t>
            </w:r>
          </w:p>
        </w:tc>
        <w:tc>
          <w:tcPr>
            <w:tcW w:w="0" w:type="auto"/>
            <w:tcBorders>
              <w:top w:val="single" w:color="000000" w:sz="4" w:space="0"/>
              <w:left w:val="nil"/>
              <w:bottom w:val="single" w:color="000000" w:sz="8"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single" w:color="000000" w:sz="4" w:space="0"/>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4"/>
            <w:tcBorders>
              <w:top w:val="nil"/>
              <w:left w:val="nil"/>
              <w:bottom w:val="single" w:color="000000" w:sz="8"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2"/>
            <w:tcBorders>
              <w:top w:val="nil"/>
              <w:left w:val="nil"/>
              <w:bottom w:val="single" w:color="000000" w:sz="8" w:space="0"/>
              <w:right w:val="single" w:color="000000" w:sz="8"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编制人（造价人员）：</w:t>
            </w:r>
          </w:p>
        </w:tc>
        <w:tc>
          <w:tcPr>
            <w:tcW w:w="0" w:type="auto"/>
            <w:gridSpan w:val="11"/>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4"/>
            <w:tcBorders>
              <w:top w:val="nil"/>
              <w:left w:val="nil"/>
              <w:bottom w:val="nil"/>
              <w:right w:val="nil"/>
            </w:tcBorders>
            <w:shd w:val="clear" w:color="FFFFFF" w:fill="FFFFFF"/>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7"/>
            <w:tcBorders>
              <w:top w:val="nil"/>
              <w:left w:val="nil"/>
              <w:bottom w:val="nil"/>
              <w:right w:val="nil"/>
            </w:tcBorders>
            <w:shd w:val="clear" w:color="FFFFFF" w:fill="FFFFFF"/>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表-11</w:t>
            </w:r>
          </w:p>
        </w:tc>
      </w:tr>
      <w:tr>
        <w:tblPrEx>
          <w:tblCellMar>
            <w:top w:w="0" w:type="dxa"/>
            <w:left w:w="108" w:type="dxa"/>
            <w:bottom w:w="0" w:type="dxa"/>
            <w:right w:w="108" w:type="dxa"/>
          </w:tblCellMar>
        </w:tblPrEx>
        <w:trPr>
          <w:trHeight w:val="795" w:hRule="atLeast"/>
        </w:trPr>
        <w:tc>
          <w:tcPr>
            <w:tcW w:w="0" w:type="auto"/>
            <w:gridSpan w:val="20"/>
            <w:tcBorders>
              <w:top w:val="nil"/>
              <w:left w:val="nil"/>
              <w:bottom w:val="nil"/>
              <w:right w:val="nil"/>
            </w:tcBorders>
            <w:shd w:val="clear" w:color="FFFFFF" w:fill="FFFFFF"/>
            <w:vAlign w:val="center"/>
          </w:tcPr>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规费、税金项目清单与计价表</w:t>
            </w:r>
          </w:p>
        </w:tc>
      </w:tr>
      <w:tr>
        <w:tblPrEx>
          <w:tblCellMar>
            <w:top w:w="0" w:type="dxa"/>
            <w:left w:w="108" w:type="dxa"/>
            <w:bottom w:w="0" w:type="dxa"/>
            <w:right w:w="108" w:type="dxa"/>
          </w:tblCellMar>
        </w:tblPrEx>
        <w:trPr>
          <w:trHeight w:val="570" w:hRule="atLeast"/>
        </w:trPr>
        <w:tc>
          <w:tcPr>
            <w:tcW w:w="0" w:type="auto"/>
            <w:gridSpan w:val="9"/>
            <w:tcBorders>
              <w:top w:val="nil"/>
              <w:left w:val="nil"/>
              <w:bottom w:val="nil"/>
              <w:right w:val="nil"/>
            </w:tcBorders>
            <w:shd w:val="clear" w:color="FFFFFF" w:fill="FFFFFF"/>
            <w:vAlign w:val="bottom"/>
          </w:tcPr>
          <w:p>
            <w:pPr>
              <w:widowControl/>
              <w:jc w:val="left"/>
              <w:rPr>
                <w:rFonts w:ascii="宋体" w:hAnsi="宋体" w:eastAsia="宋体" w:cs="宋体"/>
                <w:kern w:val="0"/>
                <w:sz w:val="20"/>
                <w:szCs w:val="20"/>
              </w:rPr>
            </w:pPr>
            <w:r>
              <w:rPr>
                <w:rFonts w:hint="eastAsia" w:ascii="宋体" w:hAnsi="宋体" w:eastAsia="宋体" w:cs="宋体"/>
                <w:kern w:val="0"/>
                <w:sz w:val="20"/>
                <w:szCs w:val="20"/>
              </w:rPr>
              <w:t>工程名称：沥滘分公司一期鼓风机房地面修缮项目</w:t>
            </w:r>
          </w:p>
        </w:tc>
        <w:tc>
          <w:tcPr>
            <w:tcW w:w="0" w:type="auto"/>
            <w:tcBorders>
              <w:top w:val="nil"/>
              <w:left w:val="nil"/>
              <w:bottom w:val="nil"/>
              <w:right w:val="nil"/>
            </w:tcBorders>
            <w:shd w:val="clear" w:color="FFFFFF" w:fill="FFFFFF"/>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标段：</w:t>
            </w:r>
          </w:p>
        </w:tc>
        <w:tc>
          <w:tcPr>
            <w:tcW w:w="0" w:type="auto"/>
            <w:gridSpan w:val="10"/>
            <w:tcBorders>
              <w:top w:val="nil"/>
              <w:left w:val="nil"/>
              <w:bottom w:val="nil"/>
              <w:right w:val="nil"/>
            </w:tcBorders>
            <w:shd w:val="clear" w:color="FFFFFF" w:fill="FFFFFF"/>
            <w:vAlign w:val="bottom"/>
          </w:tcPr>
          <w:p>
            <w:pPr>
              <w:widowControl/>
              <w:jc w:val="right"/>
              <w:rPr>
                <w:rFonts w:ascii="宋体" w:hAnsi="宋体" w:eastAsia="宋体" w:cs="宋体"/>
                <w:kern w:val="0"/>
                <w:sz w:val="20"/>
                <w:szCs w:val="20"/>
              </w:rPr>
            </w:pPr>
            <w:r>
              <w:rPr>
                <w:rFonts w:hint="eastAsia" w:ascii="宋体" w:hAnsi="宋体" w:eastAsia="宋体" w:cs="宋体"/>
                <w:kern w:val="0"/>
                <w:sz w:val="20"/>
                <w:szCs w:val="20"/>
              </w:rPr>
              <w:t>第 1 页  共 1 页</w:t>
            </w:r>
          </w:p>
        </w:tc>
      </w:tr>
      <w:tr>
        <w:tblPrEx>
          <w:tblCellMar>
            <w:top w:w="0" w:type="dxa"/>
            <w:left w:w="108" w:type="dxa"/>
            <w:bottom w:w="0" w:type="dxa"/>
            <w:right w:w="108" w:type="dxa"/>
          </w:tblCellMar>
        </w:tblPrEx>
        <w:trPr>
          <w:trHeight w:val="570" w:hRule="atLeast"/>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0" w:type="auto"/>
            <w:gridSpan w:val="4"/>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项目名称</w:t>
            </w:r>
          </w:p>
        </w:tc>
        <w:tc>
          <w:tcPr>
            <w:tcW w:w="0" w:type="auto"/>
            <w:gridSpan w:val="3"/>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计算基础</w:t>
            </w:r>
          </w:p>
        </w:tc>
        <w:tc>
          <w:tcPr>
            <w:tcW w:w="0" w:type="auto"/>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计算基数</w:t>
            </w:r>
          </w:p>
        </w:tc>
        <w:tc>
          <w:tcPr>
            <w:tcW w:w="0" w:type="auto"/>
            <w:gridSpan w:val="6"/>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计算费率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w:t>
            </w:r>
          </w:p>
        </w:tc>
        <w:tc>
          <w:tcPr>
            <w:tcW w:w="0" w:type="auto"/>
            <w:gridSpan w:val="4"/>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金额(元)</w:t>
            </w:r>
          </w:p>
        </w:tc>
      </w:tr>
      <w:tr>
        <w:tblPrEx>
          <w:tblCellMar>
            <w:top w:w="0" w:type="dxa"/>
            <w:left w:w="108" w:type="dxa"/>
            <w:bottom w:w="0" w:type="dxa"/>
            <w:right w:w="108" w:type="dxa"/>
          </w:tblCellMar>
        </w:tblPrEx>
        <w:trPr>
          <w:trHeight w:val="570" w:hRule="atLeast"/>
        </w:trPr>
        <w:tc>
          <w:tcPr>
            <w:tcW w:w="0" w:type="auto"/>
            <w:gridSpan w:val="2"/>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0" w:type="auto"/>
            <w:gridSpan w:val="4"/>
            <w:tcBorders>
              <w:top w:val="nil"/>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增值税销项税额</w:t>
            </w:r>
          </w:p>
        </w:tc>
        <w:tc>
          <w:tcPr>
            <w:tcW w:w="0" w:type="auto"/>
            <w:gridSpan w:val="3"/>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分部分项合计+措施合计+其他项目</w:t>
            </w:r>
          </w:p>
        </w:tc>
        <w:tc>
          <w:tcPr>
            <w:tcW w:w="0" w:type="auto"/>
            <w:tcBorders>
              <w:top w:val="nil"/>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c>
          <w:tcPr>
            <w:tcW w:w="0" w:type="auto"/>
            <w:gridSpan w:val="6"/>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9</w:t>
            </w:r>
          </w:p>
        </w:tc>
        <w:tc>
          <w:tcPr>
            <w:tcW w:w="0" w:type="auto"/>
            <w:gridSpan w:val="4"/>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trHeight w:val="360" w:hRule="atLeast"/>
        </w:trPr>
        <w:tc>
          <w:tcPr>
            <w:tcW w:w="0" w:type="auto"/>
            <w:gridSpan w:val="16"/>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合    计</w:t>
            </w:r>
          </w:p>
        </w:tc>
        <w:tc>
          <w:tcPr>
            <w:tcW w:w="0" w:type="auto"/>
            <w:gridSpan w:val="4"/>
            <w:tcBorders>
              <w:top w:val="nil"/>
              <w:left w:val="nil"/>
              <w:bottom w:val="single" w:color="000000" w:sz="8" w:space="0"/>
              <w:right w:val="single" w:color="000000" w:sz="8" w:space="0"/>
            </w:tcBorders>
            <w:shd w:val="clear" w:color="FFFFFF" w:fill="FFFFFF"/>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60" w:hRule="atLeast"/>
        </w:trPr>
        <w:tc>
          <w:tcPr>
            <w:tcW w:w="0" w:type="auto"/>
            <w:gridSpan w:val="9"/>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xml:space="preserve"> 编制人（造价人员）：</w:t>
            </w:r>
          </w:p>
        </w:tc>
        <w:tc>
          <w:tcPr>
            <w:tcW w:w="0" w:type="auto"/>
            <w:gridSpan w:val="11"/>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复核人（造价工程师）：</w:t>
            </w:r>
          </w:p>
        </w:tc>
      </w:tr>
      <w:tr>
        <w:tblPrEx>
          <w:tblCellMar>
            <w:top w:w="0" w:type="dxa"/>
            <w:left w:w="108" w:type="dxa"/>
            <w:bottom w:w="0" w:type="dxa"/>
            <w:right w:w="108" w:type="dxa"/>
          </w:tblCellMar>
        </w:tblPrEx>
        <w:trPr>
          <w:trHeight w:val="360" w:hRule="atLeast"/>
        </w:trPr>
        <w:tc>
          <w:tcPr>
            <w:tcW w:w="0" w:type="auto"/>
            <w:gridSpan w:val="9"/>
            <w:tcBorders>
              <w:top w:val="nil"/>
              <w:left w:val="nil"/>
              <w:bottom w:val="nil"/>
              <w:right w:val="nil"/>
            </w:tcBorders>
            <w:shd w:val="clear" w:color="FFFFFF"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tcBorders>
              <w:top w:val="nil"/>
              <w:left w:val="nil"/>
              <w:bottom w:val="nil"/>
              <w:right w:val="nil"/>
            </w:tcBorders>
            <w:shd w:val="clear" w:color="FFFFFF"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0" w:type="auto"/>
            <w:gridSpan w:val="10"/>
            <w:tcBorders>
              <w:top w:val="nil"/>
              <w:left w:val="nil"/>
              <w:bottom w:val="nil"/>
              <w:right w:val="nil"/>
            </w:tcBorders>
            <w:shd w:val="clear" w:color="FFFFFF" w:fill="FFFFFF"/>
            <w:vAlign w:val="bottom"/>
          </w:tcPr>
          <w:p>
            <w:pPr>
              <w:widowControl/>
              <w:jc w:val="right"/>
              <w:rPr>
                <w:rFonts w:ascii="宋体" w:hAnsi="宋体" w:eastAsia="宋体" w:cs="宋体"/>
                <w:kern w:val="0"/>
                <w:sz w:val="18"/>
                <w:szCs w:val="18"/>
              </w:rPr>
            </w:pPr>
            <w:r>
              <w:rPr>
                <w:rFonts w:hint="eastAsia" w:ascii="宋体" w:hAnsi="宋体" w:eastAsia="宋体" w:cs="宋体"/>
                <w:kern w:val="0"/>
                <w:sz w:val="18"/>
                <w:szCs w:val="18"/>
              </w:rPr>
              <w:t>表—13</w:t>
            </w:r>
          </w:p>
        </w:tc>
      </w:tr>
    </w:tbl>
    <w:p>
      <w:pPr>
        <w:pStyle w:val="47"/>
        <w:rPr>
          <w:rFonts w:ascii="仿宋_GB2312" w:hAnsiTheme="minorHAnsi" w:cstheme="minorBidi"/>
          <w:color w:val="auto"/>
          <w:kern w:val="2"/>
          <w:sz w:val="28"/>
          <w:szCs w:val="28"/>
        </w:rPr>
      </w:pPr>
    </w:p>
    <w:p>
      <w:pPr>
        <w:pStyle w:val="3"/>
        <w:rPr>
          <w:rFonts w:hint="eastAsia" w:ascii="仿宋" w:hAnsi="仿宋" w:eastAsia="仿宋" w:cs="仿宋_GB2312"/>
          <w:b/>
          <w:sz w:val="28"/>
          <w:szCs w:val="28"/>
          <w:lang w:eastAsia="zh-CN"/>
        </w:rPr>
      </w:pPr>
      <w:r>
        <w:rPr>
          <w:rFonts w:hint="eastAsia" w:ascii="仿宋" w:hAnsi="仿宋" w:eastAsia="仿宋" w:cs="仿宋_GB2312"/>
          <w:b/>
          <w:sz w:val="28"/>
          <w:szCs w:val="28"/>
        </w:rPr>
        <w:t>项目</w:t>
      </w:r>
      <w:r>
        <w:rPr>
          <w:rFonts w:hint="eastAsia" w:ascii="仿宋" w:hAnsi="仿宋" w:eastAsia="仿宋" w:cs="仿宋_GB2312"/>
          <w:b/>
          <w:sz w:val="28"/>
          <w:szCs w:val="28"/>
          <w:lang w:val="en-US" w:eastAsia="zh-CN"/>
        </w:rPr>
        <w:t>五</w:t>
      </w:r>
      <w:r>
        <w:rPr>
          <w:rFonts w:hint="eastAsia" w:ascii="仿宋" w:hAnsi="仿宋" w:eastAsia="仿宋" w:cs="仿宋_GB2312"/>
          <w:b/>
          <w:sz w:val="28"/>
          <w:szCs w:val="28"/>
        </w:rPr>
        <w:t>：</w:t>
      </w:r>
      <w:r>
        <w:rPr>
          <w:rFonts w:hint="eastAsia" w:ascii="仿宋" w:hAnsi="仿宋" w:eastAsia="仿宋" w:cs="仿宋_GB2312"/>
          <w:b/>
          <w:sz w:val="28"/>
          <w:szCs w:val="28"/>
          <w:lang w:eastAsia="zh-CN"/>
        </w:rPr>
        <w:t>大沙地分公司一期提标门、窗防汛挡板优化项目</w:t>
      </w:r>
    </w:p>
    <w:tbl>
      <w:tblPr>
        <w:tblStyle w:val="23"/>
        <w:tblW w:w="86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8"/>
        <w:gridCol w:w="487"/>
        <w:gridCol w:w="473"/>
        <w:gridCol w:w="1488"/>
        <w:gridCol w:w="900"/>
        <w:gridCol w:w="87"/>
        <w:gridCol w:w="708"/>
        <w:gridCol w:w="297"/>
        <w:gridCol w:w="595"/>
        <w:gridCol w:w="515"/>
        <w:gridCol w:w="190"/>
        <w:gridCol w:w="175"/>
        <w:gridCol w:w="369"/>
        <w:gridCol w:w="186"/>
        <w:gridCol w:w="690"/>
        <w:gridCol w:w="532"/>
        <w:gridCol w:w="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795" w:hRule="atLeast"/>
        </w:trPr>
        <w:tc>
          <w:tcPr>
            <w:tcW w:w="8550" w:type="dxa"/>
            <w:gridSpan w:val="1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570" w:hRule="atLeast"/>
        </w:trPr>
        <w:tc>
          <w:tcPr>
            <w:tcW w:w="4293"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工程名称：大沙地分公司一期提标门、窗防汛挡板优化项目</w:t>
            </w:r>
          </w:p>
        </w:tc>
        <w:tc>
          <w:tcPr>
            <w:tcW w:w="21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2142"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98" w:type="dxa"/>
          <w:trHeight w:val="540" w:hRule="atLeast"/>
        </w:trPr>
        <w:tc>
          <w:tcPr>
            <w:tcW w:w="1345"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861"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936"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408" w:type="dxa"/>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134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286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936"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4206"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招标控制价合计=1+2+3+5</w:t>
            </w:r>
          </w:p>
        </w:tc>
        <w:tc>
          <w:tcPr>
            <w:tcW w:w="2936" w:type="dxa"/>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08" w:type="dxa"/>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98" w:type="dxa"/>
          <w:trHeight w:val="360" w:hRule="atLeast"/>
        </w:trPr>
        <w:tc>
          <w:tcPr>
            <w:tcW w:w="8550" w:type="dxa"/>
            <w:gridSpan w:val="1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8648" w:type="dxa"/>
            <w:gridSpan w:val="1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001"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工程名称：大沙地分公司一期提标门、窗防汛挡板优化项目</w:t>
            </w:r>
          </w:p>
        </w:tc>
        <w:tc>
          <w:tcPr>
            <w:tcW w:w="1772"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875"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8"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96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488"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992"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9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70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050" w:type="dxa"/>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8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9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0"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63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8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9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0"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4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1992"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40"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4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新型不锈钢铝合金防汛闸门安装</w:t>
            </w:r>
          </w:p>
        </w:tc>
        <w:tc>
          <w:tcPr>
            <w:tcW w:w="1992"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1.挡板、立柱材质：铝合金（6063 T5),EPDM,PP 、304不锈钢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2.每块挡板高度：217MM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3.每块挡板宽厚度40MM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4.挡板重量21KG/m2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5.EPDM胶条规格：底部大胶条:38mm*40mm,中部小胶条:11mm*11mm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6.PP盖板规格：217mm*40mm*22mm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7.品牌型号：亚威YAWF800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10.848</w:t>
            </w:r>
          </w:p>
        </w:tc>
        <w:tc>
          <w:tcPr>
            <w:tcW w:w="7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48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992"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28" w:type="dxa"/>
            <w:gridSpan w:val="1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28" w:type="dxa"/>
            <w:gridSpan w:val="1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69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8648" w:type="dxa"/>
            <w:gridSpan w:val="1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bl>
    <w:p>
      <w:pPr>
        <w:pStyle w:val="3"/>
        <w:rPr>
          <w:rFonts w:hint="eastAsia" w:ascii="仿宋" w:hAnsi="仿宋" w:eastAsia="仿宋" w:cs="仿宋_GB2312"/>
          <w:b/>
          <w:sz w:val="28"/>
          <w:szCs w:val="28"/>
          <w:lang w:eastAsia="zh-CN"/>
        </w:rPr>
      </w:pPr>
    </w:p>
    <w:tbl>
      <w:tblPr>
        <w:tblStyle w:val="23"/>
        <w:tblW w:w="96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4"/>
        <w:gridCol w:w="1288"/>
        <w:gridCol w:w="1228"/>
        <w:gridCol w:w="1607"/>
        <w:gridCol w:w="909"/>
        <w:gridCol w:w="87"/>
        <w:gridCol w:w="869"/>
        <w:gridCol w:w="659"/>
        <w:gridCol w:w="899"/>
        <w:gridCol w:w="12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8362"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5932"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工程名称：大沙地分公司一期提标门、窗防汛挡板优化项目</w:t>
            </w:r>
          </w:p>
        </w:tc>
        <w:tc>
          <w:tcPr>
            <w:tcW w:w="153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21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80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2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3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61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91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957"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6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9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29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80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6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5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shd w:val="clear"/>
                <w:lang w:val="en-US" w:eastAsia="zh-CN" w:bidi="ar"/>
              </w:rPr>
              <w:t>474.06</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80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6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95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80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6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95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80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6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95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80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6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5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45"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957"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932"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243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bl>
    <w:p>
      <w:pPr>
        <w:pStyle w:val="3"/>
        <w:rPr>
          <w:rFonts w:hint="eastAsia" w:ascii="仿宋" w:hAnsi="仿宋" w:eastAsia="仿宋" w:cs="仿宋_GB2312"/>
          <w:b/>
          <w:sz w:val="28"/>
          <w:szCs w:val="28"/>
          <w:lang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4"/>
        <w:gridCol w:w="2098"/>
        <w:gridCol w:w="2327"/>
        <w:gridCol w:w="165"/>
        <w:gridCol w:w="1395"/>
        <w:gridCol w:w="20"/>
        <w:gridCol w:w="868"/>
        <w:gridCol w:w="13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工程名称：大沙地分公司一期提标门、窗防汛挡板优化项目</w:t>
            </w:r>
          </w:p>
        </w:tc>
        <w:tc>
          <w:tcPr>
            <w:tcW w:w="872" w:type="pct"/>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58"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49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6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9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pStyle w:val="3"/>
        <w:rPr>
          <w:rFonts w:hint="eastAsia" w:ascii="仿宋" w:hAnsi="仿宋" w:eastAsia="仿宋" w:cs="仿宋_GB2312"/>
          <w:b/>
          <w:sz w:val="28"/>
          <w:szCs w:val="28"/>
          <w:lang w:eastAsia="zh-CN"/>
        </w:rPr>
      </w:pPr>
    </w:p>
    <w:p>
      <w:pPr>
        <w:pStyle w:val="2"/>
      </w:pPr>
    </w:p>
    <w:p>
      <w:pPr>
        <w:keepNext w:val="0"/>
        <w:keepLines w:val="0"/>
        <w:widowControl/>
        <w:suppressLineNumbers w:val="0"/>
        <w:jc w:val="left"/>
        <w:textAlignment w:val="center"/>
        <w:rPr>
          <w:rFonts w:hint="eastAsia"/>
          <w:b/>
          <w:bCs/>
          <w:sz w:val="40"/>
          <w:szCs w:val="48"/>
          <w:lang w:eastAsia="zh-CN"/>
        </w:rPr>
      </w:pPr>
      <w:r>
        <w:rPr>
          <w:rFonts w:hint="eastAsia" w:ascii="仿宋" w:hAnsi="仿宋" w:eastAsia="仿宋" w:cs="仿宋_GB2312"/>
          <w:b/>
          <w:sz w:val="28"/>
          <w:szCs w:val="28"/>
        </w:rPr>
        <w:t>项目</w:t>
      </w:r>
      <w:r>
        <w:rPr>
          <w:rFonts w:hint="eastAsia" w:ascii="仿宋" w:hAnsi="仿宋" w:eastAsia="仿宋" w:cs="仿宋_GB2312"/>
          <w:b/>
          <w:sz w:val="28"/>
          <w:szCs w:val="28"/>
          <w:lang w:val="en-US" w:eastAsia="zh-CN"/>
        </w:rPr>
        <w:t>六</w:t>
      </w:r>
      <w:r>
        <w:rPr>
          <w:rFonts w:hint="eastAsia" w:ascii="仿宋" w:hAnsi="仿宋" w:eastAsia="仿宋" w:cs="仿宋_GB2312"/>
          <w:b/>
          <w:sz w:val="28"/>
          <w:szCs w:val="28"/>
        </w:rPr>
        <w:t>：</w:t>
      </w:r>
      <w:r>
        <w:rPr>
          <w:rFonts w:hint="eastAsia" w:ascii="仿宋" w:hAnsi="仿宋" w:eastAsia="仿宋" w:cs="仿宋_GB2312"/>
          <w:b/>
          <w:sz w:val="28"/>
          <w:szCs w:val="28"/>
          <w:lang w:val="en-US" w:eastAsia="zh-CN"/>
        </w:rPr>
        <w:t xml:space="preserve">大沙地分公司二期排空池排空泵接线箱优化项目 </w:t>
      </w:r>
    </w:p>
    <w:p>
      <w:pPr>
        <w:adjustRightInd w:val="0"/>
        <w:snapToGrid w:val="0"/>
        <w:spacing w:line="300" w:lineRule="auto"/>
        <w:rPr>
          <w:rFonts w:hint="eastAsia" w:ascii="仿宋" w:hAnsi="仿宋" w:eastAsia="仿宋" w:cs="仿宋_GB2312"/>
          <w:b/>
          <w:sz w:val="28"/>
          <w:szCs w:val="28"/>
        </w:rPr>
      </w:pPr>
    </w:p>
    <w:tbl>
      <w:tblPr>
        <w:tblStyle w:val="23"/>
        <w:tblW w:w="88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420"/>
        <w:gridCol w:w="975"/>
        <w:gridCol w:w="960"/>
        <w:gridCol w:w="2055"/>
        <w:gridCol w:w="75"/>
        <w:gridCol w:w="300"/>
        <w:gridCol w:w="255"/>
        <w:gridCol w:w="510"/>
        <w:gridCol w:w="210"/>
        <w:gridCol w:w="450"/>
        <w:gridCol w:w="150"/>
        <w:gridCol w:w="495"/>
        <w:gridCol w:w="90"/>
        <w:gridCol w:w="480"/>
        <w:gridCol w:w="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795" w:hRule="atLeast"/>
        </w:trPr>
        <w:tc>
          <w:tcPr>
            <w:tcW w:w="7680" w:type="dxa"/>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570" w:hRule="atLeast"/>
        </w:trPr>
        <w:tc>
          <w:tcPr>
            <w:tcW w:w="5220"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工程名称：大沙地分公司二期排空池排空泵接线箱优化项目</w:t>
            </w:r>
          </w:p>
        </w:tc>
        <w:tc>
          <w:tcPr>
            <w:tcW w:w="127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18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780" w:hRule="atLeast"/>
        </w:trPr>
        <w:tc>
          <w:tcPr>
            <w:tcW w:w="1155"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399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1350"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185"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115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39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135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40" w:type="dxa"/>
          <w:trHeight w:val="360" w:hRule="atLeast"/>
        </w:trPr>
        <w:tc>
          <w:tcPr>
            <w:tcW w:w="5145"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招标控制价合计=1+2+3+5</w:t>
            </w:r>
          </w:p>
        </w:tc>
        <w:tc>
          <w:tcPr>
            <w:tcW w:w="1350" w:type="dxa"/>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2"/>
          <w:wAfter w:w="1140" w:type="dxa"/>
          <w:trHeight w:val="360" w:hRule="atLeast"/>
        </w:trPr>
        <w:tc>
          <w:tcPr>
            <w:tcW w:w="7680" w:type="dxa"/>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8820" w:type="dxa"/>
            <w:gridSpan w:val="1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520"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工程名称：大沙地分公司二期排空池排空泵接线箱优化项目</w:t>
            </w:r>
          </w:p>
        </w:tc>
        <w:tc>
          <w:tcPr>
            <w:tcW w:w="1575"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72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9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9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66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87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57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桥架</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1.名称:电缆桥架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2.规格:150*300*1.5mm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3.材质:304不锈钢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4.其他:按照施工及验收规范施工至验收合格</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桥架吊架制安</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1.名称:桥架吊架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2.材质:不锈钢角钢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3.规格:50*4</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4.其他:按设施工规范要求综合考虑，完成本清单项目所需的一切相关工作</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kg</w:t>
            </w: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39.767</w:t>
            </w: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电力电缆</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1.名称:阻燃聚氯乙烯绝缘铜芯电缆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2.规格:ZR-YJV 4*6+3*2.5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3.敷设方式、部位:电缆敷设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4.其他:按设施工规范要求综合考虑，完成本清单项目所需的一切相关工作</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w:t>
            </w: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配电箱</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1.名称:304不锈钢双门电箱</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2.规格:300*400*250，厚2mm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3.安装方式:悬挂式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4.内含电气原件：正泰接线端子排TC-1004   1个；正泰接线端子排TB-1510 TB  1个； 正泰电源指示灯 ND16-22D     1个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5.其他:按设施工规范要求综合考虑，完成本清单项目所需的一切相关工作</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送配电装置系统</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1.型号:交流供电系统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2.电压等级:1kV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3.其他:按设施工规范要求综合考虑，完成本清单项目所需的一切相关工作</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w:t>
            </w: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590" w:type="dxa"/>
            <w:gridSpan w:val="1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5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590" w:type="dxa"/>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57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2"/>
        <w:rPr>
          <w:rFonts w:hint="eastAsia" w:ascii="仿宋" w:hAnsi="仿宋" w:eastAsia="仿宋" w:cs="仿宋_GB2312"/>
          <w:b/>
          <w:sz w:val="28"/>
          <w:szCs w:val="28"/>
        </w:rPr>
      </w:pPr>
    </w:p>
    <w:tbl>
      <w:tblPr>
        <w:tblStyle w:val="23"/>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3"/>
        <w:gridCol w:w="570"/>
        <w:gridCol w:w="132"/>
        <w:gridCol w:w="1218"/>
        <w:gridCol w:w="882"/>
        <w:gridCol w:w="843"/>
        <w:gridCol w:w="1380"/>
        <w:gridCol w:w="102"/>
        <w:gridCol w:w="167"/>
        <w:gridCol w:w="361"/>
        <w:gridCol w:w="225"/>
        <w:gridCol w:w="600"/>
        <w:gridCol w:w="209"/>
        <w:gridCol w:w="16"/>
        <w:gridCol w:w="465"/>
        <w:gridCol w:w="405"/>
        <w:gridCol w:w="15"/>
        <w:gridCol w:w="285"/>
        <w:gridCol w:w="1092"/>
        <w:gridCol w:w="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560" w:hRule="atLeast"/>
        </w:trPr>
        <w:tc>
          <w:tcPr>
            <w:tcW w:w="9165" w:type="dxa"/>
            <w:gridSpan w:val="1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1196" w:hRule="atLeast"/>
        </w:trPr>
        <w:tc>
          <w:tcPr>
            <w:tcW w:w="57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5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72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63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82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69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70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29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1590"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shd w:val="clear"/>
                <w:lang w:val="en-US" w:eastAsia="zh-CN" w:bidi="ar"/>
              </w:rPr>
              <w:t>3732.26</w:t>
            </w: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570"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570"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1080"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93" w:type="dxa"/>
          <w:trHeight w:val="2865"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1080"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1080"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2355" w:hRule="atLeast"/>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6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795" w:hRule="atLeast"/>
        </w:trPr>
        <w:tc>
          <w:tcPr>
            <w:tcW w:w="57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5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9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05"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9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360" w:hRule="atLeast"/>
        </w:trPr>
        <w:tc>
          <w:tcPr>
            <w:tcW w:w="588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3285" w:type="dxa"/>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1"/>
          <w:wBefore w:w="93" w:type="dxa"/>
          <w:trHeight w:val="360" w:hRule="atLeast"/>
        </w:trPr>
        <w:tc>
          <w:tcPr>
            <w:tcW w:w="5880" w:type="dxa"/>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1710" w:type="dxa"/>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1575"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8" w:type="dxa"/>
          <w:trHeight w:val="795" w:hRule="atLeast"/>
        </w:trPr>
        <w:tc>
          <w:tcPr>
            <w:tcW w:w="5000" w:type="pct"/>
            <w:gridSpan w:val="1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8" w:type="dxa"/>
          <w:trHeight w:val="570" w:hRule="atLeast"/>
        </w:trPr>
        <w:tc>
          <w:tcPr>
            <w:tcW w:w="288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工程名称：大沙地分公司二期排空池排空泵接线箱优化项目</w:t>
            </w:r>
          </w:p>
        </w:tc>
        <w:tc>
          <w:tcPr>
            <w:tcW w:w="871" w:type="pct"/>
            <w:gridSpan w:val="6"/>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8" w:type="dxa"/>
          <w:trHeight w:val="570" w:hRule="atLeast"/>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5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7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489"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8" w:type="dxa"/>
          <w:trHeight w:val="570" w:hRule="atLeast"/>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3"/>
        <w:rPr>
          <w:rFonts w:hint="eastAsia" w:ascii="仿宋" w:hAnsi="仿宋" w:eastAsia="仿宋" w:cs="仿宋_GB2312"/>
          <w:b/>
          <w:sz w:val="28"/>
          <w:szCs w:val="28"/>
        </w:rPr>
      </w:pPr>
    </w:p>
    <w:p>
      <w:pPr>
        <w:pStyle w:val="22"/>
        <w:ind w:left="0" w:leftChars="0" w:firstLine="0" w:firstLineChars="0"/>
        <w:rPr>
          <w:rFonts w:ascii="宋体" w:hAnsi="宋体" w:cs="宋体"/>
          <w:b/>
          <w:bCs/>
          <w:color w:val="auto"/>
          <w:szCs w:val="21"/>
          <w:highlight w:val="none"/>
        </w:rPr>
      </w:pPr>
    </w:p>
    <w:p>
      <w:pPr>
        <w:pStyle w:val="2"/>
        <w:rPr>
          <w:rFonts w:hint="eastAsia" w:ascii="仿宋" w:hAnsi="仿宋" w:eastAsia="仿宋" w:cs="仿宋_GB2312"/>
          <w:b/>
          <w:color w:val="auto"/>
          <w:sz w:val="28"/>
          <w:szCs w:val="28"/>
          <w:highlight w:val="none"/>
          <w:lang w:val="en-US" w:eastAsia="zh-CN"/>
        </w:rPr>
      </w:pPr>
      <w:r>
        <w:rPr>
          <w:rFonts w:hint="eastAsia" w:ascii="仿宋" w:hAnsi="仿宋" w:eastAsia="仿宋" w:cs="仿宋_GB2312"/>
          <w:b/>
          <w:color w:val="auto"/>
          <w:sz w:val="28"/>
          <w:szCs w:val="28"/>
          <w:highlight w:val="none"/>
          <w:lang w:val="en-US" w:eastAsia="zh-CN"/>
        </w:rPr>
        <w:t>项目七：大观分公司2022年负二层无人区射灯加装项目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8"/>
        <w:gridCol w:w="74"/>
        <w:gridCol w:w="223"/>
        <w:gridCol w:w="207"/>
        <w:gridCol w:w="759"/>
        <w:gridCol w:w="40"/>
        <w:gridCol w:w="1089"/>
        <w:gridCol w:w="69"/>
        <w:gridCol w:w="439"/>
        <w:gridCol w:w="1055"/>
        <w:gridCol w:w="504"/>
        <w:gridCol w:w="176"/>
        <w:gridCol w:w="25"/>
        <w:gridCol w:w="11"/>
        <w:gridCol w:w="58"/>
        <w:gridCol w:w="71"/>
        <w:gridCol w:w="91"/>
        <w:gridCol w:w="230"/>
        <w:gridCol w:w="549"/>
        <w:gridCol w:w="323"/>
        <w:gridCol w:w="290"/>
        <w:gridCol w:w="11"/>
        <w:gridCol w:w="5"/>
        <w:gridCol w:w="4"/>
        <w:gridCol w:w="188"/>
        <w:gridCol w:w="352"/>
        <w:gridCol w:w="40"/>
        <w:gridCol w:w="288"/>
        <w:gridCol w:w="141"/>
        <w:gridCol w:w="440"/>
        <w:gridCol w:w="680"/>
        <w:gridCol w:w="54"/>
        <w:gridCol w:w="72"/>
        <w:gridCol w:w="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795" w:hRule="atLeast"/>
        </w:trPr>
        <w:tc>
          <w:tcPr>
            <w:tcW w:w="4992" w:type="pct"/>
            <w:gridSpan w:val="3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570" w:hRule="atLeast"/>
        </w:trPr>
        <w:tc>
          <w:tcPr>
            <w:tcW w:w="2918"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工程名称：大观分公司2022年负二层无人区射灯加装项目</w:t>
            </w:r>
          </w:p>
        </w:tc>
        <w:tc>
          <w:tcPr>
            <w:tcW w:w="824"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75" w:hRule="atLeast"/>
        </w:trPr>
        <w:tc>
          <w:tcPr>
            <w:tcW w:w="548"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9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204"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6"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桥式刮砂机减速机维修（4台）</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 w:type="pct"/>
          <w:trHeight w:val="360" w:hRule="atLeast"/>
        </w:trPr>
        <w:tc>
          <w:tcPr>
            <w:tcW w:w="54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204"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795" w:hRule="atLeast"/>
        </w:trPr>
        <w:tc>
          <w:tcPr>
            <w:tcW w:w="4950" w:type="pct"/>
            <w:gridSpan w:val="3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9" w:type="pct"/>
          <w:trHeight w:val="570" w:hRule="atLeast"/>
        </w:trPr>
        <w:tc>
          <w:tcPr>
            <w:tcW w:w="2730"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工程名称：大观分公司2022年负二层无人区射灯加装项目</w:t>
            </w:r>
          </w:p>
        </w:tc>
        <w:tc>
          <w:tcPr>
            <w:tcW w:w="846"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373" w:type="pct"/>
            <w:gridSpan w:val="1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360" w:hRule="atLeast"/>
        </w:trPr>
        <w:tc>
          <w:tcPr>
            <w:tcW w:w="31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78"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3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199"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68"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8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7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360" w:hRule="atLeast"/>
        </w:trPr>
        <w:tc>
          <w:tcPr>
            <w:tcW w:w="31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7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91"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80"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360" w:hRule="atLeast"/>
        </w:trPr>
        <w:tc>
          <w:tcPr>
            <w:tcW w:w="31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7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91"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82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82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工厂灯</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1.名称:LED投光灯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2.型号:IP66级防水防爆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3.规格:功率100W,电压220V，6000K白光，COB高亮度灯芯，方形，航空加厚铁铸铝外壳，钢化玻璃面罩材质，照射范围50m3以上</w:t>
            </w: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套</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18</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133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控制开关</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1.名称:空气开关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2.规格:额定工作电压AC230V/400V（1P），额定绝缘电压600V，额定冲击耐受电压4KV</w:t>
            </w: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个</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133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配线</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1.名称:铜芯聚氯乙烯绝缘聚氯乙烯护套软电缆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2.型号:RVV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3.规格:3*1.5mm2</w:t>
            </w: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133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配管</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1.名称:绝缘电工套管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3.规格:DN16，0.1-0.3（MPa）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4.配置形式:明装</w:t>
            </w: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133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照明开关</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1.名称:二开单控开关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2.安装方式:明装</w:t>
            </w: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 w:type="pct"/>
          <w:trHeight w:val="1335" w:hRule="atLeast"/>
        </w:trPr>
        <w:tc>
          <w:tcPr>
            <w:tcW w:w="31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67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接线盒</w:t>
            </w:r>
          </w:p>
        </w:tc>
        <w:tc>
          <w:tcPr>
            <w:tcW w:w="119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1.名称:防水接线盒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2.材质:ABS绝缘材质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3.规格:IP665级防水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4.安装形式:明装</w:t>
            </w:r>
          </w:p>
        </w:tc>
        <w:tc>
          <w:tcPr>
            <w:tcW w:w="2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795" w:hRule="atLeast"/>
        </w:trPr>
        <w:tc>
          <w:tcPr>
            <w:tcW w:w="4922"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825" w:hRule="atLeast"/>
        </w:trPr>
        <w:tc>
          <w:tcPr>
            <w:tcW w:w="2827"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工程名称：大观分公司2022年负二层无人区射灯加装项目</w:t>
            </w:r>
          </w:p>
        </w:tc>
        <w:tc>
          <w:tcPr>
            <w:tcW w:w="918"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76"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825" w:hRule="atLeast"/>
        </w:trPr>
        <w:tc>
          <w:tcPr>
            <w:tcW w:w="27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9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03"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58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9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51"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5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453"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61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1590"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1634.1</w:t>
            </w: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jc w:val="right"/>
              <w:textAlignment w:val="center"/>
              <w:rPr>
                <w:rFonts w:hint="eastAsia" w:ascii="宋体" w:hAnsi="宋体" w:eastAsia="宋体" w:cs="宋体"/>
                <w:i w:val="0"/>
                <w:iCs w:val="0"/>
                <w:color w:val="000000"/>
                <w:kern w:val="0"/>
                <w:sz w:val="20"/>
                <w:szCs w:val="20"/>
                <w:u w:val="none"/>
                <w:lang w:bidi="ar"/>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570"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570"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1080"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2865"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1080"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1080"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2355"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540" w:hRule="atLeast"/>
        </w:trPr>
        <w:tc>
          <w:tcPr>
            <w:tcW w:w="27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9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58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5"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1"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7" w:type="pct"/>
          <w:trHeight w:val="885" w:hRule="atLeast"/>
        </w:trPr>
        <w:tc>
          <w:tcPr>
            <w:tcW w:w="27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10</w:t>
            </w:r>
          </w:p>
        </w:tc>
        <w:tc>
          <w:tcPr>
            <w:tcW w:w="6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其他费用</w:t>
            </w:r>
          </w:p>
        </w:tc>
        <w:tc>
          <w:tcPr>
            <w:tcW w:w="5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79"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工程名称：大观分公司2022年负二层无人区射灯加装项目</w:t>
            </w:r>
          </w:p>
        </w:tc>
        <w:tc>
          <w:tcPr>
            <w:tcW w:w="868" w:type="pct"/>
            <w:gridSpan w:val="9"/>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52"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4"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6"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8"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6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90"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73"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7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
        <w:rPr>
          <w:rFonts w:hint="eastAsia"/>
          <w:color w:val="auto"/>
          <w:highlight w:val="none"/>
          <w:lang w:val="en-US" w:eastAsia="zh-CN"/>
        </w:rPr>
      </w:pPr>
    </w:p>
    <w:p>
      <w:pPr>
        <w:pStyle w:val="2"/>
        <w:rPr>
          <w:rFonts w:hint="eastAsia" w:ascii="仿宋" w:hAnsi="仿宋" w:eastAsia="仿宋" w:cs="仿宋_GB2312"/>
          <w:b/>
          <w:color w:val="auto"/>
          <w:sz w:val="28"/>
          <w:szCs w:val="28"/>
          <w:highlight w:val="none"/>
          <w:lang w:val="en-US" w:eastAsia="zh-CN"/>
        </w:rPr>
      </w:pPr>
      <w:r>
        <w:rPr>
          <w:rFonts w:hint="eastAsia" w:ascii="仿宋" w:hAnsi="仿宋" w:eastAsia="仿宋" w:cs="仿宋_GB2312"/>
          <w:b/>
          <w:color w:val="auto"/>
          <w:sz w:val="28"/>
          <w:szCs w:val="28"/>
          <w:highlight w:val="none"/>
          <w:lang w:val="en-US" w:eastAsia="zh-CN"/>
        </w:rPr>
        <w:t>项目八：大观分公司一期变压器房挡水板优化项目</w:t>
      </w:r>
    </w:p>
    <w:tbl>
      <w:tblPr>
        <w:tblStyle w:val="23"/>
        <w:tblW w:w="5001" w:type="pct"/>
        <w:tblInd w:w="-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5"/>
        <w:gridCol w:w="8"/>
        <w:gridCol w:w="218"/>
        <w:gridCol w:w="207"/>
        <w:gridCol w:w="721"/>
        <w:gridCol w:w="123"/>
        <w:gridCol w:w="1040"/>
        <w:gridCol w:w="662"/>
        <w:gridCol w:w="1470"/>
        <w:gridCol w:w="122"/>
        <w:gridCol w:w="71"/>
        <w:gridCol w:w="7"/>
        <w:gridCol w:w="73"/>
        <w:gridCol w:w="82"/>
        <w:gridCol w:w="161"/>
        <w:gridCol w:w="221"/>
        <w:gridCol w:w="776"/>
        <w:gridCol w:w="40"/>
        <w:gridCol w:w="205"/>
        <w:gridCol w:w="24"/>
        <w:gridCol w:w="7"/>
        <w:gridCol w:w="196"/>
        <w:gridCol w:w="245"/>
        <w:gridCol w:w="91"/>
        <w:gridCol w:w="125"/>
        <w:gridCol w:w="228"/>
        <w:gridCol w:w="457"/>
        <w:gridCol w:w="172"/>
        <w:gridCol w:w="743"/>
        <w:gridCol w:w="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795" w:hRule="atLeast"/>
        </w:trPr>
        <w:tc>
          <w:tcPr>
            <w:tcW w:w="4988"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570" w:hRule="atLeast"/>
        </w:trPr>
        <w:tc>
          <w:tcPr>
            <w:tcW w:w="2863"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工程名称：大观分公司一期变压器房挡水板优化项目</w:t>
            </w:r>
          </w:p>
        </w:tc>
        <w:tc>
          <w:tcPr>
            <w:tcW w:w="876"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8"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75" w:hRule="atLeast"/>
        </w:trPr>
        <w:tc>
          <w:tcPr>
            <w:tcW w:w="54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8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212"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51"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pct"/>
          <w:trHeight w:val="360" w:hRule="atLeast"/>
        </w:trPr>
        <w:tc>
          <w:tcPr>
            <w:tcW w:w="5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8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212"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1"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67"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工程名称：大观分公司一期变压器房挡水板优化项目</w:t>
            </w:r>
          </w:p>
        </w:tc>
        <w:tc>
          <w:tcPr>
            <w:tcW w:w="876"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5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33"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4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26"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5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5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84"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2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5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9"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73"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2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5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9"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3"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整个项目</w:t>
            </w:r>
          </w:p>
        </w:tc>
        <w:tc>
          <w:tcPr>
            <w:tcW w:w="132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采光天棚</w:t>
            </w:r>
          </w:p>
        </w:tc>
        <w:tc>
          <w:tcPr>
            <w:tcW w:w="132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1.骨架类型：不锈钢骨架,30*30*2mm；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2.面层材料品种、规格：阻燃高透明PC板</w:t>
            </w:r>
          </w:p>
        </w:tc>
        <w:tc>
          <w:tcPr>
            <w:tcW w:w="25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69.76</w:t>
            </w: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3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混凝土结构开孔</w:t>
            </w:r>
          </w:p>
        </w:tc>
        <w:tc>
          <w:tcPr>
            <w:tcW w:w="132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1.洞尺寸:孔径0.05m2内</w:t>
            </w:r>
          </w:p>
        </w:tc>
        <w:tc>
          <w:tcPr>
            <w:tcW w:w="25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38</w:t>
            </w: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3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不锈钢管</w:t>
            </w:r>
          </w:p>
        </w:tc>
        <w:tc>
          <w:tcPr>
            <w:tcW w:w="132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1.材质及规格：不锈钢管DN50</w:t>
            </w:r>
          </w:p>
        </w:tc>
        <w:tc>
          <w:tcPr>
            <w:tcW w:w="25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16</w:t>
            </w: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0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3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抹灰面油漆</w:t>
            </w:r>
          </w:p>
        </w:tc>
        <w:tc>
          <w:tcPr>
            <w:tcW w:w="132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1.墙面油乳胶漆二遍</w:t>
            </w:r>
          </w:p>
        </w:tc>
        <w:tc>
          <w:tcPr>
            <w:tcW w:w="25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558.07</w:t>
            </w: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2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05" w:type="pct"/>
            <w:gridSpan w:val="2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47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05" w:type="pct"/>
            <w:gridSpan w:val="2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473"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0"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67"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工程名称：大观分公司一期变压器房挡水板优化项目</w:t>
            </w:r>
          </w:p>
        </w:tc>
        <w:tc>
          <w:tcPr>
            <w:tcW w:w="984"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0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06"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3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81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284"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5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39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494"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1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5" w:hRule="atLeast"/>
        </w:trPr>
        <w:tc>
          <w:tcPr>
            <w:tcW w:w="30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8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2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2511.14</w:t>
            </w:r>
          </w:p>
        </w:tc>
        <w:tc>
          <w:tcPr>
            <w:tcW w:w="39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i w:val="0"/>
                <w:iCs w:val="0"/>
                <w:color w:val="000000"/>
                <w:kern w:val="0"/>
                <w:sz w:val="20"/>
                <w:szCs w:val="20"/>
                <w:u w:val="none"/>
                <w:lang w:bidi="ar"/>
              </w:rPr>
            </w:pPr>
          </w:p>
        </w:tc>
        <w:tc>
          <w:tcPr>
            <w:tcW w:w="4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8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2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5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8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20</w:t>
            </w:r>
          </w:p>
        </w:tc>
        <w:tc>
          <w:tcPr>
            <w:tcW w:w="5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8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2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5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30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其他费用</w:t>
            </w:r>
          </w:p>
        </w:tc>
        <w:tc>
          <w:tcPr>
            <w:tcW w:w="8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67"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工程名称：大观分公司一期变压器房挡水板优化项目</w:t>
            </w:r>
          </w:p>
        </w:tc>
        <w:tc>
          <w:tcPr>
            <w:tcW w:w="876"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5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27"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4"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1"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4"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取费基数</w:t>
            </w:r>
          </w:p>
        </w:tc>
        <w:tc>
          <w:tcPr>
            <w:tcW w:w="502"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9"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27"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74"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9"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7"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5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7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74"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69"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
        <w:rPr>
          <w:rFonts w:hint="default"/>
          <w:b/>
          <w:bCs/>
          <w:color w:val="auto"/>
          <w:sz w:val="28"/>
          <w:szCs w:val="32"/>
          <w:highlight w:val="none"/>
          <w:lang w:val="en-US" w:eastAsia="zh-CN"/>
        </w:rPr>
      </w:pPr>
    </w:p>
    <w:p>
      <w:pPr>
        <w:pStyle w:val="3"/>
        <w:spacing w:line="240" w:lineRule="auto"/>
        <w:rPr>
          <w:rFonts w:hint="eastAsia" w:ascii="宋体" w:hAnsi="宋体" w:eastAsia="宋体" w:cs="宋体"/>
          <w:b/>
          <w:bCs/>
          <w:kern w:val="2"/>
          <w:sz w:val="22"/>
          <w:szCs w:val="22"/>
          <w:lang w:val="en-US" w:eastAsia="zh-CN" w:bidi="ar-SA"/>
        </w:rPr>
      </w:pPr>
    </w:p>
    <w:p>
      <w:pPr>
        <w:pStyle w:val="48"/>
        <w:rPr>
          <w:rFonts w:hint="eastAsia" w:ascii="仿宋" w:hAnsi="仿宋" w:eastAsia="仿宋" w:cs="仿宋_GB2312"/>
          <w:b/>
          <w:sz w:val="28"/>
          <w:szCs w:val="28"/>
          <w:highlight w:val="none"/>
        </w:rPr>
      </w:pPr>
      <w:r>
        <w:rPr>
          <w:rFonts w:hint="eastAsia" w:ascii="仿宋" w:hAnsi="仿宋" w:eastAsia="仿宋" w:cs="仿宋_GB2312"/>
          <w:b/>
          <w:sz w:val="28"/>
          <w:szCs w:val="28"/>
          <w:highlight w:val="none"/>
        </w:rPr>
        <w:t>项目</w:t>
      </w:r>
      <w:r>
        <w:rPr>
          <w:rFonts w:hint="eastAsia" w:ascii="仿宋" w:hAnsi="仿宋" w:eastAsia="仿宋" w:cs="仿宋_GB2312"/>
          <w:b/>
          <w:sz w:val="28"/>
          <w:szCs w:val="28"/>
          <w:highlight w:val="none"/>
          <w:lang w:val="en-US" w:eastAsia="zh-CN"/>
        </w:rPr>
        <w:t>九</w:t>
      </w:r>
      <w:r>
        <w:rPr>
          <w:rFonts w:hint="eastAsia" w:ascii="仿宋" w:hAnsi="仿宋" w:eastAsia="仿宋" w:cs="仿宋_GB2312"/>
          <w:b/>
          <w:sz w:val="28"/>
          <w:szCs w:val="28"/>
          <w:highlight w:val="none"/>
        </w:rPr>
        <w:t>：西朗二期分公司出水在线站房增加通风措施项目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57"/>
        <w:gridCol w:w="325"/>
        <w:gridCol w:w="606"/>
        <w:gridCol w:w="204"/>
        <w:gridCol w:w="838"/>
        <w:gridCol w:w="174"/>
        <w:gridCol w:w="874"/>
        <w:gridCol w:w="1714"/>
        <w:gridCol w:w="92"/>
        <w:gridCol w:w="249"/>
        <w:gridCol w:w="113"/>
        <w:gridCol w:w="416"/>
        <w:gridCol w:w="23"/>
        <w:gridCol w:w="64"/>
        <w:gridCol w:w="746"/>
        <w:gridCol w:w="83"/>
        <w:gridCol w:w="164"/>
        <w:gridCol w:w="3"/>
        <w:gridCol w:w="75"/>
        <w:gridCol w:w="29"/>
        <w:gridCol w:w="167"/>
        <w:gridCol w:w="94"/>
        <w:gridCol w:w="496"/>
        <w:gridCol w:w="248"/>
        <w:gridCol w:w="685"/>
        <w:gridCol w:w="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795" w:hRule="atLeast"/>
        </w:trPr>
        <w:tc>
          <w:tcPr>
            <w:tcW w:w="4995"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570" w:hRule="atLeast"/>
        </w:trPr>
        <w:tc>
          <w:tcPr>
            <w:tcW w:w="359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工程名称：西朗二期分公司出水在线站房增加通风措施项目</w:t>
            </w:r>
          </w:p>
        </w:tc>
        <w:tc>
          <w:tcPr>
            <w:tcW w:w="158" w:type="pct"/>
            <w:gridSpan w:val="2"/>
            <w:tcBorders>
              <w:top w:val="nil"/>
              <w:left w:val="nil"/>
              <w:bottom w:val="nil"/>
              <w:right w:val="nil"/>
            </w:tcBorders>
            <w:shd w:val="clear" w:color="FFFFFF" w:fill="FFFFFF"/>
            <w:vAlign w:val="bottom"/>
          </w:tcPr>
          <w:p>
            <w:pPr>
              <w:jc w:val="center"/>
              <w:rPr>
                <w:rFonts w:hint="eastAsia" w:ascii="宋体" w:hAnsi="宋体" w:eastAsia="宋体" w:cs="宋体"/>
                <w:i w:val="0"/>
                <w:iCs w:val="0"/>
                <w:color w:val="000000"/>
                <w:sz w:val="20"/>
                <w:szCs w:val="20"/>
                <w:u w:val="none"/>
              </w:rPr>
            </w:pPr>
          </w:p>
        </w:tc>
        <w:tc>
          <w:tcPr>
            <w:tcW w:w="1245"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07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7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取费基数</w:t>
            </w:r>
          </w:p>
        </w:tc>
        <w:tc>
          <w:tcPr>
            <w:tcW w:w="48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费率(%)</w:t>
            </w:r>
          </w:p>
        </w:tc>
        <w:tc>
          <w:tcPr>
            <w:tcW w:w="798"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c>
          <w:tcPr>
            <w:tcW w:w="966"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通风</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51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措施合计</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绿色施工安全防护措施费+其他措施费</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绿色施工安全防护措施费</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安全及文明施工措施费</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其他措施费</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其他措施费</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其他项目合计</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暂列金额</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暂列金额</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暂估价合计</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计日工</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计日工</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总承包服务费</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总承包服务费</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预算包干费</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预算包干费</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工程优质费</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工程优质费</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概算幅度差</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概算幅度差</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索赔费用</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索赔费用</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现场签证费用</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现场签证费用</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其他费用</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其他费用</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51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税前工程造价</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分部分项合计+措施合计+其他项目</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51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增值税销项税额</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分部分项合计+措施合计+其他项目</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 w:type="pct"/>
          <w:trHeight w:val="510" w:hRule="atLeast"/>
        </w:trPr>
        <w:tc>
          <w:tcPr>
            <w:tcW w:w="58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总造价</w:t>
            </w:r>
          </w:p>
        </w:tc>
        <w:tc>
          <w:tcPr>
            <w:tcW w:w="10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分部分项合计+措施合计+其他项目+增值税销项税额</w:t>
            </w:r>
          </w:p>
        </w:tc>
        <w:tc>
          <w:tcPr>
            <w:tcW w:w="4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510" w:hRule="atLeast"/>
        </w:trPr>
        <w:tc>
          <w:tcPr>
            <w:tcW w:w="589" w:type="pct"/>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79"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107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分部分项人工费+技术措施项目人工费</w:t>
            </w:r>
          </w:p>
        </w:tc>
        <w:tc>
          <w:tcPr>
            <w:tcW w:w="488"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98"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66" w:type="pct"/>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工程名称：西朗二期分公司出水在线站房增加通风措施项目</w:t>
            </w:r>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4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32"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5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4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364"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75"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5"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低噪声轴流式风机</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1.名称:低噪声轴流式风机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2.规格:L=1000m3/h,P=120Pa,W=0.09kW</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低噪声轴流式风机</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1.名称:低噪声轴流式风机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2.规格:L=900m3/h,P=120Pa,W=0.09kW</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70℃防火阀</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2.规格:320*250</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单层百叶(带调节阀)</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1.名称:单层百叶(带调节阀)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2.规格:320*250</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双层百叶(带调节阀)</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1.名称:双层百叶(带调节阀)阀)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2.规格:500*250</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镀锌方形风管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1.名称:镀锌方形风管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2.板材厚度：0.5mm</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26.1178</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通风合计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1.名称:镀锌电线管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2.配线形式:暗敷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3.型号:DN25</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19.195</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2.配线形式:沿墙面敷设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3.型号:BV-2.5mm²</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60.585</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单相双控开关</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1.名称:单相双控开关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2.型号:220V-16A</w:t>
            </w: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配电合计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活动脚手架</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97.6</w:t>
            </w: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4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110" w:type="pct"/>
            <w:gridSpan w:val="2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475"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13"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5000" w:type="pct"/>
            <w:gridSpan w:val="2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工程名称：西朗二期分公司出水在线站房增加通风措施项目</w:t>
            </w:r>
          </w:p>
        </w:tc>
        <w:tc>
          <w:tcPr>
            <w:tcW w:w="9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139" w:type="pct"/>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74"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27"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929"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4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41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63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83"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58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shd w:val="clear"/>
                <w:lang w:val="en-US" w:eastAsia="zh-CN" w:bidi="ar"/>
              </w:rPr>
              <w:t>990.04</w:t>
            </w: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i w:val="0"/>
                <w:iCs w:val="0"/>
                <w:color w:val="000000"/>
                <w:kern w:val="0"/>
                <w:sz w:val="20"/>
                <w:szCs w:val="20"/>
                <w:u w:val="none"/>
                <w:lang w:bidi="ar"/>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2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8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97" w:type="pct"/>
            <w:gridSpan w:val="1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633"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990.04</w:t>
            </w:r>
          </w:p>
        </w:tc>
        <w:tc>
          <w:tcPr>
            <w:tcW w:w="583"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rPr>
          <w:rFonts w:hint="eastAsia" w:ascii="仿宋" w:hAnsi="仿宋" w:eastAsia="仿宋" w:cs="仿宋_GB2312"/>
          <w:b/>
          <w:sz w:val="28"/>
          <w:szCs w:val="28"/>
          <w:highlight w:val="none"/>
        </w:rPr>
      </w:pPr>
    </w:p>
    <w:p>
      <w:pPr>
        <w:pStyle w:val="48"/>
        <w:rPr>
          <w:rFonts w:hint="eastAsia" w:ascii="仿宋" w:hAnsi="仿宋" w:eastAsia="仿宋" w:cs="仿宋_GB2312"/>
          <w:b/>
          <w:sz w:val="28"/>
          <w:szCs w:val="28"/>
          <w:highlight w:val="none"/>
        </w:rPr>
      </w:pPr>
      <w:r>
        <w:rPr>
          <w:rFonts w:hint="eastAsia" w:ascii="仿宋" w:hAnsi="仿宋" w:eastAsia="仿宋" w:cs="仿宋_GB2312"/>
          <w:b/>
          <w:sz w:val="28"/>
          <w:szCs w:val="28"/>
          <w:highlight w:val="none"/>
        </w:rPr>
        <w:t>项目</w:t>
      </w:r>
      <w:r>
        <w:rPr>
          <w:rFonts w:hint="eastAsia" w:ascii="仿宋" w:hAnsi="仿宋" w:eastAsia="仿宋" w:cs="仿宋_GB2312"/>
          <w:b/>
          <w:sz w:val="28"/>
          <w:szCs w:val="28"/>
          <w:highlight w:val="none"/>
          <w:lang w:val="en-US" w:eastAsia="zh-CN"/>
        </w:rPr>
        <w:t>十</w:t>
      </w:r>
      <w:r>
        <w:rPr>
          <w:rFonts w:hint="eastAsia" w:ascii="仿宋" w:hAnsi="仿宋" w:eastAsia="仿宋" w:cs="仿宋_GB2312"/>
          <w:b/>
          <w:sz w:val="28"/>
          <w:szCs w:val="28"/>
          <w:highlight w:val="none"/>
        </w:rPr>
        <w:t>：西朗二期分公司一期提标反冲洗废水池溢流排水管优化项目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4"/>
        <w:gridCol w:w="4149"/>
        <w:gridCol w:w="65"/>
        <w:gridCol w:w="1576"/>
        <w:gridCol w:w="549"/>
        <w:gridCol w:w="1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870" w:type="pct"/>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209"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94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废水池壁开孔</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外墙墙身穿孔</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构筑回流储水池</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路面排水管道开挖</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排水管铺设</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清理和清洁</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4"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1209"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80" w:type="pct"/>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70" w:type="pct"/>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pStyle w:val="48"/>
        <w:rPr>
          <w:rFonts w:hint="eastAsia" w:ascii="仿宋" w:hAnsi="仿宋" w:eastAsia="仿宋" w:cs="仿宋_GB2312"/>
          <w:b/>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6"/>
        <w:gridCol w:w="1350"/>
        <w:gridCol w:w="1094"/>
        <w:gridCol w:w="2098"/>
        <w:gridCol w:w="207"/>
        <w:gridCol w:w="435"/>
        <w:gridCol w:w="816"/>
        <w:gridCol w:w="140"/>
        <w:gridCol w:w="699"/>
        <w:gridCol w:w="879"/>
        <w:gridCol w:w="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53"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88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64"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4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0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7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4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5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33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废水池壁开孔</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池壁穿孔</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1.名称：池壁穿孔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2.水钻钻孔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3.孔径：220mm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4.壁厚：300mm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池壁面水泥砂浆找补</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1.池壁与壁孔水泥砂浆找平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2.水泥砂浆：M10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0.23</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外墙墙身穿孔</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墙身穿孔</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1.名称：墙身穿孔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2.水钻钻孔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3.孔径：220mm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4.壁厚：300mm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1.孔壁与墙身水泥砂浆找平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2.水泥砂浆：M10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0.23</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构筑回流储水池</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地面探点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1.拆除地面探点</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混凝土地面拆除</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1.混凝土地面拆除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2.厚度：15cm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0.44</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拆除墙身瓷砖</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1.拆除墙身瓷砖</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拆除草皮</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1.拆除草皮</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挖一般土方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3.场内运输:综合考虑垂直运输高度、土方的转堆及土方场内运输距离</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0.27</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48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53"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881"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264"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53"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88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64"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4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0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7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4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5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33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回流池基底铺碎石粉层</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1.回流池基底铺碎石粉层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2.厚度：5cm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0.0675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回流池基底水泥砂浆找平</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1.回流池基底水泥砂浆找平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2.厚度：5cm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0.44</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混凝土硬化基底</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1.混凝土硬化基底</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0.34</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混凝土捣制回流储水池</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1.混凝土捣制回流储水池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2.防水涂料：池壁及池底刷两遍防水涂料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3.水泥砂浆找平：M10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4.池外壁、池面、墙身贴瓷砖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回流池壁穿孔</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1.名称：回流池壁及池底穿孔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2.水钻钻孔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3.孔径：220mm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4.壁厚：300mm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水泥砂浆找补</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1.孔壁与墙身水泥砂浆找平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2.水泥砂浆：M10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0.39</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回流池盖板</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2.带抽手2个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3.中间开观察口25.5×25.5mm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4.焊接30×30mm角钢1.02m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0.54</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路面排水管道开挖</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地面探点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1.拆除地面探点</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拆除草皮</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1.拆除草皮</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混凝土地面拆除</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1.混凝土地面拆除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2.厚度：10cm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48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53"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881"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264"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53"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88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64"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4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0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7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4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5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33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挖一般土方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3.场内运输:综合考虑垂直运输高度、土方的转堆及土方场内运输距离</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排污井壁穿孔</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1.名称：排污井壁穿孔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2.水钻钻孔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3.孔径：220mm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4.壁厚：300mm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水泥砂浆找补</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1.孔壁与墙身水泥砂浆找平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2.水泥砂浆：M10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0.23</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铺管坑槽铺碎石粉层</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1.铺管坑槽铺碎石粉层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2.厚度：10cm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铺管坑槽水泥砂浆找平</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1.铺管坑槽水泥砂浆找平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2.厚度：10cm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排水管铺设</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镀锌钢管 DN200</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1.镀锌钢管 DN200</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DN200镀锌钢直通</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1.DN200镀锌钢直通</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DN200镀锌弯头</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1.DN200镀锌弯头</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DN200波纹管</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1.DN200波纹管</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DN200波纹管弯头</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1.DN200波纹管弯头</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水泥砂浆找补</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1.孔壁及孔面水泥找平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3.完成本清单项目所需的一切相关工作</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1.回填土方</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48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53"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881"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264"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53"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88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64"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4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0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7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4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5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33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0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水泥混凝土路面</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1.水泥混凝土路面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3.混凝土强度：C20</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路面找平</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1.路面找平</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园林绿化项</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回填花泥</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1.回填花泥</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种植台湾草</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1.种植台湾草</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清理和清洁</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余渣清运</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1.施工部位:余渣清运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2.运距:20km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7.22</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氧气瓶</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气体测量仪</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灭火筒</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警示(示踪)带铺设</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警示标志牌</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警示灯</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7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水马围挡板</w:t>
            </w:r>
          </w:p>
        </w:tc>
        <w:tc>
          <w:tcPr>
            <w:tcW w:w="12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5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45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4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48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53"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881"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1264"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adjustRightInd w:val="0"/>
        <w:snapToGrid w:val="0"/>
        <w:spacing w:line="300" w:lineRule="auto"/>
        <w:rPr>
          <w:rFonts w:hint="eastAsia" w:ascii="仿宋" w:hAnsi="仿宋" w:eastAsia="仿宋" w:cs="仿宋_GB2312"/>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2"/>
        <w:gridCol w:w="1229"/>
        <w:gridCol w:w="1480"/>
        <w:gridCol w:w="1187"/>
        <w:gridCol w:w="683"/>
        <w:gridCol w:w="67"/>
        <w:gridCol w:w="959"/>
        <w:gridCol w:w="806"/>
        <w:gridCol w:w="136"/>
        <w:gridCol w:w="946"/>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91"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974"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134"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7"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78"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17"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56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2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53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9"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shd w:val="clear"/>
                <w:lang w:bidi="ar"/>
              </w:rPr>
              <w:t>592.49</w:t>
            </w: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327"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78"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交通疏解员增加费</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66"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按照项目分部分项人工费的15%计算（有方案的按照方案计算），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91"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2108"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91" w:type="pct"/>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974"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1134"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91"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974"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134"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7"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78"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17"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56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2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53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7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54" w:type="pct"/>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566"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3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91"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2108"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91" w:type="pct"/>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974"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1134"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adjustRightInd w:val="0"/>
        <w:snapToGrid w:val="0"/>
        <w:spacing w:line="300" w:lineRule="auto"/>
        <w:rPr>
          <w:rFonts w:hint="eastAsia" w:ascii="仿宋" w:hAnsi="仿宋" w:eastAsia="仿宋" w:cs="仿宋_GB2312"/>
          <w:sz w:val="28"/>
          <w:szCs w:val="28"/>
          <w:highlight w:val="none"/>
        </w:rPr>
      </w:pPr>
    </w:p>
    <w:p>
      <w:pPr>
        <w:adjustRightInd w:val="0"/>
        <w:snapToGrid w:val="0"/>
        <w:spacing w:line="300" w:lineRule="auto"/>
        <w:rPr>
          <w:rFonts w:hint="eastAsia" w:ascii="仿宋" w:hAnsi="仿宋" w:eastAsia="仿宋" w:cs="仿宋_GB2312"/>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4"/>
        <w:gridCol w:w="2098"/>
        <w:gridCol w:w="2327"/>
        <w:gridCol w:w="165"/>
        <w:gridCol w:w="1393"/>
        <w:gridCol w:w="18"/>
        <w:gridCol w:w="875"/>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工程名称：西朗二期分公司一期提标反冲洗废水池溢流排水管优化项目</w:t>
            </w:r>
          </w:p>
        </w:tc>
        <w:tc>
          <w:tcPr>
            <w:tcW w:w="870" w:type="pct"/>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58"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6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49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6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7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9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33"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766"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80" w:type="pct"/>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2119" w:type="pct"/>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80" w:type="pct"/>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70" w:type="pct"/>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pStyle w:val="2"/>
        <w:rPr>
          <w:rFonts w:hint="eastAsia"/>
        </w:rPr>
      </w:pPr>
    </w:p>
    <w:p>
      <w:pPr>
        <w:pStyle w:val="3"/>
        <w:rPr>
          <w:rFonts w:hint="eastAsia"/>
        </w:rPr>
      </w:pPr>
      <w:r>
        <w:rPr>
          <w:rFonts w:hint="eastAsia" w:ascii="仿宋" w:hAnsi="仿宋" w:eastAsia="仿宋" w:cs="仿宋_GB2312"/>
          <w:b/>
          <w:sz w:val="28"/>
          <w:szCs w:val="28"/>
          <w:highlight w:val="none"/>
        </w:rPr>
        <w:t>项目</w:t>
      </w:r>
      <w:r>
        <w:rPr>
          <w:rFonts w:hint="eastAsia" w:ascii="仿宋" w:hAnsi="仿宋" w:eastAsia="仿宋" w:cs="仿宋_GB2312"/>
          <w:b/>
          <w:sz w:val="28"/>
          <w:szCs w:val="28"/>
          <w:highlight w:val="none"/>
          <w:lang w:val="en-US" w:eastAsia="zh-CN"/>
        </w:rPr>
        <w:t>十一</w:t>
      </w:r>
      <w:r>
        <w:rPr>
          <w:rFonts w:hint="eastAsia" w:ascii="仿宋" w:hAnsi="仿宋" w:eastAsia="仿宋" w:cs="仿宋_GB2312"/>
          <w:b/>
          <w:sz w:val="28"/>
          <w:szCs w:val="28"/>
          <w:highlight w:val="none"/>
        </w:rPr>
        <w:t>：</w:t>
      </w:r>
    </w:p>
    <w:tbl>
      <w:tblPr>
        <w:tblStyle w:val="23"/>
        <w:tblpPr w:leftFromText="180" w:rightFromText="180" w:vertAnchor="text" w:horzAnchor="page" w:tblpX="1112" w:tblpY="241"/>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5"/>
        <w:gridCol w:w="3270"/>
        <w:gridCol w:w="1710"/>
        <w:gridCol w:w="255"/>
        <w:gridCol w:w="735"/>
        <w:gridCol w:w="495"/>
        <w:gridCol w:w="1485"/>
        <w:gridCol w:w="1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21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工程名称：京溪分公司硫酸铝加药口土建结构优化项目</w:t>
            </w:r>
          </w:p>
        </w:tc>
        <w:tc>
          <w:tcPr>
            <w:tcW w:w="735" w:type="dxa"/>
            <w:tcBorders>
              <w:top w:val="nil"/>
              <w:left w:val="nil"/>
              <w:bottom w:val="nil"/>
              <w:right w:val="nil"/>
            </w:tcBorders>
            <w:shd w:val="clear" w:color="FFFFFF" w:fill="FFFFFF"/>
            <w:vAlign w:val="bottom"/>
          </w:tcPr>
          <w:p>
            <w:pPr>
              <w:jc w:val="center"/>
              <w:rPr>
                <w:rFonts w:hint="eastAsia" w:ascii="宋体" w:hAnsi="宋体" w:eastAsia="宋体" w:cs="宋体"/>
                <w:i w:val="0"/>
                <w:iCs w:val="0"/>
                <w:color w:val="000000"/>
                <w:sz w:val="20"/>
                <w:szCs w:val="20"/>
                <w:u w:val="none"/>
              </w:rPr>
            </w:pPr>
          </w:p>
        </w:tc>
        <w:tc>
          <w:tcPr>
            <w:tcW w:w="346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7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2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单位工程名称</w:t>
            </w:r>
          </w:p>
        </w:tc>
        <w:tc>
          <w:tcPr>
            <w:tcW w:w="17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445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7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2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2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建筑工程</w:t>
            </w:r>
          </w:p>
        </w:tc>
        <w:tc>
          <w:tcPr>
            <w:tcW w:w="1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330.06</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2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给排水</w:t>
            </w:r>
          </w:p>
        </w:tc>
        <w:tc>
          <w:tcPr>
            <w:tcW w:w="1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727.11</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4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w:t>
            </w:r>
          </w:p>
        </w:tc>
        <w:tc>
          <w:tcPr>
            <w:tcW w:w="1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8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1057.17</w:t>
            </w:r>
          </w:p>
        </w:tc>
        <w:tc>
          <w:tcPr>
            <w:tcW w:w="148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pPr>
        <w:pStyle w:val="48"/>
        <w:rPr>
          <w:rFonts w:hint="eastAsia" w:ascii="仿宋" w:hAnsi="仿宋" w:eastAsia="仿宋" w:cs="仿宋_GB2312"/>
          <w:b/>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31"/>
        <w:gridCol w:w="145"/>
        <w:gridCol w:w="189"/>
        <w:gridCol w:w="2"/>
        <w:gridCol w:w="835"/>
        <w:gridCol w:w="49"/>
        <w:gridCol w:w="46"/>
        <w:gridCol w:w="7"/>
        <w:gridCol w:w="870"/>
        <w:gridCol w:w="169"/>
        <w:gridCol w:w="20"/>
        <w:gridCol w:w="248"/>
        <w:gridCol w:w="49"/>
        <w:gridCol w:w="1104"/>
        <w:gridCol w:w="49"/>
        <w:gridCol w:w="459"/>
        <w:gridCol w:w="42"/>
        <w:gridCol w:w="13"/>
        <w:gridCol w:w="41"/>
        <w:gridCol w:w="17"/>
        <w:gridCol w:w="48"/>
        <w:gridCol w:w="7"/>
        <w:gridCol w:w="5"/>
        <w:gridCol w:w="55"/>
        <w:gridCol w:w="16"/>
        <w:gridCol w:w="48"/>
        <w:gridCol w:w="183"/>
        <w:gridCol w:w="239"/>
        <w:gridCol w:w="183"/>
        <w:gridCol w:w="110"/>
        <w:gridCol w:w="152"/>
        <w:gridCol w:w="515"/>
        <w:gridCol w:w="159"/>
        <w:gridCol w:w="20"/>
        <w:gridCol w:w="12"/>
        <w:gridCol w:w="148"/>
        <w:gridCol w:w="30"/>
        <w:gridCol w:w="71"/>
        <w:gridCol w:w="27"/>
        <w:gridCol w:w="13"/>
        <w:gridCol w:w="106"/>
        <w:gridCol w:w="110"/>
        <w:gridCol w:w="5"/>
        <w:gridCol w:w="133"/>
        <w:gridCol w:w="163"/>
        <w:gridCol w:w="68"/>
        <w:gridCol w:w="298"/>
        <w:gridCol w:w="106"/>
        <w:gridCol w:w="146"/>
        <w:gridCol w:w="231"/>
        <w:gridCol w:w="458"/>
        <w:gridCol w:w="5"/>
        <w:gridCol w:w="2"/>
        <w:gridCol w:w="85"/>
        <w:gridCol w:w="134"/>
        <w:gridCol w:w="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795" w:hRule="atLeast"/>
        </w:trPr>
        <w:tc>
          <w:tcPr>
            <w:tcW w:w="4863" w:type="pct"/>
            <w:gridSpan w:val="5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570" w:hRule="atLeast"/>
        </w:trPr>
        <w:tc>
          <w:tcPr>
            <w:tcW w:w="2777" w:type="pct"/>
            <w:gridSpan w:val="1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881" w:type="pct"/>
            <w:gridSpan w:val="1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04" w:type="pct"/>
            <w:gridSpan w:val="1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75" w:hRule="atLeast"/>
        </w:trPr>
        <w:tc>
          <w:tcPr>
            <w:tcW w:w="535"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206"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208" w:type="pct"/>
            <w:gridSpan w:val="2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912"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136" w:type="pct"/>
          <w:trHeight w:val="360" w:hRule="atLeast"/>
        </w:trPr>
        <w:tc>
          <w:tcPr>
            <w:tcW w:w="535"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06"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208" w:type="pct"/>
            <w:gridSpan w:val="2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2"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795" w:hRule="atLeast"/>
        </w:trPr>
        <w:tc>
          <w:tcPr>
            <w:tcW w:w="4994" w:type="pct"/>
            <w:gridSpan w:val="5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2852" w:type="pct"/>
            <w:gridSpan w:val="2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937"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04"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34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21"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58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72" w:type="pct"/>
            <w:gridSpan w:val="1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3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55"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274" w:type="pct"/>
            <w:gridSpan w:val="1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34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1"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72" w:type="pct"/>
            <w:gridSpan w:val="1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4" w:type="pct"/>
            <w:gridSpan w:val="10"/>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45"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34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1"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72" w:type="pct"/>
            <w:gridSpan w:val="1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4" w:type="pct"/>
            <w:gridSpan w:val="10"/>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5"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825"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砖砌体拆除</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1.砌体材质:砖砌体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2.拆除高度:按现场实际情况综合考虑</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3.2344</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其他金属构件拆除</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1.机械单项拆除 其他金属构件</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0.1422813</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有梁板</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1.混凝土种类:预拌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1.946</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钢管柱</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1.钢材品种、规格:钢管 50mm×50mm×5mm</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0.1085</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钢梁</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1.钢材品种、规格:钢管 50mm×50mm×5mm</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0.1968</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钢梁</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1.钢材品种、规格:钢管 50mm×50mm×5mm</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0.0158</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钢板墙板</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1.钢材品种:不锈钢钢板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2.压型钢板厚度:0.2mm</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9.2625</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钢板楼板</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1.钢材品种:不锈钢钢板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2.压型钢板厚度:0.2mm</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彩板门</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1.彩钢板门安装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2.不锈钢门</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现浇构件钢筋</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1.现浇构件箍筋 圆钢 φ10以内</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0.025</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现浇构件钢筋</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1.现浇构件带肋钢筋 φ10以内</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0.263</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108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金属面油漆</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1.机喷环氧富锌漆 防锈漆一遍 实际防锈漆遍数(遍):3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2.喷聚氨酯面漆 一遍 实际面漆遍数(遍):2</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34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2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有梁板</w:t>
            </w:r>
          </w:p>
        </w:tc>
        <w:tc>
          <w:tcPr>
            <w:tcW w:w="1372" w:type="pct"/>
            <w:gridSpan w:val="1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5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21.13</w:t>
            </w:r>
          </w:p>
        </w:tc>
        <w:tc>
          <w:tcPr>
            <w:tcW w:w="44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5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55"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953"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190"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2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82"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0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4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64"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553"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1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511"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604"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3"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shd w:val="clear"/>
                <w:lang w:val="en-US" w:eastAsia="zh-CN" w:bidi="ar"/>
              </w:rPr>
              <w:t>330.06</w:t>
            </w: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i w:val="0"/>
                <w:iCs w:val="0"/>
                <w:color w:val="000000"/>
                <w:kern w:val="0"/>
                <w:sz w:val="20"/>
                <w:szCs w:val="20"/>
                <w:u w:val="none"/>
                <w:lang w:bidi="ar"/>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53"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53"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8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53"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3"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795" w:hRule="atLeast"/>
        </w:trPr>
        <w:tc>
          <w:tcPr>
            <w:tcW w:w="4867" w:type="pct"/>
            <w:gridSpan w:val="5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570" w:hRule="atLeast"/>
        </w:trPr>
        <w:tc>
          <w:tcPr>
            <w:tcW w:w="2805" w:type="pct"/>
            <w:gridSpan w:val="2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848" w:type="pct"/>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13" w:type="pct"/>
            <w:gridSpan w:val="1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570" w:hRule="atLeast"/>
        </w:trPr>
        <w:tc>
          <w:tcPr>
            <w:tcW w:w="427"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2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39"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5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476"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44"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570" w:hRule="atLeast"/>
        </w:trPr>
        <w:tc>
          <w:tcPr>
            <w:tcW w:w="427"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39"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75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6"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4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795" w:hRule="atLeast"/>
        </w:trPr>
        <w:tc>
          <w:tcPr>
            <w:tcW w:w="4865" w:type="pct"/>
            <w:gridSpan w:val="5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570" w:hRule="atLeast"/>
        </w:trPr>
        <w:tc>
          <w:tcPr>
            <w:tcW w:w="2804" w:type="pct"/>
            <w:gridSpan w:val="2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工程名称：给排水</w:t>
            </w:r>
          </w:p>
        </w:tc>
        <w:tc>
          <w:tcPr>
            <w:tcW w:w="848"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13" w:type="pct"/>
            <w:gridSpan w:val="1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75" w:hRule="atLeast"/>
        </w:trPr>
        <w:tc>
          <w:tcPr>
            <w:tcW w:w="539"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229"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177" w:type="pct"/>
            <w:gridSpan w:val="2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919" w:type="pct"/>
            <w:gridSpan w:val="10"/>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34" w:type="pct"/>
          <w:trHeight w:val="360" w:hRule="atLeast"/>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2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177" w:type="pct"/>
            <w:gridSpan w:val="2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19"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795" w:hRule="atLeast"/>
        </w:trPr>
        <w:tc>
          <w:tcPr>
            <w:tcW w:w="4866" w:type="pct"/>
            <w:gridSpan w:val="5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2805" w:type="pct"/>
            <w:gridSpan w:val="2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工程名称：给排水</w:t>
            </w:r>
          </w:p>
        </w:tc>
        <w:tc>
          <w:tcPr>
            <w:tcW w:w="848"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13" w:type="pct"/>
            <w:gridSpan w:val="1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29"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59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54" w:type="pct"/>
            <w:gridSpan w:val="1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3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20"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284" w:type="pct"/>
            <w:gridSpan w:val="2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54" w:type="pct"/>
            <w:gridSpan w:val="1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8" w:type="pct"/>
            <w:gridSpan w:val="1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4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54" w:type="pct"/>
            <w:gridSpan w:val="1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8" w:type="pct"/>
            <w:gridSpan w:val="1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4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拆除药液管</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拆除药液管</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1.材质、规格:DN80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拆除三通</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1.材质、规格:DN50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拆除三通</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拆除阀门 DN50</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1.螺纹阀门 公称直径(mm以内) 65</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拆除阀门 DN80</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1.螺纹阀门 公称直径(mm以内) 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拆除阀门 DN100</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1.螺纹阀门 公称直径(mm以内) 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825"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拆除Y型过滤器 DN100</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1.Y型过滤器安装(法兰连接) 公称直径(mm以内) 100 单价*0.3</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拆除90度弯头</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36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拆除90度弯头</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1.材质、规格:DN80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药液管</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1.名称:药液管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药液管</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1.名称:药液管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斜三通</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1.名称:45度斜三通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三通</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1.名称:三通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2.材质、规格:DN100×DN50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球阀</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1.名称:PVC-U球阀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2.型号:DN50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球阀</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1.名称:PVC-U球阀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球阀</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1.名称:PVC-U球阀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过滤器</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1.名称:Y型过滤器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过滤器</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1.名称:Y型过滤器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90度弯头</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1.名称:弯头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45度弯头</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1.名称:弯头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2.材质、规格:DN80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UPVC管</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3" w:type="pct"/>
          <w:trHeight w:val="570" w:hRule="atLeast"/>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给、排水附(配)件</w:t>
            </w:r>
          </w:p>
        </w:tc>
        <w:tc>
          <w:tcPr>
            <w:tcW w:w="1254"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1.名称:DN100 地漏</w:t>
            </w:r>
          </w:p>
        </w:tc>
        <w:tc>
          <w:tcPr>
            <w:tcW w:w="23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2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8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795" w:hRule="atLeast"/>
        </w:trPr>
        <w:tc>
          <w:tcPr>
            <w:tcW w:w="4917" w:type="pct"/>
            <w:gridSpan w:val="5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825" w:hRule="atLeast"/>
        </w:trPr>
        <w:tc>
          <w:tcPr>
            <w:tcW w:w="2886" w:type="pct"/>
            <w:gridSpan w:val="2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工程名称：给排水</w:t>
            </w:r>
          </w:p>
        </w:tc>
        <w:tc>
          <w:tcPr>
            <w:tcW w:w="860"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170"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570" w:hRule="atLeast"/>
        </w:trPr>
        <w:tc>
          <w:tcPr>
            <w:tcW w:w="32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1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0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4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64"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60"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1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511"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583"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159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shd w:val="clear"/>
                <w:lang w:val="en-US" w:eastAsia="zh-CN" w:bidi="ar"/>
              </w:rPr>
              <w:t>727.11</w:t>
            </w: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i w:val="0"/>
                <w:iCs w:val="0"/>
                <w:color w:val="000000"/>
                <w:kern w:val="0"/>
                <w:sz w:val="20"/>
                <w:szCs w:val="20"/>
                <w:u w:val="none"/>
                <w:lang w:bidi="ar"/>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57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57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286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235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795" w:hRule="atLeast"/>
        </w:trPr>
        <w:tc>
          <w:tcPr>
            <w:tcW w:w="322"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13"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64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0"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37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82" w:type="pct"/>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1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0"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1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795" w:hRule="atLeast"/>
        </w:trPr>
        <w:tc>
          <w:tcPr>
            <w:tcW w:w="4867" w:type="pct"/>
            <w:gridSpan w:val="5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570" w:hRule="atLeast"/>
        </w:trPr>
        <w:tc>
          <w:tcPr>
            <w:tcW w:w="2805" w:type="pct"/>
            <w:gridSpan w:val="2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工程名称：给排水</w:t>
            </w:r>
          </w:p>
        </w:tc>
        <w:tc>
          <w:tcPr>
            <w:tcW w:w="848" w:type="pct"/>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13" w:type="pct"/>
            <w:gridSpan w:val="1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570" w:hRule="atLeast"/>
        </w:trPr>
        <w:tc>
          <w:tcPr>
            <w:tcW w:w="427"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2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39"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5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476"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44"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132" w:type="pct"/>
          <w:trHeight w:val="570" w:hRule="atLeast"/>
        </w:trPr>
        <w:tc>
          <w:tcPr>
            <w:tcW w:w="427"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2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339"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75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6"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44"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48"/>
        <w:rPr>
          <w:rFonts w:hint="eastAsia" w:ascii="仿宋" w:hAnsi="仿宋" w:eastAsia="仿宋" w:cs="仿宋_GB2312"/>
          <w:b/>
          <w:sz w:val="28"/>
          <w:szCs w:val="28"/>
          <w:highlight w:val="none"/>
        </w:rPr>
      </w:pPr>
    </w:p>
    <w:p>
      <w:pPr>
        <w:pStyle w:val="48"/>
        <w:rPr>
          <w:rFonts w:hint="eastAsia" w:ascii="仿宋" w:hAnsi="仿宋" w:eastAsia="仿宋" w:cs="仿宋_GB2312"/>
          <w:b/>
          <w:sz w:val="28"/>
          <w:szCs w:val="28"/>
          <w:highlight w:val="none"/>
        </w:rPr>
      </w:pPr>
      <w:r>
        <w:rPr>
          <w:rFonts w:hint="eastAsia" w:ascii="仿宋" w:hAnsi="仿宋" w:eastAsia="仿宋" w:cs="仿宋_GB2312"/>
          <w:b/>
          <w:sz w:val="28"/>
          <w:szCs w:val="28"/>
          <w:highlight w:val="none"/>
        </w:rPr>
        <w:t>项目</w:t>
      </w:r>
      <w:r>
        <w:rPr>
          <w:rFonts w:hint="eastAsia" w:ascii="仿宋" w:hAnsi="仿宋" w:eastAsia="仿宋" w:cs="仿宋_GB2312"/>
          <w:b/>
          <w:sz w:val="28"/>
          <w:szCs w:val="28"/>
          <w:highlight w:val="none"/>
          <w:lang w:val="en-US" w:eastAsia="zh-CN"/>
        </w:rPr>
        <w:t>十二</w:t>
      </w:r>
      <w:r>
        <w:rPr>
          <w:rFonts w:hint="eastAsia" w:ascii="仿宋" w:hAnsi="仿宋" w:eastAsia="仿宋" w:cs="仿宋_GB2312"/>
          <w:b/>
          <w:sz w:val="28"/>
          <w:szCs w:val="28"/>
          <w:highlight w:val="none"/>
        </w:rPr>
        <w:t>：大坦沙分公司一二期鼓风机房隔音优化项目</w:t>
      </w:r>
    </w:p>
    <w:p>
      <w:pPr>
        <w:pStyle w:val="3"/>
        <w:rPr>
          <w:rFonts w:hint="eastAsia"/>
        </w:rPr>
      </w:pPr>
    </w:p>
    <w:p>
      <w:pPr>
        <w:keepNext w:val="0"/>
        <w:keepLines w:val="0"/>
        <w:pageBreakBefore w:val="0"/>
        <w:widowControl/>
        <w:kinsoku/>
        <w:wordWrap/>
        <w:overflowPunct/>
        <w:bidi w:val="0"/>
        <w:spacing w:line="240" w:lineRule="auto"/>
        <w:ind w:firstLine="0" w:firstLineChars="0"/>
        <w:jc w:val="left"/>
        <w:rPr>
          <w:rFonts w:hint="eastAsia" w:ascii="宋体" w:hAnsi="宋体" w:eastAsia="宋体" w:cs="宋体"/>
          <w:b/>
          <w:bCs/>
          <w:color w:val="000000"/>
          <w:sz w:val="21"/>
          <w:szCs w:val="21"/>
          <w:highlight w:val="none"/>
          <w:lang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4"/>
        <w:gridCol w:w="495"/>
        <w:gridCol w:w="692"/>
        <w:gridCol w:w="154"/>
        <w:gridCol w:w="1250"/>
        <w:gridCol w:w="212"/>
        <w:gridCol w:w="1305"/>
        <w:gridCol w:w="507"/>
        <w:gridCol w:w="5"/>
        <w:gridCol w:w="98"/>
        <w:gridCol w:w="94"/>
        <w:gridCol w:w="74"/>
        <w:gridCol w:w="442"/>
        <w:gridCol w:w="357"/>
        <w:gridCol w:w="411"/>
        <w:gridCol w:w="94"/>
        <w:gridCol w:w="7"/>
        <w:gridCol w:w="348"/>
        <w:gridCol w:w="323"/>
        <w:gridCol w:w="49"/>
        <w:gridCol w:w="475"/>
        <w:gridCol w:w="346"/>
        <w:gridCol w:w="710"/>
        <w:gridCol w:w="8"/>
        <w:gridCol w:w="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 w:type="pct"/>
          <w:trHeight w:val="795" w:hRule="atLeast"/>
        </w:trPr>
        <w:tc>
          <w:tcPr>
            <w:tcW w:w="4994" w:type="pct"/>
            <w:gridSpan w:val="2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570" w:hRule="atLeast"/>
        </w:trPr>
        <w:tc>
          <w:tcPr>
            <w:tcW w:w="2878"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工程名称：大坦沙分公司一二期鼓风机房隔音优化项目</w:t>
            </w:r>
          </w:p>
        </w:tc>
        <w:tc>
          <w:tcPr>
            <w:tcW w:w="870"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5"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75" w:hRule="atLeast"/>
        </w:trPr>
        <w:tc>
          <w:tcPr>
            <w:tcW w:w="604"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331"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187"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87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 w:type="pct"/>
          <w:trHeight w:val="360" w:hRule="atLeast"/>
        </w:trPr>
        <w:tc>
          <w:tcPr>
            <w:tcW w:w="60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3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18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795" w:hRule="atLeast"/>
        </w:trPr>
        <w:tc>
          <w:tcPr>
            <w:tcW w:w="4998" w:type="pct"/>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570" w:hRule="atLeast"/>
        </w:trPr>
        <w:tc>
          <w:tcPr>
            <w:tcW w:w="2881"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工程名称：大坦沙分公司一二期鼓风机房隔音优化项目</w:t>
            </w:r>
          </w:p>
        </w:tc>
        <w:tc>
          <w:tcPr>
            <w:tcW w:w="870"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6"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45" w:hRule="atLeast"/>
        </w:trPr>
        <w:tc>
          <w:tcPr>
            <w:tcW w:w="32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48"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9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67"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42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298"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9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67"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3"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45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9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67"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2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3"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5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挖一般土方</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1.草地开挖                     2.一二类土</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含6%水泥石粉垫层</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水泥砂浆楼地面</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1.找平层和面层厚度：50mm                       2.水泥混凝土面层</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特种门</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1.不锈钢隔音门              2.规格型号：1.5*2.1m,共4个</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实心砖墙</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1.规格：混水砖外墙                 2.厚度：1砖半</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1.镀锌隔音板</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126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工程名称：大坦沙分公司一二期鼓风机房隔音优化项目</w:t>
            </w:r>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6"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5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92"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2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8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82"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67"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85"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9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48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shd w:val="clear"/>
                <w:lang w:val="en-US" w:eastAsia="zh-CN" w:bidi="ar"/>
              </w:rPr>
              <w:t>751.92</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i w:val="0"/>
                <w:iCs w:val="0"/>
                <w:color w:val="000000"/>
                <w:kern w:val="0"/>
                <w:sz w:val="20"/>
                <w:szCs w:val="20"/>
                <w:u w:val="none"/>
                <w:lang w:bidi="ar"/>
              </w:rPr>
            </w:pPr>
          </w:p>
        </w:tc>
        <w:tc>
          <w:tcPr>
            <w:tcW w:w="46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9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5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9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8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5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9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5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9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bl>
    <w:p>
      <w:pPr>
        <w:pStyle w:val="6"/>
        <w:numPr>
          <w:ilvl w:val="-1"/>
          <w:numId w:val="0"/>
        </w:numPr>
        <w:rPr>
          <w:rFonts w:hint="eastAsia" w:asciiTheme="minorEastAsia" w:hAnsiTheme="minorEastAsia" w:eastAsiaTheme="minorEastAsia"/>
          <w:color w:val="auto"/>
          <w:sz w:val="28"/>
          <w:szCs w:val="28"/>
          <w:highlight w:val="none"/>
        </w:rPr>
      </w:pPr>
    </w:p>
    <w:p>
      <w:pPr>
        <w:pStyle w:val="3"/>
        <w:rPr>
          <w:rFonts w:hint="eastAsia"/>
          <w:lang w:val="en-US" w:eastAsia="zh-CN"/>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pStyle w:val="3"/>
        <w:rPr>
          <w:rFonts w:hint="eastAsia" w:ascii="仿宋" w:hAnsi="仿宋" w:eastAsia="仿宋" w:cs="仿宋_GB2312"/>
          <w:color w:val="000000"/>
          <w:kern w:val="2"/>
          <w:szCs w:val="28"/>
        </w:rPr>
      </w:pPr>
      <w:r>
        <w:rPr>
          <w:rFonts w:hint="eastAsia" w:ascii="仿宋" w:hAnsi="仿宋" w:eastAsia="仿宋" w:cs="仿宋_GB2312"/>
          <w:color w:val="000000"/>
          <w:kern w:val="2"/>
          <w:szCs w:val="28"/>
        </w:rPr>
        <w:t>日期：          年      月     日</w:t>
      </w:r>
    </w:p>
    <w:p>
      <w:pPr>
        <w:pStyle w:val="2"/>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2" w:name="_Toc87616402"/>
      <w:bookmarkStart w:id="133" w:name="_Toc6058"/>
      <w:bookmarkStart w:id="134" w:name="_Toc88209965"/>
      <w:bookmarkStart w:id="135" w:name="_Toc16386"/>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2"/>
      <w:bookmarkEnd w:id="133"/>
      <w:bookmarkEnd w:id="134"/>
      <w:bookmarkEnd w:id="135"/>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14V/s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rXhX+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sn/ckBAACa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0qSiwzOPHzzx/nX3/Ov7+T&#10;ZdKn91Bj2qPHxDh8cANuzewHdCbagwwmfZEQwTiqe7qoK4ZIeHq0qlarEkMcY/MF8Yun5z5A/Cic&#10;IcloaMDxZVXZ8R7imDqnpGrW3Smt8wi1/ceBmMlTpN7HHpMVh90wEdq59oR8epx8Qy0uOiX6k0Vh&#10;05LMRpiN3WwcfFD7Lm9Rqgf+9hCxidxbqjDCToVxZJndtF5pJ57fc9bTL7X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9ayf9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438F8"/>
    <w:multiLevelType w:val="singleLevel"/>
    <w:tmpl w:val="8F3438F8"/>
    <w:lvl w:ilvl="0" w:tentative="0">
      <w:start w:val="1"/>
      <w:numFmt w:val="decimal"/>
      <w:lvlText w:val="%1."/>
      <w:lvlJc w:val="left"/>
      <w:pPr>
        <w:ind w:left="425" w:hanging="425"/>
      </w:pPr>
      <w:rPr>
        <w:rFonts w:hint="default"/>
      </w:rPr>
    </w:lvl>
  </w:abstractNum>
  <w:abstractNum w:abstractNumId="1">
    <w:nsid w:val="B2FA6155"/>
    <w:multiLevelType w:val="singleLevel"/>
    <w:tmpl w:val="B2FA6155"/>
    <w:lvl w:ilvl="0" w:tentative="0">
      <w:start w:val="1"/>
      <w:numFmt w:val="decimal"/>
      <w:suff w:val="space"/>
      <w:lvlText w:val="%1."/>
      <w:lvlJc w:val="left"/>
    </w:lvl>
  </w:abstractNum>
  <w:abstractNum w:abstractNumId="2">
    <w:nsid w:val="B302B05F"/>
    <w:multiLevelType w:val="singleLevel"/>
    <w:tmpl w:val="B302B05F"/>
    <w:lvl w:ilvl="0" w:tentative="0">
      <w:start w:val="1"/>
      <w:numFmt w:val="decimal"/>
      <w:suff w:val="nothing"/>
      <w:lvlText w:val="（%1）"/>
      <w:lvlJc w:val="left"/>
    </w:lvl>
  </w:abstractNum>
  <w:abstractNum w:abstractNumId="3">
    <w:nsid w:val="B848DB91"/>
    <w:multiLevelType w:val="singleLevel"/>
    <w:tmpl w:val="B848DB91"/>
    <w:lvl w:ilvl="0" w:tentative="0">
      <w:start w:val="1"/>
      <w:numFmt w:val="decimal"/>
      <w:suff w:val="nothing"/>
      <w:lvlText w:val="%1、"/>
      <w:lvlJc w:val="left"/>
    </w:lvl>
  </w:abstractNum>
  <w:abstractNum w:abstractNumId="4">
    <w:nsid w:val="BE6E98AD"/>
    <w:multiLevelType w:val="singleLevel"/>
    <w:tmpl w:val="BE6E98AD"/>
    <w:lvl w:ilvl="0" w:tentative="0">
      <w:start w:val="1"/>
      <w:numFmt w:val="decimal"/>
      <w:lvlText w:val="%1."/>
      <w:lvlJc w:val="left"/>
      <w:pPr>
        <w:tabs>
          <w:tab w:val="left" w:pos="312"/>
        </w:tabs>
      </w:pPr>
    </w:lvl>
  </w:abstractNum>
  <w:abstractNum w:abstractNumId="5">
    <w:nsid w:val="CC9CF724"/>
    <w:multiLevelType w:val="singleLevel"/>
    <w:tmpl w:val="CC9CF724"/>
    <w:lvl w:ilvl="0" w:tentative="0">
      <w:start w:val="1"/>
      <w:numFmt w:val="chineseCounting"/>
      <w:suff w:val="space"/>
      <w:lvlText w:val="第%1章"/>
      <w:lvlJc w:val="left"/>
      <w:rPr>
        <w:rFonts w:hint="eastAsia"/>
      </w:rPr>
    </w:lvl>
  </w:abstractNum>
  <w:abstractNum w:abstractNumId="6">
    <w:nsid w:val="DFAFCA11"/>
    <w:multiLevelType w:val="singleLevel"/>
    <w:tmpl w:val="DFAFCA11"/>
    <w:lvl w:ilvl="0" w:tentative="0">
      <w:start w:val="1"/>
      <w:numFmt w:val="decimal"/>
      <w:suff w:val="space"/>
      <w:lvlText w:val="%1."/>
      <w:lvlJc w:val="left"/>
    </w:lvl>
  </w:abstractNum>
  <w:abstractNum w:abstractNumId="7">
    <w:nsid w:val="EEF36D1F"/>
    <w:multiLevelType w:val="singleLevel"/>
    <w:tmpl w:val="EEF36D1F"/>
    <w:lvl w:ilvl="0" w:tentative="0">
      <w:start w:val="1"/>
      <w:numFmt w:val="chineseCounting"/>
      <w:suff w:val="nothing"/>
      <w:lvlText w:val="%1、"/>
      <w:lvlJc w:val="left"/>
      <w:rPr>
        <w:rFonts w:hint="eastAsia"/>
      </w:rPr>
    </w:lvl>
  </w:abstractNum>
  <w:abstractNum w:abstractNumId="8">
    <w:nsid w:val="F13FB8F2"/>
    <w:multiLevelType w:val="singleLevel"/>
    <w:tmpl w:val="F13FB8F2"/>
    <w:lvl w:ilvl="0" w:tentative="0">
      <w:start w:val="1"/>
      <w:numFmt w:val="decimal"/>
      <w:suff w:val="space"/>
      <w:lvlText w:val="%1."/>
      <w:lvlJc w:val="left"/>
    </w:lvl>
  </w:abstractNum>
  <w:abstractNum w:abstractNumId="9">
    <w:nsid w:val="F474C9A6"/>
    <w:multiLevelType w:val="singleLevel"/>
    <w:tmpl w:val="F474C9A6"/>
    <w:lvl w:ilvl="0" w:tentative="0">
      <w:start w:val="10"/>
      <w:numFmt w:val="chineseCounting"/>
      <w:suff w:val="space"/>
      <w:lvlText w:val="第%1条"/>
      <w:lvlJc w:val="left"/>
      <w:rPr>
        <w:rFonts w:hint="eastAsia"/>
      </w:rPr>
    </w:lvl>
  </w:abstractNum>
  <w:abstractNum w:abstractNumId="10">
    <w:nsid w:val="1738A86A"/>
    <w:multiLevelType w:val="singleLevel"/>
    <w:tmpl w:val="1738A86A"/>
    <w:lvl w:ilvl="0" w:tentative="0">
      <w:start w:val="1"/>
      <w:numFmt w:val="decimal"/>
      <w:lvlText w:val="%1."/>
      <w:lvlJc w:val="left"/>
      <w:pPr>
        <w:tabs>
          <w:tab w:val="left" w:pos="312"/>
        </w:tabs>
      </w:pPr>
    </w:lvl>
  </w:abstractNum>
  <w:abstractNum w:abstractNumId="11">
    <w:nsid w:val="3C0C7E72"/>
    <w:multiLevelType w:val="singleLevel"/>
    <w:tmpl w:val="3C0C7E72"/>
    <w:lvl w:ilvl="0" w:tentative="0">
      <w:start w:val="1"/>
      <w:numFmt w:val="decimal"/>
      <w:suff w:val="space"/>
      <w:lvlText w:val="%1."/>
      <w:lvlJc w:val="left"/>
    </w:lvl>
  </w:abstractNum>
  <w:abstractNum w:abstractNumId="12">
    <w:nsid w:val="4734DCE6"/>
    <w:multiLevelType w:val="singleLevel"/>
    <w:tmpl w:val="4734DCE6"/>
    <w:lvl w:ilvl="0" w:tentative="0">
      <w:start w:val="1"/>
      <w:numFmt w:val="decimal"/>
      <w:lvlText w:val="%1."/>
      <w:lvlJc w:val="left"/>
      <w:pPr>
        <w:tabs>
          <w:tab w:val="left" w:pos="312"/>
        </w:tabs>
      </w:pPr>
    </w:lvl>
  </w:abstractNum>
  <w:abstractNum w:abstractNumId="13">
    <w:nsid w:val="52B1C9AF"/>
    <w:multiLevelType w:val="singleLevel"/>
    <w:tmpl w:val="52B1C9AF"/>
    <w:lvl w:ilvl="0" w:tentative="0">
      <w:start w:val="1"/>
      <w:numFmt w:val="decimal"/>
      <w:suff w:val="space"/>
      <w:lvlText w:val="%1."/>
      <w:lvlJc w:val="left"/>
    </w:lvl>
  </w:abstractNum>
  <w:abstractNum w:abstractNumId="14">
    <w:nsid w:val="59E31EC0"/>
    <w:multiLevelType w:val="singleLevel"/>
    <w:tmpl w:val="59E31EC0"/>
    <w:lvl w:ilvl="0" w:tentative="0">
      <w:start w:val="2"/>
      <w:numFmt w:val="decimal"/>
      <w:suff w:val="nothing"/>
      <w:lvlText w:val="（%1）"/>
      <w:lvlJc w:val="left"/>
    </w:lvl>
  </w:abstractNum>
  <w:abstractNum w:abstractNumId="15">
    <w:nsid w:val="5A8991BE"/>
    <w:multiLevelType w:val="singleLevel"/>
    <w:tmpl w:val="5A8991BE"/>
    <w:lvl w:ilvl="0" w:tentative="0">
      <w:start w:val="1"/>
      <w:numFmt w:val="decimal"/>
      <w:suff w:val="nothing"/>
      <w:lvlText w:val="（%1）"/>
      <w:lvlJc w:val="left"/>
    </w:lvl>
  </w:abstractNum>
  <w:abstractNum w:abstractNumId="16">
    <w:nsid w:val="705D32C3"/>
    <w:multiLevelType w:val="singleLevel"/>
    <w:tmpl w:val="705D32C3"/>
    <w:lvl w:ilvl="0" w:tentative="0">
      <w:start w:val="5"/>
      <w:numFmt w:val="decimal"/>
      <w:lvlText w:val="%1."/>
      <w:lvlJc w:val="left"/>
      <w:pPr>
        <w:tabs>
          <w:tab w:val="left" w:pos="312"/>
        </w:tabs>
      </w:pPr>
    </w:lvl>
  </w:abstractNum>
  <w:abstractNum w:abstractNumId="17">
    <w:nsid w:val="70D1FBD9"/>
    <w:multiLevelType w:val="singleLevel"/>
    <w:tmpl w:val="70D1FBD9"/>
    <w:lvl w:ilvl="0" w:tentative="0">
      <w:start w:val="1"/>
      <w:numFmt w:val="chineseCounting"/>
      <w:suff w:val="nothing"/>
      <w:lvlText w:val="%1、"/>
      <w:lvlJc w:val="left"/>
      <w:rPr>
        <w:rFonts w:hint="eastAsia"/>
      </w:rPr>
    </w:lvl>
  </w:abstractNum>
  <w:num w:numId="1">
    <w:abstractNumId w:val="5"/>
  </w:num>
  <w:num w:numId="2">
    <w:abstractNumId w:val="16"/>
  </w:num>
  <w:num w:numId="3">
    <w:abstractNumId w:val="12"/>
  </w:num>
  <w:num w:numId="4">
    <w:abstractNumId w:val="7"/>
  </w:num>
  <w:num w:numId="5">
    <w:abstractNumId w:val="8"/>
  </w:num>
  <w:num w:numId="6">
    <w:abstractNumId w:val="1"/>
  </w:num>
  <w:num w:numId="7">
    <w:abstractNumId w:val="13"/>
  </w:num>
  <w:num w:numId="8">
    <w:abstractNumId w:val="6"/>
  </w:num>
  <w:num w:numId="9">
    <w:abstractNumId w:val="11"/>
  </w:num>
  <w:num w:numId="10">
    <w:abstractNumId w:val="17"/>
  </w:num>
  <w:num w:numId="11">
    <w:abstractNumId w:val="10"/>
  </w:num>
  <w:num w:numId="12">
    <w:abstractNumId w:val="4"/>
  </w:num>
  <w:num w:numId="13">
    <w:abstractNumId w:val="14"/>
  </w:num>
  <w:num w:numId="14">
    <w:abstractNumId w:val="15"/>
  </w:num>
  <w:num w:numId="15">
    <w:abstractNumId w:val="3"/>
  </w:num>
  <w:num w:numId="16">
    <w:abstractNumId w:val="0"/>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1D70E0"/>
    <w:rsid w:val="003D60BA"/>
    <w:rsid w:val="00411689"/>
    <w:rsid w:val="005D618A"/>
    <w:rsid w:val="00911ECD"/>
    <w:rsid w:val="00A042E0"/>
    <w:rsid w:val="00B26BB1"/>
    <w:rsid w:val="00B26E21"/>
    <w:rsid w:val="00F83B64"/>
    <w:rsid w:val="013E3461"/>
    <w:rsid w:val="01BB0F13"/>
    <w:rsid w:val="02090C75"/>
    <w:rsid w:val="022B01DE"/>
    <w:rsid w:val="029600E7"/>
    <w:rsid w:val="02A23A3C"/>
    <w:rsid w:val="035D130A"/>
    <w:rsid w:val="039110A9"/>
    <w:rsid w:val="03AC246A"/>
    <w:rsid w:val="03AE6061"/>
    <w:rsid w:val="03B23056"/>
    <w:rsid w:val="03DA023E"/>
    <w:rsid w:val="03DC3EBA"/>
    <w:rsid w:val="03F9794D"/>
    <w:rsid w:val="046A2461"/>
    <w:rsid w:val="051C2970"/>
    <w:rsid w:val="060C3611"/>
    <w:rsid w:val="062B2123"/>
    <w:rsid w:val="06C64829"/>
    <w:rsid w:val="070E7B6E"/>
    <w:rsid w:val="071D62B7"/>
    <w:rsid w:val="07692DE9"/>
    <w:rsid w:val="077034C1"/>
    <w:rsid w:val="077D16D2"/>
    <w:rsid w:val="082A69F3"/>
    <w:rsid w:val="08675FC8"/>
    <w:rsid w:val="09B713FD"/>
    <w:rsid w:val="09EF6ACC"/>
    <w:rsid w:val="0A315056"/>
    <w:rsid w:val="0AA213B4"/>
    <w:rsid w:val="0AF61C7E"/>
    <w:rsid w:val="0AFB45AD"/>
    <w:rsid w:val="0B351E9B"/>
    <w:rsid w:val="0B4C50D3"/>
    <w:rsid w:val="0B6D5453"/>
    <w:rsid w:val="0B806B92"/>
    <w:rsid w:val="0B827E94"/>
    <w:rsid w:val="0B842F76"/>
    <w:rsid w:val="0BD070E1"/>
    <w:rsid w:val="0C2361E7"/>
    <w:rsid w:val="0C247926"/>
    <w:rsid w:val="0CCC0A38"/>
    <w:rsid w:val="0D1E5998"/>
    <w:rsid w:val="0D240717"/>
    <w:rsid w:val="0D794204"/>
    <w:rsid w:val="0E2125D1"/>
    <w:rsid w:val="0E214211"/>
    <w:rsid w:val="0E5F2769"/>
    <w:rsid w:val="0F4D75A3"/>
    <w:rsid w:val="0F5B2DCA"/>
    <w:rsid w:val="0FED051E"/>
    <w:rsid w:val="0FEE4C29"/>
    <w:rsid w:val="10031608"/>
    <w:rsid w:val="10046082"/>
    <w:rsid w:val="104974DD"/>
    <w:rsid w:val="10D64EEC"/>
    <w:rsid w:val="111703D2"/>
    <w:rsid w:val="112B101A"/>
    <w:rsid w:val="119B53FC"/>
    <w:rsid w:val="1215733B"/>
    <w:rsid w:val="12424CDC"/>
    <w:rsid w:val="129A2738"/>
    <w:rsid w:val="12B56BF1"/>
    <w:rsid w:val="12CB1A89"/>
    <w:rsid w:val="12D75B32"/>
    <w:rsid w:val="131840FB"/>
    <w:rsid w:val="13467417"/>
    <w:rsid w:val="136E76CF"/>
    <w:rsid w:val="14425B91"/>
    <w:rsid w:val="145F08C6"/>
    <w:rsid w:val="14E43F59"/>
    <w:rsid w:val="15776308"/>
    <w:rsid w:val="159B7C4F"/>
    <w:rsid w:val="15BC6B3C"/>
    <w:rsid w:val="16360A7B"/>
    <w:rsid w:val="164D40B0"/>
    <w:rsid w:val="16881115"/>
    <w:rsid w:val="1694429A"/>
    <w:rsid w:val="16FD42A8"/>
    <w:rsid w:val="17635326"/>
    <w:rsid w:val="17B803EA"/>
    <w:rsid w:val="1815096B"/>
    <w:rsid w:val="18236EFD"/>
    <w:rsid w:val="189D5B1F"/>
    <w:rsid w:val="18A34CD0"/>
    <w:rsid w:val="18D24ACE"/>
    <w:rsid w:val="199602BD"/>
    <w:rsid w:val="19A53EA8"/>
    <w:rsid w:val="19B64DBC"/>
    <w:rsid w:val="19EC6A4A"/>
    <w:rsid w:val="1A373ACF"/>
    <w:rsid w:val="1A7B10BA"/>
    <w:rsid w:val="1A89276C"/>
    <w:rsid w:val="1A895341"/>
    <w:rsid w:val="1B0D071F"/>
    <w:rsid w:val="1B4568CE"/>
    <w:rsid w:val="1B9015B7"/>
    <w:rsid w:val="1B950DA6"/>
    <w:rsid w:val="1BEB4F9C"/>
    <w:rsid w:val="1BF54245"/>
    <w:rsid w:val="1D0E6976"/>
    <w:rsid w:val="1D5A79EE"/>
    <w:rsid w:val="1E0E2CD0"/>
    <w:rsid w:val="1E831280"/>
    <w:rsid w:val="1EBC4704"/>
    <w:rsid w:val="1F172EB5"/>
    <w:rsid w:val="1F94592D"/>
    <w:rsid w:val="1FB860DE"/>
    <w:rsid w:val="203C5A02"/>
    <w:rsid w:val="209D4C94"/>
    <w:rsid w:val="20B44FCD"/>
    <w:rsid w:val="20E84705"/>
    <w:rsid w:val="218400BA"/>
    <w:rsid w:val="21AB1E2F"/>
    <w:rsid w:val="21D40498"/>
    <w:rsid w:val="22102B6D"/>
    <w:rsid w:val="22767047"/>
    <w:rsid w:val="23A05588"/>
    <w:rsid w:val="240476A1"/>
    <w:rsid w:val="25285024"/>
    <w:rsid w:val="25431AEB"/>
    <w:rsid w:val="258F5A9A"/>
    <w:rsid w:val="25BE3BFB"/>
    <w:rsid w:val="25BF43FD"/>
    <w:rsid w:val="25F86BCD"/>
    <w:rsid w:val="2605748B"/>
    <w:rsid w:val="26396D26"/>
    <w:rsid w:val="264544A6"/>
    <w:rsid w:val="267702FB"/>
    <w:rsid w:val="269E416A"/>
    <w:rsid w:val="26C11C6B"/>
    <w:rsid w:val="272100D3"/>
    <w:rsid w:val="272C72FC"/>
    <w:rsid w:val="275131CB"/>
    <w:rsid w:val="278571F3"/>
    <w:rsid w:val="278F6521"/>
    <w:rsid w:val="27EB149D"/>
    <w:rsid w:val="27FD3E52"/>
    <w:rsid w:val="28C63324"/>
    <w:rsid w:val="28E11370"/>
    <w:rsid w:val="28EB3778"/>
    <w:rsid w:val="294A756A"/>
    <w:rsid w:val="29781BF8"/>
    <w:rsid w:val="29BC6190"/>
    <w:rsid w:val="29C33ED0"/>
    <w:rsid w:val="29D5322D"/>
    <w:rsid w:val="2A025DD9"/>
    <w:rsid w:val="2A2619CB"/>
    <w:rsid w:val="2A7C2231"/>
    <w:rsid w:val="2A920E4F"/>
    <w:rsid w:val="2ABB753D"/>
    <w:rsid w:val="2AFE6EC4"/>
    <w:rsid w:val="2B7A49FA"/>
    <w:rsid w:val="2BAC73CB"/>
    <w:rsid w:val="2C615D26"/>
    <w:rsid w:val="2CAA7893"/>
    <w:rsid w:val="2CB679ED"/>
    <w:rsid w:val="2CD15F86"/>
    <w:rsid w:val="2D173C07"/>
    <w:rsid w:val="2D424A86"/>
    <w:rsid w:val="2DDA66B7"/>
    <w:rsid w:val="2E184AFF"/>
    <w:rsid w:val="2E2E4FB6"/>
    <w:rsid w:val="2E6F2D11"/>
    <w:rsid w:val="2E7B52DB"/>
    <w:rsid w:val="2ED60115"/>
    <w:rsid w:val="2F324CFE"/>
    <w:rsid w:val="2FBA09F1"/>
    <w:rsid w:val="2FEF2ACF"/>
    <w:rsid w:val="2FF93D20"/>
    <w:rsid w:val="30540211"/>
    <w:rsid w:val="30E45100"/>
    <w:rsid w:val="31112A0D"/>
    <w:rsid w:val="311F4B20"/>
    <w:rsid w:val="312D7741"/>
    <w:rsid w:val="316F137F"/>
    <w:rsid w:val="31DF525F"/>
    <w:rsid w:val="31EC162B"/>
    <w:rsid w:val="32324C2E"/>
    <w:rsid w:val="326D7CE5"/>
    <w:rsid w:val="327171DF"/>
    <w:rsid w:val="338866DE"/>
    <w:rsid w:val="3391569E"/>
    <w:rsid w:val="341E3434"/>
    <w:rsid w:val="34BB4442"/>
    <w:rsid w:val="3584136B"/>
    <w:rsid w:val="35FF5AA4"/>
    <w:rsid w:val="360B7EBA"/>
    <w:rsid w:val="36416867"/>
    <w:rsid w:val="367D5DD4"/>
    <w:rsid w:val="369C32FD"/>
    <w:rsid w:val="37666E72"/>
    <w:rsid w:val="38081EA3"/>
    <w:rsid w:val="38167A04"/>
    <w:rsid w:val="381C3783"/>
    <w:rsid w:val="39292B04"/>
    <w:rsid w:val="394B167A"/>
    <w:rsid w:val="39DA2868"/>
    <w:rsid w:val="3A055F4B"/>
    <w:rsid w:val="3A4E4336"/>
    <w:rsid w:val="3A6007FE"/>
    <w:rsid w:val="3A6D4031"/>
    <w:rsid w:val="3A802587"/>
    <w:rsid w:val="3A852164"/>
    <w:rsid w:val="3AEC66D3"/>
    <w:rsid w:val="3AF93D6C"/>
    <w:rsid w:val="3AFD06C8"/>
    <w:rsid w:val="3B7C2CE4"/>
    <w:rsid w:val="3BAF716B"/>
    <w:rsid w:val="3BF33F5E"/>
    <w:rsid w:val="3C0B5355"/>
    <w:rsid w:val="3C2F6110"/>
    <w:rsid w:val="3CD4176B"/>
    <w:rsid w:val="3D114B7C"/>
    <w:rsid w:val="3D1F44D9"/>
    <w:rsid w:val="3D5C38CD"/>
    <w:rsid w:val="3E5070F1"/>
    <w:rsid w:val="3E7B7724"/>
    <w:rsid w:val="3EC370CB"/>
    <w:rsid w:val="3F6C3589"/>
    <w:rsid w:val="3F850180"/>
    <w:rsid w:val="3F9004D6"/>
    <w:rsid w:val="3FEE7CFA"/>
    <w:rsid w:val="400E4D5E"/>
    <w:rsid w:val="40E1138C"/>
    <w:rsid w:val="412D2AD6"/>
    <w:rsid w:val="413814BA"/>
    <w:rsid w:val="416E1A4E"/>
    <w:rsid w:val="41872511"/>
    <w:rsid w:val="41DF1251"/>
    <w:rsid w:val="4220472F"/>
    <w:rsid w:val="424236D9"/>
    <w:rsid w:val="42466655"/>
    <w:rsid w:val="42C82F57"/>
    <w:rsid w:val="434626F9"/>
    <w:rsid w:val="435707E5"/>
    <w:rsid w:val="43C76AF7"/>
    <w:rsid w:val="43E97E4A"/>
    <w:rsid w:val="446828F0"/>
    <w:rsid w:val="44812DE8"/>
    <w:rsid w:val="45093E85"/>
    <w:rsid w:val="45C13B4D"/>
    <w:rsid w:val="46054BCA"/>
    <w:rsid w:val="464C6AFC"/>
    <w:rsid w:val="468B0091"/>
    <w:rsid w:val="46A107C3"/>
    <w:rsid w:val="46B15CE2"/>
    <w:rsid w:val="46BE113D"/>
    <w:rsid w:val="46E44B13"/>
    <w:rsid w:val="4703508A"/>
    <w:rsid w:val="475023F8"/>
    <w:rsid w:val="479D361E"/>
    <w:rsid w:val="47B74789"/>
    <w:rsid w:val="48032A55"/>
    <w:rsid w:val="480F2B9D"/>
    <w:rsid w:val="48102176"/>
    <w:rsid w:val="48282920"/>
    <w:rsid w:val="483E1347"/>
    <w:rsid w:val="485321E0"/>
    <w:rsid w:val="48546AD3"/>
    <w:rsid w:val="48560165"/>
    <w:rsid w:val="48CA4868"/>
    <w:rsid w:val="48F005D3"/>
    <w:rsid w:val="49547ADD"/>
    <w:rsid w:val="49732351"/>
    <w:rsid w:val="498F4AF1"/>
    <w:rsid w:val="49C05787"/>
    <w:rsid w:val="49CF518D"/>
    <w:rsid w:val="49D66013"/>
    <w:rsid w:val="4A7F3979"/>
    <w:rsid w:val="4ACE3F05"/>
    <w:rsid w:val="4ADA1F63"/>
    <w:rsid w:val="4AE23D89"/>
    <w:rsid w:val="4B2038D0"/>
    <w:rsid w:val="4B296E7D"/>
    <w:rsid w:val="4B79394E"/>
    <w:rsid w:val="4B877F28"/>
    <w:rsid w:val="4C9B3F26"/>
    <w:rsid w:val="4CAC7A71"/>
    <w:rsid w:val="4D87499E"/>
    <w:rsid w:val="4D916BA6"/>
    <w:rsid w:val="4DC44169"/>
    <w:rsid w:val="4DD52DC8"/>
    <w:rsid w:val="4DE24E21"/>
    <w:rsid w:val="4DEB7B91"/>
    <w:rsid w:val="4E1B19A3"/>
    <w:rsid w:val="4E201F26"/>
    <w:rsid w:val="4E48787F"/>
    <w:rsid w:val="4E653F02"/>
    <w:rsid w:val="4E9E163B"/>
    <w:rsid w:val="4EF0709E"/>
    <w:rsid w:val="4F0469A4"/>
    <w:rsid w:val="4F5B6D94"/>
    <w:rsid w:val="4FC50439"/>
    <w:rsid w:val="500E56F4"/>
    <w:rsid w:val="50540C73"/>
    <w:rsid w:val="50752AF8"/>
    <w:rsid w:val="513C6A7B"/>
    <w:rsid w:val="52CB4910"/>
    <w:rsid w:val="52EC6EC2"/>
    <w:rsid w:val="532D486F"/>
    <w:rsid w:val="5333545B"/>
    <w:rsid w:val="538D0E89"/>
    <w:rsid w:val="54246187"/>
    <w:rsid w:val="543A30CA"/>
    <w:rsid w:val="5450213C"/>
    <w:rsid w:val="54D24048"/>
    <w:rsid w:val="54D64CD5"/>
    <w:rsid w:val="5532287C"/>
    <w:rsid w:val="557973EA"/>
    <w:rsid w:val="55887D69"/>
    <w:rsid w:val="561A0928"/>
    <w:rsid w:val="56423872"/>
    <w:rsid w:val="569E06BC"/>
    <w:rsid w:val="56B279F0"/>
    <w:rsid w:val="56F20F86"/>
    <w:rsid w:val="579D710E"/>
    <w:rsid w:val="581F22F6"/>
    <w:rsid w:val="586E1E17"/>
    <w:rsid w:val="58862C35"/>
    <w:rsid w:val="58C14957"/>
    <w:rsid w:val="58CC23D2"/>
    <w:rsid w:val="58E66050"/>
    <w:rsid w:val="58FE55B3"/>
    <w:rsid w:val="597B7C72"/>
    <w:rsid w:val="59FC7994"/>
    <w:rsid w:val="5A0707C1"/>
    <w:rsid w:val="5AE83A50"/>
    <w:rsid w:val="5B353193"/>
    <w:rsid w:val="5BAB2917"/>
    <w:rsid w:val="5BFC33FA"/>
    <w:rsid w:val="5C3107A4"/>
    <w:rsid w:val="5C3B1B93"/>
    <w:rsid w:val="5C471564"/>
    <w:rsid w:val="5C9220DF"/>
    <w:rsid w:val="5CAB5C1D"/>
    <w:rsid w:val="5CAD1369"/>
    <w:rsid w:val="5D4A15F3"/>
    <w:rsid w:val="5D69542A"/>
    <w:rsid w:val="5D783B72"/>
    <w:rsid w:val="5E0930EF"/>
    <w:rsid w:val="5E3D4D53"/>
    <w:rsid w:val="5E4717E6"/>
    <w:rsid w:val="5E55774C"/>
    <w:rsid w:val="5E8116A5"/>
    <w:rsid w:val="5E8A70FF"/>
    <w:rsid w:val="5F744BD5"/>
    <w:rsid w:val="60045F96"/>
    <w:rsid w:val="60104DDC"/>
    <w:rsid w:val="605C0804"/>
    <w:rsid w:val="60913E6F"/>
    <w:rsid w:val="61733C3E"/>
    <w:rsid w:val="61804FC4"/>
    <w:rsid w:val="6189617B"/>
    <w:rsid w:val="61B52BB6"/>
    <w:rsid w:val="61B749C2"/>
    <w:rsid w:val="61E920CB"/>
    <w:rsid w:val="62280D20"/>
    <w:rsid w:val="62845130"/>
    <w:rsid w:val="62CA2457"/>
    <w:rsid w:val="631877B6"/>
    <w:rsid w:val="633C2123"/>
    <w:rsid w:val="638240A1"/>
    <w:rsid w:val="63833423"/>
    <w:rsid w:val="63A5257B"/>
    <w:rsid w:val="63BD3DCC"/>
    <w:rsid w:val="63C61741"/>
    <w:rsid w:val="63FC2B8B"/>
    <w:rsid w:val="64560967"/>
    <w:rsid w:val="656B1D10"/>
    <w:rsid w:val="65B841F9"/>
    <w:rsid w:val="65B94ED8"/>
    <w:rsid w:val="65D1387D"/>
    <w:rsid w:val="66022B28"/>
    <w:rsid w:val="664A38E2"/>
    <w:rsid w:val="66581E87"/>
    <w:rsid w:val="66FA11D5"/>
    <w:rsid w:val="674302C7"/>
    <w:rsid w:val="67CB09D8"/>
    <w:rsid w:val="67EE3B0F"/>
    <w:rsid w:val="680A5986"/>
    <w:rsid w:val="680D5F4B"/>
    <w:rsid w:val="68113F51"/>
    <w:rsid w:val="682115E7"/>
    <w:rsid w:val="68570D81"/>
    <w:rsid w:val="68E94770"/>
    <w:rsid w:val="68F949C9"/>
    <w:rsid w:val="695A4290"/>
    <w:rsid w:val="698D785E"/>
    <w:rsid w:val="69AE0675"/>
    <w:rsid w:val="69EB603E"/>
    <w:rsid w:val="6A334932"/>
    <w:rsid w:val="6A3353FF"/>
    <w:rsid w:val="6A5D63E6"/>
    <w:rsid w:val="6A5F24D1"/>
    <w:rsid w:val="6ACA70C4"/>
    <w:rsid w:val="6ADA3C3E"/>
    <w:rsid w:val="6AE347EB"/>
    <w:rsid w:val="6B1A1A28"/>
    <w:rsid w:val="6B330365"/>
    <w:rsid w:val="6B434AF0"/>
    <w:rsid w:val="6B57675A"/>
    <w:rsid w:val="6B87098A"/>
    <w:rsid w:val="6B924B8A"/>
    <w:rsid w:val="6BBD7C07"/>
    <w:rsid w:val="6BDD7B4D"/>
    <w:rsid w:val="6C0E0237"/>
    <w:rsid w:val="6C160F71"/>
    <w:rsid w:val="6CB74F74"/>
    <w:rsid w:val="6EBC0B3A"/>
    <w:rsid w:val="6EF51C7D"/>
    <w:rsid w:val="6F8363E5"/>
    <w:rsid w:val="6F841DCF"/>
    <w:rsid w:val="6FA80CCD"/>
    <w:rsid w:val="6FAC3CC5"/>
    <w:rsid w:val="6FC746F5"/>
    <w:rsid w:val="70317AC6"/>
    <w:rsid w:val="704B26F7"/>
    <w:rsid w:val="70697B21"/>
    <w:rsid w:val="70863262"/>
    <w:rsid w:val="70A76ED3"/>
    <w:rsid w:val="71860B17"/>
    <w:rsid w:val="723B27CC"/>
    <w:rsid w:val="724B1182"/>
    <w:rsid w:val="72687227"/>
    <w:rsid w:val="72A03FD9"/>
    <w:rsid w:val="73406CFF"/>
    <w:rsid w:val="7383028C"/>
    <w:rsid w:val="73A25E44"/>
    <w:rsid w:val="741F68CF"/>
    <w:rsid w:val="75252DF3"/>
    <w:rsid w:val="75621536"/>
    <w:rsid w:val="758D07D3"/>
    <w:rsid w:val="75BF3154"/>
    <w:rsid w:val="764A07CF"/>
    <w:rsid w:val="764B5F71"/>
    <w:rsid w:val="764F6B3D"/>
    <w:rsid w:val="76CD2B7B"/>
    <w:rsid w:val="76D80645"/>
    <w:rsid w:val="76E03371"/>
    <w:rsid w:val="771211AA"/>
    <w:rsid w:val="780E5898"/>
    <w:rsid w:val="782642CC"/>
    <w:rsid w:val="7894095E"/>
    <w:rsid w:val="78964555"/>
    <w:rsid w:val="78CF4963"/>
    <w:rsid w:val="79000679"/>
    <w:rsid w:val="791C0FE5"/>
    <w:rsid w:val="79A416F0"/>
    <w:rsid w:val="79B03EB6"/>
    <w:rsid w:val="79B61437"/>
    <w:rsid w:val="7A5275FA"/>
    <w:rsid w:val="7AE15A5C"/>
    <w:rsid w:val="7AF37579"/>
    <w:rsid w:val="7AF87F64"/>
    <w:rsid w:val="7B1C0C84"/>
    <w:rsid w:val="7B5A62DF"/>
    <w:rsid w:val="7B7A04A8"/>
    <w:rsid w:val="7BFD7A23"/>
    <w:rsid w:val="7C0C3F6D"/>
    <w:rsid w:val="7C22163C"/>
    <w:rsid w:val="7C457B4B"/>
    <w:rsid w:val="7C595075"/>
    <w:rsid w:val="7C6B07B2"/>
    <w:rsid w:val="7D133243"/>
    <w:rsid w:val="7D2967B1"/>
    <w:rsid w:val="7D945420"/>
    <w:rsid w:val="7E394207"/>
    <w:rsid w:val="7E4007A2"/>
    <w:rsid w:val="7E484108"/>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0"/>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35"/>
    <w:semiHidden/>
    <w:unhideWhenUsed/>
    <w:qFormat/>
    <w:uiPriority w:val="99"/>
    <w:rPr>
      <w:sz w:val="18"/>
      <w:szCs w:val="18"/>
    </w:rPr>
  </w:style>
  <w:style w:type="paragraph" w:styleId="17">
    <w:name w:val="footer"/>
    <w:basedOn w:val="1"/>
    <w:link w:val="29"/>
    <w:unhideWhenUsed/>
    <w:qFormat/>
    <w:uiPriority w:val="99"/>
    <w:pPr>
      <w:tabs>
        <w:tab w:val="center" w:pos="4153"/>
        <w:tab w:val="right" w:pos="8306"/>
      </w:tabs>
      <w:snapToGrid w:val="0"/>
      <w:jc w:val="left"/>
    </w:pPr>
    <w:rPr>
      <w:sz w:val="18"/>
      <w:szCs w:val="18"/>
    </w:rPr>
  </w:style>
  <w:style w:type="paragraph" w:styleId="18">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customStyle="1" w:styleId="28">
    <w:name w:val="页眉 Char"/>
    <w:basedOn w:val="25"/>
    <w:link w:val="18"/>
    <w:semiHidden/>
    <w:qFormat/>
    <w:uiPriority w:val="99"/>
    <w:rPr>
      <w:sz w:val="18"/>
      <w:szCs w:val="18"/>
    </w:rPr>
  </w:style>
  <w:style w:type="character" w:customStyle="1" w:styleId="29">
    <w:name w:val="页脚 Char"/>
    <w:basedOn w:val="25"/>
    <w:link w:val="17"/>
    <w:qFormat/>
    <w:uiPriority w:val="99"/>
    <w:rPr>
      <w:sz w:val="18"/>
      <w:szCs w:val="18"/>
    </w:rPr>
  </w:style>
  <w:style w:type="character" w:customStyle="1" w:styleId="30">
    <w:name w:val="标题 1 Char"/>
    <w:basedOn w:val="25"/>
    <w:link w:val="4"/>
    <w:qFormat/>
    <w:uiPriority w:val="9"/>
    <w:rPr>
      <w:rFonts w:eastAsia="方正小标宋简体"/>
      <w:bCs/>
      <w:kern w:val="44"/>
      <w:sz w:val="44"/>
      <w:szCs w:val="44"/>
    </w:rPr>
  </w:style>
  <w:style w:type="character" w:customStyle="1" w:styleId="31">
    <w:name w:val="标题 2 Char"/>
    <w:basedOn w:val="25"/>
    <w:link w:val="5"/>
    <w:qFormat/>
    <w:uiPriority w:val="9"/>
    <w:rPr>
      <w:rFonts w:eastAsia="方正小标宋简体" w:asciiTheme="majorHAnsi" w:hAnsiTheme="majorHAnsi" w:cstheme="majorBidi"/>
      <w:bCs/>
      <w:sz w:val="36"/>
      <w:szCs w:val="32"/>
    </w:rPr>
  </w:style>
  <w:style w:type="character" w:customStyle="1" w:styleId="32">
    <w:name w:val="标题 3 Char"/>
    <w:basedOn w:val="25"/>
    <w:link w:val="6"/>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5"/>
    <w:link w:val="16"/>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3"/>
    <w:next w:val="13"/>
    <w:qFormat/>
    <w:uiPriority w:val="0"/>
    <w:pPr>
      <w:spacing w:after="373"/>
    </w:pPr>
    <w:rPr>
      <w:color w:val="auto"/>
    </w:rPr>
  </w:style>
  <w:style w:type="paragraph" w:customStyle="1" w:styleId="38">
    <w:name w:val="CM91"/>
    <w:basedOn w:val="13"/>
    <w:next w:val="13"/>
    <w:qFormat/>
    <w:uiPriority w:val="0"/>
    <w:pPr>
      <w:spacing w:after="160"/>
    </w:pPr>
    <w:rPr>
      <w:color w:val="auto"/>
    </w:rPr>
  </w:style>
  <w:style w:type="character" w:customStyle="1" w:styleId="39">
    <w:name w:val="正文文本 3 Char"/>
    <w:link w:val="9"/>
    <w:qFormat/>
    <w:uiPriority w:val="99"/>
    <w:rPr>
      <w:sz w:val="16"/>
      <w:szCs w:val="16"/>
    </w:rPr>
  </w:style>
  <w:style w:type="character" w:customStyle="1" w:styleId="40">
    <w:name w:val="正文文本 3 Char1"/>
    <w:basedOn w:val="25"/>
    <w:link w:val="9"/>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2"/>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character" w:customStyle="1" w:styleId="46">
    <w:name w:val="font51"/>
    <w:basedOn w:val="25"/>
    <w:qFormat/>
    <w:uiPriority w:val="0"/>
    <w:rPr>
      <w:rFonts w:ascii="Arial" w:hAnsi="Arial" w:cs="Arial"/>
      <w:color w:val="000000"/>
      <w:sz w:val="28"/>
      <w:szCs w:val="28"/>
      <w:u w:val="none"/>
    </w:rPr>
  </w:style>
  <w:style w:type="paragraph" w:customStyle="1" w:styleId="47">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8">
    <w:name w:val="BodyText2"/>
    <w:basedOn w:val="1"/>
    <w:qFormat/>
    <w:uiPriority w:val="0"/>
    <w:pPr>
      <w:spacing w:after="120" w:line="480" w:lineRule="auto"/>
      <w:jc w:val="both"/>
      <w:textAlignment w:val="baseline"/>
    </w:pPr>
  </w:style>
  <w:style w:type="paragraph" w:customStyle="1" w:styleId="49">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0">
    <w:name w:val="正文首行缩进 21"/>
    <w:basedOn w:val="10"/>
    <w:qFormat/>
    <w:uiPriority w:val="0"/>
    <w:pPr>
      <w:adjustRightInd/>
      <w:snapToGrid/>
      <w:spacing w:before="100" w:beforeAutospacing="1" w:after="120" w:line="240" w:lineRule="auto"/>
      <w:ind w:left="420" w:leftChars="200" w:firstLine="830" w:firstLineChars="352"/>
      <w:textAlignment w:val="auto"/>
    </w:pPr>
    <w:rPr>
      <w:rFonts w:ascii="Times New Roman" w:hAnsi="Times New Roman" w:eastAsia="仿宋_GB2312"/>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146</Pages>
  <Words>50477</Words>
  <Characters>55475</Characters>
  <Lines>300</Lines>
  <Paragraphs>84</Paragraphs>
  <TotalTime>19</TotalTime>
  <ScaleCrop>false</ScaleCrop>
  <LinksUpToDate>false</LinksUpToDate>
  <CharactersWithSpaces>59045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2022-07-28T00:49:00Z</cp:lastPrinted>
  <dcterms:modified xsi:type="dcterms:W3CDTF">2022-11-30T08:41:17Z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6778DBFF15444FCD8A8E4962CF8B7E88</vt:lpwstr>
  </property>
</Properties>
</file>