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bookmarkStart w:id="135" w:name="_GoBack"/>
      <w:bookmarkEnd w:id="135"/>
    </w:p>
    <w:p>
      <w:pPr>
        <w:rPr>
          <w:color w:val="auto"/>
          <w:highlight w:val="none"/>
        </w:rPr>
      </w:pPr>
    </w:p>
    <w:p>
      <w:pPr>
        <w:adjustRightInd w:val="0"/>
        <w:snapToGrid w:val="0"/>
        <w:spacing w:line="240" w:lineRule="auto"/>
        <w:jc w:val="center"/>
        <w:rPr>
          <w:rFonts w:hint="eastAsia" w:ascii="方正小标宋简体" w:eastAsia="方正小标宋简体" w:hAnsiTheme="minorHAnsi" w:cstheme="minorBidi"/>
          <w:b w:val="0"/>
          <w:bCs w:val="0"/>
          <w:color w:val="auto"/>
          <w:spacing w:val="0"/>
          <w:w w:val="100"/>
          <w:position w:val="0"/>
          <w:sz w:val="52"/>
          <w:szCs w:val="52"/>
          <w:highlight w:val="none"/>
          <w:u w:val="none"/>
          <w:shd w:val="clear"/>
          <w:lang w:val="en-US" w:eastAsia="zh-CN" w:bidi="ar-SA"/>
        </w:rPr>
      </w:pPr>
      <w:r>
        <w:rPr>
          <w:rFonts w:hint="eastAsia" w:ascii="方正小标宋简体" w:eastAsia="方正小标宋简体"/>
          <w:color w:val="auto"/>
          <w:sz w:val="52"/>
          <w:szCs w:val="52"/>
          <w:highlight w:val="none"/>
        </w:rPr>
        <w:t>广州市净水有限公司</w:t>
      </w:r>
      <w:r>
        <w:rPr>
          <w:rFonts w:hint="eastAsia" w:ascii="方正小标宋简体" w:eastAsia="方正小标宋简体" w:hAnsiTheme="minorHAnsi" w:cstheme="minorBidi"/>
          <w:b w:val="0"/>
          <w:bCs w:val="0"/>
          <w:color w:val="auto"/>
          <w:spacing w:val="0"/>
          <w:w w:val="100"/>
          <w:position w:val="0"/>
          <w:sz w:val="52"/>
          <w:szCs w:val="52"/>
          <w:highlight w:val="none"/>
          <w:u w:val="none"/>
          <w:shd w:val="clear"/>
          <w:lang w:val="en-US" w:eastAsia="zh-CN" w:bidi="ar-SA"/>
        </w:rPr>
        <w:t>竹料分公司</w:t>
      </w:r>
    </w:p>
    <w:p>
      <w:pPr>
        <w:adjustRightInd w:val="0"/>
        <w:snapToGrid w:val="0"/>
        <w:spacing w:line="240" w:lineRule="auto"/>
        <w:jc w:val="center"/>
        <w:rPr>
          <w:rFonts w:hint="eastAsia" w:ascii="方正小标宋简体" w:eastAsia="方正小标宋简体" w:hAnsiTheme="minorHAnsi" w:cstheme="minorBidi"/>
          <w:b w:val="0"/>
          <w:bCs w:val="0"/>
          <w:color w:val="auto"/>
          <w:spacing w:val="0"/>
          <w:w w:val="100"/>
          <w:position w:val="0"/>
          <w:sz w:val="52"/>
          <w:szCs w:val="52"/>
          <w:highlight w:val="none"/>
          <w:u w:val="none"/>
          <w:shd w:val="clear"/>
          <w:lang w:val="en-US" w:eastAsia="zh-CN" w:bidi="ar-SA"/>
        </w:rPr>
      </w:pPr>
      <w:r>
        <w:rPr>
          <w:rFonts w:hint="eastAsia" w:ascii="方正小标宋简体" w:eastAsia="方正小标宋简体" w:hAnsiTheme="minorHAnsi" w:cstheme="minorBidi"/>
          <w:b w:val="0"/>
          <w:bCs w:val="0"/>
          <w:color w:val="auto"/>
          <w:spacing w:val="0"/>
          <w:w w:val="100"/>
          <w:position w:val="0"/>
          <w:sz w:val="52"/>
          <w:szCs w:val="52"/>
          <w:highlight w:val="none"/>
          <w:u w:val="none"/>
          <w:shd w:val="clear"/>
          <w:lang w:val="en-US" w:eastAsia="zh-CN" w:bidi="ar-SA"/>
        </w:rPr>
        <w:t>2023年一期反应池南池及</w:t>
      </w:r>
    </w:p>
    <w:p>
      <w:pPr>
        <w:adjustRightInd w:val="0"/>
        <w:snapToGrid w:val="0"/>
        <w:spacing w:line="240" w:lineRule="auto"/>
        <w:jc w:val="center"/>
        <w:rPr>
          <w:rFonts w:hint="eastAsia" w:ascii="方正小标宋简体" w:hAnsi="宋体" w:eastAsia="方正小标宋简体" w:cs="宋体"/>
          <w:b w:val="0"/>
          <w:bCs w:val="0"/>
          <w:color w:val="auto"/>
          <w:spacing w:val="0"/>
          <w:w w:val="100"/>
          <w:position w:val="0"/>
          <w:sz w:val="52"/>
          <w:szCs w:val="52"/>
          <w:highlight w:val="none"/>
        </w:rPr>
      </w:pPr>
      <w:r>
        <w:rPr>
          <w:rFonts w:hint="eastAsia" w:ascii="方正小标宋简体" w:eastAsia="方正小标宋简体" w:hAnsiTheme="minorHAnsi" w:cstheme="minorBidi"/>
          <w:b w:val="0"/>
          <w:bCs w:val="0"/>
          <w:color w:val="auto"/>
          <w:spacing w:val="0"/>
          <w:w w:val="100"/>
          <w:position w:val="0"/>
          <w:sz w:val="52"/>
          <w:szCs w:val="52"/>
          <w:highlight w:val="none"/>
          <w:u w:val="none"/>
          <w:shd w:val="clear"/>
          <w:lang w:val="en-US" w:eastAsia="zh-CN" w:bidi="ar-SA"/>
        </w:rPr>
        <w:t>扩建北池清淤</w:t>
      </w:r>
      <w:r>
        <w:rPr>
          <w:rFonts w:hint="eastAsia" w:ascii="方正小标宋简体" w:hAnsi="宋体" w:eastAsia="方正小标宋简体" w:cs="宋体"/>
          <w:b w:val="0"/>
          <w:bCs w:val="0"/>
          <w:color w:val="auto"/>
          <w:spacing w:val="0"/>
          <w:w w:val="100"/>
          <w:position w:val="0"/>
          <w:sz w:val="52"/>
          <w:szCs w:val="52"/>
          <w:highlight w:val="none"/>
        </w:rPr>
        <w:t>项目</w:t>
      </w:r>
    </w:p>
    <w:p>
      <w:pPr>
        <w:adjustRightInd w:val="0"/>
        <w:snapToGrid w:val="0"/>
        <w:spacing w:line="600" w:lineRule="exact"/>
        <w:jc w:val="left"/>
        <w:rPr>
          <w:rFonts w:hint="eastAsia" w:ascii="方正小标宋简体" w:hAnsi="宋体" w:eastAsia="方正小标宋简体" w:cs="宋体"/>
          <w:b w:val="0"/>
          <w:bCs w:val="0"/>
          <w:color w:val="auto"/>
          <w:spacing w:val="0"/>
          <w:w w:val="100"/>
          <w:position w:val="0"/>
          <w:sz w:val="52"/>
          <w:szCs w:val="52"/>
          <w:highlight w:val="none"/>
        </w:rPr>
      </w:pPr>
    </w:p>
    <w:p>
      <w:pPr>
        <w:pStyle w:val="49"/>
        <w:keepNext/>
        <w:keepLines/>
        <w:shd w:val="clear" w:color="auto" w:fill="auto"/>
        <w:spacing w:after="0" w:line="240" w:lineRule="auto"/>
        <w:jc w:val="center"/>
        <w:outlineLvl w:val="9"/>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pStyle w:val="2"/>
        <w:rPr>
          <w:color w:val="auto"/>
          <w:highlight w:val="none"/>
        </w:rPr>
      </w:pPr>
    </w:p>
    <w:p>
      <w:pPr>
        <w:jc w:val="center"/>
        <w:rPr>
          <w:rFonts w:ascii="仿宋_GB2312" w:eastAsia="仿宋_GB2312"/>
          <w:color w:val="auto"/>
          <w:sz w:val="32"/>
          <w:szCs w:val="32"/>
          <w:highlight w:val="none"/>
        </w:rPr>
      </w:pPr>
    </w:p>
    <w:p>
      <w:pPr>
        <w:jc w:val="center"/>
        <w:rPr>
          <w:rFonts w:ascii="黑体" w:hAnsi="黑体" w:eastAsia="黑体"/>
          <w:color w:val="auto"/>
          <w:sz w:val="32"/>
          <w:szCs w:val="32"/>
          <w:highlight w:val="none"/>
        </w:rPr>
      </w:pPr>
      <w:r>
        <w:rPr>
          <w:rFonts w:hint="eastAsia" w:ascii="黑体" w:hAnsi="黑体" w:eastAsia="黑体" w:cs="仿宋_GB2312"/>
          <w:color w:val="auto"/>
          <w:sz w:val="32"/>
          <w:szCs w:val="32"/>
          <w:highlight w:val="none"/>
        </w:rPr>
        <w:t>广州市净水有限公司</w:t>
      </w:r>
    </w:p>
    <w:p>
      <w:pPr>
        <w:jc w:val="center"/>
        <w:rPr>
          <w:rFonts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二二年</w:t>
      </w:r>
      <w:r>
        <w:rPr>
          <w:rFonts w:hint="eastAsia" w:ascii="黑体" w:hAnsi="黑体" w:eastAsia="黑体" w:cs="仿宋_GB2312"/>
          <w:color w:val="auto"/>
          <w:sz w:val="32"/>
          <w:szCs w:val="32"/>
          <w:highlight w:val="none"/>
          <w:lang w:val="en-US" w:eastAsia="zh-CN"/>
        </w:rPr>
        <w:t>十一</w:t>
      </w:r>
      <w:r>
        <w:rPr>
          <w:rFonts w:hint="eastAsia" w:ascii="黑体" w:hAnsi="黑体" w:eastAsia="黑体" w:cs="仿宋_GB2312"/>
          <w:color w:val="auto"/>
          <w:sz w:val="32"/>
          <w:szCs w:val="32"/>
          <w:highlight w:val="none"/>
        </w:rPr>
        <w:t>月</w:t>
      </w:r>
    </w:p>
    <w:p>
      <w:pPr>
        <w:rPr>
          <w:color w:val="auto"/>
          <w:highlight w:val="none"/>
        </w:rPr>
        <w:sectPr>
          <w:footerReference r:id="rId5" w:type="first"/>
          <w:footerReference r:id="rId3" w:type="default"/>
          <w:footerReference r:id="rId4" w:type="even"/>
          <w:pgSz w:w="11906" w:h="16838"/>
          <w:pgMar w:top="2098" w:right="1474" w:bottom="1984" w:left="1588" w:header="851" w:footer="992" w:gutter="0"/>
          <w:pgNumType w:start="0"/>
          <w:cols w:space="0" w:num="1"/>
          <w:titlePg/>
          <w:rtlGutter w:val="0"/>
          <w:docGrid w:type="lines" w:linePitch="312" w:charSpace="0"/>
        </w:sectPr>
      </w:pPr>
    </w:p>
    <w:p>
      <w:pPr>
        <w:pStyle w:val="2"/>
        <w:rPr>
          <w:color w:val="auto"/>
          <w:highlight w:val="none"/>
        </w:rPr>
      </w:pPr>
    </w:p>
    <w:p>
      <w:pPr>
        <w:pStyle w:val="35"/>
        <w:adjustRightInd w:val="0"/>
        <w:snapToGrid w:val="0"/>
        <w:spacing w:before="0" w:line="600" w:lineRule="exact"/>
        <w:jc w:val="center"/>
        <w:rPr>
          <w:rFonts w:ascii="方正小标宋简体" w:eastAsia="方正小标宋简体"/>
          <w:b/>
          <w:color w:val="auto"/>
          <w:sz w:val="44"/>
          <w:szCs w:val="44"/>
          <w:highlight w:val="none"/>
        </w:rPr>
      </w:pPr>
      <w:r>
        <w:rPr>
          <w:rFonts w:hint="eastAsia" w:ascii="方正小标宋简体" w:eastAsia="方正小标宋简体"/>
          <w:b/>
          <w:color w:val="auto"/>
          <w:sz w:val="44"/>
          <w:szCs w:val="44"/>
          <w:highlight w:val="none"/>
        </w:rPr>
        <w:t>目录</w:t>
      </w:r>
    </w:p>
    <w:p>
      <w:pPr>
        <w:rPr>
          <w:rFonts w:asciiTheme="minorEastAsia" w:hAnsiTheme="minorEastAsia"/>
          <w:color w:val="auto"/>
          <w:sz w:val="24"/>
          <w:szCs w:val="24"/>
          <w:highlight w:val="none"/>
        </w:rPr>
      </w:pPr>
    </w:p>
    <w:p>
      <w:pPr>
        <w:pStyle w:val="18"/>
        <w:numPr>
          <w:ilvl w:val="0"/>
          <w:numId w:val="1"/>
        </w:numPr>
        <w:tabs>
          <w:tab w:val="right" w:pos="8844"/>
        </w:tabs>
        <w:rPr>
          <w:color w:val="auto"/>
          <w:highlight w:val="none"/>
        </w:rPr>
      </w:pPr>
      <w:r>
        <w:rPr>
          <w:rFonts w:hint="eastAsia"/>
          <w:color w:val="auto"/>
          <w:highlight w:val="none"/>
        </w:rPr>
        <w:t>采购公告（采购邀请书）</w:t>
      </w:r>
    </w:p>
    <w:p>
      <w:pPr>
        <w:pStyle w:val="18"/>
        <w:numPr>
          <w:ilvl w:val="0"/>
          <w:numId w:val="1"/>
        </w:numPr>
        <w:tabs>
          <w:tab w:val="right" w:pos="8844"/>
        </w:tabs>
        <w:rPr>
          <w:color w:val="auto"/>
          <w:highlight w:val="none"/>
        </w:rPr>
      </w:pPr>
      <w:r>
        <w:rPr>
          <w:rFonts w:hint="eastAsia"/>
          <w:color w:val="auto"/>
          <w:highlight w:val="none"/>
        </w:rPr>
        <w:t>供应商须知</w:t>
      </w:r>
    </w:p>
    <w:p>
      <w:pPr>
        <w:pStyle w:val="18"/>
        <w:numPr>
          <w:ilvl w:val="0"/>
          <w:numId w:val="1"/>
        </w:numPr>
        <w:tabs>
          <w:tab w:val="right" w:pos="8844"/>
        </w:tabs>
        <w:rPr>
          <w:color w:val="auto"/>
          <w:highlight w:val="none"/>
        </w:rPr>
      </w:pPr>
      <w:r>
        <w:rPr>
          <w:rFonts w:hint="eastAsia"/>
          <w:color w:val="auto"/>
          <w:highlight w:val="none"/>
        </w:rPr>
        <w:t>采购方法</w:t>
      </w:r>
    </w:p>
    <w:p>
      <w:pPr>
        <w:pStyle w:val="18"/>
        <w:numPr>
          <w:ilvl w:val="0"/>
          <w:numId w:val="1"/>
        </w:numPr>
        <w:tabs>
          <w:tab w:val="right" w:pos="8844"/>
        </w:tabs>
        <w:rPr>
          <w:color w:val="auto"/>
          <w:highlight w:val="none"/>
        </w:rPr>
      </w:pPr>
      <w:r>
        <w:rPr>
          <w:rFonts w:hint="eastAsia"/>
          <w:color w:val="auto"/>
          <w:highlight w:val="none"/>
        </w:rPr>
        <w:t>评审方法</w:t>
      </w:r>
    </w:p>
    <w:p>
      <w:pPr>
        <w:pStyle w:val="18"/>
        <w:numPr>
          <w:ilvl w:val="0"/>
          <w:numId w:val="1"/>
        </w:numPr>
        <w:tabs>
          <w:tab w:val="right" w:pos="8844"/>
        </w:tabs>
        <w:rPr>
          <w:color w:val="auto"/>
          <w:highlight w:val="none"/>
        </w:rPr>
      </w:pPr>
      <w:r>
        <w:rPr>
          <w:rFonts w:hint="eastAsia"/>
          <w:color w:val="auto"/>
          <w:highlight w:val="none"/>
        </w:rPr>
        <w:t>采购需求</w:t>
      </w:r>
    </w:p>
    <w:p>
      <w:pPr>
        <w:pStyle w:val="18"/>
        <w:numPr>
          <w:ilvl w:val="0"/>
          <w:numId w:val="1"/>
        </w:numPr>
        <w:tabs>
          <w:tab w:val="right" w:pos="8844"/>
        </w:tabs>
        <w:rPr>
          <w:color w:val="auto"/>
          <w:highlight w:val="none"/>
        </w:rPr>
      </w:pPr>
      <w:r>
        <w:rPr>
          <w:rFonts w:hint="eastAsia"/>
          <w:color w:val="auto"/>
          <w:highlight w:val="none"/>
        </w:rPr>
        <w:t>合同草案</w:t>
      </w:r>
    </w:p>
    <w:p>
      <w:pPr>
        <w:pStyle w:val="18"/>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8"/>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8"/>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color w:val="auto"/>
          <w:highlight w:val="none"/>
        </w:rPr>
      </w:pPr>
      <w:bookmarkStart w:id="0" w:name="_Toc26148"/>
      <w:bookmarkStart w:id="1" w:name="_Toc18145"/>
    </w:p>
    <w:p>
      <w:pPr>
        <w:rPr>
          <w:color w:val="auto"/>
          <w:highlight w:val="none"/>
        </w:rPr>
      </w:pPr>
    </w:p>
    <w:p>
      <w:pPr>
        <w:pStyle w:val="4"/>
        <w:rPr>
          <w:color w:val="auto"/>
          <w:highlight w:val="none"/>
        </w:rPr>
      </w:pPr>
      <w:bookmarkStart w:id="2" w:name="_Toc1711"/>
      <w:bookmarkStart w:id="3" w:name="_Toc17696"/>
    </w:p>
    <w:p>
      <w:pPr>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4"/>
        <w:rPr>
          <w:color w:val="auto"/>
          <w:highlight w:val="none"/>
        </w:rPr>
      </w:pPr>
      <w:bookmarkStart w:id="4" w:name="_Toc31938"/>
      <w:bookmarkStart w:id="5" w:name="_Toc11322"/>
      <w:bookmarkStart w:id="6" w:name="_Toc19609"/>
      <w:bookmarkStart w:id="7" w:name="_Toc1669"/>
      <w:bookmarkStart w:id="8" w:name="_Toc7519"/>
      <w:bookmarkStart w:id="9" w:name="_Toc4275"/>
      <w:bookmarkStart w:id="10" w:name="_Toc17801"/>
    </w:p>
    <w:p>
      <w:pPr>
        <w:pStyle w:val="4"/>
        <w:rPr>
          <w:color w:val="auto"/>
          <w:highlight w:val="none"/>
        </w:rPr>
      </w:pPr>
    </w:p>
    <w:p>
      <w:pPr>
        <w:pStyle w:val="4"/>
        <w:rPr>
          <w:color w:val="auto"/>
          <w:highlight w:val="none"/>
        </w:rPr>
      </w:pPr>
    </w:p>
    <w:p>
      <w:pPr>
        <w:pStyle w:val="4"/>
        <w:rPr>
          <w:color w:val="auto"/>
          <w:highlight w:val="none"/>
        </w:rPr>
      </w:pPr>
      <w:r>
        <w:rPr>
          <w:color w:val="auto"/>
          <w:highlight w:val="none"/>
        </w:rPr>
        <w:pict>
          <v:shape id="_x0000_s1026" o:spid="_x0000_s1026" o:spt="32" type="#_x0000_t32" style="position:absolute;left:0pt;margin-left:186.15pt;margin-top:40.55pt;height:0pt;width:75.5pt;z-index:251671552;mso-width-relative:page;mso-height-relative:page;" o:connectortype="straight" filled="f" coordsize="21600,21600">
            <v:path arrowok="t"/>
            <v:fill on="f" focussize="0,0"/>
            <v:stroke/>
            <v:imagedata o:title=""/>
            <o:lock v:ext="edit"/>
          </v:shape>
        </w:pict>
      </w:r>
      <w:r>
        <w:rPr>
          <w:color w:val="auto"/>
          <w:highlight w:val="none"/>
        </w:rPr>
        <w:pict>
          <v:shape id="_x0000_s1027" o:spid="_x0000_s1027" o:spt="32" type="#_x0000_t32" style="position:absolute;left:0pt;margin-left:184.9pt;margin-top:8.5pt;height:0pt;width:75.5pt;z-index:251670528;mso-width-relative:page;mso-height-relative:page;" o:connectortype="straight" filled="f" coordsize="21600,21600">
            <v:path arrowok="t"/>
            <v:fill on="f" focussize="0,0"/>
            <v:stroke/>
            <v:imagedata o:title=""/>
            <o:lock v:ext="edit"/>
          </v:shape>
        </w:pic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7"/>
        <w:rPr>
          <w:color w:val="auto"/>
          <w:highlight w:val="none"/>
        </w:rPr>
      </w:pPr>
    </w:p>
    <w:p>
      <w:pPr>
        <w:pStyle w:val="4"/>
        <w:rPr>
          <w:color w:val="auto"/>
          <w:highlight w:val="none"/>
        </w:rPr>
      </w:pPr>
      <w:r>
        <w:rPr>
          <w:rFonts w:hint="eastAsia"/>
          <w:color w:val="auto"/>
          <w:highlight w:val="none"/>
        </w:rPr>
        <w:t>采购公告（采购邀请书）</w:t>
      </w: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仿宋_GB2312" w:eastAsia="仿宋_GB2312"/>
          <w:color w:val="auto"/>
          <w:sz w:val="28"/>
          <w:szCs w:val="28"/>
          <w:highlight w:val="none"/>
        </w:rPr>
      </w:pPr>
    </w:p>
    <w:p>
      <w:pPr>
        <w:adjustRightInd w:val="0"/>
        <w:snapToGrid w:val="0"/>
        <w:spacing w:before="156" w:beforeLines="50" w:after="156"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4"/>
        <w:rPr>
          <w:color w:val="auto"/>
          <w:highlight w:val="none"/>
        </w:rPr>
      </w:pPr>
      <w:bookmarkStart w:id="11" w:name="_Toc9680"/>
      <w:bookmarkStart w:id="12" w:name="_Toc21373"/>
      <w:r>
        <w:rPr>
          <w:rFonts w:hint="eastAsia"/>
          <w:color w:val="auto"/>
          <w:highlight w:val="none"/>
        </w:rPr>
        <w:t>采购公告（采购邀请书）</w:t>
      </w:r>
    </w:p>
    <w:bookmarkEnd w:id="11"/>
    <w:bookmarkEnd w:id="12"/>
    <w:p>
      <w:pPr>
        <w:pStyle w:val="49"/>
        <w:keepNext/>
        <w:keepLines/>
        <w:shd w:val="clear" w:color="auto" w:fill="auto"/>
        <w:adjustRightInd/>
        <w:snapToGrid/>
        <w:spacing w:line="240" w:lineRule="auto"/>
        <w:ind w:firstLine="560" w:firstLineChars="200"/>
        <w:jc w:val="left"/>
        <w:outlineLvl w:val="9"/>
        <w:rPr>
          <w:rFonts w:ascii="仿宋_GB2312" w:eastAsia="仿宋_GB2312"/>
          <w:color w:val="auto"/>
          <w:sz w:val="28"/>
          <w:szCs w:val="28"/>
          <w:highlight w:val="none"/>
          <w:u w:val="single"/>
        </w:rPr>
      </w:pPr>
      <w:r>
        <w:rPr>
          <w:rFonts w:hint="eastAsia" w:ascii="仿宋_GB2312" w:eastAsia="仿宋_GB2312" w:hAnsiTheme="minorHAnsi" w:cstheme="minorBidi"/>
          <w:color w:val="auto"/>
          <w:sz w:val="28"/>
          <w:szCs w:val="28"/>
          <w:highlight w:val="none"/>
          <w:u w:val="single"/>
          <w:shd w:val="clear"/>
          <w:lang w:val="en-US" w:eastAsia="zh-CN" w:bidi="ar-SA"/>
        </w:rPr>
        <w:t>广州市净水有限公司竹料分公司2023年一期反应池南池及扩建北池清淤项目</w:t>
      </w:r>
      <w:r>
        <w:rPr>
          <w:rFonts w:hint="eastAsia" w:ascii="仿宋_GB2312" w:eastAsia="仿宋_GB2312"/>
          <w:color w:val="auto"/>
          <w:sz w:val="28"/>
          <w:szCs w:val="28"/>
          <w:highlight w:val="none"/>
        </w:rPr>
        <w:t>已具备采购条件，现邀请合格单位参加本</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施工  □货物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服务项目采购活动，采用</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single"/>
        </w:rPr>
        <w:t xml:space="preserve">邀请询比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single"/>
        </w:rPr>
        <w:t>公开询比</w:t>
      </w:r>
      <w:r>
        <w:rPr>
          <w:rFonts w:hint="eastAsia" w:ascii="仿宋_GB2312" w:eastAsia="仿宋_GB2312"/>
          <w:color w:val="auto"/>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lang w:val="en-US" w:eastAsia="zh-CN"/>
        </w:rPr>
        <w:t>广州市净水有限公司</w:t>
      </w:r>
      <w:r>
        <w:rPr>
          <w:rFonts w:hint="eastAsia" w:ascii="仿宋_GB2312" w:eastAsia="仿宋_GB2312" w:hAnsiTheme="minorHAnsi" w:cstheme="minorBidi"/>
          <w:b w:val="0"/>
          <w:bCs w:val="0"/>
          <w:color w:val="auto"/>
          <w:spacing w:val="0"/>
          <w:w w:val="100"/>
          <w:position w:val="0"/>
          <w:sz w:val="28"/>
          <w:szCs w:val="28"/>
          <w:highlight w:val="none"/>
          <w:u w:val="single"/>
          <w:shd w:val="clear"/>
          <w:lang w:val="en-US" w:eastAsia="zh-CN" w:bidi="ar-SA"/>
        </w:rPr>
        <w:t>竹料分公司2023年一期反应池南池及扩建北池清淤</w:t>
      </w:r>
      <w:r>
        <w:rPr>
          <w:rFonts w:hint="eastAsia" w:ascii="仿宋_GB2312" w:eastAsia="仿宋_GB2312" w:cstheme="minorBidi"/>
          <w:b w:val="0"/>
          <w:bCs w:val="0"/>
          <w:color w:val="auto"/>
          <w:spacing w:val="0"/>
          <w:w w:val="100"/>
          <w:position w:val="0"/>
          <w:sz w:val="28"/>
          <w:szCs w:val="28"/>
          <w:highlight w:val="none"/>
          <w:u w:val="single"/>
          <w:shd w:val="clear"/>
          <w:lang w:val="en-US" w:eastAsia="zh-CN" w:bidi="ar-SA"/>
        </w:rPr>
        <w:t>项目</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lang w:val="en-US" w:eastAsia="zh-CN"/>
        </w:rPr>
        <w:t xml:space="preserve"> XJ-20221130-1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1.3资金来源：</w:t>
      </w:r>
      <w:r>
        <w:rPr>
          <w:rFonts w:hint="eastAsia" w:ascii="仿宋_GB2312" w:eastAsia="仿宋_GB2312"/>
          <w:color w:val="auto"/>
          <w:sz w:val="28"/>
          <w:szCs w:val="28"/>
          <w:highlight w:val="none"/>
          <w:u w:val="single"/>
        </w:rPr>
        <w:t xml:space="preserve">自有资金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1.4最高限价（元）：</w:t>
      </w:r>
      <w:r>
        <w:rPr>
          <w:rFonts w:hint="eastAsia" w:ascii="仿宋_GB2312" w:eastAsia="仿宋_GB2312"/>
          <w:color w:val="auto"/>
          <w:sz w:val="28"/>
          <w:szCs w:val="28"/>
          <w:highlight w:val="none"/>
          <w:u w:val="single"/>
          <w:lang w:eastAsia="zh-CN"/>
        </w:rPr>
        <w:t>2</w:t>
      </w:r>
      <w:r>
        <w:rPr>
          <w:rFonts w:hint="eastAsia" w:ascii="仿宋_GB2312" w:eastAsia="仿宋_GB2312"/>
          <w:color w:val="auto"/>
          <w:sz w:val="28"/>
          <w:szCs w:val="28"/>
          <w:highlight w:val="none"/>
          <w:u w:val="single"/>
          <w:lang w:val="en-US" w:eastAsia="zh-CN"/>
        </w:rPr>
        <w:t>88459.45</w:t>
      </w:r>
      <w:r>
        <w:rPr>
          <w:rFonts w:hint="eastAsia" w:ascii="仿宋_GB2312" w:eastAsia="仿宋_GB2312"/>
          <w:color w:val="auto"/>
          <w:sz w:val="28"/>
          <w:szCs w:val="28"/>
          <w:highlight w:val="none"/>
          <w:u w:val="single"/>
          <w:lang w:val="en-US" w:eastAsia="zh-CN"/>
        </w:rPr>
        <w:t>元</w:t>
      </w:r>
      <w:r>
        <w:rPr>
          <w:rFonts w:hint="eastAsia" w:ascii="仿宋_GB2312" w:eastAsia="仿宋_GB2312"/>
          <w:color w:val="auto"/>
          <w:sz w:val="28"/>
          <w:szCs w:val="28"/>
          <w:highlight w:val="none"/>
          <w:u w:val="single"/>
          <w:lang w:val="en-US" w:eastAsia="zh-CN"/>
        </w:rPr>
        <w:t>（其中不含税为264641.70元，税率为9%，绿色施工安全防护措施费为15227.46元，暂列金为11445.98元，绿色施工安全防护措施费和暂列金为非竞争性费用，报价时须按采购文件规定的金额填写，不得参与竞争，否则按无效报价处理。）</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1.5标段划分：</w:t>
      </w:r>
      <w:r>
        <w:rPr>
          <w:rFonts w:hint="eastAsia" w:ascii="仿宋_GB2312" w:eastAsia="仿宋_GB2312"/>
          <w:color w:val="auto"/>
          <w:sz w:val="28"/>
          <w:szCs w:val="28"/>
          <w:highlight w:val="none"/>
          <w:u w:val="single"/>
        </w:rPr>
        <w:t xml:space="preserve">    /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numPr>
          <w:ilvl w:val="0"/>
          <w:numId w:val="0"/>
        </w:numPr>
        <w:spacing w:line="360" w:lineRule="auto"/>
        <w:ind w:left="-53" w:leftChars="-25"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2.1采购内容和范围：</w:t>
      </w:r>
    </w:p>
    <w:p>
      <w:pPr>
        <w:pStyle w:val="51"/>
        <w:numPr>
          <w:ilvl w:val="0"/>
          <w:numId w:val="0"/>
        </w:numPr>
        <w:shd w:val="clear" w:color="auto" w:fill="auto"/>
        <w:spacing w:line="624" w:lineRule="exact"/>
        <w:ind w:left="0" w:leftChars="0" w:firstLine="560" w:firstLineChars="200"/>
        <w:rPr>
          <w:rFonts w:hint="eastAsia" w:ascii="方正仿宋_GB2312" w:hAnsi="方正仿宋_GB2312" w:eastAsia="方正仿宋_GB2312" w:cs="方正仿宋_GB2312"/>
          <w:b w:val="0"/>
          <w:bCs w:val="0"/>
          <w:color w:val="auto"/>
          <w:sz w:val="28"/>
          <w:szCs w:val="28"/>
          <w:highlight w:val="none"/>
          <w:lang w:val="en-US" w:eastAsia="zh-CN"/>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w:t>
      </w:r>
      <w:r>
        <w:rPr>
          <w:rFonts w:hint="eastAsia" w:ascii="方正仿宋_GB2312" w:hAnsi="方正仿宋_GB2312" w:eastAsia="方正仿宋_GB2312" w:cs="方正仿宋_GB2312"/>
          <w:b w:val="0"/>
          <w:bCs w:val="0"/>
          <w:color w:val="auto"/>
          <w:sz w:val="28"/>
          <w:szCs w:val="28"/>
          <w:highlight w:val="none"/>
          <w:lang w:val="en-US" w:eastAsia="zh-CN"/>
        </w:rPr>
        <w:t>对</w:t>
      </w:r>
      <w:r>
        <w:rPr>
          <w:rFonts w:hint="eastAsia" w:ascii="方正仿宋_GB2312" w:hAnsi="方正仿宋_GB2312" w:eastAsia="方正仿宋_GB2312" w:cs="方正仿宋_GB2312"/>
          <w:b w:val="0"/>
          <w:bCs w:val="0"/>
          <w:i w:val="0"/>
          <w:iCs w:val="0"/>
          <w:smallCaps w:val="0"/>
          <w:strike w:val="0"/>
          <w:color w:val="auto"/>
          <w:spacing w:val="0"/>
          <w:w w:val="100"/>
          <w:position w:val="0"/>
          <w:sz w:val="28"/>
          <w:szCs w:val="28"/>
          <w:highlight w:val="none"/>
          <w:u w:val="none"/>
          <w:shd w:val="clear"/>
          <w:lang w:val="en-US" w:eastAsia="zh-CN" w:bidi="ar-SA"/>
        </w:rPr>
        <w:t>一期反应池南池及扩建北池2条分次进行排空，清理反应池淤泥、积砂预计700</w:t>
      </w:r>
      <w:r>
        <w:rPr>
          <w:rFonts w:hint="eastAsia" w:ascii="方正仿宋_GB2312" w:hAnsi="方正仿宋_GB2312" w:eastAsia="方正仿宋_GB2312" w:cs="方正仿宋_GB2312"/>
          <w:bCs w:val="0"/>
          <w:color w:val="auto"/>
          <w:sz w:val="28"/>
          <w:szCs w:val="28"/>
          <w:highlight w:val="none"/>
          <w:u w:val="none"/>
          <w:shd w:val="clear"/>
          <w:lang w:val="en-US" w:eastAsia="zh-CN" w:bidi="ar-SA"/>
        </w:rPr>
        <w:t>m</w:t>
      </w:r>
      <w:r>
        <w:rPr>
          <w:rFonts w:hint="eastAsia" w:ascii="方正仿宋_GB2312" w:hAnsi="方正仿宋_GB2312" w:eastAsia="方正仿宋_GB2312" w:cs="方正仿宋_GB2312"/>
          <w:bCs w:val="0"/>
          <w:color w:val="auto"/>
          <w:sz w:val="28"/>
          <w:szCs w:val="28"/>
          <w:highlight w:val="none"/>
          <w:u w:val="none"/>
          <w:shd w:val="clear"/>
          <w:vertAlign w:val="baseline"/>
          <w:lang w:val="en-US" w:eastAsia="zh-CN" w:bidi="ar-SA"/>
        </w:rPr>
        <w:t>3</w:t>
      </w:r>
      <w:r>
        <w:rPr>
          <w:rFonts w:hint="eastAsia" w:ascii="方正仿宋_GB2312" w:hAnsi="方正仿宋_GB2312" w:eastAsia="方正仿宋_GB2312" w:cs="方正仿宋_GB2312"/>
          <w:b w:val="0"/>
          <w:bCs w:val="0"/>
          <w:i w:val="0"/>
          <w:iCs w:val="0"/>
          <w:smallCaps w:val="0"/>
          <w:strike w:val="0"/>
          <w:color w:val="auto"/>
          <w:spacing w:val="0"/>
          <w:w w:val="100"/>
          <w:position w:val="0"/>
          <w:sz w:val="28"/>
          <w:szCs w:val="28"/>
          <w:highlight w:val="none"/>
          <w:u w:val="none"/>
          <w:shd w:val="clear"/>
          <w:lang w:val="en-US" w:eastAsia="zh-CN" w:bidi="ar-SA"/>
        </w:rPr>
        <w:t>（其中一期南350</w:t>
      </w:r>
      <w:r>
        <w:rPr>
          <w:rFonts w:hint="eastAsia" w:ascii="方正仿宋_GB2312" w:hAnsi="方正仿宋_GB2312" w:eastAsia="方正仿宋_GB2312" w:cs="方正仿宋_GB2312"/>
          <w:bCs w:val="0"/>
          <w:color w:val="auto"/>
          <w:sz w:val="28"/>
          <w:szCs w:val="28"/>
          <w:highlight w:val="none"/>
          <w:u w:val="none"/>
          <w:shd w:val="clear"/>
          <w:lang w:val="en-US" w:eastAsia="zh-CN" w:bidi="ar-SA"/>
        </w:rPr>
        <w:t>m</w:t>
      </w:r>
      <w:r>
        <w:rPr>
          <w:rFonts w:hint="eastAsia" w:ascii="方正仿宋_GB2312" w:hAnsi="方正仿宋_GB2312" w:eastAsia="方正仿宋_GB2312" w:cs="方正仿宋_GB2312"/>
          <w:bCs w:val="0"/>
          <w:color w:val="auto"/>
          <w:sz w:val="28"/>
          <w:szCs w:val="28"/>
          <w:highlight w:val="none"/>
          <w:u w:val="none"/>
          <w:shd w:val="clear"/>
          <w:vertAlign w:val="baseline"/>
          <w:lang w:val="en-US" w:eastAsia="zh-CN" w:bidi="ar-SA"/>
        </w:rPr>
        <w:t>3</w:t>
      </w:r>
      <w:r>
        <w:rPr>
          <w:rFonts w:hint="eastAsia" w:ascii="方正仿宋_GB2312" w:hAnsi="方正仿宋_GB2312" w:eastAsia="方正仿宋_GB2312" w:cs="方正仿宋_GB2312"/>
          <w:b w:val="0"/>
          <w:bCs w:val="0"/>
          <w:i w:val="0"/>
          <w:iCs w:val="0"/>
          <w:smallCaps w:val="0"/>
          <w:strike w:val="0"/>
          <w:color w:val="auto"/>
          <w:spacing w:val="0"/>
          <w:w w:val="100"/>
          <w:position w:val="0"/>
          <w:sz w:val="28"/>
          <w:szCs w:val="28"/>
          <w:highlight w:val="none"/>
          <w:u w:val="none"/>
          <w:shd w:val="clear"/>
          <w:lang w:val="en-US" w:eastAsia="zh-CN" w:bidi="ar-SA"/>
        </w:rPr>
        <w:t>，扩建北350</w:t>
      </w:r>
      <w:r>
        <w:rPr>
          <w:rFonts w:hint="eastAsia" w:ascii="方正仿宋_GB2312" w:hAnsi="方正仿宋_GB2312" w:eastAsia="方正仿宋_GB2312" w:cs="方正仿宋_GB2312"/>
          <w:bCs w:val="0"/>
          <w:color w:val="auto"/>
          <w:sz w:val="28"/>
          <w:szCs w:val="28"/>
          <w:highlight w:val="none"/>
          <w:u w:val="none"/>
          <w:shd w:val="clear"/>
          <w:lang w:val="en-US" w:eastAsia="zh-CN" w:bidi="ar-SA"/>
        </w:rPr>
        <w:t>m</w:t>
      </w:r>
      <w:r>
        <w:rPr>
          <w:rFonts w:hint="eastAsia" w:ascii="方正仿宋_GB2312" w:hAnsi="方正仿宋_GB2312" w:eastAsia="方正仿宋_GB2312" w:cs="方正仿宋_GB2312"/>
          <w:bCs w:val="0"/>
          <w:color w:val="auto"/>
          <w:sz w:val="28"/>
          <w:szCs w:val="28"/>
          <w:highlight w:val="none"/>
          <w:u w:val="none"/>
          <w:shd w:val="clear"/>
          <w:vertAlign w:val="baseline"/>
          <w:lang w:val="en-US" w:eastAsia="zh-CN" w:bidi="ar-SA"/>
        </w:rPr>
        <w:t>3</w:t>
      </w:r>
      <w:r>
        <w:rPr>
          <w:rFonts w:hint="eastAsia" w:ascii="方正仿宋_GB2312" w:hAnsi="方正仿宋_GB2312" w:eastAsia="方正仿宋_GB2312" w:cs="方正仿宋_GB2312"/>
          <w:b w:val="0"/>
          <w:bCs w:val="0"/>
          <w:i w:val="0"/>
          <w:iCs w:val="0"/>
          <w:smallCaps w:val="0"/>
          <w:strike w:val="0"/>
          <w:color w:val="auto"/>
          <w:spacing w:val="0"/>
          <w:w w:val="100"/>
          <w:position w:val="0"/>
          <w:sz w:val="28"/>
          <w:szCs w:val="28"/>
          <w:highlight w:val="none"/>
          <w:u w:val="none"/>
          <w:shd w:val="clear"/>
          <w:lang w:val="en-US" w:eastAsia="zh-CN" w:bidi="ar-SA"/>
        </w:rPr>
        <w:t>）。主要采用砂泵结合人力收集清理，人工在池内分区域收集沉砂，利用砂泵将沉砂和水一起抽出池外，再将沉砂进行沉淀的方法进行清淤。</w:t>
      </w:r>
    </w:p>
    <w:p>
      <w:pPr>
        <w:pStyle w:val="22"/>
        <w:rPr>
          <w:rFonts w:hint="eastAsia" w:ascii="方正仿宋_GB2312" w:hAnsi="方正仿宋_GB2312" w:eastAsia="方正仿宋_GB2312" w:cs="方正仿宋_GB2312"/>
          <w:color w:val="auto"/>
          <w:kern w:val="2"/>
          <w:sz w:val="28"/>
          <w:szCs w:val="28"/>
          <w:highlight w:val="none"/>
          <w:lang w:val="en-US" w:eastAsia="zh-CN"/>
        </w:rPr>
      </w:pPr>
      <w:r>
        <w:rPr>
          <w:rFonts w:hint="eastAsia" w:ascii="方正仿宋_GB2312" w:hAnsi="方正仿宋_GB2312" w:eastAsia="方正仿宋_GB2312" w:cs="方正仿宋_GB2312"/>
          <w:color w:val="auto"/>
          <w:kern w:val="2"/>
          <w:sz w:val="28"/>
          <w:szCs w:val="28"/>
          <w:highlight w:val="none"/>
          <w:lang w:val="en-US" w:eastAsia="zh-CN"/>
        </w:rPr>
        <w:t>（2）清淤工程所产生的一切淤砂及施工垃圾，按国家或地方政府相关的法律法规进行妥善处理和运输。</w:t>
      </w:r>
    </w:p>
    <w:p>
      <w:pPr>
        <w:pStyle w:val="22"/>
        <w:rPr>
          <w:rFonts w:hint="eastAsia" w:ascii="方正仿宋_GB2312" w:hAnsi="方正仿宋_GB2312" w:eastAsia="方正仿宋_GB2312" w:cs="方正仿宋_GB2312"/>
          <w:color w:val="auto"/>
          <w:kern w:val="2"/>
          <w:sz w:val="28"/>
          <w:szCs w:val="28"/>
          <w:highlight w:val="none"/>
          <w:lang w:val="en-US" w:eastAsia="zh-CN"/>
        </w:rPr>
      </w:pPr>
      <w:r>
        <w:rPr>
          <w:rFonts w:hint="eastAsia" w:ascii="方正仿宋_GB2312" w:hAnsi="方正仿宋_GB2312" w:eastAsia="方正仿宋_GB2312" w:cs="方正仿宋_GB2312"/>
          <w:color w:val="auto"/>
          <w:kern w:val="2"/>
          <w:sz w:val="28"/>
          <w:szCs w:val="28"/>
          <w:highlight w:val="none"/>
          <w:lang w:val="en-US" w:eastAsia="zh-CN"/>
        </w:rPr>
        <w:t>（3）对清淤所产生的的淤泥砂等混合物委托具备质量技术监督管理部门颁发的计量认证资质（CMA）的检测机构进行检测，指标包括：</w:t>
      </w:r>
      <w:r>
        <w:rPr>
          <w:rFonts w:hint="eastAsia" w:ascii="方正仿宋_GB2312" w:hAnsi="方正仿宋_GB2312" w:eastAsia="方正仿宋_GB2312" w:cs="方正仿宋_GB2312"/>
          <w:i w:val="0"/>
          <w:iCs w:val="0"/>
          <w:color w:val="auto"/>
          <w:kern w:val="2"/>
          <w:sz w:val="28"/>
          <w:szCs w:val="28"/>
          <w:highlight w:val="none"/>
          <w:u w:val="none"/>
          <w:lang w:val="en-US" w:eastAsia="zh-CN" w:bidi="ar-SA"/>
        </w:rPr>
        <w:t>含水率、PH值、有机质、总磷、总氮、重金属、镉、汞、铬、铅 、砷、铜、镍、锌，</w:t>
      </w:r>
      <w:r>
        <w:rPr>
          <w:rFonts w:hint="eastAsia" w:ascii="方正仿宋_GB2312" w:hAnsi="方正仿宋_GB2312" w:eastAsia="方正仿宋_GB2312" w:cs="方正仿宋_GB2312"/>
          <w:color w:val="auto"/>
          <w:kern w:val="2"/>
          <w:sz w:val="28"/>
          <w:szCs w:val="28"/>
          <w:highlight w:val="none"/>
          <w:lang w:val="en-US" w:eastAsia="zh-CN"/>
        </w:rPr>
        <w:t>检测频次：3次；需出具具有中国计量认证（CMA)认可章检测报告。</w:t>
      </w:r>
    </w:p>
    <w:p>
      <w:pPr>
        <w:pStyle w:val="22"/>
        <w:rPr>
          <w:rFonts w:hint="eastAsia" w:ascii="方正仿宋_GB2312" w:hAnsi="方正仿宋_GB2312" w:eastAsia="方正仿宋_GB2312" w:cs="方正仿宋_GB2312"/>
          <w:color w:val="auto"/>
          <w:kern w:val="2"/>
          <w:sz w:val="28"/>
          <w:szCs w:val="28"/>
          <w:highlight w:val="none"/>
          <w:lang w:val="en-US" w:eastAsia="zh-CN"/>
        </w:rPr>
      </w:pPr>
      <w:r>
        <w:rPr>
          <w:rFonts w:hint="eastAsia" w:ascii="方正仿宋_GB2312" w:hAnsi="方正仿宋_GB2312" w:eastAsia="方正仿宋_GB2312" w:cs="方正仿宋_GB2312"/>
          <w:color w:val="auto"/>
          <w:kern w:val="2"/>
          <w:sz w:val="28"/>
          <w:szCs w:val="28"/>
          <w:highlight w:val="none"/>
          <w:lang w:val="en-US" w:eastAsia="zh-CN"/>
        </w:rPr>
        <w:t>（4）施工过程不破坏周围环境。如施工中造成绿化、墙壁、瓷砖损害等，无偿复原。施工过程不影响厂内运行生产。</w:t>
      </w:r>
    </w:p>
    <w:p>
      <w:pPr>
        <w:pStyle w:val="22"/>
        <w:rPr>
          <w:rFonts w:hint="eastAsia" w:ascii="方正仿宋_GB2312" w:hAnsi="方正仿宋_GB2312" w:eastAsia="方正仿宋_GB2312" w:cs="方正仿宋_GB2312"/>
          <w:b w:val="0"/>
          <w:bCs w:val="0"/>
          <w:color w:val="auto"/>
          <w:kern w:val="2"/>
          <w:sz w:val="28"/>
          <w:szCs w:val="28"/>
          <w:highlight w:val="none"/>
        </w:rPr>
      </w:pPr>
      <w:r>
        <w:rPr>
          <w:rFonts w:hint="eastAsia" w:ascii="方正仿宋_GB2312" w:hAnsi="方正仿宋_GB2312" w:eastAsia="方正仿宋_GB2312" w:cs="方正仿宋_GB2312"/>
          <w:color w:val="auto"/>
          <w:kern w:val="2"/>
          <w:sz w:val="28"/>
          <w:szCs w:val="28"/>
          <w:highlight w:val="none"/>
          <w:lang w:val="en-US" w:eastAsia="zh-CN"/>
        </w:rPr>
        <w:t>本合同的承包范围应包括且不限于：提供所有需要的机械及其他设施、人工、清理处置工程产生的垃圾及淤泥、完成合同约定的工作内容。</w:t>
      </w:r>
    </w:p>
    <w:tbl>
      <w:tblPr>
        <w:tblStyle w:val="23"/>
        <w:tblW w:w="733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5"/>
        <w:gridCol w:w="1549"/>
        <w:gridCol w:w="3201"/>
        <w:gridCol w:w="1031"/>
        <w:gridCol w:w="8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5"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154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项目名称</w:t>
            </w:r>
          </w:p>
        </w:tc>
        <w:tc>
          <w:tcPr>
            <w:tcW w:w="3201"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项目特征描述</w:t>
            </w:r>
          </w:p>
        </w:tc>
        <w:tc>
          <w:tcPr>
            <w:tcW w:w="1031"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计量单位</w:t>
            </w:r>
          </w:p>
        </w:tc>
        <w:tc>
          <w:tcPr>
            <w:tcW w:w="817"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3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54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320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03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81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5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挖淤泥、流砂</w:t>
            </w:r>
          </w:p>
        </w:tc>
        <w:tc>
          <w:tcPr>
            <w:tcW w:w="32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1.人工用水冲/推淤泥淤砂</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2.最终结算清淤工程量以实际弃置淤泥量计算</w:t>
            </w:r>
          </w:p>
        </w:tc>
        <w:tc>
          <w:tcPr>
            <w:tcW w:w="10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m3</w:t>
            </w:r>
          </w:p>
        </w:tc>
        <w:tc>
          <w:tcPr>
            <w:tcW w:w="8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5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余方弃置</w:t>
            </w:r>
          </w:p>
        </w:tc>
        <w:tc>
          <w:tcPr>
            <w:tcW w:w="32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1.装车方式:人工装车，自卸汽车运输</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2.运距:20km(最终结算以乙方提供的处置证明按实际运距计算）</w:t>
            </w:r>
          </w:p>
        </w:tc>
        <w:tc>
          <w:tcPr>
            <w:tcW w:w="10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m3</w:t>
            </w:r>
          </w:p>
        </w:tc>
        <w:tc>
          <w:tcPr>
            <w:tcW w:w="8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5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洞内通风设施</w:t>
            </w:r>
          </w:p>
        </w:tc>
        <w:tc>
          <w:tcPr>
            <w:tcW w:w="32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1.洞内通风，按台班计量，反应池空间为8779.28m³</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2.风机参数：18000m³/h，2.2KW</w:t>
            </w:r>
          </w:p>
        </w:tc>
        <w:tc>
          <w:tcPr>
            <w:tcW w:w="10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台班</w:t>
            </w:r>
          </w:p>
        </w:tc>
        <w:tc>
          <w:tcPr>
            <w:tcW w:w="8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5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洞内施工人工降效及照明费用</w:t>
            </w:r>
          </w:p>
        </w:tc>
        <w:tc>
          <w:tcPr>
            <w:tcW w:w="32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1.参考建筑定额特殊环境和条件下人工降效的规定第3条：在洞内、地下室内、库内或暗室内（需要照明）进行施工的工程，按该部分工程的人工费增加40%作为人工降效及照明等费用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2.清单工程量以实际洞内需要照明清淤工程量计入</w:t>
            </w:r>
          </w:p>
        </w:tc>
        <w:tc>
          <w:tcPr>
            <w:tcW w:w="10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m3</w:t>
            </w:r>
          </w:p>
        </w:tc>
        <w:tc>
          <w:tcPr>
            <w:tcW w:w="8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5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余砂检测</w:t>
            </w:r>
          </w:p>
        </w:tc>
        <w:tc>
          <w:tcPr>
            <w:tcW w:w="32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1.检测项目:含水率、PH值</w:t>
            </w:r>
          </w:p>
        </w:tc>
        <w:tc>
          <w:tcPr>
            <w:tcW w:w="10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8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15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余砂检测</w:t>
            </w:r>
          </w:p>
        </w:tc>
        <w:tc>
          <w:tcPr>
            <w:tcW w:w="32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1.检测项目:重金属：镉、汞、铬、铅 、砷、铜、镍、锌</w:t>
            </w:r>
          </w:p>
        </w:tc>
        <w:tc>
          <w:tcPr>
            <w:tcW w:w="10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8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15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余砂检测</w:t>
            </w:r>
          </w:p>
        </w:tc>
        <w:tc>
          <w:tcPr>
            <w:tcW w:w="32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1.检测项目:有机质、总磷、总氮</w:t>
            </w:r>
          </w:p>
        </w:tc>
        <w:tc>
          <w:tcPr>
            <w:tcW w:w="10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8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15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防毒面具</w:t>
            </w:r>
          </w:p>
        </w:tc>
        <w:tc>
          <w:tcPr>
            <w:tcW w:w="32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1.参数要求:通用防毒面具，中等偏上品质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2.计价内容:单次使用防毒面具及滤盒价格</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3.计价方式:根据市场询价及材料摊销次数计算单次使用材料价格</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4.其他:要求为全新，不考虑重复使用</w:t>
            </w:r>
          </w:p>
        </w:tc>
        <w:tc>
          <w:tcPr>
            <w:tcW w:w="10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8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15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正压式空气呼吸器</w:t>
            </w:r>
          </w:p>
        </w:tc>
        <w:tc>
          <w:tcPr>
            <w:tcW w:w="32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1、参数要求：6.8升碳纤维瓶</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2、计价内容：单次使用正压空气呼吸器价格</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3、计价方式：根据市场询价及材料摊销次数计算单次使用材料价格</w:t>
            </w:r>
          </w:p>
        </w:tc>
        <w:tc>
          <w:tcPr>
            <w:tcW w:w="10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套/次</w:t>
            </w:r>
          </w:p>
        </w:tc>
        <w:tc>
          <w:tcPr>
            <w:tcW w:w="8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5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围堰</w:t>
            </w:r>
          </w:p>
        </w:tc>
        <w:tc>
          <w:tcPr>
            <w:tcW w:w="32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1.围堰类型:池体就近堆砌三级沉淀池</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2.填心材料:纤维袋砂包围堰</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3.三级沉淀池底部铺设红白蓝彩条布</w:t>
            </w:r>
          </w:p>
        </w:tc>
        <w:tc>
          <w:tcPr>
            <w:tcW w:w="10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m3</w:t>
            </w:r>
          </w:p>
        </w:tc>
        <w:tc>
          <w:tcPr>
            <w:tcW w:w="8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15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排水</w:t>
            </w:r>
          </w:p>
        </w:tc>
        <w:tc>
          <w:tcPr>
            <w:tcW w:w="32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1、污水泵规格：出口直径100mm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2、起、闭井盖</w:t>
            </w:r>
          </w:p>
        </w:tc>
        <w:tc>
          <w:tcPr>
            <w:tcW w:w="10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台班</w:t>
            </w:r>
          </w:p>
        </w:tc>
        <w:tc>
          <w:tcPr>
            <w:tcW w:w="8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15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有毒气体检测</w:t>
            </w:r>
          </w:p>
        </w:tc>
        <w:tc>
          <w:tcPr>
            <w:tcW w:w="32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1.一次为2小时不间断检测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2.具体检测次数以实际检测台班数量确定</w:t>
            </w:r>
          </w:p>
        </w:tc>
        <w:tc>
          <w:tcPr>
            <w:tcW w:w="10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次</w:t>
            </w:r>
          </w:p>
        </w:tc>
        <w:tc>
          <w:tcPr>
            <w:tcW w:w="8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144</w:t>
            </w:r>
          </w:p>
        </w:tc>
      </w:tr>
    </w:tbl>
    <w:p>
      <w:pPr>
        <w:ind w:firstLine="0" w:firstLineChars="0"/>
        <w:jc w:val="left"/>
        <w:rPr>
          <w:rFonts w:ascii="仿宋_GB2312" w:eastAsia="仿宋_GB2312"/>
          <w:color w:val="auto"/>
          <w:sz w:val="28"/>
          <w:szCs w:val="28"/>
          <w:highlight w:val="none"/>
          <w:u w:val="single"/>
        </w:rPr>
      </w:pP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2.2项目工期：☑计划工期   □交货期  □服务期为</w:t>
      </w:r>
      <w:r>
        <w:rPr>
          <w:rFonts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自合同签订之日起18</w:t>
      </w:r>
      <w:r>
        <w:rPr>
          <w:rFonts w:hint="eastAsia" w:ascii="仿宋_GB2312" w:eastAsia="仿宋_GB2312"/>
          <w:color w:val="auto"/>
          <w:sz w:val="28"/>
          <w:szCs w:val="28"/>
          <w:highlight w:val="none"/>
          <w:u w:val="single"/>
        </w:rPr>
        <w:t xml:space="preserve">天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2.3地点：</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建设地点  □交货地点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服务地点</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rPr>
        <w:t>位于</w:t>
      </w:r>
      <w:r>
        <w:rPr>
          <w:rFonts w:hint="eastAsia" w:ascii="仿宋_GB2312" w:eastAsia="仿宋_GB2312"/>
          <w:color w:val="auto"/>
          <w:sz w:val="28"/>
          <w:szCs w:val="28"/>
          <w:highlight w:val="none"/>
          <w:u w:val="single"/>
        </w:rPr>
        <w:t>广州市白云区钟落潭镇竹二路兰桂街</w:t>
      </w:r>
      <w:r>
        <w:rPr>
          <w:rFonts w:ascii="仿宋_GB2312" w:eastAsia="仿宋_GB2312"/>
          <w:color w:val="auto"/>
          <w:sz w:val="28"/>
          <w:szCs w:val="28"/>
          <w:highlight w:val="none"/>
          <w:u w:val="single"/>
        </w:rPr>
        <w:t>100</w:t>
      </w:r>
      <w:r>
        <w:rPr>
          <w:rFonts w:hint="eastAsia" w:ascii="仿宋_GB2312" w:eastAsia="仿宋_GB2312"/>
          <w:color w:val="auto"/>
          <w:sz w:val="28"/>
          <w:szCs w:val="28"/>
          <w:highlight w:val="none"/>
          <w:u w:val="single"/>
        </w:rPr>
        <w:t>号</w:t>
      </w:r>
    </w:p>
    <w:p>
      <w:pPr>
        <w:spacing w:line="360" w:lineRule="auto"/>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2.4质量要求：</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施工质量要求</w:t>
      </w:r>
      <w:r>
        <w:rPr>
          <w:rFonts w:ascii="仿宋_GB2312" w:eastAsia="仿宋_GB2312"/>
          <w:color w:val="auto"/>
          <w:sz w:val="28"/>
          <w:szCs w:val="28"/>
          <w:highlight w:val="none"/>
        </w:rPr>
        <w:t xml:space="preserve">   </w:t>
      </w:r>
      <w:r>
        <w:rPr>
          <w:rFonts w:hint="eastAsia" w:ascii="仿宋_GB2312" w:eastAsia="仿宋_GB2312"/>
          <w:color w:val="auto"/>
          <w:sz w:val="28"/>
          <w:szCs w:val="28"/>
          <w:highlight w:val="none"/>
        </w:rPr>
        <w:t>□货物质量标准或主要技术性能指标</w:t>
      </w:r>
      <w:r>
        <w:rPr>
          <w:rFonts w:ascii="仿宋_GB2312" w:eastAsia="仿宋_GB2312"/>
          <w:color w:val="auto"/>
          <w:sz w:val="28"/>
          <w:szCs w:val="28"/>
          <w:highlight w:val="none"/>
        </w:rPr>
        <w:t xml:space="preserve">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服务质量要求或服务标准如下：</w:t>
      </w:r>
      <w:r>
        <w:rPr>
          <w:rFonts w:hint="eastAsia" w:ascii="方正仿宋_GB2312" w:hAnsi="方正仿宋_GB2312" w:eastAsia="方正仿宋_GB2312" w:cs="方正仿宋_GB2312"/>
          <w:b w:val="0"/>
          <w:bCs w:val="0"/>
          <w:color w:val="auto"/>
          <w:sz w:val="28"/>
          <w:szCs w:val="28"/>
          <w:highlight w:val="none"/>
          <w:u w:val="single"/>
        </w:rPr>
        <w:t>按合同条款和有关技术标准规范进行验收。使用的各种材料必须符合设计和</w:t>
      </w:r>
      <w:r>
        <w:rPr>
          <w:rFonts w:hint="eastAsia" w:ascii="方正仿宋_GB2312" w:hAnsi="方正仿宋_GB2312" w:eastAsia="方正仿宋_GB2312" w:cs="方正仿宋_GB2312"/>
          <w:b w:val="0"/>
          <w:bCs w:val="0"/>
          <w:color w:val="auto"/>
          <w:sz w:val="28"/>
          <w:szCs w:val="28"/>
          <w:highlight w:val="none"/>
          <w:u w:val="single"/>
          <w:lang w:val="en-US" w:eastAsia="zh-CN"/>
        </w:rPr>
        <w:t>有关技术标准</w:t>
      </w:r>
      <w:r>
        <w:rPr>
          <w:rFonts w:hint="eastAsia" w:ascii="方正仿宋_GB2312" w:hAnsi="方正仿宋_GB2312" w:eastAsia="方正仿宋_GB2312" w:cs="方正仿宋_GB2312"/>
          <w:b w:val="0"/>
          <w:bCs w:val="0"/>
          <w:color w:val="auto"/>
          <w:sz w:val="28"/>
          <w:szCs w:val="28"/>
          <w:highlight w:val="none"/>
          <w:u w:val="single"/>
        </w:rPr>
        <w:t>规范要求。</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ascii="仿宋_GB2312" w:eastAsia="仿宋_GB2312"/>
          <w:color w:val="auto"/>
          <w:sz w:val="28"/>
          <w:szCs w:val="28"/>
          <w:highlight w:val="none"/>
        </w:rPr>
        <w:t xml:space="preserve">    </w:t>
      </w:r>
      <w:r>
        <w:rPr>
          <w:rFonts w:hint="eastAsia" w:ascii="仿宋_GB2312" w:eastAsia="仿宋_GB2312"/>
          <w:color w:val="auto"/>
          <w:sz w:val="28"/>
          <w:szCs w:val="28"/>
          <w:highlight w:val="none"/>
        </w:rPr>
        <w:t>2.5其他：</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安全目标如下：</w:t>
      </w:r>
      <w:r>
        <w:rPr>
          <w:rFonts w:hint="eastAsia" w:ascii="仿宋_GB2312" w:eastAsia="仿宋_GB2312"/>
          <w:color w:val="auto"/>
          <w:sz w:val="28"/>
          <w:szCs w:val="28"/>
          <w:highlight w:val="none"/>
          <w:u w:val="single"/>
        </w:rPr>
        <w:t xml:space="preserve"> </w:t>
      </w:r>
      <w:r>
        <w:rPr>
          <w:rFonts w:hint="eastAsia" w:ascii="仿宋_GB2312" w:eastAsia="仿宋_GB2312"/>
          <w:b w:val="0"/>
          <w:bCs w:val="0"/>
          <w:color w:val="auto"/>
          <w:sz w:val="28"/>
          <w:szCs w:val="28"/>
          <w:highlight w:val="none"/>
          <w:u w:val="single"/>
          <w:lang w:val="en-US" w:eastAsia="zh-CN"/>
        </w:rPr>
        <w:t>根据公司“有限空间”作业安全标准；“广州净水公司关于印发营运类设施高压维保和清淤项目管理标准（试行）通知”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rPr>
        <w:t>（须提供复印件并加盖单位公章）</w:t>
      </w:r>
    </w:p>
    <w:p>
      <w:pPr>
        <w:adjustRightInd w:val="0"/>
        <w:snapToGrid w:val="0"/>
        <w:spacing w:line="600" w:lineRule="exact"/>
        <w:jc w:val="left"/>
        <w:rPr>
          <w:rFonts w:ascii="仿宋_GB2312" w:eastAsia="仿宋_GB2312"/>
          <w:b w:val="0"/>
          <w:bCs w:val="0"/>
          <w:color w:val="auto"/>
          <w:sz w:val="28"/>
          <w:szCs w:val="28"/>
          <w:highlight w:val="none"/>
        </w:rPr>
      </w:pPr>
      <w:r>
        <w:rPr>
          <w:rFonts w:hint="eastAsia" w:ascii="仿宋_GB2312" w:eastAsia="仿宋_GB2312"/>
          <w:b w:val="0"/>
          <w:bCs w:val="0"/>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b w:val="0"/>
          <w:bCs w:val="0"/>
          <w:color w:val="auto"/>
          <w:sz w:val="28"/>
          <w:szCs w:val="28"/>
          <w:highlight w:val="none"/>
          <w:lang w:eastAsia="zh-CN"/>
        </w:rPr>
      </w:pPr>
      <w:r>
        <w:rPr>
          <w:rFonts w:hint="eastAsia" w:ascii="仿宋_GB2312" w:eastAsia="仿宋_GB2312"/>
          <w:color w:val="auto"/>
          <w:sz w:val="28"/>
          <w:szCs w:val="28"/>
          <w:highlight w:val="none"/>
          <w:lang w:eastAsia="zh-CN"/>
        </w:rPr>
        <w:t>☑</w:t>
      </w:r>
      <w:r>
        <w:rPr>
          <w:rFonts w:hint="eastAsia" w:ascii="仿宋_GB2312" w:eastAsia="仿宋_GB2312"/>
          <w:b w:val="0"/>
          <w:bCs w:val="0"/>
          <w:color w:val="auto"/>
          <w:sz w:val="28"/>
          <w:szCs w:val="28"/>
          <w:highlight w:val="none"/>
          <w:lang w:eastAsia="zh-CN"/>
        </w:rPr>
        <w:t>（</w:t>
      </w:r>
      <w:r>
        <w:rPr>
          <w:rFonts w:hint="eastAsia" w:ascii="仿宋_GB2312" w:eastAsia="仿宋_GB2312"/>
          <w:b w:val="0"/>
          <w:bCs w:val="0"/>
          <w:color w:val="auto"/>
          <w:sz w:val="28"/>
          <w:szCs w:val="28"/>
          <w:highlight w:val="none"/>
          <w:lang w:val="en-US" w:eastAsia="zh-CN"/>
        </w:rPr>
        <w:t>1</w:t>
      </w:r>
      <w:r>
        <w:rPr>
          <w:rFonts w:hint="eastAsia" w:ascii="仿宋_GB2312" w:eastAsia="仿宋_GB2312"/>
          <w:b w:val="0"/>
          <w:bCs w:val="0"/>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hint="eastAsia" w:ascii="仿宋_GB2312" w:eastAsia="仿宋_GB2312"/>
          <w:b w:val="0"/>
          <w:bCs w:val="0"/>
          <w:color w:val="auto"/>
          <w:sz w:val="28"/>
          <w:szCs w:val="28"/>
          <w:highlight w:val="none"/>
          <w:u w:val="single"/>
          <w:lang w:eastAsia="zh-CN"/>
        </w:rPr>
      </w:pPr>
      <w:r>
        <w:rPr>
          <w:rFonts w:hint="eastAsia" w:ascii="仿宋_GB2312" w:eastAsia="仿宋_GB2312"/>
          <w:color w:val="auto"/>
          <w:sz w:val="28"/>
          <w:szCs w:val="28"/>
          <w:highlight w:val="none"/>
          <w:lang w:eastAsia="zh-CN"/>
        </w:rPr>
        <w:t>☑</w:t>
      </w:r>
      <w:r>
        <w:rPr>
          <w:rFonts w:hint="eastAsia" w:ascii="仿宋_GB2312" w:eastAsia="仿宋_GB2312"/>
          <w:b w:val="0"/>
          <w:bCs w:val="0"/>
          <w:color w:val="auto"/>
          <w:sz w:val="28"/>
          <w:szCs w:val="28"/>
          <w:highlight w:val="none"/>
          <w:lang w:eastAsia="zh-CN"/>
        </w:rPr>
        <w:t>（</w:t>
      </w:r>
      <w:r>
        <w:rPr>
          <w:rFonts w:hint="eastAsia" w:ascii="仿宋_GB2312" w:eastAsia="仿宋_GB2312"/>
          <w:b w:val="0"/>
          <w:bCs w:val="0"/>
          <w:color w:val="auto"/>
          <w:sz w:val="28"/>
          <w:szCs w:val="28"/>
          <w:highlight w:val="none"/>
          <w:lang w:val="en-US" w:eastAsia="zh-CN"/>
        </w:rPr>
        <w:t>2</w:t>
      </w:r>
      <w:r>
        <w:rPr>
          <w:rFonts w:hint="eastAsia" w:ascii="仿宋_GB2312" w:eastAsia="仿宋_GB2312"/>
          <w:b w:val="0"/>
          <w:bCs w:val="0"/>
          <w:color w:val="auto"/>
          <w:sz w:val="28"/>
          <w:szCs w:val="28"/>
          <w:highlight w:val="none"/>
          <w:lang w:eastAsia="zh-CN"/>
        </w:rPr>
        <w:t>）</w:t>
      </w:r>
      <w:r>
        <w:rPr>
          <w:rFonts w:hint="eastAsia" w:ascii="仿宋_GB2312" w:eastAsia="仿宋_GB2312"/>
          <w:b w:val="0"/>
          <w:bCs w:val="0"/>
          <w:color w:val="auto"/>
          <w:sz w:val="28"/>
          <w:szCs w:val="28"/>
          <w:highlight w:val="none"/>
        </w:rPr>
        <w:t>供应商应当具备</w:t>
      </w:r>
      <w:r>
        <w:rPr>
          <w:rFonts w:hint="eastAsia" w:ascii="仿宋_GB2312" w:eastAsia="仿宋_GB2312"/>
          <w:b w:val="0"/>
          <w:bCs w:val="0"/>
          <w:color w:val="auto"/>
          <w:sz w:val="28"/>
          <w:szCs w:val="28"/>
          <w:highlight w:val="none"/>
          <w:u w:val="single"/>
        </w:rPr>
        <w:t xml:space="preserve"> </w:t>
      </w:r>
      <w:r>
        <w:rPr>
          <w:rFonts w:hint="eastAsia" w:ascii="仿宋" w:hAnsi="仿宋" w:eastAsia="仿宋" w:cs="仿宋"/>
          <w:b w:val="0"/>
          <w:bCs w:val="0"/>
          <w:color w:val="auto"/>
          <w:sz w:val="28"/>
          <w:szCs w:val="28"/>
          <w:highlight w:val="none"/>
          <w:u w:val="single"/>
          <w:lang w:val="en-US" w:eastAsia="zh-CN"/>
        </w:rPr>
        <w:t>市政公用工程施工总</w:t>
      </w:r>
      <w:r>
        <w:rPr>
          <w:rFonts w:hint="eastAsia" w:ascii="仿宋" w:hAnsi="仿宋" w:eastAsia="仿宋" w:cs="仿宋"/>
          <w:b w:val="0"/>
          <w:bCs w:val="0"/>
          <w:color w:val="auto"/>
          <w:sz w:val="28"/>
          <w:szCs w:val="28"/>
          <w:highlight w:val="none"/>
          <w:u w:val="single"/>
        </w:rPr>
        <w:t>承包</w:t>
      </w:r>
      <w:r>
        <w:rPr>
          <w:rFonts w:hint="eastAsia" w:ascii="仿宋" w:hAnsi="仿宋" w:eastAsia="仿宋" w:cs="仿宋"/>
          <w:b w:val="0"/>
          <w:bCs w:val="0"/>
          <w:color w:val="auto"/>
          <w:sz w:val="28"/>
          <w:szCs w:val="28"/>
          <w:highlight w:val="none"/>
          <w:u w:val="single"/>
          <w:lang w:val="en-US" w:eastAsia="zh-CN"/>
        </w:rPr>
        <w:t>三级（</w:t>
      </w:r>
      <w:r>
        <w:rPr>
          <w:rFonts w:hint="eastAsia" w:ascii="仿宋" w:hAnsi="仿宋" w:eastAsia="仿宋" w:cs="仿宋"/>
          <w:b w:val="0"/>
          <w:bCs w:val="0"/>
          <w:color w:val="auto"/>
          <w:sz w:val="28"/>
          <w:szCs w:val="28"/>
          <w:highlight w:val="none"/>
          <w:u w:val="single"/>
        </w:rPr>
        <w:t>或以上</w:t>
      </w:r>
      <w:r>
        <w:rPr>
          <w:rFonts w:hint="eastAsia" w:ascii="仿宋" w:hAnsi="仿宋" w:eastAsia="仿宋" w:cs="仿宋"/>
          <w:b w:val="0"/>
          <w:bCs w:val="0"/>
          <w:color w:val="auto"/>
          <w:sz w:val="28"/>
          <w:szCs w:val="28"/>
          <w:highlight w:val="none"/>
          <w:u w:val="single"/>
          <w:lang w:eastAsia="zh-CN"/>
        </w:rPr>
        <w:t>）</w:t>
      </w:r>
      <w:r>
        <w:rPr>
          <w:rFonts w:hint="eastAsia" w:ascii="仿宋_GB2312" w:eastAsia="仿宋_GB2312"/>
          <w:b w:val="0"/>
          <w:bCs w:val="0"/>
          <w:color w:val="auto"/>
          <w:sz w:val="28"/>
          <w:szCs w:val="28"/>
          <w:highlight w:val="none"/>
        </w:rPr>
        <w:t>资质</w:t>
      </w:r>
      <w:r>
        <w:rPr>
          <w:rFonts w:hint="eastAsia" w:ascii="仿宋_GB2312" w:eastAsia="仿宋_GB2312"/>
          <w:b w:val="0"/>
          <w:bCs w:val="0"/>
          <w:color w:val="auto"/>
          <w:sz w:val="28"/>
          <w:szCs w:val="28"/>
          <w:highlight w:val="none"/>
          <w:lang w:eastAsia="zh-CN"/>
        </w:rPr>
        <w:t>，</w:t>
      </w:r>
      <w:r>
        <w:rPr>
          <w:rFonts w:hint="eastAsia" w:ascii="仿宋" w:hAnsi="仿宋" w:eastAsia="仿宋" w:cs="仿宋"/>
          <w:b w:val="0"/>
          <w:bCs w:val="0"/>
          <w:color w:val="auto"/>
          <w:sz w:val="28"/>
          <w:szCs w:val="28"/>
          <w:highlight w:val="none"/>
          <w:u w:val="single"/>
        </w:rPr>
        <w:t>具有有效建设行政主管部门颁发的</w:t>
      </w:r>
      <w:r>
        <w:rPr>
          <w:rFonts w:hint="eastAsia" w:ascii="仿宋_GB2312" w:hAnsi="仿宋" w:eastAsia="仿宋_GB2312" w:cs="仿宋_GB2312"/>
          <w:b w:val="0"/>
          <w:bCs w:val="0"/>
          <w:color w:val="auto"/>
          <w:sz w:val="28"/>
          <w:szCs w:val="28"/>
          <w:highlight w:val="none"/>
          <w:u w:val="single"/>
        </w:rPr>
        <w:t>《安全生产许可证》</w:t>
      </w:r>
      <w:r>
        <w:rPr>
          <w:rFonts w:hint="eastAsia" w:ascii="仿宋_GB2312" w:hAnsi="仿宋" w:eastAsia="仿宋_GB2312" w:cs="仿宋_GB2312"/>
          <w:b w:val="0"/>
          <w:bCs w:val="0"/>
          <w:color w:val="auto"/>
          <w:sz w:val="28"/>
          <w:szCs w:val="28"/>
          <w:highlight w:val="none"/>
          <w:u w:val="single"/>
          <w:lang w:val="en-US" w:eastAsia="zh-CN"/>
        </w:rPr>
        <w:t>资质</w:t>
      </w:r>
      <w:r>
        <w:rPr>
          <w:rFonts w:hint="eastAsia" w:ascii="仿宋" w:hAnsi="仿宋" w:eastAsia="仿宋" w:cs="仿宋"/>
          <w:b w:val="0"/>
          <w:bCs w:val="0"/>
          <w:color w:val="auto"/>
          <w:sz w:val="28"/>
          <w:szCs w:val="28"/>
          <w:highlight w:val="none"/>
          <w:u w:val="single"/>
        </w:rPr>
        <w:t>。</w:t>
      </w:r>
    </w:p>
    <w:p>
      <w:pPr>
        <w:adjustRightInd w:val="0"/>
        <w:snapToGrid w:val="0"/>
        <w:spacing w:line="600" w:lineRule="exact"/>
        <w:jc w:val="left"/>
        <w:rPr>
          <w:rFonts w:hint="eastAsia" w:ascii="仿宋_GB2312" w:eastAsia="仿宋_GB2312"/>
          <w:b w:val="0"/>
          <w:bCs w:val="0"/>
          <w:color w:val="auto"/>
          <w:sz w:val="28"/>
          <w:szCs w:val="28"/>
          <w:highlight w:val="none"/>
        </w:rPr>
      </w:pPr>
      <w:r>
        <w:rPr>
          <w:rFonts w:hint="eastAsia" w:ascii="仿宋_GB2312" w:eastAsia="仿宋_GB2312"/>
          <w:color w:val="auto"/>
          <w:sz w:val="28"/>
          <w:szCs w:val="28"/>
          <w:highlight w:val="none"/>
          <w:lang w:eastAsia="zh-CN"/>
        </w:rPr>
        <w:t>☑</w:t>
      </w:r>
      <w:r>
        <w:rPr>
          <w:rFonts w:hint="eastAsia" w:ascii="仿宋_GB2312" w:eastAsia="仿宋_GB2312"/>
          <w:b w:val="0"/>
          <w:bCs w:val="0"/>
          <w:color w:val="auto"/>
          <w:sz w:val="28"/>
          <w:szCs w:val="28"/>
          <w:highlight w:val="none"/>
          <w:lang w:eastAsia="zh-CN"/>
        </w:rPr>
        <w:t>（</w:t>
      </w:r>
      <w:r>
        <w:rPr>
          <w:rFonts w:hint="eastAsia" w:ascii="仿宋_GB2312" w:eastAsia="仿宋_GB2312"/>
          <w:b w:val="0"/>
          <w:bCs w:val="0"/>
          <w:color w:val="auto"/>
          <w:sz w:val="28"/>
          <w:szCs w:val="28"/>
          <w:highlight w:val="none"/>
          <w:lang w:val="en-US" w:eastAsia="zh-CN"/>
        </w:rPr>
        <w:t>3</w:t>
      </w:r>
      <w:r>
        <w:rPr>
          <w:rFonts w:hint="eastAsia" w:ascii="仿宋_GB2312" w:eastAsia="仿宋_GB2312"/>
          <w:b w:val="0"/>
          <w:bCs w:val="0"/>
          <w:color w:val="auto"/>
          <w:sz w:val="28"/>
          <w:szCs w:val="28"/>
          <w:highlight w:val="none"/>
          <w:lang w:eastAsia="zh-CN"/>
        </w:rPr>
        <w:t>）</w:t>
      </w:r>
      <w:r>
        <w:rPr>
          <w:rFonts w:hint="eastAsia" w:ascii="仿宋" w:hAnsi="仿宋" w:eastAsia="仿宋" w:cs="仿宋"/>
          <w:b w:val="0"/>
          <w:bCs w:val="0"/>
          <w:color w:val="auto"/>
          <w:kern w:val="0"/>
          <w:sz w:val="28"/>
          <w:szCs w:val="28"/>
          <w:highlight w:val="none"/>
          <w:u w:val="single"/>
        </w:rPr>
        <w:t>201</w:t>
      </w:r>
      <w:r>
        <w:rPr>
          <w:rFonts w:hint="eastAsia" w:ascii="仿宋" w:hAnsi="仿宋" w:eastAsia="仿宋" w:cs="仿宋"/>
          <w:b w:val="0"/>
          <w:bCs w:val="0"/>
          <w:color w:val="auto"/>
          <w:kern w:val="0"/>
          <w:sz w:val="28"/>
          <w:szCs w:val="28"/>
          <w:highlight w:val="none"/>
          <w:u w:val="single"/>
          <w:lang w:val="en-US" w:eastAsia="zh-CN"/>
        </w:rPr>
        <w:t>9</w:t>
      </w:r>
      <w:r>
        <w:rPr>
          <w:rFonts w:hint="eastAsia" w:ascii="仿宋" w:hAnsi="仿宋" w:eastAsia="仿宋" w:cs="仿宋"/>
          <w:b w:val="0"/>
          <w:bCs w:val="0"/>
          <w:color w:val="auto"/>
          <w:kern w:val="0"/>
          <w:sz w:val="28"/>
          <w:szCs w:val="28"/>
          <w:highlight w:val="none"/>
          <w:u w:val="single"/>
        </w:rPr>
        <w:t>年1月1日至今</w:t>
      </w:r>
      <w:r>
        <w:rPr>
          <w:rFonts w:hint="eastAsia" w:ascii="仿宋" w:hAnsi="仿宋" w:eastAsia="仿宋" w:cs="仿宋"/>
          <w:b w:val="0"/>
          <w:bCs w:val="0"/>
          <w:color w:val="auto"/>
          <w:kern w:val="0"/>
          <w:sz w:val="28"/>
          <w:szCs w:val="28"/>
          <w:highlight w:val="none"/>
          <w:u w:val="single"/>
          <w:lang w:eastAsia="zh-CN"/>
        </w:rPr>
        <w:t>，</w:t>
      </w:r>
      <w:r>
        <w:rPr>
          <w:rFonts w:hint="eastAsia" w:ascii="仿宋" w:hAnsi="仿宋" w:eastAsia="仿宋" w:cs="仿宋"/>
          <w:b w:val="0"/>
          <w:bCs w:val="0"/>
          <w:color w:val="auto"/>
          <w:kern w:val="0"/>
          <w:sz w:val="28"/>
          <w:szCs w:val="28"/>
          <w:highlight w:val="none"/>
          <w:u w:val="single"/>
          <w:lang w:val="en-US" w:eastAsia="zh-CN"/>
        </w:rPr>
        <w:t>至少</w:t>
      </w:r>
      <w:r>
        <w:rPr>
          <w:rFonts w:hint="eastAsia" w:ascii="仿宋" w:hAnsi="仿宋" w:eastAsia="仿宋" w:cs="仿宋"/>
          <w:b w:val="0"/>
          <w:bCs w:val="0"/>
          <w:color w:val="auto"/>
          <w:kern w:val="0"/>
          <w:sz w:val="28"/>
          <w:szCs w:val="28"/>
          <w:highlight w:val="none"/>
          <w:u w:val="single"/>
        </w:rPr>
        <w:t>具有</w:t>
      </w:r>
      <w:r>
        <w:rPr>
          <w:rFonts w:hint="eastAsia" w:ascii="仿宋" w:hAnsi="仿宋" w:eastAsia="仿宋" w:cs="仿宋"/>
          <w:b w:val="0"/>
          <w:bCs w:val="0"/>
          <w:color w:val="auto"/>
          <w:kern w:val="0"/>
          <w:sz w:val="28"/>
          <w:szCs w:val="28"/>
          <w:highlight w:val="none"/>
          <w:u w:val="single"/>
          <w:lang w:val="en-US" w:eastAsia="zh-CN"/>
        </w:rPr>
        <w:t>一项污水厂清淤</w:t>
      </w:r>
      <w:r>
        <w:rPr>
          <w:rFonts w:hint="eastAsia" w:ascii="仿宋" w:hAnsi="仿宋" w:eastAsia="仿宋" w:cs="仿宋"/>
          <w:b w:val="0"/>
          <w:bCs w:val="0"/>
          <w:color w:val="auto"/>
          <w:kern w:val="0"/>
          <w:sz w:val="28"/>
          <w:szCs w:val="28"/>
          <w:highlight w:val="none"/>
          <w:u w:val="single"/>
        </w:rPr>
        <w:t>业绩</w:t>
      </w:r>
      <w:r>
        <w:rPr>
          <w:rFonts w:hint="eastAsia" w:ascii="仿宋_GB2312" w:eastAsia="仿宋_GB2312"/>
          <w:b w:val="0"/>
          <w:bCs w:val="0"/>
          <w:color w:val="auto"/>
          <w:sz w:val="28"/>
          <w:szCs w:val="28"/>
          <w:highlight w:val="none"/>
        </w:rPr>
        <w:t>（提供合同复印件证明，包括但不限于项目名称、金额及实施内容、合同盖章、签订日期，加盖单位公章）</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_GB2312" w:eastAsia="仿宋_GB2312"/>
          <w:b w:val="0"/>
          <w:bCs w:val="0"/>
          <w:color w:val="auto"/>
          <w:sz w:val="28"/>
          <w:szCs w:val="28"/>
          <w:highlight w:val="none"/>
        </w:rPr>
      </w:pPr>
      <w:r>
        <w:rPr>
          <w:rFonts w:hint="eastAsia" w:ascii="仿宋_GB2312" w:eastAsia="仿宋_GB2312"/>
          <w:color w:val="auto"/>
          <w:sz w:val="28"/>
          <w:szCs w:val="28"/>
          <w:highlight w:val="none"/>
          <w:lang w:eastAsia="zh-CN"/>
        </w:rPr>
        <w:t>☑</w:t>
      </w:r>
      <w:r>
        <w:rPr>
          <w:rFonts w:hint="eastAsia" w:ascii="仿宋_GB2312" w:eastAsia="仿宋_GB2312"/>
          <w:b w:val="0"/>
          <w:bCs w:val="0"/>
          <w:color w:val="auto"/>
          <w:sz w:val="28"/>
          <w:szCs w:val="28"/>
          <w:highlight w:val="none"/>
        </w:rPr>
        <w:t>（</w:t>
      </w:r>
      <w:r>
        <w:rPr>
          <w:rFonts w:hint="eastAsia" w:ascii="仿宋_GB2312" w:eastAsia="仿宋_GB2312"/>
          <w:b w:val="0"/>
          <w:bCs w:val="0"/>
          <w:color w:val="auto"/>
          <w:sz w:val="28"/>
          <w:szCs w:val="28"/>
          <w:highlight w:val="none"/>
          <w:lang w:val="en-US" w:eastAsia="zh-CN"/>
        </w:rPr>
        <w:t>4</w:t>
      </w:r>
      <w:r>
        <w:rPr>
          <w:rFonts w:hint="eastAsia" w:ascii="仿宋_GB2312" w:eastAsia="仿宋_GB2312"/>
          <w:b w:val="0"/>
          <w:bCs w:val="0"/>
          <w:color w:val="auto"/>
          <w:sz w:val="28"/>
          <w:szCs w:val="28"/>
          <w:highlight w:val="none"/>
        </w:rPr>
        <w:t>）报价单位拟担任本工程项目负责人和安全员的人员资质须满足下列要求，且项目负责人不得同时兼任本项目专职安全人员；</w:t>
      </w:r>
    </w:p>
    <w:p>
      <w:pPr>
        <w:pStyle w:val="20"/>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firstLine="840" w:firstLineChars="300"/>
        <w:jc w:val="both"/>
        <w:rPr>
          <w:rFonts w:hint="eastAsia" w:ascii="仿宋" w:hAnsi="仿宋" w:eastAsia="仿宋" w:cs="仿宋"/>
          <w:b w:val="0"/>
          <w:bCs w:val="0"/>
          <w:color w:val="auto"/>
          <w:sz w:val="28"/>
          <w:szCs w:val="28"/>
          <w:highlight w:val="none"/>
          <w:u w:val="single"/>
          <w:lang w:eastAsia="zh-CN"/>
        </w:rPr>
      </w:pPr>
      <w:r>
        <w:rPr>
          <w:rFonts w:hint="eastAsia" w:ascii="仿宋_GB2312" w:eastAsia="仿宋_GB2312"/>
          <w:b w:val="0"/>
          <w:bCs w:val="0"/>
          <w:color w:val="auto"/>
          <w:sz w:val="28"/>
          <w:szCs w:val="28"/>
          <w:highlight w:val="none"/>
          <w:lang w:val="en-US" w:eastAsia="zh-CN"/>
        </w:rPr>
        <w:t>4.1</w:t>
      </w:r>
      <w:r>
        <w:rPr>
          <w:rFonts w:hint="eastAsia" w:ascii="仿宋" w:hAnsi="仿宋" w:eastAsia="仿宋" w:cs="仿宋"/>
          <w:b w:val="0"/>
          <w:bCs w:val="0"/>
          <w:color w:val="auto"/>
          <w:sz w:val="28"/>
          <w:szCs w:val="28"/>
          <w:highlight w:val="none"/>
          <w:u w:val="single"/>
        </w:rPr>
        <w:t>负责人要求：</w:t>
      </w:r>
      <w:r>
        <w:rPr>
          <w:rFonts w:hint="eastAsia" w:ascii="仿宋" w:hAnsi="仿宋" w:eastAsia="仿宋" w:cs="仿宋"/>
          <w:b w:val="0"/>
          <w:bCs w:val="0"/>
          <w:color w:val="auto"/>
          <w:sz w:val="28"/>
          <w:szCs w:val="28"/>
          <w:highlight w:val="none"/>
          <w:u w:val="single"/>
          <w:lang w:val="en-US" w:eastAsia="zh-CN"/>
        </w:rPr>
        <w:t>市政</w:t>
      </w:r>
      <w:r>
        <w:rPr>
          <w:rFonts w:hint="eastAsia" w:ascii="仿宋" w:hAnsi="仿宋" w:eastAsia="仿宋" w:cs="仿宋"/>
          <w:b w:val="0"/>
          <w:bCs w:val="0"/>
          <w:color w:val="auto"/>
          <w:sz w:val="28"/>
          <w:szCs w:val="28"/>
          <w:highlight w:val="none"/>
          <w:u w:val="single"/>
        </w:rPr>
        <w:t>专业二级（或以上级别）的注册建造师（或具备符合粤建市〔2010〕26号文规定的小型项目负责人资格），同时持有项目负责人安全生产考核合格证（B类）（或能够提供广东省建筑施工企业管理人员安全生产考核信息系统安全生产管理人员证书信息的网页截图）；（注：根据广东省建设信息中心关于启用新版“广东省建设执业资格注册管理信息系统”的通知，注册建造师电子证书须由本人在个人签名处手写签名，未手写签名或与签名图像笔迹不一致的，电子证书无效）</w:t>
      </w:r>
      <w:r>
        <w:rPr>
          <w:rFonts w:hint="eastAsia" w:ascii="仿宋" w:hAnsi="仿宋" w:eastAsia="仿宋" w:cs="仿宋"/>
          <w:b w:val="0"/>
          <w:bCs w:val="0"/>
          <w:color w:val="auto"/>
          <w:sz w:val="28"/>
          <w:szCs w:val="28"/>
          <w:highlight w:val="none"/>
          <w:u w:val="single"/>
          <w:lang w:eastAsia="zh-CN"/>
        </w:rPr>
        <w:t>，</w:t>
      </w:r>
      <w:r>
        <w:rPr>
          <w:rFonts w:hint="eastAsia" w:ascii="仿宋" w:hAnsi="仿宋" w:eastAsia="仿宋" w:cs="仿宋"/>
          <w:b w:val="0"/>
          <w:bCs w:val="0"/>
          <w:color w:val="auto"/>
          <w:sz w:val="28"/>
          <w:szCs w:val="28"/>
          <w:highlight w:val="none"/>
          <w:u w:val="single"/>
          <w:lang w:val="en-US" w:eastAsia="zh-CN"/>
        </w:rPr>
        <w:t>广东省外注册的二级建造师人员暂不能在我省执业。</w:t>
      </w:r>
    </w:p>
    <w:p>
      <w:pPr>
        <w:pStyle w:val="20"/>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firstLine="840" w:firstLineChars="300"/>
        <w:jc w:val="both"/>
        <w:rPr>
          <w:rFonts w:ascii="仿宋_GB2312" w:eastAsia="仿宋_GB2312"/>
          <w:b w:val="0"/>
          <w:bCs w:val="0"/>
          <w:color w:val="auto"/>
          <w:sz w:val="28"/>
          <w:szCs w:val="28"/>
          <w:highlight w:val="none"/>
          <w:u w:val="single"/>
        </w:rPr>
      </w:pPr>
      <w:r>
        <w:rPr>
          <w:rFonts w:hint="eastAsia" w:ascii="仿宋" w:hAnsi="仿宋" w:eastAsia="仿宋" w:cs="仿宋"/>
          <w:b w:val="0"/>
          <w:bCs w:val="0"/>
          <w:color w:val="auto"/>
          <w:sz w:val="28"/>
          <w:szCs w:val="28"/>
          <w:highlight w:val="none"/>
          <w:u w:val="single"/>
          <w:lang w:val="en-US" w:eastAsia="zh-CN"/>
        </w:rPr>
        <w:t>4.2</w:t>
      </w:r>
      <w:r>
        <w:rPr>
          <w:rFonts w:hint="eastAsia" w:ascii="仿宋" w:hAnsi="仿宋" w:eastAsia="仿宋" w:cs="仿宋"/>
          <w:b w:val="0"/>
          <w:bCs w:val="0"/>
          <w:color w:val="auto"/>
          <w:sz w:val="28"/>
          <w:szCs w:val="28"/>
          <w:highlight w:val="none"/>
          <w:u w:val="single"/>
        </w:rPr>
        <w:t>专职安全人员要求：须具有安全生产考核合格证（C类）（或能够提供广东省建筑施工企业管理人员安全生产考核信息系统安全生产管理人员证书信息的网页截图）。</w:t>
      </w:r>
    </w:p>
    <w:p>
      <w:pPr>
        <w:numPr>
          <w:ilvl w:val="0"/>
          <w:numId w:val="0"/>
        </w:numPr>
        <w:adjustRightInd/>
        <w:snapToGrid/>
        <w:spacing w:line="48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3.2供应商在响应文件提交截止日期止不得存在下列情形之一（须出具承诺函）：</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（12）其他禁止情形：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踏勘现场</w:t>
      </w:r>
    </w:p>
    <w:p>
      <w:pPr>
        <w:adjustRightInd w:val="0"/>
        <w:snapToGrid w:val="0"/>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不组织</w:t>
      </w:r>
    </w:p>
    <w:p>
      <w:pPr>
        <w:adjustRightInd w:val="0"/>
        <w:snapToGrid w:val="0"/>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组织</w:t>
      </w:r>
    </w:p>
    <w:p>
      <w:pPr>
        <w:adjustRightInd w:val="0"/>
        <w:snapToGrid w:val="0"/>
        <w:spacing w:line="360" w:lineRule="auto"/>
        <w:ind w:firstLine="560" w:firstLineChars="200"/>
        <w:jc w:val="left"/>
        <w:rPr>
          <w:rFonts w:asciiTheme="minorEastAsia" w:hAnsiTheme="minorEastAsia"/>
          <w:b/>
          <w:color w:val="auto"/>
          <w:sz w:val="32"/>
          <w:szCs w:val="32"/>
          <w:highlight w:val="none"/>
        </w:rPr>
      </w:pPr>
      <w:r>
        <w:rPr>
          <w:rFonts w:hint="eastAsia" w:ascii="仿宋_GB2312" w:hAnsi="仿宋" w:eastAsia="仿宋_GB2312" w:cs="仿宋_GB2312"/>
          <w:color w:val="auto"/>
          <w:sz w:val="28"/>
          <w:szCs w:val="28"/>
          <w:highlight w:val="none"/>
          <w:lang w:val="en-US" w:eastAsia="zh-CN"/>
        </w:rPr>
        <w:t>供应商可</w:t>
      </w:r>
      <w:r>
        <w:rPr>
          <w:rFonts w:hint="eastAsia" w:ascii="仿宋_GB2312" w:hAnsi="仿宋" w:eastAsia="仿宋_GB2312" w:cs="仿宋_GB2312"/>
          <w:color w:val="auto"/>
          <w:sz w:val="28"/>
          <w:szCs w:val="28"/>
          <w:highlight w:val="none"/>
          <w:lang w:val="zh-CN"/>
        </w:rPr>
        <w:t>自行</w:t>
      </w:r>
      <w:r>
        <w:rPr>
          <w:rFonts w:hint="eastAsia" w:ascii="仿宋_GB2312" w:hAnsi="仿宋" w:eastAsia="仿宋_GB2312" w:cs="仿宋_GB2312"/>
          <w:color w:val="auto"/>
          <w:sz w:val="28"/>
          <w:szCs w:val="28"/>
          <w:highlight w:val="none"/>
          <w:lang w:val="en-US" w:eastAsia="zh-CN"/>
        </w:rPr>
        <w:t>选择是否前往现场踏勘</w:t>
      </w:r>
      <w:r>
        <w:rPr>
          <w:rFonts w:hint="eastAsia" w:ascii="仿宋_GB2312" w:hAnsi="仿宋" w:eastAsia="仿宋_GB2312" w:cs="仿宋_GB2312"/>
          <w:color w:val="auto"/>
          <w:sz w:val="28"/>
          <w:szCs w:val="28"/>
          <w:highlight w:val="none"/>
          <w:lang w:val="zh-CN"/>
        </w:rPr>
        <w:t>，</w:t>
      </w:r>
      <w:r>
        <w:rPr>
          <w:rFonts w:hint="eastAsia" w:ascii="仿宋_GB2312" w:hAnsi="仿宋" w:eastAsia="仿宋_GB2312" w:cs="仿宋_GB2312"/>
          <w:color w:val="auto"/>
          <w:sz w:val="28"/>
          <w:szCs w:val="28"/>
          <w:highlight w:val="none"/>
          <w:lang w:val="en-US" w:eastAsia="zh-CN"/>
        </w:rPr>
        <w:t>若前往现场踏勘须在规定时间内到达集中地点，逾期不再接待</w:t>
      </w:r>
      <w:r>
        <w:rPr>
          <w:rFonts w:hint="eastAsia" w:ascii="仿宋_GB2312" w:hAnsi="仿宋" w:eastAsia="仿宋_GB2312" w:cs="仿宋_GB2312"/>
          <w:color w:val="auto"/>
          <w:sz w:val="28"/>
          <w:szCs w:val="28"/>
          <w:highlight w:val="none"/>
          <w:lang w:val="zh-CN"/>
        </w:rPr>
        <w:t>。</w:t>
      </w:r>
      <w:r>
        <w:rPr>
          <w:rFonts w:hint="eastAsia" w:ascii="仿宋_GB2312" w:eastAsia="仿宋_GB2312"/>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6.1递交响应文件截止时间：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6</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分前（北京时间）。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6.2递交及快递地址：广州市天河区临江大道501号</w:t>
      </w:r>
      <w:r>
        <w:rPr>
          <w:rFonts w:hint="eastAsia" w:ascii="仿宋_GB2312" w:eastAsia="仿宋_GB2312"/>
          <w:color w:val="auto"/>
          <w:sz w:val="28"/>
          <w:szCs w:val="28"/>
          <w:highlight w:val="none"/>
          <w:u w:val="single"/>
        </w:rPr>
        <w:t>广州市净水有限公司6楼招标部</w:t>
      </w:r>
      <w:r>
        <w:rPr>
          <w:rFonts w:hint="eastAsia" w:ascii="仿宋_GB2312" w:eastAsia="仿宋_GB2312"/>
          <w:color w:val="auto"/>
          <w:sz w:val="28"/>
          <w:szCs w:val="28"/>
          <w:highlight w:val="none"/>
        </w:rPr>
        <w:t>。</w:t>
      </w:r>
    </w:p>
    <w:p>
      <w:pPr>
        <w:pStyle w:val="21"/>
        <w:ind w:firstLine="560" w:firstLineChars="200"/>
        <w:rPr>
          <w:rFonts w:eastAsia="仿宋_GB2312"/>
          <w:color w:val="auto"/>
          <w:highlight w:val="none"/>
        </w:rPr>
      </w:pPr>
      <w:r>
        <w:rPr>
          <w:rFonts w:hint="eastAsia" w:ascii="仿宋_GB2312" w:eastAsia="仿宋_GB2312"/>
          <w:color w:val="auto"/>
          <w:sz w:val="28"/>
          <w:szCs w:val="28"/>
          <w:highlight w:val="none"/>
        </w:rPr>
        <w:t>防疫要求：</w:t>
      </w:r>
      <w:r>
        <w:rPr>
          <w:rFonts w:hint="eastAsia" w:ascii="仿宋_GB2312" w:eastAsia="仿宋_GB2312" w:hAnsiTheme="minorHAnsi" w:cstheme="minorBidi"/>
          <w:color w:val="auto"/>
          <w:kern w:val="2"/>
          <w:sz w:val="28"/>
          <w:szCs w:val="28"/>
          <w:highlight w:val="none"/>
          <w:lang w:val="en-US" w:eastAsia="zh-CN"/>
        </w:rPr>
        <w:t>基于目前疫情防控形势，我公司仅接受快递或自行送达形式递交响应文件，响应文件须于递交截止时间前送达，并放置于公司正门保安处。</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7.其他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本项目采购公告（采购邀请书）、公告补充及修改同步在广州净水公司门户网站及阳光平台上发布。</w:t>
      </w:r>
      <w:r>
        <w:rPr>
          <w:rFonts w:hint="eastAsia" w:ascii="仿宋_GB2312" w:hAnsi="Calibri" w:eastAsia="仿宋_GB2312" w:cs="Times New Roman"/>
          <w:color w:val="auto"/>
          <w:sz w:val="28"/>
          <w:szCs w:val="28"/>
          <w:highlight w:val="none"/>
        </w:rPr>
        <w:t>本公告在各媒体发布的文本如有不同之处，以广州净水公司门户网站为准。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rPr>
        <w:t>38890841</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9. 被书面限制参与采购活动的企业名单</w:t>
      </w:r>
    </w:p>
    <w:p>
      <w:pPr>
        <w:adjustRightInd w:val="0"/>
        <w:snapToGrid w:val="0"/>
        <w:spacing w:line="600" w:lineRule="exact"/>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本项目采购人（包括市水投集团及其属下子公司）书面限制参与采购活动的企业名单：</w:t>
      </w:r>
    </w:p>
    <w:tbl>
      <w:tblPr>
        <w:tblStyle w:val="24"/>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1"/>
        <w:gridCol w:w="3402"/>
        <w:gridCol w:w="455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3402"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单位名称</w:t>
            </w:r>
          </w:p>
        </w:tc>
        <w:tc>
          <w:tcPr>
            <w:tcW w:w="4557"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1</w:t>
            </w:r>
          </w:p>
        </w:tc>
        <w:tc>
          <w:tcPr>
            <w:tcW w:w="3402" w:type="dxa"/>
            <w:vAlign w:val="center"/>
          </w:tcPr>
          <w:p>
            <w:pPr>
              <w:jc w:val="center"/>
              <w:rPr>
                <w:rFonts w:ascii="宋体" w:hAnsi="宋体" w:cs="宋体"/>
                <w:color w:val="auto"/>
                <w:sz w:val="24"/>
                <w:highlight w:val="none"/>
              </w:rPr>
            </w:pPr>
            <w:r>
              <w:rPr>
                <w:rFonts w:hint="eastAsia" w:ascii="宋体" w:hAnsi="宋体" w:eastAsia="宋体" w:cs="宋体"/>
                <w:color w:val="auto"/>
                <w:sz w:val="24"/>
                <w:highlight w:val="none"/>
              </w:rPr>
              <w:t>广州市水电建设工程有限公司</w:t>
            </w:r>
          </w:p>
        </w:tc>
        <w:tc>
          <w:tcPr>
            <w:tcW w:w="4557" w:type="dxa"/>
            <w:vAlign w:val="center"/>
          </w:tcPr>
          <w:p>
            <w:pPr>
              <w:jc w:val="center"/>
              <w:rPr>
                <w:rFonts w:ascii="宋体" w:hAnsi="宋体" w:cs="宋体"/>
                <w:color w:val="auto"/>
                <w:sz w:val="24"/>
                <w:highlight w:val="none"/>
              </w:rPr>
            </w:pPr>
            <w:r>
              <w:rPr>
                <w:rFonts w:hint="eastAsia" w:ascii="宋体" w:hAnsi="宋体" w:eastAsia="宋体" w:cs="宋体"/>
                <w:color w:val="auto"/>
                <w:sz w:val="24"/>
                <w:highlight w:val="none"/>
              </w:rPr>
              <w:t>2021年11月18至2023年</w:t>
            </w:r>
            <w:r>
              <w:rPr>
                <w:rFonts w:hint="eastAsia" w:ascii="宋体" w:hAnsi="宋体" w:cs="宋体"/>
                <w:color w:val="auto"/>
                <w:sz w:val="24"/>
                <w:highlight w:val="none"/>
              </w:rPr>
              <w:t>5</w:t>
            </w:r>
            <w:r>
              <w:rPr>
                <w:rFonts w:hint="eastAsia" w:ascii="宋体" w:hAnsi="宋体" w:eastAsia="宋体" w:cs="宋体"/>
                <w:color w:val="auto"/>
                <w:sz w:val="24"/>
                <w:highlight w:val="none"/>
              </w:rPr>
              <w:t>月17日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2</w:t>
            </w:r>
          </w:p>
        </w:tc>
        <w:tc>
          <w:tcPr>
            <w:tcW w:w="3402" w:type="dxa"/>
            <w:vAlign w:val="center"/>
          </w:tcPr>
          <w:p>
            <w:pPr>
              <w:jc w:val="center"/>
              <w:rPr>
                <w:rFonts w:ascii="宋体" w:hAnsi="宋体" w:cs="宋体"/>
                <w:color w:val="auto"/>
                <w:sz w:val="24"/>
                <w:highlight w:val="none"/>
              </w:rPr>
            </w:pPr>
            <w:r>
              <w:rPr>
                <w:rFonts w:hint="eastAsia" w:ascii="宋体" w:hAnsi="宋体" w:eastAsia="宋体" w:cs="宋体"/>
                <w:color w:val="auto"/>
                <w:sz w:val="24"/>
                <w:highlight w:val="none"/>
              </w:rPr>
              <w:t>广州市南粤工程建设监理有限公司</w:t>
            </w:r>
          </w:p>
        </w:tc>
        <w:tc>
          <w:tcPr>
            <w:tcW w:w="4557" w:type="dxa"/>
            <w:vAlign w:val="center"/>
          </w:tcPr>
          <w:p>
            <w:pPr>
              <w:jc w:val="center"/>
              <w:rPr>
                <w:rFonts w:ascii="宋体" w:hAnsi="宋体" w:cs="宋体"/>
                <w:color w:val="auto"/>
                <w:sz w:val="24"/>
                <w:highlight w:val="none"/>
              </w:rPr>
            </w:pPr>
            <w:r>
              <w:rPr>
                <w:rFonts w:hint="eastAsia" w:ascii="宋体" w:hAnsi="宋体" w:eastAsia="宋体" w:cs="宋体"/>
                <w:color w:val="auto"/>
                <w:sz w:val="24"/>
                <w:highlight w:val="none"/>
              </w:rPr>
              <w:t>2021年11月18至20</w:t>
            </w:r>
            <w:r>
              <w:rPr>
                <w:rFonts w:hint="eastAsia" w:ascii="宋体" w:hAnsi="宋体" w:cs="宋体"/>
                <w:color w:val="auto"/>
                <w:sz w:val="24"/>
                <w:highlight w:val="none"/>
              </w:rPr>
              <w:t>23</w:t>
            </w:r>
            <w:r>
              <w:rPr>
                <w:rFonts w:hint="eastAsia" w:ascii="宋体" w:hAnsi="宋体" w:eastAsia="宋体" w:cs="宋体"/>
                <w:color w:val="auto"/>
                <w:sz w:val="24"/>
                <w:highlight w:val="none"/>
              </w:rPr>
              <w:t>年</w:t>
            </w:r>
            <w:r>
              <w:rPr>
                <w:rFonts w:hint="eastAsia" w:ascii="宋体" w:hAnsi="宋体" w:cs="宋体"/>
                <w:color w:val="auto"/>
                <w:sz w:val="24"/>
                <w:highlight w:val="none"/>
              </w:rPr>
              <w:t>5</w:t>
            </w:r>
            <w:r>
              <w:rPr>
                <w:rFonts w:hint="eastAsia" w:ascii="宋体" w:hAnsi="宋体" w:eastAsia="宋体" w:cs="宋体"/>
                <w:color w:val="auto"/>
                <w:sz w:val="24"/>
                <w:highlight w:val="none"/>
              </w:rPr>
              <w:t>月17日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eastAsia="宋体" w:cs="宋体"/>
                <w:color w:val="auto"/>
                <w:sz w:val="24"/>
                <w:highlight w:val="none"/>
              </w:rPr>
            </w:pPr>
            <w:r>
              <w:rPr>
                <w:rFonts w:hint="eastAsia" w:ascii="宋体" w:hAnsi="宋体" w:cs="宋体"/>
                <w:color w:val="auto"/>
                <w:sz w:val="24"/>
                <w:highlight w:val="none"/>
              </w:rPr>
              <w:t>3</w:t>
            </w:r>
          </w:p>
        </w:tc>
        <w:tc>
          <w:tcPr>
            <w:tcW w:w="3402" w:type="dxa"/>
            <w:vAlign w:val="center"/>
          </w:tcPr>
          <w:p>
            <w:pPr>
              <w:jc w:val="center"/>
              <w:rPr>
                <w:rFonts w:ascii="宋体" w:hAnsi="宋体" w:eastAsia="宋体" w:cs="宋体"/>
                <w:color w:val="auto"/>
                <w:sz w:val="24"/>
                <w:highlight w:val="none"/>
              </w:rPr>
            </w:pPr>
            <w:r>
              <w:rPr>
                <w:rFonts w:ascii="宋体" w:hAnsi="宋体" w:eastAsia="宋体" w:cs="宋体"/>
                <w:color w:val="auto"/>
                <w:sz w:val="24"/>
                <w:szCs w:val="24"/>
                <w:highlight w:val="none"/>
              </w:rPr>
              <w:t>广州市自来水工程有限公司</w:t>
            </w:r>
          </w:p>
        </w:tc>
        <w:tc>
          <w:tcPr>
            <w:tcW w:w="4557"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202</w:t>
            </w:r>
            <w:r>
              <w:rPr>
                <w:rFonts w:hint="eastAsia" w:ascii="宋体" w:hAnsi="宋体" w:cs="宋体"/>
                <w:color w:val="auto"/>
                <w:sz w:val="24"/>
                <w:highlight w:val="none"/>
              </w:rPr>
              <w:t>2</w:t>
            </w:r>
            <w:r>
              <w:rPr>
                <w:rFonts w:hint="eastAsia" w:ascii="宋体" w:hAnsi="宋体" w:eastAsia="宋体" w:cs="宋体"/>
                <w:color w:val="auto"/>
                <w:sz w:val="24"/>
                <w:highlight w:val="none"/>
              </w:rPr>
              <w:t>年1月</w:t>
            </w:r>
            <w:r>
              <w:rPr>
                <w:rFonts w:hint="eastAsia" w:ascii="宋体" w:hAnsi="宋体" w:cs="宋体"/>
                <w:color w:val="auto"/>
                <w:sz w:val="24"/>
                <w:highlight w:val="none"/>
              </w:rPr>
              <w:t>1</w:t>
            </w:r>
            <w:r>
              <w:rPr>
                <w:rFonts w:hint="eastAsia" w:ascii="宋体" w:hAnsi="宋体" w:eastAsia="宋体" w:cs="宋体"/>
                <w:color w:val="auto"/>
                <w:sz w:val="24"/>
                <w:highlight w:val="none"/>
              </w:rPr>
              <w:t>至2022年</w:t>
            </w:r>
            <w:r>
              <w:rPr>
                <w:rFonts w:hint="eastAsia" w:ascii="宋体" w:hAnsi="宋体" w:cs="宋体"/>
                <w:color w:val="auto"/>
                <w:sz w:val="24"/>
                <w:highlight w:val="none"/>
              </w:rPr>
              <w:t>12</w:t>
            </w:r>
            <w:r>
              <w:rPr>
                <w:rFonts w:hint="eastAsia" w:ascii="宋体" w:hAnsi="宋体" w:eastAsia="宋体" w:cs="宋体"/>
                <w:color w:val="auto"/>
                <w:sz w:val="24"/>
                <w:highlight w:val="none"/>
              </w:rPr>
              <w:t>月</w:t>
            </w:r>
            <w:r>
              <w:rPr>
                <w:rFonts w:hint="eastAsia" w:ascii="宋体" w:hAnsi="宋体" w:cs="宋体"/>
                <w:color w:val="auto"/>
                <w:sz w:val="24"/>
                <w:highlight w:val="none"/>
              </w:rPr>
              <w:t>31</w:t>
            </w:r>
            <w:r>
              <w:rPr>
                <w:rFonts w:hint="eastAsia" w:ascii="宋体" w:hAnsi="宋体" w:eastAsia="宋体" w:cs="宋体"/>
                <w:color w:val="auto"/>
                <w:sz w:val="24"/>
                <w:highlight w:val="none"/>
              </w:rPr>
              <w:t>日</w:t>
            </w:r>
          </w:p>
        </w:tc>
      </w:tr>
    </w:tbl>
    <w:p>
      <w:pPr>
        <w:adjustRightInd w:val="0"/>
        <w:snapToGrid w:val="0"/>
        <w:spacing w:before="156" w:beforeLines="50" w:after="156"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10.联系方式</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120"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120"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 w:hAnsi="仿宋" w:eastAsia="仿宋" w:cs="仿宋"/>
                <w:color w:val="auto"/>
                <w:kern w:val="0"/>
                <w:sz w:val="28"/>
                <w:szCs w:val="28"/>
                <w:highlight w:val="none"/>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120"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林</w:t>
            </w:r>
            <w:r>
              <w:rPr>
                <w:rFonts w:hint="eastAsia" w:ascii="仿宋_GB2312" w:eastAsia="仿宋_GB2312"/>
                <w:color w:val="auto"/>
                <w:sz w:val="28"/>
                <w:szCs w:val="28"/>
                <w:highlight w:val="none"/>
              </w:rPr>
              <w:t>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120" w:type="dxa"/>
          </w:tcPr>
          <w:p>
            <w:pPr>
              <w:adjustRightInd w:val="0"/>
              <w:snapToGrid w:val="0"/>
              <w:spacing w:line="600" w:lineRule="exact"/>
              <w:jc w:val="left"/>
              <w:rPr>
                <w:rFonts w:hint="default" w:ascii="仿宋_GB2312" w:eastAsia="仿宋"/>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 w:hAnsi="仿宋" w:eastAsia="仿宋" w:cs="仿宋"/>
                <w:color w:val="auto"/>
                <w:kern w:val="0"/>
                <w:sz w:val="28"/>
                <w:szCs w:val="28"/>
                <w:highlight w:val="none"/>
              </w:rPr>
              <w:t>020-</w:t>
            </w:r>
            <w:r>
              <w:rPr>
                <w:rFonts w:hint="eastAsia" w:ascii="仿宋" w:hAnsi="仿宋" w:eastAsia="仿宋" w:cs="仿宋"/>
                <w:color w:val="auto"/>
                <w:kern w:val="0"/>
                <w:sz w:val="28"/>
                <w:szCs w:val="28"/>
                <w:highlight w:val="none"/>
                <w:lang w:val="en-US" w:eastAsia="zh-CN"/>
              </w:rPr>
              <w:t>38890841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120" w:type="dxa"/>
          </w:tcPr>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11</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30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tc>
      </w:tr>
    </w:tbl>
    <w:p>
      <w:pPr>
        <w:pStyle w:val="28"/>
        <w:rPr>
          <w:rFonts w:hint="eastAsia" w:asciiTheme="minorEastAsia" w:hAnsiTheme="minorEastAsia"/>
          <w:color w:val="auto"/>
          <w:sz w:val="24"/>
          <w:szCs w:val="24"/>
          <w:highlight w:val="none"/>
        </w:rPr>
      </w:pPr>
    </w:p>
    <w:p>
      <w:pPr>
        <w:adjustRightInd w:val="0"/>
        <w:snapToGrid w:val="0"/>
        <w:spacing w:before="156" w:beforeLines="50" w:after="156" w:afterLines="50" w:line="600" w:lineRule="exact"/>
        <w:jc w:val="left"/>
        <w:rPr>
          <w:rFonts w:hint="eastAsia" w:asciiTheme="minorEastAsia" w:hAnsiTheme="minorEastAsia"/>
          <w:color w:val="auto"/>
          <w:sz w:val="24"/>
          <w:szCs w:val="24"/>
          <w:highlight w:val="none"/>
        </w:rPr>
      </w:pPr>
    </w:p>
    <w:p>
      <w:pPr>
        <w:adjustRightInd w:val="0"/>
        <w:snapToGrid w:val="0"/>
        <w:spacing w:before="156" w:beforeLines="50" w:after="156" w:afterLines="50" w:line="600" w:lineRule="exact"/>
        <w:jc w:val="left"/>
        <w:rPr>
          <w:rFonts w:hint="eastAsia" w:asciiTheme="minorEastAsia" w:hAnsiTheme="minorEastAsia"/>
          <w:color w:val="auto"/>
          <w:sz w:val="24"/>
          <w:szCs w:val="24"/>
          <w:highlight w:val="none"/>
        </w:rPr>
      </w:pPr>
    </w:p>
    <w:p>
      <w:pPr>
        <w:adjustRightInd w:val="0"/>
        <w:snapToGrid w:val="0"/>
        <w:spacing w:before="156" w:beforeLines="50" w:after="156"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4"/>
        <w:rPr>
          <w:color w:val="auto"/>
          <w:highlight w:val="none"/>
        </w:rPr>
      </w:pPr>
      <w:bookmarkStart w:id="13" w:name="_Toc10891"/>
    </w:p>
    <w:p>
      <w:pPr>
        <w:pStyle w:val="4"/>
        <w:rPr>
          <w:color w:val="auto"/>
          <w:highlight w:val="none"/>
        </w:rPr>
      </w:pPr>
      <w:bookmarkStart w:id="14" w:name="_Toc2331"/>
      <w:bookmarkStart w:id="15" w:name="_Toc19295"/>
      <w:bookmarkStart w:id="16" w:name="_Toc32588"/>
      <w:bookmarkStart w:id="17" w:name="_Toc16557"/>
      <w:bookmarkStart w:id="18" w:name="_Toc7340"/>
      <w:bookmarkStart w:id="19" w:name="_Toc9448"/>
      <w:bookmarkStart w:id="20" w:name="_Toc16705"/>
      <w:bookmarkStart w:id="21" w:name="_Toc2324"/>
      <w:bookmarkStart w:id="22" w:name="_Toc23749"/>
      <w:bookmarkStart w:id="23" w:name="_Toc25603"/>
    </w:p>
    <w:p>
      <w:pPr>
        <w:pStyle w:val="4"/>
        <w:rPr>
          <w:color w:val="auto"/>
          <w:highlight w:val="none"/>
        </w:rPr>
      </w:pPr>
      <w:r>
        <w:rPr>
          <w:color w:val="auto"/>
          <w:highlight w:val="none"/>
        </w:rPr>
        <w:pict>
          <v:shape id="_x0000_s1028" o:spid="_x0000_s1028" o:spt="32" type="#_x0000_t32" style="position:absolute;left:0pt;margin-left:184.9pt;margin-top:41.2pt;height:0pt;width:75.5pt;z-index:251673600;mso-width-relative:page;mso-height-relative:page;" o:connectortype="straight" filled="f" coordsize="21600,21600">
            <v:path arrowok="t"/>
            <v:fill on="f" focussize="0,0"/>
            <v:stroke/>
            <v:imagedata o:title=""/>
            <o:lock v:ext="edit"/>
          </v:shape>
        </w:pict>
      </w:r>
      <w:r>
        <w:rPr>
          <w:color w:val="auto"/>
          <w:highlight w:val="none"/>
        </w:rPr>
        <w:pict>
          <v:shape id="_x0000_s1029" o:spid="_x0000_s1029" o:spt="32" type="#_x0000_t32" style="position:absolute;left:0pt;margin-left:184.9pt;margin-top:8.5pt;height:0pt;width:75.5pt;z-index:251672576;mso-width-relative:page;mso-height-relative:page;" o:connectortype="straight" filled="f" coordsize="21600,21600">
            <v:path arrowok="t"/>
            <v:fill on="f" focussize="0,0"/>
            <v:stroke/>
            <v:imagedata o:title=""/>
            <o:lock v:ext="edit"/>
          </v:shape>
        </w:pict>
      </w:r>
      <w:r>
        <w:rPr>
          <w:rFonts w:hint="eastAsia"/>
          <w:color w:val="auto"/>
          <w:highlight w:val="none"/>
        </w:rPr>
        <w:t>第二章</w:t>
      </w:r>
      <w:bookmarkEnd w:id="13"/>
      <w:bookmarkEnd w:id="14"/>
      <w:bookmarkEnd w:id="15"/>
      <w:bookmarkEnd w:id="16"/>
      <w:bookmarkEnd w:id="17"/>
      <w:bookmarkEnd w:id="18"/>
      <w:bookmarkEnd w:id="19"/>
      <w:bookmarkEnd w:id="20"/>
      <w:bookmarkEnd w:id="21"/>
      <w:bookmarkEnd w:id="22"/>
      <w:bookmarkEnd w:id="23"/>
    </w:p>
    <w:p>
      <w:pPr>
        <w:pStyle w:val="5"/>
        <w:rPr>
          <w:color w:val="auto"/>
          <w:highlight w:val="none"/>
        </w:rPr>
      </w:pPr>
    </w:p>
    <w:p>
      <w:pPr>
        <w:pStyle w:val="5"/>
        <w:rPr>
          <w:color w:val="auto"/>
          <w:highlight w:val="none"/>
        </w:rPr>
      </w:pPr>
      <w:bookmarkStart w:id="24" w:name="_Toc3416"/>
      <w:bookmarkStart w:id="25" w:name="_Toc2339"/>
      <w:r>
        <w:rPr>
          <w:rFonts w:hint="eastAsia"/>
          <w:color w:val="auto"/>
          <w:highlight w:val="none"/>
        </w:rPr>
        <w:t>供应商须知</w:t>
      </w:r>
      <w:bookmarkEnd w:id="24"/>
      <w:bookmarkEnd w:id="25"/>
    </w:p>
    <w:p>
      <w:pPr>
        <w:adjustRightInd w:val="0"/>
        <w:snapToGrid w:val="0"/>
        <w:spacing w:before="156" w:beforeLines="50" w:after="156" w:afterLines="50" w:line="600" w:lineRule="exact"/>
        <w:ind w:left="643" w:hanging="643" w:hangingChars="200"/>
        <w:jc w:val="left"/>
        <w:rPr>
          <w:rFonts w:asciiTheme="minorEastAsia" w:hAnsiTheme="minorEastAsia"/>
          <w:b/>
          <w:color w:val="auto"/>
          <w:sz w:val="32"/>
          <w:szCs w:val="32"/>
          <w:highlight w:val="none"/>
        </w:rPr>
      </w:pPr>
    </w:p>
    <w:p>
      <w:pPr>
        <w:adjustRightInd w:val="0"/>
        <w:snapToGrid w:val="0"/>
        <w:spacing w:before="156" w:beforeLines="50" w:after="156" w:afterLines="50" w:line="600" w:lineRule="exact"/>
        <w:ind w:left="643" w:hanging="643" w:hangingChars="200"/>
        <w:jc w:val="left"/>
        <w:rPr>
          <w:rFonts w:asciiTheme="minorEastAsia" w:hAnsiTheme="minorEastAsia"/>
          <w:b/>
          <w:color w:val="auto"/>
          <w:sz w:val="32"/>
          <w:szCs w:val="32"/>
          <w:highlight w:val="none"/>
        </w:rPr>
      </w:pPr>
    </w:p>
    <w:p>
      <w:pPr>
        <w:pStyle w:val="22"/>
        <w:rPr>
          <w:rFonts w:asciiTheme="minorEastAsia" w:hAnsiTheme="minorEastAsia"/>
          <w:b/>
          <w:color w:val="auto"/>
          <w:sz w:val="32"/>
          <w:szCs w:val="32"/>
          <w:highlight w:val="none"/>
        </w:rPr>
      </w:pPr>
    </w:p>
    <w:p>
      <w:pPr>
        <w:pStyle w:val="22"/>
        <w:rPr>
          <w:rFonts w:asciiTheme="minorEastAsia" w:hAnsiTheme="minorEastAsia"/>
          <w:b/>
          <w:color w:val="auto"/>
          <w:sz w:val="32"/>
          <w:szCs w:val="32"/>
          <w:highlight w:val="none"/>
        </w:rPr>
      </w:pPr>
    </w:p>
    <w:p>
      <w:pPr>
        <w:pStyle w:val="22"/>
        <w:rPr>
          <w:rFonts w:asciiTheme="minorEastAsia" w:hAnsiTheme="minorEastAsia"/>
          <w:b/>
          <w:color w:val="auto"/>
          <w:sz w:val="32"/>
          <w:szCs w:val="32"/>
          <w:highlight w:val="none"/>
        </w:rPr>
      </w:pPr>
    </w:p>
    <w:p>
      <w:pPr>
        <w:pStyle w:val="22"/>
        <w:rPr>
          <w:rFonts w:asciiTheme="minorEastAsia" w:hAnsiTheme="minorEastAsia"/>
          <w:b/>
          <w:color w:val="auto"/>
          <w:sz w:val="32"/>
          <w:szCs w:val="32"/>
          <w:highlight w:val="none"/>
        </w:rPr>
      </w:pPr>
    </w:p>
    <w:p>
      <w:pPr>
        <w:pStyle w:val="22"/>
        <w:rPr>
          <w:rFonts w:asciiTheme="minorEastAsia" w:hAnsiTheme="minorEastAsia"/>
          <w:b/>
          <w:color w:val="auto"/>
          <w:sz w:val="32"/>
          <w:szCs w:val="32"/>
          <w:highlight w:val="none"/>
        </w:rPr>
      </w:pPr>
    </w:p>
    <w:p>
      <w:pPr>
        <w:pStyle w:val="22"/>
        <w:rPr>
          <w:rFonts w:asciiTheme="minorEastAsia" w:hAnsiTheme="minorEastAsia"/>
          <w:b/>
          <w:color w:val="auto"/>
          <w:sz w:val="32"/>
          <w:szCs w:val="32"/>
          <w:highlight w:val="none"/>
        </w:rPr>
      </w:pPr>
    </w:p>
    <w:p>
      <w:pPr>
        <w:pStyle w:val="22"/>
        <w:ind w:firstLine="0"/>
        <w:rPr>
          <w:rFonts w:asciiTheme="minorEastAsia" w:hAnsiTheme="minorEastAsia"/>
          <w:b/>
          <w:color w:val="auto"/>
          <w:sz w:val="32"/>
          <w:szCs w:val="32"/>
          <w:highlight w:val="none"/>
        </w:rPr>
      </w:pPr>
    </w:p>
    <w:p>
      <w:pPr>
        <w:numPr>
          <w:ilvl w:val="0"/>
          <w:numId w:val="3"/>
        </w:numPr>
        <w:adjustRightInd w:val="0"/>
        <w:snapToGrid w:val="0"/>
        <w:spacing w:before="156" w:beforeLines="50" w:after="156" w:afterLines="50" w:line="50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p>
    <w:p>
      <w:pPr>
        <w:pStyle w:val="22"/>
        <w:numPr>
          <w:ilvl w:val="255"/>
          <w:numId w:val="0"/>
        </w:numPr>
        <w:rPr>
          <w:color w:val="auto"/>
          <w:highlight w:val="none"/>
        </w:rPr>
      </w:pPr>
      <w:r>
        <w:rPr>
          <w:rFonts w:hint="eastAsia"/>
          <w:color w:val="auto"/>
          <w:highlight w:val="none"/>
        </w:rPr>
        <w:t>详见第一章采购公告（采购邀请书）3.供应商资格要求</w:t>
      </w:r>
    </w:p>
    <w:p>
      <w:pPr>
        <w:adjustRightInd w:val="0"/>
        <w:snapToGrid w:val="0"/>
        <w:spacing w:line="600" w:lineRule="exact"/>
        <w:jc w:val="left"/>
        <w:rPr>
          <w:rFonts w:ascii="仿宋_GB2312" w:eastAsia="仿宋_GB2312"/>
          <w:color w:val="auto"/>
          <w:sz w:val="28"/>
          <w:szCs w:val="28"/>
          <w:highlight w:val="none"/>
        </w:rPr>
      </w:pPr>
      <w:r>
        <w:rPr>
          <w:rFonts w:hint="eastAsia" w:asciiTheme="minorEastAsia" w:hAnsiTheme="minorEastAsia"/>
          <w:b/>
          <w:color w:val="auto"/>
          <w:sz w:val="32"/>
          <w:szCs w:val="32"/>
          <w:highlight w:val="none"/>
        </w:rPr>
        <w:t>2.  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rPr>
        <w:t>1.1</w:t>
      </w:r>
    </w:p>
    <w:tbl>
      <w:tblPr>
        <w:tblStyle w:val="24"/>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（8）在采购过程中由采购单位发出的修正和补充文件等（如有）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1.2.1供应商对采购文件有疑问的，应当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本项目</w:t>
            </w:r>
            <w:r>
              <w:rPr>
                <w:rFonts w:hint="eastAsia" w:ascii="仿宋_GB2312" w:eastAsia="仿宋_GB2312"/>
                <w:color w:val="auto"/>
                <w:sz w:val="24"/>
                <w:szCs w:val="24"/>
                <w:highlight w:val="none"/>
              </w:rPr>
              <w:t>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详见采购公告（采购邀请书）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最高限价及低价说明</w:t>
            </w:r>
          </w:p>
        </w:tc>
        <w:tc>
          <w:tcPr>
            <w:tcW w:w="5979" w:type="dxa"/>
            <w:tcBorders>
              <w:right w:val="nil"/>
            </w:tcBorders>
            <w:vAlign w:val="center"/>
          </w:tcPr>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2.7</w:t>
            </w:r>
          </w:p>
          <w:p>
            <w:pPr>
              <w:adjustRightInd w:val="0"/>
              <w:snapToGrid w:val="0"/>
              <w:jc w:val="center"/>
              <w:rPr>
                <w:rFonts w:ascii="仿宋_GB2312" w:eastAsia="仿宋_GB2312"/>
                <w:color w:val="auto"/>
                <w:sz w:val="24"/>
                <w:szCs w:val="24"/>
                <w:highlight w:val="none"/>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项目名称、供应商名称、供应商地址、联系人及其联系方式。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会议地点：采购公告（采购邀请书）中指定地点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rPr>
              <w:t>3</w:t>
            </w:r>
            <w:r>
              <w:rPr>
                <w:rFonts w:hint="eastAsia" w:ascii="仿宋_GB2312" w:eastAsia="仿宋_GB2312" w:hAnsiTheme="minorEastAsia"/>
                <w:color w:val="auto"/>
                <w:sz w:val="24"/>
                <w:szCs w:val="24"/>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见第四章评审办法有关条款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156" w:beforeLines="50" w:after="156" w:afterLines="50" w:line="56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156" w:beforeLines="50" w:after="156"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3.发生下列情况之一者，视为无效响应行为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（8）响应文件没有对采购文件的实质性要求和条件作出响应。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（9）其他不符合采购文件要求的情形。</w:t>
      </w:r>
    </w:p>
    <w:p>
      <w:pPr>
        <w:adjustRightInd w:val="0"/>
        <w:snapToGrid w:val="0"/>
        <w:spacing w:before="156" w:beforeLines="50" w:after="156"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4.响应保证金</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本项目无须递交响应保证金。</w:t>
      </w:r>
    </w:p>
    <w:p>
      <w:pPr>
        <w:adjustRightInd w:val="0"/>
        <w:snapToGrid w:val="0"/>
        <w:spacing w:before="156" w:beforeLines="50" w:after="156"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5.响应文件要求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6.1响应文件包括下列内容</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156" w:beforeLines="50" w:after="156"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6.异议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7.1 供应商或其他利害关系人可以对采购公告（采购邀请书）、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7.3 异议人与采购人对异议事项无法达成一致的，异议人可向采购人的监管部门进行反映。</w:t>
      </w:r>
    </w:p>
    <w:p>
      <w:pPr>
        <w:adjustRightInd w:val="0"/>
        <w:snapToGrid w:val="0"/>
        <w:spacing w:before="156" w:beforeLines="50" w:after="156"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7.本章附件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2"/>
        <w:rPr>
          <w:rFonts w:asciiTheme="majorEastAsia" w:hAnsiTheme="majorEastAsia" w:eastAsiaTheme="majorEastAsia"/>
          <w:b/>
          <w:color w:val="auto"/>
          <w:sz w:val="28"/>
          <w:szCs w:val="28"/>
          <w:highlight w:val="none"/>
        </w:rPr>
      </w:pPr>
    </w:p>
    <w:p>
      <w:pPr>
        <w:pStyle w:val="22"/>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7"/>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4"/>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7"/>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7"/>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7"/>
        <w:rPr>
          <w:color w:val="auto"/>
          <w:highlight w:val="none"/>
        </w:rPr>
      </w:pPr>
    </w:p>
    <w:p>
      <w:pPr>
        <w:pStyle w:val="37"/>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rPr>
        <w:t xml:space="preserve">      项目</w:t>
      </w:r>
      <w:r>
        <w:rPr>
          <w:rFonts w:hint="eastAsia" w:ascii="仿宋_GB2312" w:eastAsia="仿宋_GB2312" w:hAnsiTheme="majorEastAsia"/>
          <w:color w:val="auto"/>
          <w:sz w:val="28"/>
          <w:szCs w:val="28"/>
          <w:highlight w:val="none"/>
        </w:rPr>
        <w:t>的成交供应商。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rPr>
        <w:t>30</w:t>
      </w:r>
      <w:r>
        <w:rPr>
          <w:rFonts w:hint="eastAsia" w:ascii="仿宋_GB2312" w:eastAsia="仿宋_GB2312" w:hAnsiTheme="majorEastAsia"/>
          <w:color w:val="auto"/>
          <w:sz w:val="28"/>
          <w:szCs w:val="28"/>
          <w:highlight w:val="none"/>
        </w:rPr>
        <w:t>日内与我方签订采购合同，逾期视为自动放弃成交资格。</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5"/>
        <w:rPr>
          <w:rFonts w:asciiTheme="minorHAnsi" w:hAnsiTheme="minorHAnsi" w:cstheme="minorBidi"/>
          <w:color w:val="auto"/>
          <w:kern w:val="44"/>
          <w:sz w:val="44"/>
          <w:szCs w:val="44"/>
          <w:highlight w:val="none"/>
        </w:rPr>
      </w:pPr>
      <w:bookmarkStart w:id="26" w:name="_Toc2867"/>
      <w:bookmarkStart w:id="27" w:name="_Toc21455"/>
      <w:r>
        <w:rPr>
          <w:rFonts w:asciiTheme="minorHAnsi" w:hAnsiTheme="minorHAnsi" w:cstheme="minorBidi"/>
          <w:color w:val="auto"/>
          <w:kern w:val="44"/>
          <w:sz w:val="44"/>
          <w:szCs w:val="44"/>
          <w:highlight w:val="none"/>
        </w:rPr>
        <w:pict>
          <v:shape id="_x0000_s1031" o:spid="_x0000_s1031" o:spt="32" type="#_x0000_t32" style="position:absolute;left:0pt;margin-left:183.1pt;margin-top:13.95pt;height:0pt;width:75.5pt;z-index:251660288;mso-width-relative:page;mso-height-relative:page;" o:connectortype="straight" filled="f" coordsize="21600,21600">
            <v:path arrowok="t"/>
            <v:fill on="f" focussize="0,0"/>
            <v:stroke/>
            <v:imagedata o:title=""/>
            <o:lock v:ext="edit"/>
          </v:shape>
        </w:pict>
      </w:r>
      <w:r>
        <w:rPr>
          <w:rFonts w:asciiTheme="minorHAnsi" w:hAnsiTheme="minorHAnsi" w:cstheme="minorBidi"/>
          <w:color w:val="auto"/>
          <w:kern w:val="44"/>
          <w:sz w:val="44"/>
          <w:szCs w:val="44"/>
          <w:highlight w:val="none"/>
        </w:rPr>
        <w:pict>
          <v:shape id="_x0000_s1030" o:spid="_x0000_s1030" o:spt="32" type="#_x0000_t32" style="position:absolute;left:0pt;margin-left:184.45pt;margin-top:50.65pt;height:0pt;width:75.5pt;z-index:251661312;mso-width-relative:page;mso-height-relative:page;" o:connectortype="straight" filled="f" coordsize="21600,21600">
            <v:path arrowok="t"/>
            <v:fill on="f" focussize="0,0"/>
            <v:stroke/>
            <v:imagedata o:title=""/>
            <o:lock v:ext="edit"/>
          </v:shape>
        </w:pict>
      </w:r>
      <w:r>
        <w:rPr>
          <w:rFonts w:hint="eastAsia" w:asciiTheme="minorHAnsi" w:hAnsiTheme="minorHAnsi" w:cstheme="minorBidi"/>
          <w:color w:val="auto"/>
          <w:kern w:val="44"/>
          <w:sz w:val="44"/>
          <w:szCs w:val="44"/>
          <w:highlight w:val="none"/>
        </w:rPr>
        <w:t>第三章</w:t>
      </w:r>
      <w:bookmarkEnd w:id="26"/>
      <w:bookmarkEnd w:id="27"/>
    </w:p>
    <w:p>
      <w:pPr>
        <w:pStyle w:val="37"/>
        <w:rPr>
          <w:color w:val="auto"/>
          <w:highlight w:val="none"/>
        </w:rPr>
      </w:pPr>
    </w:p>
    <w:p>
      <w:pPr>
        <w:pStyle w:val="5"/>
        <w:rPr>
          <w:color w:val="auto"/>
          <w:highlight w:val="none"/>
        </w:rPr>
      </w:pPr>
      <w:bookmarkStart w:id="28" w:name="_Toc7303"/>
      <w:bookmarkStart w:id="29" w:name="_Toc7040"/>
      <w:bookmarkStart w:id="30" w:name="_Toc88209934"/>
      <w:bookmarkStart w:id="31" w:name="_Toc87616371"/>
      <w:r>
        <w:rPr>
          <w:rFonts w:hint="eastAsia"/>
          <w:color w:val="auto"/>
          <w:highlight w:val="none"/>
        </w:rPr>
        <w:t>采购方法</w:t>
      </w:r>
      <w:bookmarkEnd w:id="28"/>
      <w:bookmarkEnd w:id="29"/>
      <w:bookmarkEnd w:id="30"/>
      <w:bookmarkEnd w:id="31"/>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ind w:firstLine="0"/>
        <w:rPr>
          <w:rFonts w:ascii="方正小标宋简体" w:eastAsia="方正小标宋简体"/>
          <w:color w:val="auto"/>
          <w:sz w:val="44"/>
          <w:szCs w:val="44"/>
          <w:highlight w:val="none"/>
        </w:rPr>
      </w:pPr>
    </w:p>
    <w:p>
      <w:pPr>
        <w:pStyle w:val="5"/>
        <w:rPr>
          <w:color w:val="auto"/>
          <w:highlight w:val="none"/>
        </w:rPr>
      </w:pPr>
      <w:bookmarkStart w:id="32" w:name="_Toc3789"/>
      <w:bookmarkStart w:id="33" w:name="_Toc24895"/>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4"/>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rPr>
              <w:t xml:space="preserve"> </w:t>
            </w:r>
            <w:r>
              <w:rPr>
                <w:rFonts w:hint="eastAsia" w:ascii="仿宋_GB2312" w:eastAsia="仿宋_GB2312" w:hAnsiTheme="minorEastAsia"/>
                <w:color w:val="auto"/>
                <w:sz w:val="24"/>
                <w:szCs w:val="24"/>
                <w:highlight w:val="none"/>
              </w:rPr>
              <w:t>1.1 在采购文件约定的时间、地点，供应商应向采购人提交响应文件；响应文件按照采购文件第二章供应商须知2.9的要求密封，按照2.10的规定提交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1.2 资格审查执行第二章供应商须知1.对供应商的资格要求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1.3 响应文件提交截止后，递交响应文件供应商不足3家的或有效响应文件供应商不足两家，应分析原因并重新发出采购公告（邀请书）或采取其他采购方式。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ascii="仿宋_GB2312" w:eastAsia="仿宋_GB2312"/>
                <w:color w:val="auto"/>
                <w:sz w:val="24"/>
                <w:szCs w:val="24"/>
                <w:highlight w:val="none"/>
                <w:u w:val="single"/>
              </w:rPr>
              <w:t>广州市白云区钟落潭镇竹二</w:t>
            </w:r>
            <w:r>
              <w:rPr>
                <w:rFonts w:hint="eastAsia" w:ascii="仿宋_GB2312" w:eastAsia="仿宋_GB2312"/>
                <w:color w:val="auto"/>
                <w:sz w:val="24"/>
                <w:szCs w:val="24"/>
                <w:highlight w:val="none"/>
                <w:u w:val="single"/>
              </w:rPr>
              <w:t>路</w:t>
            </w:r>
            <w:r>
              <w:rPr>
                <w:rFonts w:ascii="仿宋_GB2312" w:eastAsia="仿宋_GB2312"/>
                <w:color w:val="auto"/>
                <w:sz w:val="24"/>
                <w:szCs w:val="24"/>
                <w:highlight w:val="none"/>
                <w:u w:val="single"/>
              </w:rPr>
              <w:t>兰桂街100号广州市净水有限公司竹料分公司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420" w:hangingChars="150"/>
              <w:rPr>
                <w:rFonts w:ascii="仿宋_GB2312" w:eastAsia="仿宋_GB2312" w:hAnsiTheme="minorEastAsia"/>
                <w:color w:val="auto"/>
                <w:sz w:val="24"/>
                <w:szCs w:val="24"/>
                <w:highlight w:val="none"/>
              </w:rPr>
            </w:pPr>
            <w:r>
              <w:rPr>
                <w:rFonts w:hint="eastAsia" w:ascii="仿宋_GB2312" w:eastAsia="仿宋_GB2312"/>
                <w:color w:val="auto"/>
                <w:sz w:val="28"/>
                <w:szCs w:val="28"/>
                <w:highlight w:val="none"/>
              </w:rPr>
              <w:sym w:font="Wingdings 2" w:char="0052"/>
            </w:r>
            <w:r>
              <w:rPr>
                <w:rFonts w:hint="eastAsia" w:ascii="仿宋_GB2312" w:eastAsia="仿宋_GB2312" w:hAnsiTheme="minorEastAsia"/>
                <w:color w:val="auto"/>
                <w:sz w:val="24"/>
                <w:szCs w:val="24"/>
                <w:highlight w:val="none"/>
              </w:rPr>
              <w:t>采购人确定满足采购文件资格性、响应性要求，并且经评审的报价最低的为成交供应商</w:t>
            </w:r>
          </w:p>
          <w:p>
            <w:pPr>
              <w:adjustRightInd w:val="0"/>
              <w:snapToGrid w:val="0"/>
              <w:ind w:left="360" w:hanging="420" w:hangingChars="150"/>
              <w:rPr>
                <w:rFonts w:ascii="仿宋_GB2312" w:eastAsia="仿宋_GB2312" w:hAnsiTheme="minorEastAsia"/>
                <w:color w:val="auto"/>
                <w:sz w:val="24"/>
                <w:szCs w:val="24"/>
                <w:highlight w:val="none"/>
              </w:rPr>
            </w:pPr>
            <w:r>
              <w:rPr>
                <w:rFonts w:hint="eastAsia" w:ascii="仿宋_GB2312" w:eastAsia="仿宋_GB2312"/>
                <w:color w:val="auto"/>
                <w:sz w:val="28"/>
                <w:szCs w:val="28"/>
                <w:highlight w:val="none"/>
                <w:lang w:eastAsia="zh-CN"/>
              </w:rPr>
              <w:t>□</w:t>
            </w:r>
            <w:r>
              <w:rPr>
                <w:rFonts w:hint="eastAsia" w:ascii="仿宋_GB2312" w:eastAsia="仿宋_GB2312" w:hAnsiTheme="minorEastAsia"/>
                <w:color w:val="auto"/>
                <w:sz w:val="24"/>
                <w:szCs w:val="24"/>
                <w:highlight w:val="none"/>
              </w:rPr>
              <w:t xml:space="preserve">评审小组按照采购文件确定的标准排序，采购人确定排名第一的供应商为成交供应商。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采购人在发出成交通知书后30日内同成交供应商签订书面采购合同.</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color w:val="auto"/>
          <w:highlight w:val="none"/>
        </w:rPr>
      </w:pPr>
      <w:bookmarkStart w:id="34" w:name="_Toc10930"/>
      <w:bookmarkStart w:id="35" w:name="_Toc14870"/>
      <w:bookmarkStart w:id="36" w:name="_Toc7118"/>
      <w:bookmarkStart w:id="37" w:name="_Toc20594"/>
      <w:bookmarkStart w:id="38" w:name="_Toc4952"/>
      <w:bookmarkStart w:id="39" w:name="_Toc23581"/>
      <w:bookmarkStart w:id="40" w:name="_Toc7437"/>
      <w:bookmarkStart w:id="41" w:name="_Toc19050"/>
      <w:bookmarkStart w:id="42" w:name="_Toc3156"/>
      <w:bookmarkStart w:id="43" w:name="_Toc19759"/>
      <w:bookmarkStart w:id="44" w:name="_Toc14552"/>
      <w:r>
        <w:rPr>
          <w:color w:val="auto"/>
          <w:highlight w:val="none"/>
        </w:rPr>
        <w:pict>
          <v:shape id="_x0000_s1032" o:spid="_x0000_s1032" o:spt="32" type="#_x0000_t32" style="position:absolute;left:0pt;margin-left:181.6pt;margin-top:56.7pt;height:0pt;width:75.5pt;z-index:251663360;mso-width-relative:page;mso-height-relative:page;" o:connectortype="straight" filled="f" coordsize="21600,21600">
            <v:path arrowok="t"/>
            <v:fill on="f" focussize="0,0"/>
            <v:stroke/>
            <v:imagedata o:title=""/>
            <o:lock v:ext="edit"/>
          </v:shape>
        </w:pict>
      </w:r>
      <w:r>
        <w:rPr>
          <w:color w:val="auto"/>
          <w:highlight w:val="none"/>
        </w:rPr>
        <w:pict>
          <v:shape id="_x0000_s1033" o:spid="_x0000_s1033" o:spt="32" type="#_x0000_t32" style="position:absolute;left:0pt;margin-left:183.1pt;margin-top:21.3pt;height:0pt;width:75.5pt;z-index:251662336;mso-width-relative:page;mso-height-relative:page;" o:connectortype="straight" filled="f" coordsize="21600,21600">
            <v:path arrowok="t"/>
            <v:fill on="f" focussize="0,0"/>
            <v:stroke/>
            <v:imagedata o:title=""/>
            <o:lock v:ext="edit"/>
          </v:shape>
        </w:pict>
      </w:r>
      <w:r>
        <w:rPr>
          <w:rFonts w:hint="eastAsia"/>
          <w:color w:val="auto"/>
          <w:highlight w:val="none"/>
        </w:rPr>
        <w:t>第四章</w:t>
      </w:r>
      <w:bookmarkEnd w:id="34"/>
      <w:bookmarkEnd w:id="35"/>
      <w:bookmarkEnd w:id="36"/>
      <w:bookmarkEnd w:id="37"/>
      <w:bookmarkEnd w:id="38"/>
      <w:bookmarkEnd w:id="39"/>
      <w:bookmarkEnd w:id="40"/>
      <w:bookmarkEnd w:id="41"/>
      <w:bookmarkEnd w:id="42"/>
      <w:bookmarkEnd w:id="43"/>
      <w:bookmarkEnd w:id="44"/>
    </w:p>
    <w:p>
      <w:pPr>
        <w:pStyle w:val="37"/>
        <w:rPr>
          <w:color w:val="auto"/>
          <w:highlight w:val="none"/>
        </w:rPr>
      </w:pPr>
    </w:p>
    <w:p>
      <w:pPr>
        <w:pStyle w:val="4"/>
        <w:rPr>
          <w:color w:val="auto"/>
          <w:highlight w:val="none"/>
        </w:rPr>
      </w:pPr>
      <w:bookmarkStart w:id="45" w:name="_Toc30530"/>
      <w:bookmarkStart w:id="46" w:name="_Toc29345"/>
      <w:bookmarkStart w:id="47" w:name="_Toc88209941"/>
      <w:bookmarkStart w:id="48" w:name="_Toc22212"/>
      <w:bookmarkStart w:id="49" w:name="_Toc29484"/>
      <w:bookmarkStart w:id="50" w:name="_Toc87616378"/>
      <w:bookmarkStart w:id="51" w:name="_Toc13898"/>
      <w:bookmarkStart w:id="52" w:name="_Toc21079"/>
      <w:bookmarkStart w:id="53" w:name="_Toc6308"/>
      <w:bookmarkStart w:id="54" w:name="_Toc7831"/>
      <w:bookmarkStart w:id="55" w:name="_Toc21840"/>
      <w:bookmarkStart w:id="56" w:name="_Toc32607"/>
      <w:bookmarkStart w:id="57" w:name="_Toc12177"/>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pStyle w:val="22"/>
        <w:ind w:firstLine="0"/>
        <w:rPr>
          <w:rFonts w:ascii="方正小标宋简体" w:eastAsia="方正小标宋简体"/>
          <w:color w:val="auto"/>
          <w:sz w:val="44"/>
          <w:szCs w:val="44"/>
          <w:highlight w:val="none"/>
        </w:rPr>
      </w:pPr>
    </w:p>
    <w:p>
      <w:pPr>
        <w:pStyle w:val="5"/>
        <w:rPr>
          <w:color w:val="auto"/>
          <w:highlight w:val="none"/>
        </w:rPr>
      </w:pPr>
      <w:bookmarkStart w:id="58" w:name="_Toc26826"/>
      <w:bookmarkStart w:id="59" w:name="_Toc23033"/>
      <w:r>
        <w:rPr>
          <w:rFonts w:hint="eastAsia" w:ascii="仿宋_GB2312" w:eastAsia="仿宋_GB2312"/>
          <w:color w:val="auto"/>
          <w:sz w:val="28"/>
          <w:szCs w:val="28"/>
          <w:highlight w:val="none"/>
        </w:rPr>
        <w:sym w:font="Wingdings 2" w:char="0052"/>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（1）运输费用及保险费。（如有）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法定代表人授权委托</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有授权书</w:t>
            </w:r>
            <w:r>
              <w:rPr>
                <w:rFonts w:hint="eastAsia" w:ascii="仿宋_GB2312" w:eastAsia="仿宋_GB2312"/>
                <w:color w:val="auto"/>
                <w:sz w:val="24"/>
                <w:szCs w:val="24"/>
                <w:highlight w:val="none"/>
              </w:rPr>
              <w:t>，</w:t>
            </w:r>
            <w:r>
              <w:rPr>
                <w:rFonts w:ascii="仿宋_GB2312" w:eastAsia="仿宋_GB2312"/>
                <w:color w:val="auto"/>
                <w:sz w:val="24"/>
                <w:szCs w:val="24"/>
                <w:highlight w:val="none"/>
              </w:rPr>
              <w:t>授权书有法定代表人及其委托代理人签字并加盖单位</w:t>
            </w:r>
            <w:r>
              <w:rPr>
                <w:rFonts w:hint="eastAsia" w:ascii="仿宋_GB2312" w:eastAsia="仿宋_GB2312"/>
                <w:color w:val="auto"/>
                <w:sz w:val="24"/>
                <w:szCs w:val="24"/>
                <w:highlight w:val="none"/>
              </w:rPr>
              <w:t>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（3）采购文件中有规定固定费率标准或固定金额的，或者有固定费率标准或固定金额的计算公式的，应按规定填报，否则由评审小组按照采购文件规定的费率、金额或者其计算公式进行修正或否决其响应。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或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5"/>
        <w:rPr>
          <w:rFonts w:hint="eastAsia"/>
          <w:color w:val="auto"/>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4"/>
        <w:rPr>
          <w:color w:val="auto"/>
          <w:highlight w:val="none"/>
        </w:rPr>
      </w:pPr>
      <w:bookmarkStart w:id="60" w:name="_Toc88209947"/>
      <w:r>
        <w:rPr>
          <w:color w:val="auto"/>
          <w:highlight w:val="none"/>
        </w:rPr>
        <w:pict>
          <v:shape id="_x0000_s1035" o:spid="_x0000_s1035" o:spt="32" type="#_x0000_t32" style="position:absolute;left:0pt;margin-left:182.4pt;margin-top:18.5pt;height:0pt;width:75.5pt;z-index:251674624;mso-width-relative:page;mso-height-relative:page;" o:connectortype="straight" filled="f" coordsize="21600,21600">
            <v:path arrowok="t"/>
            <v:fill on="f" focussize="0,0"/>
            <v:stroke/>
            <v:imagedata o:title=""/>
            <o:lock v:ext="edit"/>
          </v:shape>
        </w:pict>
      </w:r>
      <w:r>
        <w:rPr>
          <w:color w:val="auto"/>
          <w:highlight w:val="none"/>
        </w:rPr>
        <w:pict>
          <v:shape id="_x0000_s1034" o:spid="_x0000_s1034" o:spt="32" type="#_x0000_t32" style="position:absolute;left:0pt;margin-left:184.3pt;margin-top:58.7pt;height:0pt;width:75.5pt;z-index:251675648;mso-width-relative:page;mso-height-relative:page;" o:connectortype="straight" filled="f" coordsize="21600,21600">
            <v:path arrowok="t"/>
            <v:fill on="f" focussize="0,0"/>
            <v:stroke/>
            <v:imagedata o:title=""/>
            <o:lock v:ext="edit"/>
          </v:shape>
        </w:pict>
      </w:r>
      <w:r>
        <w:rPr>
          <w:rFonts w:hint="eastAsia"/>
          <w:color w:val="auto"/>
          <w:highlight w:val="none"/>
        </w:rPr>
        <w:t>第五章</w:t>
      </w:r>
    </w:p>
    <w:p>
      <w:pPr>
        <w:pStyle w:val="5"/>
        <w:rPr>
          <w:color w:val="auto"/>
          <w:highlight w:val="none"/>
        </w:rPr>
      </w:pPr>
    </w:p>
    <w:p>
      <w:pPr>
        <w:pStyle w:val="5"/>
        <w:rPr>
          <w:color w:val="auto"/>
          <w:szCs w:val="44"/>
          <w:highlight w:val="none"/>
        </w:rPr>
      </w:pPr>
      <w:r>
        <w:rPr>
          <w:rFonts w:hint="eastAsia"/>
          <w:color w:val="auto"/>
          <w:szCs w:val="44"/>
          <w:highlight w:val="none"/>
        </w:rPr>
        <w:t>采购需求</w:t>
      </w:r>
    </w:p>
    <w:bookmarkEnd w:id="60"/>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8"/>
        <w:rPr>
          <w:rFonts w:ascii="仿宋_GB2312" w:eastAsia="仿宋_GB2312"/>
          <w:color w:val="auto"/>
          <w:sz w:val="28"/>
          <w:szCs w:val="28"/>
          <w:highlight w:val="none"/>
        </w:rPr>
      </w:pPr>
    </w:p>
    <w:p>
      <w:pPr>
        <w:pStyle w:val="28"/>
        <w:rPr>
          <w:rFonts w:ascii="仿宋_GB2312" w:eastAsia="仿宋_GB2312"/>
          <w:color w:val="auto"/>
          <w:sz w:val="28"/>
          <w:szCs w:val="28"/>
          <w:highlight w:val="none"/>
        </w:rPr>
      </w:pPr>
    </w:p>
    <w:p>
      <w:pPr>
        <w:pStyle w:val="28"/>
        <w:rPr>
          <w:rFonts w:ascii="仿宋_GB2312" w:eastAsia="仿宋_GB2312"/>
          <w:color w:val="auto"/>
          <w:sz w:val="28"/>
          <w:szCs w:val="28"/>
          <w:highlight w:val="none"/>
        </w:rPr>
      </w:pPr>
    </w:p>
    <w:p>
      <w:pPr>
        <w:pStyle w:val="28"/>
        <w:rPr>
          <w:rFonts w:ascii="仿宋_GB2312" w:eastAsia="仿宋_GB2312"/>
          <w:color w:val="auto"/>
          <w:sz w:val="28"/>
          <w:szCs w:val="28"/>
          <w:highlight w:val="none"/>
        </w:rPr>
      </w:pPr>
    </w:p>
    <w:p>
      <w:pPr>
        <w:pStyle w:val="28"/>
        <w:rPr>
          <w:rFonts w:ascii="仿宋_GB2312" w:eastAsia="仿宋_GB2312"/>
          <w:color w:val="auto"/>
          <w:sz w:val="28"/>
          <w:szCs w:val="28"/>
          <w:highlight w:val="none"/>
        </w:rPr>
      </w:pPr>
    </w:p>
    <w:p>
      <w:pPr>
        <w:pStyle w:val="28"/>
        <w:rPr>
          <w:rFonts w:ascii="仿宋_GB2312" w:eastAsia="仿宋_GB2312"/>
          <w:color w:val="auto"/>
          <w:sz w:val="28"/>
          <w:szCs w:val="28"/>
          <w:highlight w:val="none"/>
        </w:rPr>
      </w:pPr>
    </w:p>
    <w:p>
      <w:pPr>
        <w:pStyle w:val="28"/>
        <w:rPr>
          <w:rFonts w:ascii="仿宋_GB2312" w:eastAsia="仿宋_GB2312"/>
          <w:color w:val="auto"/>
          <w:sz w:val="28"/>
          <w:szCs w:val="28"/>
          <w:highlight w:val="none"/>
        </w:rPr>
      </w:pPr>
    </w:p>
    <w:p>
      <w:pPr>
        <w:pStyle w:val="28"/>
        <w:rPr>
          <w:rFonts w:ascii="仿宋_GB2312" w:eastAsia="仿宋_GB2312"/>
          <w:color w:val="auto"/>
          <w:sz w:val="28"/>
          <w:szCs w:val="28"/>
          <w:highlight w:val="none"/>
        </w:rPr>
      </w:pPr>
    </w:p>
    <w:p>
      <w:pPr>
        <w:pStyle w:val="28"/>
        <w:rPr>
          <w:rFonts w:ascii="仿宋_GB2312" w:eastAsia="仿宋_GB2312"/>
          <w:color w:val="auto"/>
          <w:sz w:val="28"/>
          <w:szCs w:val="28"/>
          <w:highlight w:val="none"/>
        </w:rPr>
      </w:pPr>
    </w:p>
    <w:p>
      <w:pPr>
        <w:pStyle w:val="28"/>
        <w:rPr>
          <w:rFonts w:ascii="仿宋_GB2312" w:eastAsia="仿宋_GB2312"/>
          <w:color w:val="auto"/>
          <w:sz w:val="28"/>
          <w:szCs w:val="28"/>
          <w:highlight w:val="none"/>
        </w:rPr>
      </w:pPr>
    </w:p>
    <w:p>
      <w:pPr>
        <w:numPr>
          <w:ilvl w:val="0"/>
          <w:numId w:val="4"/>
        </w:numPr>
        <w:ind w:firstLine="560" w:firstLineChars="200"/>
        <w:jc w:val="left"/>
        <w:rPr>
          <w:rFonts w:hint="eastAsia" w:hAnsi="仿宋_GB2312" w:cs="仿宋_GB2312"/>
          <w:color w:val="auto"/>
          <w:sz w:val="32"/>
          <w:szCs w:val="32"/>
          <w:highlight w:val="none"/>
          <w:u w:val="single"/>
        </w:rPr>
      </w:pPr>
      <w:r>
        <w:rPr>
          <w:rFonts w:hint="eastAsia" w:ascii="仿宋_GB2312" w:eastAsia="仿宋_GB2312"/>
          <w:color w:val="auto"/>
          <w:sz w:val="28"/>
          <w:szCs w:val="28"/>
          <w:highlight w:val="none"/>
        </w:rPr>
        <w:t>采购内容和范围</w:t>
      </w:r>
    </w:p>
    <w:p>
      <w:pPr>
        <w:pStyle w:val="51"/>
        <w:keepNext w:val="0"/>
        <w:keepLines w:val="0"/>
        <w:widowControl w:val="0"/>
        <w:shd w:val="clear" w:color="auto" w:fill="auto"/>
        <w:bidi w:val="0"/>
        <w:spacing w:before="0" w:after="0" w:line="624" w:lineRule="exact"/>
        <w:ind w:left="0" w:leftChars="0" w:right="0" w:firstLine="640" w:firstLineChars="200"/>
        <w:jc w:val="both"/>
        <w:rPr>
          <w:rFonts w:hint="eastAsia" w:ascii="仿宋_GB2312" w:hAnsi="仿宋_GB2312" w:eastAsia="仿宋_GB2312" w:cs="仿宋_GB2312"/>
          <w:b w:val="0"/>
          <w:bCs w:val="0"/>
          <w:i w:val="0"/>
          <w:iCs w:val="0"/>
          <w:smallCaps w:val="0"/>
          <w:strike w:val="0"/>
          <w:color w:val="auto"/>
          <w:spacing w:val="0"/>
          <w:w w:val="100"/>
          <w:position w:val="0"/>
          <w:sz w:val="32"/>
          <w:szCs w:val="32"/>
          <w:highlight w:val="none"/>
        </w:rPr>
      </w:pPr>
      <w:r>
        <w:rPr>
          <w:rFonts w:hint="eastAsia" w:ascii="仿宋_GB2312" w:hAnsi="仿宋_GB2312" w:eastAsia="仿宋_GB2312" w:cs="仿宋_GB2312"/>
          <w:b w:val="0"/>
          <w:bCs w:val="0"/>
          <w:i w:val="0"/>
          <w:iCs w:val="0"/>
          <w:smallCaps w:val="0"/>
          <w:strike w:val="0"/>
          <w:color w:val="auto"/>
          <w:spacing w:val="0"/>
          <w:w w:val="100"/>
          <w:position w:val="0"/>
          <w:sz w:val="32"/>
          <w:szCs w:val="32"/>
          <w:highlight w:val="none"/>
        </w:rPr>
        <w:t>一期反应池南池及扩建北池2条分次进行排空，清理反应池淤泥、积砂预计</w:t>
      </w:r>
      <w:r>
        <w:rPr>
          <w:rFonts w:hint="eastAsia" w:ascii="仿宋_GB2312" w:hAnsi="仿宋_GB2312" w:eastAsia="仿宋_GB2312" w:cs="仿宋_GB2312"/>
          <w:b w:val="0"/>
          <w:bCs w:val="0"/>
          <w:i w:val="0"/>
          <w:iCs w:val="0"/>
          <w:smallCaps w:val="0"/>
          <w:strike w:val="0"/>
          <w:color w:val="auto"/>
          <w:spacing w:val="0"/>
          <w:w w:val="100"/>
          <w:position w:val="0"/>
          <w:sz w:val="32"/>
          <w:szCs w:val="32"/>
          <w:highlight w:val="none"/>
          <w:lang w:val="en-US" w:eastAsia="en-US"/>
        </w:rPr>
        <w:t>700</w:t>
      </w:r>
      <w:r>
        <w:rPr>
          <w:rFonts w:hint="eastAsia" w:hAnsi="仿宋" w:cs="仿宋"/>
          <w:bCs/>
          <w:color w:val="auto"/>
          <w:highlight w:val="none"/>
        </w:rPr>
        <w:t>m</w:t>
      </w:r>
      <w:r>
        <w:rPr>
          <w:rFonts w:hint="eastAsia" w:hAnsi="仿宋" w:cs="仿宋"/>
          <w:bCs/>
          <w:color w:val="auto"/>
          <w:highlight w:val="none"/>
          <w:vertAlign w:val="superscript"/>
        </w:rPr>
        <w:t>3</w:t>
      </w:r>
      <w:r>
        <w:rPr>
          <w:rFonts w:hint="eastAsia" w:ascii="仿宋_GB2312" w:hAnsi="仿宋_GB2312" w:eastAsia="仿宋_GB2312" w:cs="仿宋_GB2312"/>
          <w:b w:val="0"/>
          <w:bCs w:val="0"/>
          <w:i w:val="0"/>
          <w:iCs w:val="0"/>
          <w:smallCaps w:val="0"/>
          <w:strike w:val="0"/>
          <w:color w:val="auto"/>
          <w:spacing w:val="0"/>
          <w:w w:val="100"/>
          <w:position w:val="0"/>
          <w:sz w:val="32"/>
          <w:szCs w:val="32"/>
          <w:highlight w:val="none"/>
        </w:rPr>
        <w:t>（其中一期</w:t>
      </w:r>
      <w:r>
        <w:rPr>
          <w:rFonts w:hint="eastAsia" w:ascii="仿宋_GB2312" w:hAnsi="仿宋_GB2312" w:eastAsia="仿宋_GB2312" w:cs="仿宋_GB2312"/>
          <w:b w:val="0"/>
          <w:bCs w:val="0"/>
          <w:i w:val="0"/>
          <w:iCs w:val="0"/>
          <w:smallCaps w:val="0"/>
          <w:strike w:val="0"/>
          <w:color w:val="auto"/>
          <w:spacing w:val="0"/>
          <w:w w:val="100"/>
          <w:position w:val="0"/>
          <w:sz w:val="32"/>
          <w:szCs w:val="32"/>
          <w:highlight w:val="none"/>
          <w:lang w:val="en-US" w:eastAsia="zh-CN"/>
        </w:rPr>
        <w:t>南</w:t>
      </w:r>
      <w:r>
        <w:rPr>
          <w:rFonts w:hint="eastAsia" w:ascii="仿宋_GB2312" w:hAnsi="仿宋_GB2312" w:eastAsia="仿宋_GB2312" w:cs="仿宋_GB2312"/>
          <w:b w:val="0"/>
          <w:bCs w:val="0"/>
          <w:i w:val="0"/>
          <w:iCs w:val="0"/>
          <w:smallCaps w:val="0"/>
          <w:strike w:val="0"/>
          <w:color w:val="auto"/>
          <w:spacing w:val="0"/>
          <w:w w:val="100"/>
          <w:position w:val="0"/>
          <w:sz w:val="32"/>
          <w:szCs w:val="32"/>
          <w:highlight w:val="none"/>
          <w:lang w:val="en-US" w:eastAsia="en-US"/>
        </w:rPr>
        <w:t>350</w:t>
      </w:r>
      <w:r>
        <w:rPr>
          <w:rFonts w:hint="eastAsia" w:hAnsi="仿宋" w:cs="仿宋"/>
          <w:bCs/>
          <w:color w:val="auto"/>
          <w:highlight w:val="none"/>
        </w:rPr>
        <w:t>m</w:t>
      </w:r>
      <w:r>
        <w:rPr>
          <w:rFonts w:hint="eastAsia" w:hAnsi="仿宋" w:cs="仿宋"/>
          <w:bCs/>
          <w:color w:val="auto"/>
          <w:highlight w:val="none"/>
          <w:vertAlign w:val="superscript"/>
        </w:rPr>
        <w:t>3</w:t>
      </w:r>
      <w:r>
        <w:rPr>
          <w:rFonts w:hint="eastAsia" w:ascii="仿宋_GB2312" w:hAnsi="仿宋_GB2312" w:eastAsia="仿宋_GB2312" w:cs="仿宋_GB2312"/>
          <w:b w:val="0"/>
          <w:bCs w:val="0"/>
          <w:i w:val="0"/>
          <w:iCs w:val="0"/>
          <w:smallCaps w:val="0"/>
          <w:strike w:val="0"/>
          <w:color w:val="auto"/>
          <w:spacing w:val="0"/>
          <w:w w:val="100"/>
          <w:position w:val="0"/>
          <w:sz w:val="32"/>
          <w:szCs w:val="32"/>
          <w:highlight w:val="none"/>
          <w:lang w:val="en-US" w:eastAsia="zh-CN"/>
        </w:rPr>
        <w:t>，</w:t>
      </w:r>
      <w:r>
        <w:rPr>
          <w:rFonts w:hint="eastAsia" w:ascii="仿宋_GB2312" w:hAnsi="仿宋_GB2312" w:eastAsia="仿宋_GB2312" w:cs="仿宋_GB2312"/>
          <w:b w:val="0"/>
          <w:bCs w:val="0"/>
          <w:i w:val="0"/>
          <w:iCs w:val="0"/>
          <w:smallCaps w:val="0"/>
          <w:strike w:val="0"/>
          <w:color w:val="auto"/>
          <w:spacing w:val="0"/>
          <w:w w:val="100"/>
          <w:position w:val="0"/>
          <w:sz w:val="32"/>
          <w:szCs w:val="32"/>
          <w:highlight w:val="none"/>
        </w:rPr>
        <w:t>扩建</w:t>
      </w:r>
      <w:r>
        <w:rPr>
          <w:rFonts w:hint="eastAsia" w:ascii="仿宋_GB2312" w:hAnsi="仿宋_GB2312" w:eastAsia="仿宋_GB2312" w:cs="仿宋_GB2312"/>
          <w:b w:val="0"/>
          <w:bCs w:val="0"/>
          <w:i w:val="0"/>
          <w:iCs w:val="0"/>
          <w:smallCaps w:val="0"/>
          <w:strike w:val="0"/>
          <w:color w:val="auto"/>
          <w:spacing w:val="0"/>
          <w:w w:val="100"/>
          <w:position w:val="0"/>
          <w:sz w:val="32"/>
          <w:szCs w:val="32"/>
          <w:highlight w:val="none"/>
          <w:lang w:val="en-US" w:eastAsia="zh-CN"/>
        </w:rPr>
        <w:t>北</w:t>
      </w:r>
      <w:r>
        <w:rPr>
          <w:rFonts w:hint="eastAsia" w:ascii="仿宋_GB2312" w:hAnsi="仿宋_GB2312" w:eastAsia="仿宋_GB2312" w:cs="仿宋_GB2312"/>
          <w:b w:val="0"/>
          <w:bCs w:val="0"/>
          <w:i w:val="0"/>
          <w:iCs w:val="0"/>
          <w:smallCaps w:val="0"/>
          <w:strike w:val="0"/>
          <w:color w:val="auto"/>
          <w:spacing w:val="0"/>
          <w:w w:val="100"/>
          <w:position w:val="0"/>
          <w:sz w:val="32"/>
          <w:szCs w:val="32"/>
          <w:highlight w:val="none"/>
          <w:lang w:val="en-US" w:eastAsia="en-US"/>
        </w:rPr>
        <w:t>350</w:t>
      </w:r>
      <w:r>
        <w:rPr>
          <w:rFonts w:hint="eastAsia" w:hAnsi="仿宋" w:cs="仿宋"/>
          <w:bCs/>
          <w:color w:val="auto"/>
          <w:highlight w:val="none"/>
        </w:rPr>
        <w:t>m</w:t>
      </w:r>
      <w:r>
        <w:rPr>
          <w:rFonts w:hint="eastAsia" w:hAnsi="仿宋" w:cs="仿宋"/>
          <w:bCs/>
          <w:color w:val="auto"/>
          <w:highlight w:val="none"/>
          <w:vertAlign w:val="superscript"/>
        </w:rPr>
        <w:t>3</w:t>
      </w:r>
      <w:r>
        <w:rPr>
          <w:rFonts w:hint="eastAsia" w:ascii="仿宋_GB2312" w:hAnsi="仿宋_GB2312" w:eastAsia="仿宋_GB2312" w:cs="仿宋_GB2312"/>
          <w:b w:val="0"/>
          <w:bCs w:val="0"/>
          <w:i w:val="0"/>
          <w:iCs w:val="0"/>
          <w:smallCaps w:val="0"/>
          <w:strike w:val="0"/>
          <w:color w:val="auto"/>
          <w:spacing w:val="0"/>
          <w:w w:val="100"/>
          <w:position w:val="0"/>
          <w:sz w:val="32"/>
          <w:szCs w:val="32"/>
          <w:highlight w:val="none"/>
          <w:lang w:val="en-US" w:eastAsia="en-US"/>
        </w:rPr>
        <w:t>）</w:t>
      </w:r>
      <w:r>
        <w:rPr>
          <w:rFonts w:hint="eastAsia" w:ascii="仿宋_GB2312" w:hAnsi="仿宋_GB2312" w:eastAsia="仿宋_GB2312" w:cs="仿宋_GB2312"/>
          <w:b w:val="0"/>
          <w:bCs w:val="0"/>
          <w:i w:val="0"/>
          <w:iCs w:val="0"/>
          <w:smallCaps w:val="0"/>
          <w:strike w:val="0"/>
          <w:color w:val="auto"/>
          <w:spacing w:val="0"/>
          <w:w w:val="100"/>
          <w:position w:val="0"/>
          <w:sz w:val="32"/>
          <w:szCs w:val="32"/>
          <w:highlight w:val="none"/>
          <w:lang w:val="en-US" w:eastAsia="zh-CN"/>
        </w:rPr>
        <w:t>。</w:t>
      </w:r>
      <w:r>
        <w:rPr>
          <w:rFonts w:hint="eastAsia" w:ascii="仿宋_GB2312" w:hAnsi="仿宋_GB2312" w:eastAsia="仿宋_GB2312" w:cs="仿宋_GB2312"/>
          <w:b w:val="0"/>
          <w:bCs w:val="0"/>
          <w:i w:val="0"/>
          <w:iCs w:val="0"/>
          <w:smallCaps w:val="0"/>
          <w:strike w:val="0"/>
          <w:color w:val="auto"/>
          <w:spacing w:val="0"/>
          <w:w w:val="100"/>
          <w:position w:val="0"/>
          <w:sz w:val="32"/>
          <w:szCs w:val="32"/>
          <w:highlight w:val="none"/>
        </w:rPr>
        <w:t>主要采用砂泵结合人力收集清理，人工在池内分区域收集沉砂，利用砂泵将沉砂和水一起抽出池外，再将沉砂进行沉淀的方法进行清淤。</w:t>
      </w:r>
    </w:p>
    <w:p>
      <w:pPr>
        <w:numPr>
          <w:ilvl w:val="0"/>
          <w:numId w:val="4"/>
        </w:numPr>
        <w:ind w:firstLine="560" w:firstLineChars="200"/>
        <w:jc w:val="left"/>
        <w:rPr>
          <w:rFonts w:hint="eastAsia" w:ascii="仿宋_GB2312" w:eastAsia="仿宋_GB2312"/>
          <w:color w:val="auto"/>
          <w:sz w:val="28"/>
          <w:szCs w:val="28"/>
          <w:highlight w:val="none"/>
        </w:rPr>
      </w:pPr>
      <w:r>
        <w:rPr>
          <w:rFonts w:hint="eastAsia" w:ascii="仿宋_GB2312" w:eastAsia="仿宋_GB2312" w:hAnsiTheme="minorHAnsi" w:cstheme="minorBidi"/>
          <w:color w:val="auto"/>
          <w:kern w:val="2"/>
          <w:sz w:val="28"/>
          <w:szCs w:val="28"/>
          <w:highlight w:val="none"/>
          <w:lang w:val="en-US" w:eastAsia="zh-CN"/>
        </w:rPr>
        <w:t>工程量</w:t>
      </w:r>
      <w:r>
        <w:rPr>
          <w:rFonts w:hint="eastAsia" w:ascii="仿宋_GB2312" w:eastAsia="仿宋_GB2312"/>
          <w:color w:val="auto"/>
          <w:sz w:val="28"/>
          <w:szCs w:val="28"/>
          <w:highlight w:val="none"/>
          <w:lang w:val="en-US" w:eastAsia="zh-CN"/>
        </w:rPr>
        <w:t>清单</w:t>
      </w:r>
    </w:p>
    <w:tbl>
      <w:tblPr>
        <w:tblStyle w:val="23"/>
        <w:tblW w:w="99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5"/>
        <w:gridCol w:w="1125"/>
        <w:gridCol w:w="3188"/>
        <w:gridCol w:w="793"/>
        <w:gridCol w:w="8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968" w:type="dxa"/>
          <w:wAfter w:w="2512" w:type="dxa"/>
          <w:trHeight w:val="360" w:hRule="atLeast"/>
          <w:jc w:val="center"/>
        </w:trPr>
        <w:tc>
          <w:tcPr>
            <w:tcW w:w="535"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112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项目名称</w:t>
            </w:r>
          </w:p>
        </w:tc>
        <w:tc>
          <w:tcPr>
            <w:tcW w:w="3188"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项目特征描述</w:t>
            </w:r>
          </w:p>
        </w:tc>
        <w:tc>
          <w:tcPr>
            <w:tcW w:w="793"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计量单位</w:t>
            </w:r>
          </w:p>
        </w:tc>
        <w:tc>
          <w:tcPr>
            <w:tcW w:w="817"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968" w:type="dxa"/>
          <w:wAfter w:w="2512" w:type="dxa"/>
          <w:trHeight w:val="300" w:hRule="atLeast"/>
          <w:jc w:val="center"/>
        </w:trPr>
        <w:tc>
          <w:tcPr>
            <w:tcW w:w="53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12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318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79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81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968" w:type="dxa"/>
          <w:wAfter w:w="2512" w:type="dxa"/>
          <w:trHeight w:val="825" w:hRule="atLeast"/>
          <w:jc w:val="center"/>
        </w:trPr>
        <w:tc>
          <w:tcPr>
            <w:tcW w:w="5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挖淤泥、流砂</w:t>
            </w:r>
          </w:p>
        </w:tc>
        <w:tc>
          <w:tcPr>
            <w:tcW w:w="31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1.人工用水冲/推淤泥淤砂</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2.最终结算清淤工程量以实际弃置淤泥量计算</w:t>
            </w:r>
          </w:p>
        </w:tc>
        <w:tc>
          <w:tcPr>
            <w:tcW w:w="7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m3</w:t>
            </w:r>
          </w:p>
        </w:tc>
        <w:tc>
          <w:tcPr>
            <w:tcW w:w="8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968" w:type="dxa"/>
          <w:wAfter w:w="2512" w:type="dxa"/>
          <w:trHeight w:val="1335" w:hRule="atLeast"/>
          <w:jc w:val="center"/>
        </w:trPr>
        <w:tc>
          <w:tcPr>
            <w:tcW w:w="5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余方弃置</w:t>
            </w:r>
          </w:p>
        </w:tc>
        <w:tc>
          <w:tcPr>
            <w:tcW w:w="31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1.装车方式:人工装车，自卸汽车运输</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2.运距:20km(最终结算以乙方提供的处置证明按实际运距计算）</w:t>
            </w:r>
          </w:p>
        </w:tc>
        <w:tc>
          <w:tcPr>
            <w:tcW w:w="7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m3</w:t>
            </w:r>
          </w:p>
        </w:tc>
        <w:tc>
          <w:tcPr>
            <w:tcW w:w="8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968" w:type="dxa"/>
          <w:wAfter w:w="2512" w:type="dxa"/>
          <w:trHeight w:val="1080" w:hRule="atLeast"/>
          <w:jc w:val="center"/>
        </w:trPr>
        <w:tc>
          <w:tcPr>
            <w:tcW w:w="5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洞内通风设施</w:t>
            </w:r>
          </w:p>
        </w:tc>
        <w:tc>
          <w:tcPr>
            <w:tcW w:w="31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1.洞内通风，按台班计量，反应池空间为8779.28m³</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2.风机参数：18000m³/h，2.2KW</w:t>
            </w:r>
          </w:p>
        </w:tc>
        <w:tc>
          <w:tcPr>
            <w:tcW w:w="7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台班</w:t>
            </w:r>
          </w:p>
        </w:tc>
        <w:tc>
          <w:tcPr>
            <w:tcW w:w="8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968" w:type="dxa"/>
          <w:wAfter w:w="2512" w:type="dxa"/>
          <w:trHeight w:val="2355" w:hRule="atLeast"/>
          <w:jc w:val="center"/>
        </w:trPr>
        <w:tc>
          <w:tcPr>
            <w:tcW w:w="5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洞内施工人工降效及照明费用</w:t>
            </w:r>
          </w:p>
        </w:tc>
        <w:tc>
          <w:tcPr>
            <w:tcW w:w="31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1.参考建筑定额特殊环境和条件下人工降效的规定第3条：在洞内、地下室内、库内或暗室内（需要照明）进行施工的工程，按该部分工程的人工费增加40%作为人工降效及照明等费用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2.清单工程量以实际洞内需要照明清淤工程量计入</w:t>
            </w:r>
          </w:p>
        </w:tc>
        <w:tc>
          <w:tcPr>
            <w:tcW w:w="7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m3</w:t>
            </w:r>
          </w:p>
        </w:tc>
        <w:tc>
          <w:tcPr>
            <w:tcW w:w="8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968" w:type="dxa"/>
          <w:wAfter w:w="2512" w:type="dxa"/>
          <w:trHeight w:val="360" w:hRule="atLeast"/>
          <w:jc w:val="center"/>
        </w:trPr>
        <w:tc>
          <w:tcPr>
            <w:tcW w:w="5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余砂检测</w:t>
            </w:r>
          </w:p>
        </w:tc>
        <w:tc>
          <w:tcPr>
            <w:tcW w:w="31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1.检测项目:含水率、PH值</w:t>
            </w:r>
          </w:p>
        </w:tc>
        <w:tc>
          <w:tcPr>
            <w:tcW w:w="7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8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968" w:type="dxa"/>
          <w:wAfter w:w="2512" w:type="dxa"/>
          <w:trHeight w:val="570" w:hRule="atLeast"/>
          <w:jc w:val="center"/>
        </w:trPr>
        <w:tc>
          <w:tcPr>
            <w:tcW w:w="5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余砂检测</w:t>
            </w:r>
          </w:p>
        </w:tc>
        <w:tc>
          <w:tcPr>
            <w:tcW w:w="31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1.检测项目:重金属：镉、汞、铬、铅 、砷、铜、镍、锌</w:t>
            </w:r>
          </w:p>
        </w:tc>
        <w:tc>
          <w:tcPr>
            <w:tcW w:w="7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8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968" w:type="dxa"/>
          <w:wAfter w:w="2512" w:type="dxa"/>
          <w:trHeight w:val="570" w:hRule="atLeast"/>
          <w:jc w:val="center"/>
        </w:trPr>
        <w:tc>
          <w:tcPr>
            <w:tcW w:w="5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余砂检测</w:t>
            </w:r>
          </w:p>
        </w:tc>
        <w:tc>
          <w:tcPr>
            <w:tcW w:w="31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1.检测项目:有机质、总磷、总氮</w:t>
            </w:r>
          </w:p>
        </w:tc>
        <w:tc>
          <w:tcPr>
            <w:tcW w:w="7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8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968" w:type="dxa"/>
          <w:wAfter w:w="2512" w:type="dxa"/>
          <w:trHeight w:val="2820" w:hRule="atLeast"/>
          <w:jc w:val="center"/>
        </w:trPr>
        <w:tc>
          <w:tcPr>
            <w:tcW w:w="5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防毒面具</w:t>
            </w:r>
          </w:p>
        </w:tc>
        <w:tc>
          <w:tcPr>
            <w:tcW w:w="31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1.参数要求:通用防毒面具，中等偏上品质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2.计价内容:单次使用防毒面具及滤盒价格</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3.计价方式:根据市场询价及材料摊销次数计算单次使用材料价格</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4.其他:要求为全新，不考虑重复使用</w:t>
            </w:r>
          </w:p>
        </w:tc>
        <w:tc>
          <w:tcPr>
            <w:tcW w:w="7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8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968" w:type="dxa"/>
          <w:wAfter w:w="2512" w:type="dxa"/>
          <w:trHeight w:val="1590" w:hRule="atLeast"/>
          <w:jc w:val="center"/>
        </w:trPr>
        <w:tc>
          <w:tcPr>
            <w:tcW w:w="5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正压式空气呼吸器</w:t>
            </w:r>
          </w:p>
        </w:tc>
        <w:tc>
          <w:tcPr>
            <w:tcW w:w="31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1、参数要求：6.8升碳纤维瓶</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2、计价内容：单次使用正压空气呼吸器价格</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3、计价方式：根据市场询价及材料摊销次数计算单次使用材料价格</w:t>
            </w:r>
          </w:p>
        </w:tc>
        <w:tc>
          <w:tcPr>
            <w:tcW w:w="7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套/次</w:t>
            </w:r>
          </w:p>
        </w:tc>
        <w:tc>
          <w:tcPr>
            <w:tcW w:w="8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968" w:type="dxa"/>
          <w:wAfter w:w="2512" w:type="dxa"/>
          <w:trHeight w:val="1335" w:hRule="atLeast"/>
          <w:jc w:val="center"/>
        </w:trPr>
        <w:tc>
          <w:tcPr>
            <w:tcW w:w="5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围堰</w:t>
            </w:r>
          </w:p>
        </w:tc>
        <w:tc>
          <w:tcPr>
            <w:tcW w:w="31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1.围堰类型:池体就近堆砌三级沉淀池</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2.填心材料:纤维袋砂包围堰</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3.三级沉淀池底部铺设红白蓝彩条布</w:t>
            </w:r>
          </w:p>
        </w:tc>
        <w:tc>
          <w:tcPr>
            <w:tcW w:w="7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m3</w:t>
            </w:r>
          </w:p>
        </w:tc>
        <w:tc>
          <w:tcPr>
            <w:tcW w:w="8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968" w:type="dxa"/>
          <w:wAfter w:w="2512" w:type="dxa"/>
          <w:trHeight w:val="825" w:hRule="atLeast"/>
          <w:jc w:val="center"/>
        </w:trPr>
        <w:tc>
          <w:tcPr>
            <w:tcW w:w="5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排水</w:t>
            </w:r>
          </w:p>
        </w:tc>
        <w:tc>
          <w:tcPr>
            <w:tcW w:w="31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1、污水泵规格：出口直径100mm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2、起、闭井盖</w:t>
            </w:r>
          </w:p>
        </w:tc>
        <w:tc>
          <w:tcPr>
            <w:tcW w:w="7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台班</w:t>
            </w:r>
          </w:p>
        </w:tc>
        <w:tc>
          <w:tcPr>
            <w:tcW w:w="8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968" w:type="dxa"/>
          <w:wAfter w:w="2512" w:type="dxa"/>
          <w:trHeight w:val="825" w:hRule="atLeast"/>
          <w:jc w:val="center"/>
        </w:trPr>
        <w:tc>
          <w:tcPr>
            <w:tcW w:w="5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有毒气体检测</w:t>
            </w:r>
          </w:p>
        </w:tc>
        <w:tc>
          <w:tcPr>
            <w:tcW w:w="31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1.一次为2小时不间断检测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2.具体检测次数以实际检测台班数量确定</w:t>
            </w:r>
          </w:p>
        </w:tc>
        <w:tc>
          <w:tcPr>
            <w:tcW w:w="7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次</w:t>
            </w:r>
          </w:p>
        </w:tc>
        <w:tc>
          <w:tcPr>
            <w:tcW w:w="8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144</w:t>
            </w:r>
          </w:p>
        </w:tc>
      </w:tr>
    </w:tbl>
    <w:p>
      <w:pPr>
        <w:pStyle w:val="22"/>
        <w:rPr>
          <w:rFonts w:ascii="仿宋_GB2312" w:eastAsia="仿宋_GB2312"/>
          <w:color w:val="auto"/>
          <w:sz w:val="28"/>
          <w:szCs w:val="28"/>
          <w:highlight w:val="none"/>
        </w:rPr>
      </w:pPr>
    </w:p>
    <w:p>
      <w:pPr>
        <w:pStyle w:val="22"/>
        <w:numPr>
          <w:ilvl w:val="0"/>
          <w:numId w:val="4"/>
        </w:numPr>
        <w:ind w:firstLine="560" w:firstLineChars="200"/>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工期：</w:t>
      </w:r>
      <w:r>
        <w:rPr>
          <w:rFonts w:hint="eastAsia" w:ascii="仿宋_GB2312" w:eastAsia="仿宋_GB2312"/>
          <w:color w:val="auto"/>
          <w:sz w:val="28"/>
          <w:szCs w:val="28"/>
          <w:highlight w:val="none"/>
          <w:lang w:val="en-US" w:eastAsia="zh-CN"/>
        </w:rPr>
        <w:t>自合同签订之日起18</w:t>
      </w:r>
      <w:r>
        <w:rPr>
          <w:rFonts w:hint="eastAsia" w:ascii="仿宋_GB2312" w:eastAsia="仿宋_GB2312"/>
          <w:color w:val="auto"/>
          <w:sz w:val="28"/>
          <w:szCs w:val="28"/>
          <w:highlight w:val="none"/>
          <w:lang w:val="en-US" w:eastAsia="zh-CN"/>
        </w:rPr>
        <w:t>天。具体日期以甲方发出的开工报告/通知为准。</w:t>
      </w:r>
    </w:p>
    <w:p>
      <w:pPr>
        <w:pStyle w:val="4"/>
        <w:ind w:firstLine="3960" w:firstLineChars="900"/>
        <w:jc w:val="both"/>
        <w:rPr>
          <w:rFonts w:hint="eastAsia"/>
          <w:color w:val="auto"/>
          <w:highlight w:val="none"/>
        </w:rPr>
      </w:pPr>
    </w:p>
    <w:p>
      <w:pPr>
        <w:pStyle w:val="4"/>
        <w:ind w:firstLine="3960" w:firstLineChars="900"/>
        <w:jc w:val="both"/>
        <w:rPr>
          <w:rFonts w:hint="eastAsia"/>
          <w:color w:val="auto"/>
          <w:highlight w:val="none"/>
        </w:rPr>
      </w:pPr>
    </w:p>
    <w:p>
      <w:pPr>
        <w:pStyle w:val="4"/>
        <w:ind w:firstLine="3960" w:firstLineChars="900"/>
        <w:jc w:val="both"/>
        <w:rPr>
          <w:rFonts w:hint="eastAsia"/>
          <w:color w:val="auto"/>
          <w:highlight w:val="none"/>
        </w:rPr>
      </w:pPr>
    </w:p>
    <w:p>
      <w:pPr>
        <w:pStyle w:val="4"/>
        <w:rPr>
          <w:color w:val="auto"/>
          <w:highlight w:val="none"/>
        </w:rPr>
      </w:pPr>
      <w:r>
        <w:rPr>
          <w:color w:val="auto"/>
          <w:highlight w:val="none"/>
        </w:rPr>
        <w:pict>
          <v:shape id="_x0000_s1036" o:spid="_x0000_s1036" o:spt="32" type="#_x0000_t32" style="position:absolute;left:0pt;margin-left:185.75pt;margin-top:40.5pt;height:0pt;width:75.5pt;z-index:251665408;mso-width-relative:page;mso-height-relative:page;" o:connectortype="straight" filled="f" coordsize="21600,21600">
            <v:path arrowok="t"/>
            <v:fill on="f" focussize="0,0"/>
            <v:stroke/>
            <v:imagedata o:title=""/>
            <o:lock v:ext="edit"/>
          </v:shape>
        </w:pict>
      </w:r>
      <w:r>
        <w:rPr>
          <w:color w:val="auto"/>
          <w:highlight w:val="none"/>
        </w:rPr>
        <w:pict>
          <v:shape id="_x0000_s1037" o:spid="_x0000_s1037" o:spt="32" type="#_x0000_t32" style="position:absolute;left:0pt;margin-left:183.1pt;margin-top:7.4pt;height:0pt;width:75.5pt;z-index:251664384;mso-width-relative:page;mso-height-relative:page;" o:connectortype="straight" filled="f" coordsize="21600,21600">
            <v:path arrowok="t"/>
            <v:fill on="f" focussize="0,0"/>
            <v:stroke/>
            <v:imagedata o:title=""/>
            <o:lock v:ext="edit"/>
          </v:shape>
        </w:pict>
      </w:r>
      <w:bookmarkStart w:id="61" w:name="_Toc23353"/>
      <w:bookmarkStart w:id="62" w:name="_Toc29835"/>
      <w:bookmarkStart w:id="63" w:name="_Toc1284"/>
      <w:bookmarkStart w:id="64" w:name="_Toc537"/>
      <w:bookmarkStart w:id="65" w:name="_Toc15570"/>
      <w:bookmarkStart w:id="66" w:name="_Toc18538"/>
      <w:bookmarkStart w:id="67" w:name="_Toc4680"/>
      <w:bookmarkStart w:id="68" w:name="_Toc12135"/>
      <w:bookmarkStart w:id="69" w:name="_Toc1496"/>
      <w:bookmarkStart w:id="70" w:name="_Toc25925"/>
      <w:bookmarkStart w:id="71" w:name="_Toc23330"/>
      <w:r>
        <w:rPr>
          <w:rFonts w:hint="eastAsia"/>
          <w:color w:val="auto"/>
          <w:highlight w:val="none"/>
        </w:rPr>
        <w:t>第六章</w:t>
      </w:r>
      <w:bookmarkEnd w:id="61"/>
      <w:bookmarkEnd w:id="62"/>
      <w:bookmarkEnd w:id="63"/>
      <w:bookmarkEnd w:id="64"/>
      <w:bookmarkEnd w:id="65"/>
      <w:bookmarkEnd w:id="66"/>
      <w:bookmarkEnd w:id="67"/>
      <w:bookmarkEnd w:id="68"/>
      <w:bookmarkEnd w:id="69"/>
      <w:bookmarkEnd w:id="70"/>
      <w:bookmarkEnd w:id="71"/>
    </w:p>
    <w:p>
      <w:pPr>
        <w:pStyle w:val="37"/>
        <w:rPr>
          <w:color w:val="auto"/>
          <w:highlight w:val="none"/>
        </w:rPr>
      </w:pPr>
    </w:p>
    <w:p>
      <w:pPr>
        <w:pStyle w:val="4"/>
        <w:rPr>
          <w:color w:val="auto"/>
          <w:highlight w:val="none"/>
        </w:rPr>
      </w:pPr>
      <w:bookmarkStart w:id="72" w:name="_Toc19686"/>
      <w:bookmarkStart w:id="73" w:name="_Toc8183"/>
      <w:bookmarkStart w:id="74" w:name="_Toc1375"/>
      <w:bookmarkStart w:id="75" w:name="_Toc323"/>
      <w:bookmarkStart w:id="76" w:name="_Toc19088"/>
      <w:bookmarkStart w:id="77" w:name="_Toc12721"/>
      <w:bookmarkStart w:id="78" w:name="_Toc87616386"/>
      <w:bookmarkStart w:id="79" w:name="_Toc12980"/>
      <w:bookmarkStart w:id="80" w:name="_Toc13309"/>
      <w:bookmarkStart w:id="81" w:name="_Toc22501"/>
      <w:bookmarkStart w:id="82" w:name="_Toc88209949"/>
      <w:bookmarkStart w:id="83" w:name="_Toc12968"/>
      <w:bookmarkStart w:id="84" w:name="_Toc22797"/>
      <w:r>
        <w:rPr>
          <w:rFonts w:hint="eastAsia"/>
          <w:color w:val="auto"/>
          <w:highlight w:val="none"/>
        </w:rPr>
        <w:t>合同</w:t>
      </w:r>
      <w:bookmarkEnd w:id="72"/>
      <w:bookmarkEnd w:id="73"/>
      <w:bookmarkEnd w:id="74"/>
      <w:bookmarkEnd w:id="75"/>
      <w:bookmarkEnd w:id="76"/>
      <w:bookmarkEnd w:id="77"/>
      <w:bookmarkEnd w:id="78"/>
      <w:bookmarkEnd w:id="79"/>
      <w:bookmarkEnd w:id="80"/>
      <w:bookmarkEnd w:id="81"/>
      <w:bookmarkEnd w:id="82"/>
      <w:bookmarkEnd w:id="83"/>
      <w:bookmarkEnd w:id="84"/>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pStyle w:val="28"/>
        <w:rPr>
          <w:rFonts w:ascii="方正小标宋简体" w:eastAsia="方正小标宋简体"/>
          <w:color w:val="auto"/>
          <w:sz w:val="44"/>
          <w:szCs w:val="44"/>
          <w:highlight w:val="none"/>
        </w:rPr>
      </w:pPr>
    </w:p>
    <w:p>
      <w:pPr>
        <w:pStyle w:val="28"/>
        <w:rPr>
          <w:rFonts w:ascii="方正小标宋简体" w:eastAsia="方正小标宋简体"/>
          <w:color w:val="auto"/>
          <w:sz w:val="44"/>
          <w:szCs w:val="44"/>
          <w:highlight w:val="none"/>
        </w:rPr>
      </w:pPr>
    </w:p>
    <w:p>
      <w:pPr>
        <w:pStyle w:val="22"/>
        <w:ind w:firstLine="0"/>
        <w:rPr>
          <w:rFonts w:ascii="方正小标宋简体" w:eastAsia="方正小标宋简体"/>
          <w:color w:val="auto"/>
          <w:sz w:val="44"/>
          <w:szCs w:val="44"/>
          <w:highlight w:val="none"/>
        </w:rPr>
      </w:pPr>
    </w:p>
    <w:p>
      <w:pPr>
        <w:pStyle w:val="22"/>
        <w:ind w:firstLine="0"/>
        <w:rPr>
          <w:rFonts w:ascii="方正小标宋简体" w:eastAsia="方正小标宋简体"/>
          <w:color w:val="auto"/>
          <w:sz w:val="44"/>
          <w:szCs w:val="44"/>
          <w:highlight w:val="none"/>
        </w:rPr>
      </w:pPr>
    </w:p>
    <w:p>
      <w:pPr>
        <w:pStyle w:val="22"/>
        <w:ind w:firstLine="0"/>
        <w:rPr>
          <w:rFonts w:ascii="方正小标宋简体" w:eastAsia="方正小标宋简体"/>
          <w:color w:val="auto"/>
          <w:sz w:val="44"/>
          <w:szCs w:val="44"/>
          <w:highlight w:val="none"/>
        </w:rPr>
      </w:pPr>
    </w:p>
    <w:p>
      <w:pPr>
        <w:spacing w:line="400" w:lineRule="atLeast"/>
        <w:jc w:val="right"/>
        <w:rPr>
          <w:rFonts w:hint="eastAsia" w:ascii="宋体" w:hAnsi="宋体" w:eastAsia="宋体"/>
          <w:b/>
          <w:color w:val="auto"/>
          <w:sz w:val="48"/>
          <w:szCs w:val="48"/>
          <w:highlight w:val="none"/>
          <w:u w:val="single"/>
          <w:lang w:val="en-US" w:eastAsia="zh-CN"/>
        </w:rPr>
      </w:pPr>
    </w:p>
    <w:p>
      <w:pPr>
        <w:spacing w:line="400" w:lineRule="atLeast"/>
        <w:jc w:val="center"/>
        <w:rPr>
          <w:rFonts w:ascii="宋体" w:hAnsi="宋体"/>
          <w:b/>
          <w:color w:val="auto"/>
          <w:sz w:val="48"/>
          <w:szCs w:val="48"/>
          <w:highlight w:val="none"/>
          <w:u w:val="single"/>
        </w:rPr>
      </w:pPr>
    </w:p>
    <w:p>
      <w:pPr>
        <w:spacing w:line="400" w:lineRule="atLeast"/>
        <w:jc w:val="center"/>
        <w:rPr>
          <w:rFonts w:ascii="宋体" w:hAnsi="宋体"/>
          <w:b/>
          <w:color w:val="auto"/>
          <w:sz w:val="48"/>
          <w:szCs w:val="48"/>
          <w:highlight w:val="none"/>
          <w:u w:val="single"/>
        </w:rPr>
      </w:pPr>
      <w:r>
        <w:rPr>
          <w:rFonts w:hint="eastAsia" w:ascii="宋体" w:hAnsi="宋体"/>
          <w:b/>
          <w:color w:val="auto"/>
          <w:sz w:val="48"/>
          <w:szCs w:val="48"/>
          <w:highlight w:val="none"/>
        </w:rPr>
        <w:t>广州市净水有限公司</w:t>
      </w:r>
    </w:p>
    <w:p>
      <w:pPr>
        <w:spacing w:line="400" w:lineRule="atLeast"/>
        <w:jc w:val="center"/>
        <w:rPr>
          <w:rFonts w:ascii="宋体" w:hAnsi="宋体"/>
          <w:b/>
          <w:color w:val="auto"/>
          <w:sz w:val="48"/>
          <w:szCs w:val="48"/>
          <w:highlight w:val="none"/>
        </w:rPr>
      </w:pPr>
      <w:r>
        <w:rPr>
          <w:rFonts w:hint="eastAsia" w:ascii="宋体" w:hAnsi="宋体"/>
          <w:b/>
          <w:color w:val="auto"/>
          <w:sz w:val="48"/>
          <w:szCs w:val="48"/>
          <w:highlight w:val="none"/>
        </w:rPr>
        <w:t>清淤工程合同</w:t>
      </w:r>
    </w:p>
    <w:p>
      <w:pPr>
        <w:spacing w:line="400" w:lineRule="atLeast"/>
        <w:jc w:val="center"/>
        <w:rPr>
          <w:rFonts w:ascii="宋体" w:hAnsi="宋体"/>
          <w:b/>
          <w:color w:val="auto"/>
          <w:sz w:val="28"/>
          <w:highlight w:val="none"/>
        </w:rPr>
      </w:pPr>
    </w:p>
    <w:p>
      <w:pPr>
        <w:pStyle w:val="22"/>
        <w:rPr>
          <w:color w:val="auto"/>
          <w:highlight w:val="none"/>
        </w:rPr>
      </w:pPr>
    </w:p>
    <w:p>
      <w:pPr>
        <w:spacing w:line="0" w:lineRule="atLeast"/>
        <w:rPr>
          <w:rFonts w:ascii="宋体" w:hAnsi="宋体"/>
          <w:b/>
          <w:color w:val="auto"/>
          <w:sz w:val="30"/>
          <w:highlight w:val="none"/>
        </w:rPr>
      </w:pPr>
    </w:p>
    <w:p>
      <w:pPr>
        <w:spacing w:line="0" w:lineRule="atLeast"/>
        <w:ind w:left="1506" w:hanging="1506" w:hangingChars="500"/>
        <w:rPr>
          <w:rFonts w:ascii="宋体" w:hAnsi="宋体"/>
          <w:b/>
          <w:color w:val="auto"/>
          <w:sz w:val="30"/>
          <w:szCs w:val="30"/>
          <w:highlight w:val="none"/>
        </w:rPr>
      </w:pPr>
    </w:p>
    <w:p>
      <w:pPr>
        <w:spacing w:line="0" w:lineRule="atLeast"/>
        <w:ind w:left="1506" w:hanging="1506" w:hangingChars="500"/>
        <w:rPr>
          <w:rFonts w:ascii="宋体" w:hAnsi="宋体"/>
          <w:b/>
          <w:color w:val="auto"/>
          <w:sz w:val="30"/>
          <w:szCs w:val="30"/>
          <w:highlight w:val="none"/>
        </w:rPr>
      </w:pPr>
      <w:r>
        <w:rPr>
          <w:rFonts w:hint="eastAsia" w:ascii="宋体" w:hAnsi="宋体"/>
          <w:b/>
          <w:color w:val="auto"/>
          <w:sz w:val="30"/>
          <w:szCs w:val="30"/>
          <w:highlight w:val="none"/>
        </w:rPr>
        <w:t>项目名称</w:t>
      </w:r>
      <w:r>
        <w:rPr>
          <w:rFonts w:ascii="宋体" w:hAnsi="宋体"/>
          <w:b/>
          <w:color w:val="auto"/>
          <w:sz w:val="30"/>
          <w:szCs w:val="30"/>
          <w:highlight w:val="none"/>
        </w:rPr>
        <w:t xml:space="preserve">: </w:t>
      </w:r>
    </w:p>
    <w:p>
      <w:pPr>
        <w:spacing w:line="400" w:lineRule="atLeast"/>
        <w:ind w:left="0" w:firstLine="0" w:firstLineChars="0"/>
        <w:rPr>
          <w:rFonts w:hint="eastAsia" w:ascii="宋体" w:hAnsi="宋体" w:eastAsiaTheme="minorEastAsia"/>
          <w:b/>
          <w:color w:val="auto"/>
          <w:sz w:val="30"/>
          <w:szCs w:val="22"/>
          <w:highlight w:val="none"/>
          <w:lang w:val="en-US" w:eastAsia="zh-CN"/>
        </w:rPr>
      </w:pPr>
      <w:r>
        <w:rPr>
          <w:rFonts w:hint="eastAsia" w:ascii="宋体" w:hAnsi="宋体"/>
          <w:b/>
          <w:color w:val="auto"/>
          <w:sz w:val="30"/>
          <w:szCs w:val="30"/>
          <w:highlight w:val="none"/>
          <w:lang w:val="en-US" w:eastAsia="zh-CN"/>
        </w:rPr>
        <w:t>项目编号：</w:t>
      </w:r>
    </w:p>
    <w:p>
      <w:pPr>
        <w:spacing w:line="400" w:lineRule="atLeast"/>
        <w:ind w:left="0" w:firstLine="0" w:firstLineChars="0"/>
        <w:rPr>
          <w:rFonts w:hint="eastAsia" w:ascii="宋体" w:hAnsi="宋体"/>
          <w:b/>
          <w:color w:val="auto"/>
          <w:sz w:val="30"/>
          <w:szCs w:val="22"/>
          <w:highlight w:val="none"/>
        </w:rPr>
      </w:pPr>
    </w:p>
    <w:p>
      <w:pPr>
        <w:spacing w:line="0" w:lineRule="atLeast"/>
        <w:ind w:left="1506" w:hanging="1506" w:hangingChars="500"/>
        <w:rPr>
          <w:rFonts w:ascii="宋体" w:hAnsi="宋体"/>
          <w:b/>
          <w:color w:val="auto"/>
          <w:sz w:val="30"/>
          <w:szCs w:val="30"/>
          <w:highlight w:val="none"/>
        </w:rPr>
      </w:pPr>
    </w:p>
    <w:p>
      <w:pPr>
        <w:spacing w:line="0" w:lineRule="atLeast"/>
        <w:ind w:left="1506" w:hanging="1506" w:hangingChars="500"/>
        <w:rPr>
          <w:rFonts w:ascii="宋体" w:hAnsi="宋体"/>
          <w:b/>
          <w:color w:val="auto"/>
          <w:sz w:val="30"/>
          <w:szCs w:val="30"/>
          <w:highlight w:val="none"/>
        </w:rPr>
      </w:pPr>
    </w:p>
    <w:p>
      <w:pPr>
        <w:spacing w:line="400" w:lineRule="atLeast"/>
        <w:rPr>
          <w:rFonts w:ascii="宋体" w:hAnsi="宋体"/>
          <w:b/>
          <w:color w:val="auto"/>
          <w:sz w:val="24"/>
          <w:highlight w:val="none"/>
        </w:rPr>
      </w:pPr>
      <w:r>
        <w:rPr>
          <w:rFonts w:hint="eastAsia" w:ascii="宋体" w:hAnsi="宋体"/>
          <w:b/>
          <w:color w:val="auto"/>
          <w:sz w:val="30"/>
          <w:highlight w:val="none"/>
        </w:rPr>
        <w:t>合同编号</w:t>
      </w:r>
      <w:r>
        <w:rPr>
          <w:rFonts w:hint="eastAsia" w:ascii="宋体" w:hAnsi="宋体"/>
          <w:b/>
          <w:color w:val="auto"/>
          <w:sz w:val="36"/>
          <w:highlight w:val="none"/>
        </w:rPr>
        <w:t>：</w:t>
      </w:r>
      <w:r>
        <w:rPr>
          <w:rFonts w:hint="eastAsia"/>
          <w:b/>
          <w:color w:val="auto"/>
          <w:sz w:val="30"/>
          <w:szCs w:val="30"/>
          <w:highlight w:val="none"/>
        </w:rPr>
        <w:t>穗净水合</w:t>
      </w:r>
      <w:r>
        <w:rPr>
          <w:b/>
          <w:color w:val="auto"/>
          <w:sz w:val="30"/>
          <w:szCs w:val="30"/>
          <w:highlight w:val="none"/>
        </w:rPr>
        <w:t xml:space="preserve">[     ]    </w:t>
      </w:r>
      <w:r>
        <w:rPr>
          <w:rFonts w:hint="eastAsia"/>
          <w:b/>
          <w:color w:val="auto"/>
          <w:sz w:val="30"/>
          <w:szCs w:val="30"/>
          <w:highlight w:val="none"/>
        </w:rPr>
        <w:t>号</w:t>
      </w:r>
    </w:p>
    <w:p>
      <w:pPr>
        <w:spacing w:line="400" w:lineRule="atLeast"/>
        <w:ind w:firstLine="602" w:firstLineChars="200"/>
        <w:rPr>
          <w:rFonts w:ascii="宋体" w:hAnsi="宋体"/>
          <w:b/>
          <w:color w:val="auto"/>
          <w:sz w:val="30"/>
          <w:highlight w:val="none"/>
        </w:rPr>
      </w:pPr>
    </w:p>
    <w:p>
      <w:pPr>
        <w:spacing w:line="400" w:lineRule="atLeast"/>
        <w:rPr>
          <w:rFonts w:ascii="宋体" w:hAnsi="宋体"/>
          <w:b/>
          <w:color w:val="auto"/>
          <w:sz w:val="30"/>
          <w:highlight w:val="none"/>
        </w:rPr>
      </w:pPr>
    </w:p>
    <w:p>
      <w:pPr>
        <w:spacing w:line="400" w:lineRule="atLeast"/>
        <w:rPr>
          <w:rFonts w:ascii="宋体" w:hAnsi="宋体"/>
          <w:b/>
          <w:color w:val="auto"/>
          <w:sz w:val="30"/>
          <w:highlight w:val="none"/>
        </w:rPr>
      </w:pPr>
      <w:r>
        <w:rPr>
          <w:rFonts w:hint="eastAsia" w:ascii="宋体" w:hAnsi="宋体"/>
          <w:b/>
          <w:color w:val="auto"/>
          <w:sz w:val="30"/>
          <w:highlight w:val="none"/>
        </w:rPr>
        <w:t>甲方：广州市净水有限公司</w:t>
      </w:r>
    </w:p>
    <w:p>
      <w:pPr>
        <w:spacing w:line="400" w:lineRule="atLeast"/>
        <w:rPr>
          <w:rFonts w:ascii="宋体" w:hAnsi="宋体"/>
          <w:b/>
          <w:color w:val="auto"/>
          <w:sz w:val="30"/>
          <w:highlight w:val="none"/>
        </w:rPr>
      </w:pPr>
      <w:r>
        <w:rPr>
          <w:rFonts w:hint="eastAsia" w:ascii="宋体" w:hAnsi="宋体"/>
          <w:b/>
          <w:color w:val="auto"/>
          <w:sz w:val="30"/>
          <w:highlight w:val="none"/>
        </w:rPr>
        <w:t>乙方</w:t>
      </w:r>
      <w:r>
        <w:rPr>
          <w:rFonts w:hint="eastAsia" w:ascii="宋体" w:hAnsi="宋体"/>
          <w:color w:val="auto"/>
          <w:sz w:val="30"/>
          <w:highlight w:val="none"/>
        </w:rPr>
        <w:t>：</w:t>
      </w:r>
    </w:p>
    <w:p>
      <w:pPr>
        <w:spacing w:line="400" w:lineRule="atLeast"/>
        <w:rPr>
          <w:rFonts w:ascii="宋体" w:hAnsi="宋体"/>
          <w:b/>
          <w:color w:val="auto"/>
          <w:sz w:val="30"/>
          <w:highlight w:val="none"/>
        </w:rPr>
      </w:pPr>
    </w:p>
    <w:p>
      <w:pPr>
        <w:spacing w:line="400" w:lineRule="atLeast"/>
        <w:jc w:val="left"/>
        <w:rPr>
          <w:rFonts w:ascii="宋体" w:hAnsi="宋体"/>
          <w:b/>
          <w:color w:val="auto"/>
          <w:sz w:val="30"/>
          <w:highlight w:val="none"/>
        </w:rPr>
      </w:pPr>
    </w:p>
    <w:p>
      <w:pPr>
        <w:spacing w:line="400" w:lineRule="atLeast"/>
        <w:jc w:val="left"/>
        <w:rPr>
          <w:rFonts w:ascii="宋体" w:hAnsi="宋体"/>
          <w:b/>
          <w:color w:val="auto"/>
          <w:sz w:val="30"/>
          <w:highlight w:val="none"/>
        </w:rPr>
      </w:pPr>
      <w:r>
        <w:rPr>
          <w:rFonts w:hint="eastAsia" w:ascii="宋体" w:hAnsi="宋体"/>
          <w:b/>
          <w:color w:val="auto"/>
          <w:sz w:val="30"/>
          <w:highlight w:val="none"/>
        </w:rPr>
        <w:t>签订日期：年月日</w:t>
      </w:r>
    </w:p>
    <w:p>
      <w:pPr>
        <w:spacing w:line="400" w:lineRule="atLeast"/>
        <w:jc w:val="left"/>
        <w:rPr>
          <w:rFonts w:ascii="宋体" w:hAnsi="宋体"/>
          <w:b/>
          <w:color w:val="auto"/>
          <w:sz w:val="30"/>
          <w:highlight w:val="none"/>
        </w:rPr>
      </w:pPr>
      <w:r>
        <w:rPr>
          <w:rFonts w:hint="eastAsia" w:ascii="宋体" w:hAnsi="宋体"/>
          <w:b/>
          <w:color w:val="auto"/>
          <w:sz w:val="30"/>
          <w:highlight w:val="none"/>
        </w:rPr>
        <w:t>签约地点：广州市</w:t>
      </w:r>
    </w:p>
    <w:p>
      <w:pPr>
        <w:rPr>
          <w:rFonts w:asciiTheme="minorEastAsia" w:hAnsiTheme="minorEastAsia" w:eastAsiaTheme="minorEastAsia"/>
          <w:color w:val="auto"/>
          <w:sz w:val="24"/>
          <w:highlight w:val="none"/>
        </w:rPr>
      </w:pP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根据《中华人民共和国</w:t>
      </w:r>
      <w:r>
        <w:rPr>
          <w:rFonts w:hint="eastAsia" w:asciiTheme="minorEastAsia" w:hAnsiTheme="minorEastAsia" w:eastAsiaTheme="minorEastAsia"/>
          <w:color w:val="auto"/>
          <w:sz w:val="24"/>
          <w:highlight w:val="none"/>
          <w:lang w:val="en-US" w:eastAsia="zh-CN"/>
        </w:rPr>
        <w:t>民法典</w:t>
      </w:r>
      <w:r>
        <w:rPr>
          <w:rFonts w:hint="eastAsia" w:asciiTheme="minorEastAsia" w:hAnsiTheme="minorEastAsia" w:eastAsiaTheme="minorEastAsia"/>
          <w:color w:val="auto"/>
          <w:sz w:val="24"/>
          <w:highlight w:val="none"/>
        </w:rPr>
        <w:t>》及其他有关法律、行政法规，</w:t>
      </w:r>
      <w:r>
        <w:rPr>
          <w:rFonts w:hint="eastAsia" w:asciiTheme="minorEastAsia" w:hAnsiTheme="minorEastAsia" w:eastAsiaTheme="minorEastAsia" w:cstheme="minorEastAsia"/>
          <w:bCs/>
          <w:color w:val="auto"/>
          <w:sz w:val="24"/>
          <w:highlight w:val="none"/>
          <w:u w:val="single"/>
        </w:rPr>
        <w:t>广州市净水有限公司</w:t>
      </w:r>
      <w:r>
        <w:rPr>
          <w:rFonts w:hint="eastAsia" w:asciiTheme="minorEastAsia" w:hAnsiTheme="minorEastAsia" w:eastAsiaTheme="minorEastAsia" w:cstheme="minorEastAsia"/>
          <w:color w:val="auto"/>
          <w:sz w:val="24"/>
          <w:highlight w:val="none"/>
        </w:rPr>
        <w:t>（以下简称“甲方”）于</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年</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月</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日在甲方企业库通过随机抽取（摇珠）方式选定</w:t>
      </w:r>
      <w:r>
        <w:rPr>
          <w:rFonts w:hint="eastAsia" w:asciiTheme="minorEastAsia" w:hAnsiTheme="minorEastAsia" w:eastAsiaTheme="minorEastAsia" w:cstheme="minorEastAsia"/>
          <w:color w:val="auto"/>
          <w:sz w:val="24"/>
          <w:highlight w:val="none"/>
          <w:u w:val="single"/>
        </w:rPr>
        <w:t>（以下简称“乙方”）</w:t>
      </w:r>
      <w:r>
        <w:rPr>
          <w:rFonts w:hint="eastAsia" w:asciiTheme="minorEastAsia" w:hAnsiTheme="minorEastAsia" w:eastAsiaTheme="minorEastAsia" w:cstheme="minorEastAsia"/>
          <w:color w:val="auto"/>
          <w:sz w:val="24"/>
          <w:highlight w:val="none"/>
        </w:rPr>
        <w:t>为工程施工方。现</w:t>
      </w:r>
      <w:r>
        <w:rPr>
          <w:rFonts w:hint="eastAsia" w:asciiTheme="minorEastAsia" w:hAnsiTheme="minorEastAsia" w:eastAsiaTheme="minorEastAsia"/>
          <w:color w:val="auto"/>
          <w:sz w:val="24"/>
          <w:highlight w:val="none"/>
        </w:rPr>
        <w:t>遵循平等、自愿、公平和诚实信用的原则，双方协商一致，订立本合同。</w:t>
      </w:r>
    </w:p>
    <w:p>
      <w:pPr>
        <w:spacing w:line="360" w:lineRule="auto"/>
        <w:ind w:firstLine="482" w:firstLineChars="200"/>
        <w:rPr>
          <w:rFonts w:asciiTheme="minorEastAsia" w:hAnsiTheme="minorEastAsia" w:eastAsiaTheme="minorEastAsia" w:cstheme="minorEastAsia"/>
          <w:color w:val="auto"/>
          <w:sz w:val="24"/>
          <w:highlight w:val="none"/>
        </w:rPr>
      </w:pPr>
      <w:r>
        <w:rPr>
          <w:rFonts w:hint="eastAsia" w:ascii="宋体" w:hAnsi="宋体" w:cs="宋体"/>
          <w:b/>
          <w:bCs/>
          <w:color w:val="auto"/>
          <w:sz w:val="24"/>
          <w:highlight w:val="none"/>
        </w:rPr>
        <w:t>第一条组成合同的文件及优先顺序</w:t>
      </w:r>
    </w:p>
    <w:p>
      <w:pPr>
        <w:tabs>
          <w:tab w:val="left" w:pos="720"/>
        </w:tabs>
        <w:spacing w:line="360" w:lineRule="auto"/>
        <w:ind w:firstLine="480" w:firstLineChars="200"/>
        <w:rPr>
          <w:rFonts w:cs="宋体" w:asciiTheme="minorEastAsia" w:hAnsiTheme="minorEastAsia" w:eastAsiaTheme="minorEastAsia"/>
          <w:bCs/>
          <w:color w:val="auto"/>
          <w:sz w:val="24"/>
          <w:highlight w:val="none"/>
        </w:rPr>
      </w:pPr>
      <w:r>
        <w:rPr>
          <w:rFonts w:hint="eastAsia" w:cs="宋体" w:asciiTheme="minorEastAsia" w:hAnsiTheme="minorEastAsia" w:eastAsiaTheme="minorEastAsia"/>
          <w:bCs/>
          <w:color w:val="auto"/>
          <w:sz w:val="24"/>
          <w:highlight w:val="none"/>
        </w:rPr>
        <w:t>下列文件</w:t>
      </w:r>
      <w:r>
        <w:rPr>
          <w:rFonts w:hint="eastAsia" w:asciiTheme="minorEastAsia" w:hAnsiTheme="minorEastAsia" w:eastAsiaTheme="minorEastAsia"/>
          <w:color w:val="auto"/>
          <w:sz w:val="24"/>
          <w:highlight w:val="none"/>
        </w:rPr>
        <w:t>（如有）</w:t>
      </w:r>
      <w:r>
        <w:rPr>
          <w:rFonts w:hint="eastAsia" w:cs="宋体" w:asciiTheme="minorEastAsia" w:hAnsiTheme="minorEastAsia" w:eastAsiaTheme="minorEastAsia"/>
          <w:bCs/>
          <w:color w:val="auto"/>
          <w:sz w:val="24"/>
          <w:highlight w:val="none"/>
        </w:rPr>
        <w:t>均为本合同的组成部分，可视为能相互说明和补充的，如果合同文件存在歧义或相矛盾的地方，则根据以下次序判断：</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⑴</w:t>
      </w:r>
      <w:r>
        <w:rPr>
          <w:rFonts w:hint="eastAsia" w:ascii="宋体" w:hAnsi="宋体" w:cs="宋体"/>
          <w:color w:val="auto"/>
          <w:sz w:val="24"/>
          <w:highlight w:val="none"/>
        </w:rPr>
        <w:t>在本合同实施过程双方签署的补充与修正文件</w:t>
      </w:r>
      <w:r>
        <w:rPr>
          <w:rFonts w:hint="eastAsia" w:ascii="宋体" w:hAnsi="宋体" w:cs="宋体"/>
          <w:bCs/>
          <w:color w:val="auto"/>
          <w:sz w:val="24"/>
          <w:highlight w:val="none"/>
        </w:rPr>
        <w:t>；</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⑵本合同书；</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⑶中标通知书</w:t>
      </w:r>
      <w:r>
        <w:rPr>
          <w:rFonts w:ascii="宋体" w:hAnsi="宋体" w:cs="宋体"/>
          <w:bCs/>
          <w:color w:val="auto"/>
          <w:sz w:val="24"/>
          <w:highlight w:val="none"/>
        </w:rPr>
        <w:t>/</w:t>
      </w:r>
      <w:r>
        <w:rPr>
          <w:rFonts w:hint="eastAsia" w:ascii="宋体" w:hAnsi="宋体" w:cs="宋体"/>
          <w:bCs/>
          <w:color w:val="auto"/>
          <w:sz w:val="24"/>
          <w:highlight w:val="none"/>
        </w:rPr>
        <w:t>发包通知书</w:t>
      </w:r>
      <w:r>
        <w:rPr>
          <w:rFonts w:ascii="宋体" w:hAnsi="宋体" w:cs="宋体"/>
          <w:bCs/>
          <w:color w:val="auto"/>
          <w:sz w:val="24"/>
          <w:highlight w:val="none"/>
        </w:rPr>
        <w:t>/</w:t>
      </w:r>
      <w:r>
        <w:rPr>
          <w:rFonts w:hint="eastAsia" w:ascii="宋体" w:hAnsi="宋体" w:cs="宋体"/>
          <w:bCs/>
          <w:color w:val="auto"/>
          <w:sz w:val="24"/>
          <w:highlight w:val="none"/>
          <w:lang w:val="en-US" w:eastAsia="zh-CN"/>
        </w:rPr>
        <w:t>成交通知书/</w:t>
      </w:r>
      <w:r>
        <w:rPr>
          <w:rFonts w:hint="eastAsia" w:ascii="宋体" w:hAnsi="宋体" w:cs="宋体"/>
          <w:bCs/>
          <w:color w:val="auto"/>
          <w:sz w:val="24"/>
          <w:highlight w:val="none"/>
        </w:rPr>
        <w:t>委托函；</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⑷招标文件</w:t>
      </w:r>
      <w:r>
        <w:rPr>
          <w:rFonts w:ascii="宋体" w:hAnsi="宋体" w:cs="宋体"/>
          <w:bCs/>
          <w:color w:val="auto"/>
          <w:sz w:val="24"/>
          <w:highlight w:val="none"/>
        </w:rPr>
        <w:t>/</w:t>
      </w:r>
      <w:r>
        <w:rPr>
          <w:rFonts w:hint="eastAsia" w:ascii="宋体" w:hAnsi="宋体" w:cs="宋体"/>
          <w:bCs/>
          <w:color w:val="auto"/>
          <w:sz w:val="24"/>
          <w:highlight w:val="none"/>
        </w:rPr>
        <w:t>询价文件；</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⑸投标文件</w:t>
      </w:r>
      <w:r>
        <w:rPr>
          <w:rFonts w:ascii="宋体" w:hAnsi="宋体" w:cs="宋体"/>
          <w:bCs/>
          <w:color w:val="auto"/>
          <w:sz w:val="24"/>
          <w:highlight w:val="none"/>
        </w:rPr>
        <w:t>/</w:t>
      </w:r>
      <w:r>
        <w:rPr>
          <w:rFonts w:hint="eastAsia" w:ascii="宋体" w:hAnsi="宋体" w:cs="宋体"/>
          <w:bCs/>
          <w:color w:val="auto"/>
          <w:sz w:val="24"/>
          <w:highlight w:val="none"/>
        </w:rPr>
        <w:t>响应文件；</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⑹标准、规范及有关技术性文件；</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⑺图纸；</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⑻工程量清单</w:t>
      </w:r>
      <w:r>
        <w:rPr>
          <w:rFonts w:ascii="宋体" w:hAnsi="宋体" w:cs="宋体"/>
          <w:bCs/>
          <w:color w:val="auto"/>
          <w:sz w:val="24"/>
          <w:highlight w:val="none"/>
        </w:rPr>
        <w:t>/</w:t>
      </w:r>
      <w:r>
        <w:rPr>
          <w:rFonts w:hint="eastAsia" w:ascii="宋体" w:hAnsi="宋体" w:cs="宋体"/>
          <w:color w:val="auto"/>
          <w:sz w:val="24"/>
          <w:highlight w:val="none"/>
        </w:rPr>
        <w:t>工程报价单或预算书；</w:t>
      </w:r>
    </w:p>
    <w:p>
      <w:pPr>
        <w:spacing w:line="360" w:lineRule="auto"/>
        <w:ind w:firstLine="540"/>
        <w:rPr>
          <w:rFonts w:asciiTheme="minorEastAsia" w:hAnsiTheme="minorEastAsia" w:eastAsiaTheme="minorEastAsia" w:cstheme="minorEastAsia"/>
          <w:color w:val="auto"/>
          <w:sz w:val="24"/>
          <w:highlight w:val="none"/>
        </w:rPr>
      </w:pPr>
      <w:r>
        <w:rPr>
          <w:rFonts w:hint="eastAsia" w:ascii="宋体" w:hAnsi="宋体" w:cs="宋体"/>
          <w:bCs/>
          <w:color w:val="auto"/>
          <w:sz w:val="24"/>
          <w:highlight w:val="none"/>
        </w:rPr>
        <w:t>⑼本合同其他附件；</w:t>
      </w:r>
    </w:p>
    <w:p>
      <w:pPr>
        <w:numPr>
          <w:ilvl w:val="255"/>
          <w:numId w:val="0"/>
        </w:numPr>
        <w:spacing w:line="360" w:lineRule="auto"/>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bCs/>
          <w:color w:val="auto"/>
          <w:sz w:val="24"/>
          <w:highlight w:val="none"/>
        </w:rPr>
        <w:t>第二条</w:t>
      </w:r>
      <w:r>
        <w:rPr>
          <w:rFonts w:hint="eastAsia" w:asciiTheme="minorEastAsia" w:hAnsiTheme="minorEastAsia" w:eastAsiaTheme="minorEastAsia" w:cstheme="minorEastAsia"/>
          <w:b/>
          <w:color w:val="auto"/>
          <w:sz w:val="24"/>
          <w:highlight w:val="none"/>
        </w:rPr>
        <w:t>工程概况</w:t>
      </w:r>
    </w:p>
    <w:p>
      <w:pPr>
        <w:spacing w:line="360" w:lineRule="auto"/>
        <w:ind w:firstLine="480" w:firstLineChars="200"/>
        <w:rPr>
          <w:rFonts w:hint="eastAsia" w:ascii="宋体" w:hAnsi="宋体" w:cs="宋体"/>
          <w:color w:val="auto"/>
          <w:sz w:val="24"/>
          <w:highlight w:val="none"/>
          <w:u w:val="single"/>
        </w:rPr>
      </w:pPr>
      <w:r>
        <w:rPr>
          <w:rFonts w:hint="eastAsia" w:asciiTheme="minorEastAsia" w:hAnsiTheme="minorEastAsia" w:eastAsiaTheme="minorEastAsia" w:cstheme="minorEastAsia"/>
          <w:color w:val="auto"/>
          <w:sz w:val="24"/>
          <w:highlight w:val="none"/>
        </w:rPr>
        <w:t>工程地点：</w:t>
      </w:r>
      <w:r>
        <w:rPr>
          <w:rFonts w:hint="eastAsia" w:ascii="宋体" w:hAnsi="宋体" w:cs="宋体"/>
          <w:color w:val="auto"/>
          <w:sz w:val="24"/>
          <w:highlight w:val="none"/>
          <w:u w:val="single"/>
        </w:rPr>
        <w:t xml:space="preserve">广州市白云区钟落潭镇竹二路兰桂街100号 </w:t>
      </w:r>
    </w:p>
    <w:p>
      <w:pPr>
        <w:pStyle w:val="51"/>
        <w:keepNext w:val="0"/>
        <w:keepLines w:val="0"/>
        <w:widowControl w:val="0"/>
        <w:shd w:val="clear" w:color="auto" w:fill="auto"/>
        <w:bidi w:val="0"/>
        <w:spacing w:before="0" w:after="0" w:line="624" w:lineRule="exact"/>
        <w:ind w:left="0" w:leftChars="0" w:right="0" w:firstLine="480" w:firstLineChars="200"/>
        <w:jc w:val="both"/>
        <w:rPr>
          <w:rFonts w:hint="eastAsia" w:ascii="宋体" w:hAnsi="宋体" w:cs="宋体" w:eastAsiaTheme="minorEastAsia"/>
          <w:b w:val="0"/>
          <w:bCs w:val="0"/>
          <w:i w:val="0"/>
          <w:iCs w:val="0"/>
          <w:smallCaps w:val="0"/>
          <w:strike w:val="0"/>
          <w:color w:val="auto"/>
          <w:spacing w:val="0"/>
          <w:w w:val="100"/>
          <w:position w:val="0"/>
          <w:sz w:val="24"/>
          <w:szCs w:val="22"/>
          <w:highlight w:val="none"/>
          <w:lang w:val="en-US" w:eastAsia="zh-CN"/>
        </w:rPr>
      </w:pPr>
      <w:r>
        <w:rPr>
          <w:rFonts w:hint="eastAsia" w:asciiTheme="minorEastAsia" w:hAnsiTheme="minorEastAsia" w:eastAsiaTheme="minorEastAsia" w:cstheme="minorEastAsia"/>
          <w:color w:val="auto"/>
          <w:sz w:val="24"/>
          <w:highlight w:val="none"/>
        </w:rPr>
        <w:t>工程内容：</w:t>
      </w:r>
      <w:r>
        <w:rPr>
          <w:rFonts w:hint="eastAsia" w:ascii="宋体" w:hAnsi="宋体" w:cs="宋体" w:eastAsiaTheme="minorEastAsia"/>
          <w:b w:val="0"/>
          <w:bCs w:val="0"/>
          <w:color w:val="auto"/>
          <w:sz w:val="24"/>
          <w:szCs w:val="22"/>
          <w:highlight w:val="none"/>
          <w:lang w:val="en-US" w:eastAsia="zh-CN"/>
        </w:rPr>
        <w:t>本项目</w:t>
      </w:r>
      <w:r>
        <w:rPr>
          <w:rFonts w:hint="eastAsia" w:cs="宋体" w:eastAsiaTheme="minorEastAsia"/>
          <w:b w:val="0"/>
          <w:bCs w:val="0"/>
          <w:color w:val="auto"/>
          <w:sz w:val="24"/>
          <w:szCs w:val="22"/>
          <w:highlight w:val="none"/>
          <w:u w:val="single"/>
          <w:lang w:val="en-US" w:eastAsia="zh-CN"/>
        </w:rPr>
        <w:t>对</w:t>
      </w:r>
      <w:r>
        <w:rPr>
          <w:rFonts w:hint="eastAsia" w:ascii="宋体" w:hAnsi="宋体" w:cs="宋体" w:eastAsiaTheme="minorEastAsia"/>
          <w:b w:val="0"/>
          <w:bCs w:val="0"/>
          <w:i w:val="0"/>
          <w:iCs w:val="0"/>
          <w:smallCaps w:val="0"/>
          <w:strike w:val="0"/>
          <w:color w:val="auto"/>
          <w:spacing w:val="0"/>
          <w:w w:val="100"/>
          <w:position w:val="0"/>
          <w:sz w:val="24"/>
          <w:szCs w:val="22"/>
          <w:highlight w:val="none"/>
          <w:lang w:val="en-US" w:eastAsia="zh-CN"/>
        </w:rPr>
        <w:t>一期反应池南池及扩建北池2条分次进行排空，清理反应池淤泥、积砂预计700</w:t>
      </w:r>
      <w:r>
        <w:rPr>
          <w:rFonts w:hint="eastAsia" w:hAnsi="宋体" w:cs="宋体" w:eastAsiaTheme="minorEastAsia"/>
          <w:bCs w:val="0"/>
          <w:color w:val="auto"/>
          <w:sz w:val="24"/>
          <w:szCs w:val="22"/>
          <w:highlight w:val="none"/>
          <w:lang w:val="en-US" w:eastAsia="zh-CN"/>
        </w:rPr>
        <w:t>m</w:t>
      </w:r>
      <w:r>
        <w:rPr>
          <w:rFonts w:hint="eastAsia" w:hAnsi="宋体" w:cs="宋体" w:eastAsiaTheme="minorEastAsia"/>
          <w:bCs w:val="0"/>
          <w:color w:val="auto"/>
          <w:sz w:val="24"/>
          <w:szCs w:val="22"/>
          <w:highlight w:val="none"/>
          <w:vertAlign w:val="baseline"/>
          <w:lang w:val="en-US" w:eastAsia="zh-CN"/>
        </w:rPr>
        <w:t>3</w:t>
      </w:r>
      <w:r>
        <w:rPr>
          <w:rFonts w:hint="eastAsia" w:ascii="宋体" w:hAnsi="宋体" w:cs="宋体" w:eastAsiaTheme="minorEastAsia"/>
          <w:b w:val="0"/>
          <w:bCs w:val="0"/>
          <w:i w:val="0"/>
          <w:iCs w:val="0"/>
          <w:smallCaps w:val="0"/>
          <w:strike w:val="0"/>
          <w:color w:val="auto"/>
          <w:spacing w:val="0"/>
          <w:w w:val="100"/>
          <w:position w:val="0"/>
          <w:sz w:val="24"/>
          <w:szCs w:val="22"/>
          <w:highlight w:val="none"/>
          <w:lang w:val="en-US" w:eastAsia="zh-CN"/>
        </w:rPr>
        <w:t>（其中一期南350</w:t>
      </w:r>
      <w:r>
        <w:rPr>
          <w:rFonts w:hint="eastAsia" w:hAnsi="宋体" w:cs="宋体" w:eastAsiaTheme="minorEastAsia"/>
          <w:bCs w:val="0"/>
          <w:color w:val="auto"/>
          <w:sz w:val="24"/>
          <w:szCs w:val="22"/>
          <w:highlight w:val="none"/>
          <w:lang w:val="en-US" w:eastAsia="zh-CN"/>
        </w:rPr>
        <w:t>m</w:t>
      </w:r>
      <w:r>
        <w:rPr>
          <w:rFonts w:hint="eastAsia" w:hAnsi="宋体" w:cs="宋体" w:eastAsiaTheme="minorEastAsia"/>
          <w:bCs w:val="0"/>
          <w:color w:val="auto"/>
          <w:sz w:val="24"/>
          <w:szCs w:val="22"/>
          <w:highlight w:val="none"/>
          <w:vertAlign w:val="baseline"/>
          <w:lang w:val="en-US" w:eastAsia="zh-CN"/>
        </w:rPr>
        <w:t>3</w:t>
      </w:r>
      <w:r>
        <w:rPr>
          <w:rFonts w:hint="eastAsia" w:ascii="宋体" w:hAnsi="宋体" w:cs="宋体" w:eastAsiaTheme="minorEastAsia"/>
          <w:b w:val="0"/>
          <w:bCs w:val="0"/>
          <w:i w:val="0"/>
          <w:iCs w:val="0"/>
          <w:smallCaps w:val="0"/>
          <w:strike w:val="0"/>
          <w:color w:val="auto"/>
          <w:spacing w:val="0"/>
          <w:w w:val="100"/>
          <w:position w:val="0"/>
          <w:sz w:val="24"/>
          <w:szCs w:val="22"/>
          <w:highlight w:val="none"/>
          <w:lang w:val="en-US" w:eastAsia="zh-CN"/>
        </w:rPr>
        <w:t>，扩建北350</w:t>
      </w:r>
      <w:r>
        <w:rPr>
          <w:rFonts w:hint="eastAsia" w:hAnsi="宋体" w:cs="宋体" w:eastAsiaTheme="minorEastAsia"/>
          <w:bCs w:val="0"/>
          <w:color w:val="auto"/>
          <w:sz w:val="24"/>
          <w:szCs w:val="22"/>
          <w:highlight w:val="none"/>
          <w:lang w:val="en-US" w:eastAsia="zh-CN"/>
        </w:rPr>
        <w:t>m</w:t>
      </w:r>
      <w:r>
        <w:rPr>
          <w:rFonts w:hint="eastAsia" w:hAnsi="宋体" w:cs="宋体" w:eastAsiaTheme="minorEastAsia"/>
          <w:bCs w:val="0"/>
          <w:color w:val="auto"/>
          <w:sz w:val="24"/>
          <w:szCs w:val="22"/>
          <w:highlight w:val="none"/>
          <w:vertAlign w:val="baseline"/>
          <w:lang w:val="en-US" w:eastAsia="zh-CN"/>
        </w:rPr>
        <w:t>3</w:t>
      </w:r>
      <w:r>
        <w:rPr>
          <w:rFonts w:hint="eastAsia" w:ascii="宋体" w:hAnsi="宋体" w:cs="宋体" w:eastAsiaTheme="minorEastAsia"/>
          <w:b w:val="0"/>
          <w:bCs w:val="0"/>
          <w:i w:val="0"/>
          <w:iCs w:val="0"/>
          <w:smallCaps w:val="0"/>
          <w:strike w:val="0"/>
          <w:color w:val="auto"/>
          <w:spacing w:val="0"/>
          <w:w w:val="100"/>
          <w:position w:val="0"/>
          <w:sz w:val="24"/>
          <w:szCs w:val="22"/>
          <w:highlight w:val="none"/>
          <w:lang w:val="en-US" w:eastAsia="zh-CN"/>
        </w:rPr>
        <w:t>）。主要采用砂泵结合人力收集清理，人工在池内分区域收集沉砂，利用砂泵将沉砂和水一起抽出池外，再将沉砂进行沉淀的方法进行清淤。</w:t>
      </w:r>
    </w:p>
    <w:p>
      <w:pPr>
        <w:spacing w:line="360" w:lineRule="auto"/>
        <w:ind w:firstLine="480" w:firstLineChars="200"/>
        <w:rPr>
          <w:rFonts w:hint="default" w:asciiTheme="minorEastAsia" w:hAnsiTheme="minorEastAsia" w:eastAsiaTheme="minorEastAsia" w:cstheme="minorEastAsia"/>
          <w:color w:val="auto"/>
          <w:sz w:val="24"/>
          <w:highlight w:val="none"/>
          <w:lang w:val="en-US" w:eastAsia="zh-CN"/>
        </w:rPr>
      </w:pPr>
    </w:p>
    <w:p>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本合同的承包范围应包括且不限于：提供所有需要的机械及其他设施、人工、清理处置工程产生的垃圾及淤泥、完成合同约定的工作内容。</w:t>
      </w:r>
    </w:p>
    <w:p>
      <w:pPr>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bCs/>
          <w:color w:val="auto"/>
          <w:sz w:val="24"/>
          <w:highlight w:val="none"/>
        </w:rPr>
        <w:t>第三条</w:t>
      </w:r>
      <w:r>
        <w:rPr>
          <w:rFonts w:hint="eastAsia" w:asciiTheme="minorEastAsia" w:hAnsiTheme="minorEastAsia" w:eastAsiaTheme="minorEastAsia" w:cstheme="minorEastAsia"/>
          <w:b/>
          <w:color w:val="auto"/>
          <w:sz w:val="24"/>
          <w:highlight w:val="none"/>
        </w:rPr>
        <w:t>工程承包和结算方式</w:t>
      </w:r>
    </w:p>
    <w:p>
      <w:pPr>
        <w:pStyle w:val="50"/>
        <w:snapToGrid w:val="0"/>
        <w:spacing w:before="0" w:after="0" w:line="360" w:lineRule="auto"/>
        <w:ind w:left="0" w:right="0" w:firstLine="480"/>
        <w:rPr>
          <w:rFonts w:asciiTheme="minorEastAsia" w:hAnsiTheme="minorEastAsia" w:eastAsiaTheme="minorEastAsia"/>
          <w:color w:val="auto"/>
          <w:kern w:val="2"/>
          <w:szCs w:val="24"/>
          <w:highlight w:val="none"/>
          <w:shd w:val="clear" w:color="auto" w:fill="FFFFFF"/>
        </w:rPr>
      </w:pPr>
      <w:r>
        <w:rPr>
          <w:rFonts w:asciiTheme="minorEastAsia" w:hAnsiTheme="minorEastAsia" w:eastAsiaTheme="minorEastAsia" w:cstheme="minorEastAsia"/>
          <w:color w:val="auto"/>
          <w:szCs w:val="24"/>
          <w:highlight w:val="none"/>
        </w:rPr>
        <w:t xml:space="preserve">3.1 </w:t>
      </w:r>
      <w:r>
        <w:rPr>
          <w:rFonts w:hint="eastAsia" w:asciiTheme="minorEastAsia" w:hAnsiTheme="minorEastAsia" w:eastAsiaTheme="minorEastAsia" w:cstheme="minorEastAsia"/>
          <w:color w:val="auto"/>
          <w:szCs w:val="24"/>
          <w:highlight w:val="none"/>
        </w:rPr>
        <w:t>本合同综合包干单价为</w:t>
      </w:r>
      <w:r>
        <w:rPr>
          <w:rFonts w:hint="eastAsia" w:asciiTheme="minorEastAsia" w:hAnsiTheme="minorEastAsia" w:eastAsiaTheme="minorEastAsia" w:cstheme="minorEastAsia"/>
          <w:color w:val="auto"/>
          <w:szCs w:val="24"/>
          <w:highlight w:val="none"/>
          <w:u w:val="single"/>
          <w:lang w:val="en-US" w:eastAsia="zh-CN"/>
        </w:rPr>
        <w:t xml:space="preserve">  …  </w:t>
      </w:r>
      <w:r>
        <w:rPr>
          <w:rFonts w:hint="eastAsia" w:asciiTheme="minorEastAsia" w:hAnsiTheme="minorEastAsia" w:eastAsiaTheme="minorEastAsia" w:cstheme="minorEastAsia"/>
          <w:b/>
          <w:color w:val="auto"/>
          <w:szCs w:val="24"/>
          <w:highlight w:val="none"/>
        </w:rPr>
        <w:t>元</w:t>
      </w:r>
      <w:r>
        <w:rPr>
          <w:rFonts w:asciiTheme="minorEastAsia" w:hAnsiTheme="minorEastAsia" w:eastAsiaTheme="minorEastAsia" w:cstheme="minorEastAsia"/>
          <w:b/>
          <w:color w:val="auto"/>
          <w:szCs w:val="24"/>
          <w:highlight w:val="none"/>
        </w:rPr>
        <w:t>/m</w:t>
      </w:r>
      <w:r>
        <w:rPr>
          <w:rFonts w:asciiTheme="minorEastAsia" w:hAnsiTheme="minorEastAsia" w:eastAsiaTheme="minorEastAsia" w:cstheme="minorEastAsia"/>
          <w:b/>
          <w:color w:val="auto"/>
          <w:szCs w:val="24"/>
          <w:highlight w:val="none"/>
          <w:vertAlign w:val="superscript"/>
        </w:rPr>
        <w:t>3</w:t>
      </w:r>
      <w:r>
        <w:rPr>
          <w:rFonts w:hint="eastAsia" w:asciiTheme="minorEastAsia" w:hAnsiTheme="minorEastAsia" w:eastAsiaTheme="minorEastAsia" w:cstheme="minorEastAsia"/>
          <w:b/>
          <w:color w:val="auto"/>
          <w:szCs w:val="24"/>
          <w:highlight w:val="none"/>
        </w:rPr>
        <w:t>，</w:t>
      </w:r>
      <w:r>
        <w:rPr>
          <w:rFonts w:hint="eastAsia" w:asciiTheme="minorEastAsia" w:hAnsiTheme="minorEastAsia" w:eastAsiaTheme="minorEastAsia" w:cstheme="minorEastAsia"/>
          <w:color w:val="auto"/>
          <w:szCs w:val="24"/>
          <w:highlight w:val="none"/>
        </w:rPr>
        <w:t>包工、包质量、包工期、包安全、包文明施工、包验收，项目措施费包干。因清运淤泥垃圾所需办理的相关手续及费用由乙方负责。</w:t>
      </w:r>
      <w:r>
        <w:rPr>
          <w:rFonts w:hint="eastAsia" w:ascii="宋体" w:hAnsi="宋体" w:cs="宋体"/>
          <w:color w:val="auto"/>
          <w:szCs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spacing w:line="360" w:lineRule="auto"/>
        <w:ind w:firstLine="480" w:firstLineChars="200"/>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3.2</w:t>
      </w:r>
      <w:r>
        <w:rPr>
          <w:rFonts w:hint="eastAsia" w:asciiTheme="minorEastAsia" w:hAnsiTheme="minorEastAsia" w:eastAsiaTheme="minorEastAsia" w:cstheme="minorEastAsia"/>
          <w:color w:val="auto"/>
          <w:sz w:val="24"/>
          <w:highlight w:val="none"/>
        </w:rPr>
        <w:t>本合同根据清淤工程量按实结算。合同结算价以甲方或甲方委托的第三方审核为准。若结算审核价超合同暂定总价，双方另行签订补充协议。</w:t>
      </w:r>
    </w:p>
    <w:p>
      <w:pPr>
        <w:spacing w:line="360" w:lineRule="auto"/>
        <w:ind w:firstLine="482" w:firstLineChars="200"/>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bCs/>
          <w:color w:val="auto"/>
          <w:sz w:val="24"/>
          <w:highlight w:val="none"/>
        </w:rPr>
        <w:t>第四条</w:t>
      </w:r>
      <w:r>
        <w:rPr>
          <w:rFonts w:hint="eastAsia" w:asciiTheme="minorEastAsia" w:hAnsiTheme="minorEastAsia" w:eastAsiaTheme="minorEastAsia" w:cstheme="minorEastAsia"/>
          <w:b/>
          <w:color w:val="auto"/>
          <w:sz w:val="24"/>
          <w:highlight w:val="none"/>
        </w:rPr>
        <w:t>合同价及支付方式</w:t>
      </w:r>
    </w:p>
    <w:p>
      <w:pPr>
        <w:tabs>
          <w:tab w:val="left" w:pos="851"/>
        </w:tabs>
        <w:adjustRightInd w:val="0"/>
        <w:snapToGrid w:val="0"/>
        <w:spacing w:line="384"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4.1</w:t>
      </w:r>
      <w:r>
        <w:rPr>
          <w:rFonts w:hint="eastAsia" w:asciiTheme="minorEastAsia" w:hAnsiTheme="minorEastAsia" w:eastAsiaTheme="minorEastAsia" w:cstheme="minorEastAsia"/>
          <w:color w:val="auto"/>
          <w:sz w:val="24"/>
          <w:highlight w:val="none"/>
        </w:rPr>
        <w:t>合同暂定总价为</w:t>
      </w:r>
      <w:r>
        <w:rPr>
          <w:rFonts w:hint="eastAsia" w:asciiTheme="minorEastAsia" w:hAnsiTheme="minorEastAsia" w:eastAsiaTheme="minorEastAsia" w:cstheme="minorEastAsia"/>
          <w:color w:val="auto"/>
          <w:sz w:val="24"/>
          <w:highlight w:val="none"/>
          <w:u w:val="single"/>
          <w:lang w:val="en-US" w:eastAsia="zh-CN"/>
        </w:rPr>
        <w:t xml:space="preserve">   …  </w:t>
      </w:r>
      <w:r>
        <w:rPr>
          <w:rFonts w:hint="eastAsia" w:asciiTheme="minorEastAsia" w:hAnsiTheme="minorEastAsia" w:eastAsiaTheme="minorEastAsia" w:cstheme="minorEastAsia"/>
          <w:b/>
          <w:color w:val="auto"/>
          <w:sz w:val="24"/>
          <w:highlight w:val="none"/>
          <w:u w:val="single"/>
        </w:rPr>
        <w:t>人民币元</w:t>
      </w:r>
      <w:r>
        <w:rPr>
          <w:rFonts w:hint="eastAsia" w:asciiTheme="minorEastAsia" w:hAnsiTheme="minorEastAsia" w:eastAsiaTheme="minorEastAsia" w:cstheme="minorEastAsia"/>
          <w:color w:val="auto"/>
          <w:sz w:val="24"/>
          <w:highlight w:val="none"/>
        </w:rPr>
        <w:t>（大写：</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w:t>
      </w:r>
    </w:p>
    <w:p>
      <w:pPr>
        <w:tabs>
          <w:tab w:val="left" w:pos="851"/>
        </w:tabs>
        <w:adjustRightInd w:val="0"/>
        <w:snapToGrid w:val="0"/>
        <w:spacing w:line="384" w:lineRule="auto"/>
        <w:ind w:firstLine="480" w:firstLineChars="200"/>
        <w:rPr>
          <w:rFonts w:asciiTheme="minorEastAsia" w:hAnsiTheme="minorEastAsia" w:eastAsiaTheme="minorEastAsia" w:cstheme="minorEastAsia"/>
          <w:color w:val="auto"/>
          <w:sz w:val="24"/>
          <w:highlight w:val="none"/>
        </w:rPr>
      </w:pPr>
      <w:r>
        <w:rPr>
          <w:rFonts w:hint="eastAsia" w:ascii="宋体" w:hAnsi="宋体" w:cs="宋体"/>
          <w:color w:val="auto"/>
          <w:kern w:val="0"/>
          <w:sz w:val="24"/>
          <w:highlight w:val="none"/>
        </w:rPr>
        <w:t>本合同约定的价格为含税价价格</w:t>
      </w:r>
      <w:r>
        <w:rPr>
          <w:rFonts w:hint="eastAsia" w:ascii="宋体" w:hAnsi="宋体" w:cs="宋体"/>
          <w:color w:val="auto"/>
          <w:sz w:val="24"/>
          <w:highlight w:val="none"/>
        </w:rPr>
        <w:t>（税率</w:t>
      </w:r>
      <w:r>
        <w:rPr>
          <w:rFonts w:ascii="宋体" w:hAnsi="宋体" w:cs="宋体"/>
          <w:color w:val="auto"/>
          <w:sz w:val="24"/>
          <w:highlight w:val="none"/>
          <w:u w:val="single"/>
        </w:rPr>
        <w:t xml:space="preserve">    %</w:t>
      </w:r>
      <w:r>
        <w:rPr>
          <w:rFonts w:hint="eastAsia" w:ascii="宋体" w:hAnsi="宋体" w:cs="宋体"/>
          <w:color w:val="auto"/>
          <w:sz w:val="24"/>
          <w:highlight w:val="none"/>
        </w:rPr>
        <w:t>），合同履行期间国家税率调整或乙方开票的实际税率与前述税率不一致的，不含税价不变，价税合计按实际税率相应调整，以开具发票时间为准。</w:t>
      </w:r>
    </w:p>
    <w:p>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4.2</w:t>
      </w:r>
      <w:r>
        <w:rPr>
          <w:rFonts w:hint="eastAsia" w:asciiTheme="minorEastAsia" w:hAnsiTheme="minorEastAsia" w:eastAsiaTheme="minorEastAsia" w:cstheme="minorEastAsia"/>
          <w:color w:val="auto"/>
          <w:sz w:val="24"/>
          <w:highlight w:val="none"/>
        </w:rPr>
        <w:t>合同按</w:t>
      </w:r>
      <w:r>
        <w:rPr>
          <w:rFonts w:asciiTheme="minorEastAsia" w:hAnsiTheme="minorEastAsia" w:eastAsiaTheme="minorEastAsia" w:cstheme="minorEastAsia"/>
          <w:color w:val="auto"/>
          <w:sz w:val="24"/>
          <w:highlight w:val="none"/>
        </w:rPr>
        <w:sym w:font="Wingdings" w:char="00A8"/>
      </w:r>
      <w:r>
        <w:rPr>
          <w:rFonts w:hint="eastAsia" w:asciiTheme="minorEastAsia" w:hAnsiTheme="minorEastAsia" w:eastAsiaTheme="minorEastAsia" w:cstheme="minorEastAsia"/>
          <w:color w:val="auto"/>
          <w:sz w:val="24"/>
          <w:highlight w:val="none"/>
        </w:rPr>
        <w:t>财政资金集中支付</w:t>
      </w:r>
      <w:r>
        <w:rPr>
          <w:rFonts w:asciiTheme="minorEastAsia" w:hAnsiTheme="minorEastAsia" w:eastAsiaTheme="minorEastAsia" w:cstheme="minorEastAsia"/>
          <w:color w:val="auto"/>
          <w:sz w:val="24"/>
          <w:highlight w:val="none"/>
        </w:rPr>
        <w:t>/</w:t>
      </w:r>
      <w:r>
        <w:rPr>
          <w:rFonts w:asciiTheme="minorEastAsia" w:hAnsiTheme="minorEastAsia" w:eastAsiaTheme="minorEastAsia" w:cstheme="minorEastAsia"/>
          <w:color w:val="auto"/>
          <w:sz w:val="24"/>
          <w:highlight w:val="none"/>
        </w:rPr>
        <w:sym w:font="Wingdings" w:char="00A8"/>
      </w:r>
      <w:r>
        <w:rPr>
          <w:rFonts w:hint="eastAsia" w:asciiTheme="minorEastAsia" w:hAnsiTheme="minorEastAsia" w:eastAsiaTheme="minorEastAsia" w:cstheme="minorEastAsia"/>
          <w:color w:val="auto"/>
          <w:sz w:val="24"/>
          <w:highlight w:val="none"/>
        </w:rPr>
        <w:t>财务支付程序办理支付。</w:t>
      </w:r>
    </w:p>
    <w:p>
      <w:pPr>
        <w:spacing w:line="360" w:lineRule="auto"/>
        <w:ind w:firstLine="480" w:firstLineChars="200"/>
        <w:rPr>
          <w:rFonts w:asciiTheme="minorEastAsia" w:hAnsiTheme="minorEastAsia" w:eastAsiaTheme="minorEastAsia" w:cstheme="minorEastAsia"/>
          <w:color w:val="auto"/>
          <w:sz w:val="24"/>
          <w:highlight w:val="none"/>
          <w:u w:val="single"/>
        </w:rPr>
      </w:pPr>
      <w:r>
        <w:rPr>
          <w:rFonts w:asciiTheme="minorEastAsia" w:hAnsiTheme="minorEastAsia" w:eastAsiaTheme="minorEastAsia" w:cstheme="minorEastAsia"/>
          <w:bCs/>
          <w:color w:val="auto"/>
          <w:sz w:val="24"/>
          <w:highlight w:val="none"/>
        </w:rPr>
        <w:t>4.</w:t>
      </w:r>
      <w:r>
        <w:rPr>
          <w:rFonts w:hint="eastAsia" w:asciiTheme="minorEastAsia" w:hAnsiTheme="minorEastAsia" w:eastAsiaTheme="minorEastAsia" w:cstheme="minorEastAsia"/>
          <w:bCs/>
          <w:color w:val="auto"/>
          <w:sz w:val="24"/>
          <w:highlight w:val="none"/>
          <w:lang w:val="en-US" w:eastAsia="zh-CN"/>
        </w:rPr>
        <w:t>3</w:t>
      </w:r>
      <w:r>
        <w:rPr>
          <w:rFonts w:hint="eastAsia" w:asciiTheme="minorEastAsia" w:hAnsiTheme="minorEastAsia" w:eastAsiaTheme="minorEastAsia" w:cstheme="minorEastAsia"/>
          <w:bCs/>
          <w:color w:val="auto"/>
          <w:sz w:val="24"/>
          <w:highlight w:val="none"/>
        </w:rPr>
        <w:t>预付款的支付：</w:t>
      </w:r>
      <w:r>
        <w:rPr>
          <w:rFonts w:asciiTheme="minorEastAsia" w:hAnsiTheme="minorEastAsia" w:eastAsiaTheme="minorEastAsia" w:cstheme="minorEastAsia"/>
          <w:color w:val="auto"/>
          <w:sz w:val="24"/>
          <w:highlight w:val="none"/>
        </w:rPr>
        <w:sym w:font="Wingdings" w:char="00A8"/>
      </w:r>
      <w:r>
        <w:rPr>
          <w:rFonts w:hint="eastAsia" w:asciiTheme="minorEastAsia" w:hAnsiTheme="minorEastAsia" w:eastAsiaTheme="minorEastAsia" w:cstheme="minorEastAsia"/>
          <w:bCs/>
          <w:color w:val="auto"/>
          <w:sz w:val="24"/>
          <w:highlight w:val="none"/>
        </w:rPr>
        <w:t>无；</w:t>
      </w:r>
      <w:r>
        <w:rPr>
          <w:rFonts w:asciiTheme="minorEastAsia" w:hAnsiTheme="minorEastAsia" w:eastAsiaTheme="minorEastAsia" w:cstheme="minorEastAsia"/>
          <w:color w:val="auto"/>
          <w:sz w:val="24"/>
          <w:highlight w:val="none"/>
        </w:rPr>
        <w:sym w:font="Wingdings" w:char="00FE"/>
      </w:r>
      <w:r>
        <w:rPr>
          <w:rFonts w:hint="eastAsia" w:asciiTheme="minorEastAsia" w:hAnsiTheme="minorEastAsia" w:eastAsiaTheme="minorEastAsia" w:cstheme="minorEastAsia"/>
          <w:color w:val="auto"/>
          <w:sz w:val="24"/>
          <w:highlight w:val="none"/>
        </w:rPr>
        <w:t>有,</w:t>
      </w:r>
      <w:r>
        <w:rPr>
          <w:rFonts w:hint="eastAsia" w:ascii="宋体" w:hAnsi="宋体"/>
          <w:bCs/>
          <w:color w:val="auto"/>
          <w:sz w:val="24"/>
          <w:highlight w:val="none"/>
        </w:rPr>
        <w:t>合同签订后，乙方开具等额的增值税专用发票</w:t>
      </w:r>
      <w:r>
        <w:rPr>
          <w:rFonts w:hint="eastAsia" w:ascii="宋体" w:hAnsi="宋体"/>
          <w:bCs/>
          <w:color w:val="auto"/>
          <w:sz w:val="24"/>
          <w:highlight w:val="none"/>
          <w:lang w:eastAsia="zh-CN"/>
        </w:rPr>
        <w:t>，</w:t>
      </w:r>
      <w:r>
        <w:rPr>
          <w:rFonts w:hint="eastAsia" w:ascii="宋体" w:hAnsi="宋体" w:cs="宋体"/>
          <w:bCs/>
          <w:color w:val="auto"/>
          <w:sz w:val="24"/>
          <w:highlight w:val="none"/>
        </w:rPr>
        <w:t>履约担保</w:t>
      </w:r>
      <w:r>
        <w:rPr>
          <w:rFonts w:hint="eastAsia" w:ascii="宋体" w:hAnsi="宋体" w:cs="宋体"/>
          <w:bCs/>
          <w:color w:val="auto"/>
          <w:sz w:val="24"/>
          <w:highlight w:val="none"/>
          <w:lang w:val="en-US" w:eastAsia="zh-CN"/>
        </w:rPr>
        <w:t>及对应预付款金额的预付款担保</w:t>
      </w:r>
      <w:r>
        <w:rPr>
          <w:rFonts w:hint="eastAsia" w:ascii="宋体" w:hAnsi="宋体"/>
          <w:bCs/>
          <w:color w:val="auto"/>
          <w:sz w:val="24"/>
          <w:highlight w:val="none"/>
        </w:rPr>
        <w:t>后</w:t>
      </w:r>
      <w:r>
        <w:rPr>
          <w:rFonts w:ascii="宋体" w:hAnsi="宋体"/>
          <w:bCs/>
          <w:color w:val="auto"/>
          <w:sz w:val="24"/>
          <w:highlight w:val="none"/>
          <w:u w:val="single"/>
        </w:rPr>
        <w:t>10</w:t>
      </w:r>
      <w:r>
        <w:rPr>
          <w:rFonts w:hint="eastAsia" w:ascii="宋体" w:hAnsi="宋体"/>
          <w:bCs/>
          <w:color w:val="auto"/>
          <w:sz w:val="24"/>
          <w:highlight w:val="none"/>
        </w:rPr>
        <w:t>个工作日内，</w:t>
      </w:r>
      <w:r>
        <w:rPr>
          <w:rFonts w:hint="eastAsia" w:asciiTheme="minorEastAsia" w:hAnsiTheme="minorEastAsia" w:eastAsiaTheme="minorEastAsia" w:cstheme="minorEastAsia"/>
          <w:bCs/>
          <w:color w:val="auto"/>
          <w:sz w:val="24"/>
          <w:highlight w:val="none"/>
        </w:rPr>
        <w:t>甲方支付合同暂定总价的</w:t>
      </w:r>
      <w:r>
        <w:rPr>
          <w:rFonts w:asciiTheme="minorEastAsia" w:hAnsiTheme="minorEastAsia" w:eastAsiaTheme="minorEastAsia" w:cstheme="minorEastAsia"/>
          <w:bCs/>
          <w:color w:val="auto"/>
          <w:sz w:val="24"/>
          <w:highlight w:val="none"/>
          <w:u w:val="single"/>
        </w:rPr>
        <w:t xml:space="preserve"> 30%  </w:t>
      </w:r>
      <w:r>
        <w:rPr>
          <w:rFonts w:hint="eastAsia" w:asciiTheme="minorEastAsia" w:hAnsiTheme="minorEastAsia" w:eastAsiaTheme="minorEastAsia" w:cstheme="minorEastAsia"/>
          <w:color w:val="auto"/>
          <w:sz w:val="24"/>
          <w:highlight w:val="none"/>
        </w:rPr>
        <w:t>即</w:t>
      </w:r>
      <w:r>
        <w:rPr>
          <w:rFonts w:hint="eastAsia" w:asciiTheme="minorEastAsia" w:hAnsiTheme="minorEastAsia" w:eastAsiaTheme="minorEastAsia" w:cstheme="minorEastAsia"/>
          <w:color w:val="auto"/>
          <w:sz w:val="24"/>
          <w:highlight w:val="none"/>
          <w:u w:val="single"/>
        </w:rPr>
        <w:t>元，（大写：）</w:t>
      </w:r>
      <w:r>
        <w:rPr>
          <w:rFonts w:hint="eastAsia" w:asciiTheme="minorEastAsia" w:hAnsiTheme="minorEastAsia" w:eastAsiaTheme="minorEastAsia" w:cstheme="minorEastAsia"/>
          <w:bCs/>
          <w:color w:val="auto"/>
          <w:sz w:val="24"/>
          <w:highlight w:val="none"/>
        </w:rPr>
        <w:t>作为预付款。</w:t>
      </w:r>
      <w:r>
        <w:rPr>
          <w:rFonts w:hint="eastAsia" w:cs="仿宋" w:asciiTheme="minorEastAsia" w:hAnsiTheme="minorEastAsia" w:eastAsiaTheme="minorEastAsia"/>
          <w:color w:val="auto"/>
          <w:sz w:val="24"/>
          <w:highlight w:val="none"/>
        </w:rPr>
        <w:t>若合同解除或终止，乙方在</w:t>
      </w:r>
      <w:r>
        <w:rPr>
          <w:rFonts w:cs="仿宋" w:asciiTheme="minorEastAsia" w:hAnsiTheme="minorEastAsia" w:eastAsiaTheme="minorEastAsia"/>
          <w:color w:val="auto"/>
          <w:sz w:val="24"/>
          <w:highlight w:val="none"/>
          <w:u w:val="single"/>
        </w:rPr>
        <w:t xml:space="preserve"> 5 </w:t>
      </w:r>
      <w:r>
        <w:rPr>
          <w:rFonts w:hint="eastAsia" w:cs="仿宋" w:asciiTheme="minorEastAsia" w:hAnsiTheme="minorEastAsia" w:eastAsiaTheme="minorEastAsia"/>
          <w:color w:val="auto"/>
          <w:sz w:val="24"/>
          <w:highlight w:val="none"/>
        </w:rPr>
        <w:t>个工作日内返还预付款（无息）。</w:t>
      </w:r>
      <w:r>
        <w:rPr>
          <w:rFonts w:hint="eastAsia" w:asciiTheme="minorEastAsia" w:hAnsiTheme="minorEastAsia" w:eastAsiaTheme="minorEastAsia" w:cstheme="minorEastAsia"/>
          <w:bCs/>
          <w:color w:val="auto"/>
          <w:kern w:val="0"/>
          <w:sz w:val="24"/>
          <w:highlight w:val="none"/>
        </w:rPr>
        <w:t>逾期未返还，乙方应按合同暂定总价的</w:t>
      </w:r>
      <w:r>
        <w:rPr>
          <w:rFonts w:hint="eastAsia" w:asciiTheme="minorEastAsia" w:hAnsiTheme="minorEastAsia" w:eastAsiaTheme="minorEastAsia" w:cstheme="minorEastAsia"/>
          <w:bCs/>
          <w:color w:val="auto"/>
          <w:kern w:val="0"/>
          <w:sz w:val="24"/>
          <w:highlight w:val="none"/>
          <w:u w:val="single"/>
        </w:rPr>
        <w:t>万分之五</w:t>
      </w:r>
      <w:r>
        <w:rPr>
          <w:rFonts w:asciiTheme="minorEastAsia" w:hAnsiTheme="minorEastAsia" w:eastAsiaTheme="minorEastAsia" w:cstheme="minorEastAsia"/>
          <w:bCs/>
          <w:color w:val="auto"/>
          <w:kern w:val="0"/>
          <w:sz w:val="24"/>
          <w:highlight w:val="none"/>
          <w:u w:val="single"/>
        </w:rPr>
        <w:t>/</w:t>
      </w:r>
      <w:r>
        <w:rPr>
          <w:rFonts w:hint="eastAsia" w:asciiTheme="minorEastAsia" w:hAnsiTheme="minorEastAsia" w:eastAsiaTheme="minorEastAsia" w:cstheme="minorEastAsia"/>
          <w:bCs/>
          <w:color w:val="auto"/>
          <w:kern w:val="0"/>
          <w:sz w:val="24"/>
          <w:highlight w:val="none"/>
          <w:u w:val="single"/>
        </w:rPr>
        <w:t>天</w:t>
      </w:r>
      <w:r>
        <w:rPr>
          <w:rFonts w:hint="eastAsia" w:asciiTheme="minorEastAsia" w:hAnsiTheme="minorEastAsia" w:eastAsiaTheme="minorEastAsia" w:cstheme="minorEastAsia"/>
          <w:bCs/>
          <w:color w:val="auto"/>
          <w:kern w:val="0"/>
          <w:sz w:val="24"/>
          <w:highlight w:val="none"/>
        </w:rPr>
        <w:t>支付违约金</w:t>
      </w:r>
      <w:r>
        <w:rPr>
          <w:rFonts w:hint="eastAsia" w:cs="仿宋" w:asciiTheme="minorEastAsia" w:hAnsiTheme="minorEastAsia" w:eastAsiaTheme="minorEastAsia"/>
          <w:color w:val="auto"/>
          <w:sz w:val="24"/>
          <w:highlight w:val="none"/>
        </w:rPr>
        <w:t>。</w:t>
      </w:r>
    </w:p>
    <w:p>
      <w:pPr>
        <w:pStyle w:val="11"/>
        <w:spacing w:line="360" w:lineRule="auto"/>
        <w:ind w:left="1" w:firstLine="480" w:firstLineChars="200"/>
        <w:outlineLvl w:val="1"/>
        <w:rPr>
          <w:rFonts w:asciiTheme="minorEastAsia" w:hAnsiTheme="minorEastAsia" w:eastAsiaTheme="minorEastAsia" w:cstheme="minorEastAsia"/>
          <w:color w:val="auto"/>
          <w:sz w:val="24"/>
          <w:szCs w:val="24"/>
          <w:highlight w:val="none"/>
        </w:rPr>
      </w:pPr>
      <w:r>
        <w:rPr>
          <w:rFonts w:asciiTheme="minorEastAsia" w:hAnsiTheme="minorEastAsia" w:eastAsiaTheme="minorEastAsia" w:cstheme="minorEastAsia"/>
          <w:color w:val="auto"/>
          <w:sz w:val="24"/>
          <w:szCs w:val="24"/>
          <w:highlight w:val="none"/>
        </w:rPr>
        <w:t>4.</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工程完工验收合格，经甲方或甲方委托的第三方审核后，乙方提交请款资料及等额增值税发票，甲方收到后在</w:t>
      </w:r>
      <w:r>
        <w:rPr>
          <w:rFonts w:asciiTheme="minorEastAsia" w:hAnsiTheme="minorEastAsia" w:eastAsiaTheme="minorEastAsia" w:cstheme="minorEastAsia"/>
          <w:color w:val="auto"/>
          <w:sz w:val="24"/>
          <w:szCs w:val="24"/>
          <w:highlight w:val="none"/>
          <w:u w:val="single"/>
        </w:rPr>
        <w:t xml:space="preserve"> 15 </w:t>
      </w:r>
      <w:r>
        <w:rPr>
          <w:rFonts w:hint="eastAsia" w:asciiTheme="minorEastAsia" w:hAnsiTheme="minorEastAsia" w:eastAsiaTheme="minorEastAsia" w:cstheme="minorEastAsia"/>
          <w:color w:val="auto"/>
          <w:sz w:val="24"/>
          <w:szCs w:val="24"/>
          <w:highlight w:val="none"/>
        </w:rPr>
        <w:t>个工作日内支付至合同结算价的</w:t>
      </w:r>
      <w:r>
        <w:rPr>
          <w:rFonts w:asciiTheme="minorEastAsia" w:hAnsiTheme="minorEastAsia" w:eastAsiaTheme="minorEastAsia" w:cstheme="minorEastAsia"/>
          <w:color w:val="auto"/>
          <w:sz w:val="24"/>
          <w:szCs w:val="24"/>
          <w:highlight w:val="none"/>
          <w:u w:val="single"/>
        </w:rPr>
        <w:t xml:space="preserve">100 </w:t>
      </w:r>
      <w:r>
        <w:rPr>
          <w:rFonts w:hint="eastAsia" w:asciiTheme="minorEastAsia" w:hAnsiTheme="minorEastAsia" w:eastAsiaTheme="minorEastAsia" w:cstheme="minorEastAsia"/>
          <w:color w:val="auto"/>
          <w:sz w:val="24"/>
          <w:szCs w:val="24"/>
          <w:highlight w:val="none"/>
        </w:rPr>
        <w:t>％。</w:t>
      </w:r>
    </w:p>
    <w:p>
      <w:pPr>
        <w:tabs>
          <w:tab w:val="left" w:pos="851"/>
        </w:tabs>
        <w:adjustRightInd w:val="0"/>
        <w:snapToGrid w:val="0"/>
        <w:spacing w:line="360" w:lineRule="auto"/>
        <w:ind w:firstLine="480" w:firstLineChars="200"/>
        <w:jc w:val="left"/>
        <w:outlineLvl w:val="1"/>
        <w:rPr>
          <w:rFonts w:asciiTheme="minorEastAsia" w:hAnsiTheme="minorEastAsia" w:eastAsiaTheme="minorEastAsia" w:cstheme="minorEastAsia"/>
          <w:bCs/>
          <w:color w:val="auto"/>
          <w:sz w:val="24"/>
          <w:highlight w:val="none"/>
          <w:bdr w:val="single" w:color="auto" w:sz="4" w:space="0"/>
        </w:rPr>
      </w:pPr>
      <w:r>
        <w:rPr>
          <w:rFonts w:asciiTheme="minorEastAsia" w:hAnsiTheme="minorEastAsia" w:eastAsiaTheme="minorEastAsia" w:cstheme="minorEastAsia"/>
          <w:color w:val="auto"/>
          <w:sz w:val="24"/>
          <w:highlight w:val="none"/>
        </w:rPr>
        <w:t>4.</w:t>
      </w:r>
      <w:r>
        <w:rPr>
          <w:rFonts w:hint="eastAsia" w:asciiTheme="minorEastAsia" w:hAnsiTheme="minorEastAsia" w:eastAsiaTheme="minorEastAsia" w:cstheme="minorEastAsia"/>
          <w:color w:val="auto"/>
          <w:sz w:val="24"/>
          <w:highlight w:val="none"/>
          <w:lang w:val="en-US" w:eastAsia="zh-CN"/>
        </w:rPr>
        <w:t>5</w:t>
      </w:r>
      <w:r>
        <w:rPr>
          <w:rFonts w:hint="eastAsia" w:asciiTheme="minorEastAsia" w:hAnsiTheme="minorEastAsia" w:eastAsiaTheme="minorEastAsia" w:cstheme="minorEastAsia"/>
          <w:color w:val="auto"/>
          <w:sz w:val="24"/>
          <w:highlight w:val="none"/>
        </w:rPr>
        <w:t>付款方式：</w:t>
      </w:r>
      <w:r>
        <w:rPr>
          <w:rFonts w:asciiTheme="minorEastAsia" w:hAnsiTheme="minorEastAsia" w:eastAsiaTheme="minorEastAsia" w:cstheme="minorEastAsia"/>
          <w:color w:val="auto"/>
          <w:sz w:val="24"/>
          <w:highlight w:val="none"/>
        </w:rPr>
        <w:sym w:font="Wingdings" w:char="00A8"/>
      </w:r>
      <w:r>
        <w:rPr>
          <w:rFonts w:hint="eastAsia" w:asciiTheme="minorEastAsia" w:hAnsiTheme="minorEastAsia" w:eastAsiaTheme="minorEastAsia" w:cstheme="minorEastAsia"/>
          <w:color w:val="auto"/>
          <w:sz w:val="24"/>
          <w:highlight w:val="none"/>
        </w:rPr>
        <w:t>网银支付；</w:t>
      </w:r>
      <w:r>
        <w:rPr>
          <w:rFonts w:asciiTheme="minorEastAsia" w:hAnsiTheme="minorEastAsia" w:eastAsiaTheme="minorEastAsia" w:cstheme="minorEastAsia"/>
          <w:color w:val="auto"/>
          <w:sz w:val="24"/>
          <w:highlight w:val="none"/>
        </w:rPr>
        <w:sym w:font="Wingdings" w:char="00A8"/>
      </w:r>
      <w:r>
        <w:rPr>
          <w:rFonts w:hint="eastAsia" w:asciiTheme="minorEastAsia" w:hAnsiTheme="minorEastAsia" w:eastAsiaTheme="minorEastAsia" w:cstheme="minorEastAsia"/>
          <w:color w:val="auto"/>
          <w:sz w:val="24"/>
          <w:highlight w:val="none"/>
        </w:rPr>
        <w:t>支票；</w:t>
      </w:r>
      <w:r>
        <w:rPr>
          <w:rFonts w:asciiTheme="minorEastAsia" w:hAnsiTheme="minorEastAsia" w:eastAsiaTheme="minorEastAsia" w:cstheme="minorEastAsia"/>
          <w:color w:val="auto"/>
          <w:sz w:val="24"/>
          <w:highlight w:val="none"/>
        </w:rPr>
        <w:sym w:font="Wingdings" w:char="00A8"/>
      </w:r>
      <w:r>
        <w:rPr>
          <w:rFonts w:hint="eastAsia" w:asciiTheme="minorEastAsia" w:hAnsiTheme="minorEastAsia" w:eastAsiaTheme="minorEastAsia" w:cstheme="minorEastAsia"/>
          <w:color w:val="auto"/>
          <w:sz w:val="24"/>
          <w:highlight w:val="none"/>
        </w:rPr>
        <w:t>其他：</w:t>
      </w:r>
    </w:p>
    <w:p>
      <w:pPr>
        <w:pStyle w:val="11"/>
        <w:spacing w:line="360" w:lineRule="auto"/>
        <w:ind w:firstLine="480" w:firstLineChars="200"/>
        <w:outlineLvl w:val="1"/>
        <w:rPr>
          <w:rFonts w:asciiTheme="minorEastAsia" w:hAnsiTheme="minorEastAsia" w:eastAsiaTheme="minorEastAsia" w:cstheme="minorEastAsia"/>
          <w:color w:val="auto"/>
          <w:sz w:val="24"/>
          <w:szCs w:val="24"/>
          <w:highlight w:val="none"/>
        </w:rPr>
      </w:pPr>
      <w:r>
        <w:rPr>
          <w:rFonts w:asciiTheme="minorEastAsia" w:hAnsiTheme="minorEastAsia" w:eastAsiaTheme="minorEastAsia" w:cstheme="minorEastAsia"/>
          <w:color w:val="auto"/>
          <w:sz w:val="24"/>
          <w:szCs w:val="24"/>
          <w:highlight w:val="none"/>
        </w:rPr>
        <w:t>4.</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乙方收款账户：</w:t>
      </w:r>
      <w:r>
        <w:rPr>
          <w:rFonts w:hint="eastAsia" w:asciiTheme="minorEastAsia" w:hAnsiTheme="minorEastAsia" w:eastAsiaTheme="minorEastAsia" w:cstheme="minorEastAsia"/>
          <w:color w:val="auto"/>
          <w:sz w:val="24"/>
          <w:szCs w:val="24"/>
          <w:highlight w:val="none"/>
          <w:u w:val="single"/>
          <w:lang w:eastAsia="zh-CN"/>
        </w:rPr>
        <w:t>…</w:t>
      </w:r>
      <w:r>
        <w:rPr>
          <w:rFonts w:hint="eastAsia" w:asciiTheme="minorEastAsia" w:hAnsiTheme="minorEastAsia" w:eastAsiaTheme="minorEastAsia" w:cstheme="minorEastAsia"/>
          <w:color w:val="auto"/>
          <w:sz w:val="24"/>
          <w:szCs w:val="24"/>
          <w:highlight w:val="none"/>
        </w:rPr>
        <w:t>；</w:t>
      </w:r>
    </w:p>
    <w:p>
      <w:pPr>
        <w:spacing w:line="360" w:lineRule="auto"/>
        <w:ind w:firstLine="1080" w:firstLineChars="45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收款账号：</w:t>
      </w:r>
      <w:r>
        <w:rPr>
          <w:rFonts w:hint="eastAsia" w:asciiTheme="minorEastAsia" w:hAnsiTheme="minorEastAsia" w:eastAsiaTheme="minorEastAsia" w:cstheme="minorEastAsia"/>
          <w:color w:val="auto"/>
          <w:sz w:val="24"/>
          <w:highlight w:val="none"/>
          <w:u w:val="single"/>
          <w:lang w:eastAsia="zh-CN"/>
        </w:rPr>
        <w:t>…</w:t>
      </w:r>
      <w:r>
        <w:rPr>
          <w:rFonts w:hint="eastAsia" w:asciiTheme="minorEastAsia" w:hAnsiTheme="minorEastAsia" w:eastAsiaTheme="minorEastAsia" w:cstheme="minorEastAsia"/>
          <w:color w:val="auto"/>
          <w:sz w:val="24"/>
          <w:highlight w:val="none"/>
        </w:rPr>
        <w:t>；</w:t>
      </w:r>
    </w:p>
    <w:p>
      <w:pPr>
        <w:spacing w:line="360" w:lineRule="auto"/>
        <w:ind w:firstLine="1080" w:firstLineChars="45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开户行：</w:t>
      </w:r>
      <w:r>
        <w:rPr>
          <w:rFonts w:hint="eastAsia" w:asciiTheme="minorEastAsia" w:hAnsiTheme="minorEastAsia" w:eastAsiaTheme="minorEastAsia" w:cstheme="minorEastAsia"/>
          <w:color w:val="auto"/>
          <w:sz w:val="24"/>
          <w:highlight w:val="none"/>
          <w:u w:val="single"/>
          <w:lang w:eastAsia="zh-CN"/>
        </w:rPr>
        <w:t>…</w:t>
      </w:r>
      <w:r>
        <w:rPr>
          <w:rFonts w:hint="eastAsia" w:asciiTheme="minorEastAsia" w:hAnsiTheme="minorEastAsia" w:eastAsiaTheme="minorEastAsia" w:cstheme="minorEastAsia"/>
          <w:color w:val="auto"/>
          <w:sz w:val="24"/>
          <w:highlight w:val="none"/>
        </w:rPr>
        <w:t>；</w:t>
      </w:r>
    </w:p>
    <w:p>
      <w:pPr>
        <w:spacing w:line="360" w:lineRule="auto"/>
        <w:ind w:firstLine="840" w:firstLineChars="350"/>
        <w:rPr>
          <w:rFonts w:asciiTheme="minorEastAsia" w:hAnsiTheme="minorEastAsia" w:eastAsiaTheme="minorEastAsia" w:cstheme="minorEastAsia"/>
          <w:color w:val="auto"/>
          <w:sz w:val="24"/>
          <w:highlight w:val="none"/>
        </w:rPr>
      </w:pPr>
      <w:r>
        <w:rPr>
          <w:rFonts w:hint="eastAsia" w:ascii="宋体" w:hAnsi="宋体" w:cs="宋体"/>
          <w:color w:val="auto"/>
          <w:sz w:val="24"/>
          <w:highlight w:val="none"/>
        </w:rPr>
        <w:t>乙方在收款前需向甲方提交等额增值税专用发票，增值税专用发票信息：</w:t>
      </w:r>
    </w:p>
    <w:p>
      <w:pPr>
        <w:spacing w:line="360" w:lineRule="auto"/>
        <w:ind w:firstLine="960" w:firstLineChars="4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u w:val="single"/>
          <w:lang w:eastAsia="zh-CN"/>
        </w:rPr>
        <w:t>…</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rPr>
        <w:t>；</w:t>
      </w:r>
    </w:p>
    <w:p>
      <w:pPr>
        <w:widowControl/>
        <w:spacing w:line="360" w:lineRule="auto"/>
        <w:ind w:firstLine="482" w:firstLineChars="200"/>
        <w:jc w:val="left"/>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第五条施工工期及要求</w:t>
      </w:r>
    </w:p>
    <w:p>
      <w:pPr>
        <w:pStyle w:val="11"/>
        <w:tabs>
          <w:tab w:val="left" w:pos="618"/>
        </w:tabs>
        <w:spacing w:line="360" w:lineRule="auto"/>
        <w:ind w:firstLine="480" w:firstLineChars="200"/>
        <w:rPr>
          <w:rFonts w:asciiTheme="minorEastAsia" w:hAnsiTheme="minorEastAsia" w:eastAsiaTheme="minorEastAsia" w:cstheme="minorEastAsia"/>
          <w:color w:val="auto"/>
          <w:sz w:val="24"/>
          <w:szCs w:val="24"/>
          <w:highlight w:val="none"/>
        </w:rPr>
      </w:pPr>
      <w:r>
        <w:rPr>
          <w:rFonts w:asciiTheme="minorEastAsia" w:hAnsiTheme="minorEastAsia" w:eastAsiaTheme="minorEastAsia" w:cstheme="minorEastAsia"/>
          <w:color w:val="auto"/>
          <w:sz w:val="24"/>
          <w:szCs w:val="24"/>
          <w:highlight w:val="none"/>
        </w:rPr>
        <w:t>5.1</w:t>
      </w:r>
      <w:r>
        <w:rPr>
          <w:rFonts w:hint="eastAsia" w:asciiTheme="minorEastAsia" w:hAnsiTheme="minorEastAsia" w:eastAsiaTheme="minorEastAsia" w:cstheme="minorEastAsia"/>
          <w:color w:val="auto"/>
          <w:sz w:val="24"/>
          <w:szCs w:val="24"/>
          <w:highlight w:val="none"/>
        </w:rPr>
        <w:t>开工日期暂定为：</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u w:val="single"/>
        </w:rPr>
        <w:t>年</w:t>
      </w:r>
      <w:r>
        <w:rPr>
          <w:rFonts w:hint="eastAsia" w:asciiTheme="minorEastAsia" w:hAnsiTheme="minorEastAsia" w:eastAsiaTheme="minorEastAsia" w:cstheme="minorEastAsia"/>
          <w:color w:val="auto"/>
          <w:sz w:val="24"/>
          <w:szCs w:val="24"/>
          <w:highlight w:val="none"/>
          <w:u w:val="single"/>
          <w:lang w:eastAsia="zh-CN"/>
        </w:rPr>
        <w:t>…</w:t>
      </w:r>
      <w:r>
        <w:rPr>
          <w:rFonts w:hint="eastAsia" w:asciiTheme="minorEastAsia" w:hAnsiTheme="minorEastAsia" w:eastAsiaTheme="minorEastAsia" w:cstheme="minorEastAsia"/>
          <w:color w:val="auto"/>
          <w:sz w:val="24"/>
          <w:szCs w:val="24"/>
          <w:highlight w:val="none"/>
          <w:u w:val="single"/>
        </w:rPr>
        <w:t>月</w:t>
      </w:r>
      <w:r>
        <w:rPr>
          <w:rFonts w:hint="eastAsia" w:asciiTheme="minorEastAsia" w:hAnsiTheme="minorEastAsia" w:eastAsiaTheme="minorEastAsia" w:cstheme="minorEastAsia"/>
          <w:color w:val="auto"/>
          <w:sz w:val="24"/>
          <w:szCs w:val="24"/>
          <w:highlight w:val="none"/>
          <w:u w:val="single"/>
          <w:lang w:eastAsia="zh-CN"/>
        </w:rPr>
        <w:t>…</w:t>
      </w:r>
      <w:r>
        <w:rPr>
          <w:rFonts w:hint="eastAsia" w:asciiTheme="minorEastAsia" w:hAnsiTheme="minorEastAsia" w:eastAsiaTheme="minorEastAsia" w:cstheme="minorEastAsia"/>
          <w:color w:val="auto"/>
          <w:sz w:val="24"/>
          <w:szCs w:val="24"/>
          <w:highlight w:val="none"/>
          <w:u w:val="single"/>
        </w:rPr>
        <w:t>日</w:t>
      </w:r>
      <w:r>
        <w:rPr>
          <w:rFonts w:hint="eastAsia" w:asciiTheme="minorEastAsia" w:hAnsiTheme="minorEastAsia" w:eastAsiaTheme="minorEastAsia" w:cstheme="minorEastAsia"/>
          <w:color w:val="auto"/>
          <w:sz w:val="24"/>
          <w:szCs w:val="24"/>
          <w:highlight w:val="none"/>
        </w:rPr>
        <w:t>，具体日期以甲方发出的开工报告为准。合同工期</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总日历天数</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u w:val="single"/>
          <w:lang w:eastAsia="zh-CN"/>
        </w:rPr>
        <w:t>…</w:t>
      </w:r>
      <w:r>
        <w:rPr>
          <w:rFonts w:hint="eastAsia" w:asciiTheme="minorEastAsia" w:hAnsiTheme="minorEastAsia" w:eastAsiaTheme="minorEastAsia" w:cstheme="minorEastAsia"/>
          <w:color w:val="auto"/>
          <w:sz w:val="24"/>
          <w:szCs w:val="24"/>
          <w:highlight w:val="none"/>
        </w:rPr>
        <w:t>天。</w:t>
      </w:r>
    </w:p>
    <w:p>
      <w:pPr>
        <w:pStyle w:val="11"/>
        <w:widowControl/>
        <w:tabs>
          <w:tab w:val="left" w:pos="618"/>
        </w:tabs>
        <w:spacing w:line="360" w:lineRule="auto"/>
        <w:ind w:left="1" w:firstLine="480" w:firstLineChars="200"/>
        <w:jc w:val="left"/>
        <w:rPr>
          <w:rFonts w:asciiTheme="minorEastAsia" w:hAnsiTheme="minorEastAsia" w:eastAsiaTheme="minorEastAsia" w:cstheme="minorEastAsia"/>
          <w:bCs/>
          <w:color w:val="auto"/>
          <w:sz w:val="24"/>
          <w:szCs w:val="24"/>
          <w:highlight w:val="none"/>
        </w:rPr>
      </w:pPr>
      <w:r>
        <w:rPr>
          <w:rFonts w:asciiTheme="minorEastAsia" w:hAnsiTheme="minorEastAsia" w:eastAsiaTheme="minorEastAsia" w:cstheme="minorEastAsia"/>
          <w:bCs/>
          <w:color w:val="auto"/>
          <w:kern w:val="0"/>
          <w:sz w:val="24"/>
          <w:szCs w:val="24"/>
          <w:highlight w:val="none"/>
        </w:rPr>
        <w:t xml:space="preserve"> 5.2</w:t>
      </w:r>
      <w:r>
        <w:rPr>
          <w:rFonts w:hint="eastAsia" w:asciiTheme="minorEastAsia" w:hAnsiTheme="minorEastAsia" w:eastAsiaTheme="minorEastAsia" w:cstheme="minorEastAsia"/>
          <w:bCs/>
          <w:color w:val="auto"/>
          <w:sz w:val="24"/>
          <w:szCs w:val="24"/>
          <w:highlight w:val="none"/>
        </w:rPr>
        <w:t>合同约定的工程项目，乙方不得转包、分包。否则，甲方有权单方面终止合同，并令其立即退场，由此而造成的经济损失由乙方负责赔偿。</w:t>
      </w:r>
    </w:p>
    <w:p>
      <w:pPr>
        <w:spacing w:line="360" w:lineRule="auto"/>
        <w:ind w:left="1" w:firstLine="480" w:firstLineChars="200"/>
        <w:rPr>
          <w:rFonts w:asciiTheme="minorEastAsia" w:hAnsiTheme="minorEastAsia" w:eastAsiaTheme="minorEastAsia" w:cstheme="minorEastAsia"/>
          <w:b/>
          <w:color w:val="auto"/>
          <w:sz w:val="24"/>
          <w:highlight w:val="none"/>
        </w:rPr>
      </w:pPr>
      <w:r>
        <w:rPr>
          <w:rFonts w:asciiTheme="minorEastAsia" w:hAnsiTheme="minorEastAsia" w:eastAsiaTheme="minorEastAsia" w:cstheme="minorEastAsia"/>
          <w:color w:val="auto"/>
          <w:sz w:val="24"/>
          <w:highlight w:val="none"/>
        </w:rPr>
        <w:t>5.3</w:t>
      </w:r>
      <w:r>
        <w:rPr>
          <w:rFonts w:hint="eastAsia" w:asciiTheme="minorEastAsia" w:hAnsiTheme="minorEastAsia" w:eastAsiaTheme="minorEastAsia" w:cstheme="minorEastAsia"/>
          <w:color w:val="auto"/>
          <w:sz w:val="24"/>
          <w:highlight w:val="none"/>
        </w:rPr>
        <w:t>清淤工程完工后应满足（标准）；否则，甲方有权要求乙方重新返工，且相关费用由乙方自行承担。</w:t>
      </w:r>
    </w:p>
    <w:p>
      <w:pPr>
        <w:pStyle w:val="11"/>
        <w:spacing w:line="360" w:lineRule="auto"/>
        <w:ind w:firstLine="448" w:firstLineChars="200"/>
        <w:outlineLvl w:val="1"/>
        <w:rPr>
          <w:rFonts w:asciiTheme="minorEastAsia" w:hAnsiTheme="minorEastAsia" w:eastAsiaTheme="minorEastAsia" w:cstheme="minorEastAsia"/>
          <w:color w:val="auto"/>
          <w:spacing w:val="-8"/>
          <w:sz w:val="24"/>
          <w:szCs w:val="24"/>
          <w:highlight w:val="none"/>
        </w:rPr>
      </w:pPr>
      <w:r>
        <w:rPr>
          <w:rFonts w:asciiTheme="minorEastAsia" w:hAnsiTheme="minorEastAsia" w:eastAsiaTheme="minorEastAsia" w:cstheme="minorEastAsia"/>
          <w:color w:val="auto"/>
          <w:spacing w:val="-8"/>
          <w:sz w:val="24"/>
          <w:szCs w:val="24"/>
          <w:highlight w:val="none"/>
        </w:rPr>
        <w:t>5.4</w:t>
      </w:r>
      <w:r>
        <w:rPr>
          <w:rFonts w:hint="eastAsia" w:asciiTheme="minorEastAsia" w:hAnsiTheme="minorEastAsia" w:eastAsiaTheme="minorEastAsia" w:cstheme="minorEastAsia"/>
          <w:color w:val="auto"/>
          <w:spacing w:val="-8"/>
          <w:sz w:val="24"/>
          <w:szCs w:val="24"/>
          <w:highlight w:val="none"/>
        </w:rPr>
        <w:t>乙方不得随意更换项目负责人及</w:t>
      </w:r>
      <w:r>
        <w:rPr>
          <w:rFonts w:hint="eastAsia" w:asciiTheme="minorEastAsia" w:hAnsiTheme="minorEastAsia" w:eastAsiaTheme="minorEastAsia" w:cstheme="minorEastAsia"/>
          <w:color w:val="auto"/>
          <w:spacing w:val="-8"/>
          <w:sz w:val="24"/>
          <w:szCs w:val="24"/>
          <w:highlight w:val="none"/>
          <w:lang w:val="en-US" w:eastAsia="zh-CN"/>
        </w:rPr>
        <w:t>附件3中的</w:t>
      </w:r>
      <w:r>
        <w:rPr>
          <w:rFonts w:hint="eastAsia" w:asciiTheme="minorEastAsia" w:hAnsiTheme="minorEastAsia" w:eastAsiaTheme="minorEastAsia" w:cstheme="minorEastAsia"/>
          <w:color w:val="auto"/>
          <w:spacing w:val="-8"/>
          <w:sz w:val="24"/>
          <w:szCs w:val="24"/>
          <w:highlight w:val="none"/>
        </w:rPr>
        <w:t>相关人员，如确须更换，应提前征得甲方同意。如有违反，甲方有权解除合同并要求乙方支付</w:t>
      </w:r>
      <w:r>
        <w:rPr>
          <w:rFonts w:hint="eastAsia" w:asciiTheme="minorEastAsia" w:hAnsiTheme="minorEastAsia" w:eastAsiaTheme="minorEastAsia" w:cstheme="minorEastAsia"/>
          <w:color w:val="auto"/>
          <w:spacing w:val="-8"/>
          <w:sz w:val="24"/>
          <w:szCs w:val="24"/>
          <w:highlight w:val="none"/>
          <w:u w:val="single"/>
          <w:lang w:val="en-US" w:eastAsia="zh-CN"/>
        </w:rPr>
        <w:t>5000</w:t>
      </w:r>
      <w:r>
        <w:rPr>
          <w:rFonts w:hint="eastAsia" w:asciiTheme="minorEastAsia" w:hAnsiTheme="minorEastAsia" w:eastAsiaTheme="minorEastAsia" w:cstheme="minorEastAsia"/>
          <w:color w:val="auto"/>
          <w:spacing w:val="-8"/>
          <w:sz w:val="24"/>
          <w:szCs w:val="24"/>
          <w:highlight w:val="none"/>
        </w:rPr>
        <w:t>元</w:t>
      </w:r>
      <w:r>
        <w:rPr>
          <w:rFonts w:asciiTheme="minorEastAsia" w:hAnsiTheme="minorEastAsia" w:eastAsiaTheme="minorEastAsia" w:cstheme="minorEastAsia"/>
          <w:color w:val="auto"/>
          <w:spacing w:val="-8"/>
          <w:sz w:val="24"/>
          <w:szCs w:val="24"/>
          <w:highlight w:val="none"/>
        </w:rPr>
        <w:t>/</w:t>
      </w:r>
      <w:r>
        <w:rPr>
          <w:rFonts w:hint="eastAsia" w:asciiTheme="minorEastAsia" w:hAnsiTheme="minorEastAsia" w:eastAsiaTheme="minorEastAsia" w:cstheme="minorEastAsia"/>
          <w:color w:val="auto"/>
          <w:spacing w:val="-8"/>
          <w:sz w:val="24"/>
          <w:szCs w:val="24"/>
          <w:highlight w:val="none"/>
        </w:rPr>
        <w:t>人次作为违约金，以及赔偿由此造成的一切损失</w:t>
      </w:r>
      <w:r>
        <w:rPr>
          <w:rFonts w:asciiTheme="minorEastAsia" w:hAnsiTheme="minorEastAsia" w:eastAsiaTheme="minorEastAsia" w:cstheme="minorEastAsia"/>
          <w:color w:val="auto"/>
          <w:spacing w:val="-8"/>
          <w:sz w:val="24"/>
          <w:szCs w:val="24"/>
          <w:highlight w:val="none"/>
        </w:rPr>
        <w:t>(</w:t>
      </w:r>
      <w:r>
        <w:rPr>
          <w:rFonts w:hint="eastAsia" w:asciiTheme="minorEastAsia" w:hAnsiTheme="minorEastAsia" w:eastAsiaTheme="minorEastAsia" w:cstheme="minorEastAsia"/>
          <w:color w:val="auto"/>
          <w:spacing w:val="-8"/>
          <w:sz w:val="24"/>
          <w:szCs w:val="24"/>
          <w:highlight w:val="none"/>
        </w:rPr>
        <w:t>包含质量安全事故、工期延误、增加投资等</w:t>
      </w:r>
      <w:r>
        <w:rPr>
          <w:rFonts w:asciiTheme="minorEastAsia" w:hAnsiTheme="minorEastAsia" w:eastAsiaTheme="minorEastAsia" w:cstheme="minorEastAsia"/>
          <w:color w:val="auto"/>
          <w:spacing w:val="-8"/>
          <w:sz w:val="24"/>
          <w:szCs w:val="24"/>
          <w:highlight w:val="none"/>
        </w:rPr>
        <w:t>)</w:t>
      </w:r>
      <w:r>
        <w:rPr>
          <w:rFonts w:hint="eastAsia" w:asciiTheme="minorEastAsia" w:hAnsiTheme="minorEastAsia" w:eastAsiaTheme="minorEastAsia" w:cstheme="minorEastAsia"/>
          <w:color w:val="auto"/>
          <w:spacing w:val="-8"/>
          <w:sz w:val="24"/>
          <w:szCs w:val="24"/>
          <w:highlight w:val="none"/>
        </w:rPr>
        <w:t>。</w:t>
      </w:r>
    </w:p>
    <w:p>
      <w:pPr>
        <w:pStyle w:val="11"/>
        <w:spacing w:line="360" w:lineRule="auto"/>
        <w:ind w:firstLine="448" w:firstLineChars="200"/>
        <w:outlineLvl w:val="1"/>
        <w:rPr>
          <w:rFonts w:asciiTheme="minorEastAsia" w:hAnsiTheme="minorEastAsia" w:eastAsiaTheme="minorEastAsia" w:cstheme="minorEastAsia"/>
          <w:b w:val="0"/>
          <w:bCs/>
          <w:color w:val="auto"/>
          <w:spacing w:val="-8"/>
          <w:sz w:val="24"/>
          <w:szCs w:val="24"/>
          <w:highlight w:val="none"/>
        </w:rPr>
      </w:pPr>
      <w:r>
        <w:rPr>
          <w:rFonts w:asciiTheme="minorEastAsia" w:hAnsiTheme="minorEastAsia" w:eastAsiaTheme="minorEastAsia" w:cstheme="minorEastAsia"/>
          <w:b w:val="0"/>
          <w:bCs/>
          <w:color w:val="auto"/>
          <w:spacing w:val="-8"/>
          <w:sz w:val="24"/>
          <w:szCs w:val="24"/>
          <w:highlight w:val="none"/>
        </w:rPr>
        <w:t>5.5</w:t>
      </w:r>
      <w:r>
        <w:rPr>
          <w:rFonts w:hint="eastAsia" w:asciiTheme="minorEastAsia" w:hAnsiTheme="minorEastAsia" w:eastAsiaTheme="minorEastAsia" w:cstheme="minorEastAsia"/>
          <w:b w:val="0"/>
          <w:bCs/>
          <w:color w:val="auto"/>
          <w:spacing w:val="-8"/>
          <w:sz w:val="24"/>
          <w:szCs w:val="24"/>
          <w:highlight w:val="none"/>
        </w:rPr>
        <w:t>施工过程中，项目负责人</w:t>
      </w:r>
      <w:r>
        <w:rPr>
          <w:rFonts w:hint="eastAsia" w:asciiTheme="minorEastAsia" w:hAnsiTheme="minorEastAsia" w:eastAsiaTheme="minorEastAsia" w:cstheme="minorEastAsia"/>
          <w:b w:val="0"/>
          <w:bCs/>
          <w:color w:val="auto"/>
          <w:spacing w:val="-8"/>
          <w:sz w:val="24"/>
          <w:szCs w:val="24"/>
          <w:highlight w:val="none"/>
          <w:lang w:val="en-US" w:eastAsia="zh-CN"/>
        </w:rPr>
        <w:t>应驻场管理</w:t>
      </w:r>
      <w:r>
        <w:rPr>
          <w:rFonts w:hint="eastAsia" w:asciiTheme="minorEastAsia" w:hAnsiTheme="minorEastAsia" w:eastAsiaTheme="minorEastAsia" w:cstheme="minorEastAsia"/>
          <w:b w:val="0"/>
          <w:bCs/>
          <w:color w:val="auto"/>
          <w:spacing w:val="-8"/>
          <w:sz w:val="24"/>
          <w:szCs w:val="24"/>
          <w:highlight w:val="none"/>
        </w:rPr>
        <w:t>，否则甲方有权要求乙方支付违约金</w:t>
      </w:r>
      <w:r>
        <w:rPr>
          <w:rFonts w:asciiTheme="minorEastAsia" w:hAnsiTheme="minorEastAsia" w:eastAsiaTheme="minorEastAsia" w:cstheme="minorEastAsia"/>
          <w:b w:val="0"/>
          <w:bCs/>
          <w:color w:val="auto"/>
          <w:spacing w:val="-8"/>
          <w:sz w:val="24"/>
          <w:szCs w:val="24"/>
          <w:highlight w:val="none"/>
          <w:u w:val="single"/>
        </w:rPr>
        <w:t xml:space="preserve"> 1000</w:t>
      </w:r>
      <w:r>
        <w:rPr>
          <w:rFonts w:hint="eastAsia" w:asciiTheme="minorEastAsia" w:hAnsiTheme="minorEastAsia" w:eastAsiaTheme="minorEastAsia" w:cstheme="minorEastAsia"/>
          <w:b w:val="0"/>
          <w:bCs/>
          <w:color w:val="auto"/>
          <w:spacing w:val="-8"/>
          <w:sz w:val="24"/>
          <w:szCs w:val="24"/>
          <w:highlight w:val="none"/>
          <w:u w:val="single"/>
        </w:rPr>
        <w:t>元</w:t>
      </w:r>
      <w:r>
        <w:rPr>
          <w:rFonts w:asciiTheme="minorEastAsia" w:hAnsiTheme="minorEastAsia" w:eastAsiaTheme="minorEastAsia" w:cstheme="minorEastAsia"/>
          <w:b w:val="0"/>
          <w:bCs/>
          <w:color w:val="auto"/>
          <w:spacing w:val="-8"/>
          <w:sz w:val="24"/>
          <w:szCs w:val="24"/>
          <w:highlight w:val="none"/>
        </w:rPr>
        <w:t>/</w:t>
      </w:r>
      <w:r>
        <w:rPr>
          <w:rFonts w:hint="eastAsia" w:asciiTheme="minorEastAsia" w:hAnsiTheme="minorEastAsia" w:eastAsiaTheme="minorEastAsia" w:cstheme="minorEastAsia"/>
          <w:b w:val="0"/>
          <w:bCs/>
          <w:color w:val="auto"/>
          <w:spacing w:val="-8"/>
          <w:sz w:val="24"/>
          <w:szCs w:val="24"/>
          <w:highlight w:val="none"/>
        </w:rPr>
        <w:t>天，因此造成损失的，按实际发生额赔偿。</w:t>
      </w:r>
    </w:p>
    <w:p>
      <w:pPr>
        <w:pStyle w:val="11"/>
        <w:tabs>
          <w:tab w:val="left" w:pos="618"/>
        </w:tabs>
        <w:spacing w:line="360" w:lineRule="auto"/>
        <w:ind w:firstLine="482" w:firstLineChars="200"/>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
          <w:color w:val="auto"/>
          <w:kern w:val="0"/>
          <w:sz w:val="24"/>
          <w:szCs w:val="24"/>
          <w:highlight w:val="none"/>
        </w:rPr>
        <w:t>第六条</w:t>
      </w:r>
      <w:r>
        <w:rPr>
          <w:rFonts w:hint="eastAsia" w:asciiTheme="minorEastAsia" w:hAnsiTheme="minorEastAsia" w:eastAsiaTheme="minorEastAsia" w:cstheme="minorEastAsia"/>
          <w:b/>
          <w:bCs/>
          <w:color w:val="auto"/>
          <w:kern w:val="0"/>
          <w:sz w:val="24"/>
          <w:szCs w:val="24"/>
          <w:highlight w:val="none"/>
        </w:rPr>
        <w:t>安全、文明施工要求</w:t>
      </w:r>
    </w:p>
    <w:p>
      <w:pPr>
        <w:spacing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6.1</w:t>
      </w:r>
      <w:r>
        <w:rPr>
          <w:rFonts w:hint="eastAsia" w:asciiTheme="minorEastAsia" w:hAnsiTheme="minorEastAsia" w:eastAsiaTheme="minorEastAsia"/>
          <w:color w:val="auto"/>
          <w:sz w:val="24"/>
          <w:highlight w:val="none"/>
        </w:rPr>
        <w:t>乙方应做到安全文明施工，并签订《</w:t>
      </w:r>
      <w:r>
        <w:rPr>
          <w:rFonts w:hint="eastAsia" w:asciiTheme="minorEastAsia" w:hAnsiTheme="minorEastAsia" w:eastAsiaTheme="minorEastAsia" w:cstheme="minorEastAsia"/>
          <w:color w:val="auto"/>
          <w:sz w:val="24"/>
          <w:highlight w:val="none"/>
        </w:rPr>
        <w:t>安全协议书</w:t>
      </w:r>
      <w:r>
        <w:rPr>
          <w:rFonts w:hint="eastAsia" w:asciiTheme="minorEastAsia" w:hAnsiTheme="minorEastAsia" w:eastAsiaTheme="minorEastAsia"/>
          <w:color w:val="auto"/>
          <w:sz w:val="24"/>
          <w:highlight w:val="none"/>
        </w:rPr>
        <w:t>》（见附件）。</w:t>
      </w:r>
    </w:p>
    <w:p>
      <w:pPr>
        <w:spacing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6.2</w:t>
      </w:r>
      <w:r>
        <w:rPr>
          <w:rFonts w:hint="eastAsia" w:asciiTheme="minorEastAsia" w:hAnsiTheme="minorEastAsia" w:eastAsiaTheme="minorEastAsia"/>
          <w:color w:val="auto"/>
          <w:sz w:val="24"/>
          <w:highlight w:val="none"/>
        </w:rPr>
        <w:t>乙方应严格遵守规定的施工时间，降低施工噪音。</w:t>
      </w:r>
    </w:p>
    <w:p>
      <w:pPr>
        <w:spacing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6.3</w:t>
      </w:r>
      <w:r>
        <w:rPr>
          <w:rFonts w:hint="eastAsia" w:asciiTheme="minorEastAsia" w:hAnsiTheme="minorEastAsia" w:eastAsiaTheme="minorEastAsia"/>
          <w:color w:val="auto"/>
          <w:sz w:val="24"/>
          <w:highlight w:val="none"/>
        </w:rPr>
        <w:t>乙方负责做好现场文明施工、安全围蔽及</w:t>
      </w:r>
      <w:r>
        <w:rPr>
          <w:rFonts w:hint="eastAsia" w:asciiTheme="minorEastAsia" w:hAnsiTheme="minorEastAsia" w:eastAsiaTheme="minorEastAsia" w:cstheme="minorEastAsia"/>
          <w:bCs/>
          <w:color w:val="auto"/>
          <w:sz w:val="24"/>
          <w:highlight w:val="none"/>
        </w:rPr>
        <w:t>防护措施</w:t>
      </w:r>
      <w:r>
        <w:rPr>
          <w:rFonts w:hint="eastAsia" w:asciiTheme="minorEastAsia" w:hAnsiTheme="minorEastAsia" w:eastAsiaTheme="minorEastAsia"/>
          <w:color w:val="auto"/>
          <w:sz w:val="24"/>
          <w:highlight w:val="none"/>
        </w:rPr>
        <w:t>等工作，涉及下井作业的，必须做好气体检测、井内通风、照明等安全措施。</w:t>
      </w:r>
    </w:p>
    <w:p>
      <w:pPr>
        <w:spacing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6.4</w:t>
      </w:r>
      <w:r>
        <w:rPr>
          <w:rFonts w:hint="eastAsia" w:asciiTheme="minorEastAsia" w:hAnsiTheme="minorEastAsia" w:eastAsiaTheme="minorEastAsia"/>
          <w:color w:val="auto"/>
          <w:sz w:val="24"/>
          <w:highlight w:val="none"/>
        </w:rPr>
        <w:t>未经甲方同意及有关部门批准，乙方在施工中不得随意拆改原建筑物结构及各种设备管线。</w:t>
      </w:r>
      <w:r>
        <w:rPr>
          <w:rFonts w:hint="eastAsia" w:asciiTheme="minorEastAsia" w:hAnsiTheme="minorEastAsia" w:eastAsiaTheme="minorEastAsia" w:cstheme="minorEastAsia"/>
          <w:color w:val="auto"/>
          <w:sz w:val="24"/>
          <w:highlight w:val="none"/>
        </w:rPr>
        <w:t>若有任何损坏，须立即通知有关部门和甲方，并承担损失和修复费用。</w:t>
      </w:r>
    </w:p>
    <w:p>
      <w:pPr>
        <w:spacing w:line="360" w:lineRule="auto"/>
        <w:ind w:firstLine="480" w:firstLineChars="200"/>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6.5</w:t>
      </w:r>
      <w:r>
        <w:rPr>
          <w:rFonts w:hint="eastAsia" w:asciiTheme="minorEastAsia" w:hAnsiTheme="minorEastAsia" w:eastAsiaTheme="minorEastAsia" w:cstheme="minorEastAsia"/>
          <w:color w:val="auto"/>
          <w:sz w:val="24"/>
          <w:highlight w:val="none"/>
        </w:rPr>
        <w:t>现场施工人员必须严格遵守甲方一切规章制度。进入施工现场人员必须佩戴出入证，并自觉接受门岗检查。</w:t>
      </w:r>
    </w:p>
    <w:p>
      <w:pPr>
        <w:spacing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6.6</w:t>
      </w:r>
      <w:r>
        <w:rPr>
          <w:rFonts w:hint="eastAsia" w:asciiTheme="minorEastAsia" w:hAnsiTheme="minorEastAsia" w:eastAsiaTheme="minorEastAsia"/>
          <w:color w:val="auto"/>
          <w:sz w:val="24"/>
          <w:highlight w:val="none"/>
        </w:rPr>
        <w:t>施工用水用电采用以下</w:t>
      </w:r>
      <w:r>
        <w:rPr>
          <w:rFonts w:hint="eastAsia" w:asciiTheme="minorEastAsia" w:hAnsiTheme="minorEastAsia"/>
          <w:color w:val="auto"/>
          <w:sz w:val="24"/>
          <w:highlight w:val="none"/>
          <w:lang w:val="en-US" w:eastAsia="zh-CN"/>
        </w:rPr>
        <w:t xml:space="preserve">     </w:t>
      </w:r>
      <w:r>
        <w:rPr>
          <w:rFonts w:hint="eastAsia" w:asciiTheme="minorEastAsia" w:hAnsiTheme="minorEastAsia" w:eastAsiaTheme="minorEastAsia"/>
          <w:color w:val="auto"/>
          <w:sz w:val="24"/>
          <w:highlight w:val="none"/>
        </w:rPr>
        <w:t>方式执行。</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w:t>
      </w:r>
      <w:r>
        <w:rPr>
          <w:rFonts w:hint="eastAsia" w:ascii="宋体" w:hAnsi="宋体" w:cs="宋体"/>
          <w:color w:val="auto"/>
          <w:sz w:val="24"/>
          <w:highlight w:val="none"/>
          <w:lang w:val="en-US" w:eastAsia="zh-CN"/>
        </w:rPr>
        <w:t>由甲方提供施工用水用电接口，水电费按合同综合单价水电含量计算，从甲方支付的工程款中直接扣回。</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）由甲方提供施工用水用电接口，费用按（月</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项目）结算，由乙方向甲方或甲方下辖分公司</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子公司支付。水电费用按所属供电局、自来水公司收费标准，按实计算。</w:t>
      </w:r>
    </w:p>
    <w:p>
      <w:pPr>
        <w:snapToGrid w:val="0"/>
        <w:spacing w:line="360" w:lineRule="auto"/>
        <w:ind w:firstLine="480" w:firstLineChars="200"/>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6.7</w:t>
      </w:r>
      <w:r>
        <w:rPr>
          <w:rFonts w:hint="eastAsia" w:asciiTheme="minorEastAsia" w:hAnsiTheme="minorEastAsia" w:eastAsiaTheme="minorEastAsia" w:cstheme="minorEastAsia"/>
          <w:color w:val="auto"/>
          <w:sz w:val="24"/>
          <w:highlight w:val="none"/>
        </w:rPr>
        <w:t>环境保护要求：</w:t>
      </w:r>
    </w:p>
    <w:p>
      <w:pPr>
        <w:snapToGrid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r>
        <w:rPr>
          <w:rFonts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rPr>
        <w:t>）做好施工噪声、废气、废水等控制；</w:t>
      </w:r>
    </w:p>
    <w:p>
      <w:pPr>
        <w:snapToGrid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r>
        <w:rPr>
          <w:rFonts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rPr>
        <w:t>）按照国家及广州市相关规定做好建筑垃圾的处理。</w:t>
      </w:r>
    </w:p>
    <w:p>
      <w:pPr>
        <w:spacing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xml:space="preserve">6.8 </w:t>
      </w:r>
      <w:r>
        <w:rPr>
          <w:rFonts w:hint="eastAsia" w:asciiTheme="minorEastAsia" w:hAnsiTheme="minorEastAsia" w:eastAsiaTheme="minorEastAsia"/>
          <w:color w:val="auto"/>
          <w:sz w:val="24"/>
          <w:highlight w:val="none"/>
        </w:rPr>
        <w:t>乙方应保证施工现场整齐，在完工验收合格后日内</w:t>
      </w:r>
      <w:r>
        <w:rPr>
          <w:rFonts w:hint="eastAsia" w:asciiTheme="minorEastAsia" w:hAnsiTheme="minorEastAsia" w:eastAsiaTheme="minorEastAsia" w:cstheme="minorEastAsia"/>
          <w:color w:val="auto"/>
          <w:sz w:val="24"/>
          <w:highlight w:val="none"/>
        </w:rPr>
        <w:t>将产生的垃圾、淤泥清离现场并进行合法处置。</w:t>
      </w:r>
    </w:p>
    <w:p>
      <w:pPr>
        <w:snapToGrid w:val="0"/>
        <w:spacing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xml:space="preserve">6.9 </w:t>
      </w:r>
      <w:r>
        <w:rPr>
          <w:rFonts w:hint="eastAsia" w:asciiTheme="minorEastAsia" w:hAnsiTheme="minorEastAsia" w:eastAsiaTheme="minorEastAsia"/>
          <w:color w:val="auto"/>
          <w:sz w:val="24"/>
          <w:highlight w:val="none"/>
        </w:rPr>
        <w:t>乙方应做好施工人员的安全培训教育，乙方人员安全责任由乙方承担。</w:t>
      </w:r>
    </w:p>
    <w:p>
      <w:pPr>
        <w:snapToGrid w:val="0"/>
        <w:spacing w:line="360" w:lineRule="auto"/>
        <w:ind w:firstLine="480" w:firstLineChars="200"/>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 xml:space="preserve">6.10 </w:t>
      </w:r>
      <w:r>
        <w:rPr>
          <w:rFonts w:hint="eastAsia" w:asciiTheme="minorEastAsia" w:hAnsiTheme="minorEastAsia" w:eastAsiaTheme="minorEastAsia" w:cstheme="minorEastAsia"/>
          <w:color w:val="auto"/>
          <w:sz w:val="24"/>
          <w:highlight w:val="none"/>
        </w:rPr>
        <w:t>乙方应执行相关法律法规及甲方相关作业施工管理要求。</w:t>
      </w:r>
    </w:p>
    <w:p>
      <w:pPr>
        <w:spacing w:line="360" w:lineRule="auto"/>
        <w:ind w:firstLine="482"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bCs/>
          <w:color w:val="auto"/>
          <w:sz w:val="24"/>
          <w:highlight w:val="none"/>
        </w:rPr>
        <w:t>第七条</w:t>
      </w:r>
      <w:r>
        <w:rPr>
          <w:rFonts w:hint="eastAsia" w:asciiTheme="minorEastAsia" w:hAnsiTheme="minorEastAsia" w:eastAsiaTheme="minorEastAsia" w:cstheme="minorEastAsia"/>
          <w:b/>
          <w:color w:val="auto"/>
          <w:sz w:val="24"/>
          <w:highlight w:val="none"/>
        </w:rPr>
        <w:t>工程验收：</w:t>
      </w:r>
    </w:p>
    <w:p>
      <w:pPr>
        <w:spacing w:line="360" w:lineRule="auto"/>
        <w:ind w:firstLine="480" w:firstLineChars="200"/>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7.1</w:t>
      </w:r>
      <w:r>
        <w:rPr>
          <w:rFonts w:hint="eastAsia" w:asciiTheme="minorEastAsia" w:hAnsiTheme="minorEastAsia" w:eastAsiaTheme="minorEastAsia" w:cstheme="minorEastAsia"/>
          <w:color w:val="auto"/>
          <w:sz w:val="24"/>
          <w:highlight w:val="none"/>
        </w:rPr>
        <w:t>乙方应在工程完工后天内向甲方提交完整的竣工验收资料（</w:t>
      </w:r>
      <w:r>
        <w:rPr>
          <w:rFonts w:hint="eastAsia" w:asciiTheme="minorEastAsia" w:hAnsiTheme="minorEastAsia" w:eastAsiaTheme="minorEastAsia" w:cstheme="minorEastAsia"/>
          <w:color w:val="auto"/>
          <w:sz w:val="24"/>
          <w:highlight w:val="none"/>
          <w:u w:val="single"/>
        </w:rPr>
        <w:t>具体包括：</w:t>
      </w:r>
      <w:r>
        <w:rPr>
          <w:rFonts w:hint="eastAsia" w:asciiTheme="minorEastAsia" w:hAnsiTheme="minorEastAsia" w:eastAsiaTheme="minorEastAsia" w:cstheme="minorEastAsia"/>
          <w:color w:val="auto"/>
          <w:sz w:val="24"/>
          <w:highlight w:val="none"/>
          <w:u w:val="single"/>
          <w:lang w:eastAsia="zh-CN"/>
        </w:rPr>
        <w:t>…</w:t>
      </w:r>
      <w:r>
        <w:rPr>
          <w:rFonts w:hint="eastAsia" w:asciiTheme="minorEastAsia" w:hAnsiTheme="minorEastAsia" w:eastAsiaTheme="minorEastAsia" w:cstheme="minorEastAsia"/>
          <w:color w:val="auto"/>
          <w:sz w:val="24"/>
          <w:highlight w:val="none"/>
          <w:u w:val="single"/>
        </w:rPr>
        <w:t>）</w:t>
      </w:r>
      <w:r>
        <w:rPr>
          <w:rFonts w:hint="eastAsia" w:asciiTheme="minorEastAsia" w:hAnsiTheme="minorEastAsia" w:eastAsiaTheme="minorEastAsia" w:cstheme="minorEastAsia"/>
          <w:color w:val="auto"/>
          <w:sz w:val="24"/>
          <w:highlight w:val="none"/>
        </w:rPr>
        <w:t>和竣工验收报告各一式份，不按时报送工程竣工资料的，每逾期一天，乙方支付</w:t>
      </w:r>
      <w:r>
        <w:rPr>
          <w:rFonts w:hint="eastAsia" w:asciiTheme="minorEastAsia" w:hAnsiTheme="minorEastAsia" w:eastAsiaTheme="minorEastAsia" w:cstheme="minorEastAsia"/>
          <w:color w:val="auto"/>
          <w:sz w:val="24"/>
          <w:highlight w:val="none"/>
          <w:u w:val="single"/>
        </w:rPr>
        <w:t>合同暂定总价万分之五</w:t>
      </w:r>
      <w:r>
        <w:rPr>
          <w:rFonts w:asciiTheme="minorEastAsia" w:hAnsiTheme="minorEastAsia" w:eastAsiaTheme="minorEastAsia" w:cstheme="minorEastAsia"/>
          <w:color w:val="auto"/>
          <w:sz w:val="24"/>
          <w:highlight w:val="none"/>
          <w:u w:val="single"/>
        </w:rPr>
        <w:t>/天</w:t>
      </w:r>
      <w:r>
        <w:rPr>
          <w:rFonts w:hint="eastAsia" w:asciiTheme="minorEastAsia" w:hAnsiTheme="minorEastAsia" w:eastAsiaTheme="minorEastAsia" w:cstheme="minorEastAsia"/>
          <w:color w:val="auto"/>
          <w:sz w:val="24"/>
          <w:highlight w:val="none"/>
        </w:rPr>
        <w:t>作为违约金，并在支付合同结算款时抵扣。</w:t>
      </w:r>
    </w:p>
    <w:p>
      <w:pPr>
        <w:spacing w:line="360" w:lineRule="auto"/>
        <w:ind w:firstLine="480" w:firstLineChars="200"/>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7.2</w:t>
      </w:r>
      <w:r>
        <w:rPr>
          <w:rFonts w:hint="eastAsia" w:asciiTheme="minorEastAsia" w:hAnsiTheme="minorEastAsia" w:eastAsiaTheme="minorEastAsia" w:cstheme="minorEastAsia"/>
          <w:color w:val="auto"/>
          <w:sz w:val="24"/>
          <w:highlight w:val="none"/>
        </w:rPr>
        <w:t>甲方在收到完整的竣工验收资料后天内，根据国家、省、广州市的工程验收标准有关规定，组织人员进行竣工验收，经竣工验收合格后签发竣工验收报告。如未能通过竣工验收，乙方应按甲方要求在天内无偿返工，并重新申请验收。工期不予顺延。</w:t>
      </w:r>
    </w:p>
    <w:p>
      <w:pPr>
        <w:spacing w:line="360" w:lineRule="auto"/>
        <w:ind w:firstLine="480" w:firstLineChars="200"/>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7.3</w:t>
      </w:r>
      <w:r>
        <w:rPr>
          <w:rFonts w:hint="eastAsia" w:asciiTheme="minorEastAsia" w:hAnsiTheme="minorEastAsia" w:eastAsiaTheme="minorEastAsia" w:cstheme="minorEastAsia"/>
          <w:color w:val="auto"/>
          <w:sz w:val="24"/>
          <w:highlight w:val="none"/>
        </w:rPr>
        <w:t>工程竣工验收合格的，乙方送交完整的竣工验收资料和竣工验收报告的日期为实际竣工日期。工程按甲方要求整改后通过竣工验收的，实际竣工日期为乙方重新提请甲方验收的日期。</w:t>
      </w:r>
    </w:p>
    <w:p>
      <w:pPr>
        <w:tabs>
          <w:tab w:val="left" w:pos="210"/>
          <w:tab w:val="left" w:pos="851"/>
        </w:tabs>
        <w:adjustRightInd w:val="0"/>
        <w:snapToGrid w:val="0"/>
        <w:spacing w:line="360" w:lineRule="auto"/>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第八条双方的权利义务：</w:t>
      </w:r>
    </w:p>
    <w:p>
      <w:pPr>
        <w:spacing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8.1</w:t>
      </w:r>
      <w:r>
        <w:rPr>
          <w:rFonts w:hint="eastAsia" w:asciiTheme="minorEastAsia" w:hAnsiTheme="minorEastAsia" w:eastAsiaTheme="minorEastAsia"/>
          <w:color w:val="auto"/>
          <w:sz w:val="24"/>
          <w:highlight w:val="none"/>
        </w:rPr>
        <w:t>甲方应按本合同约定的付款方式支付合同价款。</w:t>
      </w:r>
    </w:p>
    <w:p>
      <w:pPr>
        <w:spacing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xml:space="preserve">8.2 </w:t>
      </w:r>
      <w:r>
        <w:rPr>
          <w:rFonts w:hint="eastAsia" w:asciiTheme="minorEastAsia" w:hAnsiTheme="minorEastAsia" w:eastAsiaTheme="minorEastAsia"/>
          <w:color w:val="auto"/>
          <w:sz w:val="24"/>
          <w:highlight w:val="none"/>
        </w:rPr>
        <w:t>乙方禁止将所承包的工程转包和分包给第三人。</w:t>
      </w:r>
    </w:p>
    <w:p>
      <w:pPr>
        <w:spacing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xml:space="preserve">8.3 </w:t>
      </w:r>
      <w:r>
        <w:rPr>
          <w:rFonts w:hint="eastAsia" w:asciiTheme="minorEastAsia" w:hAnsiTheme="minorEastAsia" w:eastAsiaTheme="minorEastAsia"/>
          <w:color w:val="auto"/>
          <w:sz w:val="24"/>
          <w:highlight w:val="none"/>
        </w:rPr>
        <w:t>乙方必须按照合同要求实施工程。完工后及时通知甲方对工程进行完工验收。</w:t>
      </w:r>
    </w:p>
    <w:p>
      <w:pPr>
        <w:spacing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xml:space="preserve">8.4 </w:t>
      </w:r>
      <w:r>
        <w:rPr>
          <w:rFonts w:hint="eastAsia" w:asciiTheme="minorEastAsia" w:hAnsiTheme="minorEastAsia" w:eastAsiaTheme="minorEastAsia"/>
          <w:color w:val="auto"/>
          <w:sz w:val="24"/>
          <w:highlight w:val="none"/>
        </w:rPr>
        <w:t>乙方在施工过程中应管理好施工人员，妥善保管好材料、设备和工具，负责施工现场的清理工作。</w:t>
      </w:r>
    </w:p>
    <w:p>
      <w:pPr>
        <w:spacing w:line="384" w:lineRule="auto"/>
        <w:ind w:firstLine="480" w:firstLineChars="200"/>
        <w:outlineLvl w:val="0"/>
        <w:rPr>
          <w:rFonts w:ascii="宋体" w:hAnsi="宋体" w:cs="宋体"/>
          <w:color w:val="auto"/>
          <w:sz w:val="24"/>
          <w:highlight w:val="none"/>
        </w:rPr>
      </w:pPr>
      <w:r>
        <w:rPr>
          <w:rFonts w:ascii="宋体" w:hAnsi="宋体" w:cs="宋体"/>
          <w:color w:val="auto"/>
          <w:sz w:val="24"/>
          <w:highlight w:val="none"/>
        </w:rPr>
        <w:t>8.5</w:t>
      </w:r>
      <w:r>
        <w:rPr>
          <w:rFonts w:hint="eastAsia" w:ascii="宋体" w:hAnsi="宋体" w:cs="宋体"/>
          <w:color w:val="auto"/>
          <w:sz w:val="24"/>
          <w:highlight w:val="none"/>
        </w:rPr>
        <w:t>履约担保：</w:t>
      </w:r>
      <w:r>
        <w:rPr>
          <w:rFonts w:hint="eastAsia" w:ascii="宋体" w:hAnsi="宋体" w:cs="宋体"/>
          <w:color w:val="auto"/>
          <w:szCs w:val="21"/>
          <w:highlight w:val="none"/>
          <w:lang w:eastAsia="zh-CN"/>
        </w:rPr>
        <w:t>□</w:t>
      </w:r>
      <w:r>
        <w:rPr>
          <w:rFonts w:hint="eastAsia" w:ascii="宋体" w:hAnsi="宋体" w:cs="宋体"/>
          <w:bCs/>
          <w:color w:val="auto"/>
          <w:sz w:val="24"/>
          <w:highlight w:val="none"/>
        </w:rPr>
        <w:t>无；</w:t>
      </w:r>
      <w:r>
        <w:rPr>
          <w:rFonts w:hint="eastAsia" w:ascii="仿宋_GB2312" w:eastAsia="仿宋_GB2312"/>
          <w:color w:val="auto"/>
          <w:sz w:val="28"/>
          <w:szCs w:val="28"/>
          <w:highlight w:val="none"/>
          <w:lang w:eastAsia="zh-CN"/>
        </w:rPr>
        <w:t>☑</w:t>
      </w:r>
      <w:r>
        <w:rPr>
          <w:rFonts w:hint="eastAsia" w:ascii="宋体" w:hAnsi="宋体" w:cs="宋体"/>
          <w:color w:val="auto"/>
          <w:szCs w:val="21"/>
          <w:highlight w:val="none"/>
        </w:rPr>
        <w:t>有,</w:t>
      </w:r>
      <w:r>
        <w:rPr>
          <w:rFonts w:hint="eastAsia" w:ascii="宋体" w:hAnsi="宋体" w:cs="宋体"/>
          <w:color w:val="auto"/>
          <w:sz w:val="24"/>
          <w:highlight w:val="none"/>
        </w:rPr>
        <w:t>本合同签订后</w:t>
      </w:r>
      <w:r>
        <w:rPr>
          <w:rFonts w:ascii="宋体" w:hAnsi="宋体" w:cs="宋体"/>
          <w:color w:val="auto"/>
          <w:sz w:val="24"/>
          <w:highlight w:val="none"/>
        </w:rPr>
        <w:t>10</w:t>
      </w:r>
      <w:r>
        <w:rPr>
          <w:rFonts w:hint="eastAsia" w:ascii="宋体" w:hAnsi="宋体" w:cs="宋体"/>
          <w:color w:val="auto"/>
          <w:sz w:val="24"/>
          <w:highlight w:val="none"/>
        </w:rPr>
        <w:t>日内</w:t>
      </w:r>
      <w:r>
        <w:rPr>
          <w:rFonts w:hint="eastAsia" w:ascii="宋体" w:hAnsi="宋体" w:cs="宋体"/>
          <w:color w:val="auto"/>
          <w:sz w:val="24"/>
          <w:highlight w:val="none"/>
          <w:u w:val="single"/>
        </w:rPr>
        <w:t>以合同暂定总价的</w:t>
      </w:r>
      <w:r>
        <w:rPr>
          <w:rFonts w:ascii="宋体" w:hAnsi="宋体" w:cs="宋体"/>
          <w:color w:val="auto"/>
          <w:sz w:val="24"/>
          <w:highlight w:val="none"/>
          <w:u w:val="single"/>
        </w:rPr>
        <w:t>10%</w:t>
      </w:r>
      <w:r>
        <w:rPr>
          <w:rFonts w:hint="eastAsia" w:ascii="宋体" w:hAnsi="宋体" w:cs="宋体"/>
          <w:color w:val="auto"/>
          <w:sz w:val="24"/>
          <w:highlight w:val="none"/>
          <w:u w:val="single"/>
        </w:rPr>
        <w:t>作为履约保证金，</w:t>
      </w:r>
      <w:r>
        <w:rPr>
          <w:rFonts w:hint="eastAsia" w:ascii="宋体" w:hAnsi="宋体" w:cs="宋体"/>
          <w:color w:val="auto"/>
          <w:sz w:val="24"/>
          <w:highlight w:val="none"/>
        </w:rPr>
        <w:t>金额为：…</w:t>
      </w:r>
      <w:r>
        <w:rPr>
          <w:rFonts w:hint="eastAsia" w:ascii="宋体" w:hAnsi="宋体" w:cs="宋体"/>
          <w:color w:val="auto"/>
          <w:sz w:val="24"/>
          <w:highlight w:val="none"/>
          <w:u w:val="single"/>
        </w:rPr>
        <w:t>（大写人民币：…），</w:t>
      </w:r>
      <w:r>
        <w:rPr>
          <w:rFonts w:hint="eastAsia" w:ascii="宋体" w:hAnsi="宋体" w:cs="宋体"/>
          <w:color w:val="auto"/>
          <w:sz w:val="24"/>
          <w:highlight w:val="none"/>
        </w:rPr>
        <w:t>未按时提供的，甲方有权解除合同并要求乙方支付</w:t>
      </w:r>
      <w:r>
        <w:rPr>
          <w:rFonts w:hint="eastAsia" w:ascii="宋体" w:hAnsi="宋体" w:cs="宋体"/>
          <w:color w:val="auto"/>
          <w:sz w:val="24"/>
          <w:highlight w:val="none"/>
          <w:u w:val="single"/>
        </w:rPr>
        <w:t>合同暂定总价</w:t>
      </w:r>
      <w:r>
        <w:rPr>
          <w:rFonts w:ascii="宋体" w:hAnsi="宋体" w:cs="宋体"/>
          <w:color w:val="auto"/>
          <w:sz w:val="24"/>
          <w:highlight w:val="none"/>
          <w:u w:val="single"/>
        </w:rPr>
        <w:t>20%</w:t>
      </w:r>
      <w:r>
        <w:rPr>
          <w:rFonts w:hint="eastAsia" w:ascii="宋体" w:hAnsi="宋体" w:cs="宋体"/>
          <w:color w:val="auto"/>
          <w:sz w:val="24"/>
          <w:highlight w:val="none"/>
        </w:rPr>
        <w:t>作为违约金。</w:t>
      </w:r>
    </w:p>
    <w:p>
      <w:pPr>
        <w:pStyle w:val="20"/>
        <w:spacing w:before="0" w:beforeAutospacing="0" w:after="0" w:afterAutospacing="0" w:line="384" w:lineRule="auto"/>
        <w:ind w:firstLine="480" w:firstLineChars="200"/>
        <w:rPr>
          <w:color w:val="auto"/>
          <w:highlight w:val="none"/>
        </w:rPr>
      </w:pPr>
      <w:r>
        <w:rPr>
          <w:rFonts w:cs="宋体"/>
          <w:color w:val="auto"/>
          <w:highlight w:val="none"/>
        </w:rPr>
        <w:t>8.5.1</w:t>
      </w:r>
      <w:r>
        <w:rPr>
          <w:color w:val="auto"/>
          <w:highlight w:val="none"/>
        </w:rPr>
        <w:t>履约担保</w:t>
      </w:r>
      <w:r>
        <w:rPr>
          <w:rFonts w:hint="eastAsia"/>
          <w:color w:val="auto"/>
          <w:highlight w:val="none"/>
        </w:rPr>
        <w:t>按以下任一种形式提供</w:t>
      </w:r>
      <w:r>
        <w:rPr>
          <w:color w:val="auto"/>
          <w:highlight w:val="none"/>
        </w:rPr>
        <w:t>：</w:t>
      </w:r>
    </w:p>
    <w:p>
      <w:pPr>
        <w:pStyle w:val="20"/>
        <w:spacing w:before="0" w:beforeAutospacing="0" w:after="0" w:afterAutospacing="0" w:line="360" w:lineRule="auto"/>
        <w:ind w:firstLine="480"/>
        <w:rPr>
          <w:color w:val="auto"/>
          <w:highlight w:val="none"/>
        </w:rPr>
      </w:pPr>
      <w:r>
        <w:rPr>
          <w:rFonts w:hint="eastAsia"/>
          <w:color w:val="auto"/>
          <w:highlight w:val="none"/>
        </w:rPr>
        <w:t>（1）符合甲方要求（详见附件7保函格式）的银行独立保函，</w:t>
      </w:r>
    </w:p>
    <w:p>
      <w:pPr>
        <w:pStyle w:val="20"/>
        <w:spacing w:before="0" w:beforeAutospacing="0" w:after="0" w:afterAutospacing="0" w:line="360" w:lineRule="auto"/>
        <w:ind w:firstLine="480"/>
        <w:rPr>
          <w:color w:val="auto"/>
          <w:highlight w:val="none"/>
        </w:rPr>
      </w:pPr>
      <w:r>
        <w:rPr>
          <w:rFonts w:hint="eastAsia"/>
          <w:color w:val="auto"/>
          <w:highlight w:val="none"/>
        </w:rPr>
        <w:t>（2）现金转账至甲方以下指定账户：</w:t>
      </w:r>
    </w:p>
    <w:p>
      <w:pPr>
        <w:tabs>
          <w:tab w:val="left" w:pos="1995"/>
        </w:tabs>
        <w:spacing w:line="384"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户名：广州市净水有限公司</w:t>
      </w:r>
    </w:p>
    <w:p>
      <w:pPr>
        <w:tabs>
          <w:tab w:val="left" w:pos="1995"/>
        </w:tabs>
        <w:spacing w:line="384"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账号：</w:t>
      </w:r>
      <w:r>
        <w:rPr>
          <w:rFonts w:ascii="宋体" w:hAnsi="宋体" w:cs="宋体"/>
          <w:bCs/>
          <w:color w:val="auto"/>
          <w:sz w:val="24"/>
          <w:highlight w:val="none"/>
        </w:rPr>
        <w:t>82010154900000342</w:t>
      </w:r>
    </w:p>
    <w:p>
      <w:pPr>
        <w:tabs>
          <w:tab w:val="left" w:pos="1995"/>
        </w:tabs>
        <w:spacing w:line="384"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开户行：浦发银行广州分行</w:t>
      </w:r>
    </w:p>
    <w:p>
      <w:pPr>
        <w:spacing w:line="384" w:lineRule="auto"/>
        <w:ind w:firstLine="480" w:firstLineChars="200"/>
        <w:outlineLvl w:val="0"/>
        <w:rPr>
          <w:rFonts w:ascii="宋体" w:hAnsi="宋体" w:cs="宋体"/>
          <w:color w:val="auto"/>
          <w:sz w:val="24"/>
          <w:highlight w:val="none"/>
        </w:rPr>
      </w:pPr>
      <w:r>
        <w:rPr>
          <w:rFonts w:ascii="宋体" w:hAnsi="宋体" w:cs="宋体"/>
          <w:color w:val="auto"/>
          <w:sz w:val="24"/>
          <w:highlight w:val="none"/>
        </w:rPr>
        <w:t>8.5.2</w:t>
      </w:r>
      <w:r>
        <w:rPr>
          <w:rFonts w:hint="eastAsia" w:ascii="宋体" w:hAnsi="宋体" w:cs="宋体"/>
          <w:color w:val="auto"/>
          <w:sz w:val="24"/>
          <w:highlight w:val="none"/>
        </w:rPr>
        <w:t>履约担保的担保期限和返还</w:t>
      </w:r>
    </w:p>
    <w:p>
      <w:pPr>
        <w:spacing w:line="384" w:lineRule="auto"/>
        <w:ind w:firstLine="480"/>
        <w:outlineLvl w:val="0"/>
        <w:rPr>
          <w:rFonts w:ascii="宋体" w:hAnsi="宋体" w:cs="宋体"/>
          <w:color w:val="auto"/>
          <w:sz w:val="24"/>
          <w:highlight w:val="none"/>
        </w:rPr>
      </w:pPr>
      <w:r>
        <w:rPr>
          <w:rFonts w:hint="eastAsia" w:ascii="宋体" w:hAnsi="宋体" w:cs="宋体"/>
          <w:color w:val="auto"/>
          <w:sz w:val="24"/>
          <w:highlight w:val="none"/>
        </w:rPr>
        <w:t>⑴履约银行保函（或现金履约保证金）的担保期限：从提供履约担保（或转账成功）之日起至合同履行完成。</w:t>
      </w:r>
    </w:p>
    <w:p>
      <w:pPr>
        <w:spacing w:line="38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⑵履约银行保函在合同履行完成后，由乙方提出申请，甲方在28日内返还，不支付利息：</w:t>
      </w:r>
    </w:p>
    <w:p>
      <w:pPr>
        <w:spacing w:line="384" w:lineRule="auto"/>
        <w:ind w:firstLine="600" w:firstLineChars="250"/>
        <w:outlineLvl w:val="0"/>
        <w:rPr>
          <w:rFonts w:ascii="宋体" w:hAnsi="宋体" w:cs="宋体"/>
          <w:color w:val="auto"/>
          <w:sz w:val="24"/>
          <w:highlight w:val="none"/>
        </w:rPr>
      </w:pPr>
      <w:r>
        <w:rPr>
          <w:rFonts w:hint="eastAsia" w:ascii="宋体" w:hAnsi="宋体" w:cs="宋体"/>
          <w:color w:val="auto"/>
          <w:sz w:val="24"/>
          <w:highlight w:val="none"/>
        </w:rPr>
        <w:t>⑶延长担保期限。乙方以履约银行保函形式提交履约保证金的，在银行保函到期前，乙方应提前</w:t>
      </w:r>
      <w:r>
        <w:rPr>
          <w:rFonts w:ascii="宋体" w:hAnsi="宋体" w:cs="宋体"/>
          <w:color w:val="auto"/>
          <w:sz w:val="24"/>
          <w:highlight w:val="none"/>
          <w:u w:val="single"/>
        </w:rPr>
        <w:t xml:space="preserve"> 7 </w:t>
      </w:r>
      <w:r>
        <w:rPr>
          <w:rFonts w:hint="eastAsia" w:ascii="宋体" w:hAnsi="宋体" w:cs="宋体"/>
          <w:color w:val="auto"/>
          <w:sz w:val="24"/>
          <w:highlight w:val="none"/>
        </w:rPr>
        <w:t>日向甲方提交新的保函以替换即将到期的保函。如乙方未及时提交的，甲方有权直接要求担保银行支付其担保的全部金额并解除合同。</w:t>
      </w:r>
    </w:p>
    <w:p>
      <w:pPr>
        <w:pStyle w:val="20"/>
        <w:spacing w:before="0" w:beforeAutospacing="0" w:after="0" w:afterAutospacing="0" w:line="384" w:lineRule="auto"/>
        <w:ind w:left="199" w:leftChars="95" w:firstLine="360" w:firstLineChars="150"/>
        <w:rPr>
          <w:rFonts w:cs="宋体"/>
          <w:color w:val="auto"/>
          <w:highlight w:val="none"/>
          <w:u w:val="single"/>
        </w:rPr>
      </w:pPr>
      <w:r>
        <w:rPr>
          <w:rFonts w:hint="eastAsia" w:cs="宋体"/>
          <w:color w:val="auto"/>
          <w:highlight w:val="none"/>
        </w:rPr>
        <w:t>（</w:t>
      </w:r>
      <w:r>
        <w:rPr>
          <w:rFonts w:cs="宋体"/>
          <w:color w:val="auto"/>
          <w:highlight w:val="none"/>
        </w:rPr>
        <w:t>4</w:t>
      </w:r>
      <w:r>
        <w:rPr>
          <w:rFonts w:hint="eastAsia" w:cs="宋体"/>
          <w:color w:val="auto"/>
          <w:highlight w:val="none"/>
        </w:rPr>
        <w:t>）现金履约保证金的退还：合同履行完成后，由乙方提出申请，甲方在</w:t>
      </w:r>
      <w:r>
        <w:rPr>
          <w:rFonts w:hint="eastAsia" w:cs="宋体"/>
          <w:color w:val="auto"/>
          <w:highlight w:val="none"/>
          <w:u w:val="single"/>
        </w:rPr>
        <w:t>28日</w:t>
      </w:r>
      <w:r>
        <w:rPr>
          <w:rFonts w:hint="eastAsia" w:cs="宋体"/>
          <w:color w:val="auto"/>
          <w:highlight w:val="none"/>
        </w:rPr>
        <w:t>内将剩余保证金（无息）返还。</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8.5.3</w:t>
      </w:r>
      <w:r>
        <w:rPr>
          <w:rFonts w:hint="eastAsia" w:ascii="宋体" w:hAnsi="宋体" w:cs="宋体"/>
          <w:color w:val="auto"/>
          <w:sz w:val="24"/>
          <w:highlight w:val="none"/>
        </w:rPr>
        <w:t>甲方按本合同规定提取履约担保金额后，乙方应在收到甲方通知后</w:t>
      </w:r>
    </w:p>
    <w:p>
      <w:pPr>
        <w:spacing w:line="384" w:lineRule="auto"/>
        <w:rPr>
          <w:rFonts w:ascii="宋体" w:hAnsi="宋体" w:cs="宋体"/>
          <w:color w:val="auto"/>
          <w:sz w:val="24"/>
          <w:highlight w:val="none"/>
        </w:rPr>
      </w:pPr>
      <w:r>
        <w:rPr>
          <w:rFonts w:ascii="宋体" w:hAnsi="宋体" w:cs="宋体"/>
          <w:color w:val="auto"/>
          <w:sz w:val="24"/>
          <w:highlight w:val="none"/>
          <w:u w:val="single"/>
        </w:rPr>
        <w:t xml:space="preserve">  7  </w:t>
      </w:r>
      <w:r>
        <w:rPr>
          <w:rFonts w:hint="eastAsia" w:ascii="宋体" w:hAnsi="宋体" w:cs="宋体"/>
          <w:color w:val="auto"/>
          <w:sz w:val="24"/>
          <w:highlight w:val="none"/>
        </w:rPr>
        <w:t>日内补足数额，逾期未补足的，则甲方有权提取履约担保的全部余额并解除合同。</w:t>
      </w:r>
    </w:p>
    <w:p>
      <w:pPr>
        <w:tabs>
          <w:tab w:val="left" w:pos="851"/>
        </w:tabs>
        <w:adjustRightInd w:val="0"/>
        <w:snapToGrid w:val="0"/>
        <w:spacing w:line="360" w:lineRule="auto"/>
        <w:ind w:firstLine="480" w:firstLineChars="200"/>
        <w:jc w:val="left"/>
        <w:outlineLvl w:val="1"/>
        <w:rPr>
          <w:rFonts w:hint="eastAsia" w:asciiTheme="minorEastAsia" w:hAnsiTheme="minorEastAsia" w:eastAsiaTheme="minorEastAsia"/>
          <w:b/>
          <w:color w:val="auto"/>
          <w:sz w:val="24"/>
          <w:highlight w:val="none"/>
        </w:rPr>
      </w:pPr>
      <w:r>
        <w:rPr>
          <w:rFonts w:hAnsi="宋体" w:cs="宋体"/>
          <w:color w:val="auto"/>
          <w:sz w:val="24"/>
          <w:highlight w:val="none"/>
        </w:rPr>
        <w:t>8.6</w:t>
      </w:r>
      <w:r>
        <w:rPr>
          <w:rFonts w:hint="eastAsia" w:asciiTheme="minorEastAsia" w:hAnsiTheme="minorEastAsia" w:cstheme="minorEastAsia"/>
          <w:color w:val="auto"/>
          <w:sz w:val="24"/>
          <w:highlight w:val="none"/>
        </w:rPr>
        <w:t xml:space="preserve">付款方式： </w:t>
      </w:r>
      <w:r>
        <w:rPr>
          <w:rFonts w:hint="eastAsia" w:asciiTheme="minorEastAsia" w:hAnsiTheme="minorEastAsia" w:cstheme="minorEastAsia"/>
          <w:color w:val="auto"/>
          <w:sz w:val="24"/>
          <w:highlight w:val="none"/>
        </w:rPr>
        <w:sym w:font="Wingdings" w:char="00FE"/>
      </w:r>
      <w:r>
        <w:rPr>
          <w:rFonts w:hint="eastAsia" w:asciiTheme="minorEastAsia" w:hAnsiTheme="minorEastAsia" w:cstheme="minorEastAsia"/>
          <w:color w:val="auto"/>
          <w:sz w:val="24"/>
          <w:highlight w:val="none"/>
        </w:rPr>
        <w:t xml:space="preserve">网银支付；  </w:t>
      </w:r>
      <w:r>
        <w:rPr>
          <w:rFonts w:hint="eastAsia" w:asciiTheme="minorEastAsia" w:hAnsiTheme="minorEastAsia" w:cstheme="minorEastAsia"/>
          <w:color w:val="auto"/>
          <w:sz w:val="24"/>
          <w:highlight w:val="none"/>
        </w:rPr>
        <w:sym w:font="Wingdings" w:char="00A8"/>
      </w:r>
      <w:r>
        <w:rPr>
          <w:rFonts w:hint="eastAsia" w:asciiTheme="minorEastAsia" w:hAnsiTheme="minorEastAsia" w:cstheme="minorEastAsia"/>
          <w:color w:val="auto"/>
          <w:sz w:val="24"/>
          <w:highlight w:val="none"/>
        </w:rPr>
        <w:t xml:space="preserve">支票；   </w:t>
      </w:r>
      <w:r>
        <w:rPr>
          <w:rFonts w:hint="eastAsia" w:asciiTheme="minorEastAsia" w:hAnsiTheme="minorEastAsia" w:cstheme="minorEastAsia"/>
          <w:color w:val="auto"/>
          <w:sz w:val="24"/>
          <w:highlight w:val="none"/>
        </w:rPr>
        <w:sym w:font="Wingdings" w:char="00A8"/>
      </w:r>
      <w:r>
        <w:rPr>
          <w:rFonts w:hint="eastAsia" w:asciiTheme="minorEastAsia" w:hAnsiTheme="minorEastAsia" w:cstheme="minorEastAsia"/>
          <w:color w:val="auto"/>
          <w:sz w:val="24"/>
          <w:highlight w:val="none"/>
        </w:rPr>
        <w:t>其他：</w:t>
      </w:r>
    </w:p>
    <w:p>
      <w:pPr>
        <w:spacing w:line="360" w:lineRule="auto"/>
        <w:ind w:firstLine="482" w:firstLineChars="200"/>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第九条违约责任</w:t>
      </w:r>
      <w:r>
        <w:rPr>
          <w:rFonts w:asciiTheme="minorEastAsia" w:hAnsiTheme="minorEastAsia" w:eastAsiaTheme="minorEastAsia"/>
          <w:b/>
          <w:color w:val="auto"/>
          <w:sz w:val="24"/>
          <w:highlight w:val="none"/>
        </w:rPr>
        <w:t>:</w:t>
      </w:r>
    </w:p>
    <w:p>
      <w:pPr>
        <w:pStyle w:val="11"/>
        <w:tabs>
          <w:tab w:val="left" w:pos="618"/>
        </w:tabs>
        <w:spacing w:line="360" w:lineRule="auto"/>
        <w:ind w:firstLine="480" w:firstLineChars="200"/>
        <w:rPr>
          <w:rFonts w:asciiTheme="minorEastAsia" w:hAnsiTheme="minorEastAsia" w:eastAsiaTheme="minorEastAsia" w:cstheme="minorEastAsia"/>
          <w:bCs/>
          <w:color w:val="auto"/>
          <w:kern w:val="0"/>
          <w:sz w:val="24"/>
          <w:szCs w:val="24"/>
          <w:highlight w:val="none"/>
        </w:rPr>
      </w:pPr>
      <w:r>
        <w:rPr>
          <w:rFonts w:asciiTheme="minorEastAsia" w:hAnsiTheme="minorEastAsia" w:eastAsiaTheme="minorEastAsia"/>
          <w:color w:val="auto"/>
          <w:sz w:val="24"/>
          <w:szCs w:val="24"/>
          <w:highlight w:val="none"/>
        </w:rPr>
        <w:t xml:space="preserve">9.1 </w:t>
      </w:r>
      <w:r>
        <w:rPr>
          <w:rFonts w:hint="eastAsia" w:asciiTheme="minorEastAsia" w:hAnsiTheme="minorEastAsia" w:eastAsiaTheme="minorEastAsia" w:cstheme="minorEastAsia"/>
          <w:bCs/>
          <w:color w:val="auto"/>
          <w:kern w:val="0"/>
          <w:sz w:val="24"/>
          <w:szCs w:val="24"/>
          <w:highlight w:val="none"/>
        </w:rPr>
        <w:t>乙方未能按合同工期竣工验收的，每逾期一天，甲方有权要求乙方按</w:t>
      </w:r>
      <w:r>
        <w:rPr>
          <w:rFonts w:hint="eastAsia" w:asciiTheme="minorEastAsia" w:hAnsiTheme="minorEastAsia" w:eastAsiaTheme="minorEastAsia" w:cstheme="minorEastAsia"/>
          <w:bCs/>
          <w:color w:val="auto"/>
          <w:kern w:val="0"/>
          <w:sz w:val="24"/>
          <w:szCs w:val="24"/>
          <w:highlight w:val="none"/>
          <w:u w:val="single"/>
        </w:rPr>
        <w:t>合同暂定总价的</w:t>
      </w:r>
      <w:r>
        <w:rPr>
          <w:rFonts w:asciiTheme="minorEastAsia" w:hAnsiTheme="minorEastAsia" w:eastAsiaTheme="minorEastAsia" w:cstheme="minorEastAsia"/>
          <w:bCs/>
          <w:color w:val="auto"/>
          <w:kern w:val="0"/>
          <w:sz w:val="24"/>
          <w:szCs w:val="24"/>
          <w:highlight w:val="none"/>
          <w:u w:val="single"/>
        </w:rPr>
        <w:t xml:space="preserve"> 1% </w:t>
      </w:r>
      <w:r>
        <w:rPr>
          <w:rFonts w:hint="eastAsia" w:asciiTheme="minorEastAsia" w:hAnsiTheme="minorEastAsia" w:eastAsiaTheme="minorEastAsia" w:cstheme="minorEastAsia"/>
          <w:bCs/>
          <w:color w:val="auto"/>
          <w:kern w:val="0"/>
          <w:sz w:val="24"/>
          <w:szCs w:val="24"/>
          <w:highlight w:val="none"/>
        </w:rPr>
        <w:t>支付违约金，逾期达到</w:t>
      </w:r>
      <w:r>
        <w:rPr>
          <w:rFonts w:asciiTheme="minorEastAsia" w:hAnsiTheme="minorEastAsia" w:eastAsiaTheme="minorEastAsia" w:cstheme="minorEastAsia"/>
          <w:bCs/>
          <w:color w:val="auto"/>
          <w:kern w:val="0"/>
          <w:sz w:val="24"/>
          <w:szCs w:val="24"/>
          <w:highlight w:val="none"/>
          <w:u w:val="single"/>
        </w:rPr>
        <w:t xml:space="preserve"> 10 </w:t>
      </w:r>
      <w:r>
        <w:rPr>
          <w:rFonts w:hint="eastAsia" w:asciiTheme="minorEastAsia" w:hAnsiTheme="minorEastAsia" w:eastAsiaTheme="minorEastAsia" w:cstheme="minorEastAsia"/>
          <w:bCs/>
          <w:color w:val="auto"/>
          <w:kern w:val="0"/>
          <w:sz w:val="24"/>
          <w:szCs w:val="24"/>
          <w:highlight w:val="none"/>
        </w:rPr>
        <w:t>天及以上的，甲方有权解除合同。</w:t>
      </w:r>
    </w:p>
    <w:p>
      <w:pPr>
        <w:widowControl/>
        <w:spacing w:line="360" w:lineRule="auto"/>
        <w:ind w:firstLine="480" w:firstLineChars="200"/>
        <w:jc w:val="left"/>
        <w:rPr>
          <w:rFonts w:ascii="宋体" w:hAnsi="宋体" w:cs="宋体"/>
          <w:bCs/>
          <w:color w:val="auto"/>
          <w:sz w:val="24"/>
          <w:highlight w:val="none"/>
        </w:rPr>
      </w:pPr>
      <w:r>
        <w:rPr>
          <w:rFonts w:asciiTheme="minorEastAsia" w:hAnsiTheme="minorEastAsia" w:eastAsiaTheme="minorEastAsia" w:cstheme="minorEastAsia"/>
          <w:bCs/>
          <w:color w:val="auto"/>
          <w:kern w:val="0"/>
          <w:sz w:val="24"/>
          <w:highlight w:val="none"/>
        </w:rPr>
        <w:t xml:space="preserve">9.2 </w:t>
      </w:r>
      <w:r>
        <w:rPr>
          <w:rFonts w:hint="eastAsia" w:asciiTheme="minorEastAsia" w:hAnsiTheme="minorEastAsia" w:eastAsiaTheme="minorEastAsia"/>
          <w:bCs/>
          <w:color w:val="auto"/>
          <w:sz w:val="24"/>
          <w:highlight w:val="none"/>
        </w:rPr>
        <w:t>如甲方或相关部门在施工过程中发现安全问题或者发出整改通知书，乙方应立即整改。如果逾期不整改或者整改不符合合同约定，</w:t>
      </w:r>
      <w:r>
        <w:rPr>
          <w:rFonts w:hint="eastAsia" w:ascii="宋体" w:hAnsi="宋体" w:cs="宋体"/>
          <w:bCs/>
          <w:color w:val="auto"/>
          <w:sz w:val="24"/>
          <w:highlight w:val="none"/>
        </w:rPr>
        <w:t>甲方有权要求乙方支付</w:t>
      </w:r>
      <w:r>
        <w:rPr>
          <w:rFonts w:hint="eastAsia" w:ascii="宋体" w:hAnsi="宋体" w:cs="宋体"/>
          <w:bCs/>
          <w:color w:val="auto"/>
          <w:sz w:val="24"/>
          <w:highlight w:val="none"/>
          <w:u w:val="single"/>
        </w:rPr>
        <w:t>合同暂定总价的</w:t>
      </w:r>
      <w:r>
        <w:rPr>
          <w:rFonts w:ascii="宋体" w:hAnsi="宋体" w:cs="宋体"/>
          <w:bCs/>
          <w:color w:val="auto"/>
          <w:sz w:val="24"/>
          <w:highlight w:val="none"/>
          <w:u w:val="single"/>
        </w:rPr>
        <w:t>5%/</w:t>
      </w:r>
      <w:r>
        <w:rPr>
          <w:rFonts w:hint="eastAsia" w:ascii="宋体" w:hAnsi="宋体" w:cs="宋体"/>
          <w:bCs/>
          <w:color w:val="auto"/>
          <w:sz w:val="24"/>
          <w:highlight w:val="none"/>
          <w:u w:val="single"/>
        </w:rPr>
        <w:t>次</w:t>
      </w:r>
      <w:r>
        <w:rPr>
          <w:rFonts w:hint="eastAsia" w:ascii="宋体" w:hAnsi="宋体" w:cs="宋体"/>
          <w:bCs/>
          <w:color w:val="auto"/>
          <w:sz w:val="24"/>
          <w:highlight w:val="none"/>
        </w:rPr>
        <w:t>作为违约金，超过三次（含三次）的，甲方有权解除合同，要求乙方支付</w:t>
      </w:r>
      <w:r>
        <w:rPr>
          <w:rFonts w:hint="eastAsia" w:ascii="宋体" w:hAnsi="宋体" w:cs="宋体"/>
          <w:bCs/>
          <w:color w:val="auto"/>
          <w:sz w:val="24"/>
          <w:highlight w:val="none"/>
          <w:u w:val="single"/>
        </w:rPr>
        <w:t>合同暂定总价的</w:t>
      </w:r>
      <w:r>
        <w:rPr>
          <w:rFonts w:ascii="宋体" w:hAnsi="宋体" w:cs="宋体"/>
          <w:bCs/>
          <w:color w:val="auto"/>
          <w:sz w:val="24"/>
          <w:highlight w:val="none"/>
          <w:u w:val="single"/>
        </w:rPr>
        <w:t>20%</w:t>
      </w:r>
      <w:r>
        <w:rPr>
          <w:rFonts w:hint="eastAsia" w:ascii="宋体" w:hAnsi="宋体" w:cs="宋体"/>
          <w:bCs/>
          <w:color w:val="auto"/>
          <w:sz w:val="24"/>
          <w:highlight w:val="none"/>
        </w:rPr>
        <w:t>作为违约金。由此造成的经济和法律责任，均由乙方负责。</w:t>
      </w:r>
    </w:p>
    <w:p>
      <w:pPr>
        <w:topLinePunct/>
        <w:spacing w:line="500" w:lineRule="exact"/>
        <w:ind w:firstLine="480" w:firstLineChars="200"/>
        <w:rPr>
          <w:rFonts w:hint="eastAsia" w:asciiTheme="minorEastAsia" w:hAnsiTheme="minorEastAsia" w:eastAsiaTheme="minorEastAsia"/>
          <w:bCs/>
          <w:color w:val="auto"/>
          <w:sz w:val="24"/>
          <w:highlight w:val="none"/>
          <w:lang w:val="en-US" w:eastAsia="zh-CN"/>
        </w:rPr>
      </w:pPr>
      <w:r>
        <w:rPr>
          <w:rFonts w:asciiTheme="minorEastAsia" w:hAnsiTheme="minorEastAsia" w:eastAsiaTheme="minorEastAsia"/>
          <w:bCs/>
          <w:color w:val="auto"/>
          <w:sz w:val="24"/>
          <w:highlight w:val="none"/>
        </w:rPr>
        <w:t>9.3乙方不履行合同义务、或履行合同义务不符合合同约定、或违反国家、省、市行业标准的，甲方有权要求乙方限期整改。乙方逾期未完成整改的，每项每超过1日支付违约金人民币1万元，超过_</w:t>
      </w:r>
      <w:r>
        <w:rPr>
          <w:rFonts w:hint="eastAsia" w:asciiTheme="minorEastAsia" w:hAnsiTheme="minorEastAsia" w:eastAsiaTheme="minorEastAsia"/>
          <w:bCs/>
          <w:color w:val="auto"/>
          <w:sz w:val="24"/>
          <w:highlight w:val="none"/>
          <w:u w:val="single"/>
          <w:lang w:eastAsia="zh-CN"/>
        </w:rPr>
        <w:t>…</w:t>
      </w:r>
      <w:r>
        <w:rPr>
          <w:rFonts w:asciiTheme="minorEastAsia" w:hAnsiTheme="minorEastAsia" w:eastAsiaTheme="minorEastAsia"/>
          <w:bCs/>
          <w:color w:val="auto"/>
          <w:sz w:val="24"/>
          <w:highlight w:val="none"/>
          <w:u w:val="single"/>
        </w:rPr>
        <w:t>_</w:t>
      </w:r>
      <w:r>
        <w:rPr>
          <w:rFonts w:asciiTheme="minorEastAsia" w:hAnsiTheme="minorEastAsia" w:eastAsiaTheme="minorEastAsia"/>
          <w:bCs/>
          <w:color w:val="auto"/>
          <w:sz w:val="24"/>
          <w:highlight w:val="none"/>
        </w:rPr>
        <w:t>日，甲方有权解除合同并要求乙方支付</w:t>
      </w:r>
      <w:r>
        <w:rPr>
          <w:rFonts w:asciiTheme="minorEastAsia" w:hAnsiTheme="minorEastAsia" w:eastAsiaTheme="minorEastAsia"/>
          <w:bCs/>
          <w:color w:val="auto"/>
          <w:sz w:val="24"/>
          <w:highlight w:val="none"/>
          <w:u w:val="single"/>
        </w:rPr>
        <w:t>合同暂定总价的20%</w:t>
      </w:r>
      <w:r>
        <w:rPr>
          <w:rFonts w:asciiTheme="minorEastAsia" w:hAnsiTheme="minorEastAsia" w:eastAsiaTheme="minorEastAsia"/>
          <w:bCs/>
          <w:color w:val="auto"/>
          <w:sz w:val="24"/>
          <w:highlight w:val="none"/>
        </w:rPr>
        <w:t>作为违约金</w:t>
      </w:r>
      <w:r>
        <w:rPr>
          <w:rFonts w:hint="eastAsia" w:asciiTheme="minorEastAsia" w:hAnsiTheme="minorEastAsia" w:eastAsiaTheme="minorEastAsia"/>
          <w:bCs/>
          <w:color w:val="auto"/>
          <w:sz w:val="24"/>
          <w:highlight w:val="none"/>
        </w:rPr>
        <w:t>（</w:t>
      </w:r>
      <w:r>
        <w:rPr>
          <w:rFonts w:hint="eastAsia" w:cs="宋体"/>
          <w:color w:val="auto"/>
          <w:sz w:val="24"/>
          <w:highlight w:val="none"/>
        </w:rPr>
        <w:t>如合同另行约定违约责任，从其约定</w:t>
      </w:r>
      <w:r>
        <w:rPr>
          <w:rFonts w:hint="eastAsia" w:asciiTheme="minorEastAsia" w:hAnsiTheme="minorEastAsia" w:eastAsiaTheme="minorEastAsia"/>
          <w:bCs/>
          <w:color w:val="auto"/>
          <w:sz w:val="24"/>
          <w:highlight w:val="none"/>
        </w:rPr>
        <w:t>）。</w:t>
      </w:r>
      <w:r>
        <w:rPr>
          <w:rFonts w:hint="eastAsia" w:asciiTheme="minorEastAsia" w:hAnsiTheme="minorEastAsia" w:eastAsiaTheme="minorEastAsia"/>
          <w:bCs/>
          <w:color w:val="auto"/>
          <w:sz w:val="24"/>
          <w:highlight w:val="none"/>
          <w:lang w:val="en-US" w:eastAsia="zh-CN"/>
        </w:rPr>
        <w:t xml:space="preserve">   </w:t>
      </w:r>
    </w:p>
    <w:p>
      <w:pPr>
        <w:topLinePunct/>
        <w:spacing w:line="500" w:lineRule="exact"/>
        <w:ind w:firstLine="480" w:firstLineChars="200"/>
        <w:rPr>
          <w:rFonts w:hint="eastAsia" w:ascii="宋体" w:hAnsi="宋体" w:cs="宋体" w:eastAsiaTheme="minorEastAsia"/>
          <w:color w:val="auto"/>
          <w:sz w:val="24"/>
          <w:szCs w:val="24"/>
          <w:highlight w:val="none"/>
          <w:lang w:val="en-US" w:eastAsia="zh-CN"/>
        </w:rPr>
      </w:pPr>
      <w:r>
        <w:rPr>
          <w:rFonts w:hint="eastAsia" w:asciiTheme="minorEastAsia" w:hAnsiTheme="minorEastAsia" w:eastAsiaTheme="minorEastAsia"/>
          <w:bCs/>
          <w:color w:val="auto"/>
          <w:sz w:val="24"/>
          <w:highlight w:val="none"/>
          <w:lang w:val="en-US" w:eastAsia="zh-CN"/>
        </w:rPr>
        <w:t>9.4在合同有效期内，若乙方发生不诚信行为情形的，乙方自愿接受甲方按《广州市净水有限公司经营建设项目参建企业不诚信行为管理办法》处理，具体处理标准详见附件3。</w:t>
      </w:r>
    </w:p>
    <w:p>
      <w:pPr>
        <w:widowControl/>
        <w:spacing w:line="360" w:lineRule="auto"/>
        <w:ind w:firstLine="480" w:firstLineChars="200"/>
        <w:jc w:val="left"/>
        <w:rPr>
          <w:rFonts w:asciiTheme="minorEastAsia" w:hAnsiTheme="minorEastAsia" w:eastAsiaTheme="minorEastAsia"/>
          <w:bCs/>
          <w:color w:val="auto"/>
          <w:sz w:val="24"/>
          <w:highlight w:val="none"/>
        </w:rPr>
      </w:pPr>
    </w:p>
    <w:p>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第十条不可抗力</w:t>
      </w:r>
    </w:p>
    <w:p>
      <w:pPr>
        <w:pStyle w:val="11"/>
        <w:tabs>
          <w:tab w:val="left" w:pos="618"/>
        </w:tabs>
        <w:spacing w:line="360" w:lineRule="auto"/>
        <w:ind w:firstLine="480" w:firstLineChars="200"/>
        <w:rPr>
          <w:rFonts w:asciiTheme="minorEastAsia" w:hAnsiTheme="minorEastAsia" w:eastAsiaTheme="minorEastAsia" w:cstheme="minorEastAsia"/>
          <w:bCs/>
          <w:color w:val="auto"/>
          <w:kern w:val="0"/>
          <w:sz w:val="24"/>
          <w:szCs w:val="24"/>
          <w:highlight w:val="none"/>
        </w:rPr>
      </w:pPr>
      <w:r>
        <w:rPr>
          <w:rFonts w:asciiTheme="minorEastAsia" w:hAnsiTheme="minorEastAsia" w:eastAsiaTheme="minorEastAsia" w:cstheme="minorEastAsia"/>
          <w:bCs/>
          <w:color w:val="auto"/>
          <w:kern w:val="0"/>
          <w:sz w:val="24"/>
          <w:szCs w:val="24"/>
          <w:highlight w:val="none"/>
        </w:rPr>
        <w:t xml:space="preserve">10.1 </w:t>
      </w:r>
      <w:r>
        <w:rPr>
          <w:rFonts w:hint="eastAsia" w:asciiTheme="minorEastAsia" w:hAnsiTheme="minorEastAsia" w:eastAsiaTheme="minorEastAsia" w:cstheme="minorEastAsia"/>
          <w:bCs/>
          <w:color w:val="auto"/>
          <w:kern w:val="0"/>
          <w:sz w:val="24"/>
          <w:szCs w:val="24"/>
          <w:highlight w:val="none"/>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pStyle w:val="11"/>
        <w:tabs>
          <w:tab w:val="left" w:pos="618"/>
        </w:tabs>
        <w:spacing w:line="360" w:lineRule="auto"/>
        <w:ind w:firstLine="480" w:firstLineChars="200"/>
        <w:rPr>
          <w:rFonts w:asciiTheme="minorEastAsia" w:hAnsiTheme="minorEastAsia" w:eastAsiaTheme="minorEastAsia" w:cstheme="minorEastAsia"/>
          <w:bCs/>
          <w:color w:val="auto"/>
          <w:kern w:val="0"/>
          <w:sz w:val="24"/>
          <w:szCs w:val="24"/>
          <w:highlight w:val="none"/>
        </w:rPr>
      </w:pPr>
      <w:r>
        <w:rPr>
          <w:rFonts w:hint="eastAsia" w:asciiTheme="minorEastAsia" w:hAnsiTheme="minorEastAsia" w:eastAsiaTheme="minorEastAsia" w:cstheme="minorEastAsia"/>
          <w:bCs/>
          <w:color w:val="auto"/>
          <w:kern w:val="0"/>
          <w:sz w:val="24"/>
          <w:szCs w:val="24"/>
          <w:highlight w:val="none"/>
        </w:rPr>
        <w:t>（</w:t>
      </w:r>
      <w:r>
        <w:rPr>
          <w:rFonts w:asciiTheme="minorEastAsia" w:hAnsiTheme="minorEastAsia" w:eastAsiaTheme="minorEastAsia" w:cstheme="minorEastAsia"/>
          <w:bCs/>
          <w:color w:val="auto"/>
          <w:kern w:val="0"/>
          <w:sz w:val="24"/>
          <w:szCs w:val="24"/>
          <w:highlight w:val="none"/>
        </w:rPr>
        <w:t>1）地震、火山爆发、滑坡、暴雨（橙色预警及以上）、台风（黄色预警及以上）、海啸、龙卷风、大面积流行病(如：非典型性肺炎等)或瘟疫；</w:t>
      </w:r>
    </w:p>
    <w:p>
      <w:pPr>
        <w:pStyle w:val="11"/>
        <w:tabs>
          <w:tab w:val="left" w:pos="618"/>
        </w:tabs>
        <w:spacing w:line="360" w:lineRule="auto"/>
        <w:ind w:firstLine="480" w:firstLineChars="200"/>
        <w:rPr>
          <w:rFonts w:asciiTheme="minorEastAsia" w:hAnsiTheme="minorEastAsia" w:eastAsiaTheme="minorEastAsia" w:cstheme="minorEastAsia"/>
          <w:bCs/>
          <w:color w:val="auto"/>
          <w:kern w:val="0"/>
          <w:sz w:val="24"/>
          <w:szCs w:val="24"/>
          <w:highlight w:val="none"/>
        </w:rPr>
      </w:pPr>
      <w:r>
        <w:rPr>
          <w:rFonts w:hint="eastAsia" w:asciiTheme="minorEastAsia" w:hAnsiTheme="minorEastAsia" w:eastAsiaTheme="minorEastAsia" w:cstheme="minorEastAsia"/>
          <w:bCs/>
          <w:color w:val="auto"/>
          <w:kern w:val="0"/>
          <w:sz w:val="24"/>
          <w:szCs w:val="24"/>
          <w:highlight w:val="none"/>
        </w:rPr>
        <w:t>（</w:t>
      </w:r>
      <w:r>
        <w:rPr>
          <w:rFonts w:asciiTheme="minorEastAsia" w:hAnsiTheme="minorEastAsia" w:eastAsiaTheme="minorEastAsia" w:cstheme="minorEastAsia"/>
          <w:bCs/>
          <w:color w:val="auto"/>
          <w:kern w:val="0"/>
          <w:sz w:val="24"/>
          <w:szCs w:val="24"/>
          <w:highlight w:val="none"/>
        </w:rPr>
        <w:t>2）战争行为、入侵、武装冲突或外敌行为、封锁、暴乱、恐怖行为或军事演习；</w:t>
      </w:r>
    </w:p>
    <w:p>
      <w:pPr>
        <w:pStyle w:val="11"/>
        <w:tabs>
          <w:tab w:val="left" w:pos="618"/>
        </w:tabs>
        <w:spacing w:line="360" w:lineRule="auto"/>
        <w:ind w:firstLine="480" w:firstLineChars="200"/>
        <w:rPr>
          <w:rFonts w:asciiTheme="minorEastAsia" w:hAnsiTheme="minorEastAsia" w:eastAsiaTheme="minorEastAsia" w:cstheme="minorEastAsia"/>
          <w:bCs/>
          <w:color w:val="auto"/>
          <w:kern w:val="0"/>
          <w:sz w:val="24"/>
          <w:szCs w:val="24"/>
          <w:highlight w:val="none"/>
        </w:rPr>
      </w:pPr>
      <w:r>
        <w:rPr>
          <w:rFonts w:asciiTheme="minorEastAsia" w:hAnsiTheme="minorEastAsia" w:eastAsiaTheme="minorEastAsia" w:cstheme="minorEastAsia"/>
          <w:bCs/>
          <w:color w:val="auto"/>
          <w:kern w:val="0"/>
          <w:sz w:val="24"/>
          <w:szCs w:val="24"/>
          <w:highlight w:val="none"/>
        </w:rPr>
        <w:t xml:space="preserve">10.2 </w:t>
      </w:r>
      <w:r>
        <w:rPr>
          <w:rFonts w:hint="eastAsia" w:asciiTheme="minorEastAsia" w:hAnsiTheme="minorEastAsia" w:eastAsiaTheme="minorEastAsia" w:cstheme="minorEastAsia"/>
          <w:bCs/>
          <w:color w:val="auto"/>
          <w:kern w:val="0"/>
          <w:sz w:val="24"/>
          <w:szCs w:val="24"/>
          <w:highlight w:val="none"/>
        </w:rPr>
        <w:t>声称受到不可抗力影响的一方，应在发生不可抗力或知道发生不可抗力之后</w:t>
      </w:r>
      <w:r>
        <w:rPr>
          <w:rFonts w:asciiTheme="minorEastAsia" w:hAnsiTheme="minorEastAsia" w:eastAsiaTheme="minorEastAsia" w:cstheme="minorEastAsia"/>
          <w:bCs/>
          <w:color w:val="auto"/>
          <w:kern w:val="0"/>
          <w:sz w:val="24"/>
          <w:szCs w:val="24"/>
          <w:highlight w:val="none"/>
        </w:rPr>
        <w:t>5日内书面通知另一方，详细描述不可抗力的发生情况和对该方履行在本合同项下义务的影响，同时附上此种不可抗力事件及其持续时间的有效证明文件。</w:t>
      </w:r>
    </w:p>
    <w:p>
      <w:pPr>
        <w:pStyle w:val="11"/>
        <w:tabs>
          <w:tab w:val="left" w:pos="618"/>
        </w:tabs>
        <w:spacing w:line="360" w:lineRule="auto"/>
        <w:ind w:firstLine="480" w:firstLineChars="200"/>
        <w:rPr>
          <w:rFonts w:asciiTheme="minorEastAsia" w:hAnsiTheme="minorEastAsia" w:eastAsiaTheme="minorEastAsia" w:cstheme="minorEastAsia"/>
          <w:bCs/>
          <w:color w:val="auto"/>
          <w:kern w:val="0"/>
          <w:sz w:val="24"/>
          <w:highlight w:val="none"/>
        </w:rPr>
      </w:pPr>
      <w:r>
        <w:rPr>
          <w:rFonts w:asciiTheme="minorEastAsia" w:hAnsiTheme="minorEastAsia" w:eastAsiaTheme="minorEastAsia" w:cstheme="minorEastAsia"/>
          <w:bCs/>
          <w:color w:val="auto"/>
          <w:kern w:val="0"/>
          <w:sz w:val="24"/>
          <w:szCs w:val="24"/>
          <w:highlight w:val="none"/>
        </w:rPr>
        <w:t xml:space="preserve">10.3 </w:t>
      </w:r>
      <w:r>
        <w:rPr>
          <w:rFonts w:hint="eastAsia" w:asciiTheme="minorEastAsia" w:hAnsiTheme="minorEastAsia" w:eastAsiaTheme="minorEastAsia" w:cstheme="minorEastAsia"/>
          <w:bCs/>
          <w:color w:val="auto"/>
          <w:kern w:val="0"/>
          <w:sz w:val="24"/>
          <w:szCs w:val="24"/>
          <w:highlight w:val="none"/>
        </w:rPr>
        <w:t>因不可抗力导致合同无法履行的时间自该不可抗力发生日起连续超过玖拾</w:t>
      </w:r>
      <w:r>
        <w:rPr>
          <w:rFonts w:asciiTheme="minorEastAsia" w:hAnsiTheme="minorEastAsia" w:eastAsiaTheme="minorEastAsia" w:cstheme="minorEastAsia"/>
          <w:bCs/>
          <w:color w:val="auto"/>
          <w:kern w:val="0"/>
          <w:sz w:val="24"/>
          <w:szCs w:val="24"/>
          <w:highlight w:val="none"/>
        </w:rPr>
        <w:t>(90)天，双方应协商决定继续履行本合同的条件或者变更本合同。如果自不可抗力发生后壹佰捌拾(180)天之内双方不能达成一致意见，任何一方有权解除本合同。</w:t>
      </w:r>
    </w:p>
    <w:p>
      <w:pPr>
        <w:pStyle w:val="11"/>
        <w:tabs>
          <w:tab w:val="left" w:pos="618"/>
        </w:tabs>
        <w:spacing w:line="480" w:lineRule="exact"/>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stheme="minorEastAsia"/>
          <w:bCs/>
          <w:color w:val="auto"/>
          <w:kern w:val="0"/>
          <w:sz w:val="24"/>
          <w:highlight w:val="none"/>
        </w:rPr>
        <w:t xml:space="preserve">10.4 </w:t>
      </w:r>
      <w:r>
        <w:rPr>
          <w:rFonts w:hint="eastAsia" w:asciiTheme="minorEastAsia" w:hAnsiTheme="minorEastAsia" w:eastAsiaTheme="minorEastAsia" w:cstheme="minorEastAsia"/>
          <w:bCs/>
          <w:color w:val="auto"/>
          <w:kern w:val="0"/>
          <w:sz w:val="24"/>
          <w:highlight w:val="none"/>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r>
        <w:rPr>
          <w:rFonts w:hint="eastAsia" w:asciiTheme="minorEastAsia" w:hAnsiTheme="minorEastAsia" w:eastAsiaTheme="minorEastAsia" w:cstheme="minorEastAsia"/>
          <w:bCs/>
          <w:color w:val="auto"/>
          <w:kern w:val="0"/>
          <w:sz w:val="24"/>
          <w:szCs w:val="24"/>
          <w:highlight w:val="none"/>
        </w:rPr>
        <w:t> </w:t>
      </w:r>
    </w:p>
    <w:p>
      <w:pPr>
        <w:spacing w:line="360" w:lineRule="auto"/>
        <w:ind w:firstLine="482" w:firstLineChars="200"/>
        <w:rPr>
          <w:rFonts w:asciiTheme="minorEastAsia" w:hAnsiTheme="minorEastAsia" w:eastAsiaTheme="minorEastAsia"/>
          <w:b/>
          <w:color w:val="auto"/>
          <w:sz w:val="24"/>
          <w:highlight w:val="none"/>
        </w:rPr>
      </w:pPr>
      <w:r>
        <w:rPr>
          <w:rFonts w:hint="eastAsia" w:asciiTheme="minorEastAsia" w:hAnsiTheme="minorEastAsia" w:eastAsiaTheme="minorEastAsia"/>
          <w:b/>
          <w:bCs/>
          <w:color w:val="auto"/>
          <w:sz w:val="24"/>
          <w:highlight w:val="none"/>
        </w:rPr>
        <w:t>第十一条</w:t>
      </w:r>
      <w:r>
        <w:rPr>
          <w:rFonts w:hint="eastAsia" w:asciiTheme="minorEastAsia" w:hAnsiTheme="minorEastAsia" w:eastAsiaTheme="minorEastAsia"/>
          <w:b/>
          <w:color w:val="auto"/>
          <w:sz w:val="24"/>
          <w:highlight w:val="none"/>
        </w:rPr>
        <w:t>争议解决方式：</w:t>
      </w:r>
    </w:p>
    <w:p>
      <w:pPr>
        <w:spacing w:line="360" w:lineRule="auto"/>
        <w:ind w:firstLine="600" w:firstLineChars="25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xml:space="preserve">11.1 </w:t>
      </w:r>
      <w:r>
        <w:rPr>
          <w:rFonts w:hint="eastAsia" w:asciiTheme="minorEastAsia" w:hAnsiTheme="minorEastAsia" w:eastAsiaTheme="minorEastAsia"/>
          <w:color w:val="auto"/>
          <w:sz w:val="24"/>
          <w:highlight w:val="none"/>
        </w:rPr>
        <w:t>因本合同引起的或与本合同有关的任何争议，甲乙双方应友好协商解决，如协商不成，任何一方可依法向</w:t>
      </w:r>
      <w:r>
        <w:rPr>
          <w:rFonts w:hint="eastAsia" w:asciiTheme="minorEastAsia" w:hAnsiTheme="minorEastAsia" w:eastAsiaTheme="minorEastAsia"/>
          <w:color w:val="auto"/>
          <w:sz w:val="24"/>
          <w:highlight w:val="none"/>
          <w:u w:val="single"/>
        </w:rPr>
        <w:t>甲方所在地人民法院</w:t>
      </w:r>
      <w:r>
        <w:rPr>
          <w:rFonts w:hint="eastAsia" w:asciiTheme="minorEastAsia" w:hAnsiTheme="minorEastAsia" w:eastAsiaTheme="minorEastAsia"/>
          <w:color w:val="auto"/>
          <w:sz w:val="24"/>
          <w:highlight w:val="none"/>
        </w:rPr>
        <w:t>提起诉讼。</w:t>
      </w:r>
    </w:p>
    <w:p>
      <w:pPr>
        <w:spacing w:line="360" w:lineRule="auto"/>
        <w:ind w:firstLine="600" w:firstLineChars="25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xml:space="preserve">11.2 </w:t>
      </w:r>
      <w:r>
        <w:rPr>
          <w:rFonts w:hint="eastAsia" w:ascii="宋体" w:hAnsi="宋体" w:cs="宋体"/>
          <w:color w:val="auto"/>
          <w:sz w:val="24"/>
          <w:highlight w:val="none"/>
        </w:rPr>
        <w:t>在甲方同意的情况下，除有争端之外的合同其它部分在争端解决前应继续执行。</w:t>
      </w:r>
    </w:p>
    <w:p>
      <w:pPr>
        <w:spacing w:line="360" w:lineRule="auto"/>
        <w:ind w:firstLine="598" w:firstLineChars="248"/>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第十二条其他：</w:t>
      </w:r>
    </w:p>
    <w:p>
      <w:pPr>
        <w:spacing w:line="360" w:lineRule="auto"/>
        <w:ind w:firstLine="595" w:firstLineChars="248"/>
        <w:rPr>
          <w:rFonts w:asciiTheme="minorEastAsia" w:hAnsiTheme="minorEastAsia" w:eastAsiaTheme="minorEastAsia"/>
          <w:b/>
          <w:color w:val="auto"/>
          <w:sz w:val="24"/>
          <w:highlight w:val="none"/>
        </w:rPr>
      </w:pPr>
      <w:r>
        <w:rPr>
          <w:rFonts w:asciiTheme="minorEastAsia" w:hAnsiTheme="minorEastAsia" w:eastAsiaTheme="minorEastAsia"/>
          <w:bCs/>
          <w:color w:val="auto"/>
          <w:sz w:val="24"/>
          <w:highlight w:val="none"/>
        </w:rPr>
        <w:t xml:space="preserve">12.1 </w:t>
      </w:r>
      <w:r>
        <w:rPr>
          <w:rFonts w:hint="eastAsia" w:asciiTheme="minorEastAsia" w:hAnsiTheme="minorEastAsia" w:eastAsiaTheme="minorEastAsia"/>
          <w:color w:val="auto"/>
          <w:sz w:val="24"/>
          <w:highlight w:val="none"/>
        </w:rPr>
        <w:t>本合同未尽事宜，可由甲乙双方另行签订补充协议。补充协议与本合同具有同等法律效力。</w:t>
      </w:r>
    </w:p>
    <w:p>
      <w:pPr>
        <w:spacing w:line="360" w:lineRule="auto"/>
        <w:ind w:firstLine="600" w:firstLineChars="25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xml:space="preserve">12.2 </w:t>
      </w:r>
      <w:r>
        <w:rPr>
          <w:rFonts w:hint="eastAsia" w:asciiTheme="minorEastAsia" w:hAnsiTheme="minorEastAsia" w:eastAsiaTheme="minorEastAsia"/>
          <w:color w:val="auto"/>
          <w:sz w:val="24"/>
          <w:highlight w:val="none"/>
        </w:rPr>
        <w:t>本合同自甲乙双方法定代表人或授权代理人签字并加盖公章之日起生效。</w:t>
      </w:r>
    </w:p>
    <w:p>
      <w:pPr>
        <w:spacing w:line="360" w:lineRule="auto"/>
        <w:ind w:firstLine="638" w:firstLineChars="266"/>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xml:space="preserve">12.3 </w:t>
      </w:r>
      <w:r>
        <w:rPr>
          <w:rFonts w:hint="eastAsia" w:asciiTheme="minorEastAsia" w:hAnsiTheme="minorEastAsia" w:eastAsiaTheme="minorEastAsia"/>
          <w:color w:val="auto"/>
          <w:sz w:val="24"/>
          <w:highlight w:val="none"/>
        </w:rPr>
        <w:t>本合同一式份，甲方执份，乙方执份。均具有同等法律效力。</w:t>
      </w:r>
    </w:p>
    <w:p>
      <w:pPr>
        <w:spacing w:line="360" w:lineRule="auto"/>
        <w:ind w:firstLine="638" w:firstLineChars="266"/>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12.4</w:t>
      </w:r>
      <w:r>
        <w:rPr>
          <w:rFonts w:hint="eastAsia" w:asciiTheme="minorEastAsia" w:hAnsiTheme="minorEastAsia" w:eastAsiaTheme="minorEastAsia"/>
          <w:color w:val="auto"/>
          <w:sz w:val="24"/>
          <w:highlight w:val="none"/>
        </w:rPr>
        <w:t>补充条款：</w:t>
      </w:r>
      <w:r>
        <w:rPr>
          <w:rFonts w:hint="eastAsia" w:asciiTheme="minorEastAsia" w:hAnsiTheme="minorEastAsia" w:eastAsiaTheme="minorEastAsia"/>
          <w:color w:val="auto"/>
          <w:sz w:val="24"/>
          <w:highlight w:val="none"/>
          <w:u w:val="single"/>
          <w:lang w:eastAsia="zh-CN"/>
        </w:rPr>
        <w:t>…</w:t>
      </w:r>
      <w:r>
        <w:rPr>
          <w:rFonts w:hint="eastAsia" w:asciiTheme="minorEastAsia" w:hAnsiTheme="minorEastAsia" w:eastAsiaTheme="minorEastAsia"/>
          <w:color w:val="auto"/>
          <w:sz w:val="24"/>
          <w:highlight w:val="none"/>
          <w:u w:val="single"/>
        </w:rPr>
        <w:t>。</w:t>
      </w:r>
    </w:p>
    <w:p>
      <w:pPr>
        <w:spacing w:line="360" w:lineRule="auto"/>
        <w:ind w:left="420"/>
        <w:rPr>
          <w:rFonts w:asciiTheme="minorEastAsia" w:hAnsiTheme="minorEastAsia" w:eastAsiaTheme="minorEastAsia" w:cstheme="minorEastAsia"/>
          <w:color w:val="auto"/>
          <w:sz w:val="24"/>
          <w:highlight w:val="none"/>
        </w:rPr>
      </w:pPr>
    </w:p>
    <w:p>
      <w:pPr>
        <w:numPr>
          <w:ilvl w:val="0"/>
          <w:numId w:val="0"/>
        </w:numPr>
        <w:ind w:leftChars="0"/>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附件：</w:t>
      </w:r>
      <w:r>
        <w:rPr>
          <w:rFonts w:hint="eastAsia" w:asciiTheme="minorEastAsia" w:hAnsiTheme="minorEastAsia" w:eastAsiaTheme="minorEastAsia" w:cstheme="minorEastAsia"/>
          <w:color w:val="auto"/>
          <w:sz w:val="24"/>
          <w:highlight w:val="none"/>
          <w:lang w:val="en-US" w:eastAsia="zh-CN"/>
        </w:rPr>
        <w:t xml:space="preserve"> </w:t>
      </w:r>
    </w:p>
    <w:p>
      <w:pPr>
        <w:numPr>
          <w:ilvl w:val="0"/>
          <w:numId w:val="0"/>
        </w:numP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en-US" w:eastAsia="zh-CN"/>
        </w:rPr>
        <w:t>营运场所清淤类施工</w:t>
      </w:r>
      <w:r>
        <w:rPr>
          <w:rFonts w:hint="eastAsia" w:asciiTheme="minorEastAsia" w:hAnsiTheme="minorEastAsia" w:eastAsiaTheme="minorEastAsia" w:cstheme="minorEastAsia"/>
          <w:color w:val="auto"/>
          <w:sz w:val="24"/>
          <w:highlight w:val="none"/>
        </w:rPr>
        <w:t>安全协议书</w:t>
      </w:r>
    </w:p>
    <w:p>
      <w:pPr>
        <w:numPr>
          <w:ilvl w:val="0"/>
          <w:numId w:val="0"/>
        </w:numPr>
        <w:spacing w:line="360" w:lineRule="auto"/>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2.廉洁协议</w:t>
      </w:r>
    </w:p>
    <w:p>
      <w:pPr>
        <w:spacing w:line="440" w:lineRule="exact"/>
        <w:jc w:val="both"/>
        <w:rPr>
          <w:rFonts w:ascii="仿宋_GB2312" w:eastAsia="仿宋_GB2312"/>
          <w:b/>
          <w:bCs/>
          <w:color w:val="auto"/>
          <w:sz w:val="28"/>
          <w:szCs w:val="28"/>
          <w:highlight w:val="none"/>
        </w:rPr>
      </w:pPr>
      <w:r>
        <w:rPr>
          <w:rFonts w:hint="eastAsia" w:asciiTheme="minorEastAsia" w:hAnsiTheme="minorEastAsia" w:eastAsiaTheme="minorEastAsia" w:cstheme="minorEastAsia"/>
          <w:color w:val="auto"/>
          <w:sz w:val="24"/>
          <w:highlight w:val="none"/>
          <w:lang w:val="en-US" w:eastAsia="zh-CN"/>
        </w:rPr>
        <w:t>3.防疫管理协议书</w:t>
      </w:r>
    </w:p>
    <w:p>
      <w:pPr>
        <w:pStyle w:val="22"/>
        <w:numPr>
          <w:ilvl w:val="0"/>
          <w:numId w:val="0"/>
        </w:numPr>
        <w:ind w:left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.拟投入工程人员配备响应表</w:t>
      </w:r>
    </w:p>
    <w:p>
      <w:pPr>
        <w:numPr>
          <w:ilvl w:val="0"/>
          <w:numId w:val="0"/>
        </w:numPr>
        <w:spacing w:line="360" w:lineRule="auto"/>
        <w:ind w:leftChars="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5</w:t>
      </w:r>
      <w:r>
        <w:rPr>
          <w:rFonts w:hint="eastAsia" w:asciiTheme="minorEastAsia" w:hAnsiTheme="minorEastAsia" w:eastAsiaTheme="minorEastAsia" w:cstheme="minorEastAsia"/>
          <w:color w:val="auto"/>
          <w:sz w:val="24"/>
          <w:highlight w:val="none"/>
        </w:rPr>
        <w:t>.工程量报价单</w:t>
      </w:r>
    </w:p>
    <w:p>
      <w:pPr>
        <w:numPr>
          <w:ilvl w:val="0"/>
          <w:numId w:val="0"/>
        </w:numPr>
        <w:spacing w:line="360" w:lineRule="auto"/>
        <w:ind w:leftChars="0"/>
        <w:jc w:val="left"/>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b w:val="0"/>
          <w:bCs w:val="0"/>
          <w:color w:val="auto"/>
          <w:sz w:val="24"/>
          <w:highlight w:val="none"/>
          <w:lang w:val="en-US" w:eastAsia="zh-CN"/>
        </w:rPr>
        <w:t>6</w:t>
      </w:r>
      <w:r>
        <w:rPr>
          <w:rFonts w:hint="eastAsia" w:asciiTheme="minorEastAsia" w:hAnsiTheme="minorEastAsia" w:eastAsiaTheme="minorEastAsia" w:cstheme="minorEastAsia"/>
          <w:b w:val="0"/>
          <w:bCs w:val="0"/>
          <w:color w:val="auto"/>
          <w:sz w:val="24"/>
          <w:highlight w:val="none"/>
        </w:rPr>
        <w:t>.</w:t>
      </w:r>
      <w:r>
        <w:rPr>
          <w:rFonts w:hint="eastAsia" w:asciiTheme="minorEastAsia" w:hAnsiTheme="minorEastAsia" w:eastAsiaTheme="minorEastAsia" w:cstheme="minorEastAsia"/>
          <w:color w:val="auto"/>
          <w:sz w:val="24"/>
          <w:highlight w:val="none"/>
        </w:rPr>
        <w:t>授权委托证明（如需）</w:t>
      </w:r>
      <w:r>
        <w:rPr>
          <w:rFonts w:hint="eastAsia" w:asciiTheme="minorEastAsia" w:hAnsiTheme="minorEastAsia" w:eastAsiaTheme="minorEastAsia" w:cstheme="minorEastAsia"/>
          <w:color w:val="auto"/>
          <w:sz w:val="24"/>
          <w:highlight w:val="none"/>
        </w:rPr>
        <w:br w:type="textWrapping"/>
      </w:r>
      <w:r>
        <w:rPr>
          <w:rFonts w:hint="eastAsia" w:asciiTheme="minorEastAsia" w:hAnsiTheme="minorEastAsia" w:cstheme="minorEastAsia"/>
          <w:color w:val="auto"/>
          <w:sz w:val="24"/>
          <w:highlight w:val="none"/>
          <w:lang w:val="en-US" w:eastAsia="zh-CN"/>
        </w:rPr>
        <w:t>7.</w:t>
      </w:r>
      <w:r>
        <w:rPr>
          <w:rFonts w:hint="eastAsia" w:ascii="宋体" w:hAnsi="宋体" w:cs="宋体"/>
          <w:color w:val="auto"/>
          <w:sz w:val="24"/>
          <w:szCs w:val="24"/>
          <w:highlight w:val="none"/>
        </w:rPr>
        <w:t>营运项目承包单位日常履约考评参照表（安全）</w:t>
      </w:r>
      <w:r>
        <w:rPr>
          <w:rFonts w:hint="eastAsia" w:ascii="宋体" w:hAnsi="宋体" w:cs="宋体"/>
          <w:color w:val="auto"/>
          <w:sz w:val="24"/>
          <w:szCs w:val="24"/>
          <w:highlight w:val="none"/>
        </w:rPr>
        <w:br w:type="textWrapping"/>
      </w: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营运项目承包单位综合履约考评表（安全）</w:t>
      </w:r>
      <w:r>
        <w:rPr>
          <w:rFonts w:hint="eastAsia" w:ascii="宋体" w:hAnsi="宋体" w:cs="宋体"/>
          <w:color w:val="auto"/>
          <w:sz w:val="24"/>
          <w:szCs w:val="24"/>
          <w:highlight w:val="none"/>
        </w:rPr>
        <w:br w:type="textWrapping"/>
      </w:r>
      <w:r>
        <w:rPr>
          <w:rFonts w:hint="eastAsia" w:ascii="宋体" w:hAnsi="宋体" w:cs="宋体"/>
          <w:color w:val="auto"/>
          <w:sz w:val="24"/>
          <w:szCs w:val="24"/>
          <w:highlight w:val="none"/>
          <w:lang w:val="en-US" w:eastAsia="zh-CN"/>
        </w:rPr>
        <w:t>9.履约保函（模板）</w:t>
      </w:r>
      <w:r>
        <w:rPr>
          <w:rFonts w:hint="eastAsia" w:ascii="宋体" w:hAnsi="宋体" w:cs="宋体"/>
          <w:color w:val="auto"/>
          <w:sz w:val="24"/>
          <w:szCs w:val="24"/>
          <w:highlight w:val="none"/>
          <w:lang w:val="en-US" w:eastAsia="zh-CN"/>
        </w:rPr>
        <w:br w:type="textWrapping"/>
      </w:r>
      <w:r>
        <w:rPr>
          <w:rFonts w:hint="eastAsia" w:ascii="宋体" w:hAnsi="宋体" w:cs="宋体"/>
          <w:color w:val="auto"/>
          <w:sz w:val="24"/>
          <w:szCs w:val="24"/>
          <w:highlight w:val="none"/>
          <w:lang w:val="en-US" w:eastAsia="zh-CN"/>
        </w:rPr>
        <w:t>10.预付款保函（模板）</w:t>
      </w:r>
    </w:p>
    <w:p>
      <w:pPr>
        <w:spacing w:line="360" w:lineRule="auto"/>
        <w:jc w:val="center"/>
        <w:rPr>
          <w:rFonts w:asciiTheme="minorEastAsia" w:hAnsiTheme="minorEastAsia" w:eastAsiaTheme="minorEastAsia"/>
          <w:color w:val="auto"/>
          <w:sz w:val="24"/>
          <w:highlight w:val="none"/>
        </w:rPr>
      </w:pPr>
    </w:p>
    <w:p>
      <w:pPr>
        <w:spacing w:line="360" w:lineRule="auto"/>
        <w:rPr>
          <w:rFonts w:asciiTheme="minorEastAsia" w:hAnsiTheme="minorEastAsia" w:eastAsiaTheme="minorEastAsia"/>
          <w:color w:val="auto"/>
          <w:sz w:val="24"/>
          <w:highlight w:val="none"/>
        </w:rPr>
      </w:pPr>
    </w:p>
    <w:p>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甲方：广州市净水有限公司</w:t>
      </w:r>
      <w:r>
        <w:rPr>
          <w:rFonts w:asciiTheme="minorEastAsia" w:hAnsiTheme="minorEastAsia" w:eastAsiaTheme="minorEastAsia"/>
          <w:color w:val="auto"/>
          <w:sz w:val="24"/>
          <w:highlight w:val="none"/>
        </w:rPr>
        <w:t xml:space="preserve">（盖章）         </w:t>
      </w:r>
      <w:r>
        <w:rPr>
          <w:rFonts w:hint="eastAsia" w:asciiTheme="minorEastAsia" w:hAnsiTheme="minorEastAsia" w:eastAsiaTheme="minorEastAsia"/>
          <w:color w:val="auto"/>
          <w:sz w:val="24"/>
          <w:highlight w:val="none"/>
        </w:rPr>
        <w:t>乙方：（盖章）</w:t>
      </w:r>
    </w:p>
    <w:p>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法人代表或</w:t>
      </w:r>
      <w:r>
        <w:rPr>
          <w:rFonts w:hint="eastAsia" w:asciiTheme="minorEastAsia" w:hAnsiTheme="minorEastAsia" w:eastAsiaTheme="minorEastAsia"/>
          <w:color w:val="auto"/>
          <w:sz w:val="24"/>
          <w:highlight w:val="none"/>
          <w:lang w:val="en-US" w:eastAsia="zh-CN"/>
        </w:rPr>
        <w:t xml:space="preserve">                               </w:t>
      </w:r>
      <w:r>
        <w:rPr>
          <w:rFonts w:hint="eastAsia" w:asciiTheme="minorEastAsia" w:hAnsiTheme="minorEastAsia" w:eastAsiaTheme="minorEastAsia"/>
          <w:color w:val="auto"/>
          <w:sz w:val="24"/>
          <w:highlight w:val="none"/>
        </w:rPr>
        <w:t>法人代表或</w:t>
      </w:r>
    </w:p>
    <w:p>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委托代理人：</w:t>
      </w:r>
      <w:r>
        <w:rPr>
          <w:rFonts w:hint="eastAsia" w:asciiTheme="minorEastAsia" w:hAnsiTheme="minorEastAsia" w:eastAsiaTheme="minorEastAsia"/>
          <w:color w:val="auto"/>
          <w:sz w:val="24"/>
          <w:highlight w:val="none"/>
          <w:lang w:val="en-US" w:eastAsia="zh-CN"/>
        </w:rPr>
        <w:t xml:space="preserve">                             </w:t>
      </w:r>
      <w:r>
        <w:rPr>
          <w:rFonts w:hint="eastAsia" w:asciiTheme="minorEastAsia" w:hAnsiTheme="minorEastAsia" w:eastAsiaTheme="minorEastAsia"/>
          <w:color w:val="auto"/>
          <w:sz w:val="24"/>
          <w:highlight w:val="none"/>
        </w:rPr>
        <w:t>委托代理人：</w:t>
      </w:r>
    </w:p>
    <w:p>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地址：</w:t>
      </w:r>
      <w:r>
        <w:rPr>
          <w:rFonts w:hint="eastAsia" w:asciiTheme="minorEastAsia" w:hAnsiTheme="minorEastAsia" w:eastAsiaTheme="minorEastAsia"/>
          <w:color w:val="auto"/>
          <w:sz w:val="24"/>
          <w:highlight w:val="none"/>
          <w:lang w:val="en-US" w:eastAsia="zh-CN"/>
        </w:rPr>
        <w:t xml:space="preserve">                                   </w:t>
      </w:r>
      <w:r>
        <w:rPr>
          <w:rFonts w:hint="eastAsia" w:asciiTheme="minorEastAsia" w:hAnsiTheme="minorEastAsia" w:eastAsiaTheme="minorEastAsia"/>
          <w:color w:val="auto"/>
          <w:sz w:val="24"/>
          <w:highlight w:val="none"/>
        </w:rPr>
        <w:t>地址：</w:t>
      </w:r>
    </w:p>
    <w:p>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经办人：</w:t>
      </w:r>
      <w:r>
        <w:rPr>
          <w:rFonts w:hint="eastAsia" w:asciiTheme="minorEastAsia" w:hAnsiTheme="minorEastAsia" w:eastAsiaTheme="minorEastAsia"/>
          <w:color w:val="auto"/>
          <w:sz w:val="24"/>
          <w:highlight w:val="none"/>
          <w:lang w:val="en-US" w:eastAsia="zh-CN"/>
        </w:rPr>
        <w:t xml:space="preserve">                                 </w:t>
      </w:r>
      <w:r>
        <w:rPr>
          <w:rFonts w:hint="eastAsia" w:asciiTheme="minorEastAsia" w:hAnsiTheme="minorEastAsia" w:eastAsiaTheme="minorEastAsia"/>
          <w:color w:val="auto"/>
          <w:sz w:val="24"/>
          <w:highlight w:val="none"/>
        </w:rPr>
        <w:t>经办人：</w:t>
      </w:r>
    </w:p>
    <w:p>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lang w:val="en-US" w:eastAsia="zh-CN"/>
        </w:rPr>
        <w:t xml:space="preserve">                               </w:t>
      </w:r>
      <w:r>
        <w:rPr>
          <w:rFonts w:hint="eastAsia" w:asciiTheme="minorEastAsia" w:hAnsiTheme="minorEastAsia" w:eastAsiaTheme="minorEastAsia"/>
          <w:color w:val="auto"/>
          <w:sz w:val="24"/>
          <w:highlight w:val="none"/>
        </w:rPr>
        <w:t>联系电话：</w:t>
      </w:r>
    </w:p>
    <w:p>
      <w:pPr>
        <w:spacing w:line="360" w:lineRule="auto"/>
        <w:ind w:left="6360" w:hanging="6360" w:hangingChars="26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传真：</w:t>
      </w:r>
      <w:r>
        <w:rPr>
          <w:rFonts w:hint="eastAsia" w:asciiTheme="minorEastAsia" w:hAnsiTheme="minorEastAsia" w:eastAsiaTheme="minorEastAsia"/>
          <w:color w:val="auto"/>
          <w:sz w:val="24"/>
          <w:highlight w:val="none"/>
          <w:lang w:val="en-US" w:eastAsia="zh-CN"/>
        </w:rPr>
        <w:t xml:space="preserve">                                   </w:t>
      </w:r>
      <w:r>
        <w:rPr>
          <w:rFonts w:hint="eastAsia" w:asciiTheme="minorEastAsia" w:hAnsiTheme="minorEastAsia" w:eastAsiaTheme="minorEastAsia"/>
          <w:color w:val="auto"/>
          <w:sz w:val="24"/>
          <w:highlight w:val="none"/>
        </w:rPr>
        <w:t>传真：</w:t>
      </w:r>
    </w:p>
    <w:p>
      <w:pPr>
        <w:spacing w:line="360" w:lineRule="auto"/>
        <w:ind w:left="6360" w:hanging="6360" w:hangingChars="26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签订日期：年月日</w:t>
      </w:r>
      <w:r>
        <w:rPr>
          <w:rFonts w:hint="eastAsia" w:asciiTheme="minorEastAsia" w:hAnsiTheme="minorEastAsia" w:eastAsiaTheme="minorEastAsia"/>
          <w:color w:val="auto"/>
          <w:sz w:val="24"/>
          <w:highlight w:val="none"/>
          <w:lang w:val="en-US" w:eastAsia="zh-CN"/>
        </w:rPr>
        <w:t xml:space="preserve">                        </w:t>
      </w:r>
      <w:r>
        <w:rPr>
          <w:rFonts w:hint="eastAsia" w:asciiTheme="minorEastAsia" w:hAnsiTheme="minorEastAsia" w:eastAsiaTheme="minorEastAsia"/>
          <w:color w:val="auto"/>
          <w:sz w:val="24"/>
          <w:highlight w:val="none"/>
        </w:rPr>
        <w:t>签订日期：年月日</w:t>
      </w:r>
    </w:p>
    <w:p>
      <w:pPr>
        <w:spacing w:line="360" w:lineRule="auto"/>
        <w:jc w:val="left"/>
        <w:rPr>
          <w:rFonts w:ascii="宋体" w:hAnsi="宋体" w:cs="宋体"/>
          <w:b/>
          <w:bCs/>
          <w:color w:val="auto"/>
          <w:szCs w:val="21"/>
          <w:highlight w:val="none"/>
        </w:rPr>
      </w:pPr>
    </w:p>
    <w:p>
      <w:pPr>
        <w:spacing w:line="360" w:lineRule="auto"/>
        <w:jc w:val="left"/>
        <w:rPr>
          <w:rFonts w:ascii="宋体" w:hAnsi="宋体" w:cs="宋体"/>
          <w:b/>
          <w:bCs/>
          <w:color w:val="auto"/>
          <w:szCs w:val="21"/>
          <w:highlight w:val="none"/>
        </w:rPr>
      </w:pPr>
    </w:p>
    <w:p>
      <w:pPr>
        <w:spacing w:line="360" w:lineRule="auto"/>
        <w:jc w:val="left"/>
        <w:rPr>
          <w:rFonts w:ascii="宋体" w:hAnsi="宋体" w:cs="宋体"/>
          <w:b/>
          <w:bCs/>
          <w:color w:val="auto"/>
          <w:szCs w:val="21"/>
          <w:highlight w:val="none"/>
        </w:rPr>
      </w:pPr>
    </w:p>
    <w:p>
      <w:pPr>
        <w:pStyle w:val="2"/>
        <w:rPr>
          <w:rFonts w:ascii="宋体" w:hAnsi="宋体" w:cs="宋体"/>
          <w:b/>
          <w:bCs/>
          <w:color w:val="auto"/>
          <w:szCs w:val="21"/>
          <w:highlight w:val="none"/>
        </w:rPr>
      </w:pPr>
    </w:p>
    <w:p>
      <w:pPr>
        <w:pStyle w:val="3"/>
        <w:rPr>
          <w:rFonts w:ascii="宋体" w:hAnsi="宋体" w:cs="宋体"/>
          <w:b/>
          <w:bCs/>
          <w:color w:val="auto"/>
          <w:szCs w:val="21"/>
          <w:highlight w:val="none"/>
        </w:rPr>
      </w:pPr>
    </w:p>
    <w:p>
      <w:pPr>
        <w:pStyle w:val="3"/>
        <w:rPr>
          <w:rFonts w:ascii="宋体" w:hAnsi="宋体" w:cs="宋体"/>
          <w:b/>
          <w:bCs/>
          <w:color w:val="auto"/>
          <w:szCs w:val="21"/>
          <w:highlight w:val="none"/>
        </w:rPr>
      </w:pPr>
    </w:p>
    <w:p>
      <w:pPr>
        <w:pStyle w:val="3"/>
        <w:rPr>
          <w:rFonts w:ascii="宋体" w:hAnsi="宋体" w:cs="宋体"/>
          <w:b/>
          <w:bCs/>
          <w:color w:val="auto"/>
          <w:szCs w:val="21"/>
          <w:highlight w:val="none"/>
        </w:rPr>
      </w:pPr>
    </w:p>
    <w:p>
      <w:pPr>
        <w:pStyle w:val="3"/>
        <w:rPr>
          <w:rFonts w:ascii="宋体" w:hAnsi="宋体" w:cs="宋体"/>
          <w:b/>
          <w:bCs/>
          <w:color w:val="auto"/>
          <w:szCs w:val="21"/>
          <w:highlight w:val="none"/>
        </w:rPr>
      </w:pPr>
    </w:p>
    <w:p>
      <w:pPr>
        <w:pStyle w:val="3"/>
        <w:rPr>
          <w:rFonts w:ascii="宋体" w:hAnsi="宋体" w:cs="宋体"/>
          <w:b/>
          <w:bCs/>
          <w:color w:val="auto"/>
          <w:szCs w:val="21"/>
          <w:highlight w:val="none"/>
        </w:rPr>
      </w:pPr>
    </w:p>
    <w:p>
      <w:pPr>
        <w:pStyle w:val="3"/>
        <w:rPr>
          <w:rFonts w:ascii="宋体" w:hAnsi="宋体" w:cs="宋体"/>
          <w:b/>
          <w:bCs/>
          <w:color w:val="auto"/>
          <w:szCs w:val="21"/>
          <w:highlight w:val="none"/>
        </w:rPr>
      </w:pPr>
    </w:p>
    <w:p>
      <w:pPr>
        <w:pStyle w:val="3"/>
        <w:rPr>
          <w:rFonts w:ascii="宋体" w:hAnsi="宋体" w:cs="宋体"/>
          <w:b/>
          <w:bCs/>
          <w:color w:val="auto"/>
          <w:szCs w:val="21"/>
          <w:highlight w:val="none"/>
        </w:rPr>
      </w:pPr>
    </w:p>
    <w:p>
      <w:pPr>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附件1：</w:t>
      </w:r>
    </w:p>
    <w:p>
      <w:pPr>
        <w:spacing w:line="560" w:lineRule="exact"/>
        <w:jc w:val="center"/>
        <w:rPr>
          <w:rFonts w:ascii="仿宋_GB2312" w:hAnsi="宋体" w:eastAsia="仿宋_GB2312"/>
          <w:color w:val="auto"/>
          <w:sz w:val="24"/>
          <w:highlight w:val="none"/>
        </w:rPr>
      </w:pPr>
      <w:r>
        <w:rPr>
          <w:rFonts w:hint="eastAsia" w:ascii="黑体" w:hAnsi="Batang" w:eastAsia="黑体" w:cs="Batang"/>
          <w:bCs/>
          <w:color w:val="auto"/>
          <w:kern w:val="0"/>
          <w:sz w:val="44"/>
          <w:szCs w:val="44"/>
          <w:highlight w:val="none"/>
        </w:rPr>
        <w:t>营运场所清淤类施工安全协议书</w:t>
      </w:r>
    </w:p>
    <w:p>
      <w:pPr>
        <w:spacing w:line="560" w:lineRule="exact"/>
        <w:rPr>
          <w:rFonts w:ascii="宋体" w:hAnsi="宋体" w:cs="Arial"/>
          <w:color w:val="auto"/>
          <w:kern w:val="0"/>
          <w:sz w:val="24"/>
          <w:highlight w:val="none"/>
        </w:rPr>
      </w:pPr>
      <w:r>
        <w:rPr>
          <w:rFonts w:hint="eastAsia" w:ascii="宋体" w:hAnsi="宋体" w:cs="Arial"/>
          <w:color w:val="auto"/>
          <w:kern w:val="0"/>
          <w:sz w:val="24"/>
          <w:highlight w:val="none"/>
        </w:rPr>
        <w:t>甲方：</w:t>
      </w:r>
      <w:r>
        <w:rPr>
          <w:rFonts w:hint="eastAsia"/>
          <w:color w:val="auto"/>
          <w:sz w:val="24"/>
          <w:highlight w:val="none"/>
        </w:rPr>
        <w:t>广州市净水有限公司</w:t>
      </w:r>
    </w:p>
    <w:p>
      <w:pPr>
        <w:spacing w:line="560" w:lineRule="exact"/>
        <w:rPr>
          <w:rStyle w:val="26"/>
          <w:rFonts w:asciiTheme="minorEastAsia" w:hAnsiTheme="minorEastAsia" w:eastAsiaTheme="minorEastAsia"/>
          <w:b w:val="0"/>
          <w:color w:val="auto"/>
          <w:highlight w:val="none"/>
          <w:u w:val="single"/>
        </w:rPr>
      </w:pPr>
      <w:r>
        <w:rPr>
          <w:rFonts w:hint="eastAsia" w:ascii="宋体" w:hAnsi="宋体" w:cs="Arial"/>
          <w:color w:val="auto"/>
          <w:kern w:val="0"/>
          <w:sz w:val="24"/>
          <w:highlight w:val="none"/>
        </w:rPr>
        <w:t xml:space="preserve">乙方： </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根据《中华人民共和国安全生产法》</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《中华人民共和国建筑法》</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《建设工程安全生产管理条例》</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《生产安全事故报告和调查处理条例》</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《中华人民共和国职业病防治法》</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《工作场所职业卫生监督管理规定》</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《用人单位职业健康监护监督管理办法》</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一、本协议与主合同的关系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本协议作为</w:t>
      </w:r>
      <w:r>
        <w:rPr>
          <w:rFonts w:hint="eastAsia" w:asciiTheme="minorEastAsia" w:hAnsiTheme="minorEastAsia" w:eastAsiaTheme="minorEastAsia"/>
          <w:color w:val="auto"/>
          <w:sz w:val="24"/>
          <w:highlight w:val="none"/>
          <w:u w:val="single"/>
        </w:rPr>
        <w:t xml:space="preserve">竹料分公司2023年一期反应池南池及扩建北池清淤 </w:t>
      </w:r>
      <w:r>
        <w:rPr>
          <w:rFonts w:hint="eastAsia" w:asciiTheme="minorEastAsia" w:hAnsiTheme="minorEastAsia" w:eastAsiaTheme="minorEastAsia"/>
          <w:color w:val="auto"/>
          <w:sz w:val="24"/>
          <w:highlight w:val="none"/>
        </w:rPr>
        <w:t>的组成部分，与主合同具有同等法律效力。</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 xml:space="preserve"> 二、</w:t>
      </w:r>
      <w:r>
        <w:rPr>
          <w:rFonts w:hint="eastAsia" w:asciiTheme="minorEastAsia" w:hAnsiTheme="minorEastAsia" w:eastAsiaTheme="minorEastAsia"/>
          <w:b/>
          <w:color w:val="auto"/>
          <w:sz w:val="24"/>
          <w:highlight w:val="none"/>
        </w:rPr>
        <w:t>甲方权责</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在甲方生产营运场所内施工的，告知乙方该场所已知存在的安全风险，清淤作业主要风险包括但不限于以下风险：有限空间作业（中毒窒息）、临时用电（触电）、高处作业（坠落）、吊装（物体打击）等，要求乙方在作业前应根据现场情况和实际施工情况重新辨识安全风险并采取有效管控措施。</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（二）落实生产营运等相关配合措施，提供必要的施工条件。</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（三）要求乙方遵守的甲方安全管理要求。</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（四）有权对乙方安全措施投入、现场安全施工情况等进行安全监督检查，并提出整改。</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（五）按照《广州市净水有限公司工程项目安全管理规范》等办法对乙方进行施工安全管理评价。</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按主合同相关条款进行经济扣罚；</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根据《广州市水务局关于印发广州市水务工程施工和监理企业诚信评价管理办法的通知》（穗水建设〔2</w:t>
      </w:r>
      <w:r>
        <w:rPr>
          <w:rFonts w:asciiTheme="minorEastAsia" w:hAnsiTheme="minorEastAsia" w:eastAsiaTheme="minorEastAsia"/>
          <w:color w:val="auto"/>
          <w:sz w:val="24"/>
          <w:highlight w:val="none"/>
        </w:rPr>
        <w:t>014</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0</w:t>
      </w:r>
      <w:r>
        <w:rPr>
          <w:rFonts w:hint="eastAsia" w:asciiTheme="minorEastAsia" w:hAnsiTheme="minorEastAsia" w:eastAsiaTheme="minorEastAsia"/>
          <w:color w:val="auto"/>
          <w:sz w:val="24"/>
          <w:highlight w:val="none"/>
        </w:rPr>
        <w:t>号）、《市净水公司关于印发施工和监理企业诚信评价工作实施办法的通知》（穗净水〔201</w:t>
      </w:r>
      <w:r>
        <w:rPr>
          <w:rFonts w:asciiTheme="minorEastAsia" w:hAnsiTheme="minorEastAsia" w:eastAsiaTheme="minorEastAsia"/>
          <w:color w:val="auto"/>
          <w:sz w:val="24"/>
          <w:highlight w:val="none"/>
        </w:rPr>
        <w:t>5</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40</w:t>
      </w:r>
      <w:r>
        <w:rPr>
          <w:rFonts w:hint="eastAsia" w:asciiTheme="minorEastAsia" w:hAnsiTheme="minorEastAsia" w:eastAsiaTheme="minorEastAsia"/>
          <w:color w:val="auto"/>
          <w:sz w:val="24"/>
          <w:highlight w:val="none"/>
        </w:rPr>
        <w:t>号），进行诚信扣分（合同期内有新的文件印发的，按照最新的文件执行）；</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限制投保，或经其他单位承包后以分别方参与项目实施；</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rPr>
        <w:t>向上级进行反映，包括但不限于广东省市政行业协会、广州市市政公路协会等。</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三、乙方权责</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在作业前应根据现场情况和实际施工情况重新辨识安全风险并采取有效管控措施，编制专项清淤施工方案，并经乙方技术负责人审核。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（二）严格执行国家、地方和行业主管部门关于施工的强制性标准、地方行政法规、管理要求。</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依法为施工现场作业的人员办理意外伤害保险、购买安全生产责任保险。</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（三）乙方应在合同签订后</w:t>
      </w:r>
      <w:r>
        <w:rPr>
          <w:rFonts w:asciiTheme="minorEastAsia" w:hAnsiTheme="minorEastAsia" w:eastAsiaTheme="minorEastAsia"/>
          <w:color w:val="auto"/>
          <w:sz w:val="24"/>
          <w:highlight w:val="none"/>
          <w:u w:val="single"/>
        </w:rPr>
        <w:t xml:space="preserve">  </w:t>
      </w:r>
      <w:r>
        <w:rPr>
          <w:rFonts w:hint="eastAsia" w:asciiTheme="minorEastAsia" w:hAnsiTheme="minorEastAsia"/>
          <w:color w:val="auto"/>
          <w:sz w:val="24"/>
          <w:highlight w:val="none"/>
          <w:u w:val="single"/>
          <w:lang w:val="en-US" w:eastAsia="zh-CN"/>
        </w:rPr>
        <w:t>10</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日内制定安全生产文明施工措施费投入使用计划，并提交甲方备案，保证施工安全措施投入。</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（四）严格按照甲方制定的《广州市净水有限公司工程项目安全管理规范》要求，落实各项安全管理工作。清淤作业必须遵循“先通风、再检测、后作业”，通风必须经过核算确保通风效果满足要求。</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配合甲方的安全监督检查，并立即对提出的问题隐患进行整改。</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五）落实人员实名制，在签订主合同前提供本项目全体人员已通过三级安全教育及职业健康体检的证明，确保全员没有职业病，禁止有职业禁忌证的人员从事禁忌证相关工作。清淤作业人员必须符合年龄要求（男的不超过5</w:t>
      </w:r>
      <w:r>
        <w:rPr>
          <w:rFonts w:asciiTheme="minorEastAsia" w:hAnsiTheme="minorEastAsia" w:eastAsiaTheme="minorEastAsia"/>
          <w:color w:val="auto"/>
          <w:sz w:val="24"/>
          <w:highlight w:val="none"/>
        </w:rPr>
        <w:t>5周岁，女的不超过</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0周岁</w:t>
      </w:r>
      <w:r>
        <w:rPr>
          <w:rFonts w:hint="eastAsia" w:asciiTheme="minorEastAsia" w:hAnsiTheme="minorEastAsia" w:eastAsiaTheme="minorEastAsia"/>
          <w:color w:val="auto"/>
          <w:sz w:val="24"/>
          <w:highlight w:val="none"/>
        </w:rPr>
        <w:t>）。</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（八）严格履行本协议，遵守甲方各项管理规定，服从管理。</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（九）对甲方的违章指挥，拒绝执行，但需书面明确指出甲方所违反的具体法律法规、标准规范等。</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（十）乙方委托的第三方运输单位或个人，违反本协议的，全部责任均由乙方承担。</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四、事故责任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37"/>
        <w:spacing w:line="560" w:lineRule="exact"/>
        <w:ind w:firstLine="482" w:firstLineChars="200"/>
        <w:rPr>
          <w:rFonts w:asciiTheme="minorEastAsia" w:hAnsiTheme="minorEastAsia" w:eastAsiaTheme="minorEastAsia"/>
          <w:color w:val="auto"/>
          <w:sz w:val="24"/>
          <w:highlight w:val="none"/>
        </w:rPr>
      </w:pPr>
      <w:r>
        <w:rPr>
          <w:rFonts w:hint="eastAsia" w:asciiTheme="minorEastAsia" w:hAnsiTheme="minorEastAsia" w:eastAsiaTheme="minorEastAsia"/>
          <w:b/>
          <w:color w:val="auto"/>
          <w:sz w:val="24"/>
          <w:highlight w:val="none"/>
        </w:rPr>
        <w:t>五、补充条款：</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六、附则</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（二）本协议与主合同同时签订、同时终止、同时生效，具有相同的法律效力，自甲方、乙方双方签字、盖章生效，甲方、乙方双方执持数量与主合同一致。</w:t>
      </w:r>
    </w:p>
    <w:tbl>
      <w:tblPr>
        <w:tblStyle w:val="24"/>
        <w:tblpPr w:leftFromText="180" w:rightFromText="180" w:vertAnchor="text" w:horzAnchor="page" w:tblpX="1819" w:tblpY="140"/>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pPr>
              <w:adjustRightInd w:val="0"/>
              <w:snapToGrid w:val="0"/>
              <w:spacing w:line="56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甲方：</w:t>
            </w:r>
          </w:p>
          <w:p>
            <w:pPr>
              <w:adjustRightInd w:val="0"/>
              <w:snapToGrid w:val="0"/>
              <w:spacing w:line="56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签约代表：</w:t>
            </w:r>
          </w:p>
          <w:p>
            <w:pPr>
              <w:adjustRightInd w:val="0"/>
              <w:snapToGrid w:val="0"/>
              <w:spacing w:line="56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联系电话：</w:t>
            </w:r>
          </w:p>
          <w:p>
            <w:pPr>
              <w:adjustRightInd w:val="0"/>
              <w:snapToGrid w:val="0"/>
              <w:spacing w:line="560" w:lineRule="exact"/>
              <w:ind w:firstLine="240" w:firstLineChars="100"/>
              <w:jc w:val="righ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年</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月</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日</w:t>
            </w:r>
          </w:p>
        </w:tc>
        <w:tc>
          <w:tcPr>
            <w:tcW w:w="4261" w:type="dxa"/>
          </w:tcPr>
          <w:p>
            <w:pPr>
              <w:adjustRightInd w:val="0"/>
              <w:snapToGrid w:val="0"/>
              <w:spacing w:line="56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乙方：</w:t>
            </w:r>
          </w:p>
          <w:p>
            <w:pPr>
              <w:adjustRightInd w:val="0"/>
              <w:snapToGrid w:val="0"/>
              <w:spacing w:line="56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签约代表：</w:t>
            </w:r>
          </w:p>
          <w:p>
            <w:pPr>
              <w:adjustRightInd w:val="0"/>
              <w:snapToGrid w:val="0"/>
              <w:spacing w:line="56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联系电话：</w:t>
            </w:r>
          </w:p>
          <w:p>
            <w:pPr>
              <w:adjustRightInd w:val="0"/>
              <w:snapToGrid w:val="0"/>
              <w:spacing w:line="560" w:lineRule="exact"/>
              <w:jc w:val="righ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年</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月</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日</w:t>
            </w:r>
          </w:p>
        </w:tc>
      </w:tr>
    </w:tbl>
    <w:p>
      <w:pPr>
        <w:spacing w:line="360" w:lineRule="auto"/>
        <w:ind w:right="-80"/>
        <w:rPr>
          <w:rFonts w:ascii="宋体" w:hAnsi="宋体"/>
          <w:b/>
          <w:color w:val="auto"/>
          <w:szCs w:val="21"/>
          <w:highlight w:val="none"/>
        </w:rPr>
      </w:pPr>
    </w:p>
    <w:p>
      <w:pPr>
        <w:spacing w:line="360" w:lineRule="auto"/>
        <w:jc w:val="both"/>
        <w:rPr>
          <w:rFonts w:hint="eastAsia" w:ascii="宋体" w:hAnsi="宋体" w:cs="宋体"/>
          <w:b/>
          <w:bCs/>
          <w:color w:val="auto"/>
          <w:szCs w:val="21"/>
          <w:highlight w:val="none"/>
        </w:rPr>
      </w:pPr>
    </w:p>
    <w:p>
      <w:pPr>
        <w:spacing w:line="360" w:lineRule="auto"/>
        <w:jc w:val="both"/>
        <w:rPr>
          <w:rFonts w:hint="eastAsia" w:ascii="宋体" w:hAnsi="宋体" w:cs="宋体"/>
          <w:b/>
          <w:bCs/>
          <w:color w:val="auto"/>
          <w:szCs w:val="21"/>
          <w:highlight w:val="none"/>
        </w:rPr>
      </w:pPr>
    </w:p>
    <w:p>
      <w:pPr>
        <w:spacing w:line="360" w:lineRule="auto"/>
        <w:jc w:val="both"/>
        <w:rPr>
          <w:rFonts w:hint="eastAsia" w:ascii="宋体" w:hAnsi="宋体" w:cs="宋体"/>
          <w:b/>
          <w:bCs/>
          <w:color w:val="auto"/>
          <w:szCs w:val="21"/>
          <w:highlight w:val="none"/>
        </w:rPr>
      </w:pPr>
    </w:p>
    <w:p>
      <w:pPr>
        <w:spacing w:line="360" w:lineRule="auto"/>
        <w:jc w:val="both"/>
        <w:rPr>
          <w:rFonts w:hint="eastAsia" w:ascii="宋体" w:hAnsi="宋体" w:cs="宋体"/>
          <w:b/>
          <w:bCs/>
          <w:color w:val="auto"/>
          <w:szCs w:val="21"/>
          <w:highlight w:val="none"/>
        </w:rPr>
      </w:pPr>
      <w:r>
        <w:rPr>
          <w:rFonts w:hint="eastAsia" w:ascii="宋体" w:hAnsi="宋体" w:cs="宋体"/>
          <w:b/>
          <w:bCs/>
          <w:color w:val="auto"/>
          <w:szCs w:val="21"/>
          <w:highlight w:val="none"/>
        </w:rPr>
        <w:t>附件</w:t>
      </w:r>
      <w:r>
        <w:rPr>
          <w:rFonts w:ascii="宋体" w:hAnsi="宋体" w:cs="宋体"/>
          <w:b/>
          <w:bCs/>
          <w:color w:val="auto"/>
          <w:szCs w:val="21"/>
          <w:highlight w:val="none"/>
        </w:rPr>
        <w:t>2</w:t>
      </w:r>
      <w:r>
        <w:rPr>
          <w:rFonts w:hint="eastAsia" w:ascii="宋体" w:hAnsi="宋体" w:cs="宋体"/>
          <w:b/>
          <w:bCs/>
          <w:color w:val="auto"/>
          <w:szCs w:val="21"/>
          <w:highlight w:val="none"/>
        </w:rPr>
        <w:t>：廉洁协议</w:t>
      </w:r>
    </w:p>
    <w:p>
      <w:pPr>
        <w:keepNext w:val="0"/>
        <w:keepLines w:val="0"/>
        <w:pageBreakBefore w:val="0"/>
        <w:kinsoku/>
        <w:wordWrap/>
        <w:overflowPunct/>
        <w:topLinePunct w:val="0"/>
        <w:autoSpaceDE/>
        <w:autoSpaceDN/>
        <w:bidi w:val="0"/>
        <w:snapToGrid/>
        <w:spacing w:line="520" w:lineRule="exact"/>
        <w:ind w:firstLine="3640" w:firstLineChars="1300"/>
        <w:jc w:val="both"/>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竹料分公司2023年一期反应池南池及扩建北池清淤</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4"/>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20"/>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0"/>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0"/>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0"/>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0"/>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0"/>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0"/>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0"/>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line="520" w:lineRule="exact"/>
        <w:ind w:left="279" w:leftChars="133" w:firstLine="280" w:firstLineChars="1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rPr>
        <w:t>（竹料分公司2023年一期反应池南池及扩建北池清淤）+（</w:t>
      </w:r>
      <w:r>
        <w:rPr>
          <w:rFonts w:hint="eastAsia" w:ascii="仿宋_GB2312" w:hAnsi="仿宋_GB2312" w:eastAsia="仿宋_GB2312" w:cs="仿宋_GB2312"/>
          <w:b w:val="0"/>
          <w:bCs/>
          <w:color w:val="auto"/>
          <w:sz w:val="28"/>
          <w:szCs w:val="28"/>
          <w:highlight w:val="none"/>
          <w:u w:val="single"/>
          <w:lang w:val="en-US" w:eastAsia="zh-CN"/>
        </w:rPr>
        <w:t>穗净水合[      ]     号</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br w:type="textWrapping"/>
      </w:r>
      <w:r>
        <w:rPr>
          <w:rFonts w:hint="eastAsia" w:ascii="仿宋_GB2312" w:hAnsi="仿宋_GB2312" w:eastAsia="仿宋_GB2312" w:cs="仿宋_GB2312"/>
          <w:b w:val="0"/>
          <w:bCs/>
          <w:color w:val="auto"/>
          <w:sz w:val="28"/>
          <w:szCs w:val="28"/>
          <w:highlight w:val="none"/>
        </w:rPr>
        <w:t>甲方（盖章）：                     乙方（盖章）：</w:t>
      </w:r>
    </w:p>
    <w:p>
      <w:pPr>
        <w:pStyle w:val="34"/>
        <w:keepNext w:val="0"/>
        <w:keepLines w:val="0"/>
        <w:pageBreakBefore w:val="0"/>
        <w:tabs>
          <w:tab w:val="left" w:pos="5100"/>
        </w:tabs>
        <w:kinsoku/>
        <w:wordWrap/>
        <w:overflowPunct/>
        <w:topLinePunct w:val="0"/>
        <w:autoSpaceDE/>
        <w:autoSpaceDN/>
        <w:bidi w:val="0"/>
        <w:snapToGrid/>
        <w:spacing w:line="520" w:lineRule="exact"/>
        <w:ind w:left="7200" w:firstLine="0" w:firstLineChars="0"/>
        <w:jc w:val="left"/>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line="520" w:lineRule="exact"/>
        <w:ind w:left="7200" w:hanging="8400" w:hangingChars="30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tabs>
          <w:tab w:val="left" w:pos="4170"/>
        </w:tabs>
        <w:spacing w:line="360" w:lineRule="auto"/>
        <w:rPr>
          <w:rFonts w:ascii="宋体" w:hAnsi="宋体"/>
          <w:color w:val="auto"/>
          <w:highlight w:val="none"/>
        </w:rPr>
      </w:pPr>
    </w:p>
    <w:p>
      <w:pPr>
        <w:spacing w:line="360" w:lineRule="auto"/>
        <w:rPr>
          <w:rFonts w:ascii="仿宋_GB2312" w:eastAsia="仿宋_GB2312"/>
          <w:color w:val="auto"/>
          <w:sz w:val="24"/>
          <w:szCs w:val="24"/>
          <w:highlight w:val="none"/>
        </w:rPr>
      </w:pPr>
    </w:p>
    <w:p>
      <w:pPr>
        <w:pStyle w:val="22"/>
        <w:rPr>
          <w:rFonts w:ascii="仿宋_GB2312" w:eastAsia="仿宋_GB2312"/>
          <w:color w:val="auto"/>
          <w:sz w:val="24"/>
          <w:szCs w:val="24"/>
          <w:highlight w:val="none"/>
        </w:rPr>
      </w:pPr>
    </w:p>
    <w:p>
      <w:pPr>
        <w:pStyle w:val="22"/>
        <w:rPr>
          <w:rFonts w:ascii="仿宋_GB2312" w:eastAsia="仿宋_GB2312"/>
          <w:color w:val="auto"/>
          <w:sz w:val="24"/>
          <w:szCs w:val="24"/>
          <w:highlight w:val="none"/>
        </w:rPr>
      </w:pPr>
    </w:p>
    <w:p>
      <w:pPr>
        <w:pStyle w:val="22"/>
        <w:rPr>
          <w:rFonts w:ascii="仿宋_GB2312" w:eastAsia="仿宋_GB2312"/>
          <w:color w:val="auto"/>
          <w:sz w:val="24"/>
          <w:szCs w:val="24"/>
          <w:highlight w:val="none"/>
        </w:rPr>
      </w:pPr>
    </w:p>
    <w:p>
      <w:pPr>
        <w:pStyle w:val="22"/>
        <w:rPr>
          <w:rFonts w:ascii="仿宋_GB2312" w:eastAsia="仿宋_GB2312"/>
          <w:color w:val="auto"/>
          <w:sz w:val="24"/>
          <w:szCs w:val="24"/>
          <w:highlight w:val="none"/>
        </w:rPr>
      </w:pPr>
    </w:p>
    <w:p>
      <w:pPr>
        <w:pStyle w:val="22"/>
        <w:rPr>
          <w:rFonts w:ascii="仿宋_GB2312" w:eastAsia="仿宋_GB2312"/>
          <w:color w:val="auto"/>
          <w:sz w:val="24"/>
          <w:szCs w:val="24"/>
          <w:highlight w:val="none"/>
        </w:rPr>
      </w:pPr>
    </w:p>
    <w:p>
      <w:pPr>
        <w:pStyle w:val="22"/>
        <w:rPr>
          <w:rFonts w:ascii="仿宋_GB2312" w:eastAsia="仿宋_GB2312"/>
          <w:color w:val="auto"/>
          <w:sz w:val="24"/>
          <w:szCs w:val="24"/>
          <w:highlight w:val="none"/>
        </w:rPr>
      </w:pPr>
    </w:p>
    <w:p>
      <w:pPr>
        <w:pStyle w:val="22"/>
        <w:ind w:left="0" w:leftChars="0" w:firstLine="0" w:firstLineChars="0"/>
        <w:rPr>
          <w:rFonts w:ascii="仿宋_GB2312" w:eastAsia="仿宋_GB2312"/>
          <w:color w:val="auto"/>
          <w:sz w:val="24"/>
          <w:szCs w:val="24"/>
          <w:highlight w:val="none"/>
        </w:rPr>
      </w:pPr>
    </w:p>
    <w:p>
      <w:pPr>
        <w:pStyle w:val="22"/>
        <w:rPr>
          <w:rFonts w:ascii="仿宋_GB2312" w:eastAsia="仿宋_GB2312"/>
          <w:color w:val="auto"/>
          <w:sz w:val="24"/>
          <w:szCs w:val="24"/>
          <w:highlight w:val="none"/>
        </w:rPr>
      </w:pPr>
    </w:p>
    <w:p>
      <w:pPr>
        <w:spacing w:line="360" w:lineRule="auto"/>
        <w:rPr>
          <w:rFonts w:hint="eastAsia" w:ascii="宋体" w:hAnsi="宋体" w:eastAsia="宋体"/>
          <w:b/>
          <w:color w:val="auto"/>
          <w:szCs w:val="21"/>
          <w:highlight w:val="none"/>
          <w:lang w:val="en-US" w:eastAsia="zh-CN"/>
        </w:rPr>
      </w:pPr>
      <w:r>
        <w:rPr>
          <w:rFonts w:hint="eastAsia" w:ascii="宋体" w:hAnsi="宋体"/>
          <w:b/>
          <w:color w:val="auto"/>
          <w:szCs w:val="21"/>
          <w:highlight w:val="none"/>
        </w:rPr>
        <w:t>附件</w:t>
      </w:r>
      <w:r>
        <w:rPr>
          <w:rFonts w:hint="eastAsia" w:ascii="宋体" w:hAnsi="宋体"/>
          <w:b/>
          <w:color w:val="auto"/>
          <w:szCs w:val="21"/>
          <w:highlight w:val="none"/>
          <w:lang w:val="en-US" w:eastAsia="zh-CN"/>
        </w:rPr>
        <w:t>3</w:t>
      </w:r>
    </w:p>
    <w:p>
      <w:pPr>
        <w:spacing w:line="440" w:lineRule="exact"/>
        <w:jc w:val="both"/>
        <w:rPr>
          <w:rFonts w:hint="eastAsia" w:ascii="仿宋_GB2312" w:eastAsia="仿宋_GB2312"/>
          <w:b w:val="0"/>
          <w:bCs w:val="0"/>
          <w:color w:val="auto"/>
          <w:sz w:val="28"/>
          <w:szCs w:val="28"/>
          <w:highlight w:val="none"/>
        </w:rPr>
      </w:pPr>
    </w:p>
    <w:p>
      <w:pPr>
        <w:spacing w:line="440" w:lineRule="exact"/>
        <w:jc w:val="center"/>
        <w:rPr>
          <w:rFonts w:ascii="仿宋_GB2312" w:eastAsia="仿宋_GB2312"/>
          <w:b/>
          <w:bCs/>
          <w:color w:val="auto"/>
          <w:sz w:val="28"/>
          <w:szCs w:val="28"/>
          <w:highlight w:val="none"/>
        </w:rPr>
      </w:pPr>
      <w:r>
        <w:rPr>
          <w:rFonts w:hint="eastAsia" w:ascii="仿宋_GB2312" w:eastAsia="仿宋_GB2312"/>
          <w:b/>
          <w:bCs/>
          <w:color w:val="auto"/>
          <w:sz w:val="28"/>
          <w:szCs w:val="28"/>
          <w:highlight w:val="none"/>
        </w:rPr>
        <w:t>防疫管理协议书</w:t>
      </w:r>
    </w:p>
    <w:p>
      <w:pPr>
        <w:spacing w:line="440" w:lineRule="exact"/>
        <w:rPr>
          <w:rFonts w:ascii="仿宋_GB2312" w:hAnsi="宋体" w:eastAsia="仿宋_GB2312"/>
          <w:color w:val="auto"/>
          <w:sz w:val="24"/>
          <w:highlight w:val="none"/>
        </w:rPr>
      </w:pPr>
    </w:p>
    <w:p>
      <w:pPr>
        <w:adjustRightInd w:val="0"/>
        <w:snapToGrid w:val="0"/>
        <w:spacing w:line="440" w:lineRule="exact"/>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甲方：</w:t>
      </w:r>
      <w:r>
        <w:rPr>
          <w:rFonts w:hint="eastAsia" w:ascii="仿宋" w:hAnsi="仿宋" w:eastAsia="仿宋" w:cs="仿宋"/>
          <w:color w:val="auto"/>
          <w:sz w:val="24"/>
          <w:highlight w:val="none"/>
          <w:u w:val="single"/>
        </w:rPr>
        <w:t>广州市净水有限公司</w:t>
      </w:r>
    </w:p>
    <w:p>
      <w:pPr>
        <w:adjustRightInd w:val="0"/>
        <w:snapToGrid w:val="0"/>
        <w:spacing w:line="440" w:lineRule="exact"/>
        <w:ind w:firstLine="480" w:firstLineChars="200"/>
        <w:jc w:val="left"/>
        <w:rPr>
          <w:rFonts w:ascii="仿宋" w:hAnsi="仿宋" w:eastAsia="仿宋" w:cs="仿宋"/>
          <w:color w:val="auto"/>
          <w:sz w:val="24"/>
          <w:highlight w:val="none"/>
          <w:u w:val="single"/>
        </w:rPr>
      </w:pPr>
      <w:r>
        <w:rPr>
          <w:rFonts w:hint="eastAsia" w:ascii="仿宋" w:hAnsi="仿宋" w:eastAsia="仿宋" w:cs="仿宋"/>
          <w:color w:val="auto"/>
          <w:sz w:val="24"/>
          <w:highlight w:val="none"/>
        </w:rPr>
        <w:t xml:space="preserve">乙方: </w:t>
      </w:r>
      <w:r>
        <w:rPr>
          <w:rFonts w:hint="eastAsia" w:ascii="仿宋" w:hAnsi="仿宋" w:eastAsia="仿宋" w:cs="仿宋"/>
          <w:color w:val="auto"/>
          <w:sz w:val="24"/>
          <w:highlight w:val="none"/>
          <w:u w:val="single"/>
        </w:rPr>
        <w:t xml:space="preserve"> </w:t>
      </w:r>
    </w:p>
    <w:p>
      <w:pPr>
        <w:spacing w:line="440" w:lineRule="exact"/>
        <w:ind w:firstLine="540" w:firstLineChars="225"/>
        <w:rPr>
          <w:rFonts w:ascii="仿宋" w:hAnsi="仿宋" w:eastAsia="仿宋" w:cs="仿宋"/>
          <w:color w:val="auto"/>
          <w:sz w:val="24"/>
          <w:highlight w:val="none"/>
        </w:rPr>
      </w:pPr>
      <w:r>
        <w:rPr>
          <w:rFonts w:hint="eastAsia" w:ascii="仿宋" w:hAnsi="仿宋" w:eastAsia="仿宋" w:cs="仿宋"/>
          <w:color w:val="auto"/>
          <w:sz w:val="24"/>
          <w:highlight w:val="none"/>
        </w:rPr>
        <w:t>为贯彻落实国家、省、市疫情防控工作部署，依据有关法律法规从严管控要求，进一步加强建设、维修工地新冠肺炎疫情防控工作，指导项目维修施工人员及时有效做好防控措施。经双方协商，签订本协议书，以明确各自的疫情防控责任并共同遵守。</w:t>
      </w:r>
    </w:p>
    <w:p>
      <w:pPr>
        <w:adjustRightInd w:val="0"/>
        <w:snapToGrid w:val="0"/>
        <w:spacing w:line="44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一、本协议与主协议的关系</w:t>
      </w:r>
    </w:p>
    <w:p>
      <w:pPr>
        <w:adjustRightInd w:val="0"/>
        <w:snapToGrid w:val="0"/>
        <w:spacing w:line="440" w:lineRule="exact"/>
        <w:ind w:left="105"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本协议作为</w:t>
      </w:r>
      <w:r>
        <w:rPr>
          <w:rFonts w:hint="eastAsia" w:ascii="仿宋" w:hAnsi="仿宋" w:eastAsia="仿宋" w:cs="仿宋"/>
          <w:color w:val="auto"/>
          <w:sz w:val="24"/>
          <w:highlight w:val="none"/>
          <w:u w:val="single"/>
        </w:rPr>
        <w:t xml:space="preserve"> 竹料分公司2023年一期反应池南池及扩建北池清淤 </w:t>
      </w:r>
      <w:r>
        <w:rPr>
          <w:rFonts w:hint="eastAsia" w:ascii="仿宋" w:hAnsi="仿宋" w:eastAsia="仿宋" w:cs="仿宋"/>
          <w:color w:val="auto"/>
          <w:sz w:val="24"/>
          <w:highlight w:val="none"/>
        </w:rPr>
        <w:t>的组成部分，与主合同具有同等法律</w:t>
      </w:r>
    </w:p>
    <w:p>
      <w:pPr>
        <w:adjustRightInd w:val="0"/>
        <w:snapToGrid w:val="0"/>
        <w:spacing w:line="440" w:lineRule="exact"/>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二、甲方的义务</w:t>
      </w:r>
    </w:p>
    <w:p>
      <w:pPr>
        <w:adjustRightInd w:val="0"/>
        <w:snapToGrid w:val="0"/>
        <w:spacing w:line="440" w:lineRule="exact"/>
        <w:ind w:firstLine="48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（一）</w:t>
      </w:r>
      <w:r>
        <w:rPr>
          <w:rFonts w:hint="eastAsia" w:ascii="仿宋" w:hAnsi="仿宋" w:eastAsia="仿宋" w:cs="仿宋"/>
          <w:color w:val="auto"/>
          <w:sz w:val="24"/>
          <w:highlight w:val="none"/>
        </w:rPr>
        <w:t>与建设主管部门和属地疫情防控指挥部门形成联防联控机制，建立快速有效的处置工作流程。</w:t>
      </w:r>
    </w:p>
    <w:p>
      <w:pPr>
        <w:pStyle w:val="7"/>
        <w:widowControl w:val="0"/>
        <w:adjustRightInd/>
        <w:snapToGrid/>
        <w:spacing w:line="440" w:lineRule="exact"/>
        <w:ind w:firstLine="480"/>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（二）对乙方防控工作的落实情况进行监督。</w:t>
      </w:r>
    </w:p>
    <w:p>
      <w:pPr>
        <w:adjustRightInd w:val="0"/>
        <w:snapToGrid w:val="0"/>
        <w:spacing w:line="440" w:lineRule="exact"/>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三、乙方的义务</w:t>
      </w:r>
    </w:p>
    <w:p>
      <w:pPr>
        <w:pStyle w:val="7"/>
        <w:widowControl w:val="0"/>
        <w:spacing w:line="440" w:lineRule="exact"/>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（一）开展疫情防控宣传教育，提高</w:t>
      </w:r>
      <w:r>
        <w:rPr>
          <w:rFonts w:hint="eastAsia" w:ascii="仿宋" w:hAnsi="仿宋" w:eastAsia="仿宋" w:cs="仿宋"/>
          <w:color w:val="auto"/>
          <w:sz w:val="24"/>
          <w:highlight w:val="none"/>
        </w:rPr>
        <w:t>乙方</w:t>
      </w:r>
      <w:r>
        <w:rPr>
          <w:rFonts w:hint="eastAsia" w:ascii="仿宋" w:hAnsi="仿宋" w:eastAsia="仿宋" w:cs="仿宋"/>
          <w:color w:val="auto"/>
          <w:kern w:val="2"/>
          <w:sz w:val="24"/>
          <w:szCs w:val="24"/>
          <w:highlight w:val="none"/>
        </w:rPr>
        <w:t>人员自我防护意识，最大限度减少人员暴露和感染的风险。</w:t>
      </w:r>
    </w:p>
    <w:p>
      <w:pPr>
        <w:pStyle w:val="7"/>
        <w:widowControl w:val="0"/>
        <w:spacing w:line="440" w:lineRule="exact"/>
        <w:ind w:firstLine="480" w:firstLineChars="200"/>
        <w:rPr>
          <w:rFonts w:ascii="仿宋" w:hAnsi="仿宋" w:eastAsia="仿宋" w:cs="仿宋"/>
          <w:color w:val="auto"/>
          <w:sz w:val="24"/>
          <w:highlight w:val="none"/>
        </w:rPr>
      </w:pPr>
      <w:r>
        <w:rPr>
          <w:rFonts w:hint="eastAsia" w:ascii="仿宋" w:hAnsi="仿宋" w:eastAsia="仿宋" w:cs="仿宋"/>
          <w:color w:val="auto"/>
          <w:kern w:val="2"/>
          <w:sz w:val="24"/>
          <w:szCs w:val="24"/>
          <w:highlight w:val="none"/>
        </w:rPr>
        <w:t>（二）</w:t>
      </w:r>
      <w:r>
        <w:rPr>
          <w:rFonts w:hint="eastAsia" w:ascii="仿宋" w:hAnsi="仿宋" w:eastAsia="仿宋" w:cs="仿宋"/>
          <w:color w:val="auto"/>
          <w:sz w:val="24"/>
          <w:highlight w:val="none"/>
        </w:rPr>
        <w:t>做好乙方人员防控工作管理，及时提交防疫资料，落实疫情防控备案，必要时需</w:t>
      </w:r>
      <w:r>
        <w:rPr>
          <w:rFonts w:hint="eastAsia" w:ascii="仿宋" w:hAnsi="仿宋" w:eastAsia="仿宋" w:cs="仿宋"/>
          <w:color w:val="auto"/>
          <w:kern w:val="2"/>
          <w:sz w:val="24"/>
          <w:szCs w:val="24"/>
          <w:highlight w:val="none"/>
        </w:rPr>
        <w:t>编制防控管理工作方案</w:t>
      </w:r>
      <w:r>
        <w:rPr>
          <w:rFonts w:hint="eastAsia" w:ascii="仿宋" w:hAnsi="仿宋" w:eastAsia="仿宋" w:cs="仿宋"/>
          <w:color w:val="auto"/>
          <w:sz w:val="32"/>
          <w:szCs w:val="32"/>
          <w:highlight w:val="none"/>
        </w:rPr>
        <w:t>。</w:t>
      </w:r>
    </w:p>
    <w:p>
      <w:pPr>
        <w:adjustRightInd w:val="0"/>
        <w:snapToGrid w:val="0"/>
        <w:spacing w:line="44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 xml:space="preserve">    （三）乙方人员须按照</w:t>
      </w:r>
      <w:r>
        <w:rPr>
          <w:rFonts w:hint="eastAsia" w:ascii="仿宋" w:hAnsi="仿宋" w:eastAsia="仿宋" w:cs="仿宋"/>
          <w:color w:val="auto"/>
          <w:sz w:val="24"/>
          <w:szCs w:val="24"/>
          <w:highlight w:val="none"/>
        </w:rPr>
        <w:t>甲方各厂区进厂门岗防控要求</w:t>
      </w:r>
      <w:r>
        <w:rPr>
          <w:rFonts w:hint="eastAsia" w:ascii="仿宋" w:hAnsi="仿宋" w:eastAsia="仿宋" w:cs="仿宋"/>
          <w:color w:val="auto"/>
          <w:sz w:val="24"/>
          <w:highlight w:val="none"/>
        </w:rPr>
        <w:t>进行疫苗接种及核酸检测，未满足相关要求的人员甲方有权限制进入厂区。</w:t>
      </w:r>
    </w:p>
    <w:p>
      <w:pPr>
        <w:pStyle w:val="7"/>
        <w:widowControl w:val="0"/>
        <w:adjustRightInd/>
        <w:snapToGrid/>
        <w:spacing w:line="440" w:lineRule="exact"/>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（四）建立畅通的信息传输渠道和严格的信息上报机制，出现问题及时采取应急响应措施，迅速妥善处置项目施工场所普通发热病例、可疑病例和突发新冠肺炎疫情，并第一时间报送甲方。</w:t>
      </w:r>
    </w:p>
    <w:p>
      <w:pPr>
        <w:adjustRightInd w:val="0"/>
        <w:snapToGrid w:val="0"/>
        <w:spacing w:line="440" w:lineRule="exact"/>
        <w:ind w:firstLine="480" w:firstLineChars="200"/>
        <w:jc w:val="left"/>
        <w:rPr>
          <w:rFonts w:ascii="仿宋" w:hAnsi="仿宋" w:eastAsia="仿宋" w:cs="仿宋"/>
          <w:color w:val="auto"/>
          <w:highlight w:val="none"/>
        </w:rPr>
      </w:pPr>
      <w:r>
        <w:rPr>
          <w:rFonts w:hint="eastAsia" w:ascii="仿宋" w:hAnsi="仿宋" w:eastAsia="仿宋" w:cs="仿宋"/>
          <w:color w:val="auto"/>
          <w:sz w:val="24"/>
          <w:szCs w:val="24"/>
          <w:highlight w:val="none"/>
        </w:rPr>
        <w:t>（五）各级政府、有关部门及甲方的其他</w:t>
      </w:r>
      <w:r>
        <w:rPr>
          <w:rFonts w:hint="eastAsia" w:ascii="仿宋" w:hAnsi="仿宋" w:eastAsia="仿宋" w:cs="仿宋"/>
          <w:color w:val="auto"/>
          <w:sz w:val="24"/>
          <w:highlight w:val="none"/>
        </w:rPr>
        <w:t>防控要求</w:t>
      </w:r>
      <w:r>
        <w:rPr>
          <w:rFonts w:hint="eastAsia" w:ascii="仿宋" w:hAnsi="仿宋" w:eastAsia="仿宋" w:cs="仿宋"/>
          <w:color w:val="auto"/>
          <w:sz w:val="24"/>
          <w:szCs w:val="24"/>
          <w:highlight w:val="none"/>
        </w:rPr>
        <w:t>。</w:t>
      </w:r>
    </w:p>
    <w:p>
      <w:pPr>
        <w:adjustRightInd w:val="0"/>
        <w:snapToGrid w:val="0"/>
        <w:spacing w:line="440" w:lineRule="exact"/>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四、违约责任</w:t>
      </w:r>
    </w:p>
    <w:p>
      <w:pPr>
        <w:adjustRightInd w:val="0"/>
        <w:snapToGrid w:val="0"/>
        <w:spacing w:line="440" w:lineRule="exact"/>
        <w:ind w:left="105"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乙方需按照甲方服务要求执行，未达到疫情防控要求的，需按下列条款执行：</w:t>
      </w:r>
    </w:p>
    <w:p>
      <w:pPr>
        <w:adjustRightInd w:val="0"/>
        <w:snapToGrid w:val="0"/>
        <w:spacing w:line="440" w:lineRule="exact"/>
        <w:ind w:left="105"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（一）乙方人员及其密接亲属有重点区域、重点场所旅居史未报备的，每发现一人，从乙方当月服务费中扣500元；</w:t>
      </w:r>
    </w:p>
    <w:p>
      <w:pPr>
        <w:adjustRightInd w:val="0"/>
        <w:snapToGrid w:val="0"/>
        <w:spacing w:line="440" w:lineRule="exact"/>
        <w:ind w:left="105"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（二）乙方人员未按照甲方要求进行核酸检测的或有瞒报、虚报的，每发现一人，从乙方当月服务费中扣50元；</w:t>
      </w:r>
    </w:p>
    <w:p>
      <w:pPr>
        <w:adjustRightInd w:val="0"/>
        <w:snapToGrid w:val="0"/>
        <w:spacing w:line="440" w:lineRule="exact"/>
        <w:ind w:left="105"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（三）乙方项目维修施工人员拒不配合甲方疫情防控要求或不满足甲方防疫工作要求的，甲方有权要求乙方3天内更换服务人员。</w:t>
      </w:r>
    </w:p>
    <w:p>
      <w:pPr>
        <w:pStyle w:val="37"/>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五、补充条款：</w:t>
      </w:r>
      <w:r>
        <w:rPr>
          <w:rFonts w:hint="eastAsia" w:ascii="仿宋" w:hAnsi="仿宋" w:eastAsia="仿宋" w:cs="仿宋"/>
          <w:color w:val="auto"/>
          <w:sz w:val="24"/>
          <w:highlight w:val="none"/>
          <w:u w:val="single"/>
        </w:rPr>
        <w:t xml:space="preserve">         /       </w:t>
      </w:r>
      <w:r>
        <w:rPr>
          <w:rFonts w:hint="eastAsia" w:ascii="仿宋" w:hAnsi="仿宋" w:eastAsia="仿宋" w:cs="仿宋"/>
          <w:color w:val="auto"/>
          <w:sz w:val="24"/>
          <w:highlight w:val="none"/>
        </w:rPr>
        <w:t>。</w:t>
      </w:r>
    </w:p>
    <w:p>
      <w:pPr>
        <w:adjustRightInd w:val="0"/>
        <w:snapToGrid w:val="0"/>
        <w:spacing w:line="44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六、附则</w:t>
      </w:r>
    </w:p>
    <w:p>
      <w:pPr>
        <w:adjustRightInd w:val="0"/>
        <w:snapToGrid w:val="0"/>
        <w:spacing w:line="440" w:lineRule="exact"/>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本协议与合同同时签订、同时终止、同时生效，具有相同的法律效力。合同由甲乙双方签字、盖章生效，甲乙双方各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份。</w:t>
      </w:r>
    </w:p>
    <w:p>
      <w:pPr>
        <w:adjustRightInd w:val="0"/>
        <w:snapToGrid w:val="0"/>
        <w:spacing w:line="440" w:lineRule="exact"/>
        <w:rPr>
          <w:rFonts w:ascii="仿宋" w:hAnsi="仿宋" w:eastAsia="仿宋" w:cs="仿宋"/>
          <w:color w:val="auto"/>
          <w:sz w:val="24"/>
          <w:highlight w:val="none"/>
        </w:rPr>
      </w:pPr>
    </w:p>
    <w:p>
      <w:pPr>
        <w:adjustRightInd w:val="0"/>
        <w:snapToGrid w:val="0"/>
        <w:spacing w:line="440" w:lineRule="exact"/>
        <w:ind w:left="1330" w:leftChars="5" w:hanging="1320" w:hangingChars="550"/>
        <w:rPr>
          <w:rFonts w:ascii="仿宋" w:hAnsi="仿宋" w:eastAsia="仿宋" w:cs="仿宋"/>
          <w:color w:val="auto"/>
          <w:sz w:val="24"/>
          <w:highlight w:val="none"/>
        </w:rPr>
      </w:pPr>
      <w:r>
        <w:rPr>
          <w:rFonts w:hint="eastAsia" w:ascii="仿宋" w:hAnsi="仿宋" w:eastAsia="仿宋" w:cs="仿宋"/>
          <w:color w:val="auto"/>
          <w:sz w:val="24"/>
          <w:highlight w:val="none"/>
        </w:rPr>
        <w:t xml:space="preserve">   甲方代表 （章）：                             乙方代表（章）：                                                           　　              　　　　　年 　月　  日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 xml:space="preserve">     年   月  　日</w:t>
      </w:r>
    </w:p>
    <w:p>
      <w:pPr>
        <w:pStyle w:val="22"/>
        <w:rPr>
          <w:rFonts w:ascii="宋体" w:hAnsi="宋体"/>
          <w:b/>
          <w:color w:val="auto"/>
          <w:sz w:val="24"/>
          <w:highlight w:val="none"/>
        </w:rPr>
      </w:pPr>
    </w:p>
    <w:p>
      <w:pPr>
        <w:spacing w:line="360" w:lineRule="auto"/>
        <w:rPr>
          <w:rFonts w:hint="eastAsia" w:ascii="宋体" w:hAnsi="宋体"/>
          <w:b/>
          <w:color w:val="auto"/>
          <w:szCs w:val="21"/>
          <w:highlight w:val="none"/>
        </w:rPr>
      </w:pPr>
    </w:p>
    <w:p>
      <w:pPr>
        <w:spacing w:line="360" w:lineRule="auto"/>
        <w:rPr>
          <w:rFonts w:hint="eastAsia" w:ascii="宋体" w:hAnsi="宋体"/>
          <w:b/>
          <w:color w:val="auto"/>
          <w:szCs w:val="21"/>
          <w:highlight w:val="none"/>
        </w:rPr>
      </w:pPr>
    </w:p>
    <w:p>
      <w:pPr>
        <w:spacing w:line="360" w:lineRule="auto"/>
        <w:rPr>
          <w:rFonts w:hint="eastAsia" w:ascii="宋体" w:hAnsi="宋体"/>
          <w:b/>
          <w:color w:val="auto"/>
          <w:szCs w:val="21"/>
          <w:highlight w:val="none"/>
        </w:rPr>
      </w:pPr>
    </w:p>
    <w:p>
      <w:pPr>
        <w:spacing w:line="360" w:lineRule="auto"/>
        <w:rPr>
          <w:rFonts w:hint="eastAsia" w:ascii="宋体" w:hAnsi="宋体"/>
          <w:b/>
          <w:color w:val="auto"/>
          <w:szCs w:val="21"/>
          <w:highlight w:val="none"/>
        </w:rPr>
      </w:pPr>
    </w:p>
    <w:p>
      <w:pPr>
        <w:spacing w:line="360" w:lineRule="auto"/>
        <w:rPr>
          <w:rFonts w:hint="eastAsia" w:ascii="宋体" w:hAnsi="宋体"/>
          <w:b/>
          <w:color w:val="auto"/>
          <w:szCs w:val="21"/>
          <w:highlight w:val="none"/>
        </w:rPr>
      </w:pPr>
    </w:p>
    <w:p>
      <w:pPr>
        <w:spacing w:line="360" w:lineRule="auto"/>
        <w:rPr>
          <w:rFonts w:hint="eastAsia" w:ascii="宋体" w:hAnsi="宋体"/>
          <w:b/>
          <w:color w:val="auto"/>
          <w:szCs w:val="21"/>
          <w:highlight w:val="none"/>
        </w:rPr>
      </w:pPr>
    </w:p>
    <w:p>
      <w:pPr>
        <w:spacing w:line="360" w:lineRule="auto"/>
        <w:rPr>
          <w:rFonts w:hint="eastAsia" w:ascii="宋体" w:hAnsi="宋体"/>
          <w:b/>
          <w:color w:val="auto"/>
          <w:szCs w:val="21"/>
          <w:highlight w:val="none"/>
        </w:rPr>
      </w:pPr>
    </w:p>
    <w:p>
      <w:pPr>
        <w:spacing w:line="360" w:lineRule="auto"/>
        <w:rPr>
          <w:rFonts w:hint="eastAsia" w:ascii="宋体" w:hAnsi="宋体"/>
          <w:b/>
          <w:color w:val="auto"/>
          <w:szCs w:val="21"/>
          <w:highlight w:val="none"/>
        </w:rPr>
      </w:pPr>
    </w:p>
    <w:p>
      <w:pPr>
        <w:spacing w:line="360" w:lineRule="auto"/>
        <w:rPr>
          <w:rFonts w:hint="eastAsia" w:ascii="宋体" w:hAnsi="宋体"/>
          <w:b/>
          <w:color w:val="auto"/>
          <w:szCs w:val="21"/>
          <w:highlight w:val="none"/>
        </w:rPr>
      </w:pPr>
    </w:p>
    <w:p>
      <w:pPr>
        <w:spacing w:line="360" w:lineRule="auto"/>
        <w:rPr>
          <w:rFonts w:hint="eastAsia" w:ascii="宋体" w:hAnsi="宋体"/>
          <w:b/>
          <w:color w:val="auto"/>
          <w:szCs w:val="21"/>
          <w:highlight w:val="none"/>
        </w:rPr>
      </w:pPr>
    </w:p>
    <w:p>
      <w:pPr>
        <w:spacing w:line="360" w:lineRule="auto"/>
        <w:rPr>
          <w:rFonts w:hint="eastAsia" w:ascii="宋体" w:hAnsi="宋体"/>
          <w:b/>
          <w:color w:val="auto"/>
          <w:szCs w:val="21"/>
          <w:highlight w:val="none"/>
        </w:rPr>
      </w:pPr>
    </w:p>
    <w:p>
      <w:pPr>
        <w:spacing w:line="360" w:lineRule="auto"/>
        <w:rPr>
          <w:rFonts w:hint="eastAsia" w:ascii="宋体" w:hAnsi="宋体"/>
          <w:b/>
          <w:color w:val="auto"/>
          <w:szCs w:val="21"/>
          <w:highlight w:val="none"/>
        </w:rPr>
      </w:pPr>
    </w:p>
    <w:p>
      <w:pPr>
        <w:spacing w:line="360" w:lineRule="auto"/>
        <w:rPr>
          <w:rFonts w:hint="eastAsia" w:ascii="宋体" w:hAnsi="宋体" w:eastAsia="宋体"/>
          <w:b/>
          <w:color w:val="auto"/>
          <w:szCs w:val="21"/>
          <w:highlight w:val="none"/>
          <w:lang w:val="en-US" w:eastAsia="zh-CN"/>
        </w:rPr>
      </w:pPr>
      <w:r>
        <w:rPr>
          <w:rFonts w:hint="eastAsia" w:ascii="宋体" w:hAnsi="宋体"/>
          <w:b/>
          <w:color w:val="auto"/>
          <w:szCs w:val="21"/>
          <w:highlight w:val="none"/>
        </w:rPr>
        <w:t>附件</w:t>
      </w:r>
      <w:r>
        <w:rPr>
          <w:rFonts w:hint="eastAsia" w:ascii="宋体" w:hAnsi="宋体"/>
          <w:b/>
          <w:color w:val="auto"/>
          <w:szCs w:val="21"/>
          <w:highlight w:val="none"/>
          <w:lang w:val="en-US" w:eastAsia="zh-CN"/>
        </w:rPr>
        <w:t>4</w:t>
      </w:r>
    </w:p>
    <w:p>
      <w:pPr>
        <w:spacing w:line="360" w:lineRule="auto"/>
        <w:jc w:val="center"/>
        <w:outlineLvl w:val="3"/>
        <w:rPr>
          <w:rFonts w:ascii="宋体" w:hAnsi="宋体" w:cs="宋体"/>
          <w:b/>
          <w:bCs/>
          <w:color w:val="auto"/>
          <w:sz w:val="24"/>
          <w:highlight w:val="none"/>
        </w:rPr>
      </w:pPr>
      <w:r>
        <w:rPr>
          <w:rFonts w:hint="eastAsia" w:ascii="宋体" w:hAnsi="宋体" w:cs="宋体"/>
          <w:b/>
          <w:color w:val="auto"/>
          <w:sz w:val="24"/>
          <w:highlight w:val="none"/>
        </w:rPr>
        <w:t>拟投入工程人员配备响应表</w:t>
      </w:r>
    </w:p>
    <w:p>
      <w:pPr>
        <w:spacing w:line="360" w:lineRule="auto"/>
        <w:jc w:val="center"/>
        <w:outlineLvl w:val="3"/>
        <w:rPr>
          <w:rFonts w:ascii="宋体" w:hAnsi="宋体"/>
          <w:b/>
          <w:bCs/>
          <w:color w:val="auto"/>
          <w:sz w:val="24"/>
          <w:highlight w:val="none"/>
        </w:rPr>
      </w:pPr>
    </w:p>
    <w:tbl>
      <w:tblPr>
        <w:tblStyle w:val="23"/>
        <w:tblW w:w="85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656"/>
        <w:gridCol w:w="798"/>
        <w:gridCol w:w="813"/>
        <w:gridCol w:w="4438"/>
        <w:gridCol w:w="1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s="宋体"/>
                <w:color w:val="auto"/>
                <w:szCs w:val="21"/>
                <w:highlight w:val="none"/>
              </w:rPr>
              <w:t>岗位</w:t>
            </w:r>
          </w:p>
        </w:tc>
        <w:tc>
          <w:tcPr>
            <w:tcW w:w="6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s="宋体"/>
                <w:color w:val="auto"/>
                <w:szCs w:val="21"/>
                <w:highlight w:val="none"/>
              </w:rPr>
              <w:t>姓名</w:t>
            </w:r>
          </w:p>
        </w:tc>
        <w:tc>
          <w:tcPr>
            <w:tcW w:w="7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s="宋体"/>
                <w:color w:val="auto"/>
                <w:szCs w:val="21"/>
                <w:highlight w:val="none"/>
              </w:rPr>
              <w:t>性别</w:t>
            </w:r>
          </w:p>
        </w:tc>
        <w:tc>
          <w:tcPr>
            <w:tcW w:w="81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s="宋体"/>
                <w:color w:val="auto"/>
                <w:szCs w:val="21"/>
                <w:highlight w:val="none"/>
              </w:rPr>
              <w:t>身份证号</w:t>
            </w:r>
          </w:p>
        </w:tc>
        <w:tc>
          <w:tcPr>
            <w:tcW w:w="44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s="宋体"/>
                <w:color w:val="auto"/>
                <w:szCs w:val="21"/>
                <w:highlight w:val="none"/>
              </w:rPr>
              <w:t>执业或职业资格证明</w:t>
            </w:r>
          </w:p>
        </w:tc>
        <w:tc>
          <w:tcPr>
            <w:tcW w:w="10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s="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6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7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81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44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10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6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7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81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44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10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6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7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81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44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10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6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7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81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44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10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r>
    </w:tbl>
    <w:p>
      <w:pPr>
        <w:spacing w:line="360" w:lineRule="auto"/>
        <w:rPr>
          <w:rFonts w:ascii="宋体" w:hAnsi="宋体"/>
          <w:color w:val="auto"/>
          <w:szCs w:val="21"/>
          <w:highlight w:val="none"/>
        </w:rPr>
      </w:pPr>
      <w:r>
        <w:rPr>
          <w:rFonts w:hint="eastAsia" w:ascii="宋体" w:hAnsi="宋体" w:cs="宋体"/>
          <w:b/>
          <w:bCs/>
          <w:color w:val="auto"/>
          <w:szCs w:val="21"/>
          <w:highlight w:val="none"/>
        </w:rPr>
        <w:t>注：本表作为合同附件，其内容必须是真实有效。</w:t>
      </w:r>
    </w:p>
    <w:p>
      <w:pPr>
        <w:numPr>
          <w:ilvl w:val="0"/>
          <w:numId w:val="0"/>
        </w:numPr>
        <w:spacing w:line="360" w:lineRule="auto"/>
        <w:ind w:leftChars="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附件5</w:t>
      </w:r>
      <w:r>
        <w:rPr>
          <w:rFonts w:hint="eastAsia" w:asciiTheme="minorEastAsia" w:hAnsiTheme="minorEastAsia" w:eastAsiaTheme="minorEastAsia" w:cstheme="minorEastAsia"/>
          <w:color w:val="auto"/>
          <w:sz w:val="24"/>
          <w:highlight w:val="none"/>
        </w:rPr>
        <w:t>.工程量报价单</w:t>
      </w:r>
    </w:p>
    <w:tbl>
      <w:tblPr>
        <w:tblStyle w:val="23"/>
        <w:tblW w:w="733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5"/>
        <w:gridCol w:w="1549"/>
        <w:gridCol w:w="3201"/>
        <w:gridCol w:w="1031"/>
        <w:gridCol w:w="8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5"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154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项目名称</w:t>
            </w:r>
          </w:p>
        </w:tc>
        <w:tc>
          <w:tcPr>
            <w:tcW w:w="3201"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项目特征描述</w:t>
            </w:r>
          </w:p>
        </w:tc>
        <w:tc>
          <w:tcPr>
            <w:tcW w:w="1031"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计量单位</w:t>
            </w:r>
          </w:p>
        </w:tc>
        <w:tc>
          <w:tcPr>
            <w:tcW w:w="817"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3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54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320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03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81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5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挖淤泥、流砂</w:t>
            </w:r>
          </w:p>
        </w:tc>
        <w:tc>
          <w:tcPr>
            <w:tcW w:w="32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1.人工用水冲/推淤泥淤砂</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2.最终结算清淤工程量以实际弃置淤泥量计算</w:t>
            </w:r>
          </w:p>
        </w:tc>
        <w:tc>
          <w:tcPr>
            <w:tcW w:w="10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m3</w:t>
            </w:r>
          </w:p>
        </w:tc>
        <w:tc>
          <w:tcPr>
            <w:tcW w:w="8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5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余方弃置</w:t>
            </w:r>
          </w:p>
        </w:tc>
        <w:tc>
          <w:tcPr>
            <w:tcW w:w="32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1.装车方式:人工装车，自卸汽车运输</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2.运距:20km(最终结算以乙方提供的处置证明按实际运距计算）</w:t>
            </w:r>
          </w:p>
        </w:tc>
        <w:tc>
          <w:tcPr>
            <w:tcW w:w="10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m3</w:t>
            </w:r>
          </w:p>
        </w:tc>
        <w:tc>
          <w:tcPr>
            <w:tcW w:w="8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5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洞内通风设施</w:t>
            </w:r>
          </w:p>
        </w:tc>
        <w:tc>
          <w:tcPr>
            <w:tcW w:w="32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1.洞内通风，按台班计量，反应池空间为8779.28m³</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2.风机参数：18000m³/h，2.2KW</w:t>
            </w:r>
          </w:p>
        </w:tc>
        <w:tc>
          <w:tcPr>
            <w:tcW w:w="10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台班</w:t>
            </w:r>
          </w:p>
        </w:tc>
        <w:tc>
          <w:tcPr>
            <w:tcW w:w="8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5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洞内施工人工降效及照明费用</w:t>
            </w:r>
          </w:p>
        </w:tc>
        <w:tc>
          <w:tcPr>
            <w:tcW w:w="32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1.参考建筑定额特殊环境和条件下人工降效的规定第3条：在洞内、地下室内、库内或暗室内（需要照明）进行施工的工程，按该部分工程的人工费增加40%作为人工降效及照明等费用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2.清单工程量以实际洞内需要照明清淤工程量计入</w:t>
            </w:r>
          </w:p>
        </w:tc>
        <w:tc>
          <w:tcPr>
            <w:tcW w:w="10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m3</w:t>
            </w:r>
          </w:p>
        </w:tc>
        <w:tc>
          <w:tcPr>
            <w:tcW w:w="8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5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余砂检测</w:t>
            </w:r>
          </w:p>
        </w:tc>
        <w:tc>
          <w:tcPr>
            <w:tcW w:w="32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1.检测项目:含水率、PH值</w:t>
            </w:r>
          </w:p>
        </w:tc>
        <w:tc>
          <w:tcPr>
            <w:tcW w:w="10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8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15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余砂检测</w:t>
            </w:r>
          </w:p>
        </w:tc>
        <w:tc>
          <w:tcPr>
            <w:tcW w:w="32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1.检测项目:重金属：镉、汞、铬、铅 、砷、铜、镍、锌</w:t>
            </w:r>
          </w:p>
        </w:tc>
        <w:tc>
          <w:tcPr>
            <w:tcW w:w="10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8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15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余砂检测</w:t>
            </w:r>
          </w:p>
        </w:tc>
        <w:tc>
          <w:tcPr>
            <w:tcW w:w="32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1.检测项目:有机质、总磷、总氮</w:t>
            </w:r>
          </w:p>
        </w:tc>
        <w:tc>
          <w:tcPr>
            <w:tcW w:w="10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8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15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防毒面具</w:t>
            </w:r>
          </w:p>
        </w:tc>
        <w:tc>
          <w:tcPr>
            <w:tcW w:w="32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1.参数要求:通用防毒面具，中等偏上品质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2.计价内容:单次使用防毒面具及滤盒价格</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3.计价方式:根据市场询价及材料摊销次数计算单次使用材料价格</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4.其他:要求为全新，不考虑重复使用</w:t>
            </w:r>
          </w:p>
        </w:tc>
        <w:tc>
          <w:tcPr>
            <w:tcW w:w="10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8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15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正压式空气呼吸器</w:t>
            </w:r>
          </w:p>
        </w:tc>
        <w:tc>
          <w:tcPr>
            <w:tcW w:w="32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1、参数要求：6.8升碳纤维瓶</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2、计价内容：单次使用正压空气呼吸器价格</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3、计价方式：根据市场询价及材料摊销次数计算单次使用材料价格</w:t>
            </w:r>
          </w:p>
        </w:tc>
        <w:tc>
          <w:tcPr>
            <w:tcW w:w="10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套/次</w:t>
            </w:r>
          </w:p>
        </w:tc>
        <w:tc>
          <w:tcPr>
            <w:tcW w:w="8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5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围堰</w:t>
            </w:r>
          </w:p>
        </w:tc>
        <w:tc>
          <w:tcPr>
            <w:tcW w:w="32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1.围堰类型:池体就近堆砌三级沉淀池</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2.填心材料:纤维袋砂包围堰</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3.三级沉淀池底部铺设红白蓝彩条布</w:t>
            </w:r>
          </w:p>
        </w:tc>
        <w:tc>
          <w:tcPr>
            <w:tcW w:w="10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m3</w:t>
            </w:r>
          </w:p>
        </w:tc>
        <w:tc>
          <w:tcPr>
            <w:tcW w:w="8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15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排水</w:t>
            </w:r>
          </w:p>
        </w:tc>
        <w:tc>
          <w:tcPr>
            <w:tcW w:w="32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1、污水泵规格：出口直径100mm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2、起、闭井盖</w:t>
            </w:r>
          </w:p>
        </w:tc>
        <w:tc>
          <w:tcPr>
            <w:tcW w:w="10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台班</w:t>
            </w:r>
          </w:p>
        </w:tc>
        <w:tc>
          <w:tcPr>
            <w:tcW w:w="8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15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有毒气体检测</w:t>
            </w:r>
          </w:p>
        </w:tc>
        <w:tc>
          <w:tcPr>
            <w:tcW w:w="32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1.一次为2小时不间断检测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2.具体检测次数以实际检测台班数量确定</w:t>
            </w:r>
          </w:p>
        </w:tc>
        <w:tc>
          <w:tcPr>
            <w:tcW w:w="10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次</w:t>
            </w:r>
          </w:p>
        </w:tc>
        <w:tc>
          <w:tcPr>
            <w:tcW w:w="8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144</w:t>
            </w:r>
          </w:p>
        </w:tc>
      </w:tr>
    </w:tbl>
    <w:tbl>
      <w:tblPr>
        <w:tblStyle w:val="23"/>
        <w:tblpPr w:leftFromText="180" w:rightFromText="180" w:vertAnchor="text" w:horzAnchor="page" w:tblpXSpec="center" w:tblpY="527"/>
        <w:tblOverlap w:val="never"/>
        <w:tblW w:w="0" w:type="auto"/>
        <w:jc w:val="center"/>
        <w:tblLayout w:type="autofit"/>
        <w:tblCellMar>
          <w:top w:w="0" w:type="dxa"/>
          <w:left w:w="0" w:type="dxa"/>
          <w:bottom w:w="0" w:type="dxa"/>
          <w:right w:w="0" w:type="dxa"/>
        </w:tblCellMar>
      </w:tblPr>
      <w:tblGrid>
        <w:gridCol w:w="344"/>
        <w:gridCol w:w="876"/>
        <w:gridCol w:w="707"/>
        <w:gridCol w:w="2322"/>
        <w:gridCol w:w="1142"/>
        <w:gridCol w:w="1152"/>
        <w:gridCol w:w="1152"/>
        <w:gridCol w:w="1173"/>
      </w:tblGrid>
      <w:tr>
        <w:tblPrEx>
          <w:tblCellMar>
            <w:top w:w="0" w:type="dxa"/>
            <w:left w:w="0" w:type="dxa"/>
            <w:bottom w:w="0" w:type="dxa"/>
            <w:right w:w="0" w:type="dxa"/>
          </w:tblCellMar>
        </w:tblPrEx>
        <w:trPr>
          <w:trHeight w:val="300" w:hRule="atLeast"/>
          <w:jc w:val="center"/>
        </w:trPr>
        <w:tc>
          <w:tcPr>
            <w:tcW w:w="0" w:type="auto"/>
            <w:gridSpan w:val="2"/>
            <w:tcBorders>
              <w:top w:val="nil"/>
              <w:left w:val="nil"/>
              <w:bottom w:val="nil"/>
              <w:right w:val="nil"/>
            </w:tcBorders>
            <w:noWrap/>
            <w:tcMar>
              <w:top w:w="12" w:type="dxa"/>
              <w:left w:w="12" w:type="dxa"/>
              <w:right w:w="12" w:type="dxa"/>
            </w:tcMar>
            <w:vAlign w:val="center"/>
          </w:tcPr>
          <w:p>
            <w:pPr>
              <w:widowControl/>
              <w:jc w:val="left"/>
              <w:textAlignment w:val="center"/>
              <w:rPr>
                <w:rFonts w:hint="eastAsia" w:ascii="等线" w:hAnsi="等线" w:eastAsia="等线" w:cs="等线"/>
                <w:color w:val="auto"/>
                <w:sz w:val="16"/>
                <w:szCs w:val="16"/>
                <w:highlight w:val="none"/>
                <w:lang w:val="en-US" w:eastAsia="zh-CN"/>
              </w:rPr>
            </w:pPr>
            <w:r>
              <w:rPr>
                <w:rFonts w:hint="eastAsia" w:ascii="等线" w:hAnsi="等线" w:eastAsia="等线" w:cs="等线"/>
                <w:color w:val="auto"/>
                <w:kern w:val="0"/>
                <w:sz w:val="16"/>
                <w:szCs w:val="16"/>
                <w:highlight w:val="none"/>
                <w:lang w:bidi="ar"/>
              </w:rPr>
              <w:t>附件</w:t>
            </w:r>
            <w:r>
              <w:rPr>
                <w:rFonts w:hint="eastAsia" w:ascii="等线" w:hAnsi="等线" w:eastAsia="等线" w:cs="等线"/>
                <w:color w:val="auto"/>
                <w:kern w:val="0"/>
                <w:sz w:val="16"/>
                <w:szCs w:val="16"/>
                <w:highlight w:val="none"/>
                <w:lang w:val="en-US" w:eastAsia="zh-CN" w:bidi="ar"/>
              </w:rPr>
              <w:t>7</w:t>
            </w:r>
          </w:p>
        </w:tc>
        <w:tc>
          <w:tcPr>
            <w:tcW w:w="0" w:type="auto"/>
            <w:tcBorders>
              <w:top w:val="nil"/>
              <w:left w:val="nil"/>
              <w:bottom w:val="nil"/>
              <w:right w:val="nil"/>
            </w:tcBorders>
            <w:noWrap/>
            <w:tcMar>
              <w:top w:w="12" w:type="dxa"/>
              <w:left w:w="12" w:type="dxa"/>
              <w:right w:w="12" w:type="dxa"/>
            </w:tcMar>
            <w:vAlign w:val="center"/>
          </w:tcPr>
          <w:p>
            <w:pPr>
              <w:jc w:val="left"/>
              <w:rPr>
                <w:rFonts w:ascii="等线" w:hAnsi="等线" w:eastAsia="等线" w:cs="等线"/>
                <w:color w:val="auto"/>
                <w:sz w:val="16"/>
                <w:szCs w:val="16"/>
                <w:highlight w:val="none"/>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0" w:type="auto"/>
            <w:tcBorders>
              <w:top w:val="nil"/>
              <w:left w:val="nil"/>
              <w:bottom w:val="nil"/>
              <w:right w:val="nil"/>
            </w:tcBorders>
            <w:noWrap/>
            <w:tcMar>
              <w:top w:w="12" w:type="dxa"/>
              <w:left w:w="12" w:type="dxa"/>
              <w:right w:w="12" w:type="dxa"/>
            </w:tcMar>
            <w:vAlign w:val="center"/>
          </w:tcPr>
          <w:p>
            <w:pPr>
              <w:jc w:val="center"/>
              <w:rPr>
                <w:rFonts w:ascii="等线" w:hAnsi="等线" w:eastAsia="等线" w:cs="等线"/>
                <w:color w:val="auto"/>
                <w:sz w:val="16"/>
                <w:szCs w:val="16"/>
                <w:highlight w:val="none"/>
              </w:rPr>
            </w:pPr>
          </w:p>
        </w:tc>
      </w:tr>
      <w:tr>
        <w:tblPrEx>
          <w:tblCellMar>
            <w:top w:w="0" w:type="dxa"/>
            <w:left w:w="0" w:type="dxa"/>
            <w:bottom w:w="0" w:type="dxa"/>
            <w:right w:w="0" w:type="dxa"/>
          </w:tblCellMar>
        </w:tblPrEx>
        <w:trPr>
          <w:trHeight w:val="320" w:hRule="atLeast"/>
          <w:jc w:val="center"/>
        </w:trPr>
        <w:tc>
          <w:tcPr>
            <w:tcW w:w="0" w:type="auto"/>
            <w:gridSpan w:val="8"/>
            <w:tcBorders>
              <w:top w:val="nil"/>
              <w:left w:val="nil"/>
              <w:bottom w:val="nil"/>
              <w:right w:val="nil"/>
            </w:tcBorders>
            <w:noWrap/>
            <w:tcMar>
              <w:top w:w="12" w:type="dxa"/>
              <w:left w:w="12" w:type="dxa"/>
              <w:right w:w="12" w:type="dxa"/>
            </w:tcMar>
            <w:vAlign w:val="center"/>
          </w:tcPr>
          <w:p>
            <w:pPr>
              <w:widowControl/>
              <w:jc w:val="center"/>
              <w:textAlignment w:val="center"/>
              <w:rPr>
                <w:rFonts w:ascii="等线" w:hAnsi="等线" w:eastAsia="等线" w:cs="等线"/>
                <w:b/>
                <w:color w:val="auto"/>
                <w:sz w:val="16"/>
                <w:szCs w:val="16"/>
                <w:highlight w:val="none"/>
              </w:rPr>
            </w:pPr>
            <w:r>
              <w:rPr>
                <w:rFonts w:hint="eastAsia" w:ascii="等线" w:hAnsi="等线" w:eastAsia="等线" w:cs="等线"/>
                <w:b/>
                <w:color w:val="auto"/>
                <w:kern w:val="0"/>
                <w:sz w:val="16"/>
                <w:szCs w:val="16"/>
                <w:highlight w:val="none"/>
                <w:lang w:bidi="ar"/>
              </w:rPr>
              <w:t>营运项目承包单位日常履约考评参照表（安全）</w:t>
            </w:r>
          </w:p>
        </w:tc>
      </w:tr>
      <w:tr>
        <w:tblPrEx>
          <w:tblCellMar>
            <w:top w:w="0" w:type="dxa"/>
            <w:left w:w="0" w:type="dxa"/>
            <w:bottom w:w="0" w:type="dxa"/>
            <w:right w:w="0" w:type="dxa"/>
          </w:tblCellMar>
        </w:tblPrEx>
        <w:trPr>
          <w:trHeight w:val="10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考评项目</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考评分项</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考评内容</w:t>
            </w:r>
          </w:p>
        </w:tc>
        <w:tc>
          <w:tcPr>
            <w:tcW w:w="0" w:type="auto"/>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等线" w:hAnsi="等线" w:eastAsia="等线" w:cs="等线"/>
                <w:color w:val="auto"/>
                <w:sz w:val="16"/>
                <w:szCs w:val="16"/>
                <w:highlight w:val="none"/>
              </w:rPr>
            </w:pPr>
          </w:p>
        </w:tc>
      </w:tr>
      <w:tr>
        <w:tblPrEx>
          <w:tblCellMar>
            <w:top w:w="0" w:type="dxa"/>
            <w:left w:w="0" w:type="dxa"/>
            <w:bottom w:w="0" w:type="dxa"/>
            <w:right w:w="0" w:type="dxa"/>
          </w:tblCellMar>
        </w:tblPrEx>
        <w:trPr>
          <w:trHeight w:val="42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合同金额＜5万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5万≤合同金额＜30万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30万≤合同金额＜100万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合同金额≥100万</w:t>
            </w:r>
          </w:p>
        </w:tc>
      </w:tr>
      <w:tr>
        <w:tblPrEx>
          <w:tblCellMar>
            <w:top w:w="0" w:type="dxa"/>
            <w:left w:w="0" w:type="dxa"/>
            <w:bottom w:w="0" w:type="dxa"/>
            <w:right w:w="0"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安全事故</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事故类型</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发生发生3人及以上重伤或发生1人及以上死亡或直接经济损失达200万元以上的安全生产事故</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按“四不放过”调查后处理</w:t>
            </w:r>
          </w:p>
        </w:tc>
      </w:tr>
      <w:tr>
        <w:tblPrEx>
          <w:tblCellMar>
            <w:top w:w="0" w:type="dxa"/>
            <w:left w:w="0" w:type="dxa"/>
            <w:bottom w:w="0" w:type="dxa"/>
            <w:right w:w="0" w:type="dxa"/>
          </w:tblCellMar>
        </w:tblPrEx>
        <w:trPr>
          <w:trHeight w:val="9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发生重伤2人安全事故的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扣合同金额的30%～50%；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扣合同金额的20%～30%；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或2万～4万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扣合同金额的10%～20%；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或4万～8万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扣合同金额的5%～10%;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或8万～12万</w:t>
            </w:r>
          </w:p>
        </w:tc>
      </w:tr>
      <w:tr>
        <w:tblPrEx>
          <w:tblCellMar>
            <w:top w:w="0" w:type="dxa"/>
            <w:left w:w="0" w:type="dxa"/>
            <w:bottom w:w="0" w:type="dxa"/>
            <w:right w:w="0" w:type="dxa"/>
          </w:tblCellMar>
        </w:tblPrEx>
        <w:trPr>
          <w:trHeight w:val="8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3</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发生重伤1人安全事故的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扣合同金额的20%～30%;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或5000～1万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扣合同金额的10%～20%；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扣合同金额的5%～10%；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或2万～4万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扣合同金额的3%～5%；</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或4万～8万</w:t>
            </w:r>
          </w:p>
        </w:tc>
      </w:tr>
      <w:tr>
        <w:tblPrEx>
          <w:tblCellMar>
            <w:top w:w="0" w:type="dxa"/>
            <w:left w:w="0" w:type="dxa"/>
            <w:bottom w:w="0" w:type="dxa"/>
            <w:right w:w="0" w:type="dxa"/>
          </w:tblCellMar>
        </w:tblPrEx>
        <w:trPr>
          <w:trHeight w:val="6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4</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发生停产、影响环境、破坏公共设施、造成不良影响等事故的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扣合同金额的10%～20%；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或2000～3000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扣合同金额的5%～10%；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或5000～1万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扣合同金额的3%～5%；</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扣合同金额的1%～2%；</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或2万～4万</w:t>
            </w:r>
          </w:p>
        </w:tc>
      </w:tr>
      <w:tr>
        <w:tblPrEx>
          <w:tblCellMar>
            <w:top w:w="0" w:type="dxa"/>
            <w:left w:w="0" w:type="dxa"/>
            <w:bottom w:w="0" w:type="dxa"/>
            <w:right w:w="0" w:type="dxa"/>
          </w:tblCellMar>
        </w:tblPrEx>
        <w:trPr>
          <w:trHeight w:val="14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5</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事故处理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1.发生事故或事件隐瞒不报的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2.未在1小时内向业主单位上报事故的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3.拒绝、不配合事故事件调查的或事故事件调查提供虚假信息</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4.未按规定和程序组织事故调查和事故处理的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5.未及时处理导致事故扩大的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6.未落实“四不放过”的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扣合同金额的30%～50%；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扣合同金额的20%～30%；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或2万～4万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扣合同金额的10%～20%；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或4万～8万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扣合同金额的5%～10%;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或8万～12万</w:t>
            </w:r>
          </w:p>
        </w:tc>
      </w:tr>
      <w:tr>
        <w:tblPrEx>
          <w:tblCellMar>
            <w:top w:w="0" w:type="dxa"/>
            <w:left w:w="0" w:type="dxa"/>
            <w:bottom w:w="0" w:type="dxa"/>
            <w:right w:w="0" w:type="dxa"/>
          </w:tblCellMar>
        </w:tblPrEx>
        <w:trPr>
          <w:trHeight w:val="13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6</w:t>
            </w:r>
          </w:p>
        </w:tc>
        <w:tc>
          <w:tcPr>
            <w:tcW w:w="0" w:type="auto"/>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首次备案施工单位须提供的资料</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一般资料</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1.施工人员签名的安全交底表（交底内容由分公司编写），被交底人员应与人员花名册一致</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2.施工单位对施工人员的三级安全教育材料</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3.特殊时期需要增加的资料（如新冠疫情期间，需要增加的人员健康码和行程码资料）</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缺资料扣合同金额的5%或500；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缺资料扣合同金额的2%或2000；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缺资料扣合同金额的1%或4500；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资料有问题扣合同金额的0.4%或2000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缺资料扣合同金额的0.4%或8000；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资料有问题扣合同金额的0.2%或4000</w:t>
            </w:r>
          </w:p>
        </w:tc>
      </w:tr>
      <w:tr>
        <w:tblPrEx>
          <w:tblCellMar>
            <w:top w:w="0" w:type="dxa"/>
            <w:left w:w="0" w:type="dxa"/>
            <w:bottom w:w="0" w:type="dxa"/>
            <w:right w:w="0" w:type="dxa"/>
          </w:tblCellMar>
        </w:tblPrEx>
        <w:trPr>
          <w:trHeight w:val="1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7</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施工方案</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4.施工方案，应满足合同要求，内容至少包括：</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施工点介绍</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施工内容（含作业流程、风险分析、施工工艺等）</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施工设备和材料（必要时含构件测试手段等）</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安全措施（根据工程特点、分公司的风险评估和施工单位的施工工艺制定）</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正常施工安全物资（主要是安全防护设备、劳保用品）</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缺施工方案扣合同金额的6%或700；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缺施工方案扣合同金额的3%或3500；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缺施工方案扣合同金额的1.5%或5000；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缺施工方案扣合同金额的0.5%或1万；</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资料有问题扣合同金额的0.3%或5000</w:t>
            </w:r>
          </w:p>
        </w:tc>
      </w:tr>
      <w:tr>
        <w:tblPrEx>
          <w:tblCellMar>
            <w:top w:w="0" w:type="dxa"/>
            <w:left w:w="0" w:type="dxa"/>
            <w:bottom w:w="0" w:type="dxa"/>
            <w:right w:w="0" w:type="dxa"/>
          </w:tblCellMar>
        </w:tblPrEx>
        <w:trPr>
          <w:trHeight w:val="21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8</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应急预案</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5.应急预案，内容至少包括：</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现场情况介绍</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风险评估</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应急架构（包括应急主管人员和安全员，以及各应急小组，落实到人和联系方式）</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应急流程</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各种风险情况下的应急措施（根据现场情况、分公司的风险评估制定）</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应急物资清单</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外单位救援力量及联系方式等</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缺应急预案扣合同金额的6%或700；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缺应急预案扣合同金额的3%或3500；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缺应急预案扣合同金额的1.5%或5000；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缺应急预案扣合同金额的0.5%或1万；</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资料有问题扣合同金额的0.3%或5000</w:t>
            </w:r>
          </w:p>
        </w:tc>
      </w:tr>
      <w:tr>
        <w:tblPrEx>
          <w:tblCellMar>
            <w:top w:w="0" w:type="dxa"/>
            <w:left w:w="0" w:type="dxa"/>
            <w:bottom w:w="0" w:type="dxa"/>
            <w:right w:w="0" w:type="dxa"/>
          </w:tblCellMar>
        </w:tblPrEx>
        <w:trPr>
          <w:trHeight w:val="15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9</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安全架构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6.安全架构和相应安全责任制（落实到人和联系方式），可编写入施工方案内，架构人员主要包括：</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安全责任人</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施工负责人（可与安全责任人为同一个人）</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安全员</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设备、物资管理人员</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关键岗位人员、特种作业人员</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缺安全架构扣合同金额的10%或2000；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缺少任何一类人员及其职责的扣合同金额的6%或700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缺安全架构扣合同金额的5%或5000；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缺少任何一类人员及其职责的扣合同金额的2%或2000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缺安全架构扣合同金额的2%或1万；</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缺少任何一类人员及其职责的扣合同金额的1%或5000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缺安全架构扣合同金额的1%或2万；</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缺少任何一类人员及其职责的扣合同金额的0.5%或1万</w:t>
            </w:r>
          </w:p>
        </w:tc>
      </w:tr>
      <w:tr>
        <w:tblPrEx>
          <w:tblCellMar>
            <w:top w:w="0" w:type="dxa"/>
            <w:left w:w="0" w:type="dxa"/>
            <w:bottom w:w="0" w:type="dxa"/>
            <w:right w:w="0" w:type="dxa"/>
          </w:tblCellMar>
        </w:tblPrEx>
        <w:trPr>
          <w:trHeight w:val="29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10</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人员资质</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7.施工人员花名册，人员应包含：</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施工负责人（需要施工管理人员资格证书）</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安全员（涉及动火、临时用电、有限空间、高空、抽堵盲板、吊装、动土、断路、设备检修等9大危险作业的，安全员需要有安全员证）</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特种作业人员（附证件号，同时要复印特种作业证，特种作业人数应满足合同要求）</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一般施工人员</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可能需要进入厂区的其他人员（如监理人员、资料员等）</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注：如作业涉及危险作业，作业人员须有作业人员岗前职业病体检和筛选</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缺花名册扣合同金额的5%或500；</w:t>
            </w:r>
          </w:p>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缺特种作业人员或特种作业人员不满足合同要求，扣合同金额的5%或500；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其他人员或资料有缺漏扣合同金额的3%或300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缺花名册扣合同金额的2%或2000；</w:t>
            </w:r>
          </w:p>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缺特种作业人员或特种作业人员不满足合同要求，扣合同金额的2%或2000；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其他人员或资料有缺漏扣合同金额的1%或1000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缺花名册扣合同金额的1%或4500；</w:t>
            </w:r>
          </w:p>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缺特种作业人员或特种作业人员不满足合同要求，扣合同金额的1%或4500；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其他人员或资料有缺漏扣合同金额的0.4%或2000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缺花名册扣合同金额的0.4%或8000；</w:t>
            </w:r>
          </w:p>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缺特种作业人员或特种作业人员不满足合同要求，扣合同金额的0.4%或8000；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其他人员或资料有缺漏扣合同金额的0.2%或4000</w:t>
            </w:r>
          </w:p>
        </w:tc>
      </w:tr>
      <w:tr>
        <w:tblPrEx>
          <w:tblCellMar>
            <w:top w:w="0" w:type="dxa"/>
            <w:left w:w="0" w:type="dxa"/>
            <w:bottom w:w="0" w:type="dxa"/>
            <w:right w:w="0" w:type="dxa"/>
          </w:tblCellMar>
        </w:tblPrEx>
        <w:trPr>
          <w:trHeight w:val="12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11</w:t>
            </w:r>
          </w:p>
        </w:tc>
        <w:tc>
          <w:tcPr>
            <w:tcW w:w="0" w:type="auto"/>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施工现场管理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现场面貌</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1.施工现场未开展有效围蔽</w:t>
            </w:r>
          </w:p>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2.无七牌一图或有缺漏（七牌：工程概况牌：管理人员名单及监督电话牌、现场事故应急救援预案公示牌、安全生产牌、文明施工牌、消防保卫牌、环境保护牌；一图：施工现场平面图）</w:t>
            </w:r>
          </w:p>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3.现场无危险源公示、告知及相应警示</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4.材料堆放存在重大隐患</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扣合同金额的6%或700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扣合同金额的1.5%或5000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扣合同金额的0.5%或1万</w:t>
            </w:r>
          </w:p>
        </w:tc>
      </w:tr>
      <w:tr>
        <w:tblPrEx>
          <w:tblCellMar>
            <w:top w:w="0" w:type="dxa"/>
            <w:left w:w="0" w:type="dxa"/>
            <w:bottom w:w="0" w:type="dxa"/>
            <w:right w:w="0" w:type="dxa"/>
          </w:tblCellMar>
        </w:tblPrEx>
        <w:trPr>
          <w:trHeight w:val="7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12</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1.现场未按施工方案落实安全防范措施的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2.危险作业未经业主人员审批先行施工的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3.未按施工方案施工的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扣合同金额的10%或2000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扣合同金额的5%或5000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扣合同金额的2%或1万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扣合同金额的1%或2万</w:t>
            </w:r>
          </w:p>
        </w:tc>
      </w:tr>
      <w:tr>
        <w:tblPrEx>
          <w:tblCellMar>
            <w:top w:w="0" w:type="dxa"/>
            <w:left w:w="0" w:type="dxa"/>
            <w:bottom w:w="0" w:type="dxa"/>
            <w:right w:w="0" w:type="dxa"/>
          </w:tblCellMar>
        </w:tblPrEx>
        <w:trPr>
          <w:trHeight w:val="9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13</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每日安全交底</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1.缺少书面交底、未留存书面资料或交底资料缺少交底人、被交底人及安全员签字的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2.内容未结合当天的现场状况、特点、工序，对危险因素、施工内容、安全作业和应急措施进行交底的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9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14</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作业行为管理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1.违反9大危险作业相关作业规范的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2.现场存在违章作业、违章指挥等违反相关安全管理规定或制度的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3.人员错误使用劳保用品3次以上的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扣合同金额的6%或700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扣合同金额的1.5%或5000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扣合同金额的0.5%或1万</w:t>
            </w:r>
          </w:p>
        </w:tc>
      </w:tr>
      <w:tr>
        <w:tblPrEx>
          <w:tblCellMar>
            <w:top w:w="0" w:type="dxa"/>
            <w:left w:w="0" w:type="dxa"/>
            <w:bottom w:w="0" w:type="dxa"/>
            <w:right w:w="0"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15</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安全记录</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未按施工要求开展现场记录或记录内容有缺失</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7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16</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应急管理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1.未设置应急物资点，未统一存放应急物资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2.应急物资点无应急物资清单或无应急物资每日检查表</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3.无开展日常应急培训、训练、演练或无资料留档的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17</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人员变更无完善的手续及资料的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18</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隐患管理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未及时对发现的隐患开展整改的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扣合同金额的5%或500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扣合同金额的2%或2000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扣合同金额的1%或4500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扣合同金额的0.4%或8000</w:t>
            </w:r>
          </w:p>
        </w:tc>
      </w:tr>
      <w:tr>
        <w:tblPrEx>
          <w:tblCellMar>
            <w:top w:w="0" w:type="dxa"/>
            <w:left w:w="0" w:type="dxa"/>
            <w:bottom w:w="0" w:type="dxa"/>
            <w:right w:w="0" w:type="dxa"/>
          </w:tblCellMar>
        </w:tblPrEx>
        <w:trPr>
          <w:trHeight w:val="6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19</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违反业主或上级主管部门提出的其他管理要求、文件、规定或拒不执行的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扣合同金额的3%～5%；</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或300～500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扣合同金额的1%～2%；</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或1000～2000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扣合同金额的0.5%～1%；</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或2500～4500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扣合同金额的0.3%～0.4%；</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或5000～8000</w:t>
            </w:r>
          </w:p>
        </w:tc>
      </w:tr>
      <w:tr>
        <w:tblPrEx>
          <w:tblCellMar>
            <w:top w:w="0" w:type="dxa"/>
            <w:left w:w="0" w:type="dxa"/>
            <w:bottom w:w="0" w:type="dxa"/>
            <w:right w:w="0" w:type="dxa"/>
          </w:tblCellMar>
        </w:tblPrEx>
        <w:trPr>
          <w:trHeight w:val="4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20</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280" w:hRule="atLeast"/>
          <w:jc w:val="center"/>
        </w:trPr>
        <w:tc>
          <w:tcPr>
            <w:tcW w:w="0" w:type="auto"/>
            <w:gridSpan w:val="8"/>
            <w:tcBorders>
              <w:top w:val="nil"/>
              <w:left w:val="nil"/>
              <w:bottom w:val="nil"/>
              <w:right w:val="nil"/>
            </w:tcBorders>
            <w:tcMar>
              <w:top w:w="12" w:type="dxa"/>
              <w:left w:w="12" w:type="dxa"/>
              <w:right w:w="12" w:type="dxa"/>
            </w:tcMar>
            <w:vAlign w:val="center"/>
          </w:tcPr>
          <w:p>
            <w:pPr>
              <w:widowControl/>
              <w:jc w:val="left"/>
              <w:textAlignment w:val="center"/>
              <w:rPr>
                <w:color w:val="auto"/>
                <w:sz w:val="13"/>
                <w:szCs w:val="13"/>
                <w:highlight w:val="none"/>
              </w:rPr>
            </w:pPr>
            <w:r>
              <w:rPr>
                <w:rFonts w:hint="eastAsia"/>
                <w:color w:val="auto"/>
                <w:sz w:val="13"/>
                <w:szCs w:val="13"/>
                <w:highlight w:val="none"/>
              </w:rPr>
              <w:t>注：1、与安全管理相关的考评内容具体考评标准内容参照广州市净水有限公司标准《工程项目安全管理规范》（Q/GZJSA 1-2021）执行。</w:t>
            </w:r>
          </w:p>
          <w:p>
            <w:pPr>
              <w:rPr>
                <w:color w:val="auto"/>
                <w:highlight w:val="none"/>
              </w:rPr>
            </w:pPr>
            <w:r>
              <w:rPr>
                <w:rFonts w:hint="eastAsia" w:ascii="仿宋_GB2312" w:hAnsi="仿宋_GB2312" w:eastAsia="仿宋_GB2312" w:cs="仿宋_GB2312"/>
                <w:color w:val="auto"/>
                <w:sz w:val="13"/>
                <w:szCs w:val="13"/>
                <w:highlight w:val="none"/>
              </w:rPr>
              <w:t>2.本处理标准出自《</w:t>
            </w:r>
            <w:r>
              <w:rPr>
                <w:rFonts w:hint="eastAsia" w:ascii="宋体" w:hAnsi="宋体" w:cs="宋体"/>
                <w:color w:val="auto"/>
                <w:sz w:val="13"/>
                <w:szCs w:val="13"/>
                <w:highlight w:val="none"/>
              </w:rPr>
              <w:t>广州净水公司工程项目承包单位质量安全考评细则（试行）</w:t>
            </w:r>
            <w:r>
              <w:rPr>
                <w:rFonts w:hint="eastAsia" w:ascii="仿宋_GB2312" w:hAnsi="仿宋_GB2312" w:eastAsia="仿宋_GB2312" w:cs="仿宋_GB2312"/>
                <w:color w:val="auto"/>
                <w:sz w:val="13"/>
                <w:szCs w:val="13"/>
                <w:highlight w:val="none"/>
              </w:rPr>
              <w:t>》。</w:t>
            </w:r>
          </w:p>
          <w:p>
            <w:pPr>
              <w:pStyle w:val="22"/>
              <w:ind w:firstLine="0"/>
              <w:rPr>
                <w:rFonts w:hint="default" w:eastAsia="仿宋_GB2312"/>
                <w:color w:val="auto"/>
                <w:highlight w:val="none"/>
                <w:lang w:val="en-US" w:eastAsia="zh-CN"/>
              </w:rPr>
            </w:pPr>
          </w:p>
        </w:tc>
      </w:tr>
    </w:tbl>
    <w:p>
      <w:pPr>
        <w:pStyle w:val="22"/>
        <w:ind w:left="0" w:leftChars="0" w:firstLine="0" w:firstLineChars="0"/>
        <w:rPr>
          <w:rFonts w:ascii="宋体" w:hAnsi="宋体" w:cs="宋体"/>
          <w:b/>
          <w:bCs/>
          <w:color w:val="auto"/>
          <w:sz w:val="24"/>
          <w:szCs w:val="24"/>
          <w:highlight w:val="none"/>
        </w:rPr>
      </w:pPr>
    </w:p>
    <w:p>
      <w:pPr>
        <w:pStyle w:val="22"/>
        <w:ind w:left="0" w:leftChars="0" w:firstLine="0" w:firstLineChars="0"/>
        <w:rPr>
          <w:rFonts w:ascii="宋体" w:hAnsi="宋体" w:cs="宋体"/>
          <w:b/>
          <w:bCs/>
          <w:color w:val="auto"/>
          <w:sz w:val="24"/>
          <w:szCs w:val="24"/>
          <w:highlight w:val="none"/>
        </w:rPr>
      </w:pPr>
    </w:p>
    <w:tbl>
      <w:tblPr>
        <w:tblStyle w:val="23"/>
        <w:tblW w:w="9300" w:type="dxa"/>
        <w:jc w:val="center"/>
        <w:tblLayout w:type="autofit"/>
        <w:tblCellMar>
          <w:top w:w="0" w:type="dxa"/>
          <w:left w:w="0" w:type="dxa"/>
          <w:bottom w:w="0" w:type="dxa"/>
          <w:right w:w="0" w:type="dxa"/>
        </w:tblCellMar>
      </w:tblPr>
      <w:tblGrid>
        <w:gridCol w:w="344"/>
        <w:gridCol w:w="454"/>
        <w:gridCol w:w="495"/>
        <w:gridCol w:w="3993"/>
        <w:gridCol w:w="1091"/>
        <w:gridCol w:w="757"/>
        <w:gridCol w:w="757"/>
        <w:gridCol w:w="757"/>
        <w:gridCol w:w="757"/>
        <w:gridCol w:w="756"/>
      </w:tblGrid>
      <w:tr>
        <w:tblPrEx>
          <w:tblCellMar>
            <w:top w:w="0" w:type="dxa"/>
            <w:left w:w="0" w:type="dxa"/>
            <w:bottom w:w="0" w:type="dxa"/>
            <w:right w:w="0" w:type="dxa"/>
          </w:tblCellMar>
        </w:tblPrEx>
        <w:trPr>
          <w:trHeight w:val="300" w:hRule="atLeast"/>
          <w:jc w:val="center"/>
        </w:trPr>
        <w:tc>
          <w:tcPr>
            <w:tcW w:w="798" w:type="dxa"/>
            <w:gridSpan w:val="2"/>
            <w:tcBorders>
              <w:top w:val="nil"/>
              <w:left w:val="nil"/>
              <w:bottom w:val="nil"/>
              <w:right w:val="nil"/>
            </w:tcBorders>
            <w:noWrap/>
            <w:tcMar>
              <w:top w:w="12" w:type="dxa"/>
              <w:left w:w="12" w:type="dxa"/>
              <w:right w:w="12" w:type="dxa"/>
            </w:tcMar>
            <w:vAlign w:val="center"/>
          </w:tcPr>
          <w:p>
            <w:pPr>
              <w:widowControl/>
              <w:jc w:val="left"/>
              <w:textAlignment w:val="center"/>
              <w:rPr>
                <w:rFonts w:hint="eastAsia" w:ascii="等线" w:hAnsi="等线" w:eastAsia="等线" w:cs="等线"/>
                <w:color w:val="auto"/>
                <w:sz w:val="16"/>
                <w:szCs w:val="16"/>
                <w:highlight w:val="none"/>
                <w:lang w:val="en-US" w:eastAsia="zh-CN"/>
              </w:rPr>
            </w:pPr>
            <w:r>
              <w:rPr>
                <w:rFonts w:hint="eastAsia" w:ascii="等线" w:hAnsi="等线" w:eastAsia="等线" w:cs="等线"/>
                <w:color w:val="auto"/>
                <w:kern w:val="0"/>
                <w:sz w:val="16"/>
                <w:szCs w:val="16"/>
                <w:highlight w:val="none"/>
                <w:lang w:bidi="ar"/>
              </w:rPr>
              <w:t>附件</w:t>
            </w:r>
            <w:r>
              <w:rPr>
                <w:rFonts w:hint="eastAsia" w:ascii="等线" w:hAnsi="等线" w:eastAsia="等线" w:cs="等线"/>
                <w:color w:val="auto"/>
                <w:kern w:val="0"/>
                <w:sz w:val="16"/>
                <w:szCs w:val="16"/>
                <w:highlight w:val="none"/>
                <w:lang w:val="en-US" w:eastAsia="zh-CN" w:bidi="ar"/>
              </w:rPr>
              <w:t>8</w:t>
            </w:r>
          </w:p>
        </w:tc>
        <w:tc>
          <w:tcPr>
            <w:tcW w:w="495" w:type="dxa"/>
            <w:tcBorders>
              <w:top w:val="nil"/>
              <w:left w:val="nil"/>
              <w:bottom w:val="nil"/>
              <w:right w:val="nil"/>
            </w:tcBorders>
            <w:noWrap/>
            <w:tcMar>
              <w:top w:w="12" w:type="dxa"/>
              <w:left w:w="12" w:type="dxa"/>
              <w:right w:w="12" w:type="dxa"/>
            </w:tcMar>
            <w:vAlign w:val="center"/>
          </w:tcPr>
          <w:p>
            <w:pPr>
              <w:jc w:val="left"/>
              <w:rPr>
                <w:rFonts w:ascii="等线" w:hAnsi="等线" w:eastAsia="等线" w:cs="等线"/>
                <w:color w:val="auto"/>
                <w:sz w:val="16"/>
                <w:szCs w:val="16"/>
                <w:highlight w:val="none"/>
              </w:rPr>
            </w:pPr>
          </w:p>
        </w:tc>
        <w:tc>
          <w:tcPr>
            <w:tcW w:w="3993"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1091"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r>
      <w:tr>
        <w:tblPrEx>
          <w:tblCellMar>
            <w:top w:w="0" w:type="dxa"/>
            <w:left w:w="0" w:type="dxa"/>
            <w:bottom w:w="0" w:type="dxa"/>
            <w:right w:w="0" w:type="dxa"/>
          </w:tblCellMar>
        </w:tblPrEx>
        <w:trPr>
          <w:trHeight w:val="320" w:hRule="atLeast"/>
          <w:jc w:val="center"/>
        </w:trPr>
        <w:tc>
          <w:tcPr>
            <w:tcW w:w="0" w:type="auto"/>
            <w:gridSpan w:val="10"/>
            <w:tcBorders>
              <w:top w:val="nil"/>
              <w:left w:val="nil"/>
              <w:bottom w:val="nil"/>
              <w:right w:val="nil"/>
            </w:tcBorders>
            <w:noWrap/>
            <w:tcMar>
              <w:top w:w="12" w:type="dxa"/>
              <w:left w:w="12" w:type="dxa"/>
              <w:right w:w="12" w:type="dxa"/>
            </w:tcMar>
            <w:vAlign w:val="center"/>
          </w:tcPr>
          <w:p>
            <w:pPr>
              <w:widowControl/>
              <w:jc w:val="center"/>
              <w:textAlignment w:val="center"/>
              <w:rPr>
                <w:rFonts w:ascii="等线" w:hAnsi="等线" w:eastAsia="等线" w:cs="等线"/>
                <w:b/>
                <w:color w:val="auto"/>
                <w:sz w:val="16"/>
                <w:szCs w:val="16"/>
                <w:highlight w:val="none"/>
              </w:rPr>
            </w:pPr>
            <w:r>
              <w:rPr>
                <w:rFonts w:hint="eastAsia" w:ascii="等线" w:hAnsi="等线" w:eastAsia="等线" w:cs="等线"/>
                <w:b/>
                <w:color w:val="auto"/>
                <w:kern w:val="0"/>
                <w:sz w:val="16"/>
                <w:szCs w:val="16"/>
                <w:highlight w:val="none"/>
                <w:lang w:bidi="ar"/>
              </w:rPr>
              <w:t>营运项目承包单位综合履约考评表（安全）</w:t>
            </w:r>
          </w:p>
        </w:tc>
      </w:tr>
      <w:tr>
        <w:tblPrEx>
          <w:tblCellMar>
            <w:top w:w="0" w:type="dxa"/>
            <w:left w:w="0" w:type="dxa"/>
            <w:bottom w:w="0" w:type="dxa"/>
            <w:right w:w="0" w:type="dxa"/>
          </w:tblCellMar>
        </w:tblPrEx>
        <w:trPr>
          <w:trHeight w:val="380" w:hRule="atLeast"/>
          <w:jc w:val="center"/>
        </w:trPr>
        <w:tc>
          <w:tcPr>
            <w:tcW w:w="0" w:type="auto"/>
            <w:gridSpan w:val="4"/>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b/>
                <w:color w:val="auto"/>
                <w:sz w:val="16"/>
                <w:szCs w:val="16"/>
                <w:highlight w:val="none"/>
              </w:rPr>
            </w:pPr>
            <w:r>
              <w:rPr>
                <w:rFonts w:hint="eastAsia" w:ascii="等线" w:hAnsi="等线" w:eastAsia="等线" w:cs="等线"/>
                <w:b/>
                <w:color w:val="auto"/>
                <w:kern w:val="0"/>
                <w:sz w:val="16"/>
                <w:szCs w:val="16"/>
                <w:highlight w:val="none"/>
                <w:lang w:bidi="ar"/>
              </w:rPr>
              <w:t>项目名称：</w:t>
            </w:r>
          </w:p>
        </w:tc>
        <w:tc>
          <w:tcPr>
            <w:tcW w:w="0" w:type="auto"/>
            <w:tcBorders>
              <w:top w:val="nil"/>
              <w:left w:val="nil"/>
              <w:bottom w:val="nil"/>
              <w:right w:val="nil"/>
            </w:tcBorders>
            <w:noWrap/>
            <w:tcMar>
              <w:top w:w="12" w:type="dxa"/>
              <w:left w:w="12" w:type="dxa"/>
              <w:right w:w="12" w:type="dxa"/>
            </w:tcMar>
            <w:vAlign w:val="center"/>
          </w:tcPr>
          <w:p>
            <w:pPr>
              <w:jc w:val="center"/>
              <w:rPr>
                <w:rFonts w:ascii="等线" w:hAnsi="等线" w:eastAsia="等线" w:cs="等线"/>
                <w:b/>
                <w:color w:val="auto"/>
                <w:sz w:val="16"/>
                <w:szCs w:val="16"/>
                <w:highlight w:val="none"/>
              </w:rPr>
            </w:pPr>
          </w:p>
        </w:tc>
        <w:tc>
          <w:tcPr>
            <w:tcW w:w="0" w:type="auto"/>
            <w:gridSpan w:val="5"/>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b/>
                <w:color w:val="auto"/>
                <w:sz w:val="16"/>
                <w:szCs w:val="16"/>
                <w:highlight w:val="none"/>
              </w:rPr>
            </w:pPr>
            <w:r>
              <w:rPr>
                <w:rFonts w:hint="eastAsia" w:ascii="等线" w:hAnsi="等线" w:eastAsia="等线" w:cs="等线"/>
                <w:b/>
                <w:color w:val="auto"/>
                <w:kern w:val="0"/>
                <w:sz w:val="16"/>
                <w:szCs w:val="16"/>
                <w:highlight w:val="none"/>
                <w:lang w:bidi="ar"/>
              </w:rPr>
              <w:t>综合考评日期：           年        月        日</w:t>
            </w:r>
          </w:p>
        </w:tc>
      </w:tr>
      <w:tr>
        <w:tblPrEx>
          <w:tblCellMar>
            <w:top w:w="0" w:type="dxa"/>
            <w:left w:w="0" w:type="dxa"/>
            <w:bottom w:w="0" w:type="dxa"/>
            <w:right w:w="0" w:type="dxa"/>
          </w:tblCellMar>
        </w:tblPrEx>
        <w:trPr>
          <w:trHeight w:val="38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序号</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考评项目</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考评分项</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考评内容</w:t>
            </w:r>
          </w:p>
        </w:tc>
        <w:tc>
          <w:tcPr>
            <w:tcW w:w="1091"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考评标准</w:t>
            </w:r>
          </w:p>
        </w:tc>
        <w:tc>
          <w:tcPr>
            <w:tcW w:w="58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监理单位考评</w:t>
            </w:r>
          </w:p>
        </w:tc>
        <w:tc>
          <w:tcPr>
            <w:tcW w:w="58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分公司考评</w:t>
            </w:r>
          </w:p>
        </w:tc>
        <w:tc>
          <w:tcPr>
            <w:tcW w:w="117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公司考评</w:t>
            </w:r>
          </w:p>
        </w:tc>
        <w:tc>
          <w:tcPr>
            <w:tcW w:w="58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综合考评</w:t>
            </w:r>
          </w:p>
        </w:tc>
      </w:tr>
      <w:tr>
        <w:tblPrEx>
          <w:tblCellMar>
            <w:top w:w="0" w:type="dxa"/>
            <w:left w:w="0" w:type="dxa"/>
            <w:bottom w:w="0" w:type="dxa"/>
            <w:right w:w="0" w:type="dxa"/>
          </w:tblCellMar>
        </w:tblPrEx>
        <w:trPr>
          <w:trHeight w:val="3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1091"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58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58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业务主管部门</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安全管理部门</w:t>
            </w:r>
          </w:p>
        </w:tc>
        <w:tc>
          <w:tcPr>
            <w:tcW w:w="58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300" w:hRule="atLeast"/>
          <w:jc w:val="center"/>
        </w:trPr>
        <w:tc>
          <w:tcPr>
            <w:tcW w:w="0" w:type="auto"/>
            <w:gridSpan w:val="10"/>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一、加分部分</w:t>
            </w:r>
          </w:p>
        </w:tc>
      </w:tr>
      <w:tr>
        <w:tblPrEx>
          <w:tblCellMar>
            <w:top w:w="0" w:type="dxa"/>
            <w:left w:w="0" w:type="dxa"/>
            <w:bottom w:w="0" w:type="dxa"/>
            <w:right w:w="0"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w:t>
            </w:r>
          </w:p>
        </w:tc>
        <w:tc>
          <w:tcPr>
            <w:tcW w:w="99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综合管理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受到业主单位或上级管理部门通报表扬的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加5～10分/项，可叠加</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w:t>
            </w:r>
          </w:p>
        </w:tc>
        <w:tc>
          <w:tcPr>
            <w:tcW w:w="99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现场管理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积极配合业主单位做好安全工作及相关宣传教育，积极主动排查隐患的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加5分/项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260" w:hRule="atLeast"/>
          <w:jc w:val="center"/>
        </w:trPr>
        <w:tc>
          <w:tcPr>
            <w:tcW w:w="0" w:type="auto"/>
            <w:gridSpan w:val="10"/>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二、扣分部分</w:t>
            </w:r>
          </w:p>
        </w:tc>
      </w:tr>
      <w:tr>
        <w:tblPrEx>
          <w:tblCellMar>
            <w:top w:w="0" w:type="dxa"/>
            <w:left w:w="0" w:type="dxa"/>
            <w:bottom w:w="0" w:type="dxa"/>
            <w:right w:w="0" w:type="dxa"/>
          </w:tblCellMar>
        </w:tblPrEx>
        <w:trPr>
          <w:trHeight w:val="9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3</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安全事故</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事故类型</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发生重伤1人及以上安全事故，或直接经济损失达200万元以上的安全生产事故</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扣100分/项，同时3年内禁止来我公司投标</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7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6</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发生停产、影响环境、破坏公共设施、造成不良影响等事故的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扣40分/项，可叠加，到达100分，3年内禁止来我公司投标</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4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7</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事故处理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1.发生事故或事件隐瞒不报的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2.未在1小时内向业主单位上报事故的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3.拒绝、不配合事故事件调查的或事故事件调查提供虚假信息</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4.未按规定和程序组织事故调查和事故处理的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5.未及时处理导致事故扩大的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6.未落实“四不放过”的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扣100分/项，同时3年内禁止来我公司投标</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2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8</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首次备案施工单位须提供的资料</w:t>
            </w: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一般资料</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1.施工人员签名的安全交底表（交底内容由分公司编写），被交底人员应与人员花名册一致</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2.施工单位对施工人员的三级安全教育材料</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3.特殊时期需要增加的资料（如新冠疫情期间，需要增加的人员健康码和行程码资料）</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缺资料扣3～5分/项；</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3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9</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施工方案</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4.施工方案，应满足合同要求，内容至少包括：</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施工点介绍</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施工内容（含作业流程、风险分析、施工工艺等）</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施工设备和材料（必要时含构件测试手段等）</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安全措施（根据工程特点、分公司的风险评估和施工单位的施工工艺制定）</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正常施工安全物资（主要是安全防护设备、劳保用品）</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缺施工方案扣4～8分/项；</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37"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10</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应急预案</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5.应急预案，内容至少包括：</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现场情况介绍</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风险评估</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应急架构（包括应急主管人员和安全员，以及各应急小组，落实到人和联系方式）</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应急流程</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各种风险情况下的应急措施（根据现场情况、分公司的风险评估制定）</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应急物资清单</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外单位救援力量及联系方式等</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缺应急预案扣4～8分/项；</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5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11</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安全架构</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6.安全架构和相应安全责任制（落实到人和联系方式），可编写入施工方案内，架构人员主要包括：</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安全责任人</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施工负责人（可与安全责任人为同一个人）</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安全员</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设备、物资管理人员</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关键岗位人员、特种作业人员</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缺安全架构扣5～10分/项；</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缺任何一类人员及其职责有问题扣2～4分/项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24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12</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人员资质</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7.施工人员花名册，人员应包含：</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施工负责人（需要施工管理人员资格证书）</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安全员（涉及动火、临时用电、有限空间、高空、抽堵盲板、吊装、动土、断路、设备检修等9大危险作业的，安全员需要有安全员证）</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特种作业人员（附证件号，同时要复印特种作业证，特种作业人数应满足合同要求）</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一般施工人员</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可能需要进入厂区的其他人员（如监理人员、资料员等）</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注：如作业涉及危险作业，作业人员须有作业人员岗前职业病体检和筛选</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缺花名册扣3～5分/项；</w:t>
            </w:r>
          </w:p>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缺特种作业人员或特种作业人员不满足合同要求扣3～5分/项；</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其他人员或资料有缺漏扣1～3分/项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5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13</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施工现场管理</w:t>
            </w: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现场面貌</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1.施工现场未开展有效围蔽</w:t>
            </w:r>
          </w:p>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2.无七牌一图或有缺漏（七牌：工程概况牌：管理人员名单及监督电话牌、现场事故应急救援预案公示牌、安全生产牌、文明施工牌、消防保卫牌、环境保护牌；一图：施工现场平面图）</w:t>
            </w:r>
          </w:p>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3.现场无危险源公示、告知及相应警示</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4.材料堆放存在重大隐患</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8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14</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1.现场未按施工方案落实安全防范措施的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2.危险作业未经业主人员审批先行施工的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3.未按施工方案施工的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扣3～5分/项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8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15</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每日安全交底</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1.缺少书面交底、未留存书面资料或交底资料缺少交底人、被交底人及安全员签字的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2.内容未结合当天的现场状况、特点、工序，对危险因素、施工内容、安全作业和应急措施进行交底的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1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16</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作业行为管理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1.违反9大危险作业相关作业规范的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2.现场存在违章作业、违章指挥等违反相关安全管理规定或制度的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3.人员错误使用劳保用品3次以上的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扣3～5分/项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17</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安全记录</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未按施工要求开展现场记录或记录内容有缺失</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7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18</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应急管理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1.未设置应急物资点，未统一存放应急物资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2.应急物资点无应急物资清单或无应急物资每日检查表</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3.无开展日常应急培训、训练、演练或无资料留档的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19</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人员变更无完善的手续及资料的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扣3～5分/项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4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20</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隐患管理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未及时对发现的隐患开展整改的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扣4～8分/项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21</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违反业主或上级主管部门提出的其他管理要求、文件、规定或拒不执行的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3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440" w:hRule="atLeast"/>
          <w:jc w:val="center"/>
        </w:trPr>
        <w:tc>
          <w:tcPr>
            <w:tcW w:w="9302" w:type="dxa"/>
            <w:gridSpan w:val="10"/>
            <w:tcBorders>
              <w:top w:val="nil"/>
              <w:left w:val="nil"/>
              <w:bottom w:val="nil"/>
              <w:right w:val="nil"/>
            </w:tcBorders>
            <w:tcMar>
              <w:top w:w="12" w:type="dxa"/>
              <w:left w:w="12" w:type="dxa"/>
              <w:right w:w="12" w:type="dxa"/>
            </w:tcMar>
            <w:vAlign w:val="center"/>
          </w:tcPr>
          <w:p>
            <w:pPr>
              <w:widowControl/>
              <w:jc w:val="left"/>
              <w:textAlignment w:val="center"/>
              <w:rPr>
                <w:rFonts w:hint="eastAsia" w:eastAsia="宋体"/>
                <w:color w:val="auto"/>
                <w:sz w:val="13"/>
                <w:szCs w:val="13"/>
                <w:highlight w:val="none"/>
                <w:lang w:eastAsia="zh-CN"/>
              </w:rPr>
            </w:pPr>
            <w:r>
              <w:rPr>
                <w:rFonts w:hint="eastAsia"/>
                <w:color w:val="auto"/>
                <w:sz w:val="13"/>
                <w:szCs w:val="13"/>
                <w:highlight w:val="none"/>
              </w:rPr>
              <w:t>注：1、综合考评满分100分，各考评项目扣分不设上限；</w:t>
            </w:r>
          </w:p>
          <w:p>
            <w:pPr>
              <w:widowControl/>
              <w:jc w:val="left"/>
              <w:textAlignment w:val="center"/>
              <w:rPr>
                <w:rFonts w:hint="eastAsia" w:eastAsia="宋体"/>
                <w:color w:val="auto"/>
                <w:sz w:val="13"/>
                <w:szCs w:val="13"/>
                <w:highlight w:val="none"/>
                <w:lang w:eastAsia="zh-CN"/>
              </w:rPr>
            </w:pPr>
            <w:r>
              <w:rPr>
                <w:rFonts w:hint="eastAsia"/>
                <w:color w:val="auto"/>
                <w:sz w:val="13"/>
                <w:szCs w:val="13"/>
                <w:highlight w:val="none"/>
              </w:rPr>
              <w:t xml:space="preserve">    2、监理单位考评只作为参考及履职依据，不计入考评，无监理单位不需填写；</w:t>
            </w:r>
          </w:p>
          <w:p>
            <w:pPr>
              <w:widowControl/>
              <w:jc w:val="left"/>
              <w:textAlignment w:val="center"/>
              <w:rPr>
                <w:rFonts w:hint="eastAsia" w:eastAsia="宋体"/>
                <w:color w:val="auto"/>
                <w:sz w:val="13"/>
                <w:szCs w:val="13"/>
                <w:highlight w:val="none"/>
                <w:lang w:eastAsia="zh-CN"/>
              </w:rPr>
            </w:pPr>
            <w:r>
              <w:rPr>
                <w:rFonts w:hint="eastAsia"/>
                <w:color w:val="auto"/>
                <w:sz w:val="13"/>
                <w:szCs w:val="13"/>
                <w:highlight w:val="none"/>
              </w:rPr>
              <w:t xml:space="preserve">    3、“公司考评”业务主管部门和安全办针对本部门检查发现的内容进行扣（奖）分，项目部已经进行扣（奖）分的不重复执行；</w:t>
            </w:r>
          </w:p>
          <w:p>
            <w:pPr>
              <w:widowControl/>
              <w:jc w:val="left"/>
              <w:textAlignment w:val="center"/>
              <w:rPr>
                <w:rFonts w:hint="eastAsia" w:eastAsia="宋体"/>
                <w:color w:val="auto"/>
                <w:sz w:val="13"/>
                <w:szCs w:val="13"/>
                <w:highlight w:val="none"/>
                <w:lang w:eastAsia="zh-CN"/>
              </w:rPr>
            </w:pPr>
            <w:r>
              <w:rPr>
                <w:rFonts w:hint="eastAsia"/>
                <w:color w:val="auto"/>
                <w:sz w:val="13"/>
                <w:szCs w:val="13"/>
                <w:highlight w:val="none"/>
              </w:rPr>
              <w:t xml:space="preserve">    4、各分公司考评填写相应的得（扣）分数值，如奖2分则填写“2”，扣2分则填写“-2”；</w:t>
            </w:r>
          </w:p>
          <w:p>
            <w:pPr>
              <w:widowControl/>
              <w:jc w:val="left"/>
              <w:textAlignment w:val="center"/>
              <w:rPr>
                <w:rFonts w:hint="eastAsia" w:eastAsia="宋体"/>
                <w:color w:val="auto"/>
                <w:sz w:val="13"/>
                <w:szCs w:val="13"/>
                <w:highlight w:val="none"/>
                <w:lang w:eastAsia="zh-CN"/>
              </w:rPr>
            </w:pPr>
            <w:r>
              <w:rPr>
                <w:rFonts w:hint="eastAsia"/>
                <w:color w:val="auto"/>
                <w:sz w:val="13"/>
                <w:szCs w:val="13"/>
                <w:highlight w:val="none"/>
              </w:rPr>
              <w:t xml:space="preserve">    5、单项“综合考评”=项目部考评+公司考评；综合考评总分=各单项“综合考评”+100</w:t>
            </w:r>
          </w:p>
          <w:p>
            <w:pPr>
              <w:widowControl/>
              <w:jc w:val="left"/>
              <w:textAlignment w:val="center"/>
              <w:rPr>
                <w:rFonts w:hint="eastAsia" w:eastAsia="宋体"/>
                <w:color w:val="auto"/>
                <w:sz w:val="13"/>
                <w:szCs w:val="13"/>
                <w:highlight w:val="none"/>
                <w:lang w:eastAsia="zh-CN"/>
              </w:rPr>
            </w:pPr>
            <w:r>
              <w:rPr>
                <w:rFonts w:hint="eastAsia"/>
                <w:color w:val="auto"/>
                <w:sz w:val="13"/>
                <w:szCs w:val="13"/>
                <w:highlight w:val="none"/>
              </w:rPr>
              <w:t xml:space="preserve">    6、最后得分=综合考评总分X类别系数；</w:t>
            </w:r>
          </w:p>
          <w:p>
            <w:pPr>
              <w:widowControl/>
              <w:jc w:val="left"/>
              <w:textAlignment w:val="center"/>
              <w:rPr>
                <w:color w:val="auto"/>
                <w:sz w:val="13"/>
                <w:szCs w:val="13"/>
                <w:highlight w:val="none"/>
              </w:rPr>
            </w:pPr>
            <w:r>
              <w:rPr>
                <w:rFonts w:hint="eastAsia"/>
                <w:color w:val="auto"/>
                <w:sz w:val="13"/>
                <w:szCs w:val="13"/>
                <w:highlight w:val="none"/>
              </w:rPr>
              <w:t xml:space="preserve">    7、各考评项目具体考评标准内容参照广州市净水有限公司标准《工程项目安全管理规范》（Q/GZJSA 1-2021）执行。 </w:t>
            </w:r>
          </w:p>
          <w:p>
            <w:pPr>
              <w:ind w:firstLine="260" w:firstLineChars="200"/>
              <w:contextualSpacing/>
              <w:jc w:val="left"/>
              <w:rPr>
                <w:rFonts w:ascii="仿宋_GB2312" w:hAnsi="仿宋_GB2312" w:eastAsia="仿宋_GB2312" w:cs="仿宋_GB2312"/>
                <w:color w:val="auto"/>
                <w:sz w:val="13"/>
                <w:szCs w:val="13"/>
                <w:highlight w:val="none"/>
              </w:rPr>
            </w:pPr>
            <w:r>
              <w:rPr>
                <w:rFonts w:hint="eastAsia" w:ascii="仿宋_GB2312" w:hAnsi="仿宋_GB2312" w:eastAsia="仿宋_GB2312" w:cs="仿宋_GB2312"/>
                <w:color w:val="auto"/>
                <w:sz w:val="13"/>
                <w:szCs w:val="13"/>
                <w:highlight w:val="none"/>
              </w:rPr>
              <w:t>8、本处理标准出自《</w:t>
            </w:r>
            <w:r>
              <w:rPr>
                <w:rFonts w:hint="eastAsia" w:ascii="宋体" w:hAnsi="宋体" w:cs="宋体"/>
                <w:color w:val="auto"/>
                <w:sz w:val="13"/>
                <w:szCs w:val="13"/>
                <w:highlight w:val="none"/>
              </w:rPr>
              <w:t>广州净水公司工程项目承包单位质量安全考评细则（试行）</w:t>
            </w:r>
            <w:r>
              <w:rPr>
                <w:rFonts w:hint="eastAsia" w:ascii="仿宋_GB2312" w:hAnsi="仿宋_GB2312" w:eastAsia="仿宋_GB2312" w:cs="仿宋_GB2312"/>
                <w:color w:val="auto"/>
                <w:sz w:val="13"/>
                <w:szCs w:val="13"/>
                <w:highlight w:val="none"/>
              </w:rPr>
              <w:t>》。</w:t>
            </w:r>
          </w:p>
          <w:p>
            <w:pPr>
              <w:pStyle w:val="22"/>
              <w:ind w:firstLine="1126"/>
              <w:rPr>
                <w:color w:val="auto"/>
                <w:highlight w:val="none"/>
              </w:rPr>
            </w:pPr>
          </w:p>
        </w:tc>
      </w:tr>
    </w:tbl>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附件</w:t>
      </w:r>
      <w:r>
        <w:rPr>
          <w:rFonts w:hint="eastAsia" w:ascii="宋体" w:hAnsi="宋体" w:cs="宋体"/>
          <w:b/>
          <w:bCs/>
          <w:color w:val="auto"/>
          <w:szCs w:val="21"/>
          <w:highlight w:val="none"/>
          <w:lang w:val="en-US" w:eastAsia="zh-CN"/>
        </w:rPr>
        <w:t>9</w:t>
      </w:r>
      <w:r>
        <w:rPr>
          <w:rFonts w:hint="eastAsia" w:ascii="宋体" w:hAnsi="宋体" w:cs="宋体"/>
          <w:b/>
          <w:bCs/>
          <w:color w:val="auto"/>
          <w:szCs w:val="21"/>
          <w:highlight w:val="none"/>
        </w:rPr>
        <w:t>：履约保函（模板）</w:t>
      </w:r>
    </w:p>
    <w:p>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履约保函模板</w:t>
      </w:r>
    </w:p>
    <w:p>
      <w:pPr>
        <w:rPr>
          <w:rFonts w:asciiTheme="minorEastAsia" w:hAnsiTheme="minorEastAsia" w:eastAsiaTheme="minorEastAsia"/>
          <w:color w:val="auto"/>
          <w:sz w:val="24"/>
          <w:highlight w:val="none"/>
        </w:rPr>
      </w:pPr>
    </w:p>
    <w:p>
      <w:pP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致：</w:t>
      </w:r>
      <w:r>
        <w:rPr>
          <w:rFonts w:hint="eastAsia" w:asciiTheme="minorEastAsia" w:hAnsiTheme="minorEastAsia" w:eastAsiaTheme="minorEastAsia"/>
          <w:color w:val="auto"/>
          <w:sz w:val="24"/>
          <w:highlight w:val="none"/>
          <w:u w:val="single"/>
        </w:rPr>
        <w:t xml:space="preserve">               （受益人）</w:t>
      </w:r>
      <w:r>
        <w:rPr>
          <w:rFonts w:asciiTheme="minorEastAsia" w:hAnsiTheme="minorEastAsia" w:eastAsiaTheme="minorEastAsia"/>
          <w:color w:val="auto"/>
          <w:sz w:val="24"/>
          <w:highlight w:val="none"/>
        </w:rPr>
        <w:br w:type="textWrapping"/>
      </w:r>
    </w:p>
    <w:p>
      <w:pPr>
        <w:ind w:firstLine="4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鉴于（以下简称“委托人”）与贵方于</w:t>
      </w:r>
      <w:r>
        <w:rPr>
          <w:rFonts w:hint="eastAsia" w:asciiTheme="minorEastAsia" w:hAnsiTheme="minorEastAsia" w:eastAsiaTheme="minorEastAsia"/>
          <w:color w:val="auto"/>
          <w:sz w:val="24"/>
          <w:highlight w:val="none"/>
          <w:u w:val="single"/>
        </w:rPr>
        <w:t xml:space="preserve">   年  月  日</w:t>
      </w:r>
      <w:r>
        <w:rPr>
          <w:rFonts w:hint="eastAsia" w:asciiTheme="minorEastAsia" w:hAnsiTheme="minorEastAsia" w:eastAsiaTheme="minorEastAsia"/>
          <w:color w:val="auto"/>
          <w:sz w:val="24"/>
          <w:highlight w:val="none"/>
        </w:rPr>
        <w:t>签订了（以下简称“合同”），我行同意为委托人出具履约保函，作为委托人履行合同义务的担保，以使你方得到履约保函的保障。本保函为不可撤销，见索即付的独立保函。</w:t>
      </w:r>
    </w:p>
    <w:p>
      <w:pPr>
        <w:ind w:firstLine="4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一、我行保证在收到贵单位于保函有效期内送达的依本保函约定的索赔申请后，在个工作日内无条件和不可改变地向贵单位支付最高金额不超过人民币元（大写： ）的履约保证金，并放弃向你方提出任何异议和追索的权利。</w:t>
      </w:r>
    </w:p>
    <w:p>
      <w:pPr>
        <w:ind w:firstLine="4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二、贵单位的索赔申请应符合下述条件：</w:t>
      </w:r>
    </w:p>
    <w:p>
      <w:pPr>
        <w:ind w:firstLine="4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（一）贵单位法定代表人或其授权代表签字并加盖单位公章；</w:t>
      </w:r>
    </w:p>
    <w:p>
      <w:pPr>
        <w:ind w:firstLine="4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（二）在保函有效期内送达我行；</w:t>
      </w:r>
    </w:p>
    <w:p>
      <w:pPr>
        <w:ind w:firstLine="4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（三）明确的索赔金额（不得超过本保函第一条所列之限额）。</w:t>
      </w:r>
    </w:p>
    <w:p>
      <w:pPr>
        <w:ind w:firstLine="4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三、本保函自签发之日起生效，有效期至</w:t>
      </w:r>
      <w:r>
        <w:rPr>
          <w:rFonts w:hint="eastAsia" w:asciiTheme="minorEastAsia" w:hAnsiTheme="minorEastAsia" w:eastAsiaTheme="minorEastAsia"/>
          <w:color w:val="auto"/>
          <w:sz w:val="24"/>
          <w:highlight w:val="none"/>
          <w:u w:val="single"/>
        </w:rPr>
        <w:t xml:space="preserve">  年  月  日</w:t>
      </w:r>
      <w:r>
        <w:rPr>
          <w:rFonts w:hint="eastAsia" w:asciiTheme="minorEastAsia" w:hAnsiTheme="minorEastAsia" w:eastAsiaTheme="minorEastAsia"/>
          <w:color w:val="auto"/>
          <w:sz w:val="24"/>
          <w:highlight w:val="none"/>
        </w:rPr>
        <w:t>。本保函于下述任一事项发生之时立即失效，我行在本保函项下的保证义务即刻解除：</w:t>
      </w:r>
    </w:p>
    <w:p>
      <w:pPr>
        <w:ind w:firstLine="4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（一）本保函有效期限届满；</w:t>
      </w:r>
    </w:p>
    <w:p>
      <w:pPr>
        <w:ind w:firstLine="4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（二）我行保证的义务履行完毕。</w:t>
      </w:r>
    </w:p>
    <w:p>
      <w:pPr>
        <w:ind w:firstLine="4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四、我方受本保函制约的责任是延续的、独立的和无条件的，上述合同的任何修改、变更、解释、不可执行或委托人在合同项下对你方的任何抗辩都不能削弱或影响我行按本保函应承担的责任。</w:t>
      </w:r>
    </w:p>
    <w:p>
      <w:pPr>
        <w:ind w:firstLine="4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五、我行向你方支付索赔金额后，本保函担保金额即按贵方通知的索赔金额予以递减。</w:t>
      </w:r>
    </w:p>
    <w:p>
      <w:pPr>
        <w:ind w:firstLine="4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六、保函失效后请将保函退回我行注销，无论正本最终退回与否，不影响本保函依上述约定自动失效。</w:t>
      </w:r>
    </w:p>
    <w:p>
      <w:pPr>
        <w:ind w:firstLine="420"/>
        <w:rPr>
          <w:rFonts w:asciiTheme="minorEastAsia" w:hAnsiTheme="minorEastAsia" w:eastAsiaTheme="minorEastAsia"/>
          <w:color w:val="auto"/>
          <w:sz w:val="24"/>
          <w:highlight w:val="none"/>
        </w:rPr>
      </w:pPr>
    </w:p>
    <w:p>
      <w:pPr>
        <w:ind w:firstLine="420"/>
        <w:rPr>
          <w:rFonts w:asciiTheme="minorEastAsia" w:hAnsiTheme="minorEastAsia" w:eastAsiaTheme="minorEastAsia"/>
          <w:color w:val="auto"/>
          <w:sz w:val="24"/>
          <w:highlight w:val="none"/>
        </w:rPr>
      </w:pPr>
    </w:p>
    <w:p>
      <w:pPr>
        <w:ind w:firstLine="4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                                                   落款</w:t>
      </w:r>
    </w:p>
    <w:p>
      <w:pPr>
        <w:ind w:firstLine="420"/>
        <w:rPr>
          <w:rFonts w:asciiTheme="minorEastAsia" w:hAnsiTheme="minorEastAsia" w:eastAsiaTheme="minorEastAsia"/>
          <w:color w:val="auto"/>
          <w:sz w:val="24"/>
          <w:highlight w:val="none"/>
        </w:rPr>
      </w:pPr>
    </w:p>
    <w:p>
      <w:pPr>
        <w:ind w:firstLine="64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保函说明：</w:t>
      </w:r>
    </w:p>
    <w:p>
      <w:pPr>
        <w:ind w:firstLine="645"/>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保函不得有下列或类似含义的表述：</w:t>
      </w:r>
    </w:p>
    <w:p>
      <w:pPr>
        <w:ind w:firstLine="645"/>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1.银行承担的为连带责任保证、一般保证。</w:t>
      </w:r>
    </w:p>
    <w:p>
      <w:pPr>
        <w:ind w:firstLine="645"/>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2.未经银行书面同意，受益人与申请人修改合同或其项下附件时，银行的保证义务解除。</w:t>
      </w:r>
    </w:p>
    <w:p>
      <w:pPr>
        <w:ind w:firstLine="645"/>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3.合同撤销或无效的，保函失效。</w:t>
      </w:r>
    </w:p>
    <w:p>
      <w:pPr>
        <w:ind w:firstLine="645"/>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4.申请人对受益人的抗辩，银行有权向受益人主张。</w:t>
      </w:r>
    </w:p>
    <w:p>
      <w:pPr>
        <w:ind w:firstLine="645"/>
        <w:rPr>
          <w:rFonts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5.受益人请求付款的请款单据包含法院裁判文书、仲裁裁决、第三方单位出具的鉴定书等申请人违约的证明材料。</w:t>
      </w:r>
    </w:p>
    <w:p>
      <w:pPr>
        <w:rPr>
          <w:rFonts w:cs="仿宋_GB2312" w:asciiTheme="minorEastAsia" w:hAnsiTheme="minorEastAsia" w:eastAsiaTheme="minorEastAsia"/>
          <w:color w:val="auto"/>
          <w:sz w:val="24"/>
          <w:highlight w:val="none"/>
        </w:rPr>
      </w:pPr>
    </w:p>
    <w:p>
      <w:pPr>
        <w:rPr>
          <w:rFonts w:cs="仿宋_GB2312" w:asciiTheme="minorEastAsia" w:hAnsiTheme="minorEastAsia" w:eastAsiaTheme="minorEastAsia"/>
          <w:color w:val="auto"/>
          <w:sz w:val="24"/>
          <w:highlight w:val="none"/>
        </w:rPr>
      </w:pPr>
    </w:p>
    <w:p>
      <w:pPr>
        <w:spacing w:line="360" w:lineRule="auto"/>
        <w:jc w:val="left"/>
        <w:rPr>
          <w:rFonts w:hint="eastAsia" w:ascii="宋体" w:hAnsi="宋体" w:cs="宋体" w:eastAsiaTheme="minorEastAsia"/>
          <w:b/>
          <w:bCs/>
          <w:color w:val="auto"/>
          <w:sz w:val="21"/>
          <w:szCs w:val="21"/>
          <w:highlight w:val="none"/>
          <w:lang w:val="en-US" w:eastAsia="zh-CN"/>
        </w:rPr>
      </w:pPr>
      <w:r>
        <w:rPr>
          <w:rFonts w:hint="eastAsia" w:ascii="宋体" w:hAnsi="宋体" w:cs="宋体"/>
          <w:b/>
          <w:bCs/>
          <w:color w:val="auto"/>
          <w:sz w:val="21"/>
          <w:szCs w:val="21"/>
          <w:highlight w:val="none"/>
          <w:lang w:val="en-US" w:eastAsia="zh-CN"/>
        </w:rPr>
        <w:t>附件10：</w:t>
      </w:r>
      <w:r>
        <w:rPr>
          <w:rFonts w:hint="eastAsia" w:ascii="宋体" w:hAnsi="宋体" w:cs="宋体" w:eastAsiaTheme="minorEastAsia"/>
          <w:b/>
          <w:bCs/>
          <w:color w:val="auto"/>
          <w:sz w:val="21"/>
          <w:szCs w:val="21"/>
          <w:highlight w:val="none"/>
        </w:rPr>
        <w:t>预付款保函</w:t>
      </w:r>
      <w:r>
        <w:rPr>
          <w:rFonts w:hint="eastAsia" w:ascii="宋体" w:hAnsi="宋体" w:cs="宋体" w:eastAsiaTheme="minorEastAsia"/>
          <w:b/>
          <w:bCs/>
          <w:color w:val="auto"/>
          <w:sz w:val="21"/>
          <w:szCs w:val="21"/>
          <w:highlight w:val="none"/>
          <w:lang w:eastAsia="zh-CN"/>
        </w:rPr>
        <w:t>（</w:t>
      </w:r>
      <w:r>
        <w:rPr>
          <w:rFonts w:hint="eastAsia" w:ascii="宋体" w:hAnsi="宋体" w:cs="宋体" w:eastAsiaTheme="minorEastAsia"/>
          <w:b/>
          <w:bCs/>
          <w:color w:val="auto"/>
          <w:sz w:val="21"/>
          <w:szCs w:val="21"/>
          <w:highlight w:val="none"/>
        </w:rPr>
        <w:t>模板</w:t>
      </w:r>
      <w:r>
        <w:rPr>
          <w:rFonts w:hint="eastAsia" w:ascii="宋体" w:hAnsi="宋体" w:cs="宋体" w:eastAsiaTheme="minorEastAsia"/>
          <w:b/>
          <w:bCs/>
          <w:color w:val="auto"/>
          <w:sz w:val="21"/>
          <w:szCs w:val="21"/>
          <w:highlight w:val="none"/>
          <w:lang w:val="en-US" w:eastAsia="zh-CN"/>
        </w:rPr>
        <w:t>)</w:t>
      </w:r>
    </w:p>
    <w:p>
      <w:pPr>
        <w:rPr>
          <w:rFonts w:hint="default" w:cs="仿宋_GB2312" w:asciiTheme="minorEastAsia" w:hAnsiTheme="minorEastAsia" w:eastAsiaTheme="minorEastAsia"/>
          <w:color w:val="auto"/>
          <w:sz w:val="24"/>
          <w:highlight w:val="none"/>
          <w:lang w:val="en-US" w:eastAsia="zh-CN"/>
        </w:rPr>
      </w:pPr>
    </w:p>
    <w:p>
      <w:pPr>
        <w:jc w:val="center"/>
        <w:rPr>
          <w:rFonts w:hint="eastAsia" w:asciiTheme="minorEastAsia" w:hAnsiTheme="minorEastAsia" w:eastAsiaTheme="minorEastAsia"/>
          <w:b/>
          <w:color w:val="auto"/>
          <w:sz w:val="24"/>
          <w:szCs w:val="22"/>
          <w:highlight w:val="none"/>
        </w:rPr>
      </w:pPr>
      <w:r>
        <w:rPr>
          <w:rFonts w:hint="eastAsia" w:asciiTheme="minorEastAsia" w:hAnsiTheme="minorEastAsia" w:eastAsiaTheme="minorEastAsia"/>
          <w:b/>
          <w:color w:val="auto"/>
          <w:sz w:val="24"/>
          <w:szCs w:val="22"/>
          <w:highlight w:val="none"/>
        </w:rPr>
        <w:t>预付款保函</w:t>
      </w:r>
    </w:p>
    <w:p>
      <w:pPr>
        <w:rPr>
          <w:color w:val="auto"/>
          <w:highlight w:val="none"/>
        </w:rPr>
      </w:pPr>
    </w:p>
    <w:p>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（受益人）</w:t>
      </w:r>
    </w:p>
    <w:p>
      <w:pPr>
        <w:rPr>
          <w:rFonts w:hint="eastAsia" w:asciiTheme="minorEastAsia" w:hAnsiTheme="minorEastAsia" w:eastAsiaTheme="minorEastAsia" w:cstheme="minorEastAsia"/>
          <w:color w:val="auto"/>
          <w:sz w:val="24"/>
          <w:szCs w:val="24"/>
          <w:highlight w:val="none"/>
        </w:rPr>
      </w:pPr>
    </w:p>
    <w:p>
      <w:pPr>
        <w:ind w:firstLine="240" w:firstLineChars="1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鉴于</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（以下简称“委托人”）与你方于</w:t>
      </w:r>
      <w:r>
        <w:rPr>
          <w:rFonts w:hint="eastAsia" w:asciiTheme="minorEastAsia" w:hAnsiTheme="minorEastAsia" w:eastAsiaTheme="minorEastAsia" w:cstheme="minorEastAsia"/>
          <w:color w:val="auto"/>
          <w:sz w:val="24"/>
          <w:szCs w:val="24"/>
          <w:highlight w:val="none"/>
          <w:u w:val="single"/>
        </w:rPr>
        <w:t xml:space="preserve">   年  月  日</w:t>
      </w:r>
      <w:r>
        <w:rPr>
          <w:rFonts w:hint="eastAsia" w:asciiTheme="minorEastAsia" w:hAnsiTheme="minorEastAsia" w:eastAsiaTheme="minorEastAsia" w:cstheme="minorEastAsia"/>
          <w:color w:val="auto"/>
          <w:sz w:val="24"/>
          <w:szCs w:val="24"/>
          <w:highlight w:val="none"/>
        </w:rPr>
        <w:t>签订了</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（以下简称“合同”），你方将按上述基础交易合同约定向委托人支付预付款人民币</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元（大写：</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）。我行接受委托人的申请，特此开立以你方为受益人的最高金额为人民币</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（大写：</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）（以下称“保函金额”）的保函。</w:t>
      </w:r>
    </w:p>
    <w:p>
      <w:pPr>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一、本保函为不可撤销、见索即付的独立保函。</w:t>
      </w:r>
    </w:p>
    <w:p>
      <w:pPr>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二、在本保函的有效期内，如委托人违反上述基础交易合同约定的义务而未向你方退还预付款，我行将在收到你方提交的符合下述要求的索赔通知书后</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日内，以上述保函金额为限向你方支付相应款项。</w:t>
      </w:r>
    </w:p>
    <w:p>
      <w:pPr>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（一）索赔通知书须写明请求付款的金额，并声明该款项并未由委托人或其代理人直接或间接地支付给你方；</w:t>
      </w:r>
    </w:p>
    <w:p>
      <w:pPr>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（二）索赔通知书应由你方法定代表人签字并加盖公章；</w:t>
      </w:r>
    </w:p>
    <w:p>
      <w:pPr>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（三）索赔通知书必须于本保函有效期截止日前送达我行。</w:t>
      </w:r>
    </w:p>
    <w:p>
      <w:pPr>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三、合同的任何修改、变更、解释或不可执行都不能削弱或免除我行按本保函应承担的义务。</w:t>
      </w:r>
    </w:p>
    <w:p>
      <w:pPr>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本保函金额将随我行已向你方支付的金额而自动作相应递减。</w:t>
      </w:r>
    </w:p>
    <w:p>
      <w:pPr>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四、本保函未经我行书面同意不得转让。</w:t>
      </w:r>
    </w:p>
    <w:p>
      <w:pPr>
        <w:pStyle w:val="22"/>
        <w:rPr>
          <w:rFonts w:hint="eastAsia" w:ascii="仿宋_GB2312" w:eastAsia="仿宋_GB2312"/>
          <w:color w:val="auto"/>
          <w:sz w:val="28"/>
          <w:szCs w:val="28"/>
          <w:highlight w:val="none"/>
          <w:lang w:eastAsia="zh-CN"/>
        </w:rPr>
      </w:pPr>
      <w:r>
        <w:rPr>
          <w:rFonts w:hint="eastAsia" w:asciiTheme="minorEastAsia" w:hAnsiTheme="minorEastAsia" w:eastAsiaTheme="minorEastAsia" w:cstheme="minorEastAsia"/>
          <w:color w:val="auto"/>
          <w:sz w:val="24"/>
          <w:szCs w:val="24"/>
          <w:highlight w:val="none"/>
        </w:rPr>
        <w:t>五、本保函自签发之日起生效，有效期至</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止。在上述期限内若累计赔偿额达到前述保函金额，本保函提前失效。本保函到期后，无论保函原件是否退回我行，皆告失效。</w:t>
      </w: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ind w:firstLine="0"/>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4"/>
        <w:rPr>
          <w:color w:val="auto"/>
          <w:highlight w:val="none"/>
        </w:rPr>
      </w:pPr>
      <w:bookmarkStart w:id="85" w:name="_Toc12169"/>
      <w:bookmarkStart w:id="86" w:name="_Toc3723"/>
      <w:bookmarkStart w:id="87" w:name="_Toc30824"/>
      <w:bookmarkStart w:id="88" w:name="_Toc28358"/>
      <w:bookmarkStart w:id="89" w:name="_Toc16552"/>
      <w:bookmarkStart w:id="90" w:name="_Toc5129"/>
      <w:bookmarkStart w:id="91" w:name="_Toc23515"/>
      <w:bookmarkStart w:id="92" w:name="_Toc21847"/>
      <w:bookmarkStart w:id="93" w:name="_Toc8147"/>
      <w:bookmarkStart w:id="94" w:name="_Toc6230"/>
      <w:bookmarkStart w:id="95" w:name="_Toc1563"/>
      <w:r>
        <w:rPr>
          <w:color w:val="auto"/>
          <w:highlight w:val="none"/>
        </w:rPr>
        <w:pict>
          <v:shape id="_x0000_s1038" o:spid="_x0000_s1038" o:spt="32" type="#_x0000_t32" style="position:absolute;left:0pt;margin-left:181.6pt;margin-top:56.7pt;height:0pt;width:75.5pt;z-index:251667456;mso-width-relative:page;mso-height-relative:page;" o:connectortype="straight" filled="f" coordsize="21600,21600">
            <v:path arrowok="t"/>
            <v:fill on="f" focussize="0,0"/>
            <v:stroke/>
            <v:imagedata o:title=""/>
            <o:lock v:ext="edit"/>
          </v:shape>
        </w:pict>
      </w:r>
      <w:r>
        <w:rPr>
          <w:color w:val="auto"/>
          <w:highlight w:val="none"/>
        </w:rPr>
        <w:pict>
          <v:shape id="_x0000_s1039" o:spid="_x0000_s1039" o:spt="32" type="#_x0000_t32" style="position:absolute;left:0pt;margin-left:183.1pt;margin-top:21.3pt;height:0pt;width:75.5pt;z-index:251666432;mso-width-relative:page;mso-height-relative:page;" o:connectortype="straight" filled="f" coordsize="21600,21600">
            <v:path arrowok="t"/>
            <v:fill on="f" focussize="0,0"/>
            <v:stroke/>
            <v:imagedata o:title=""/>
            <o:lock v:ext="edit"/>
          </v:shape>
        </w:pict>
      </w:r>
      <w:r>
        <w:rPr>
          <w:rFonts w:hint="eastAsia"/>
          <w:color w:val="auto"/>
          <w:highlight w:val="none"/>
        </w:rPr>
        <w:t>第七章</w:t>
      </w:r>
      <w:bookmarkEnd w:id="85"/>
      <w:bookmarkEnd w:id="86"/>
      <w:bookmarkEnd w:id="87"/>
      <w:bookmarkEnd w:id="88"/>
      <w:bookmarkEnd w:id="89"/>
      <w:bookmarkEnd w:id="90"/>
      <w:bookmarkEnd w:id="91"/>
      <w:bookmarkEnd w:id="92"/>
      <w:bookmarkEnd w:id="93"/>
      <w:bookmarkEnd w:id="94"/>
      <w:bookmarkEnd w:id="95"/>
    </w:p>
    <w:p>
      <w:pPr>
        <w:pStyle w:val="37"/>
        <w:rPr>
          <w:color w:val="auto"/>
          <w:highlight w:val="none"/>
        </w:rPr>
      </w:pPr>
    </w:p>
    <w:p>
      <w:pPr>
        <w:pStyle w:val="4"/>
        <w:rPr>
          <w:color w:val="auto"/>
          <w:highlight w:val="none"/>
        </w:rPr>
      </w:pPr>
      <w:bookmarkStart w:id="96" w:name="_Toc24490"/>
      <w:bookmarkStart w:id="97" w:name="_Toc87616388"/>
      <w:bookmarkStart w:id="98" w:name="_Toc30157"/>
      <w:bookmarkStart w:id="99" w:name="_Toc22764"/>
      <w:bookmarkStart w:id="100" w:name="_Toc21675"/>
      <w:bookmarkStart w:id="101" w:name="_Toc17119"/>
      <w:bookmarkStart w:id="102" w:name="_Toc24815"/>
      <w:bookmarkStart w:id="103" w:name="_Toc12610"/>
      <w:bookmarkStart w:id="104" w:name="_Toc10840"/>
      <w:bookmarkStart w:id="105" w:name="_Toc88209951"/>
      <w:bookmarkStart w:id="106" w:name="_Toc5342"/>
      <w:bookmarkStart w:id="107" w:name="_Toc31564"/>
      <w:bookmarkStart w:id="108" w:name="_Toc12769"/>
      <w:r>
        <w:rPr>
          <w:rFonts w:hint="eastAsia"/>
          <w:color w:val="auto"/>
          <w:highlight w:val="none"/>
        </w:rPr>
        <w:t>响应文件格式要求</w:t>
      </w:r>
      <w:bookmarkEnd w:id="96"/>
      <w:bookmarkEnd w:id="97"/>
      <w:bookmarkEnd w:id="98"/>
      <w:bookmarkEnd w:id="99"/>
      <w:bookmarkEnd w:id="100"/>
      <w:bookmarkEnd w:id="101"/>
      <w:bookmarkEnd w:id="102"/>
      <w:bookmarkEnd w:id="103"/>
      <w:bookmarkEnd w:id="104"/>
      <w:bookmarkEnd w:id="105"/>
      <w:bookmarkEnd w:id="106"/>
      <w:bookmarkEnd w:id="107"/>
      <w:bookmarkEnd w:id="108"/>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3"/>
        <w:rPr>
          <w:rFonts w:ascii="方正小标宋简体" w:eastAsia="方正小标宋简体"/>
          <w:color w:val="auto"/>
          <w:sz w:val="44"/>
          <w:szCs w:val="44"/>
          <w:highlight w:val="none"/>
        </w:rPr>
      </w:pPr>
    </w:p>
    <w:p>
      <w:pPr>
        <w:pStyle w:val="3"/>
        <w:rPr>
          <w:rFonts w:ascii="方正小标宋简体" w:eastAsia="方正小标宋简体"/>
          <w:color w:val="auto"/>
          <w:sz w:val="44"/>
          <w:szCs w:val="44"/>
          <w:highlight w:val="none"/>
        </w:rPr>
      </w:pPr>
    </w:p>
    <w:p>
      <w:pPr>
        <w:pStyle w:val="3"/>
        <w:rPr>
          <w:rFonts w:ascii="方正小标宋简体" w:eastAsia="方正小标宋简体"/>
          <w:color w:val="auto"/>
          <w:sz w:val="44"/>
          <w:szCs w:val="44"/>
          <w:highlight w:val="none"/>
        </w:rPr>
      </w:pPr>
    </w:p>
    <w:p>
      <w:pPr>
        <w:pStyle w:val="3"/>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both"/>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仿宋_GB2312" w:eastAsia="仿宋_GB2312"/>
          <w:color w:val="auto"/>
          <w:sz w:val="30"/>
          <w:szCs w:val="30"/>
          <w:highlight w:val="none"/>
        </w:rPr>
      </w:pPr>
      <w:r>
        <w:rPr>
          <w:rFonts w:hint="eastAsia" w:ascii="方正小标宋简体" w:eastAsia="方正小标宋简体"/>
          <w:color w:val="auto"/>
          <w:sz w:val="44"/>
          <w:szCs w:val="44"/>
          <w:highlight w:val="none"/>
          <w:u w:val="single"/>
          <w:lang w:val="en-US" w:eastAsia="zh-CN"/>
        </w:rPr>
        <w:t>项目名称：</w:t>
      </w:r>
    </w:p>
    <w:p>
      <w:pPr>
        <w:adjustRightInd w:val="0"/>
        <w:snapToGrid w:val="0"/>
        <w:spacing w:before="156" w:beforeLines="50" w:after="156"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w:t>
      </w: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3"/>
        <w:rPr>
          <w:rFonts w:ascii="方正小标宋简体" w:eastAsia="方正小标宋简体"/>
          <w:color w:val="auto"/>
          <w:sz w:val="44"/>
          <w:szCs w:val="44"/>
          <w:highlight w:val="none"/>
        </w:rPr>
      </w:pPr>
    </w:p>
    <w:p>
      <w:pPr>
        <w:pStyle w:val="3"/>
        <w:rPr>
          <w:rFonts w:ascii="方正小标宋简体" w:eastAsia="方正小标宋简体"/>
          <w:color w:val="auto"/>
          <w:sz w:val="44"/>
          <w:szCs w:val="44"/>
          <w:highlight w:val="none"/>
        </w:rPr>
      </w:pPr>
    </w:p>
    <w:p>
      <w:pPr>
        <w:pStyle w:val="3"/>
        <w:rPr>
          <w:rFonts w:ascii="方正小标宋简体" w:eastAsia="方正小标宋简体"/>
          <w:color w:val="auto"/>
          <w:sz w:val="44"/>
          <w:szCs w:val="44"/>
          <w:highlight w:val="none"/>
        </w:rPr>
      </w:pPr>
    </w:p>
    <w:p>
      <w:pPr>
        <w:pStyle w:val="3"/>
        <w:rPr>
          <w:rFonts w:ascii="方正小标宋简体" w:eastAsia="方正小标宋简体"/>
          <w:color w:val="auto"/>
          <w:sz w:val="44"/>
          <w:szCs w:val="44"/>
          <w:highlight w:val="none"/>
        </w:rPr>
      </w:pPr>
    </w:p>
    <w:p>
      <w:pPr>
        <w:pStyle w:val="3"/>
        <w:rPr>
          <w:rFonts w:ascii="方正小标宋简体" w:eastAsia="方正小标宋简体"/>
          <w:color w:val="auto"/>
          <w:sz w:val="44"/>
          <w:szCs w:val="44"/>
          <w:highlight w:val="none"/>
        </w:rPr>
      </w:pPr>
    </w:p>
    <w:p>
      <w:pPr>
        <w:jc w:val="center"/>
        <w:rPr>
          <w:rFonts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rPr>
          <w:rFonts w:ascii="方正小标宋简体" w:eastAsia="方正小标宋简体"/>
          <w:color w:val="auto"/>
          <w:sz w:val="30"/>
          <w:szCs w:val="30"/>
          <w:highlight w:val="none"/>
        </w:rPr>
      </w:pPr>
    </w:p>
    <w:p>
      <w:pPr>
        <w:pStyle w:val="28"/>
        <w:rPr>
          <w:rFonts w:ascii="方正小标宋简体" w:eastAsia="方正小标宋简体"/>
          <w:color w:val="auto"/>
          <w:sz w:val="30"/>
          <w:szCs w:val="30"/>
          <w:highlight w:val="none"/>
        </w:rPr>
      </w:pPr>
    </w:p>
    <w:p>
      <w:pPr>
        <w:pStyle w:val="28"/>
        <w:rPr>
          <w:rFonts w:ascii="方正小标宋简体" w:eastAsia="方正小标宋简体"/>
          <w:color w:val="auto"/>
          <w:sz w:val="30"/>
          <w:szCs w:val="30"/>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09" w:name="_Toc87616389"/>
      <w:bookmarkStart w:id="110" w:name="_Toc88209952"/>
      <w:r>
        <w:rPr>
          <w:rFonts w:hint="eastAsia" w:ascii="仿宋_GB2312" w:eastAsia="仿宋_GB2312"/>
          <w:color w:val="auto"/>
          <w:sz w:val="28"/>
          <w:szCs w:val="28"/>
          <w:highlight w:val="none"/>
        </w:rPr>
        <w:t>1.响应函</w:t>
      </w:r>
      <w:bookmarkEnd w:id="109"/>
      <w:bookmarkEnd w:id="110"/>
    </w:p>
    <w:p>
      <w:pPr>
        <w:spacing w:line="600" w:lineRule="exact"/>
        <w:rPr>
          <w:rFonts w:ascii="仿宋_GB2312" w:eastAsia="仿宋_GB2312"/>
          <w:color w:val="auto"/>
          <w:sz w:val="28"/>
          <w:szCs w:val="28"/>
          <w:highlight w:val="none"/>
        </w:rPr>
      </w:pPr>
      <w:bookmarkStart w:id="111" w:name="_Toc88209953"/>
      <w:bookmarkStart w:id="112" w:name="_Toc87616390"/>
      <w:r>
        <w:rPr>
          <w:rFonts w:hint="eastAsia" w:ascii="仿宋_GB2312" w:eastAsia="仿宋_GB2312"/>
          <w:color w:val="auto"/>
          <w:sz w:val="28"/>
          <w:szCs w:val="28"/>
          <w:highlight w:val="none"/>
        </w:rPr>
        <w:t>2.法定代表人证明或授权委托书</w:t>
      </w:r>
      <w:bookmarkEnd w:id="111"/>
      <w:bookmarkEnd w:id="112"/>
      <w:bookmarkStart w:id="113" w:name="_Toc88209956"/>
      <w:bookmarkStart w:id="114" w:name="_Toc87616393"/>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rPr>
        <w:t>3.资格审查资料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rPr>
        <w:t>4.拟投入本项目的项目负责人情况表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t>5.报价表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rPr>
        <w:t>6.其他资料</w:t>
      </w:r>
      <w:bookmarkEnd w:id="113"/>
      <w:bookmarkEnd w:id="114"/>
      <w:r>
        <w:rPr>
          <w:rFonts w:hint="eastAsia" w:ascii="仿宋_GB2312" w:eastAsia="仿宋_GB2312"/>
          <w:color w:val="auto"/>
          <w:sz w:val="28"/>
          <w:szCs w:val="28"/>
          <w:highlight w:val="none"/>
        </w:rPr>
        <w:cr/>
      </w: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pStyle w:val="28"/>
        <w:rPr>
          <w:rFonts w:ascii="方正小标宋简体" w:eastAsia="方正小标宋简体"/>
          <w:color w:val="auto"/>
          <w:sz w:val="44"/>
          <w:szCs w:val="44"/>
          <w:highlight w:val="none"/>
        </w:rPr>
      </w:pPr>
    </w:p>
    <w:p>
      <w:pPr>
        <w:pStyle w:val="28"/>
        <w:rPr>
          <w:rFonts w:ascii="方正小标宋简体" w:eastAsia="方正小标宋简体"/>
          <w:color w:val="auto"/>
          <w:sz w:val="44"/>
          <w:szCs w:val="44"/>
          <w:highlight w:val="none"/>
        </w:rPr>
      </w:pPr>
    </w:p>
    <w:p>
      <w:pPr>
        <w:pStyle w:val="6"/>
        <w:rPr>
          <w:rFonts w:asciiTheme="minorEastAsia" w:hAnsiTheme="minorEastAsia" w:eastAsiaTheme="minorEastAsia"/>
          <w:color w:val="auto"/>
          <w:sz w:val="28"/>
          <w:szCs w:val="28"/>
          <w:highlight w:val="none"/>
        </w:rPr>
      </w:pPr>
      <w:bookmarkStart w:id="115" w:name="_Toc28619645"/>
      <w:bookmarkStart w:id="116" w:name="_Toc6313"/>
      <w:bookmarkStart w:id="117" w:name="_Toc88209957"/>
      <w:bookmarkStart w:id="118" w:name="_Toc12665"/>
      <w:bookmarkStart w:id="119" w:name="_Toc87616394"/>
      <w:r>
        <w:rPr>
          <w:rFonts w:hint="eastAsia" w:asciiTheme="minorEastAsia" w:hAnsiTheme="minorEastAsia" w:eastAsiaTheme="minorEastAsia"/>
          <w:color w:val="auto"/>
          <w:sz w:val="28"/>
          <w:szCs w:val="28"/>
          <w:highlight w:val="none"/>
        </w:rPr>
        <w:t>1.响应函</w:t>
      </w:r>
      <w:bookmarkEnd w:id="115"/>
      <w:bookmarkEnd w:id="116"/>
      <w:bookmarkEnd w:id="117"/>
      <w:bookmarkEnd w:id="118"/>
      <w:bookmarkEnd w:id="119"/>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w:t>
      </w:r>
      <w:r>
        <w:rPr>
          <w:rFonts w:hint="eastAsia" w:ascii="仿宋_GB2312" w:hAnsi="黑体" w:eastAsia="仿宋_GB2312"/>
          <w:color w:val="auto"/>
          <w:sz w:val="28"/>
          <w:szCs w:val="28"/>
          <w:highlight w:val="none"/>
          <w:u w:val="single"/>
        </w:rPr>
        <w:t xml:space="preserve">（项目名称、项目编号、标段/标包号）   </w:t>
      </w:r>
      <w:r>
        <w:rPr>
          <w:rFonts w:hint="eastAsia" w:ascii="仿宋_GB2312" w:hAnsi="黑体" w:eastAsia="仿宋_GB2312"/>
          <w:color w:val="auto"/>
          <w:sz w:val="28"/>
          <w:szCs w:val="28"/>
          <w:highlight w:val="none"/>
        </w:rPr>
        <w:t>采购文件的全部内容，愿意以含税价人民币（大写）</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w:t>
      </w:r>
      <w:r>
        <w:rPr>
          <w:rFonts w:hint="eastAsia" w:ascii="宋体" w:hAnsi="宋体" w:eastAsia="仿宋_GB2312"/>
          <w:color w:val="auto"/>
          <w:sz w:val="28"/>
          <w:szCs w:val="28"/>
          <w:highlight w:val="none"/>
        </w:rPr>
        <w:t>¥</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rPr>
        <w:t>）的报价（其中，不含税价为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；增值税为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）完成/提供本项目</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 xml:space="preserve">工程 </w:t>
      </w:r>
      <w:r>
        <w:rPr>
          <w:rFonts w:hint="eastAsia" w:ascii="仿宋_GB2312" w:eastAsia="仿宋_GB2312"/>
          <w:color w:val="auto"/>
          <w:sz w:val="28"/>
          <w:szCs w:val="28"/>
          <w:highlight w:val="none"/>
        </w:rPr>
        <w:t>□</w:t>
      </w:r>
      <w:r>
        <w:rPr>
          <w:rFonts w:hint="eastAsia" w:ascii="仿宋_GB2312" w:hAnsi="黑体" w:eastAsia="仿宋_GB2312"/>
          <w:color w:val="auto"/>
          <w:sz w:val="28"/>
          <w:szCs w:val="28"/>
          <w:highlight w:val="none"/>
        </w:rPr>
        <w:t>货物</w:t>
      </w:r>
      <w:r>
        <w:rPr>
          <w:rFonts w:hint="eastAsia" w:ascii="仿宋_GB2312" w:eastAsia="仿宋_GB2312"/>
          <w:color w:val="auto"/>
          <w:sz w:val="28"/>
          <w:szCs w:val="28"/>
          <w:highlight w:val="none"/>
        </w:rPr>
        <w:t>□</w:t>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（1）响应函</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（2）法定代表人证明或授权委托书</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（3）资格审查资料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（4）拟投入本项目的项目负责人情况表</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（5）报价表</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（6）其他资料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w:t>
      </w:r>
      <w:r>
        <w:rPr>
          <w:rFonts w:hint="eastAsia" w:ascii="仿宋_GB2312" w:hAnsi="黑体" w:eastAsia="仿宋_GB2312"/>
          <w:color w:val="auto"/>
          <w:sz w:val="28"/>
          <w:szCs w:val="28"/>
          <w:highlight w:val="none"/>
          <w:lang w:val="en-US" w:eastAsia="zh-CN"/>
        </w:rPr>
        <w:t>采购</w:t>
      </w:r>
      <w:r>
        <w:rPr>
          <w:rFonts w:hint="eastAsia" w:ascii="仿宋_GB2312" w:hAnsi="黑体" w:eastAsia="仿宋_GB2312"/>
          <w:color w:val="auto"/>
          <w:sz w:val="28"/>
          <w:szCs w:val="28"/>
          <w:highlight w:val="none"/>
        </w:rPr>
        <w:t>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.我方在此声明，所递交的响应文件及有关资料内容完整、真实和准确，且不存在采购公告（采购邀请书）中供应商不得存在的情形。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asciiTheme="minorEastAsia" w:hAnsiTheme="minorEastAsia"/>
          <w:color w:val="auto"/>
          <w:sz w:val="28"/>
          <w:szCs w:val="28"/>
          <w:highlight w:val="none"/>
        </w:rPr>
      </w:pPr>
      <w:bookmarkStart w:id="120" w:name="_Toc29833"/>
      <w:bookmarkStart w:id="121" w:name="_Toc22527"/>
      <w:bookmarkStart w:id="122" w:name="_Toc87616395"/>
      <w:bookmarkStart w:id="123" w:name="_Toc88209958"/>
    </w:p>
    <w:p>
      <w:pPr>
        <w:pStyle w:val="6"/>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20"/>
      <w:bookmarkEnd w:id="121"/>
      <w:bookmarkEnd w:id="122"/>
      <w:bookmarkEnd w:id="123"/>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156" w:beforeLines="50" w:after="156"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9"/>
        <w:snapToGrid w:val="0"/>
        <w:spacing w:after="0" w:line="600" w:lineRule="exact"/>
        <w:jc w:val="both"/>
        <w:rPr>
          <w:rFonts w:ascii="仿宋_GB2312" w:hAnsi="宋体" w:eastAsia="仿宋_GB2312" w:cs="Times New Roman"/>
          <w:sz w:val="30"/>
          <w:szCs w:val="30"/>
          <w:highlight w:val="none"/>
          <w:u w:val="single"/>
        </w:rPr>
      </w:pPr>
      <w:r>
        <w:rPr>
          <w:rFonts w:hint="eastAsia" w:ascii="仿宋_GB2312" w:hAnsi="宋体" w:eastAsia="仿宋_GB2312" w:cs="Times New Roman"/>
          <w:sz w:val="32"/>
          <w:szCs w:val="32"/>
          <w:highlight w:val="none"/>
        </w:rPr>
        <w:t xml:space="preserve">     </w:t>
      </w:r>
      <w:r>
        <w:rPr>
          <w:rFonts w:hint="eastAsia" w:ascii="仿宋_GB2312" w:hAnsi="宋体" w:eastAsia="仿宋_GB2312" w:cs="Times New Roman"/>
          <w:sz w:val="30"/>
          <w:szCs w:val="30"/>
          <w:highlight w:val="none"/>
        </w:rPr>
        <w:t>供应商名称：</w:t>
      </w:r>
      <w:r>
        <w:rPr>
          <w:rFonts w:hint="eastAsia" w:ascii="仿宋_GB2312" w:hAnsi="宋体" w:eastAsia="仿宋_GB2312" w:cs="Times New Roman"/>
          <w:sz w:val="30"/>
          <w:szCs w:val="30"/>
          <w:highlight w:val="none"/>
          <w:u w:val="single"/>
        </w:rPr>
        <w:t xml:space="preserve">                          </w:t>
      </w:r>
    </w:p>
    <w:p>
      <w:pPr>
        <w:pStyle w:val="12"/>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8"/>
        <w:snapToGrid w:val="0"/>
        <w:spacing w:after="0" w:line="600" w:lineRule="exact"/>
        <w:ind w:firstLine="750" w:firstLineChars="250"/>
        <w:rPr>
          <w:rFonts w:ascii="仿宋_GB2312" w:hAnsi="宋体" w:eastAsia="仿宋_GB2312" w:cs="Times New Roman"/>
          <w:sz w:val="30"/>
          <w:szCs w:val="30"/>
          <w:highlight w:val="none"/>
          <w:u w:val="single"/>
        </w:rPr>
      </w:pPr>
      <w:r>
        <w:rPr>
          <w:rFonts w:hint="eastAsia" w:ascii="仿宋_GB2312" w:hAnsi="宋体" w:eastAsia="仿宋_GB2312" w:cs="Times New Roman"/>
          <w:sz w:val="30"/>
          <w:szCs w:val="30"/>
          <w:highlight w:val="none"/>
        </w:rPr>
        <w:t>地    址：</w:t>
      </w:r>
      <w:r>
        <w:rPr>
          <w:rFonts w:hint="eastAsia" w:ascii="仿宋_GB2312" w:hAnsi="宋体" w:eastAsia="仿宋_GB2312" w:cs="Times New Roman"/>
          <w:sz w:val="30"/>
          <w:szCs w:val="30"/>
          <w:highlight w:val="none"/>
          <w:u w:val="single"/>
        </w:rPr>
        <w:t xml:space="preserve">                            </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snapToGrid w:val="0"/>
        <w:spacing w:line="600" w:lineRule="exact"/>
        <w:ind w:firstLine="702" w:firstLineChars="234"/>
        <w:rPr>
          <w:rFonts w:ascii="仿宋_GB2312" w:hAnsi="宋体" w:eastAsia="仿宋_GB2312" w:cs="Times New Roman"/>
          <w:color w:val="auto"/>
          <w:sz w:val="32"/>
          <w:szCs w:val="32"/>
          <w:highlight w:val="none"/>
        </w:rPr>
      </w:pPr>
      <w:r>
        <w:rPr>
          <w:rFonts w:hint="eastAsia" w:ascii="仿宋_GB2312" w:hAnsi="宋体" w:eastAsia="仿宋_GB2312"/>
          <w:color w:val="auto"/>
          <w:sz w:val="30"/>
          <w:szCs w:val="30"/>
          <w:highlight w:val="none"/>
        </w:rPr>
        <w:t>附：法定代表人身份证(正反两面)复印件</w:t>
      </w:r>
    </w:p>
    <w:p>
      <w:pPr>
        <w:pStyle w:val="12"/>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w:pict>
          <v:shape id="文本框 2" o:spid="_x0000_s1040" o:spt="202" type="#_x0000_t202" style="position:absolute;left:0pt;margin-left:32pt;margin-top:14.8pt;height:101.4pt;width:297pt;mso-wrap-distance-bottom:0pt;mso-wrap-distance-left:9pt;mso-wrap-distance-right:9pt;mso-wrap-distance-top:0pt;z-index:251668480;mso-width-relative:page;mso-height-relative:page;" coordsize="21600,21600" o:gfxdata="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cZN1XdcAAAAJAQAADwAAAAAAAAABACAAAAAiAAAAZHJzL2Rvd25yZXYueG1sUEsBAhQA&#10;FAAAAAgAh07iQLb6D/osAgAASAQAAA4AAAAAAAAAAQAgAAAAJgEAAGRycy9lMm9Eb2MueG1sUEsF&#10;BgAAAAAGAAYAWQEAAMQFAAAAAA==&#10;">
            <v:path/>
            <v:fill focussize="0,0"/>
            <v:stroke joinstyle="miter"/>
            <v:imagedata o:title=""/>
            <o:lock v:ext="edit"/>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156" w:beforeLines="50" w:after="156"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附：1.委托代理人身份证(正反两面)复印件</w:t>
      </w:r>
    </w:p>
    <w:p>
      <w:pPr>
        <w:pStyle w:val="37"/>
        <w:ind w:firstLine="1200" w:firstLineChars="4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2.提供授权委托人在本单位近三个月社保记录（以加盖社会保险基金管理中心印章的《缴费历史明细表》或《社会保险参保人员证明》为准），否则为无效代理人，询价响应文件无效。</w:t>
      </w:r>
    </w:p>
    <w:p>
      <w:pPr>
        <w:pStyle w:val="12"/>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2"/>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2"/>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2"/>
        <w:rPr>
          <w:rFonts w:ascii="仿宋_GB2312" w:eastAsia="仿宋_GB2312"/>
          <w:color w:val="auto"/>
          <w:sz w:val="30"/>
          <w:szCs w:val="30"/>
          <w:highlight w:val="none"/>
        </w:rPr>
      </w:pPr>
    </w:p>
    <w:p>
      <w:pPr>
        <w:pStyle w:val="22"/>
        <w:rPr>
          <w:rFonts w:ascii="仿宋_GB2312" w:eastAsia="仿宋_GB2312"/>
          <w:color w:val="auto"/>
          <w:sz w:val="30"/>
          <w:szCs w:val="30"/>
          <w:highlight w:val="none"/>
        </w:rPr>
      </w:pPr>
    </w:p>
    <w:p>
      <w:pPr>
        <w:pStyle w:val="22"/>
        <w:rPr>
          <w:rFonts w:ascii="仿宋_GB2312" w:eastAsia="仿宋_GB2312"/>
          <w:color w:val="auto"/>
          <w:sz w:val="30"/>
          <w:szCs w:val="30"/>
          <w:highlight w:val="none"/>
        </w:rPr>
      </w:pPr>
    </w:p>
    <w:p>
      <w:pPr>
        <w:pStyle w:val="22"/>
        <w:rPr>
          <w:rFonts w:ascii="仿宋_GB2312" w:eastAsia="仿宋_GB2312"/>
          <w:color w:val="auto"/>
          <w:sz w:val="30"/>
          <w:szCs w:val="30"/>
          <w:highlight w:val="none"/>
        </w:rPr>
      </w:pPr>
    </w:p>
    <w:p>
      <w:pPr>
        <w:pStyle w:val="7"/>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w:pict>
          <v:shape id="_x0000_s1041" o:spid="_x0000_s1041" o:spt="202" type="#_x0000_t202" style="position:absolute;left:0pt;margin-left:48.5pt;margin-top:15.75pt;height:101.4pt;width:297pt;mso-wrap-distance-bottom:0pt;mso-wrap-distance-left:9pt;mso-wrap-distance-right:9pt;mso-wrap-distance-top:0pt;z-index:251669504;mso-width-relative:page;mso-height-relative:page;" coordsize="21600,21600" o:gfxdata="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cZN1XdcAAAAJAQAADwAAAAAAAAABACAAAAAiAAAAZHJzL2Rvd25yZXYueG1sUEsBAhQA&#10;FAAAAAgAh07iQLb6D/osAgAASAQAAA4AAAAAAAAAAQAgAAAAJgEAAGRycy9lMm9Eb2MueG1sUEsF&#10;BgAAAAAGAAYAWQEAAMQFAAAAAA==&#10;">
            <v:path/>
            <v:fill focussize="0,0"/>
            <v:stroke joinstyle="miter"/>
            <v:imagedata o:title=""/>
            <o:lock v:ext="edit"/>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w:r>
    </w:p>
    <w:p>
      <w:pPr>
        <w:pStyle w:val="7"/>
        <w:spacing w:after="0" w:line="600" w:lineRule="exact"/>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pStyle w:val="7"/>
        <w:spacing w:after="0" w:line="600" w:lineRule="exact"/>
        <w:ind w:firstLine="0"/>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adjustRightInd w:val="0"/>
        <w:snapToGrid w:val="0"/>
        <w:spacing w:line="600" w:lineRule="exact"/>
        <w:ind w:firstLine="48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rPr>
                <w:rFonts w:ascii="宋体" w:hAnsi="宋体" w:eastAsia="宋体" w:cs="Times New Roman"/>
                <w:color w:val="auto"/>
                <w:sz w:val="24"/>
                <w:szCs w:val="24"/>
                <w:highlight w:val="none"/>
              </w:rPr>
            </w:pPr>
          </w:p>
          <w:p>
            <w:pPr>
              <w:spacing w:line="360" w:lineRule="auto"/>
              <w:jc w:val="center"/>
              <w:rPr>
                <w:rFonts w:ascii="宋体" w:hAnsi="宋体" w:eastAsia="宋体" w:cs="Times New Roman"/>
                <w:color w:val="auto"/>
                <w:sz w:val="24"/>
                <w:szCs w:val="24"/>
                <w:highlight w:val="none"/>
              </w:rPr>
            </w:pPr>
          </w:p>
          <w:p>
            <w:pPr>
              <w:spacing w:line="360" w:lineRule="auto"/>
              <w:jc w:val="center"/>
              <w:rPr>
                <w:rFonts w:ascii="宋体" w:hAnsi="宋体"/>
                <w:color w:val="auto"/>
                <w:sz w:val="24"/>
                <w:szCs w:val="24"/>
                <w:highlight w:val="none"/>
              </w:rPr>
            </w:pPr>
            <w:r>
              <w:rPr>
                <w:rFonts w:hint="eastAsia" w:ascii="宋体" w:hAnsi="宋体" w:cs="Times New Roman"/>
                <w:color w:val="auto"/>
                <w:sz w:val="24"/>
                <w:szCs w:val="24"/>
                <w:highlight w:val="none"/>
              </w:rPr>
              <w:t>授权代理人在本单位近三个月社保记录，（以加盖社会保险基金管理中心印章的《缴费历史明细表》或《社会保险参保人员证明》为准，加</w:t>
            </w:r>
            <w:r>
              <w:rPr>
                <w:rFonts w:hint="eastAsia" w:ascii="宋体" w:hAnsi="宋体"/>
                <w:color w:val="auto"/>
                <w:sz w:val="24"/>
                <w:szCs w:val="24"/>
                <w:highlight w:val="none"/>
              </w:rPr>
              <w:t>盖单位公章</w:t>
            </w:r>
          </w:p>
          <w:p>
            <w:pPr>
              <w:spacing w:line="360" w:lineRule="auto"/>
              <w:jc w:val="center"/>
              <w:rPr>
                <w:rFonts w:ascii="宋体" w:hAnsi="宋体"/>
                <w:color w:val="auto"/>
                <w:sz w:val="24"/>
                <w:szCs w:val="24"/>
                <w:highlight w:val="none"/>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6"/>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24" w:name="_Toc87616400"/>
      <w:bookmarkStart w:id="125" w:name="_Toc88209963"/>
      <w:bookmarkStart w:id="126" w:name="_Toc8086"/>
      <w:bookmarkStart w:id="127" w:name="_Toc19830"/>
      <w:r>
        <w:rPr>
          <w:rFonts w:hint="eastAsia" w:ascii="仿宋_GB2312" w:eastAsia="仿宋_GB2312" w:hAnsiTheme="minorEastAsia"/>
          <w:color w:val="auto"/>
          <w:sz w:val="28"/>
          <w:szCs w:val="28"/>
          <w:highlight w:val="none"/>
        </w:rPr>
        <w:t>3</w:t>
      </w:r>
      <w:r>
        <w:rPr>
          <w:rFonts w:hint="eastAsia" w:asciiTheme="minorEastAsia" w:hAnsiTheme="minorEastAsia" w:eastAsiaTheme="minorEastAsia"/>
          <w:color w:val="auto"/>
          <w:sz w:val="28"/>
          <w:szCs w:val="28"/>
          <w:highlight w:val="none"/>
        </w:rPr>
        <w:t>.资格审查资料</w:t>
      </w:r>
      <w:bookmarkEnd w:id="124"/>
      <w:bookmarkEnd w:id="125"/>
      <w:bookmarkEnd w:id="126"/>
      <w:bookmarkEnd w:id="127"/>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3.1供应商基本情况表</w:t>
      </w:r>
    </w:p>
    <w:tbl>
      <w:tblPr>
        <w:tblStyle w:val="24"/>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cs="Times New Roman" w:asciiTheme="minorEastAsia" w:hAnsiTheme="minorEastAsia"/>
          <w:b/>
          <w:bCs/>
          <w:color w:val="auto"/>
          <w:sz w:val="28"/>
          <w:szCs w:val="28"/>
          <w:highlight w:val="none"/>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rPr>
        <w:t>。</w:t>
      </w:r>
      <w:r>
        <w:rPr>
          <w:rFonts w:hint="eastAsia" w:cs="Times New Roman" w:asciiTheme="minorEastAsia" w:hAnsiTheme="minorEastAsia"/>
          <w:b/>
          <w:bCs/>
          <w:color w:val="auto"/>
          <w:sz w:val="28"/>
          <w:szCs w:val="28"/>
          <w:highlight w:val="none"/>
        </w:rPr>
        <w:t>（相关证明文件附后）</w:t>
      </w:r>
    </w:p>
    <w:p>
      <w:pPr>
        <w:adjustRightInd w:val="0"/>
        <w:snapToGrid w:val="0"/>
        <w:spacing w:line="360" w:lineRule="auto"/>
        <w:jc w:val="left"/>
        <w:rPr>
          <w:rFonts w:cs="Times New Roman" w:asciiTheme="minorEastAsia" w:hAnsiTheme="minorEastAsia"/>
          <w:b/>
          <w:bCs/>
          <w:color w:val="auto"/>
          <w:sz w:val="28"/>
          <w:szCs w:val="28"/>
          <w:highlight w:val="none"/>
        </w:rPr>
      </w:pPr>
      <w:bookmarkStart w:id="128" w:name="_Hlk59025866"/>
    </w:p>
    <w:p>
      <w:pPr>
        <w:adjustRightInd w:val="0"/>
        <w:snapToGrid w:val="0"/>
        <w:spacing w:line="360" w:lineRule="auto"/>
        <w:jc w:val="left"/>
        <w:rPr>
          <w:rFonts w:cs="Times New Roman" w:asciiTheme="minorEastAsia" w:hAnsiTheme="minorEastAsia"/>
          <w:b/>
          <w:bCs/>
          <w:color w:val="auto"/>
          <w:sz w:val="28"/>
          <w:szCs w:val="28"/>
          <w:highlight w:val="none"/>
        </w:rPr>
      </w:pPr>
      <w:r>
        <w:rPr>
          <w:rFonts w:hint="eastAsia" w:cs="Times New Roman" w:asciiTheme="minorEastAsia" w:hAnsiTheme="minorEastAsia"/>
          <w:b/>
          <w:bCs/>
          <w:color w:val="auto"/>
          <w:sz w:val="28"/>
          <w:szCs w:val="28"/>
          <w:highlight w:val="none"/>
        </w:rPr>
        <w:t>3.2不得存在情形承诺函</w:t>
      </w:r>
    </w:p>
    <w:bookmarkEnd w:id="128"/>
    <w:p>
      <w:pPr>
        <w:adjustRightInd w:val="0"/>
        <w:snapToGrid w:val="0"/>
        <w:spacing w:line="360" w:lineRule="auto"/>
        <w:rPr>
          <w:rFonts w:ascii="宋体" w:hAnsi="宋体" w:eastAsia="宋体" w:cs="宋体"/>
          <w:color w:val="auto"/>
          <w:sz w:val="24"/>
          <w:szCs w:val="24"/>
          <w:highlight w:val="none"/>
          <w:lang w:val="en-GB"/>
        </w:rPr>
      </w:pPr>
    </w:p>
    <w:p>
      <w:pPr>
        <w:adjustRightInd w:val="0"/>
        <w:snapToGrid w:val="0"/>
        <w:spacing w:line="360" w:lineRule="auto"/>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rPr>
          <w:rFonts w:ascii="仿宋_GB2312" w:eastAsia="仿宋_GB2312"/>
          <w:color w:val="auto"/>
          <w:sz w:val="28"/>
          <w:szCs w:val="28"/>
          <w:highlight w:val="none"/>
        </w:rPr>
      </w:pPr>
      <w:r>
        <w:rPr>
          <w:rFonts w:hint="eastAsia" w:ascii="宋体" w:hAnsi="宋体" w:eastAsia="宋体" w:cs="宋体"/>
          <w:color w:val="auto"/>
          <w:sz w:val="24"/>
          <w:szCs w:val="24"/>
          <w:highlight w:val="none"/>
          <w:lang w:val="en-GB"/>
        </w:rPr>
        <w:t>我方郑重承诺，在参与</w:t>
      </w:r>
      <w:r>
        <w:rPr>
          <w:rFonts w:hint="eastAsia" w:ascii="宋体" w:hAnsi="宋体" w:eastAsia="宋体" w:cs="宋体"/>
          <w:color w:val="auto"/>
          <w:sz w:val="24"/>
          <w:szCs w:val="24"/>
          <w:highlight w:val="none"/>
          <w:u w:val="single"/>
          <w:lang w:val="en-GB" w:eastAsia="zh-CN"/>
        </w:rPr>
        <w:t>广州市净水有限公司竹料分公司2023年一期反应池南池及扩建北池清淤项目</w:t>
      </w:r>
      <w:r>
        <w:rPr>
          <w:rFonts w:hint="eastAsia" w:ascii="宋体" w:hAnsi="宋体" w:eastAsia="宋体" w:cs="宋体"/>
          <w:color w:val="auto"/>
          <w:sz w:val="24"/>
          <w:szCs w:val="24"/>
          <w:highlight w:val="none"/>
          <w:u w:val="single"/>
          <w:lang w:val="en-GB"/>
        </w:rPr>
        <w:t>（项目编号：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GB"/>
        </w:rPr>
        <w:t>）</w:t>
      </w:r>
      <w:r>
        <w:rPr>
          <w:rFonts w:hint="eastAsia" w:ascii="宋体" w:hAnsi="宋体" w:eastAsia="宋体" w:cs="宋体"/>
          <w:color w:val="auto"/>
          <w:sz w:val="24"/>
          <w:szCs w:val="24"/>
          <w:highlight w:val="none"/>
          <w:lang w:val="en-GB"/>
        </w:rPr>
        <w:t>采购期间，未被</w:t>
      </w:r>
      <w:r>
        <w:rPr>
          <w:rFonts w:hint="eastAsia" w:ascii="仿宋_GB2312" w:eastAsia="仿宋_GB2312"/>
          <w:color w:val="auto"/>
          <w:sz w:val="28"/>
          <w:szCs w:val="28"/>
          <w:highlight w:val="none"/>
        </w:rPr>
        <w:t>列入下列情形之一：</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（1）与本项目其他供应商的单位负责人为同一人。</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（2）与本项目其他供应商存在控股关系。</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（3）与本项目其他供应商存在管理关系。</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（9）被“信用广州”网站纳入失信被执行人名单（失信黑名单）。</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（11）其他违法违纪行为，经审查认为不宜被邀请参加采购活动的。</w:t>
      </w:r>
    </w:p>
    <w:p>
      <w:pPr>
        <w:adjustRightInd w:val="0"/>
        <w:snapToGrid w:val="0"/>
        <w:spacing w:line="360" w:lineRule="auto"/>
        <w:jc w:val="right"/>
        <w:rPr>
          <w:rFonts w:ascii="宋体" w:hAnsi="宋体" w:eastAsia="宋体" w:cs="宋体"/>
          <w:color w:val="auto"/>
          <w:sz w:val="24"/>
          <w:szCs w:val="24"/>
          <w:highlight w:val="none"/>
          <w:lang w:val="en-GB"/>
        </w:rPr>
      </w:pPr>
      <w:r>
        <w:rPr>
          <w:rFonts w:ascii="宋体" w:hAnsi="宋体" w:eastAsia="宋体" w:cs="宋体"/>
          <w:color w:val="auto"/>
          <w:sz w:val="24"/>
          <w:szCs w:val="24"/>
          <w:highlight w:val="none"/>
          <w:lang w:val="en-GB"/>
        </w:rPr>
        <w:br w:type="textWrapping"/>
      </w:r>
    </w:p>
    <w:p>
      <w:pPr>
        <w:pStyle w:val="22"/>
        <w:rPr>
          <w:rFonts w:ascii="宋体" w:hAnsi="宋体" w:eastAsia="宋体" w:cs="宋体"/>
          <w:color w:val="auto"/>
          <w:sz w:val="24"/>
          <w:szCs w:val="24"/>
          <w:highlight w:val="none"/>
          <w:lang w:val="en-GB"/>
        </w:rPr>
      </w:pPr>
    </w:p>
    <w:p>
      <w:pPr>
        <w:pStyle w:val="22"/>
        <w:rPr>
          <w:rFonts w:ascii="宋体" w:hAnsi="宋体" w:eastAsia="宋体" w:cs="宋体"/>
          <w:color w:val="auto"/>
          <w:sz w:val="24"/>
          <w:szCs w:val="24"/>
          <w:highlight w:val="none"/>
          <w:lang w:val="en-GB"/>
        </w:rPr>
      </w:pPr>
    </w:p>
    <w:p>
      <w:pPr>
        <w:adjustRightInd w:val="0"/>
        <w:snapToGrid w:val="0"/>
        <w:spacing w:line="360" w:lineRule="auto"/>
        <w:jc w:val="right"/>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 xml:space="preserve">供应商名称（加盖公章）： </w:t>
      </w:r>
    </w:p>
    <w:p>
      <w:pPr>
        <w:adjustRightInd w:val="0"/>
        <w:snapToGrid w:val="0"/>
        <w:spacing w:line="360" w:lineRule="auto"/>
        <w:jc w:val="right"/>
        <w:rPr>
          <w:color w:val="auto"/>
          <w:highlight w:val="none"/>
        </w:rPr>
      </w:pPr>
      <w:r>
        <w:rPr>
          <w:rFonts w:hint="eastAsia" w:ascii="宋体" w:hAnsi="宋体" w:eastAsia="宋体" w:cs="宋体"/>
          <w:color w:val="auto"/>
          <w:sz w:val="24"/>
          <w:szCs w:val="24"/>
          <w:highlight w:val="none"/>
          <w:lang w:val="en-GB"/>
        </w:rPr>
        <w:t>年  月  日</w:t>
      </w:r>
    </w:p>
    <w:p>
      <w:pPr>
        <w:jc w:val="left"/>
        <w:rPr>
          <w:rFonts w:cs="Times New Roman" w:asciiTheme="minorEastAsia" w:hAnsiTheme="minorEastAsia"/>
          <w:b/>
          <w:bCs/>
          <w:color w:val="auto"/>
          <w:sz w:val="28"/>
          <w:szCs w:val="28"/>
          <w:highlight w:val="none"/>
        </w:rPr>
      </w:pPr>
      <w:r>
        <w:rPr>
          <w:rFonts w:hint="eastAsia" w:cs="Times New Roman" w:asciiTheme="minorEastAsia" w:hAnsiTheme="minorEastAsia"/>
          <w:b/>
          <w:bCs/>
          <w:color w:val="auto"/>
          <w:sz w:val="28"/>
          <w:szCs w:val="28"/>
          <w:highlight w:val="none"/>
        </w:rPr>
        <w:t>4.拟投入本项目的项目负责人情况表</w:t>
      </w:r>
    </w:p>
    <w:p>
      <w:pPr>
        <w:pStyle w:val="22"/>
        <w:rPr>
          <w:rFonts w:ascii="仿宋_GB2312" w:eastAsia="仿宋_GB2312" w:hAnsiTheme="minorEastAsia"/>
          <w:color w:val="auto"/>
          <w:sz w:val="28"/>
          <w:szCs w:val="28"/>
          <w:highlight w:val="none"/>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3"/>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1" w:type="dxa"/>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tcPr>
          <w:p>
            <w:pPr>
              <w:jc w:val="center"/>
              <w:rPr>
                <w:rFonts w:ascii="仿宋" w:hAnsi="仿宋" w:eastAsia="仿宋" w:cs="仿宋_GB2312"/>
                <w:b/>
                <w:color w:val="auto"/>
                <w:sz w:val="28"/>
                <w:szCs w:val="28"/>
                <w:highlight w:val="none"/>
              </w:rPr>
            </w:pPr>
          </w:p>
        </w:tc>
        <w:tc>
          <w:tcPr>
            <w:tcW w:w="161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tcPr>
          <w:p>
            <w:pPr>
              <w:jc w:val="center"/>
              <w:rPr>
                <w:rFonts w:ascii="仿宋" w:hAnsi="仿宋" w:eastAsia="仿宋" w:cs="仿宋_GB2312"/>
                <w:b/>
                <w:color w:val="auto"/>
                <w:sz w:val="28"/>
                <w:szCs w:val="28"/>
                <w:highlight w:val="none"/>
              </w:rPr>
            </w:pPr>
          </w:p>
        </w:tc>
        <w:tc>
          <w:tcPr>
            <w:tcW w:w="2198"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1" w:type="dxa"/>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tcPr>
          <w:p>
            <w:pPr>
              <w:spacing w:line="360" w:lineRule="exact"/>
              <w:jc w:val="center"/>
              <w:rPr>
                <w:rFonts w:ascii="仿宋" w:hAnsi="仿宋" w:eastAsia="仿宋" w:cs="仿宋_GB2312"/>
                <w:b/>
                <w:color w:val="auto"/>
                <w:sz w:val="28"/>
                <w:szCs w:val="28"/>
                <w:highlight w:val="none"/>
              </w:rPr>
            </w:pPr>
          </w:p>
        </w:tc>
        <w:tc>
          <w:tcPr>
            <w:tcW w:w="1613"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tcPr>
          <w:p>
            <w:pPr>
              <w:spacing w:line="360" w:lineRule="exact"/>
              <w:jc w:val="center"/>
              <w:rPr>
                <w:rFonts w:ascii="仿宋" w:hAnsi="仿宋" w:eastAsia="仿宋" w:cs="仿宋_GB2312"/>
                <w:b/>
                <w:color w:val="auto"/>
                <w:sz w:val="28"/>
                <w:szCs w:val="28"/>
                <w:highlight w:val="none"/>
              </w:rPr>
            </w:pPr>
          </w:p>
        </w:tc>
        <w:tc>
          <w:tcPr>
            <w:tcW w:w="2198"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tcPr>
          <w:p>
            <w:pPr>
              <w:spacing w:line="360" w:lineRule="exact"/>
              <w:jc w:val="center"/>
              <w:rPr>
                <w:rFonts w:ascii="仿宋" w:hAnsi="仿宋" w:eastAsia="仿宋" w:cs="仿宋_GB2312"/>
                <w:b/>
                <w:color w:val="auto"/>
                <w:sz w:val="28"/>
                <w:szCs w:val="28"/>
                <w:highlight w:val="none"/>
              </w:rPr>
            </w:pPr>
          </w:p>
        </w:tc>
        <w:tc>
          <w:tcPr>
            <w:tcW w:w="1613"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tcPr>
          <w:p>
            <w:pPr>
              <w:spacing w:line="360" w:lineRule="exact"/>
              <w:jc w:val="center"/>
              <w:rPr>
                <w:rFonts w:ascii="仿宋" w:hAnsi="仿宋" w:eastAsia="仿宋" w:cs="仿宋_GB2312"/>
                <w:b/>
                <w:color w:val="auto"/>
                <w:sz w:val="28"/>
                <w:szCs w:val="28"/>
                <w:highlight w:val="none"/>
              </w:rPr>
            </w:pPr>
          </w:p>
        </w:tc>
        <w:tc>
          <w:tcPr>
            <w:tcW w:w="2198"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tcPr>
          <w:p>
            <w:pPr>
              <w:spacing w:line="360" w:lineRule="exact"/>
              <w:jc w:val="center"/>
              <w:rPr>
                <w:rFonts w:ascii="仿宋" w:hAnsi="仿宋" w:eastAsia="仿宋" w:cs="仿宋_GB2312"/>
                <w:b/>
                <w:color w:val="auto"/>
                <w:sz w:val="28"/>
                <w:szCs w:val="28"/>
                <w:highlight w:val="none"/>
              </w:rPr>
            </w:pPr>
          </w:p>
        </w:tc>
        <w:tc>
          <w:tcPr>
            <w:tcW w:w="2198"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tcPr>
          <w:p>
            <w:pPr>
              <w:jc w:val="center"/>
              <w:rPr>
                <w:rFonts w:ascii="仿宋" w:hAnsi="仿宋" w:eastAsia="仿宋" w:cs="仿宋_GB2312"/>
                <w:b/>
                <w:color w:val="auto"/>
                <w:sz w:val="28"/>
                <w:szCs w:val="28"/>
                <w:highlight w:val="none"/>
              </w:rPr>
            </w:pPr>
          </w:p>
        </w:tc>
        <w:tc>
          <w:tcPr>
            <w:tcW w:w="2198"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453" w:type="dxa"/>
            <w:gridSpan w:val="2"/>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453" w:type="dxa"/>
            <w:gridSpan w:val="2"/>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453" w:type="dxa"/>
            <w:gridSpan w:val="2"/>
          </w:tcPr>
          <w:p>
            <w:pPr>
              <w:jc w:val="center"/>
              <w:rPr>
                <w:rFonts w:ascii="仿宋" w:hAnsi="仿宋" w:eastAsia="仿宋" w:cs="仿宋_GB2312"/>
                <w:b/>
                <w:color w:val="auto"/>
                <w:sz w:val="28"/>
                <w:szCs w:val="28"/>
                <w:highlight w:val="none"/>
              </w:rPr>
            </w:pPr>
          </w:p>
        </w:tc>
      </w:tr>
    </w:tbl>
    <w:p>
      <w:pPr>
        <w:pStyle w:val="22"/>
        <w:rPr>
          <w:rFonts w:ascii="仿宋_GB2312" w:eastAsia="仿宋_GB2312" w:hAnsiTheme="minorEastAsia"/>
          <w:color w:val="auto"/>
          <w:sz w:val="28"/>
          <w:szCs w:val="28"/>
          <w:highlight w:val="none"/>
        </w:rPr>
      </w:pPr>
    </w:p>
    <w:p>
      <w:pPr>
        <w:pStyle w:val="22"/>
        <w:rPr>
          <w:rFonts w:ascii="宋体" w:hAnsi="宋体" w:eastAsia="宋体" w:cs="宋体"/>
          <w:color w:val="auto"/>
          <w:sz w:val="24"/>
          <w:szCs w:val="24"/>
          <w:highlight w:val="none"/>
          <w:lang w:val="en-GB"/>
        </w:rPr>
      </w:pPr>
    </w:p>
    <w:p>
      <w:pPr>
        <w:adjustRightInd w:val="0"/>
        <w:snapToGrid w:val="0"/>
        <w:spacing w:line="360" w:lineRule="auto"/>
        <w:jc w:val="both"/>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 xml:space="preserve">供应商名称（加盖公章）： </w:t>
      </w:r>
    </w:p>
    <w:p>
      <w:pPr>
        <w:pStyle w:val="22"/>
        <w:rPr>
          <w:rFonts w:ascii="仿宋_GB2312" w:eastAsia="仿宋_GB2312" w:hAnsiTheme="minorEastAsia"/>
          <w:color w:val="auto"/>
          <w:sz w:val="28"/>
          <w:szCs w:val="28"/>
          <w:highlight w:val="none"/>
        </w:rPr>
      </w:pPr>
      <w:r>
        <w:rPr>
          <w:rFonts w:hint="eastAsia" w:ascii="宋体" w:hAnsi="宋体" w:eastAsia="宋体" w:cs="宋体"/>
          <w:color w:val="auto"/>
          <w:sz w:val="24"/>
          <w:szCs w:val="24"/>
          <w:highlight w:val="none"/>
          <w:lang w:val="en-GB"/>
        </w:rPr>
        <w:t>年  月  日</w:t>
      </w:r>
    </w:p>
    <w:p>
      <w:pPr>
        <w:pStyle w:val="22"/>
        <w:rPr>
          <w:rFonts w:ascii="仿宋_GB2312" w:eastAsia="仿宋_GB2312" w:hAnsiTheme="minorEastAsia"/>
          <w:color w:val="auto"/>
          <w:sz w:val="28"/>
          <w:szCs w:val="28"/>
          <w:highlight w:val="none"/>
        </w:rPr>
      </w:pPr>
    </w:p>
    <w:p>
      <w:pPr>
        <w:pStyle w:val="22"/>
        <w:rPr>
          <w:rFonts w:ascii="仿宋_GB2312" w:eastAsia="仿宋_GB2312" w:hAnsiTheme="minorEastAsia"/>
          <w:color w:val="auto"/>
          <w:sz w:val="28"/>
          <w:szCs w:val="28"/>
          <w:highlight w:val="none"/>
        </w:rPr>
      </w:pPr>
    </w:p>
    <w:p>
      <w:pPr>
        <w:pStyle w:val="22"/>
        <w:rPr>
          <w:rFonts w:ascii="仿宋_GB2312" w:eastAsia="仿宋_GB2312" w:hAnsiTheme="minorEastAsia"/>
          <w:color w:val="auto"/>
          <w:sz w:val="28"/>
          <w:szCs w:val="28"/>
          <w:highlight w:val="none"/>
        </w:rPr>
      </w:pPr>
    </w:p>
    <w:p>
      <w:pPr>
        <w:pStyle w:val="22"/>
        <w:ind w:firstLine="0"/>
        <w:rPr>
          <w:rFonts w:ascii="仿宋_GB2312" w:eastAsia="仿宋_GB2312" w:hAnsiTheme="minorEastAsia"/>
          <w:color w:val="auto"/>
          <w:sz w:val="28"/>
          <w:szCs w:val="28"/>
          <w:highlight w:val="none"/>
        </w:rPr>
      </w:pPr>
    </w:p>
    <w:p>
      <w:pPr>
        <w:pStyle w:val="6"/>
        <w:numPr>
          <w:ilvl w:val="0"/>
          <w:numId w:val="5"/>
        </w:numPr>
        <w:rPr>
          <w:rFonts w:hint="eastAsia" w:asciiTheme="minorEastAsia" w:hAnsiTheme="minorEastAsia" w:eastAsiaTheme="minorEastAsia"/>
          <w:color w:val="auto"/>
          <w:sz w:val="28"/>
          <w:szCs w:val="28"/>
          <w:highlight w:val="none"/>
        </w:rPr>
      </w:pPr>
      <w:bookmarkStart w:id="129" w:name="_Toc19423"/>
      <w:bookmarkStart w:id="130" w:name="_Toc32430"/>
      <w:r>
        <w:rPr>
          <w:rFonts w:hint="eastAsia" w:asciiTheme="minorEastAsia" w:hAnsiTheme="minorEastAsia" w:eastAsiaTheme="minorEastAsia"/>
          <w:color w:val="auto"/>
          <w:sz w:val="28"/>
          <w:szCs w:val="28"/>
          <w:highlight w:val="none"/>
          <w:lang w:eastAsia="zh-CN"/>
        </w:rPr>
        <w:t>工程量</w:t>
      </w:r>
      <w:r>
        <w:rPr>
          <w:rFonts w:hint="eastAsia" w:asciiTheme="minorEastAsia" w:hAnsiTheme="minorEastAsia" w:eastAsiaTheme="minorEastAsia"/>
          <w:color w:val="auto"/>
          <w:sz w:val="28"/>
          <w:szCs w:val="28"/>
          <w:highlight w:val="none"/>
        </w:rPr>
        <w:t>报价表</w:t>
      </w:r>
      <w:bookmarkEnd w:id="129"/>
      <w:bookmarkEnd w:id="130"/>
    </w:p>
    <w:tbl>
      <w:tblPr>
        <w:tblStyle w:val="23"/>
        <w:tblW w:w="1093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5"/>
        <w:gridCol w:w="1549"/>
        <w:gridCol w:w="3201"/>
        <w:gridCol w:w="1031"/>
        <w:gridCol w:w="8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93" w:type="dxa"/>
          <w:wAfter w:w="3509" w:type="dxa"/>
          <w:trHeight w:val="360" w:hRule="atLeast"/>
          <w:jc w:val="center"/>
        </w:trPr>
        <w:tc>
          <w:tcPr>
            <w:tcW w:w="735"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154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项目名称</w:t>
            </w:r>
          </w:p>
        </w:tc>
        <w:tc>
          <w:tcPr>
            <w:tcW w:w="3201"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项目特征描述</w:t>
            </w:r>
          </w:p>
        </w:tc>
        <w:tc>
          <w:tcPr>
            <w:tcW w:w="1031"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计量单位</w:t>
            </w:r>
          </w:p>
        </w:tc>
        <w:tc>
          <w:tcPr>
            <w:tcW w:w="817"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93" w:type="dxa"/>
          <w:wAfter w:w="3509" w:type="dxa"/>
          <w:trHeight w:val="300" w:hRule="atLeast"/>
          <w:jc w:val="center"/>
        </w:trPr>
        <w:tc>
          <w:tcPr>
            <w:tcW w:w="73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54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320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03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81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93" w:type="dxa"/>
          <w:wAfter w:w="3509" w:type="dxa"/>
          <w:trHeight w:val="825"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5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挖淤泥、流砂</w:t>
            </w:r>
          </w:p>
        </w:tc>
        <w:tc>
          <w:tcPr>
            <w:tcW w:w="32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1.人工用水冲/推淤泥淤砂</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2.最终结算清淤工程量以实际弃置淤泥量计算</w:t>
            </w:r>
          </w:p>
        </w:tc>
        <w:tc>
          <w:tcPr>
            <w:tcW w:w="10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m3</w:t>
            </w:r>
          </w:p>
        </w:tc>
        <w:tc>
          <w:tcPr>
            <w:tcW w:w="8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93" w:type="dxa"/>
          <w:wAfter w:w="3509" w:type="dxa"/>
          <w:trHeight w:val="1335"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5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余方弃置</w:t>
            </w:r>
          </w:p>
        </w:tc>
        <w:tc>
          <w:tcPr>
            <w:tcW w:w="32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1.装车方式:人工装车，自卸汽车运输</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2.运距:20km(最终结算以乙方提供的处置证明按实际运距计算）</w:t>
            </w:r>
          </w:p>
        </w:tc>
        <w:tc>
          <w:tcPr>
            <w:tcW w:w="10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m3</w:t>
            </w:r>
          </w:p>
        </w:tc>
        <w:tc>
          <w:tcPr>
            <w:tcW w:w="8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93" w:type="dxa"/>
          <w:wAfter w:w="3509" w:type="dxa"/>
          <w:trHeight w:val="108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5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洞内通风设施</w:t>
            </w:r>
          </w:p>
        </w:tc>
        <w:tc>
          <w:tcPr>
            <w:tcW w:w="32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1.洞内通风，按台班计量，反应池空间为8779.28m³</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2.风机参数：18000m³/h，2.2KW</w:t>
            </w:r>
          </w:p>
        </w:tc>
        <w:tc>
          <w:tcPr>
            <w:tcW w:w="10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台班</w:t>
            </w:r>
          </w:p>
        </w:tc>
        <w:tc>
          <w:tcPr>
            <w:tcW w:w="8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93" w:type="dxa"/>
          <w:wAfter w:w="3509" w:type="dxa"/>
          <w:trHeight w:val="2355"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5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洞内施工人工降效及照明费用</w:t>
            </w:r>
          </w:p>
        </w:tc>
        <w:tc>
          <w:tcPr>
            <w:tcW w:w="32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1.参考建筑定额特殊环境和条件下人工降效的规定第3条：在洞内、地下室内、库内或暗室内（需要照明）进行施工的工程，按该部分工程的人工费增加40%作为人工降效及照明等费用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2.清单工程量以实际洞内需要照明清淤工程量计入</w:t>
            </w:r>
          </w:p>
        </w:tc>
        <w:tc>
          <w:tcPr>
            <w:tcW w:w="10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m3</w:t>
            </w:r>
          </w:p>
        </w:tc>
        <w:tc>
          <w:tcPr>
            <w:tcW w:w="8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93" w:type="dxa"/>
          <w:wAfter w:w="3509" w:type="dxa"/>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5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余砂检测</w:t>
            </w:r>
          </w:p>
        </w:tc>
        <w:tc>
          <w:tcPr>
            <w:tcW w:w="32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1.检测项目:含水率、PH值</w:t>
            </w:r>
          </w:p>
        </w:tc>
        <w:tc>
          <w:tcPr>
            <w:tcW w:w="10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8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93" w:type="dxa"/>
          <w:wAfter w:w="3509" w:type="dxa"/>
          <w:trHeight w:val="57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15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余砂检测</w:t>
            </w:r>
          </w:p>
        </w:tc>
        <w:tc>
          <w:tcPr>
            <w:tcW w:w="32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1.检测项目:重金属：镉、汞、铬、铅 、砷、铜、镍、锌</w:t>
            </w:r>
          </w:p>
        </w:tc>
        <w:tc>
          <w:tcPr>
            <w:tcW w:w="10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8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93" w:type="dxa"/>
          <w:wAfter w:w="3509" w:type="dxa"/>
          <w:trHeight w:val="57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15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余砂检测</w:t>
            </w:r>
          </w:p>
        </w:tc>
        <w:tc>
          <w:tcPr>
            <w:tcW w:w="32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1.检测项目:有机质、总磷、总氮</w:t>
            </w:r>
          </w:p>
        </w:tc>
        <w:tc>
          <w:tcPr>
            <w:tcW w:w="10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8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93" w:type="dxa"/>
          <w:wAfter w:w="3509" w:type="dxa"/>
          <w:trHeight w:val="282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15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防毒面具</w:t>
            </w:r>
          </w:p>
        </w:tc>
        <w:tc>
          <w:tcPr>
            <w:tcW w:w="32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1.参数要求:通用防毒面具，中等偏上品质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2.计价内容:单次使用防毒面具及滤盒价格</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3.计价方式:根据市场询价及材料摊销次数计算单次使用材料价格</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4.其他:要求为全新，不考虑重复使用</w:t>
            </w:r>
          </w:p>
        </w:tc>
        <w:tc>
          <w:tcPr>
            <w:tcW w:w="10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8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93" w:type="dxa"/>
          <w:wAfter w:w="3509" w:type="dxa"/>
          <w:trHeight w:val="159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15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正压式空气呼吸器</w:t>
            </w:r>
          </w:p>
        </w:tc>
        <w:tc>
          <w:tcPr>
            <w:tcW w:w="32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1、参数要求：6.8升碳纤维瓶</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2、计价内容：单次使用正压空气呼吸器价格</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3、计价方式：根据市场询价及材料摊销次数计算单次使用材料价格</w:t>
            </w:r>
          </w:p>
        </w:tc>
        <w:tc>
          <w:tcPr>
            <w:tcW w:w="10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套/次</w:t>
            </w:r>
          </w:p>
        </w:tc>
        <w:tc>
          <w:tcPr>
            <w:tcW w:w="8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93" w:type="dxa"/>
          <w:wAfter w:w="3509" w:type="dxa"/>
          <w:trHeight w:val="1335"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5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围堰</w:t>
            </w:r>
          </w:p>
        </w:tc>
        <w:tc>
          <w:tcPr>
            <w:tcW w:w="32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1.围堰类型:池体就近堆砌三级沉淀池</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2.填心材料:纤维袋砂包围堰</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3.三级沉淀池底部铺设红白蓝彩条布</w:t>
            </w:r>
          </w:p>
        </w:tc>
        <w:tc>
          <w:tcPr>
            <w:tcW w:w="10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m3</w:t>
            </w:r>
          </w:p>
        </w:tc>
        <w:tc>
          <w:tcPr>
            <w:tcW w:w="8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93" w:type="dxa"/>
          <w:wAfter w:w="3509" w:type="dxa"/>
          <w:trHeight w:val="825"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15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排水</w:t>
            </w:r>
          </w:p>
        </w:tc>
        <w:tc>
          <w:tcPr>
            <w:tcW w:w="32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1、污水泵规格：出口直径100mm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2、起、闭井盖</w:t>
            </w:r>
          </w:p>
        </w:tc>
        <w:tc>
          <w:tcPr>
            <w:tcW w:w="10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台班</w:t>
            </w:r>
          </w:p>
        </w:tc>
        <w:tc>
          <w:tcPr>
            <w:tcW w:w="8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93" w:type="dxa"/>
          <w:wAfter w:w="3509" w:type="dxa"/>
          <w:trHeight w:val="825"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15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有毒气体检测</w:t>
            </w:r>
          </w:p>
        </w:tc>
        <w:tc>
          <w:tcPr>
            <w:tcW w:w="32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1.一次为2小时不间断检测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2.具体检测次数以实际检测台班数量确定</w:t>
            </w:r>
          </w:p>
        </w:tc>
        <w:tc>
          <w:tcPr>
            <w:tcW w:w="10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次</w:t>
            </w:r>
          </w:p>
        </w:tc>
        <w:tc>
          <w:tcPr>
            <w:tcW w:w="8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93" w:type="dxa"/>
          <w:wAfter w:w="3509" w:type="dxa"/>
          <w:trHeight w:val="825" w:hRule="atLeast"/>
          <w:jc w:val="center"/>
        </w:trPr>
        <w:tc>
          <w:tcPr>
            <w:tcW w:w="7333" w:type="dxa"/>
            <w:gridSpan w:val="5"/>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合计：    元（含税  %）</w:t>
            </w:r>
          </w:p>
        </w:tc>
      </w:tr>
    </w:tbl>
    <w:p>
      <w:pPr>
        <w:pStyle w:val="22"/>
        <w:rPr>
          <w:rFonts w:ascii="宋体" w:hAnsi="宋体" w:eastAsia="宋体" w:cs="宋体"/>
          <w:color w:val="auto"/>
          <w:sz w:val="24"/>
          <w:szCs w:val="24"/>
          <w:highlight w:val="none"/>
          <w:lang w:val="en-GB"/>
        </w:rPr>
      </w:pPr>
    </w:p>
    <w:p>
      <w:pPr>
        <w:adjustRightInd w:val="0"/>
        <w:snapToGrid w:val="0"/>
        <w:spacing w:line="360" w:lineRule="auto"/>
        <w:jc w:val="right"/>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 xml:space="preserve">供应商名称（加盖公章）： </w:t>
      </w:r>
    </w:p>
    <w:p>
      <w:pPr>
        <w:adjustRightInd w:val="0"/>
        <w:snapToGrid w:val="0"/>
        <w:spacing w:line="600" w:lineRule="exact"/>
        <w:ind w:firstLine="6480" w:firstLineChars="2700"/>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年  月  日</w:t>
      </w:r>
    </w:p>
    <w:p>
      <w:pPr>
        <w:pStyle w:val="7"/>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p>
    <w:p>
      <w:pPr>
        <w:pStyle w:val="7"/>
        <w:ind w:firstLine="0"/>
        <w:rPr>
          <w:rFonts w:hint="eastAsia" w:ascii="宋体" w:hAnsi="宋体" w:eastAsia="宋体" w:cs="宋体"/>
          <w:color w:val="auto"/>
          <w:sz w:val="24"/>
          <w:szCs w:val="24"/>
          <w:highlight w:val="none"/>
          <w:lang w:val="en-GB"/>
        </w:rPr>
      </w:pPr>
    </w:p>
    <w:p>
      <w:pPr>
        <w:pStyle w:val="7"/>
        <w:ind w:firstLine="0"/>
        <w:rPr>
          <w:rFonts w:hint="eastAsia" w:ascii="宋体" w:hAnsi="宋体" w:eastAsia="宋体" w:cs="宋体"/>
          <w:color w:val="auto"/>
          <w:sz w:val="24"/>
          <w:szCs w:val="24"/>
          <w:highlight w:val="none"/>
          <w:lang w:val="en-GB"/>
        </w:rPr>
      </w:pPr>
    </w:p>
    <w:p>
      <w:pPr>
        <w:pStyle w:val="7"/>
        <w:ind w:firstLine="0"/>
        <w:rPr>
          <w:rFonts w:hint="eastAsia" w:ascii="宋体" w:hAnsi="宋体" w:eastAsia="宋体" w:cs="宋体"/>
          <w:color w:val="auto"/>
          <w:sz w:val="24"/>
          <w:szCs w:val="24"/>
          <w:highlight w:val="none"/>
          <w:lang w:val="en-GB"/>
        </w:rPr>
      </w:pPr>
    </w:p>
    <w:p>
      <w:pPr>
        <w:pStyle w:val="7"/>
        <w:ind w:firstLine="0"/>
        <w:rPr>
          <w:rFonts w:hint="eastAsia" w:ascii="宋体" w:hAnsi="宋体" w:eastAsia="宋体" w:cs="宋体"/>
          <w:color w:val="auto"/>
          <w:sz w:val="24"/>
          <w:szCs w:val="24"/>
          <w:highlight w:val="none"/>
          <w:lang w:val="en-GB"/>
        </w:rPr>
      </w:pPr>
    </w:p>
    <w:p>
      <w:pPr>
        <w:pStyle w:val="7"/>
        <w:ind w:firstLine="0"/>
        <w:rPr>
          <w:rFonts w:hint="eastAsia" w:ascii="宋体" w:hAnsi="宋体" w:eastAsia="宋体" w:cs="宋体"/>
          <w:color w:val="auto"/>
          <w:sz w:val="24"/>
          <w:szCs w:val="24"/>
          <w:highlight w:val="none"/>
          <w:lang w:val="en-GB"/>
        </w:rPr>
      </w:pPr>
    </w:p>
    <w:p>
      <w:pPr>
        <w:pStyle w:val="7"/>
        <w:ind w:firstLine="0"/>
        <w:rPr>
          <w:rFonts w:hint="eastAsia" w:ascii="宋体" w:hAnsi="宋体" w:eastAsia="宋体" w:cs="宋体"/>
          <w:color w:val="auto"/>
          <w:sz w:val="24"/>
          <w:szCs w:val="24"/>
          <w:highlight w:val="none"/>
          <w:lang w:val="en-GB"/>
        </w:rPr>
      </w:pPr>
    </w:p>
    <w:p>
      <w:pPr>
        <w:pStyle w:val="7"/>
        <w:ind w:firstLine="0"/>
        <w:rPr>
          <w:rFonts w:hint="eastAsia" w:ascii="宋体" w:hAnsi="宋体" w:eastAsia="宋体" w:cs="宋体"/>
          <w:color w:val="auto"/>
          <w:sz w:val="24"/>
          <w:szCs w:val="24"/>
          <w:highlight w:val="none"/>
          <w:lang w:val="en-GB"/>
        </w:rPr>
      </w:pPr>
    </w:p>
    <w:p>
      <w:pPr>
        <w:pStyle w:val="7"/>
        <w:ind w:firstLine="0"/>
        <w:rPr>
          <w:rFonts w:hint="eastAsia" w:ascii="宋体" w:hAnsi="宋体" w:eastAsia="宋体" w:cs="宋体"/>
          <w:color w:val="auto"/>
          <w:sz w:val="24"/>
          <w:szCs w:val="24"/>
          <w:highlight w:val="none"/>
          <w:lang w:val="en-GB"/>
        </w:rPr>
      </w:pPr>
    </w:p>
    <w:p>
      <w:pPr>
        <w:pStyle w:val="7"/>
        <w:ind w:firstLine="0"/>
        <w:rPr>
          <w:rFonts w:hint="eastAsia" w:ascii="宋体" w:hAnsi="宋体" w:eastAsia="宋体" w:cs="宋体"/>
          <w:color w:val="auto"/>
          <w:sz w:val="24"/>
          <w:szCs w:val="24"/>
          <w:highlight w:val="none"/>
          <w:lang w:val="en-GB"/>
        </w:rPr>
      </w:pPr>
    </w:p>
    <w:p>
      <w:pPr>
        <w:pStyle w:val="6"/>
        <w:numPr>
          <w:ilvl w:val="0"/>
          <w:numId w:val="5"/>
        </w:numPr>
        <w:rPr>
          <w:rFonts w:hint="eastAsia" w:asciiTheme="majorEastAsia" w:hAnsiTheme="majorEastAsia" w:eastAsiaTheme="majorEastAsia"/>
          <w:color w:val="auto"/>
          <w:sz w:val="28"/>
          <w:szCs w:val="28"/>
          <w:highlight w:val="none"/>
        </w:rPr>
      </w:pPr>
      <w:bookmarkStart w:id="131" w:name="_Toc88209965"/>
      <w:bookmarkStart w:id="132" w:name="_Toc87616402"/>
      <w:bookmarkStart w:id="133" w:name="_Toc16386"/>
      <w:bookmarkStart w:id="134" w:name="_Toc6058"/>
      <w:r>
        <w:rPr>
          <w:rFonts w:hint="eastAsia" w:asciiTheme="majorEastAsia" w:hAnsiTheme="majorEastAsia" w:eastAsiaTheme="majorEastAsia"/>
          <w:color w:val="auto"/>
          <w:sz w:val="28"/>
          <w:szCs w:val="28"/>
          <w:highlight w:val="none"/>
        </w:rPr>
        <w:t>其他资料</w:t>
      </w:r>
      <w:bookmarkEnd w:id="131"/>
      <w:bookmarkEnd w:id="132"/>
      <w:bookmarkEnd w:id="133"/>
      <w:bookmarkEnd w:id="134"/>
    </w:p>
    <w:p>
      <w:pPr>
        <w:spacing w:line="360" w:lineRule="auto"/>
        <w:jc w:val="center"/>
        <w:outlineLvl w:val="3"/>
        <w:rPr>
          <w:rFonts w:ascii="宋体" w:hAnsi="宋体" w:cs="宋体"/>
          <w:b/>
          <w:bCs/>
          <w:color w:val="auto"/>
          <w:sz w:val="24"/>
          <w:szCs w:val="24"/>
          <w:highlight w:val="none"/>
        </w:rPr>
      </w:pPr>
      <w:r>
        <w:rPr>
          <w:rFonts w:hint="eastAsia" w:ascii="宋体" w:hAnsi="宋体" w:cs="宋体"/>
          <w:b/>
          <w:color w:val="auto"/>
          <w:sz w:val="24"/>
          <w:szCs w:val="24"/>
          <w:highlight w:val="none"/>
        </w:rPr>
        <w:t>拟投入工程人员配备响应表</w:t>
      </w:r>
    </w:p>
    <w:tbl>
      <w:tblPr>
        <w:tblStyle w:val="23"/>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005"/>
        <w:gridCol w:w="855"/>
        <w:gridCol w:w="2370"/>
        <w:gridCol w:w="2573"/>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岗位</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姓名</w:t>
            </w: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性别</w:t>
            </w: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身份证号</w:t>
            </w: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执业或职业资格证明</w:t>
            </w: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项目负责人</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安全员</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技术负责人</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普工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普工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普工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普工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szCs w:val="24"/>
                <w:highlight w:val="none"/>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bl>
    <w:p>
      <w:pPr>
        <w:adjustRightInd w:val="0"/>
        <w:snapToGrid w:val="0"/>
        <w:spacing w:line="360" w:lineRule="auto"/>
        <w:jc w:val="both"/>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 xml:space="preserve">供应商名称（加盖公章）： </w:t>
      </w:r>
    </w:p>
    <w:p>
      <w:pPr>
        <w:pStyle w:val="3"/>
        <w:rPr>
          <w:color w:val="auto"/>
          <w:highlight w:val="none"/>
        </w:rPr>
      </w:pPr>
      <w:r>
        <w:rPr>
          <w:rFonts w:hint="eastAsia" w:ascii="宋体" w:hAnsi="宋体" w:eastAsia="宋体" w:cs="宋体"/>
          <w:color w:val="auto"/>
          <w:sz w:val="24"/>
          <w:szCs w:val="24"/>
          <w:highlight w:val="none"/>
          <w:lang w:val="en-GB"/>
        </w:rPr>
        <w:t>年  月  日</w:t>
      </w:r>
    </w:p>
    <w:p>
      <w:pPr>
        <w:pStyle w:val="6"/>
        <w:rPr>
          <w:rFonts w:hint="eastAsia" w:ascii="宋体" w:hAnsi="宋体" w:eastAsia="宋体"/>
          <w:color w:val="auto"/>
          <w:sz w:val="28"/>
          <w:szCs w:val="28"/>
          <w:highlight w:val="none"/>
          <w:lang w:val="en-US" w:eastAsia="zh-CN"/>
        </w:rPr>
      </w:pPr>
    </w:p>
    <w:p>
      <w:pPr>
        <w:rPr>
          <w:rFonts w:hint="eastAsia"/>
          <w:color w:val="auto"/>
          <w:highlight w:val="none"/>
          <w:lang w:val="en-US" w:eastAsia="zh-CN"/>
        </w:rPr>
      </w:pPr>
    </w:p>
    <w:p>
      <w:pPr>
        <w:numPr>
          <w:ilvl w:val="-1"/>
          <w:numId w:val="0"/>
        </w:numPr>
        <w:rPr>
          <w:color w:val="auto"/>
          <w:highlight w:val="none"/>
        </w:rPr>
      </w:pPr>
    </w:p>
    <w:p>
      <w:pPr>
        <w:adjustRightInd w:val="0"/>
        <w:snapToGrid w:val="0"/>
        <w:spacing w:line="600" w:lineRule="exact"/>
        <w:ind w:firstLine="0"/>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lang w:val="en-US" w:eastAsia="zh-CN"/>
        </w:rPr>
        <w:t>7.</w:t>
      </w: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sectPr>
      <w:footerReference r:id="rId7" w:type="first"/>
      <w:footerReference r:id="rId6" w:type="default"/>
      <w:pgSz w:w="11906" w:h="16838"/>
      <w:pgMar w:top="2098" w:right="1474" w:bottom="1984" w:left="1588" w:header="851" w:footer="992" w:gutter="0"/>
      <w:pgNumType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Batang">
    <w:altName w:val="Malgun Gothic"/>
    <w:panose1 w:val="02030600000101010101"/>
    <w:charset w:val="81"/>
    <w:family w:val="roma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pict>
        <v:shape id="_x0000_s2051" o:spid="_x0000_s2051"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16"/>
                </w:pPr>
              </w:p>
              <w:p/>
            </w:txbxContent>
          </v:textbox>
        </v:shape>
      </w:pict>
    </w: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sdtPr>
    <w:sdtContent>
      <w:p>
        <w:pPr>
          <w:pStyle w:val="16"/>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pict>
        <v:shape id="_x0000_s2052" o:spid="_x0000_s2052"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joinstyle="miter"/>
          <v:imagedata o:title=""/>
          <o:lock v:ext="edit"/>
          <v:textbox inset="0mm,0mm,0mm,0mm" style="mso-fit-shape-to-text:t;">
            <w:txbxContent>
              <w:p>
                <w:pPr>
                  <w:pStyle w:val="16"/>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w:r>
    <w:r>
      <w:pict>
        <v:shape id="_x0000_s2053" o:spid="_x0000_s2053"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pPr>
                  <w:pStyle w:val="16"/>
                </w:pPr>
              </w:p>
              <w:p/>
            </w:txbxContent>
          </v:textbox>
        </v:shape>
      </w:pict>
    </w:r>
  </w:p>
  <w:p>
    <w:pPr>
      <w:pStyle w:val="1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pict>
        <v:shape id="_x0000_s2054" o:spid="_x0000_s205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joinstyle="miter"/>
          <v:imagedata o:title=""/>
          <o:lock v:ext="edit"/>
          <v:textbox inset="0mm,0mm,0mm,0mm" style="mso-fit-shape-to-text:t;">
            <w:txbxContent>
              <w:p>
                <w:pPr>
                  <w:pStyle w:val="16"/>
                </w:pPr>
                <w:r>
                  <w:rPr>
                    <w:rFonts w:hint="eastAsia"/>
                  </w:rPr>
                  <w:fldChar w:fldCharType="begin"/>
                </w:r>
                <w:r>
                  <w:rPr>
                    <w:rFonts w:hint="eastAsia"/>
                  </w:rPr>
                  <w:instrText xml:space="preserve"> PAGE  \* MERGEFORMAT </w:instrText>
                </w:r>
                <w:r>
                  <w:rPr>
                    <w:rFonts w:hint="eastAsia"/>
                  </w:rPr>
                  <w:fldChar w:fldCharType="separate"/>
                </w:r>
                <w:r>
                  <w:rPr>
                    <w:rFonts w:hint="eastAsia"/>
                  </w:rPr>
                  <w:t>0</w:t>
                </w:r>
                <w:r>
                  <w:rPr>
                    <w:rFonts w:hint="eastAsia"/>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5E1F3C"/>
    <w:multiLevelType w:val="singleLevel"/>
    <w:tmpl w:val="A15E1F3C"/>
    <w:lvl w:ilvl="0" w:tentative="0">
      <w:start w:val="1"/>
      <w:numFmt w:val="chineseCounting"/>
      <w:suff w:val="nothing"/>
      <w:lvlText w:val="%1、"/>
      <w:lvlJc w:val="left"/>
      <w:rPr>
        <w:rFonts w:hint="eastAsia"/>
      </w:rPr>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E5B1A38F"/>
    <w:multiLevelType w:val="singleLevel"/>
    <w:tmpl w:val="E5B1A38F"/>
    <w:lvl w:ilvl="0" w:tentative="0">
      <w:start w:val="5"/>
      <w:numFmt w:val="decimal"/>
      <w:lvlText w:val="%1."/>
      <w:lvlJc w:val="left"/>
      <w:pPr>
        <w:tabs>
          <w:tab w:val="left" w:pos="312"/>
        </w:tabs>
      </w:pPr>
    </w:lvl>
  </w:abstractNum>
  <w:abstractNum w:abstractNumId="3">
    <w:nsid w:val="4734DCE6"/>
    <w:multiLevelType w:val="singleLevel"/>
    <w:tmpl w:val="4734DCE6"/>
    <w:lvl w:ilvl="0" w:tentative="0">
      <w:start w:val="1"/>
      <w:numFmt w:val="decimal"/>
      <w:lvlText w:val="%1."/>
      <w:lvlJc w:val="left"/>
      <w:pPr>
        <w:tabs>
          <w:tab w:val="left" w:pos="312"/>
        </w:tabs>
      </w:pPr>
    </w:lvl>
  </w:abstractNum>
  <w:abstractNum w:abstractNumId="4">
    <w:nsid w:val="705D32C3"/>
    <w:multiLevelType w:val="singleLevel"/>
    <w:tmpl w:val="705D32C3"/>
    <w:lvl w:ilvl="0" w:tentative="0">
      <w:start w:val="5"/>
      <w:numFmt w:val="decimal"/>
      <w:lvlText w:val="%1."/>
      <w:lvlJc w:val="left"/>
      <w:pPr>
        <w:tabs>
          <w:tab w:val="left" w:pos="312"/>
        </w:tabs>
      </w:p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UxOWI5ZjY1NzIwMzQ1MWE0MjhiNDMxMDc2MWY2NDkifQ=="/>
  </w:docVars>
  <w:rsids>
    <w:rsidRoot w:val="00172A27"/>
    <w:rsid w:val="00175176"/>
    <w:rsid w:val="003D60BA"/>
    <w:rsid w:val="00411689"/>
    <w:rsid w:val="00424BCB"/>
    <w:rsid w:val="00575ADC"/>
    <w:rsid w:val="005D618A"/>
    <w:rsid w:val="00662D90"/>
    <w:rsid w:val="00911ECD"/>
    <w:rsid w:val="00A042E0"/>
    <w:rsid w:val="00A72ED5"/>
    <w:rsid w:val="00B26BB1"/>
    <w:rsid w:val="00B26E21"/>
    <w:rsid w:val="00B6381A"/>
    <w:rsid w:val="00BC4C34"/>
    <w:rsid w:val="00F83B64"/>
    <w:rsid w:val="00FC77BD"/>
    <w:rsid w:val="013E3461"/>
    <w:rsid w:val="02090C75"/>
    <w:rsid w:val="028E645D"/>
    <w:rsid w:val="02A23A3C"/>
    <w:rsid w:val="035D130A"/>
    <w:rsid w:val="039110A9"/>
    <w:rsid w:val="03AC246A"/>
    <w:rsid w:val="03B23056"/>
    <w:rsid w:val="03DC3EBA"/>
    <w:rsid w:val="03F9794D"/>
    <w:rsid w:val="046A2461"/>
    <w:rsid w:val="051C2970"/>
    <w:rsid w:val="060C3611"/>
    <w:rsid w:val="06C64829"/>
    <w:rsid w:val="071F59BC"/>
    <w:rsid w:val="077D16D2"/>
    <w:rsid w:val="082A69F3"/>
    <w:rsid w:val="08675FC8"/>
    <w:rsid w:val="09985D2C"/>
    <w:rsid w:val="09B713FD"/>
    <w:rsid w:val="09EF6ACC"/>
    <w:rsid w:val="0A315056"/>
    <w:rsid w:val="0A512BF0"/>
    <w:rsid w:val="0AA213B4"/>
    <w:rsid w:val="0AF61C7E"/>
    <w:rsid w:val="0AFB45AD"/>
    <w:rsid w:val="0B351E9B"/>
    <w:rsid w:val="0B4C50D3"/>
    <w:rsid w:val="0B806B92"/>
    <w:rsid w:val="0B827E94"/>
    <w:rsid w:val="0B842F76"/>
    <w:rsid w:val="0BD070E1"/>
    <w:rsid w:val="0C247926"/>
    <w:rsid w:val="0D794204"/>
    <w:rsid w:val="0E2125D1"/>
    <w:rsid w:val="0E214211"/>
    <w:rsid w:val="0E5F2769"/>
    <w:rsid w:val="0E89579C"/>
    <w:rsid w:val="0F002BBA"/>
    <w:rsid w:val="0F4D75A3"/>
    <w:rsid w:val="0F5B2DCA"/>
    <w:rsid w:val="0FB74AC9"/>
    <w:rsid w:val="0FED051E"/>
    <w:rsid w:val="0FEE4C29"/>
    <w:rsid w:val="10031608"/>
    <w:rsid w:val="10046082"/>
    <w:rsid w:val="111703D2"/>
    <w:rsid w:val="112B101A"/>
    <w:rsid w:val="119B53FC"/>
    <w:rsid w:val="12424CDC"/>
    <w:rsid w:val="129A2738"/>
    <w:rsid w:val="12B56BF1"/>
    <w:rsid w:val="12CB1A89"/>
    <w:rsid w:val="131840FB"/>
    <w:rsid w:val="13467417"/>
    <w:rsid w:val="136E76CF"/>
    <w:rsid w:val="13B679A4"/>
    <w:rsid w:val="145F08C6"/>
    <w:rsid w:val="15776308"/>
    <w:rsid w:val="15BC6B3C"/>
    <w:rsid w:val="164D40B0"/>
    <w:rsid w:val="1694429A"/>
    <w:rsid w:val="17635326"/>
    <w:rsid w:val="18236EFD"/>
    <w:rsid w:val="189D5B1F"/>
    <w:rsid w:val="18A34CD0"/>
    <w:rsid w:val="198814E2"/>
    <w:rsid w:val="19A53EA8"/>
    <w:rsid w:val="19B64DBC"/>
    <w:rsid w:val="19CC51E9"/>
    <w:rsid w:val="1A373ACF"/>
    <w:rsid w:val="1A895341"/>
    <w:rsid w:val="1ADA20FB"/>
    <w:rsid w:val="1B0D071F"/>
    <w:rsid w:val="1B4568CE"/>
    <w:rsid w:val="1B9015B7"/>
    <w:rsid w:val="1BF54245"/>
    <w:rsid w:val="1C4C7701"/>
    <w:rsid w:val="1D0E6976"/>
    <w:rsid w:val="1D5A79EE"/>
    <w:rsid w:val="1D705DE6"/>
    <w:rsid w:val="1E0E2CD0"/>
    <w:rsid w:val="1E831280"/>
    <w:rsid w:val="1EBC4704"/>
    <w:rsid w:val="1F172EB5"/>
    <w:rsid w:val="1F94592D"/>
    <w:rsid w:val="1FB860DE"/>
    <w:rsid w:val="203C5A02"/>
    <w:rsid w:val="20482D62"/>
    <w:rsid w:val="209D4C94"/>
    <w:rsid w:val="20E84705"/>
    <w:rsid w:val="218400BA"/>
    <w:rsid w:val="21AB1E2F"/>
    <w:rsid w:val="21D40498"/>
    <w:rsid w:val="225505ED"/>
    <w:rsid w:val="225E5936"/>
    <w:rsid w:val="22767047"/>
    <w:rsid w:val="23A05588"/>
    <w:rsid w:val="240476A1"/>
    <w:rsid w:val="24CD2A06"/>
    <w:rsid w:val="25431AEB"/>
    <w:rsid w:val="25BF43FD"/>
    <w:rsid w:val="25F86BCD"/>
    <w:rsid w:val="2605748B"/>
    <w:rsid w:val="269E416A"/>
    <w:rsid w:val="272100D3"/>
    <w:rsid w:val="272C72FC"/>
    <w:rsid w:val="275131CB"/>
    <w:rsid w:val="279E2868"/>
    <w:rsid w:val="27EB149D"/>
    <w:rsid w:val="27FD3E52"/>
    <w:rsid w:val="28E11370"/>
    <w:rsid w:val="294A756A"/>
    <w:rsid w:val="29765660"/>
    <w:rsid w:val="29781BF8"/>
    <w:rsid w:val="29C33ED0"/>
    <w:rsid w:val="29D5322D"/>
    <w:rsid w:val="2A025DD9"/>
    <w:rsid w:val="2A2619CB"/>
    <w:rsid w:val="2A7C2231"/>
    <w:rsid w:val="2A8C00E7"/>
    <w:rsid w:val="2ABB753D"/>
    <w:rsid w:val="2B711F54"/>
    <w:rsid w:val="2B7A49FA"/>
    <w:rsid w:val="2C1C3598"/>
    <w:rsid w:val="2C615D26"/>
    <w:rsid w:val="2CB679ED"/>
    <w:rsid w:val="2D173C07"/>
    <w:rsid w:val="2D424A86"/>
    <w:rsid w:val="2D7E1271"/>
    <w:rsid w:val="2E7B52DB"/>
    <w:rsid w:val="2F324CFE"/>
    <w:rsid w:val="2FBA09F1"/>
    <w:rsid w:val="2FEF2ACF"/>
    <w:rsid w:val="30020425"/>
    <w:rsid w:val="30540211"/>
    <w:rsid w:val="31112A0D"/>
    <w:rsid w:val="311F4B20"/>
    <w:rsid w:val="312D7741"/>
    <w:rsid w:val="316F137F"/>
    <w:rsid w:val="31DF525F"/>
    <w:rsid w:val="31EC162B"/>
    <w:rsid w:val="32324C2E"/>
    <w:rsid w:val="327171DF"/>
    <w:rsid w:val="32E06C88"/>
    <w:rsid w:val="341E3434"/>
    <w:rsid w:val="34BB4442"/>
    <w:rsid w:val="360B7EBA"/>
    <w:rsid w:val="369C32FD"/>
    <w:rsid w:val="37666E72"/>
    <w:rsid w:val="38081EA3"/>
    <w:rsid w:val="38167A04"/>
    <w:rsid w:val="394B167A"/>
    <w:rsid w:val="39861296"/>
    <w:rsid w:val="39CE714D"/>
    <w:rsid w:val="39DA2868"/>
    <w:rsid w:val="3A4E4336"/>
    <w:rsid w:val="3A6007FE"/>
    <w:rsid w:val="3AF93D6C"/>
    <w:rsid w:val="3B7C2CE4"/>
    <w:rsid w:val="3BAF716B"/>
    <w:rsid w:val="3C0B5355"/>
    <w:rsid w:val="3CD4176B"/>
    <w:rsid w:val="3D1F44D9"/>
    <w:rsid w:val="3D5C38CD"/>
    <w:rsid w:val="3E2441E9"/>
    <w:rsid w:val="3E5070F1"/>
    <w:rsid w:val="3F320A13"/>
    <w:rsid w:val="3F6C3589"/>
    <w:rsid w:val="3F850180"/>
    <w:rsid w:val="3F9004D6"/>
    <w:rsid w:val="400E4D5E"/>
    <w:rsid w:val="40AC34E7"/>
    <w:rsid w:val="40E1138C"/>
    <w:rsid w:val="413814BA"/>
    <w:rsid w:val="41872511"/>
    <w:rsid w:val="41B96743"/>
    <w:rsid w:val="41CA1233"/>
    <w:rsid w:val="424236D9"/>
    <w:rsid w:val="424616F0"/>
    <w:rsid w:val="42466655"/>
    <w:rsid w:val="42C82F57"/>
    <w:rsid w:val="435707E5"/>
    <w:rsid w:val="43C76AF7"/>
    <w:rsid w:val="446828F0"/>
    <w:rsid w:val="45093E85"/>
    <w:rsid w:val="452054F2"/>
    <w:rsid w:val="45C13B4D"/>
    <w:rsid w:val="46054BCA"/>
    <w:rsid w:val="464C6AFC"/>
    <w:rsid w:val="468B0091"/>
    <w:rsid w:val="46A107C3"/>
    <w:rsid w:val="46A54F45"/>
    <w:rsid w:val="46B15CE2"/>
    <w:rsid w:val="46BE113D"/>
    <w:rsid w:val="46E44B13"/>
    <w:rsid w:val="4703508A"/>
    <w:rsid w:val="47400B1C"/>
    <w:rsid w:val="475023F8"/>
    <w:rsid w:val="479D361E"/>
    <w:rsid w:val="47B74789"/>
    <w:rsid w:val="480F2B9D"/>
    <w:rsid w:val="48282920"/>
    <w:rsid w:val="485321E0"/>
    <w:rsid w:val="48546AD3"/>
    <w:rsid w:val="48CA4868"/>
    <w:rsid w:val="48F005D3"/>
    <w:rsid w:val="49547ADD"/>
    <w:rsid w:val="49732351"/>
    <w:rsid w:val="498F4AF1"/>
    <w:rsid w:val="49C05787"/>
    <w:rsid w:val="49CF518D"/>
    <w:rsid w:val="4ADA1F63"/>
    <w:rsid w:val="4AE23D89"/>
    <w:rsid w:val="4B2038D0"/>
    <w:rsid w:val="4B296E7D"/>
    <w:rsid w:val="4B79394E"/>
    <w:rsid w:val="4B877F28"/>
    <w:rsid w:val="4C941131"/>
    <w:rsid w:val="4D0A5308"/>
    <w:rsid w:val="4D916BA6"/>
    <w:rsid w:val="4DC44169"/>
    <w:rsid w:val="4DE24E21"/>
    <w:rsid w:val="4E1B19A3"/>
    <w:rsid w:val="4E841B92"/>
    <w:rsid w:val="4EF0709E"/>
    <w:rsid w:val="4F0469A4"/>
    <w:rsid w:val="513C6A7B"/>
    <w:rsid w:val="532D486F"/>
    <w:rsid w:val="5333545B"/>
    <w:rsid w:val="538D0E89"/>
    <w:rsid w:val="539A256D"/>
    <w:rsid w:val="5450213C"/>
    <w:rsid w:val="54C06C96"/>
    <w:rsid w:val="54CD0732"/>
    <w:rsid w:val="54D24048"/>
    <w:rsid w:val="54D64CD5"/>
    <w:rsid w:val="55887D69"/>
    <w:rsid w:val="561A0928"/>
    <w:rsid w:val="56423872"/>
    <w:rsid w:val="56B279F0"/>
    <w:rsid w:val="579D710E"/>
    <w:rsid w:val="57F07F6E"/>
    <w:rsid w:val="581F22F6"/>
    <w:rsid w:val="586E1E17"/>
    <w:rsid w:val="58862C35"/>
    <w:rsid w:val="58C14957"/>
    <w:rsid w:val="58CC23D2"/>
    <w:rsid w:val="595559A4"/>
    <w:rsid w:val="59D950F4"/>
    <w:rsid w:val="5AB04F69"/>
    <w:rsid w:val="5AE83A50"/>
    <w:rsid w:val="5B353193"/>
    <w:rsid w:val="5BAB2917"/>
    <w:rsid w:val="5BFC33FA"/>
    <w:rsid w:val="5C3107A4"/>
    <w:rsid w:val="5C3B1B93"/>
    <w:rsid w:val="5C7F24A9"/>
    <w:rsid w:val="5C9220DF"/>
    <w:rsid w:val="5D4A15F3"/>
    <w:rsid w:val="5D69542A"/>
    <w:rsid w:val="5D783B72"/>
    <w:rsid w:val="5E0930EF"/>
    <w:rsid w:val="5E3A1722"/>
    <w:rsid w:val="5E3D4D53"/>
    <w:rsid w:val="5E3E526B"/>
    <w:rsid w:val="5E4717E6"/>
    <w:rsid w:val="5E55774C"/>
    <w:rsid w:val="60045F96"/>
    <w:rsid w:val="60104DDC"/>
    <w:rsid w:val="605C0804"/>
    <w:rsid w:val="6189617B"/>
    <w:rsid w:val="61B52BB6"/>
    <w:rsid w:val="61B749C2"/>
    <w:rsid w:val="62280D20"/>
    <w:rsid w:val="627F3573"/>
    <w:rsid w:val="62CA2457"/>
    <w:rsid w:val="638240A1"/>
    <w:rsid w:val="63833423"/>
    <w:rsid w:val="63A5257B"/>
    <w:rsid w:val="63BD3DCC"/>
    <w:rsid w:val="63C61741"/>
    <w:rsid w:val="64560967"/>
    <w:rsid w:val="648B3574"/>
    <w:rsid w:val="64C2370A"/>
    <w:rsid w:val="64E46988"/>
    <w:rsid w:val="656B1D10"/>
    <w:rsid w:val="65B841F9"/>
    <w:rsid w:val="65C06F7B"/>
    <w:rsid w:val="66022B28"/>
    <w:rsid w:val="660F70A1"/>
    <w:rsid w:val="664A38E2"/>
    <w:rsid w:val="66581E87"/>
    <w:rsid w:val="66FA11D5"/>
    <w:rsid w:val="674302C7"/>
    <w:rsid w:val="680A5986"/>
    <w:rsid w:val="680D5F4B"/>
    <w:rsid w:val="68113F51"/>
    <w:rsid w:val="682C6CC4"/>
    <w:rsid w:val="68E94770"/>
    <w:rsid w:val="68F949C9"/>
    <w:rsid w:val="69192F37"/>
    <w:rsid w:val="695A4290"/>
    <w:rsid w:val="6A334932"/>
    <w:rsid w:val="6A3353FF"/>
    <w:rsid w:val="6A5D63E6"/>
    <w:rsid w:val="6A5F24D1"/>
    <w:rsid w:val="6AE347EB"/>
    <w:rsid w:val="6B434AF0"/>
    <w:rsid w:val="6B57675A"/>
    <w:rsid w:val="6BDD7B4D"/>
    <w:rsid w:val="6D5C63FA"/>
    <w:rsid w:val="6DE4436B"/>
    <w:rsid w:val="6E73623F"/>
    <w:rsid w:val="6EBC0B3A"/>
    <w:rsid w:val="6EF51C7D"/>
    <w:rsid w:val="6F8363E5"/>
    <w:rsid w:val="6FAB16E4"/>
    <w:rsid w:val="6FAC3CC5"/>
    <w:rsid w:val="6FC746F5"/>
    <w:rsid w:val="70317AC6"/>
    <w:rsid w:val="704B26F7"/>
    <w:rsid w:val="70863262"/>
    <w:rsid w:val="70A76ED3"/>
    <w:rsid w:val="71860B17"/>
    <w:rsid w:val="723B27CC"/>
    <w:rsid w:val="72687227"/>
    <w:rsid w:val="72A03FD9"/>
    <w:rsid w:val="72CB1A36"/>
    <w:rsid w:val="73406CFF"/>
    <w:rsid w:val="7383028C"/>
    <w:rsid w:val="73A25E44"/>
    <w:rsid w:val="741F68CF"/>
    <w:rsid w:val="74383ED3"/>
    <w:rsid w:val="75197FBE"/>
    <w:rsid w:val="75252DF3"/>
    <w:rsid w:val="75621536"/>
    <w:rsid w:val="75BF3154"/>
    <w:rsid w:val="764A07CF"/>
    <w:rsid w:val="764F6B3D"/>
    <w:rsid w:val="76CD2B7B"/>
    <w:rsid w:val="76D80645"/>
    <w:rsid w:val="76E03371"/>
    <w:rsid w:val="780E5898"/>
    <w:rsid w:val="782642CC"/>
    <w:rsid w:val="7894095E"/>
    <w:rsid w:val="78964555"/>
    <w:rsid w:val="78CF4963"/>
    <w:rsid w:val="79000679"/>
    <w:rsid w:val="79A416F0"/>
    <w:rsid w:val="79B03EB6"/>
    <w:rsid w:val="79D5456A"/>
    <w:rsid w:val="7AE15A5C"/>
    <w:rsid w:val="7AF37579"/>
    <w:rsid w:val="7AF87F64"/>
    <w:rsid w:val="7B1C0C84"/>
    <w:rsid w:val="7B5A62DF"/>
    <w:rsid w:val="7B7A04A8"/>
    <w:rsid w:val="7C0C3F6D"/>
    <w:rsid w:val="7C22163C"/>
    <w:rsid w:val="7C457B4B"/>
    <w:rsid w:val="7C595075"/>
    <w:rsid w:val="7C6B07B2"/>
    <w:rsid w:val="7CC6465F"/>
    <w:rsid w:val="7D133243"/>
    <w:rsid w:val="7D945420"/>
    <w:rsid w:val="7E394207"/>
    <w:rsid w:val="7E4007A2"/>
    <w:rsid w:val="7E791CAD"/>
    <w:rsid w:val="7EA50DFB"/>
    <w:rsid w:val="7EC86878"/>
    <w:rsid w:val="7F16390D"/>
    <w:rsid w:val="7F752917"/>
    <w:rsid w:val="7F9C25A5"/>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26"/>
        <o:r id="V:Rule2" type="connector" idref="#_x0000_s1027"/>
        <o:r id="V:Rule3" type="connector" idref="#_x0000_s1028"/>
        <o:r id="V:Rule4" type="connector" idref="#_x0000_s1029"/>
        <o:r id="V:Rule5" type="connector" idref="#_x0000_s1030"/>
        <o:r id="V:Rule6" type="connector" idref="#_x0000_s1031"/>
        <o:r id="V:Rule7" type="connector" idref="#_x0000_s1032"/>
        <o:r id="V:Rule8" type="connector" idref="#_x0000_s1033"/>
        <o:r id="V:Rule9" type="connector" idref="#_x0000_s1034"/>
        <o:r id="V:Rule10" type="connector" idref="#_x0000_s1035"/>
        <o:r id="V:Rule11" type="connector" idref="#_x0000_s1036"/>
        <o:r id="V:Rule12" type="connector" idref="#_x0000_s1037"/>
        <o:r id="V:Rule13" type="connector" idref="#_x0000_s1038"/>
        <o:r id="V:Rule14" type="connector" idref="#_x0000_s1039"/>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1"/>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2"/>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3"/>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styleId="3">
    <w:name w:val="Body Text 2"/>
    <w:basedOn w:val="1"/>
    <w:qFormat/>
    <w:uiPriority w:val="0"/>
    <w:pPr>
      <w:spacing w:after="120" w:line="480" w:lineRule="auto"/>
    </w:p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Body Text 3"/>
    <w:basedOn w:val="1"/>
    <w:link w:val="41"/>
    <w:unhideWhenUsed/>
    <w:qFormat/>
    <w:uiPriority w:val="99"/>
    <w:pPr>
      <w:spacing w:after="120"/>
    </w:pPr>
    <w:rPr>
      <w:sz w:val="16"/>
      <w:szCs w:val="16"/>
    </w:rPr>
  </w:style>
  <w:style w:type="paragraph" w:styleId="9">
    <w:name w:val="Body Text Indent"/>
    <w:basedOn w:val="1"/>
    <w:qFormat/>
    <w:uiPriority w:val="0"/>
    <w:pPr>
      <w:adjustRightInd w:val="0"/>
      <w:snapToGrid w:val="0"/>
      <w:spacing w:line="360" w:lineRule="exact"/>
      <w:ind w:firstLine="630"/>
      <w:textAlignment w:val="baseline"/>
    </w:pPr>
    <w:rPr>
      <w:rFonts w:ascii="宋体" w:hAnsi="宋体" w:cs="Times New Roman"/>
      <w:kern w:val="0"/>
      <w:sz w:val="24"/>
      <w:szCs w:val="20"/>
    </w:rPr>
  </w:style>
  <w:style w:type="paragraph" w:styleId="10">
    <w:name w:val="toc 3"/>
    <w:basedOn w:val="1"/>
    <w:next w:val="1"/>
    <w:unhideWhenUsed/>
    <w:qFormat/>
    <w:uiPriority w:val="39"/>
    <w:pPr>
      <w:widowControl/>
      <w:spacing w:after="100" w:line="276" w:lineRule="auto"/>
      <w:ind w:left="440"/>
      <w:jc w:val="left"/>
    </w:pPr>
    <w:rPr>
      <w:kern w:val="0"/>
      <w:sz w:val="22"/>
    </w:rPr>
  </w:style>
  <w:style w:type="paragraph" w:styleId="11">
    <w:name w:val="Plain Text"/>
    <w:basedOn w:val="1"/>
    <w:next w:val="12"/>
    <w:qFormat/>
    <w:uiPriority w:val="0"/>
    <w:rPr>
      <w:rFonts w:ascii="宋体" w:hAnsi="Courier New"/>
      <w:szCs w:val="21"/>
    </w:rPr>
  </w:style>
  <w:style w:type="paragraph" w:customStyle="1" w:styleId="12">
    <w:name w:val="Default"/>
    <w:next w:val="13"/>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3">
    <w:name w:val="List"/>
    <w:basedOn w:val="1"/>
    <w:next w:val="1"/>
    <w:qFormat/>
    <w:uiPriority w:val="0"/>
    <w:pPr>
      <w:snapToGrid w:val="0"/>
    </w:pPr>
    <w:rPr>
      <w:szCs w:val="24"/>
    </w:rPr>
  </w:style>
  <w:style w:type="paragraph" w:styleId="14">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5">
    <w:name w:val="Balloon Text"/>
    <w:basedOn w:val="1"/>
    <w:link w:val="36"/>
    <w:semiHidden/>
    <w:unhideWhenUsed/>
    <w:qFormat/>
    <w:uiPriority w:val="99"/>
    <w:rPr>
      <w:sz w:val="18"/>
      <w:szCs w:val="18"/>
    </w:rPr>
  </w:style>
  <w:style w:type="paragraph" w:styleId="16">
    <w:name w:val="footer"/>
    <w:basedOn w:val="1"/>
    <w:link w:val="30"/>
    <w:unhideWhenUsed/>
    <w:qFormat/>
    <w:uiPriority w:val="99"/>
    <w:pPr>
      <w:tabs>
        <w:tab w:val="center" w:pos="4153"/>
        <w:tab w:val="right" w:pos="8306"/>
      </w:tabs>
      <w:snapToGrid w:val="0"/>
      <w:jc w:val="left"/>
    </w:pPr>
    <w:rPr>
      <w:sz w:val="18"/>
      <w:szCs w:val="18"/>
    </w:rPr>
  </w:style>
  <w:style w:type="paragraph" w:styleId="17">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pPr>
      <w:widowControl/>
      <w:spacing w:after="100" w:line="276" w:lineRule="auto"/>
      <w:jc w:val="left"/>
    </w:pPr>
    <w:rPr>
      <w:kern w:val="0"/>
      <w:sz w:val="22"/>
    </w:rPr>
  </w:style>
  <w:style w:type="paragraph" w:styleId="19">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0">
    <w:name w:val="Normal (Web)"/>
    <w:basedOn w:val="1"/>
    <w:unhideWhenUsed/>
    <w:qFormat/>
    <w:uiPriority w:val="99"/>
    <w:pPr>
      <w:spacing w:before="100" w:beforeAutospacing="1" w:after="100" w:afterAutospacing="1"/>
    </w:pPr>
    <w:rPr>
      <w:rFonts w:ascii="宋体" w:hAnsi="宋体" w:cs="Times New Roman"/>
      <w:kern w:val="0"/>
      <w:sz w:val="24"/>
      <w:szCs w:val="24"/>
    </w:rPr>
  </w:style>
  <w:style w:type="paragraph" w:styleId="21">
    <w:name w:val="Body Text First Indent"/>
    <w:basedOn w:val="2"/>
    <w:unhideWhenUsed/>
    <w:qFormat/>
    <w:uiPriority w:val="99"/>
    <w:pPr>
      <w:widowControl w:val="0"/>
      <w:spacing w:after="120" w:line="240" w:lineRule="auto"/>
      <w:ind w:firstLine="420"/>
    </w:pPr>
    <w:rPr>
      <w:kern w:val="2"/>
      <w:sz w:val="21"/>
    </w:rPr>
  </w:style>
  <w:style w:type="paragraph" w:styleId="22">
    <w:name w:val="Body Text First Indent 2"/>
    <w:basedOn w:val="9"/>
    <w:qFormat/>
    <w:uiPriority w:val="0"/>
    <w:pPr>
      <w:spacing w:line="360" w:lineRule="auto"/>
      <w:ind w:firstLine="420"/>
    </w:pPr>
    <w:rPr>
      <w:rFonts w:eastAsia="等线"/>
      <w:color w:val="000000"/>
      <w:szCs w:val="24"/>
    </w:rPr>
  </w:style>
  <w:style w:type="table" w:styleId="24">
    <w:name w:val="Table Grid"/>
    <w:basedOn w:val="2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6">
    <w:name w:val="Strong"/>
    <w:basedOn w:val="25"/>
    <w:qFormat/>
    <w:uiPriority w:val="22"/>
    <w:rPr>
      <w:rFonts w:eastAsia="宋体"/>
      <w:b/>
      <w:bCs/>
      <w:kern w:val="2"/>
      <w:sz w:val="24"/>
      <w:szCs w:val="24"/>
      <w:lang w:val="en-US" w:eastAsia="zh-CN" w:bidi="ar-SA"/>
    </w:rPr>
  </w:style>
  <w:style w:type="character" w:styleId="27">
    <w:name w:val="Hyperlink"/>
    <w:basedOn w:val="25"/>
    <w:unhideWhenUsed/>
    <w:qFormat/>
    <w:uiPriority w:val="99"/>
    <w:rPr>
      <w:color w:val="0000FF" w:themeColor="hyperlink"/>
      <w:u w:val="single"/>
    </w:rPr>
  </w:style>
  <w:style w:type="paragraph" w:customStyle="1" w:styleId="28">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29">
    <w:name w:val="页眉 字符"/>
    <w:basedOn w:val="25"/>
    <w:link w:val="17"/>
    <w:qFormat/>
    <w:uiPriority w:val="99"/>
    <w:rPr>
      <w:sz w:val="18"/>
      <w:szCs w:val="18"/>
    </w:rPr>
  </w:style>
  <w:style w:type="character" w:customStyle="1" w:styleId="30">
    <w:name w:val="页脚 字符"/>
    <w:basedOn w:val="25"/>
    <w:link w:val="16"/>
    <w:qFormat/>
    <w:uiPriority w:val="99"/>
    <w:rPr>
      <w:sz w:val="18"/>
      <w:szCs w:val="18"/>
    </w:rPr>
  </w:style>
  <w:style w:type="character" w:customStyle="1" w:styleId="31">
    <w:name w:val="标题 1 字符"/>
    <w:basedOn w:val="25"/>
    <w:link w:val="4"/>
    <w:qFormat/>
    <w:uiPriority w:val="9"/>
    <w:rPr>
      <w:rFonts w:eastAsia="方正小标宋简体"/>
      <w:bCs/>
      <w:kern w:val="44"/>
      <w:sz w:val="44"/>
      <w:szCs w:val="44"/>
    </w:rPr>
  </w:style>
  <w:style w:type="character" w:customStyle="1" w:styleId="32">
    <w:name w:val="标题 2 字符"/>
    <w:basedOn w:val="25"/>
    <w:link w:val="5"/>
    <w:qFormat/>
    <w:uiPriority w:val="9"/>
    <w:rPr>
      <w:rFonts w:eastAsia="方正小标宋简体" w:asciiTheme="majorHAnsi" w:hAnsiTheme="majorHAnsi" w:cstheme="majorBidi"/>
      <w:bCs/>
      <w:sz w:val="36"/>
      <w:szCs w:val="32"/>
    </w:rPr>
  </w:style>
  <w:style w:type="character" w:customStyle="1" w:styleId="33">
    <w:name w:val="标题 3 字符"/>
    <w:basedOn w:val="25"/>
    <w:link w:val="6"/>
    <w:qFormat/>
    <w:uiPriority w:val="9"/>
    <w:rPr>
      <w:rFonts w:ascii="Calibri" w:hAnsi="Calibri" w:eastAsia="宋体" w:cs="Times New Roman"/>
      <w:b/>
      <w:bCs/>
      <w:sz w:val="32"/>
      <w:szCs w:val="32"/>
    </w:rPr>
  </w:style>
  <w:style w:type="paragraph" w:styleId="34">
    <w:name w:val="List Paragraph"/>
    <w:basedOn w:val="1"/>
    <w:link w:val="42"/>
    <w:qFormat/>
    <w:uiPriority w:val="34"/>
    <w:pPr>
      <w:ind w:firstLine="420" w:firstLineChars="200"/>
    </w:pPr>
  </w:style>
  <w:style w:type="paragraph" w:customStyle="1" w:styleId="35">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6">
    <w:name w:val="批注框文本 字符"/>
    <w:basedOn w:val="25"/>
    <w:link w:val="15"/>
    <w:semiHidden/>
    <w:qFormat/>
    <w:uiPriority w:val="99"/>
    <w:rPr>
      <w:sz w:val="18"/>
      <w:szCs w:val="18"/>
    </w:rPr>
  </w:style>
  <w:style w:type="paragraph" w:styleId="37">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8">
    <w:name w:val="CM97"/>
    <w:basedOn w:val="12"/>
    <w:next w:val="12"/>
    <w:qFormat/>
    <w:uiPriority w:val="0"/>
    <w:pPr>
      <w:spacing w:after="373"/>
    </w:pPr>
    <w:rPr>
      <w:color w:val="auto"/>
    </w:rPr>
  </w:style>
  <w:style w:type="paragraph" w:customStyle="1" w:styleId="39">
    <w:name w:val="CM91"/>
    <w:basedOn w:val="12"/>
    <w:next w:val="12"/>
    <w:qFormat/>
    <w:uiPriority w:val="0"/>
    <w:pPr>
      <w:spacing w:after="160"/>
    </w:pPr>
    <w:rPr>
      <w:color w:val="auto"/>
    </w:rPr>
  </w:style>
  <w:style w:type="character" w:customStyle="1" w:styleId="40">
    <w:name w:val="正文文本 3 Char"/>
    <w:qFormat/>
    <w:uiPriority w:val="99"/>
    <w:rPr>
      <w:sz w:val="16"/>
      <w:szCs w:val="16"/>
    </w:rPr>
  </w:style>
  <w:style w:type="character" w:customStyle="1" w:styleId="41">
    <w:name w:val="正文文本 3 字符"/>
    <w:basedOn w:val="25"/>
    <w:link w:val="8"/>
    <w:semiHidden/>
    <w:qFormat/>
    <w:uiPriority w:val="99"/>
    <w:rPr>
      <w:sz w:val="16"/>
      <w:szCs w:val="16"/>
    </w:rPr>
  </w:style>
  <w:style w:type="character" w:customStyle="1" w:styleId="42">
    <w:name w:val="列表段落 字符"/>
    <w:link w:val="34"/>
    <w:qFormat/>
    <w:uiPriority w:val="34"/>
  </w:style>
  <w:style w:type="paragraph" w:customStyle="1" w:styleId="43">
    <w:name w:val="1"/>
    <w:basedOn w:val="1"/>
    <w:next w:val="11"/>
    <w:qFormat/>
    <w:uiPriority w:val="99"/>
    <w:rPr>
      <w:rFonts w:ascii="宋体" w:hAnsi="Courier New"/>
    </w:rPr>
  </w:style>
  <w:style w:type="paragraph" w:customStyle="1" w:styleId="44">
    <w:name w:val="WPSOffice手动目录 1"/>
    <w:qFormat/>
    <w:uiPriority w:val="0"/>
    <w:rPr>
      <w:rFonts w:asciiTheme="minorHAnsi" w:hAnsiTheme="minorHAnsi" w:eastAsiaTheme="minorEastAsia" w:cstheme="minorBidi"/>
      <w:lang w:val="en-US" w:eastAsia="zh-CN" w:bidi="ar-SA"/>
    </w:rPr>
  </w:style>
  <w:style w:type="paragraph" w:customStyle="1" w:styleId="45">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46">
    <w:name w:val="WPSOffice手动目录 3"/>
    <w:qFormat/>
    <w:uiPriority w:val="0"/>
    <w:pPr>
      <w:ind w:left="400" w:leftChars="400"/>
    </w:pPr>
    <w:rPr>
      <w:rFonts w:asciiTheme="minorHAnsi" w:hAnsiTheme="minorHAnsi" w:eastAsiaTheme="minorEastAsia" w:cstheme="minorBidi"/>
      <w:lang w:val="en-US" w:eastAsia="zh-CN" w:bidi="ar-SA"/>
    </w:rPr>
  </w:style>
  <w:style w:type="paragraph" w:customStyle="1" w:styleId="47">
    <w:name w:val="_Style 4"/>
    <w:basedOn w:val="4"/>
    <w:next w:val="1"/>
    <w:qFormat/>
    <w:uiPriority w:val="0"/>
    <w:pPr>
      <w:keepNext w:val="0"/>
      <w:keepLines w:val="0"/>
      <w:spacing w:before="0" w:after="0" w:line="576" w:lineRule="auto"/>
      <w:jc w:val="left"/>
      <w:outlineLvl w:val="9"/>
    </w:pPr>
    <w:rPr>
      <w:rFonts w:ascii="Calibri" w:hAnsi="Calibri" w:eastAsia="黑体"/>
      <w:bCs w:val="0"/>
      <w:kern w:val="0"/>
      <w:lang w:eastAsia="en-US"/>
    </w:rPr>
  </w:style>
  <w:style w:type="paragraph" w:customStyle="1" w:styleId="48">
    <w:name w:val="Revision"/>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49">
    <w:name w:val="Heading #1|1"/>
    <w:basedOn w:val="1"/>
    <w:qFormat/>
    <w:uiPriority w:val="0"/>
    <w:pPr>
      <w:widowControl w:val="0"/>
      <w:shd w:val="clear" w:color="auto" w:fill="auto"/>
      <w:spacing w:after="620" w:line="634" w:lineRule="exact"/>
      <w:jc w:val="center"/>
      <w:outlineLvl w:val="0"/>
    </w:pPr>
    <w:rPr>
      <w:rFonts w:ascii="宋体" w:hAnsi="宋体" w:eastAsia="宋体" w:cs="宋体"/>
      <w:sz w:val="34"/>
      <w:szCs w:val="34"/>
      <w:u w:val="none"/>
      <w:shd w:val="clear" w:color="auto" w:fill="auto"/>
      <w:lang w:val="zh-TW" w:eastAsia="zh-TW" w:bidi="zh-TW"/>
    </w:rPr>
  </w:style>
  <w:style w:type="paragraph" w:customStyle="1" w:styleId="5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51">
    <w:name w:val="Body text|1"/>
    <w:basedOn w:val="1"/>
    <w:qFormat/>
    <w:uiPriority w:val="0"/>
    <w:pPr>
      <w:widowControl w:val="0"/>
      <w:shd w:val="clear" w:color="auto" w:fill="auto"/>
      <w:spacing w:line="437" w:lineRule="auto"/>
      <w:ind w:firstLine="400"/>
    </w:pPr>
    <w:rPr>
      <w:rFonts w:ascii="宋体" w:hAnsi="宋体" w:eastAsia="宋体" w:cs="宋体"/>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1"/>
    <customShpInfo spid="_x0000_s2052"/>
    <customShpInfo spid="_x0000_s2053"/>
    <customShpInfo spid="_x0000_s2054"/>
    <customShpInfo spid="_x0000_s1026"/>
    <customShpInfo spid="_x0000_s1027"/>
    <customShpInfo spid="_x0000_s1028"/>
    <customShpInfo spid="_x0000_s1029"/>
    <customShpInfo spid="_x0000_s1031"/>
    <customShpInfo spid="_x0000_s1030"/>
    <customShpInfo spid="_x0000_s1032"/>
    <customShpInfo spid="_x0000_s1033"/>
    <customShpInfo spid="_x0000_s1035"/>
    <customShpInfo spid="_x0000_s1034"/>
    <customShpInfo spid="_x0000_s1036"/>
    <customShpInfo spid="_x0000_s1037"/>
    <customShpInfo spid="_x0000_s1038"/>
    <customShpInfo spid="_x0000_s1039"/>
    <customShpInfo spid="_x0000_s1040"/>
    <customShpInfo spid="_x0000_s104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74</Pages>
  <Words>27202</Words>
  <Characters>28754</Characters>
  <Lines>203</Lines>
  <Paragraphs>57</Paragraphs>
  <TotalTime>2</TotalTime>
  <ScaleCrop>false</ScaleCrop>
  <LinksUpToDate>false</LinksUpToDate>
  <CharactersWithSpaces>30896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刘琳</cp:lastModifiedBy>
  <dcterms:modified xsi:type="dcterms:W3CDTF">2022-11-30T07:04:24Z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FAC9AE7310CC4A33B1646990F5E6A4AA</vt:lpwstr>
  </property>
</Properties>
</file>